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FCA435" w14:textId="77777777" w:rsidR="007C7BE6" w:rsidRDefault="007C7BE6" w:rsidP="0038772D">
      <w:bookmarkStart w:id="0" w:name="_Hlk164948108"/>
    </w:p>
    <w:p w14:paraId="3A0C2AB9" w14:textId="77777777" w:rsidR="004942B6" w:rsidRDefault="004942B6" w:rsidP="004942B6">
      <w:pPr>
        <w:jc w:val="center"/>
        <w:rPr>
          <w:noProof/>
          <w:sz w:val="20"/>
          <w:szCs w:val="20"/>
        </w:rPr>
      </w:pPr>
      <w:r w:rsidRPr="009D7FFB">
        <w:rPr>
          <w:noProof/>
          <w:sz w:val="20"/>
          <w:szCs w:val="20"/>
        </w:rPr>
        <w:object w:dxaOrig="16213" w:dyaOrig="6479" w14:anchorId="743C15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 screenshot of a cell phone&#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Description automatically generated" style="width:228pt;height:91.2pt" o:ole="">
            <v:imagedata r:id="rId8" o:title=""/>
          </v:shape>
          <o:OLEObject Type="Embed" ProgID="MSPhotoEd.3" ShapeID="_x0000_i1025" DrawAspect="Content" ObjectID="_1812529794" r:id="rId9"/>
        </w:object>
      </w:r>
    </w:p>
    <w:p w14:paraId="7FCFC5AF" w14:textId="77777777" w:rsidR="004942B6" w:rsidRPr="009C085B" w:rsidRDefault="004942B6" w:rsidP="004942B6"/>
    <w:p w14:paraId="60DFB98B" w14:textId="77777777" w:rsidR="004942B6" w:rsidRPr="009C085B" w:rsidRDefault="004942B6" w:rsidP="004942B6">
      <w:pPr>
        <w:jc w:val="center"/>
      </w:pPr>
      <w:r w:rsidRPr="009C085B">
        <w:rPr>
          <w:b/>
          <w:bCs/>
        </w:rPr>
        <w:t>Name of Candidate:</w:t>
      </w:r>
      <w:r w:rsidRPr="009C085B">
        <w:t xml:space="preserve"> </w:t>
      </w:r>
    </w:p>
    <w:p w14:paraId="01DDE3CA" w14:textId="77777777" w:rsidR="004942B6" w:rsidRPr="00E3738C" w:rsidRDefault="004942B6" w:rsidP="004942B6">
      <w:pPr>
        <w:spacing w:line="360" w:lineRule="auto"/>
        <w:jc w:val="center"/>
        <w:rPr>
          <w:sz w:val="28"/>
          <w:szCs w:val="28"/>
        </w:rPr>
      </w:pPr>
      <w:r w:rsidRPr="00E3738C">
        <w:rPr>
          <w:sz w:val="28"/>
          <w:szCs w:val="28"/>
        </w:rPr>
        <w:t xml:space="preserve">Dr </w:t>
      </w:r>
      <w:r>
        <w:rPr>
          <w:sz w:val="28"/>
          <w:szCs w:val="28"/>
        </w:rPr>
        <w:t>Mohsin Amin Gondal</w:t>
      </w:r>
    </w:p>
    <w:p w14:paraId="38786B24" w14:textId="77777777" w:rsidR="004942B6" w:rsidRDefault="004942B6" w:rsidP="004942B6">
      <w:pPr>
        <w:tabs>
          <w:tab w:val="center" w:pos="4510"/>
          <w:tab w:val="right" w:pos="9020"/>
        </w:tabs>
        <w:spacing w:line="360" w:lineRule="auto"/>
      </w:pPr>
      <w:r>
        <w:tab/>
      </w:r>
      <w:r w:rsidRPr="00E3738C">
        <w:t>MB</w:t>
      </w:r>
      <w:r>
        <w:t>BS</w:t>
      </w:r>
      <w:r w:rsidRPr="00E3738C">
        <w:t>, MRCP (</w:t>
      </w:r>
      <w:r>
        <w:t>UK</w:t>
      </w:r>
      <w:r w:rsidRPr="00E3738C">
        <w:t>)</w:t>
      </w:r>
      <w:r>
        <w:tab/>
      </w:r>
    </w:p>
    <w:p w14:paraId="7EB304BD" w14:textId="77777777" w:rsidR="004942B6" w:rsidRPr="009C085B" w:rsidRDefault="004942B6" w:rsidP="004942B6">
      <w:pPr>
        <w:spacing w:line="360" w:lineRule="auto"/>
        <w:jc w:val="center"/>
      </w:pPr>
      <w:r w:rsidRPr="009C085B">
        <w:t>For the degree of Doctor of Medicine, M.D.</w:t>
      </w:r>
    </w:p>
    <w:p w14:paraId="34C9D480" w14:textId="77777777" w:rsidR="004942B6" w:rsidRDefault="004942B6" w:rsidP="004942B6">
      <w:pPr>
        <w:jc w:val="center"/>
        <w:rPr>
          <w:rFonts w:cstheme="minorHAnsi"/>
          <w:color w:val="222222"/>
          <w:shd w:val="clear" w:color="auto" w:fill="FFFFFF"/>
        </w:rPr>
      </w:pPr>
      <w:r w:rsidRPr="00D95DF8">
        <w:rPr>
          <w:rFonts w:cstheme="minorHAnsi"/>
          <w:b/>
          <w:bCs/>
        </w:rPr>
        <w:t>Registration no:</w:t>
      </w:r>
      <w:r w:rsidRPr="0083339E">
        <w:rPr>
          <w:rFonts w:cstheme="minorHAnsi"/>
        </w:rPr>
        <w:t xml:space="preserve"> </w:t>
      </w:r>
      <w:r w:rsidRPr="0083339E">
        <w:rPr>
          <w:rFonts w:cstheme="minorHAnsi"/>
          <w:color w:val="222222"/>
          <w:shd w:val="clear" w:color="auto" w:fill="FFFFFF"/>
        </w:rPr>
        <w:t>220253011</w:t>
      </w:r>
    </w:p>
    <w:p w14:paraId="3DEA067F" w14:textId="77777777" w:rsidR="004942B6" w:rsidRPr="00646E65" w:rsidRDefault="004942B6" w:rsidP="004942B6">
      <w:pPr>
        <w:jc w:val="center"/>
        <w:rPr>
          <w:b/>
          <w:bCs/>
          <w:sz w:val="24"/>
          <w:szCs w:val="24"/>
        </w:rPr>
      </w:pPr>
      <w:r w:rsidRPr="00646E65">
        <w:rPr>
          <w:b/>
          <w:bCs/>
          <w:sz w:val="24"/>
          <w:szCs w:val="24"/>
        </w:rPr>
        <w:t>Project Title:</w:t>
      </w:r>
    </w:p>
    <w:p w14:paraId="5608015D" w14:textId="77777777" w:rsidR="004942B6" w:rsidRPr="009C085B" w:rsidRDefault="004942B6" w:rsidP="004942B6">
      <w:pPr>
        <w:jc w:val="center"/>
        <w:rPr>
          <w:b/>
          <w:bCs/>
          <w:sz w:val="20"/>
          <w:szCs w:val="20"/>
        </w:rPr>
      </w:pPr>
    </w:p>
    <w:p w14:paraId="23D8017C" w14:textId="197C0596" w:rsidR="004942B6" w:rsidRPr="00FA7995" w:rsidRDefault="004942B6" w:rsidP="00FA7995">
      <w:pPr>
        <w:spacing w:line="360" w:lineRule="auto"/>
        <w:jc w:val="center"/>
        <w:rPr>
          <w:color w:val="4472C4" w:themeColor="accent1"/>
          <w:sz w:val="28"/>
          <w:szCs w:val="28"/>
        </w:rPr>
      </w:pPr>
      <w:r w:rsidRPr="00F605C6">
        <w:rPr>
          <w:color w:val="4472C4" w:themeColor="accent1"/>
          <w:sz w:val="28"/>
          <w:szCs w:val="28"/>
        </w:rPr>
        <w:t>Estimating the clinical effectiveness of virtual fractional flow reserve (vFFR) and its potential impact upon the</w:t>
      </w:r>
      <w:r w:rsidR="00CE482E" w:rsidRPr="00F605C6">
        <w:rPr>
          <w:color w:val="4472C4" w:themeColor="accent1"/>
          <w:sz w:val="28"/>
          <w:szCs w:val="28"/>
        </w:rPr>
        <w:t xml:space="preserve"> quality of life</w:t>
      </w:r>
      <w:r w:rsidRPr="00F605C6">
        <w:rPr>
          <w:color w:val="4472C4" w:themeColor="accent1"/>
          <w:sz w:val="28"/>
          <w:szCs w:val="28"/>
        </w:rPr>
        <w:t xml:space="preserve"> </w:t>
      </w:r>
      <w:r w:rsidR="00CE482E" w:rsidRPr="00F605C6">
        <w:rPr>
          <w:color w:val="4472C4" w:themeColor="accent1"/>
          <w:sz w:val="28"/>
          <w:szCs w:val="28"/>
        </w:rPr>
        <w:t xml:space="preserve">and </w:t>
      </w:r>
      <w:r w:rsidRPr="00F605C6">
        <w:rPr>
          <w:color w:val="4472C4" w:themeColor="accent1"/>
          <w:sz w:val="28"/>
          <w:szCs w:val="28"/>
        </w:rPr>
        <w:t xml:space="preserve">costs of treatment </w:t>
      </w:r>
      <w:r w:rsidR="00CE482E" w:rsidRPr="00F605C6">
        <w:rPr>
          <w:color w:val="4472C4" w:themeColor="accent1"/>
          <w:sz w:val="28"/>
          <w:szCs w:val="28"/>
        </w:rPr>
        <w:t>in</w:t>
      </w:r>
      <w:r w:rsidRPr="00F605C6">
        <w:rPr>
          <w:color w:val="4472C4" w:themeColor="accent1"/>
          <w:sz w:val="28"/>
          <w:szCs w:val="28"/>
        </w:rPr>
        <w:t xml:space="preserve"> coronary artery disease</w:t>
      </w:r>
    </w:p>
    <w:p w14:paraId="30BDC3F2" w14:textId="77777777" w:rsidR="004942B6" w:rsidRDefault="004942B6" w:rsidP="004942B6">
      <w:pPr>
        <w:rPr>
          <w:b/>
          <w:bCs/>
        </w:rPr>
      </w:pPr>
      <w:r w:rsidRPr="009C085B">
        <w:rPr>
          <w:b/>
          <w:bCs/>
        </w:rPr>
        <w:t xml:space="preserve">Name of Supervisor: Professor Julian Gunn </w:t>
      </w:r>
      <w:r w:rsidRPr="009C085B">
        <w:rPr>
          <w:b/>
          <w:bCs/>
        </w:rPr>
        <w:tab/>
      </w:r>
      <w:r w:rsidRPr="009C085B">
        <w:rPr>
          <w:b/>
          <w:bCs/>
        </w:rPr>
        <w:tab/>
        <w:t xml:space="preserve"> </w:t>
      </w:r>
    </w:p>
    <w:p w14:paraId="63AB599D" w14:textId="56DF4DC4" w:rsidR="004942B6" w:rsidRPr="00F14C4D" w:rsidRDefault="004942B6" w:rsidP="00F14C4D">
      <w:pPr>
        <w:rPr>
          <w:b/>
          <w:bCs/>
        </w:rPr>
      </w:pPr>
      <w:r w:rsidRPr="009C085B">
        <w:rPr>
          <w:b/>
          <w:bCs/>
        </w:rPr>
        <w:t>Name of Co-Supervisor: Dr Paul Morris</w:t>
      </w:r>
      <w:r w:rsidRPr="009C085B">
        <w:tab/>
      </w:r>
      <w:r w:rsidR="00FA7995">
        <w:t xml:space="preserve">             </w:t>
      </w:r>
      <w:r w:rsidRPr="009C085B">
        <w:rPr>
          <w:b/>
          <w:bCs/>
        </w:rPr>
        <w:t>Date:</w:t>
      </w:r>
      <w:r w:rsidRPr="009C085B">
        <w:t xml:space="preserve"> </w:t>
      </w:r>
      <w:r w:rsidR="002D4EFE">
        <w:t>4</w:t>
      </w:r>
      <w:r w:rsidR="002D4EFE" w:rsidRPr="002D4EFE">
        <w:rPr>
          <w:vertAlign w:val="superscript"/>
        </w:rPr>
        <w:t>th</w:t>
      </w:r>
      <w:r w:rsidR="002D4EFE">
        <w:t xml:space="preserve"> June 2025</w:t>
      </w:r>
    </w:p>
    <w:p w14:paraId="3F99CAC8" w14:textId="2DA6A83F" w:rsidR="004942B6" w:rsidRPr="00536A6A" w:rsidRDefault="004942B6" w:rsidP="004942B6">
      <w:pPr>
        <w:ind w:right="-334"/>
      </w:pPr>
    </w:p>
    <w:p w14:paraId="0A051FF8" w14:textId="77777777" w:rsidR="004942B6" w:rsidRPr="009C085B" w:rsidRDefault="004942B6" w:rsidP="004942B6">
      <w:pPr>
        <w:ind w:right="-334"/>
        <w:jc w:val="center"/>
        <w:rPr>
          <w:b/>
          <w:sz w:val="20"/>
          <w:szCs w:val="20"/>
        </w:rPr>
      </w:pPr>
      <w:r w:rsidRPr="009C085B">
        <w:rPr>
          <w:b/>
          <w:sz w:val="20"/>
          <w:szCs w:val="20"/>
        </w:rPr>
        <w:t>Statement of Probity</w:t>
      </w:r>
    </w:p>
    <w:p w14:paraId="01A8213F" w14:textId="77777777" w:rsidR="004942B6" w:rsidRPr="009C085B" w:rsidRDefault="004942B6" w:rsidP="004942B6">
      <w:pPr>
        <w:ind w:right="-334"/>
        <w:jc w:val="center"/>
        <w:rPr>
          <w:b/>
          <w:sz w:val="20"/>
          <w:szCs w:val="20"/>
        </w:rPr>
      </w:pPr>
    </w:p>
    <w:p w14:paraId="361C486F" w14:textId="77777777" w:rsidR="001D0A39" w:rsidRDefault="004942B6" w:rsidP="004942B6">
      <w:pPr>
        <w:jc w:val="both"/>
        <w:rPr>
          <w:sz w:val="20"/>
          <w:szCs w:val="20"/>
        </w:rPr>
      </w:pPr>
      <w:r w:rsidRPr="009C085B">
        <w:rPr>
          <w:sz w:val="20"/>
          <w:szCs w:val="20"/>
        </w:rPr>
        <w:t xml:space="preserve">I confirm that I </w:t>
      </w:r>
      <w:r>
        <w:rPr>
          <w:sz w:val="20"/>
          <w:szCs w:val="20"/>
        </w:rPr>
        <w:t>have</w:t>
      </w:r>
      <w:r w:rsidRPr="009C085B">
        <w:rPr>
          <w:sz w:val="20"/>
          <w:szCs w:val="20"/>
        </w:rPr>
        <w:t xml:space="preserve"> abide</w:t>
      </w:r>
      <w:r>
        <w:rPr>
          <w:sz w:val="20"/>
          <w:szCs w:val="20"/>
        </w:rPr>
        <w:t>d</w:t>
      </w:r>
      <w:r w:rsidRPr="009C085B">
        <w:rPr>
          <w:sz w:val="20"/>
          <w:szCs w:val="20"/>
        </w:rPr>
        <w:t xml:space="preserve"> by the University of Sheffield’s regulations on plagiarism and that all written work </w:t>
      </w:r>
      <w:r>
        <w:rPr>
          <w:sz w:val="20"/>
          <w:szCs w:val="20"/>
        </w:rPr>
        <w:t>is</w:t>
      </w:r>
      <w:r w:rsidRPr="009C085B">
        <w:rPr>
          <w:sz w:val="20"/>
          <w:szCs w:val="20"/>
        </w:rPr>
        <w:t xml:space="preserve"> my own and </w:t>
      </w:r>
      <w:r>
        <w:rPr>
          <w:sz w:val="20"/>
          <w:szCs w:val="20"/>
        </w:rPr>
        <w:t xml:space="preserve">has not </w:t>
      </w:r>
      <w:r w:rsidRPr="009C085B">
        <w:rPr>
          <w:sz w:val="20"/>
          <w:szCs w:val="20"/>
        </w:rPr>
        <w:t xml:space="preserve">been PLAGIARISED from other paper-based or electronic sources.  Where used, material gathered from other sources </w:t>
      </w:r>
      <w:r>
        <w:rPr>
          <w:sz w:val="20"/>
          <w:szCs w:val="20"/>
        </w:rPr>
        <w:t xml:space="preserve">has been </w:t>
      </w:r>
      <w:r w:rsidRPr="009C085B">
        <w:rPr>
          <w:sz w:val="20"/>
          <w:szCs w:val="20"/>
        </w:rPr>
        <w:t>clearly cited in the text.</w:t>
      </w:r>
    </w:p>
    <w:p w14:paraId="4A49A286" w14:textId="4E7B2E03" w:rsidR="004942B6" w:rsidRPr="009C085B" w:rsidRDefault="004942B6" w:rsidP="004942B6">
      <w:pPr>
        <w:jc w:val="both"/>
        <w:rPr>
          <w:sz w:val="20"/>
          <w:szCs w:val="20"/>
        </w:rPr>
      </w:pPr>
      <w:r w:rsidRPr="008F6364">
        <w:rPr>
          <w:b/>
          <w:bCs/>
          <w:sz w:val="20"/>
          <w:szCs w:val="20"/>
        </w:rPr>
        <w:t>Date:</w:t>
      </w:r>
      <w:r w:rsidRPr="009C085B">
        <w:rPr>
          <w:sz w:val="20"/>
          <w:szCs w:val="20"/>
        </w:rPr>
        <w:t xml:space="preserve"> </w:t>
      </w:r>
      <w:r w:rsidR="002D4EFE">
        <w:rPr>
          <w:sz w:val="20"/>
          <w:szCs w:val="20"/>
        </w:rPr>
        <w:t>4</w:t>
      </w:r>
      <w:r w:rsidR="002D4EFE" w:rsidRPr="002D4EFE">
        <w:rPr>
          <w:sz w:val="20"/>
          <w:szCs w:val="20"/>
          <w:vertAlign w:val="superscript"/>
        </w:rPr>
        <w:t>th</w:t>
      </w:r>
      <w:r w:rsidR="002D4EFE">
        <w:rPr>
          <w:sz w:val="20"/>
          <w:szCs w:val="20"/>
        </w:rPr>
        <w:t xml:space="preserve"> June 2025</w:t>
      </w:r>
    </w:p>
    <w:p w14:paraId="05ECCBC8" w14:textId="77777777" w:rsidR="004942B6" w:rsidRPr="00536A6A" w:rsidRDefault="004942B6" w:rsidP="004942B6">
      <w:pPr>
        <w:rPr>
          <w:sz w:val="20"/>
          <w:szCs w:val="20"/>
        </w:rPr>
      </w:pPr>
      <w:r w:rsidRPr="009C085B">
        <w:rPr>
          <w:sz w:val="20"/>
          <w:szCs w:val="20"/>
        </w:rPr>
        <w:t xml:space="preserve">Name (Print):  </w:t>
      </w:r>
      <w:r>
        <w:rPr>
          <w:sz w:val="20"/>
          <w:szCs w:val="20"/>
        </w:rPr>
        <w:t>Mohsin Amin Gondal</w:t>
      </w:r>
      <w:r>
        <w:br w:type="page"/>
      </w:r>
    </w:p>
    <w:p w14:paraId="68527266" w14:textId="77777777" w:rsidR="004942B6" w:rsidRPr="00F605C6" w:rsidRDefault="004942B6" w:rsidP="004942B6">
      <w:pPr>
        <w:pStyle w:val="Heading1"/>
        <w:rPr>
          <w:rFonts w:ascii="Arial" w:hAnsi="Arial" w:cs="Arial"/>
          <w:b/>
          <w:bCs/>
          <w:color w:val="4472C4" w:themeColor="accent1"/>
        </w:rPr>
      </w:pPr>
      <w:bookmarkStart w:id="1" w:name="_Toc171203834"/>
      <w:r w:rsidRPr="00F605C6">
        <w:rPr>
          <w:rFonts w:ascii="Arial" w:hAnsi="Arial" w:cs="Arial"/>
          <w:b/>
          <w:bCs/>
          <w:color w:val="4472C4" w:themeColor="accent1"/>
        </w:rPr>
        <w:lastRenderedPageBreak/>
        <w:t>Abstract</w:t>
      </w:r>
      <w:bookmarkEnd w:id="1"/>
    </w:p>
    <w:p w14:paraId="3DFB9C7B" w14:textId="77777777" w:rsidR="004942B6" w:rsidRPr="00963046" w:rsidRDefault="004942B6" w:rsidP="004942B6"/>
    <w:p w14:paraId="287ED4DD" w14:textId="77777777" w:rsidR="00DB11E1" w:rsidRPr="00DB11E1" w:rsidRDefault="00DB11E1" w:rsidP="00DB11E1">
      <w:pPr>
        <w:spacing w:after="0" w:line="360" w:lineRule="auto"/>
        <w:jc w:val="both"/>
        <w:rPr>
          <w:rFonts w:ascii="Arial" w:eastAsia="Times New Roman" w:hAnsi="Arial" w:cs="Arial"/>
          <w:color w:val="0E101A"/>
          <w:sz w:val="24"/>
          <w:szCs w:val="24"/>
          <w:lang w:eastAsia="en-GB"/>
          <w14:ligatures w14:val="none"/>
        </w:rPr>
      </w:pPr>
      <w:r w:rsidRPr="00DB11E1">
        <w:rPr>
          <w:rFonts w:ascii="Arial" w:eastAsia="Times New Roman" w:hAnsi="Arial" w:cs="Arial"/>
          <w:b/>
          <w:bCs/>
          <w:color w:val="0E101A"/>
          <w:sz w:val="24"/>
          <w:szCs w:val="24"/>
          <w:lang w:eastAsia="en-GB"/>
          <w14:ligatures w14:val="none"/>
        </w:rPr>
        <w:t>Background:</w:t>
      </w:r>
    </w:p>
    <w:p w14:paraId="24B8EC04" w14:textId="78BCE1F4" w:rsidR="00DB11E1" w:rsidRPr="00DB11E1" w:rsidRDefault="00DB11E1" w:rsidP="00DB11E1">
      <w:pPr>
        <w:spacing w:after="0" w:line="360" w:lineRule="auto"/>
        <w:jc w:val="both"/>
        <w:rPr>
          <w:rFonts w:ascii="Arial" w:eastAsia="Times New Roman" w:hAnsi="Arial" w:cs="Arial"/>
          <w:color w:val="0E101A"/>
          <w:sz w:val="24"/>
          <w:szCs w:val="24"/>
          <w:lang w:eastAsia="en-GB"/>
          <w14:ligatures w14:val="none"/>
        </w:rPr>
      </w:pPr>
      <w:r w:rsidRPr="00DB11E1">
        <w:rPr>
          <w:rFonts w:ascii="Arial" w:eastAsia="Times New Roman" w:hAnsi="Arial" w:cs="Arial"/>
          <w:color w:val="0E101A"/>
          <w:sz w:val="24"/>
          <w:szCs w:val="24"/>
          <w:lang w:eastAsia="en-GB"/>
          <w14:ligatures w14:val="none"/>
        </w:rPr>
        <w:t>Invasive (measured) fractional flow reserve (mFFR) is a pivotal tool for evaluating and directing management strategies for moderate</w:t>
      </w:r>
      <w:r w:rsidR="008C38D5">
        <w:rPr>
          <w:rFonts w:ascii="Arial" w:eastAsia="Times New Roman" w:hAnsi="Arial" w:cs="Arial"/>
          <w:color w:val="0E101A"/>
          <w:sz w:val="24"/>
          <w:szCs w:val="24"/>
          <w:lang w:eastAsia="en-GB"/>
          <w14:ligatures w14:val="none"/>
        </w:rPr>
        <w:t xml:space="preserve"> coronary artery disease (CAD)</w:t>
      </w:r>
      <w:r w:rsidRPr="00DB11E1">
        <w:rPr>
          <w:rFonts w:ascii="Arial" w:eastAsia="Times New Roman" w:hAnsi="Arial" w:cs="Arial"/>
          <w:color w:val="0E101A"/>
          <w:sz w:val="24"/>
          <w:szCs w:val="24"/>
          <w:lang w:eastAsia="en-GB"/>
          <w14:ligatures w14:val="none"/>
        </w:rPr>
        <w:t xml:space="preserve">; however, its utilisation in clinical practice is limited due to its invasive nature, expense, and time constraints. </w:t>
      </w:r>
      <w:r w:rsidR="00784FAC">
        <w:rPr>
          <w:rFonts w:ascii="Arial" w:eastAsia="Times New Roman" w:hAnsi="Arial" w:cs="Arial"/>
          <w:color w:val="0E101A"/>
          <w:sz w:val="24"/>
          <w:szCs w:val="24"/>
          <w:lang w:eastAsia="en-GB"/>
          <w14:ligatures w14:val="none"/>
        </w:rPr>
        <w:t>V</w:t>
      </w:r>
      <w:r w:rsidRPr="00DB11E1">
        <w:rPr>
          <w:rFonts w:ascii="Arial" w:eastAsia="Times New Roman" w:hAnsi="Arial" w:cs="Arial"/>
          <w:color w:val="0E101A"/>
          <w:sz w:val="24"/>
          <w:szCs w:val="24"/>
          <w:lang w:eastAsia="en-GB"/>
          <w14:ligatures w14:val="none"/>
        </w:rPr>
        <w:t xml:space="preserve">irtual FFR (vFFR) </w:t>
      </w:r>
      <w:r w:rsidR="00784FAC">
        <w:rPr>
          <w:rFonts w:ascii="Arial" w:eastAsia="Times New Roman" w:hAnsi="Arial" w:cs="Arial"/>
          <w:color w:val="0E101A"/>
          <w:sz w:val="24"/>
          <w:szCs w:val="24"/>
          <w:lang w:eastAsia="en-GB"/>
          <w14:ligatures w14:val="none"/>
        </w:rPr>
        <w:t>computed from</w:t>
      </w:r>
      <w:r w:rsidRPr="00DB11E1">
        <w:rPr>
          <w:rFonts w:ascii="Arial" w:eastAsia="Times New Roman" w:hAnsi="Arial" w:cs="Arial"/>
          <w:color w:val="0E101A"/>
          <w:sz w:val="24"/>
          <w:szCs w:val="24"/>
          <w:lang w:eastAsia="en-GB"/>
          <w14:ligatures w14:val="none"/>
        </w:rPr>
        <w:t xml:space="preserve"> the </w:t>
      </w:r>
      <w:r w:rsidR="00784FAC">
        <w:rPr>
          <w:rFonts w:ascii="Arial" w:eastAsia="Times New Roman" w:hAnsi="Arial" w:cs="Arial"/>
          <w:color w:val="0E101A"/>
          <w:sz w:val="24"/>
          <w:szCs w:val="24"/>
          <w:lang w:eastAsia="en-GB"/>
          <w14:ligatures w14:val="none"/>
        </w:rPr>
        <w:t>cor</w:t>
      </w:r>
      <w:r w:rsidR="00AF0934">
        <w:rPr>
          <w:rFonts w:ascii="Arial" w:eastAsia="Times New Roman" w:hAnsi="Arial" w:cs="Arial"/>
          <w:color w:val="0E101A"/>
          <w:sz w:val="24"/>
          <w:szCs w:val="24"/>
          <w:lang w:eastAsia="en-GB"/>
          <w14:ligatures w14:val="none"/>
        </w:rPr>
        <w:t xml:space="preserve">onary </w:t>
      </w:r>
      <w:r w:rsidRPr="00DB11E1">
        <w:rPr>
          <w:rFonts w:ascii="Arial" w:eastAsia="Times New Roman" w:hAnsi="Arial" w:cs="Arial"/>
          <w:color w:val="0E101A"/>
          <w:sz w:val="24"/>
          <w:szCs w:val="24"/>
          <w:lang w:eastAsia="en-GB"/>
          <w14:ligatures w14:val="none"/>
        </w:rPr>
        <w:t>angiogram</w:t>
      </w:r>
      <w:r w:rsidR="00AF0934">
        <w:rPr>
          <w:rFonts w:ascii="Arial" w:eastAsia="Times New Roman" w:hAnsi="Arial" w:cs="Arial"/>
          <w:color w:val="0E101A"/>
          <w:sz w:val="24"/>
          <w:szCs w:val="24"/>
          <w:lang w:eastAsia="en-GB"/>
          <w14:ligatures w14:val="none"/>
        </w:rPr>
        <w:t xml:space="preserve"> (CAG)</w:t>
      </w:r>
      <w:r w:rsidRPr="00DB11E1">
        <w:rPr>
          <w:rFonts w:ascii="Arial" w:eastAsia="Times New Roman" w:hAnsi="Arial" w:cs="Arial"/>
          <w:color w:val="0E101A"/>
          <w:sz w:val="24"/>
          <w:szCs w:val="24"/>
          <w:lang w:eastAsia="en-GB"/>
          <w14:ligatures w14:val="none"/>
        </w:rPr>
        <w:t xml:space="preserve"> can be performed without needing a pressure wire or hyperaemia induction. </w:t>
      </w:r>
      <w:r w:rsidR="00E37D7C" w:rsidRPr="00E37D7C">
        <w:rPr>
          <w:rFonts w:ascii="Arial" w:eastAsia="Times New Roman" w:hAnsi="Arial" w:cs="Arial"/>
          <w:color w:val="0E101A"/>
          <w:sz w:val="24"/>
          <w:szCs w:val="24"/>
          <w:lang w:eastAsia="en-GB"/>
          <w14:ligatures w14:val="none"/>
        </w:rPr>
        <w:t>Whil</w:t>
      </w:r>
      <w:r w:rsidR="00AD2FFD">
        <w:rPr>
          <w:rFonts w:ascii="Arial" w:eastAsia="Times New Roman" w:hAnsi="Arial" w:cs="Arial"/>
          <w:color w:val="0E101A"/>
          <w:sz w:val="24"/>
          <w:szCs w:val="24"/>
          <w:lang w:eastAsia="en-GB"/>
          <w14:ligatures w14:val="none"/>
        </w:rPr>
        <w:t>st</w:t>
      </w:r>
      <w:r w:rsidR="00E37D7C" w:rsidRPr="00E37D7C">
        <w:rPr>
          <w:rFonts w:ascii="Arial" w:eastAsia="Times New Roman" w:hAnsi="Arial" w:cs="Arial"/>
          <w:color w:val="0E101A"/>
          <w:sz w:val="24"/>
          <w:szCs w:val="24"/>
          <w:lang w:eastAsia="en-GB"/>
          <w14:ligatures w14:val="none"/>
        </w:rPr>
        <w:t xml:space="preserve"> vFFR is </w:t>
      </w:r>
      <w:r w:rsidR="008C38D5">
        <w:rPr>
          <w:rFonts w:ascii="Arial" w:eastAsia="Times New Roman" w:hAnsi="Arial" w:cs="Arial"/>
          <w:color w:val="0E101A"/>
          <w:sz w:val="24"/>
          <w:szCs w:val="24"/>
          <w:lang w:eastAsia="en-GB"/>
          <w14:ligatures w14:val="none"/>
        </w:rPr>
        <w:t xml:space="preserve">gaining </w:t>
      </w:r>
      <w:r w:rsidR="00E37D7C" w:rsidRPr="00E37D7C">
        <w:rPr>
          <w:rFonts w:ascii="Arial" w:eastAsia="Times New Roman" w:hAnsi="Arial" w:cs="Arial"/>
          <w:color w:val="0E101A"/>
          <w:sz w:val="24"/>
          <w:szCs w:val="24"/>
          <w:lang w:eastAsia="en-GB"/>
          <w14:ligatures w14:val="none"/>
        </w:rPr>
        <w:t>clinical effectiveness data, little is known about its cost-effectiveness and implications for quality of life (QOL).</w:t>
      </w:r>
      <w:r w:rsidRPr="00DB11E1">
        <w:rPr>
          <w:rFonts w:ascii="Arial" w:eastAsia="Times New Roman" w:hAnsi="Arial" w:cs="Arial"/>
          <w:color w:val="0E101A"/>
          <w:sz w:val="24"/>
          <w:szCs w:val="24"/>
          <w:lang w:eastAsia="en-GB"/>
          <w14:ligatures w14:val="none"/>
        </w:rPr>
        <w:t xml:space="preserve"> </w:t>
      </w:r>
      <w:r w:rsidR="00AD2FFD">
        <w:rPr>
          <w:rFonts w:ascii="Arial" w:eastAsia="Times New Roman" w:hAnsi="Arial" w:cs="Arial"/>
          <w:color w:val="0E101A"/>
          <w:sz w:val="24"/>
          <w:szCs w:val="24"/>
          <w:lang w:eastAsia="en-GB"/>
          <w14:ligatures w14:val="none"/>
        </w:rPr>
        <w:t xml:space="preserve">In the VIRTU-4 study, patients with acute and chronic coronary syndromes underwent </w:t>
      </w:r>
      <w:r w:rsidR="00BD6CBC">
        <w:rPr>
          <w:rFonts w:ascii="Arial" w:eastAsia="Times New Roman" w:hAnsi="Arial" w:cs="Arial"/>
          <w:color w:val="0E101A"/>
          <w:sz w:val="24"/>
          <w:szCs w:val="24"/>
          <w:lang w:eastAsia="en-GB"/>
          <w14:ligatures w14:val="none"/>
        </w:rPr>
        <w:t>CAG</w:t>
      </w:r>
      <w:r w:rsidR="00AD2FFD">
        <w:rPr>
          <w:rFonts w:ascii="Arial" w:eastAsia="Times New Roman" w:hAnsi="Arial" w:cs="Arial"/>
          <w:color w:val="0E101A"/>
          <w:sz w:val="24"/>
          <w:szCs w:val="24"/>
          <w:lang w:eastAsia="en-GB"/>
          <w14:ligatures w14:val="none"/>
        </w:rPr>
        <w:t xml:space="preserve"> and vFFR assessment. Their management plan was made on the basis of the </w:t>
      </w:r>
      <w:r w:rsidR="00BD6CBC">
        <w:rPr>
          <w:rFonts w:ascii="Arial" w:eastAsia="Times New Roman" w:hAnsi="Arial" w:cs="Arial"/>
          <w:color w:val="0E101A"/>
          <w:sz w:val="24"/>
          <w:szCs w:val="24"/>
          <w:lang w:eastAsia="en-GB"/>
          <w14:ligatures w14:val="none"/>
        </w:rPr>
        <w:t>CAG</w:t>
      </w:r>
      <w:r w:rsidR="00AD2FFD">
        <w:rPr>
          <w:rFonts w:ascii="Arial" w:eastAsia="Times New Roman" w:hAnsi="Arial" w:cs="Arial"/>
          <w:color w:val="0E101A"/>
          <w:sz w:val="24"/>
          <w:szCs w:val="24"/>
          <w:lang w:eastAsia="en-GB"/>
          <w14:ligatures w14:val="none"/>
        </w:rPr>
        <w:t xml:space="preserve">, and </w:t>
      </w:r>
      <w:r w:rsidR="00941FF0">
        <w:rPr>
          <w:rFonts w:ascii="Arial" w:eastAsia="Times New Roman" w:hAnsi="Arial" w:cs="Arial"/>
          <w:color w:val="0E101A"/>
          <w:sz w:val="24"/>
          <w:szCs w:val="24"/>
          <w:lang w:eastAsia="en-GB"/>
          <w14:ligatures w14:val="none"/>
        </w:rPr>
        <w:t xml:space="preserve">any </w:t>
      </w:r>
      <w:r w:rsidR="00AD2FFD">
        <w:rPr>
          <w:rFonts w:ascii="Arial" w:eastAsia="Times New Roman" w:hAnsi="Arial" w:cs="Arial"/>
          <w:color w:val="0E101A"/>
          <w:sz w:val="24"/>
          <w:szCs w:val="24"/>
          <w:lang w:eastAsia="en-GB"/>
          <w14:ligatures w14:val="none"/>
        </w:rPr>
        <w:t xml:space="preserve">potential </w:t>
      </w:r>
      <w:r w:rsidR="00941FF0">
        <w:rPr>
          <w:rFonts w:ascii="Arial" w:eastAsia="Times New Roman" w:hAnsi="Arial" w:cs="Arial"/>
          <w:color w:val="0E101A"/>
          <w:sz w:val="24"/>
          <w:szCs w:val="24"/>
          <w:lang w:eastAsia="en-GB"/>
          <w14:ligatures w14:val="none"/>
        </w:rPr>
        <w:t xml:space="preserve">(virtual) </w:t>
      </w:r>
      <w:r w:rsidR="00AD2FFD">
        <w:rPr>
          <w:rFonts w:ascii="Arial" w:eastAsia="Times New Roman" w:hAnsi="Arial" w:cs="Arial"/>
          <w:color w:val="0E101A"/>
          <w:sz w:val="24"/>
          <w:szCs w:val="24"/>
          <w:lang w:eastAsia="en-GB"/>
          <w14:ligatures w14:val="none"/>
        </w:rPr>
        <w:t>change</w:t>
      </w:r>
      <w:r w:rsidR="00941FF0">
        <w:rPr>
          <w:rFonts w:ascii="Arial" w:eastAsia="Times New Roman" w:hAnsi="Arial" w:cs="Arial"/>
          <w:color w:val="0E101A"/>
          <w:sz w:val="24"/>
          <w:szCs w:val="24"/>
          <w:lang w:eastAsia="en-GB"/>
          <w14:ligatures w14:val="none"/>
        </w:rPr>
        <w:t xml:space="preserve"> after vFFR was documented.</w:t>
      </w:r>
      <w:r w:rsidR="00AD2FFD">
        <w:rPr>
          <w:rFonts w:ascii="Arial" w:eastAsia="Times New Roman" w:hAnsi="Arial" w:cs="Arial"/>
          <w:color w:val="0E101A"/>
          <w:sz w:val="24"/>
          <w:szCs w:val="24"/>
          <w:lang w:eastAsia="en-GB"/>
          <w14:ligatures w14:val="none"/>
        </w:rPr>
        <w:t xml:space="preserve"> </w:t>
      </w:r>
    </w:p>
    <w:p w14:paraId="6543251A" w14:textId="77777777" w:rsidR="00DB11E1" w:rsidRPr="00DB11E1" w:rsidRDefault="00DB11E1" w:rsidP="00DB11E1">
      <w:pPr>
        <w:spacing w:after="0" w:line="360" w:lineRule="auto"/>
        <w:jc w:val="both"/>
        <w:rPr>
          <w:rFonts w:ascii="Arial" w:eastAsia="Times New Roman" w:hAnsi="Arial" w:cs="Arial"/>
          <w:color w:val="0E101A"/>
          <w:sz w:val="24"/>
          <w:szCs w:val="24"/>
          <w:lang w:eastAsia="en-GB"/>
          <w14:ligatures w14:val="none"/>
        </w:rPr>
      </w:pPr>
      <w:r w:rsidRPr="00DB11E1">
        <w:rPr>
          <w:rFonts w:ascii="Arial" w:eastAsia="Times New Roman" w:hAnsi="Arial" w:cs="Arial"/>
          <w:b/>
          <w:bCs/>
          <w:color w:val="0E101A"/>
          <w:sz w:val="24"/>
          <w:szCs w:val="24"/>
          <w:lang w:eastAsia="en-GB"/>
          <w14:ligatures w14:val="none"/>
        </w:rPr>
        <w:t>Hypothesis:</w:t>
      </w:r>
    </w:p>
    <w:p w14:paraId="5BF33381" w14:textId="7E0E7B99" w:rsidR="00DB11E1" w:rsidRPr="00DB11E1" w:rsidRDefault="00DB11E1" w:rsidP="00DB11E1">
      <w:pPr>
        <w:spacing w:after="0" w:line="360" w:lineRule="auto"/>
        <w:jc w:val="both"/>
        <w:rPr>
          <w:rFonts w:ascii="Arial" w:eastAsia="Times New Roman" w:hAnsi="Arial" w:cs="Arial"/>
          <w:color w:val="0E101A"/>
          <w:sz w:val="24"/>
          <w:szCs w:val="24"/>
          <w:lang w:eastAsia="en-GB"/>
          <w14:ligatures w14:val="none"/>
        </w:rPr>
      </w:pPr>
      <w:r w:rsidRPr="00DB11E1">
        <w:rPr>
          <w:rFonts w:ascii="Arial" w:eastAsia="Times New Roman" w:hAnsi="Arial" w:cs="Arial"/>
          <w:color w:val="0E101A"/>
          <w:sz w:val="24"/>
          <w:szCs w:val="24"/>
          <w:lang w:eastAsia="en-GB"/>
          <w14:ligatures w14:val="none"/>
        </w:rPr>
        <w:t>Management plans based upon vFFR will lead to important potential changes in cost-effectiveness and QOL compared to t</w:t>
      </w:r>
      <w:r w:rsidR="00BD6CBC">
        <w:rPr>
          <w:rFonts w:ascii="Arial" w:eastAsia="Times New Roman" w:hAnsi="Arial" w:cs="Arial"/>
          <w:color w:val="0E101A"/>
          <w:sz w:val="24"/>
          <w:szCs w:val="24"/>
          <w:lang w:eastAsia="en-GB"/>
          <w14:ligatures w14:val="none"/>
        </w:rPr>
        <w:t>hose</w:t>
      </w:r>
      <w:r w:rsidRPr="00DB11E1">
        <w:rPr>
          <w:rFonts w:ascii="Arial" w:eastAsia="Times New Roman" w:hAnsi="Arial" w:cs="Arial"/>
          <w:color w:val="0E101A"/>
          <w:sz w:val="24"/>
          <w:szCs w:val="24"/>
          <w:lang w:eastAsia="en-GB"/>
          <w14:ligatures w14:val="none"/>
        </w:rPr>
        <w:t xml:space="preserve"> based </w:t>
      </w:r>
      <w:r w:rsidR="00BD6CBC">
        <w:rPr>
          <w:rFonts w:ascii="Arial" w:eastAsia="Times New Roman" w:hAnsi="Arial" w:cs="Arial"/>
          <w:color w:val="0E101A"/>
          <w:sz w:val="24"/>
          <w:szCs w:val="24"/>
          <w:lang w:eastAsia="en-GB"/>
          <w14:ligatures w14:val="none"/>
        </w:rPr>
        <w:t>up</w:t>
      </w:r>
      <w:r w:rsidRPr="00DB11E1">
        <w:rPr>
          <w:rFonts w:ascii="Arial" w:eastAsia="Times New Roman" w:hAnsi="Arial" w:cs="Arial"/>
          <w:color w:val="0E101A"/>
          <w:sz w:val="24"/>
          <w:szCs w:val="24"/>
          <w:lang w:eastAsia="en-GB"/>
          <w14:ligatures w14:val="none"/>
        </w:rPr>
        <w:t xml:space="preserve">on coronary angiograms </w:t>
      </w:r>
      <w:r w:rsidR="00BD6CBC">
        <w:rPr>
          <w:rFonts w:ascii="Arial" w:eastAsia="Times New Roman" w:hAnsi="Arial" w:cs="Arial"/>
          <w:color w:val="0E101A"/>
          <w:sz w:val="24"/>
          <w:szCs w:val="24"/>
          <w:lang w:eastAsia="en-GB"/>
          <w14:ligatures w14:val="none"/>
        </w:rPr>
        <w:t xml:space="preserve">only </w:t>
      </w:r>
      <w:r w:rsidRPr="00DB11E1">
        <w:rPr>
          <w:rFonts w:ascii="Arial" w:eastAsia="Times New Roman" w:hAnsi="Arial" w:cs="Arial"/>
          <w:color w:val="0E101A"/>
          <w:sz w:val="24"/>
          <w:szCs w:val="24"/>
          <w:lang w:eastAsia="en-GB"/>
          <w14:ligatures w14:val="none"/>
        </w:rPr>
        <w:t>at 12 months.</w:t>
      </w:r>
    </w:p>
    <w:p w14:paraId="1C0BCCA2" w14:textId="77777777" w:rsidR="00DB11E1" w:rsidRPr="00DB11E1" w:rsidRDefault="00DB11E1" w:rsidP="00DB11E1">
      <w:pPr>
        <w:spacing w:after="0" w:line="360" w:lineRule="auto"/>
        <w:jc w:val="both"/>
        <w:rPr>
          <w:rFonts w:ascii="Arial" w:eastAsia="Times New Roman" w:hAnsi="Arial" w:cs="Arial"/>
          <w:color w:val="0E101A"/>
          <w:sz w:val="24"/>
          <w:szCs w:val="24"/>
          <w:lang w:eastAsia="en-GB"/>
          <w14:ligatures w14:val="none"/>
        </w:rPr>
      </w:pPr>
      <w:r w:rsidRPr="00DB11E1">
        <w:rPr>
          <w:rFonts w:ascii="Arial" w:eastAsia="Times New Roman" w:hAnsi="Arial" w:cs="Arial"/>
          <w:b/>
          <w:bCs/>
          <w:color w:val="0E101A"/>
          <w:sz w:val="24"/>
          <w:szCs w:val="24"/>
          <w:lang w:eastAsia="en-GB"/>
          <w14:ligatures w14:val="none"/>
        </w:rPr>
        <w:t>Methods:</w:t>
      </w:r>
    </w:p>
    <w:p w14:paraId="0BB6247E" w14:textId="14FEA9A9" w:rsidR="00DB11E1" w:rsidRPr="00DB11E1" w:rsidRDefault="00DB11E1" w:rsidP="00DB11E1">
      <w:pPr>
        <w:spacing w:after="0" w:line="360" w:lineRule="auto"/>
        <w:jc w:val="both"/>
        <w:rPr>
          <w:rFonts w:ascii="Arial" w:eastAsia="Times New Roman" w:hAnsi="Arial" w:cs="Arial"/>
          <w:color w:val="0E101A"/>
          <w:sz w:val="24"/>
          <w:szCs w:val="24"/>
          <w:lang w:eastAsia="en-GB"/>
          <w14:ligatures w14:val="none"/>
        </w:rPr>
      </w:pPr>
      <w:r w:rsidRPr="00DB11E1">
        <w:rPr>
          <w:rFonts w:ascii="Arial" w:eastAsia="Times New Roman" w:hAnsi="Arial" w:cs="Arial"/>
          <w:color w:val="0E101A"/>
          <w:sz w:val="24"/>
          <w:szCs w:val="24"/>
          <w:lang w:eastAsia="en-GB"/>
          <w14:ligatures w14:val="none"/>
        </w:rPr>
        <w:t xml:space="preserve">Patients </w:t>
      </w:r>
      <w:r w:rsidR="00BD6CBC">
        <w:rPr>
          <w:rFonts w:ascii="Arial" w:eastAsia="Times New Roman" w:hAnsi="Arial" w:cs="Arial"/>
          <w:color w:val="0E101A"/>
          <w:sz w:val="24"/>
          <w:szCs w:val="24"/>
          <w:lang w:eastAsia="en-GB"/>
          <w14:ligatures w14:val="none"/>
        </w:rPr>
        <w:t xml:space="preserve">in VIRTU-4 </w:t>
      </w:r>
      <w:r w:rsidRPr="00DB11E1">
        <w:rPr>
          <w:rFonts w:ascii="Arial" w:eastAsia="Times New Roman" w:hAnsi="Arial" w:cs="Arial"/>
          <w:color w:val="0E101A"/>
          <w:sz w:val="24"/>
          <w:szCs w:val="24"/>
          <w:lang w:eastAsia="en-GB"/>
          <w14:ligatures w14:val="none"/>
        </w:rPr>
        <w:t>were contacted at one year for clinical endpoints, including all-cause mortality, myocardial infarction, stroke, hospital re-admissions, repeat revascularisations, outpatient attendances and cardiac rehabilitation. Data on quality of life (EQ-VAS and EQ-indexed scores), NYHA and CCS classes at one-year follow-up were gathered. Total costs incurred were calculated. Patients who experienced a virtual change in management plan following vFFR disclosure</w:t>
      </w:r>
      <w:r w:rsidR="0077175A">
        <w:rPr>
          <w:rFonts w:ascii="Arial" w:eastAsia="Times New Roman" w:hAnsi="Arial" w:cs="Arial"/>
          <w:color w:val="0E101A"/>
          <w:sz w:val="24"/>
          <w:szCs w:val="24"/>
          <w:lang w:eastAsia="en-GB"/>
          <w14:ligatures w14:val="none"/>
        </w:rPr>
        <w:t xml:space="preserve"> </w:t>
      </w:r>
      <w:r w:rsidRPr="00DB11E1">
        <w:rPr>
          <w:rFonts w:ascii="Arial" w:eastAsia="Times New Roman" w:hAnsi="Arial" w:cs="Arial"/>
          <w:color w:val="0E101A"/>
          <w:sz w:val="24"/>
          <w:szCs w:val="24"/>
          <w:lang w:eastAsia="en-GB"/>
          <w14:ligatures w14:val="none"/>
        </w:rPr>
        <w:t xml:space="preserve">underwent review in two independent </w:t>
      </w:r>
      <w:r w:rsidR="00D208FB">
        <w:rPr>
          <w:rFonts w:ascii="Arial" w:eastAsia="Times New Roman" w:hAnsi="Arial" w:cs="Arial"/>
          <w:color w:val="0E101A"/>
          <w:sz w:val="24"/>
          <w:szCs w:val="24"/>
          <w:lang w:eastAsia="en-GB"/>
          <w14:ligatures w14:val="none"/>
        </w:rPr>
        <w:t xml:space="preserve">expert </w:t>
      </w:r>
      <w:r w:rsidR="00EF5EE4">
        <w:rPr>
          <w:rFonts w:ascii="Arial" w:eastAsia="Times New Roman" w:hAnsi="Arial" w:cs="Arial"/>
          <w:color w:val="0E101A"/>
          <w:sz w:val="24"/>
          <w:szCs w:val="24"/>
          <w:lang w:eastAsia="en-GB"/>
          <w14:ligatures w14:val="none"/>
        </w:rPr>
        <w:t>MDT</w:t>
      </w:r>
      <w:r w:rsidR="00D208FB">
        <w:rPr>
          <w:rFonts w:ascii="Arial" w:eastAsia="Times New Roman" w:hAnsi="Arial" w:cs="Arial"/>
          <w:color w:val="0E101A"/>
          <w:sz w:val="24"/>
          <w:szCs w:val="24"/>
          <w:lang w:eastAsia="en-GB"/>
          <w14:ligatures w14:val="none"/>
        </w:rPr>
        <w:t>s</w:t>
      </w:r>
      <w:r w:rsidRPr="00DB11E1">
        <w:rPr>
          <w:rFonts w:ascii="Arial" w:eastAsia="Times New Roman" w:hAnsi="Arial" w:cs="Arial"/>
          <w:color w:val="0E101A"/>
          <w:sz w:val="24"/>
          <w:szCs w:val="24"/>
          <w:lang w:eastAsia="en-GB"/>
          <w14:ligatures w14:val="none"/>
        </w:rPr>
        <w:t xml:space="preserve"> to predict </w:t>
      </w:r>
      <w:r w:rsidR="00433B75">
        <w:rPr>
          <w:rFonts w:ascii="Arial" w:eastAsia="Times New Roman" w:hAnsi="Arial" w:cs="Arial"/>
          <w:color w:val="0E101A"/>
          <w:sz w:val="24"/>
          <w:szCs w:val="24"/>
          <w:lang w:eastAsia="en-GB"/>
          <w14:ligatures w14:val="none"/>
        </w:rPr>
        <w:t xml:space="preserve">virtual </w:t>
      </w:r>
      <w:r w:rsidRPr="00DB11E1">
        <w:rPr>
          <w:rFonts w:ascii="Arial" w:eastAsia="Times New Roman" w:hAnsi="Arial" w:cs="Arial"/>
          <w:color w:val="0E101A"/>
          <w:sz w:val="24"/>
          <w:szCs w:val="24"/>
          <w:lang w:eastAsia="en-GB"/>
          <w14:ligatures w14:val="none"/>
        </w:rPr>
        <w:t>changes in the actual</w:t>
      </w:r>
      <w:r w:rsidR="00433B75">
        <w:rPr>
          <w:rFonts w:ascii="Arial" w:eastAsia="Times New Roman" w:hAnsi="Arial" w:cs="Arial"/>
          <w:color w:val="0E101A"/>
          <w:sz w:val="24"/>
          <w:szCs w:val="24"/>
          <w:lang w:eastAsia="en-GB"/>
          <w14:ligatures w14:val="none"/>
        </w:rPr>
        <w:t xml:space="preserve"> </w:t>
      </w:r>
      <w:r w:rsidRPr="00DB11E1">
        <w:rPr>
          <w:rFonts w:ascii="Arial" w:eastAsia="Times New Roman" w:hAnsi="Arial" w:cs="Arial"/>
          <w:color w:val="0E101A"/>
          <w:sz w:val="24"/>
          <w:szCs w:val="24"/>
          <w:lang w:eastAsia="en-GB"/>
          <w14:ligatures w14:val="none"/>
        </w:rPr>
        <w:t>outcomes</w:t>
      </w:r>
      <w:r w:rsidR="00D208FB">
        <w:rPr>
          <w:rFonts w:ascii="Arial" w:eastAsia="Times New Roman" w:hAnsi="Arial" w:cs="Arial"/>
          <w:color w:val="0E101A"/>
          <w:sz w:val="24"/>
          <w:szCs w:val="24"/>
          <w:lang w:eastAsia="en-GB"/>
          <w14:ligatures w14:val="none"/>
        </w:rPr>
        <w:t xml:space="preserve"> if vFFR-based plans had been followed</w:t>
      </w:r>
      <w:r w:rsidR="001707F2">
        <w:rPr>
          <w:rFonts w:ascii="Arial" w:eastAsia="Times New Roman" w:hAnsi="Arial" w:cs="Arial"/>
          <w:color w:val="0E101A"/>
          <w:sz w:val="24"/>
          <w:szCs w:val="24"/>
          <w:lang w:eastAsia="en-GB"/>
          <w14:ligatures w14:val="none"/>
        </w:rPr>
        <w:t xml:space="preserve">. </w:t>
      </w:r>
      <w:r w:rsidR="00D208FB" w:rsidRPr="00D208FB">
        <w:rPr>
          <w:rFonts w:ascii="Arial" w:eastAsia="Times New Roman" w:hAnsi="Arial" w:cs="Arial"/>
          <w:color w:val="0E101A"/>
          <w:sz w:val="24"/>
          <w:szCs w:val="24"/>
          <w:lang w:eastAsia="en-GB"/>
          <w14:ligatures w14:val="none"/>
        </w:rPr>
        <w:t xml:space="preserve">The clinical and economic implications </w:t>
      </w:r>
      <w:r w:rsidR="00BD6CBC">
        <w:rPr>
          <w:rFonts w:ascii="Arial" w:eastAsia="Times New Roman" w:hAnsi="Arial" w:cs="Arial"/>
          <w:color w:val="0E101A"/>
          <w:sz w:val="24"/>
          <w:szCs w:val="24"/>
          <w:lang w:eastAsia="en-GB"/>
          <w14:ligatures w14:val="none"/>
        </w:rPr>
        <w:t xml:space="preserve">of these changes </w:t>
      </w:r>
      <w:r w:rsidR="001707F2">
        <w:rPr>
          <w:rFonts w:ascii="Arial" w:eastAsia="Times New Roman" w:hAnsi="Arial" w:cs="Arial"/>
          <w:color w:val="0E101A"/>
          <w:sz w:val="24"/>
          <w:szCs w:val="24"/>
          <w:lang w:eastAsia="en-GB"/>
          <w14:ligatures w14:val="none"/>
        </w:rPr>
        <w:t>were</w:t>
      </w:r>
      <w:r w:rsidR="00916AA3">
        <w:rPr>
          <w:rFonts w:ascii="Arial" w:eastAsia="Times New Roman" w:hAnsi="Arial" w:cs="Arial"/>
          <w:color w:val="0E101A"/>
          <w:sz w:val="24"/>
          <w:szCs w:val="24"/>
          <w:lang w:eastAsia="en-GB"/>
          <w14:ligatures w14:val="none"/>
        </w:rPr>
        <w:t xml:space="preserve"> estimated</w:t>
      </w:r>
      <w:r w:rsidR="00BD6CBC">
        <w:rPr>
          <w:rFonts w:ascii="Arial" w:eastAsia="Times New Roman" w:hAnsi="Arial" w:cs="Arial"/>
          <w:color w:val="0E101A"/>
          <w:sz w:val="24"/>
          <w:szCs w:val="24"/>
          <w:lang w:eastAsia="en-GB"/>
          <w14:ligatures w14:val="none"/>
        </w:rPr>
        <w:t>, guided by</w:t>
      </w:r>
      <w:r w:rsidR="000F4994">
        <w:rPr>
          <w:rFonts w:ascii="Arial" w:eastAsia="Times New Roman" w:hAnsi="Arial" w:cs="Arial"/>
          <w:color w:val="0E101A"/>
          <w:sz w:val="24"/>
          <w:szCs w:val="24"/>
          <w:lang w:eastAsia="en-GB"/>
          <w14:ligatures w14:val="none"/>
        </w:rPr>
        <w:t xml:space="preserve"> available literature.</w:t>
      </w:r>
    </w:p>
    <w:p w14:paraId="65A2ADBE" w14:textId="77777777" w:rsidR="00DB11E1" w:rsidRPr="00DB11E1" w:rsidRDefault="00DB11E1" w:rsidP="00DB11E1">
      <w:pPr>
        <w:spacing w:after="0" w:line="360" w:lineRule="auto"/>
        <w:jc w:val="both"/>
        <w:rPr>
          <w:rFonts w:ascii="Arial" w:eastAsia="Times New Roman" w:hAnsi="Arial" w:cs="Arial"/>
          <w:color w:val="0E101A"/>
          <w:sz w:val="24"/>
          <w:szCs w:val="24"/>
          <w:lang w:eastAsia="en-GB"/>
          <w14:ligatures w14:val="none"/>
        </w:rPr>
      </w:pPr>
      <w:r w:rsidRPr="00DB11E1">
        <w:rPr>
          <w:rFonts w:ascii="Arial" w:eastAsia="Times New Roman" w:hAnsi="Arial" w:cs="Arial"/>
          <w:b/>
          <w:bCs/>
          <w:color w:val="0E101A"/>
          <w:sz w:val="24"/>
          <w:szCs w:val="24"/>
          <w:lang w:eastAsia="en-GB"/>
          <w14:ligatures w14:val="none"/>
        </w:rPr>
        <w:t>Results:</w:t>
      </w:r>
    </w:p>
    <w:p w14:paraId="2CF0462A" w14:textId="5EF5DA28" w:rsidR="00DB11E1" w:rsidRPr="00DB11E1" w:rsidRDefault="00DB11E1" w:rsidP="00DB11E1">
      <w:pPr>
        <w:spacing w:after="0" w:line="360" w:lineRule="auto"/>
        <w:jc w:val="both"/>
        <w:rPr>
          <w:rFonts w:ascii="Arial" w:eastAsia="Times New Roman" w:hAnsi="Arial" w:cs="Arial"/>
          <w:color w:val="0E101A"/>
          <w:sz w:val="24"/>
          <w:szCs w:val="24"/>
          <w:lang w:eastAsia="en-GB"/>
          <w14:ligatures w14:val="none"/>
        </w:rPr>
      </w:pPr>
      <w:r w:rsidRPr="00DB11E1">
        <w:rPr>
          <w:rFonts w:ascii="Arial" w:eastAsia="Times New Roman" w:hAnsi="Arial" w:cs="Arial"/>
          <w:color w:val="0E101A"/>
          <w:sz w:val="24"/>
          <w:szCs w:val="24"/>
          <w:lang w:eastAsia="en-GB"/>
          <w14:ligatures w14:val="none"/>
        </w:rPr>
        <w:t xml:space="preserve">Of 308 patients in VIRTU-4, 266 were contactable at one year. There were seven deaths, five MIs, and three strokes. In the ACS cohort, there were 32 cardiac re-admissions and five repeat revascularisations, </w:t>
      </w:r>
      <w:r w:rsidR="00BD6CBC">
        <w:rPr>
          <w:rFonts w:ascii="Arial" w:eastAsia="Times New Roman" w:hAnsi="Arial" w:cs="Arial"/>
          <w:color w:val="0E101A"/>
          <w:sz w:val="24"/>
          <w:szCs w:val="24"/>
          <w:lang w:eastAsia="en-GB"/>
          <w14:ligatures w14:val="none"/>
        </w:rPr>
        <w:t>and</w:t>
      </w:r>
      <w:r w:rsidRPr="00DB11E1">
        <w:rPr>
          <w:rFonts w:ascii="Arial" w:eastAsia="Times New Roman" w:hAnsi="Arial" w:cs="Arial"/>
          <w:color w:val="0E101A"/>
          <w:sz w:val="24"/>
          <w:szCs w:val="24"/>
          <w:lang w:eastAsia="en-GB"/>
          <w14:ligatures w14:val="none"/>
        </w:rPr>
        <w:t xml:space="preserve"> in the CCS cohort, 25 cardiac re-admissions and seven revascularisations. There was no statistically significant difference in patients' QOL at 12 months compared to baseline. However, QOL </w:t>
      </w:r>
      <w:r w:rsidRPr="00DB11E1">
        <w:rPr>
          <w:rFonts w:ascii="Arial" w:eastAsia="Times New Roman" w:hAnsi="Arial" w:cs="Arial"/>
          <w:color w:val="0E101A"/>
          <w:sz w:val="24"/>
          <w:szCs w:val="24"/>
          <w:lang w:eastAsia="en-GB"/>
          <w14:ligatures w14:val="none"/>
        </w:rPr>
        <w:lastRenderedPageBreak/>
        <w:t>parameters demonstrated improvement after excluding non-cardiac factors. 65/266</w:t>
      </w:r>
      <w:r w:rsidR="00BD6CBC">
        <w:rPr>
          <w:rFonts w:ascii="Arial" w:eastAsia="Times New Roman" w:hAnsi="Arial" w:cs="Arial"/>
          <w:color w:val="0E101A"/>
          <w:sz w:val="24"/>
          <w:szCs w:val="24"/>
          <w:lang w:eastAsia="en-GB"/>
          <w14:ligatures w14:val="none"/>
        </w:rPr>
        <w:t xml:space="preserve"> patients</w:t>
      </w:r>
      <w:r w:rsidRPr="00DB11E1">
        <w:rPr>
          <w:rFonts w:ascii="Arial" w:eastAsia="Times New Roman" w:hAnsi="Arial" w:cs="Arial"/>
          <w:color w:val="0E101A"/>
          <w:sz w:val="24"/>
          <w:szCs w:val="24"/>
          <w:lang w:eastAsia="en-GB"/>
          <w14:ligatures w14:val="none"/>
        </w:rPr>
        <w:t xml:space="preserve"> (24.4%) had a virtual change in management plan after vFFR disclosure. </w:t>
      </w:r>
      <w:r w:rsidR="00BD6CBC">
        <w:rPr>
          <w:rFonts w:ascii="Arial" w:eastAsia="Times New Roman" w:hAnsi="Arial" w:cs="Arial"/>
          <w:color w:val="0E101A"/>
          <w:sz w:val="24"/>
          <w:szCs w:val="24"/>
          <w:lang w:eastAsia="en-GB"/>
          <w14:ligatures w14:val="none"/>
        </w:rPr>
        <w:t>v</w:t>
      </w:r>
      <w:r w:rsidR="009E5BA2">
        <w:rPr>
          <w:rFonts w:ascii="Arial" w:eastAsia="Times New Roman" w:hAnsi="Arial" w:cs="Arial"/>
          <w:color w:val="0E101A"/>
          <w:sz w:val="24"/>
          <w:szCs w:val="24"/>
          <w:lang w:eastAsia="en-GB"/>
          <w14:ligatures w14:val="none"/>
        </w:rPr>
        <w:t>FFR-based treatment decisions would have saved 26 invasive pressure wire assessments</w:t>
      </w:r>
      <w:r w:rsidRPr="00DB11E1">
        <w:rPr>
          <w:rFonts w:ascii="Arial" w:eastAsia="Times New Roman" w:hAnsi="Arial" w:cs="Arial"/>
          <w:color w:val="0E101A"/>
          <w:sz w:val="24"/>
          <w:szCs w:val="24"/>
          <w:lang w:eastAsia="en-GB"/>
          <w14:ligatures w14:val="none"/>
        </w:rPr>
        <w:t>. Within the ACS group, 17</w:t>
      </w:r>
      <w:r w:rsidR="00BD6CBC">
        <w:rPr>
          <w:rFonts w:ascii="Arial" w:eastAsia="Times New Roman" w:hAnsi="Arial" w:cs="Arial"/>
          <w:color w:val="0E101A"/>
          <w:sz w:val="24"/>
          <w:szCs w:val="24"/>
          <w:lang w:eastAsia="en-GB"/>
          <w14:ligatures w14:val="none"/>
        </w:rPr>
        <w:t>/</w:t>
      </w:r>
      <w:r w:rsidRPr="00DB11E1">
        <w:rPr>
          <w:rFonts w:ascii="Arial" w:eastAsia="Times New Roman" w:hAnsi="Arial" w:cs="Arial"/>
          <w:color w:val="0E101A"/>
          <w:sz w:val="24"/>
          <w:szCs w:val="24"/>
          <w:lang w:eastAsia="en-GB"/>
          <w14:ligatures w14:val="none"/>
        </w:rPr>
        <w:t>39 patients (43.5%) treated with PCI would have received conservative treatment</w:t>
      </w:r>
      <w:r w:rsidR="00BD6CBC">
        <w:rPr>
          <w:rFonts w:ascii="Arial" w:eastAsia="Times New Roman" w:hAnsi="Arial" w:cs="Arial"/>
          <w:color w:val="0E101A"/>
          <w:sz w:val="24"/>
          <w:szCs w:val="24"/>
          <w:lang w:eastAsia="en-GB"/>
          <w14:ligatures w14:val="none"/>
        </w:rPr>
        <w:t>, whereas</w:t>
      </w:r>
      <w:r w:rsidRPr="00DB11E1">
        <w:rPr>
          <w:rFonts w:ascii="Arial" w:eastAsia="Times New Roman" w:hAnsi="Arial" w:cs="Arial"/>
          <w:color w:val="0E101A"/>
          <w:sz w:val="24"/>
          <w:szCs w:val="24"/>
          <w:lang w:eastAsia="en-GB"/>
          <w14:ligatures w14:val="none"/>
        </w:rPr>
        <w:t xml:space="preserve"> in the CCS group, 13</w:t>
      </w:r>
      <w:r w:rsidR="00BD6CBC">
        <w:rPr>
          <w:rFonts w:ascii="Arial" w:eastAsia="Times New Roman" w:hAnsi="Arial" w:cs="Arial"/>
          <w:color w:val="0E101A"/>
          <w:sz w:val="24"/>
          <w:szCs w:val="24"/>
          <w:lang w:eastAsia="en-GB"/>
          <w14:ligatures w14:val="none"/>
        </w:rPr>
        <w:t>/</w:t>
      </w:r>
      <w:r w:rsidRPr="00DB11E1">
        <w:rPr>
          <w:rFonts w:ascii="Arial" w:eastAsia="Times New Roman" w:hAnsi="Arial" w:cs="Arial"/>
          <w:color w:val="0E101A"/>
          <w:sz w:val="24"/>
          <w:szCs w:val="24"/>
          <w:lang w:eastAsia="en-GB"/>
          <w14:ligatures w14:val="none"/>
        </w:rPr>
        <w:t>26 patients (50%) who received conservative treatment would have undergone PCI. vFFR-guided plans would have resulted in a</w:t>
      </w:r>
      <w:r w:rsidR="008C38D5">
        <w:rPr>
          <w:rFonts w:ascii="Arial" w:eastAsia="Times New Roman" w:hAnsi="Arial" w:cs="Arial"/>
          <w:color w:val="0E101A"/>
          <w:sz w:val="24"/>
          <w:szCs w:val="24"/>
          <w:lang w:eastAsia="en-GB"/>
          <w14:ligatures w14:val="none"/>
        </w:rPr>
        <w:t>n average</w:t>
      </w:r>
      <w:r w:rsidRPr="00DB11E1">
        <w:rPr>
          <w:rFonts w:ascii="Arial" w:eastAsia="Times New Roman" w:hAnsi="Arial" w:cs="Arial"/>
          <w:color w:val="0E101A"/>
          <w:sz w:val="24"/>
          <w:szCs w:val="24"/>
          <w:lang w:eastAsia="en-GB"/>
          <w14:ligatures w14:val="none"/>
        </w:rPr>
        <w:t xml:space="preserve"> virtual increase </w:t>
      </w:r>
      <w:r w:rsidR="00BD6CBC">
        <w:rPr>
          <w:rFonts w:ascii="Arial" w:eastAsia="Times New Roman" w:hAnsi="Arial" w:cs="Arial"/>
          <w:color w:val="0E101A"/>
          <w:sz w:val="24"/>
          <w:szCs w:val="24"/>
          <w:lang w:eastAsia="en-GB"/>
          <w14:ligatures w14:val="none"/>
        </w:rPr>
        <w:t xml:space="preserve">in </w:t>
      </w:r>
      <w:r w:rsidR="00704F00">
        <w:rPr>
          <w:rFonts w:ascii="Arial" w:eastAsia="Times New Roman" w:hAnsi="Arial" w:cs="Arial"/>
          <w:color w:val="0E101A"/>
          <w:sz w:val="24"/>
          <w:szCs w:val="24"/>
          <w:lang w:eastAsia="en-GB"/>
          <w14:ligatures w14:val="none"/>
        </w:rPr>
        <w:t xml:space="preserve">the </w:t>
      </w:r>
      <w:r w:rsidR="00BD6CBC">
        <w:rPr>
          <w:rFonts w:ascii="Arial" w:eastAsia="Times New Roman" w:hAnsi="Arial" w:cs="Arial"/>
          <w:color w:val="0E101A"/>
          <w:sz w:val="24"/>
          <w:szCs w:val="24"/>
          <w:lang w:eastAsia="en-GB"/>
          <w14:ligatures w14:val="none"/>
        </w:rPr>
        <w:t xml:space="preserve">cost </w:t>
      </w:r>
      <w:r w:rsidRPr="00DB11E1">
        <w:rPr>
          <w:rFonts w:ascii="Arial" w:eastAsia="Times New Roman" w:hAnsi="Arial" w:cs="Arial"/>
          <w:color w:val="0E101A"/>
          <w:sz w:val="24"/>
          <w:szCs w:val="24"/>
          <w:lang w:eastAsia="en-GB"/>
          <w14:ligatures w14:val="none"/>
        </w:rPr>
        <w:t xml:space="preserve">of £60 per patient in the virtual change subset (n=65), </w:t>
      </w:r>
      <w:r w:rsidR="00BD6CBC">
        <w:rPr>
          <w:rFonts w:ascii="Arial" w:eastAsia="Times New Roman" w:hAnsi="Arial" w:cs="Arial"/>
          <w:color w:val="0E101A"/>
          <w:sz w:val="24"/>
          <w:szCs w:val="24"/>
          <w:lang w:eastAsia="en-GB"/>
          <w14:ligatures w14:val="none"/>
        </w:rPr>
        <w:t xml:space="preserve">comprising </w:t>
      </w:r>
      <w:r w:rsidRPr="00DB11E1">
        <w:rPr>
          <w:rFonts w:ascii="Arial" w:eastAsia="Times New Roman" w:hAnsi="Arial" w:cs="Arial"/>
          <w:color w:val="0E101A"/>
          <w:sz w:val="24"/>
          <w:szCs w:val="24"/>
          <w:lang w:eastAsia="en-GB"/>
          <w14:ligatures w14:val="none"/>
        </w:rPr>
        <w:t xml:space="preserve">a saving of £163 per patient in the ACS group and an extra spend of £395 per patient in the CCS group. </w:t>
      </w:r>
      <w:r w:rsidR="00D00CC9" w:rsidRPr="00D00CC9">
        <w:rPr>
          <w:rFonts w:ascii="Arial" w:eastAsia="Times New Roman" w:hAnsi="Arial" w:cs="Arial"/>
          <w:color w:val="0E101A"/>
          <w:sz w:val="24"/>
          <w:szCs w:val="24"/>
          <w:lang w:eastAsia="en-GB"/>
          <w14:ligatures w14:val="none"/>
        </w:rPr>
        <w:t>vFFR guidance could have led to a virtual increase in QOL scores for ACS patients by 0.3% in EQ-VAS (p=0.96) and 0.1% in EQ-indexed scores (p=0.96). For CCS patients, vFFR could have resulted in a virtual increase of 6.7% in EQ-VAS (p=0.02) and 5% in EQ-indexed scores (p=0.03).</w:t>
      </w:r>
      <w:r w:rsidRPr="00DB11E1">
        <w:rPr>
          <w:rFonts w:ascii="Arial" w:eastAsia="Times New Roman" w:hAnsi="Arial" w:cs="Arial"/>
          <w:color w:val="0E101A"/>
          <w:sz w:val="24"/>
          <w:szCs w:val="24"/>
          <w:lang w:eastAsia="en-GB"/>
          <w14:ligatures w14:val="none"/>
        </w:rPr>
        <w:t> </w:t>
      </w:r>
      <w:r w:rsidR="00735D5F" w:rsidRPr="00735D5F">
        <w:t xml:space="preserve"> </w:t>
      </w:r>
      <w:r w:rsidR="00735D5F">
        <w:rPr>
          <w:rFonts w:ascii="Arial" w:eastAsia="Times New Roman" w:hAnsi="Arial" w:cs="Arial"/>
          <w:color w:val="0E101A"/>
          <w:sz w:val="24"/>
          <w:szCs w:val="24"/>
          <w:lang w:eastAsia="en-GB"/>
          <w14:ligatures w14:val="none"/>
        </w:rPr>
        <w:t>W</w:t>
      </w:r>
      <w:r w:rsidR="00735D5F" w:rsidRPr="00735D5F">
        <w:rPr>
          <w:rFonts w:ascii="Arial" w:eastAsia="Times New Roman" w:hAnsi="Arial" w:cs="Arial"/>
          <w:color w:val="0E101A"/>
          <w:sz w:val="24"/>
          <w:szCs w:val="24"/>
          <w:lang w:eastAsia="en-GB"/>
          <w14:ligatures w14:val="none"/>
        </w:rPr>
        <w:t>hen factoring in the cost of a vFFR licen</w:t>
      </w:r>
      <w:r w:rsidR="00BD6CBC">
        <w:rPr>
          <w:rFonts w:ascii="Arial" w:eastAsia="Times New Roman" w:hAnsi="Arial" w:cs="Arial"/>
          <w:color w:val="0E101A"/>
          <w:sz w:val="24"/>
          <w:szCs w:val="24"/>
          <w:lang w:eastAsia="en-GB"/>
          <w14:ligatures w14:val="none"/>
        </w:rPr>
        <w:t>c</w:t>
      </w:r>
      <w:r w:rsidR="00735D5F" w:rsidRPr="00735D5F">
        <w:rPr>
          <w:rFonts w:ascii="Arial" w:eastAsia="Times New Roman" w:hAnsi="Arial" w:cs="Arial"/>
          <w:color w:val="0E101A"/>
          <w:sz w:val="24"/>
          <w:szCs w:val="24"/>
          <w:lang w:eastAsia="en-GB"/>
          <w14:ligatures w14:val="none"/>
        </w:rPr>
        <w:t xml:space="preserve">e to the </w:t>
      </w:r>
      <w:r w:rsidR="00735D5F">
        <w:rPr>
          <w:rFonts w:ascii="Arial" w:eastAsia="Times New Roman" w:hAnsi="Arial" w:cs="Arial"/>
          <w:color w:val="0E101A"/>
          <w:sz w:val="24"/>
          <w:szCs w:val="24"/>
          <w:lang w:eastAsia="en-GB"/>
          <w14:ligatures w14:val="none"/>
        </w:rPr>
        <w:t xml:space="preserve">total </w:t>
      </w:r>
      <w:r w:rsidR="00735D5F" w:rsidRPr="00735D5F">
        <w:rPr>
          <w:rFonts w:ascii="Arial" w:eastAsia="Times New Roman" w:hAnsi="Arial" w:cs="Arial"/>
          <w:color w:val="0E101A"/>
          <w:sz w:val="24"/>
          <w:szCs w:val="24"/>
          <w:lang w:eastAsia="en-GB"/>
          <w14:ligatures w14:val="none"/>
        </w:rPr>
        <w:t xml:space="preserve">annual </w:t>
      </w:r>
      <w:r w:rsidR="00735D5F">
        <w:rPr>
          <w:rFonts w:ascii="Arial" w:eastAsia="Times New Roman" w:hAnsi="Arial" w:cs="Arial"/>
          <w:color w:val="0E101A"/>
          <w:sz w:val="24"/>
          <w:szCs w:val="24"/>
          <w:lang w:eastAsia="en-GB"/>
          <w14:ligatures w14:val="none"/>
        </w:rPr>
        <w:t>costs</w:t>
      </w:r>
      <w:r w:rsidR="00735D5F" w:rsidRPr="00735D5F">
        <w:rPr>
          <w:rFonts w:ascii="Arial" w:eastAsia="Times New Roman" w:hAnsi="Arial" w:cs="Arial"/>
          <w:color w:val="0E101A"/>
          <w:sz w:val="24"/>
          <w:szCs w:val="24"/>
          <w:lang w:eastAsia="en-GB"/>
          <w14:ligatures w14:val="none"/>
        </w:rPr>
        <w:t xml:space="preserve">, the </w:t>
      </w:r>
      <w:r w:rsidR="00735D5F">
        <w:rPr>
          <w:rFonts w:ascii="Arial" w:eastAsia="Times New Roman" w:hAnsi="Arial" w:cs="Arial"/>
          <w:color w:val="0E101A"/>
          <w:sz w:val="24"/>
          <w:szCs w:val="24"/>
          <w:lang w:eastAsia="en-GB"/>
          <w14:ligatures w14:val="none"/>
        </w:rPr>
        <w:t>ICER</w:t>
      </w:r>
      <w:r w:rsidR="00735D5F" w:rsidRPr="00735D5F">
        <w:rPr>
          <w:rFonts w:ascii="Arial" w:eastAsia="Times New Roman" w:hAnsi="Arial" w:cs="Arial"/>
          <w:color w:val="0E101A"/>
          <w:sz w:val="24"/>
          <w:szCs w:val="24"/>
          <w:lang w:eastAsia="en-GB"/>
          <w14:ligatures w14:val="none"/>
        </w:rPr>
        <w:t xml:space="preserve"> remain</w:t>
      </w:r>
      <w:r w:rsidR="00A93C75">
        <w:rPr>
          <w:rFonts w:ascii="Arial" w:eastAsia="Times New Roman" w:hAnsi="Arial" w:cs="Arial"/>
          <w:color w:val="0E101A"/>
          <w:sz w:val="24"/>
          <w:szCs w:val="24"/>
          <w:lang w:eastAsia="en-GB"/>
          <w14:ligatures w14:val="none"/>
        </w:rPr>
        <w:t>ed</w:t>
      </w:r>
      <w:r w:rsidR="00735D5F" w:rsidRPr="00735D5F">
        <w:rPr>
          <w:rFonts w:ascii="Arial" w:eastAsia="Times New Roman" w:hAnsi="Arial" w:cs="Arial"/>
          <w:color w:val="0E101A"/>
          <w:sz w:val="24"/>
          <w:szCs w:val="24"/>
          <w:lang w:eastAsia="en-GB"/>
          <w14:ligatures w14:val="none"/>
        </w:rPr>
        <w:t xml:space="preserve"> well below the </w:t>
      </w:r>
      <w:r w:rsidR="00735D5F">
        <w:rPr>
          <w:rFonts w:ascii="Arial" w:eastAsia="Times New Roman" w:hAnsi="Arial" w:cs="Arial"/>
          <w:color w:val="0E101A"/>
          <w:sz w:val="24"/>
          <w:szCs w:val="24"/>
          <w:lang w:eastAsia="en-GB"/>
          <w14:ligatures w14:val="none"/>
        </w:rPr>
        <w:t>willingness-to-pay (</w:t>
      </w:r>
      <w:r w:rsidR="00735D5F" w:rsidRPr="00735D5F">
        <w:rPr>
          <w:rFonts w:ascii="Arial" w:eastAsia="Times New Roman" w:hAnsi="Arial" w:cs="Arial"/>
          <w:color w:val="0E101A"/>
          <w:sz w:val="24"/>
          <w:szCs w:val="24"/>
          <w:lang w:eastAsia="en-GB"/>
          <w14:ligatures w14:val="none"/>
        </w:rPr>
        <w:t>WTP</w:t>
      </w:r>
      <w:r w:rsidR="00735D5F">
        <w:rPr>
          <w:rFonts w:ascii="Arial" w:eastAsia="Times New Roman" w:hAnsi="Arial" w:cs="Arial"/>
          <w:color w:val="0E101A"/>
          <w:sz w:val="24"/>
          <w:szCs w:val="24"/>
          <w:lang w:eastAsia="en-GB"/>
          <w14:ligatures w14:val="none"/>
        </w:rPr>
        <w:t>)</w:t>
      </w:r>
      <w:r w:rsidR="00735D5F" w:rsidRPr="00735D5F">
        <w:rPr>
          <w:rFonts w:ascii="Arial" w:eastAsia="Times New Roman" w:hAnsi="Arial" w:cs="Arial"/>
          <w:color w:val="0E101A"/>
          <w:sz w:val="24"/>
          <w:szCs w:val="24"/>
          <w:lang w:eastAsia="en-GB"/>
          <w14:ligatures w14:val="none"/>
        </w:rPr>
        <w:t xml:space="preserve"> threshold</w:t>
      </w:r>
      <w:r w:rsidR="00735D5F">
        <w:rPr>
          <w:rFonts w:ascii="Arial" w:eastAsia="Times New Roman" w:hAnsi="Arial" w:cs="Arial"/>
          <w:color w:val="0E101A"/>
          <w:sz w:val="24"/>
          <w:szCs w:val="24"/>
          <w:lang w:eastAsia="en-GB"/>
          <w14:ligatures w14:val="none"/>
        </w:rPr>
        <w:t xml:space="preserve"> for the UK</w:t>
      </w:r>
      <w:r w:rsidR="00735D5F" w:rsidRPr="00735D5F">
        <w:rPr>
          <w:rFonts w:ascii="Arial" w:eastAsia="Times New Roman" w:hAnsi="Arial" w:cs="Arial"/>
          <w:color w:val="0E101A"/>
          <w:sz w:val="24"/>
          <w:szCs w:val="24"/>
          <w:lang w:eastAsia="en-GB"/>
          <w14:ligatures w14:val="none"/>
        </w:rPr>
        <w:t xml:space="preserve">, </w:t>
      </w:r>
      <w:r w:rsidR="00735D5F">
        <w:rPr>
          <w:rFonts w:ascii="Arial" w:eastAsia="Times New Roman" w:hAnsi="Arial" w:cs="Arial"/>
          <w:color w:val="0E101A"/>
          <w:sz w:val="24"/>
          <w:szCs w:val="24"/>
          <w:lang w:eastAsia="en-GB"/>
          <w14:ligatures w14:val="none"/>
        </w:rPr>
        <w:t>demonstrating</w:t>
      </w:r>
      <w:r w:rsidR="00735D5F" w:rsidRPr="00735D5F">
        <w:rPr>
          <w:rFonts w:ascii="Arial" w:eastAsia="Times New Roman" w:hAnsi="Arial" w:cs="Arial"/>
          <w:color w:val="0E101A"/>
          <w:sz w:val="24"/>
          <w:szCs w:val="24"/>
          <w:lang w:eastAsia="en-GB"/>
          <w14:ligatures w14:val="none"/>
        </w:rPr>
        <w:t xml:space="preserve"> the cost-effectiveness of vFFR+CAG compared to CAG-only. </w:t>
      </w:r>
      <w:r w:rsidR="008C38D5">
        <w:rPr>
          <w:rFonts w:ascii="Arial" w:eastAsia="Times New Roman" w:hAnsi="Arial" w:cs="Arial"/>
          <w:color w:val="0E101A"/>
          <w:sz w:val="24"/>
          <w:szCs w:val="24"/>
          <w:lang w:eastAsia="en-GB"/>
          <w14:ligatures w14:val="none"/>
        </w:rPr>
        <w:t>T</w:t>
      </w:r>
      <w:r w:rsidR="00735D5F" w:rsidRPr="00735D5F">
        <w:rPr>
          <w:rFonts w:ascii="Arial" w:eastAsia="Times New Roman" w:hAnsi="Arial" w:cs="Arial"/>
          <w:color w:val="0E101A"/>
          <w:sz w:val="24"/>
          <w:szCs w:val="24"/>
          <w:lang w:eastAsia="en-GB"/>
          <w14:ligatures w14:val="none"/>
        </w:rPr>
        <w:t>he ICERs were £2803, £4077, and £6626 per QALY for voucher</w:t>
      </w:r>
      <w:r w:rsidR="008C38D5">
        <w:rPr>
          <w:rFonts w:ascii="Arial" w:eastAsia="Times New Roman" w:hAnsi="Arial" w:cs="Arial"/>
          <w:color w:val="0E101A"/>
          <w:sz w:val="24"/>
          <w:szCs w:val="24"/>
          <w:lang w:eastAsia="en-GB"/>
          <w14:ligatures w14:val="none"/>
        </w:rPr>
        <w:t>-based licence</w:t>
      </w:r>
      <w:r w:rsidR="00735D5F" w:rsidRPr="00735D5F">
        <w:rPr>
          <w:rFonts w:ascii="Arial" w:eastAsia="Times New Roman" w:hAnsi="Arial" w:cs="Arial"/>
          <w:color w:val="0E101A"/>
          <w:sz w:val="24"/>
          <w:szCs w:val="24"/>
          <w:lang w:eastAsia="en-GB"/>
          <w14:ligatures w14:val="none"/>
        </w:rPr>
        <w:t xml:space="preserve"> costs of £50, £100, and £200 per patient, respectively. </w:t>
      </w:r>
      <w:r w:rsidR="00A93C75">
        <w:rPr>
          <w:rFonts w:ascii="Arial" w:eastAsia="Times New Roman" w:hAnsi="Arial" w:cs="Arial"/>
          <w:color w:val="0E101A"/>
          <w:sz w:val="24"/>
          <w:szCs w:val="24"/>
          <w:lang w:eastAsia="en-GB"/>
          <w14:ligatures w14:val="none"/>
        </w:rPr>
        <w:t>Similarly,</w:t>
      </w:r>
      <w:r w:rsidR="00735D5F" w:rsidRPr="00735D5F">
        <w:rPr>
          <w:rFonts w:ascii="Arial" w:eastAsia="Times New Roman" w:hAnsi="Arial" w:cs="Arial"/>
          <w:color w:val="0E101A"/>
          <w:sz w:val="24"/>
          <w:szCs w:val="24"/>
          <w:lang w:eastAsia="en-GB"/>
          <w14:ligatures w14:val="none"/>
        </w:rPr>
        <w:t xml:space="preserve"> with an institutional license, the ICERs were £4077, £5352, and £7901 per QALY for annual license </w:t>
      </w:r>
      <w:r w:rsidR="00735D5F">
        <w:rPr>
          <w:rFonts w:ascii="Arial" w:eastAsia="Times New Roman" w:hAnsi="Arial" w:cs="Arial"/>
          <w:color w:val="0E101A"/>
          <w:sz w:val="24"/>
          <w:szCs w:val="24"/>
          <w:lang w:eastAsia="en-GB"/>
          <w14:ligatures w14:val="none"/>
        </w:rPr>
        <w:t>tariffs</w:t>
      </w:r>
      <w:r w:rsidR="00735D5F" w:rsidRPr="00735D5F">
        <w:rPr>
          <w:rFonts w:ascii="Arial" w:eastAsia="Times New Roman" w:hAnsi="Arial" w:cs="Arial"/>
          <w:color w:val="0E101A"/>
          <w:sz w:val="24"/>
          <w:szCs w:val="24"/>
          <w:lang w:eastAsia="en-GB"/>
          <w14:ligatures w14:val="none"/>
        </w:rPr>
        <w:t xml:space="preserve"> of £20,000, £30,000, and £50,000, respectively.</w:t>
      </w:r>
    </w:p>
    <w:p w14:paraId="18C08191" w14:textId="77777777" w:rsidR="00DB11E1" w:rsidRPr="00DB11E1" w:rsidRDefault="00DB11E1" w:rsidP="00DB11E1">
      <w:pPr>
        <w:spacing w:after="0" w:line="360" w:lineRule="auto"/>
        <w:jc w:val="both"/>
        <w:rPr>
          <w:rFonts w:ascii="Arial" w:eastAsia="Times New Roman" w:hAnsi="Arial" w:cs="Arial"/>
          <w:color w:val="0E101A"/>
          <w:sz w:val="24"/>
          <w:szCs w:val="24"/>
          <w:lang w:eastAsia="en-GB"/>
          <w14:ligatures w14:val="none"/>
        </w:rPr>
      </w:pPr>
      <w:r w:rsidRPr="00DB11E1">
        <w:rPr>
          <w:rFonts w:ascii="Arial" w:eastAsia="Times New Roman" w:hAnsi="Arial" w:cs="Arial"/>
          <w:b/>
          <w:bCs/>
          <w:color w:val="0E101A"/>
          <w:sz w:val="24"/>
          <w:szCs w:val="24"/>
          <w:lang w:eastAsia="en-GB"/>
          <w14:ligatures w14:val="none"/>
        </w:rPr>
        <w:t>Conclusions:</w:t>
      </w:r>
    </w:p>
    <w:p w14:paraId="2C375605" w14:textId="2F65E830" w:rsidR="00DB11E1" w:rsidRPr="00DB11E1" w:rsidRDefault="00DB11E1" w:rsidP="00DB11E1">
      <w:pPr>
        <w:spacing w:after="0" w:line="360" w:lineRule="auto"/>
        <w:jc w:val="both"/>
        <w:rPr>
          <w:rFonts w:ascii="Arial" w:eastAsia="Times New Roman" w:hAnsi="Arial" w:cs="Arial"/>
          <w:color w:val="0E101A"/>
          <w:sz w:val="24"/>
          <w:szCs w:val="24"/>
          <w:lang w:eastAsia="en-GB"/>
          <w14:ligatures w14:val="none"/>
        </w:rPr>
      </w:pPr>
      <w:r w:rsidRPr="00DB11E1">
        <w:rPr>
          <w:rFonts w:ascii="Arial" w:eastAsia="Times New Roman" w:hAnsi="Arial" w:cs="Arial"/>
          <w:color w:val="0E101A"/>
          <w:sz w:val="24"/>
          <w:szCs w:val="24"/>
          <w:lang w:eastAsia="en-GB"/>
          <w14:ligatures w14:val="none"/>
        </w:rPr>
        <w:t xml:space="preserve">Incorporating vFFR into revascularisation plans for coronary artery disease (CAD) not only resulted in a change of management plans in one-fifth of cases but </w:t>
      </w:r>
      <w:r w:rsidR="00A6607C">
        <w:rPr>
          <w:rFonts w:ascii="Arial" w:eastAsia="Times New Roman" w:hAnsi="Arial" w:cs="Arial"/>
          <w:color w:val="0E101A"/>
          <w:sz w:val="24"/>
          <w:szCs w:val="24"/>
          <w:lang w:eastAsia="en-GB"/>
          <w14:ligatures w14:val="none"/>
        </w:rPr>
        <w:t xml:space="preserve">could </w:t>
      </w:r>
      <w:r w:rsidRPr="00DB11E1">
        <w:rPr>
          <w:rFonts w:ascii="Arial" w:eastAsia="Times New Roman" w:hAnsi="Arial" w:cs="Arial"/>
          <w:color w:val="0E101A"/>
          <w:sz w:val="24"/>
          <w:szCs w:val="24"/>
          <w:lang w:eastAsia="en-GB"/>
          <w14:ligatures w14:val="none"/>
        </w:rPr>
        <w:t xml:space="preserve">also </w:t>
      </w:r>
      <w:r w:rsidR="00B9162F">
        <w:rPr>
          <w:rFonts w:ascii="Arial" w:eastAsia="Times New Roman" w:hAnsi="Arial" w:cs="Arial"/>
          <w:color w:val="0E101A"/>
          <w:sz w:val="24"/>
          <w:szCs w:val="24"/>
          <w:lang w:eastAsia="en-GB"/>
          <w14:ligatures w14:val="none"/>
        </w:rPr>
        <w:t>offer</w:t>
      </w:r>
      <w:r w:rsidRPr="00DB11E1">
        <w:rPr>
          <w:rFonts w:ascii="Arial" w:eastAsia="Times New Roman" w:hAnsi="Arial" w:cs="Arial"/>
          <w:color w:val="0E101A"/>
          <w:sz w:val="24"/>
          <w:szCs w:val="24"/>
          <w:lang w:eastAsia="en-GB"/>
          <w14:ligatures w14:val="none"/>
        </w:rPr>
        <w:t xml:space="preserve"> </w:t>
      </w:r>
      <w:r w:rsidR="00A6607C">
        <w:rPr>
          <w:rFonts w:ascii="Arial" w:eastAsia="Times New Roman" w:hAnsi="Arial" w:cs="Arial"/>
          <w:color w:val="0E101A"/>
          <w:sz w:val="24"/>
          <w:szCs w:val="24"/>
          <w:lang w:eastAsia="en-GB"/>
          <w14:ligatures w14:val="none"/>
        </w:rPr>
        <w:t xml:space="preserve">potential </w:t>
      </w:r>
      <w:r w:rsidRPr="00DB11E1">
        <w:rPr>
          <w:rFonts w:ascii="Arial" w:eastAsia="Times New Roman" w:hAnsi="Arial" w:cs="Arial"/>
          <w:color w:val="0E101A"/>
          <w:sz w:val="24"/>
          <w:szCs w:val="24"/>
          <w:lang w:eastAsia="en-GB"/>
          <w14:ligatures w14:val="none"/>
        </w:rPr>
        <w:t>clinical and economic benefits over conventional CAG, with trivial additional net costs.</w:t>
      </w:r>
    </w:p>
    <w:p w14:paraId="291CB71C" w14:textId="77777777" w:rsidR="004942B6" w:rsidRDefault="004942B6" w:rsidP="004942B6">
      <w:pPr>
        <w:rPr>
          <w:rFonts w:ascii="TUOS Blake" w:hAnsi="TUOS Blake" w:cs="Arial"/>
        </w:rPr>
      </w:pPr>
    </w:p>
    <w:p w14:paraId="4DA97FF8" w14:textId="77777777" w:rsidR="004942B6" w:rsidRDefault="004942B6" w:rsidP="004942B6">
      <w:pPr>
        <w:rPr>
          <w:rFonts w:ascii="TUOS Blake" w:hAnsi="TUOS Blake" w:cs="Arial"/>
        </w:rPr>
      </w:pPr>
    </w:p>
    <w:p w14:paraId="7A9F1BEA" w14:textId="77777777" w:rsidR="004942B6" w:rsidRDefault="004942B6" w:rsidP="004942B6">
      <w:pPr>
        <w:rPr>
          <w:rFonts w:ascii="TUOS Blake" w:hAnsi="TUOS Blake" w:cs="Arial"/>
        </w:rPr>
      </w:pPr>
    </w:p>
    <w:p w14:paraId="44FEE382" w14:textId="77777777" w:rsidR="004942B6" w:rsidRDefault="004942B6" w:rsidP="004942B6">
      <w:pPr>
        <w:rPr>
          <w:rFonts w:ascii="TUOS Blake" w:hAnsi="TUOS Blake" w:cs="Arial"/>
        </w:rPr>
      </w:pPr>
    </w:p>
    <w:p w14:paraId="016AC3AE" w14:textId="1A69FF0D" w:rsidR="00E7036A" w:rsidRDefault="00E7036A">
      <w:pPr>
        <w:rPr>
          <w:rFonts w:ascii="TUOS Blake" w:eastAsiaTheme="majorEastAsia" w:hAnsi="TUOS Blake" w:cs="Arial"/>
          <w:color w:val="2F5496" w:themeColor="accent1" w:themeShade="BF"/>
          <w:sz w:val="40"/>
          <w:szCs w:val="40"/>
        </w:rPr>
      </w:pPr>
      <w:r>
        <w:rPr>
          <w:rFonts w:ascii="TUOS Blake" w:hAnsi="TUOS Blake" w:cs="Arial"/>
        </w:rPr>
        <w:br w:type="page"/>
      </w:r>
    </w:p>
    <w:p w14:paraId="2D4D09FE" w14:textId="77777777" w:rsidR="004942B6" w:rsidRPr="00B35446" w:rsidRDefault="004942B6" w:rsidP="004942B6">
      <w:pPr>
        <w:pStyle w:val="Heading1"/>
        <w:spacing w:line="360" w:lineRule="auto"/>
        <w:jc w:val="both"/>
        <w:rPr>
          <w:rFonts w:ascii="Arial" w:hAnsi="Arial" w:cs="Arial"/>
          <w:b/>
          <w:bCs/>
          <w:color w:val="4472C4" w:themeColor="accent1"/>
        </w:rPr>
      </w:pPr>
      <w:bookmarkStart w:id="2" w:name="_Toc171203835"/>
      <w:r w:rsidRPr="00B35446">
        <w:rPr>
          <w:rFonts w:ascii="Arial" w:hAnsi="Arial" w:cs="Arial"/>
          <w:b/>
          <w:bCs/>
          <w:color w:val="4472C4" w:themeColor="accent1"/>
        </w:rPr>
        <w:lastRenderedPageBreak/>
        <w:t>Acknowledgements</w:t>
      </w:r>
      <w:bookmarkEnd w:id="2"/>
      <w:r w:rsidRPr="00B35446">
        <w:rPr>
          <w:rFonts w:ascii="Arial" w:hAnsi="Arial" w:cs="Arial"/>
          <w:b/>
          <w:bCs/>
          <w:color w:val="4472C4" w:themeColor="accent1"/>
        </w:rPr>
        <w:t xml:space="preserve"> </w:t>
      </w:r>
    </w:p>
    <w:p w14:paraId="7F852EF6" w14:textId="77777777" w:rsidR="004942B6" w:rsidRDefault="004942B6" w:rsidP="004942B6">
      <w:pPr>
        <w:pStyle w:val="Footer"/>
        <w:spacing w:line="360" w:lineRule="auto"/>
        <w:jc w:val="both"/>
        <w:rPr>
          <w:rFonts w:ascii="Arial" w:eastAsiaTheme="minorHAnsi" w:hAnsi="Arial" w:cs="Arial"/>
          <w:color w:val="0D0D0D"/>
          <w:shd w:val="clear" w:color="auto" w:fill="FFFFFF"/>
          <w:lang w:val="en-GB"/>
        </w:rPr>
      </w:pPr>
      <w:r w:rsidRPr="00EB7F70">
        <w:rPr>
          <w:rFonts w:ascii="Arial" w:eastAsiaTheme="minorHAnsi" w:hAnsi="Arial" w:cs="Arial"/>
          <w:color w:val="0D0D0D"/>
          <w:shd w:val="clear" w:color="auto" w:fill="FFFFFF"/>
          <w:lang w:val="en-GB"/>
        </w:rPr>
        <w:t>First and foremost, I would like to express my gratitude to Prof Julian Gunn and Dr Paul Morris for granting me the opportunity to pursue this research project under their guidance. I am most grateful for the endless support and mentoring throughout the project and during the thesis writing. A special thanks to Prof Gunn for providing me with emotional support during my challenging family circumstances.</w:t>
      </w:r>
    </w:p>
    <w:p w14:paraId="002D0AF2" w14:textId="77777777" w:rsidR="008C38D5" w:rsidRDefault="008C38D5" w:rsidP="004942B6">
      <w:pPr>
        <w:pStyle w:val="Footer"/>
        <w:spacing w:line="360" w:lineRule="auto"/>
        <w:jc w:val="both"/>
        <w:rPr>
          <w:rFonts w:ascii="Arial" w:eastAsiaTheme="minorHAnsi" w:hAnsi="Arial" w:cs="Arial"/>
          <w:color w:val="0D0D0D"/>
          <w:shd w:val="clear" w:color="auto" w:fill="FFFFFF"/>
          <w:lang w:val="en-GB"/>
        </w:rPr>
      </w:pPr>
    </w:p>
    <w:p w14:paraId="33677D77" w14:textId="56662319" w:rsidR="004942B6" w:rsidRDefault="004942B6" w:rsidP="004942B6">
      <w:pPr>
        <w:pStyle w:val="Footer"/>
        <w:spacing w:line="360" w:lineRule="auto"/>
        <w:jc w:val="both"/>
        <w:rPr>
          <w:rFonts w:ascii="Arial" w:eastAsiaTheme="minorHAnsi" w:hAnsi="Arial" w:cs="Arial"/>
          <w:color w:val="0D0D0D"/>
          <w:shd w:val="clear" w:color="auto" w:fill="FFFFFF"/>
          <w:lang w:val="en-GB"/>
        </w:rPr>
      </w:pPr>
      <w:r w:rsidRPr="00EB7F70">
        <w:rPr>
          <w:rFonts w:ascii="Arial" w:eastAsiaTheme="minorHAnsi" w:hAnsi="Arial" w:cs="Arial"/>
          <w:color w:val="0D0D0D"/>
          <w:shd w:val="clear" w:color="auto" w:fill="FFFFFF"/>
          <w:lang w:val="en-GB"/>
        </w:rPr>
        <w:t xml:space="preserve">I want to thank Dr Kenny Morgan and Dr Hazel Haley for their valuable contributions as members of my project's independent expert </w:t>
      </w:r>
      <w:r w:rsidR="0012399F">
        <w:rPr>
          <w:rFonts w:ascii="Arial" w:eastAsiaTheme="minorHAnsi" w:hAnsi="Arial" w:cs="Arial"/>
          <w:color w:val="0D0D0D"/>
          <w:shd w:val="clear" w:color="auto" w:fill="FFFFFF"/>
          <w:lang w:val="en-GB"/>
        </w:rPr>
        <w:t>MDT</w:t>
      </w:r>
      <w:r w:rsidRPr="00EB7F70">
        <w:rPr>
          <w:rFonts w:ascii="Arial" w:eastAsiaTheme="minorHAnsi" w:hAnsi="Arial" w:cs="Arial"/>
          <w:color w:val="0D0D0D"/>
          <w:shd w:val="clear" w:color="auto" w:fill="FFFFFF"/>
          <w:lang w:val="en-GB"/>
        </w:rPr>
        <w:t xml:space="preserve"> </w:t>
      </w:r>
      <w:r w:rsidR="00EF5EE4">
        <w:rPr>
          <w:rFonts w:ascii="Arial" w:eastAsiaTheme="minorHAnsi" w:hAnsi="Arial" w:cs="Arial"/>
          <w:color w:val="0D0D0D"/>
          <w:shd w:val="clear" w:color="auto" w:fill="FFFFFF"/>
          <w:lang w:val="en-GB"/>
        </w:rPr>
        <w:t>MDT</w:t>
      </w:r>
      <w:r w:rsidRPr="00EB7F70">
        <w:rPr>
          <w:rFonts w:ascii="Arial" w:eastAsiaTheme="minorHAnsi" w:hAnsi="Arial" w:cs="Arial"/>
          <w:color w:val="0D0D0D"/>
          <w:shd w:val="clear" w:color="auto" w:fill="FFFFFF"/>
          <w:lang w:val="en-GB"/>
        </w:rPr>
        <w:t xml:space="preserve">s. I extend my </w:t>
      </w:r>
      <w:r>
        <w:rPr>
          <w:rFonts w:ascii="Arial" w:eastAsiaTheme="minorHAnsi" w:hAnsi="Arial" w:cs="Arial"/>
          <w:color w:val="0D0D0D"/>
          <w:shd w:val="clear" w:color="auto" w:fill="FFFFFF"/>
          <w:lang w:val="en-GB"/>
        </w:rPr>
        <w:t>appreciation</w:t>
      </w:r>
      <w:r w:rsidRPr="00EB7F70">
        <w:rPr>
          <w:rFonts w:ascii="Arial" w:eastAsiaTheme="minorHAnsi" w:hAnsi="Arial" w:cs="Arial"/>
          <w:color w:val="0D0D0D"/>
          <w:shd w:val="clear" w:color="auto" w:fill="FFFFFF"/>
          <w:lang w:val="en-GB"/>
        </w:rPr>
        <w:t xml:space="preserve"> to Becky and Nonnie, outstanding medical students who have dedicated their efforts to assisting me in collecting data for this project. I am also very grateful to the British Heart Foundation (BHF) for their invaluable support and funding, without which this research would not have been feasible. This academic project has been immensely fulfilling as it allowed me to acquire numerous new skills, which will prove highly beneficial in future endeavours.</w:t>
      </w:r>
    </w:p>
    <w:p w14:paraId="3F9641B8" w14:textId="77777777" w:rsidR="008C38D5" w:rsidRPr="00EB7F70" w:rsidRDefault="008C38D5" w:rsidP="004942B6">
      <w:pPr>
        <w:pStyle w:val="Footer"/>
        <w:spacing w:line="360" w:lineRule="auto"/>
        <w:jc w:val="both"/>
        <w:rPr>
          <w:rFonts w:ascii="Arial" w:eastAsiaTheme="minorHAnsi" w:hAnsi="Arial" w:cs="Arial"/>
          <w:color w:val="0D0D0D"/>
          <w:shd w:val="clear" w:color="auto" w:fill="FFFFFF"/>
          <w:lang w:val="en-GB"/>
        </w:rPr>
      </w:pPr>
    </w:p>
    <w:p w14:paraId="24451FDD" w14:textId="77777777" w:rsidR="004942B6" w:rsidRPr="008832F5" w:rsidRDefault="004942B6" w:rsidP="004942B6">
      <w:pPr>
        <w:pStyle w:val="Footer"/>
        <w:spacing w:line="360" w:lineRule="auto"/>
        <w:jc w:val="both"/>
        <w:rPr>
          <w:rFonts w:ascii="Arial" w:eastAsiaTheme="minorHAnsi" w:hAnsi="Arial" w:cs="Arial"/>
          <w:color w:val="0D0D0D"/>
          <w:shd w:val="clear" w:color="auto" w:fill="FFFFFF"/>
          <w:lang w:val="en-GB"/>
        </w:rPr>
      </w:pPr>
      <w:r w:rsidRPr="00EB7F70">
        <w:rPr>
          <w:rFonts w:ascii="Arial" w:eastAsiaTheme="minorHAnsi" w:hAnsi="Arial" w:cs="Arial"/>
          <w:color w:val="0D0D0D"/>
          <w:shd w:val="clear" w:color="auto" w:fill="FFFFFF"/>
          <w:lang w:val="en-GB"/>
        </w:rPr>
        <w:t>Lastly, I am incredibly thankful to my dear wife Tanzeela for being my most significant support throughout this exceptional journey and to my daughter Mirha who made this task even more joyful with her cuddles and</w:t>
      </w:r>
      <w:r>
        <w:rPr>
          <w:rFonts w:ascii="Arial" w:eastAsiaTheme="minorHAnsi" w:hAnsi="Arial" w:cs="Arial"/>
          <w:color w:val="0D0D0D"/>
          <w:shd w:val="clear" w:color="auto" w:fill="FFFFFF"/>
          <w:lang w:val="en-GB"/>
        </w:rPr>
        <w:t xml:space="preserve"> </w:t>
      </w:r>
      <w:r w:rsidRPr="00EB7F70">
        <w:rPr>
          <w:rFonts w:ascii="Arial" w:eastAsiaTheme="minorHAnsi" w:hAnsi="Arial" w:cs="Arial"/>
          <w:color w:val="0D0D0D"/>
          <w:shd w:val="clear" w:color="auto" w:fill="FFFFFF"/>
          <w:lang w:val="en-GB"/>
        </w:rPr>
        <w:t>love.</w:t>
      </w:r>
    </w:p>
    <w:p w14:paraId="0AE42EC4" w14:textId="77777777" w:rsidR="004942B6" w:rsidRDefault="004942B6" w:rsidP="004942B6">
      <w:pPr>
        <w:pStyle w:val="Footer"/>
        <w:spacing w:line="360" w:lineRule="auto"/>
        <w:jc w:val="both"/>
        <w:rPr>
          <w:rFonts w:ascii="Arial" w:hAnsi="Arial" w:cs="Arial"/>
        </w:rPr>
      </w:pPr>
    </w:p>
    <w:p w14:paraId="6EE2C1A2" w14:textId="77777777" w:rsidR="004942B6" w:rsidRDefault="004942B6" w:rsidP="004942B6">
      <w:pPr>
        <w:pStyle w:val="Footer"/>
        <w:spacing w:line="360" w:lineRule="auto"/>
        <w:jc w:val="both"/>
        <w:rPr>
          <w:rFonts w:ascii="Arial" w:hAnsi="Arial" w:cs="Arial"/>
        </w:rPr>
      </w:pPr>
    </w:p>
    <w:p w14:paraId="0C2B590B" w14:textId="77777777" w:rsidR="004942B6" w:rsidRDefault="004942B6" w:rsidP="004942B6">
      <w:pPr>
        <w:pStyle w:val="Footer"/>
        <w:spacing w:line="360" w:lineRule="auto"/>
        <w:jc w:val="both"/>
        <w:rPr>
          <w:rFonts w:ascii="Arial" w:hAnsi="Arial" w:cs="Arial"/>
        </w:rPr>
      </w:pPr>
    </w:p>
    <w:p w14:paraId="7603B1C4" w14:textId="77777777" w:rsidR="004942B6" w:rsidRDefault="004942B6" w:rsidP="004942B6">
      <w:pPr>
        <w:pStyle w:val="Footer"/>
        <w:spacing w:line="360" w:lineRule="auto"/>
        <w:jc w:val="both"/>
        <w:rPr>
          <w:rFonts w:ascii="Arial" w:hAnsi="Arial" w:cs="Arial"/>
        </w:rPr>
      </w:pPr>
    </w:p>
    <w:p w14:paraId="06C7A3F1" w14:textId="77777777" w:rsidR="004942B6" w:rsidRDefault="004942B6" w:rsidP="004942B6">
      <w:pPr>
        <w:pStyle w:val="Footer"/>
        <w:spacing w:line="360" w:lineRule="auto"/>
        <w:jc w:val="both"/>
        <w:rPr>
          <w:rFonts w:ascii="Arial" w:hAnsi="Arial" w:cs="Arial"/>
        </w:rPr>
      </w:pPr>
    </w:p>
    <w:p w14:paraId="33E91238" w14:textId="77777777" w:rsidR="004942B6" w:rsidRDefault="004942B6" w:rsidP="004942B6">
      <w:pPr>
        <w:pStyle w:val="Footer"/>
        <w:spacing w:line="360" w:lineRule="auto"/>
        <w:jc w:val="both"/>
        <w:rPr>
          <w:rFonts w:ascii="Arial" w:hAnsi="Arial" w:cs="Arial"/>
        </w:rPr>
      </w:pPr>
    </w:p>
    <w:p w14:paraId="0F6CB4A1" w14:textId="77777777" w:rsidR="004942B6" w:rsidRDefault="004942B6" w:rsidP="004942B6">
      <w:pPr>
        <w:pStyle w:val="Footer"/>
        <w:spacing w:line="360" w:lineRule="auto"/>
        <w:jc w:val="both"/>
        <w:rPr>
          <w:rFonts w:ascii="Arial" w:hAnsi="Arial" w:cs="Arial"/>
        </w:rPr>
      </w:pPr>
    </w:p>
    <w:p w14:paraId="585A4680" w14:textId="77777777" w:rsidR="004942B6" w:rsidRDefault="004942B6" w:rsidP="004942B6">
      <w:pPr>
        <w:pStyle w:val="Footer"/>
        <w:spacing w:line="360" w:lineRule="auto"/>
        <w:jc w:val="both"/>
        <w:rPr>
          <w:rFonts w:ascii="Arial" w:hAnsi="Arial" w:cs="Arial"/>
        </w:rPr>
      </w:pPr>
    </w:p>
    <w:p w14:paraId="1A4F7751" w14:textId="77777777" w:rsidR="004942B6" w:rsidRDefault="004942B6" w:rsidP="004942B6">
      <w:pPr>
        <w:pStyle w:val="Footer"/>
        <w:spacing w:line="360" w:lineRule="auto"/>
        <w:jc w:val="both"/>
        <w:rPr>
          <w:rFonts w:ascii="Arial" w:hAnsi="Arial" w:cs="Arial"/>
        </w:rPr>
      </w:pPr>
    </w:p>
    <w:p w14:paraId="75A11798" w14:textId="77777777" w:rsidR="004942B6" w:rsidRDefault="004942B6" w:rsidP="004942B6">
      <w:pPr>
        <w:pStyle w:val="Footer"/>
        <w:spacing w:line="360" w:lineRule="auto"/>
        <w:jc w:val="both"/>
        <w:rPr>
          <w:rFonts w:ascii="Arial" w:hAnsi="Arial" w:cs="Arial"/>
        </w:rPr>
      </w:pPr>
    </w:p>
    <w:p w14:paraId="23B4A11D" w14:textId="77777777" w:rsidR="004942B6" w:rsidRPr="00F605C6" w:rsidRDefault="004942B6" w:rsidP="004942B6">
      <w:pPr>
        <w:pStyle w:val="Heading1"/>
        <w:spacing w:line="360" w:lineRule="auto"/>
        <w:rPr>
          <w:rFonts w:ascii="Arial" w:hAnsi="Arial" w:cs="Arial"/>
          <w:b/>
          <w:bCs/>
          <w:color w:val="4472C4" w:themeColor="accent1"/>
        </w:rPr>
      </w:pPr>
      <w:bookmarkStart w:id="3" w:name="_Toc171203836"/>
      <w:r w:rsidRPr="00F605C6">
        <w:rPr>
          <w:rFonts w:ascii="Arial" w:hAnsi="Arial" w:cs="Arial"/>
          <w:b/>
          <w:bCs/>
          <w:color w:val="4472C4" w:themeColor="accent1"/>
        </w:rPr>
        <w:lastRenderedPageBreak/>
        <w:t>Statement of contribution</w:t>
      </w:r>
      <w:bookmarkEnd w:id="3"/>
    </w:p>
    <w:p w14:paraId="6395A927" w14:textId="011C589E" w:rsidR="004942B6" w:rsidRPr="00403F86" w:rsidRDefault="004942B6" w:rsidP="004942B6">
      <w:pPr>
        <w:spacing w:line="360" w:lineRule="auto"/>
        <w:jc w:val="both"/>
        <w:rPr>
          <w:rFonts w:ascii="Arial" w:hAnsi="Arial" w:cs="Arial"/>
          <w:sz w:val="24"/>
          <w:szCs w:val="24"/>
        </w:rPr>
      </w:pPr>
      <w:r w:rsidRPr="00403F86">
        <w:rPr>
          <w:rFonts w:ascii="Arial" w:hAnsi="Arial" w:cs="Arial"/>
          <w:sz w:val="24"/>
          <w:szCs w:val="24"/>
        </w:rPr>
        <w:t xml:space="preserve">I designed the questionnaire for the telephone consultation follow-up to standardise the data collection. In addition, I also contributed to the data collection. I conducted four expert </w:t>
      </w:r>
      <w:r w:rsidR="00EF5EE4">
        <w:rPr>
          <w:rFonts w:ascii="Arial" w:hAnsi="Arial" w:cs="Arial"/>
          <w:sz w:val="24"/>
          <w:szCs w:val="24"/>
        </w:rPr>
        <w:t>MDT</w:t>
      </w:r>
      <w:r w:rsidRPr="00403F86">
        <w:rPr>
          <w:rFonts w:ascii="Arial" w:hAnsi="Arial" w:cs="Arial"/>
          <w:sz w:val="24"/>
          <w:szCs w:val="24"/>
        </w:rPr>
        <w:t xml:space="preserve">s (two with each expert </w:t>
      </w:r>
      <w:r w:rsidR="0012399F">
        <w:rPr>
          <w:rFonts w:ascii="Arial" w:hAnsi="Arial" w:cs="Arial"/>
          <w:sz w:val="24"/>
          <w:szCs w:val="24"/>
        </w:rPr>
        <w:t>MDT</w:t>
      </w:r>
      <w:r w:rsidRPr="00403F86">
        <w:rPr>
          <w:rFonts w:ascii="Arial" w:hAnsi="Arial" w:cs="Arial"/>
          <w:sz w:val="24"/>
          <w:szCs w:val="24"/>
        </w:rPr>
        <w:t xml:space="preserve">) </w:t>
      </w:r>
      <w:r w:rsidR="008C38D5">
        <w:rPr>
          <w:rFonts w:ascii="Arial" w:hAnsi="Arial" w:cs="Arial"/>
          <w:sz w:val="24"/>
          <w:szCs w:val="24"/>
        </w:rPr>
        <w:t>in which</w:t>
      </w:r>
      <w:r w:rsidRPr="00403F86">
        <w:rPr>
          <w:rFonts w:ascii="Arial" w:hAnsi="Arial" w:cs="Arial"/>
          <w:sz w:val="24"/>
          <w:szCs w:val="24"/>
        </w:rPr>
        <w:t xml:space="preserve"> I presented the case history, clinical findings, </w:t>
      </w:r>
      <w:r>
        <w:rPr>
          <w:rFonts w:ascii="Arial" w:hAnsi="Arial" w:cs="Arial"/>
          <w:sz w:val="24"/>
          <w:szCs w:val="24"/>
        </w:rPr>
        <w:t xml:space="preserve">and </w:t>
      </w:r>
      <w:r w:rsidR="008C38D5">
        <w:rPr>
          <w:rFonts w:ascii="Arial" w:hAnsi="Arial" w:cs="Arial"/>
          <w:sz w:val="24"/>
          <w:szCs w:val="24"/>
        </w:rPr>
        <w:t>CAG</w:t>
      </w:r>
      <w:r w:rsidRPr="00403F86">
        <w:rPr>
          <w:rFonts w:ascii="Arial" w:hAnsi="Arial" w:cs="Arial"/>
          <w:sz w:val="24"/>
          <w:szCs w:val="24"/>
        </w:rPr>
        <w:t xml:space="preserve"> images, </w:t>
      </w:r>
      <w:r w:rsidR="009704F8" w:rsidRPr="00403F86">
        <w:rPr>
          <w:rFonts w:ascii="Arial" w:hAnsi="Arial" w:cs="Arial"/>
          <w:sz w:val="24"/>
          <w:szCs w:val="24"/>
        </w:rPr>
        <w:t>collated</w:t>
      </w:r>
      <w:r w:rsidRPr="00403F86">
        <w:rPr>
          <w:rFonts w:ascii="Arial" w:hAnsi="Arial" w:cs="Arial"/>
          <w:sz w:val="24"/>
          <w:szCs w:val="24"/>
        </w:rPr>
        <w:t xml:space="preserve"> and analysed the data, and wrote up the findings from VIRTU-4</w:t>
      </w:r>
      <w:r>
        <w:rPr>
          <w:rFonts w:ascii="Arial" w:hAnsi="Arial" w:cs="Arial"/>
          <w:sz w:val="24"/>
          <w:szCs w:val="24"/>
        </w:rPr>
        <w:t>,</w:t>
      </w:r>
      <w:r w:rsidRPr="00403F86">
        <w:rPr>
          <w:rFonts w:ascii="Arial" w:hAnsi="Arial" w:cs="Arial"/>
          <w:sz w:val="24"/>
          <w:szCs w:val="24"/>
        </w:rPr>
        <w:t xml:space="preserve"> and of the subset with change in management plans with vFFR. In addition, I also supervised the</w:t>
      </w:r>
      <w:r>
        <w:rPr>
          <w:rFonts w:ascii="Arial" w:hAnsi="Arial" w:cs="Arial"/>
          <w:sz w:val="24"/>
          <w:szCs w:val="24"/>
        </w:rPr>
        <w:t xml:space="preserve"> </w:t>
      </w:r>
      <w:r w:rsidRPr="00403F86">
        <w:rPr>
          <w:rFonts w:ascii="Arial" w:hAnsi="Arial" w:cs="Arial"/>
          <w:sz w:val="24"/>
          <w:szCs w:val="24"/>
        </w:rPr>
        <w:t xml:space="preserve">work of two </w:t>
      </w:r>
      <w:r>
        <w:rPr>
          <w:rFonts w:ascii="Arial" w:hAnsi="Arial" w:cs="Arial"/>
          <w:sz w:val="24"/>
          <w:szCs w:val="24"/>
        </w:rPr>
        <w:t>BSc</w:t>
      </w:r>
      <w:r w:rsidRPr="00403F86">
        <w:rPr>
          <w:rFonts w:ascii="Arial" w:hAnsi="Arial" w:cs="Arial"/>
          <w:sz w:val="24"/>
          <w:szCs w:val="24"/>
        </w:rPr>
        <w:t xml:space="preserve"> students during my project and over</w:t>
      </w:r>
      <w:r>
        <w:rPr>
          <w:rFonts w:ascii="Arial" w:hAnsi="Arial" w:cs="Arial"/>
          <w:sz w:val="24"/>
          <w:szCs w:val="24"/>
        </w:rPr>
        <w:t>saw</w:t>
      </w:r>
      <w:r w:rsidRPr="00403F86">
        <w:rPr>
          <w:rFonts w:ascii="Arial" w:hAnsi="Arial" w:cs="Arial"/>
          <w:sz w:val="24"/>
          <w:szCs w:val="24"/>
        </w:rPr>
        <w:t xml:space="preserve"> their data collection.</w:t>
      </w:r>
    </w:p>
    <w:p w14:paraId="7F873247" w14:textId="77777777" w:rsidR="004942B6" w:rsidRPr="00A92FDA" w:rsidRDefault="004942B6" w:rsidP="004942B6">
      <w:pPr>
        <w:pStyle w:val="Footer"/>
        <w:spacing w:line="360" w:lineRule="auto"/>
        <w:jc w:val="both"/>
        <w:rPr>
          <w:rFonts w:ascii="Arial" w:hAnsi="Arial" w:cs="Arial"/>
          <w:color w:val="0D0D0D"/>
          <w:shd w:val="clear" w:color="auto" w:fill="FFFFFF"/>
        </w:rPr>
      </w:pPr>
    </w:p>
    <w:p w14:paraId="00A0CA54" w14:textId="77777777" w:rsidR="004942B6" w:rsidRDefault="004942B6" w:rsidP="004942B6">
      <w:pPr>
        <w:pStyle w:val="Footer"/>
        <w:spacing w:line="360" w:lineRule="auto"/>
        <w:jc w:val="both"/>
        <w:rPr>
          <w:rFonts w:ascii="Segoe UI" w:hAnsi="Segoe UI" w:cs="Segoe UI"/>
          <w:color w:val="0D0D0D"/>
          <w:shd w:val="clear" w:color="auto" w:fill="FFFFFF"/>
        </w:rPr>
      </w:pPr>
    </w:p>
    <w:p w14:paraId="337EA7CC" w14:textId="77777777" w:rsidR="004942B6" w:rsidRDefault="004942B6" w:rsidP="004942B6">
      <w:pPr>
        <w:pStyle w:val="Footer"/>
        <w:spacing w:line="360" w:lineRule="auto"/>
        <w:jc w:val="both"/>
        <w:rPr>
          <w:rFonts w:ascii="Segoe UI" w:hAnsi="Segoe UI" w:cs="Segoe UI"/>
          <w:color w:val="0D0D0D"/>
          <w:shd w:val="clear" w:color="auto" w:fill="FFFFFF"/>
        </w:rPr>
      </w:pPr>
    </w:p>
    <w:p w14:paraId="1CF80831" w14:textId="77777777" w:rsidR="004942B6" w:rsidRDefault="004942B6" w:rsidP="004942B6">
      <w:pPr>
        <w:pStyle w:val="Footer"/>
        <w:spacing w:line="360" w:lineRule="auto"/>
        <w:jc w:val="both"/>
        <w:rPr>
          <w:rFonts w:ascii="Segoe UI" w:hAnsi="Segoe UI" w:cs="Segoe UI"/>
          <w:color w:val="0D0D0D"/>
          <w:shd w:val="clear" w:color="auto" w:fill="FFFFFF"/>
        </w:rPr>
      </w:pPr>
    </w:p>
    <w:p w14:paraId="725EFEED" w14:textId="77777777" w:rsidR="004942B6" w:rsidRDefault="004942B6" w:rsidP="004942B6">
      <w:pPr>
        <w:pStyle w:val="Footer"/>
        <w:spacing w:line="360" w:lineRule="auto"/>
        <w:jc w:val="both"/>
        <w:rPr>
          <w:rFonts w:ascii="Segoe UI" w:hAnsi="Segoe UI" w:cs="Segoe UI"/>
          <w:color w:val="0D0D0D"/>
          <w:shd w:val="clear" w:color="auto" w:fill="FFFFFF"/>
        </w:rPr>
      </w:pPr>
    </w:p>
    <w:p w14:paraId="4166B85B" w14:textId="77777777" w:rsidR="004942B6" w:rsidRDefault="004942B6" w:rsidP="004942B6">
      <w:pPr>
        <w:pStyle w:val="Footer"/>
        <w:spacing w:line="360" w:lineRule="auto"/>
        <w:jc w:val="both"/>
        <w:rPr>
          <w:rFonts w:ascii="Segoe UI" w:hAnsi="Segoe UI" w:cs="Segoe UI"/>
          <w:color w:val="0D0D0D"/>
          <w:shd w:val="clear" w:color="auto" w:fill="FFFFFF"/>
        </w:rPr>
      </w:pPr>
    </w:p>
    <w:p w14:paraId="1CBB4CA8" w14:textId="77777777" w:rsidR="004942B6" w:rsidRDefault="004942B6" w:rsidP="004942B6">
      <w:pPr>
        <w:pStyle w:val="Footer"/>
        <w:spacing w:line="360" w:lineRule="auto"/>
        <w:jc w:val="both"/>
        <w:rPr>
          <w:rFonts w:ascii="Segoe UI" w:hAnsi="Segoe UI" w:cs="Segoe UI"/>
          <w:color w:val="0D0D0D"/>
          <w:shd w:val="clear" w:color="auto" w:fill="FFFFFF"/>
        </w:rPr>
      </w:pPr>
    </w:p>
    <w:p w14:paraId="58789B74" w14:textId="77777777" w:rsidR="004942B6" w:rsidRDefault="004942B6" w:rsidP="004942B6">
      <w:pPr>
        <w:pStyle w:val="Footer"/>
        <w:spacing w:line="360" w:lineRule="auto"/>
        <w:jc w:val="both"/>
        <w:rPr>
          <w:rFonts w:ascii="Segoe UI" w:hAnsi="Segoe UI" w:cs="Segoe UI"/>
          <w:color w:val="0D0D0D"/>
          <w:shd w:val="clear" w:color="auto" w:fill="FFFFFF"/>
        </w:rPr>
      </w:pPr>
    </w:p>
    <w:p w14:paraId="25F0837D" w14:textId="77777777" w:rsidR="004942B6" w:rsidRDefault="004942B6" w:rsidP="004942B6">
      <w:pPr>
        <w:pStyle w:val="Footer"/>
        <w:spacing w:line="360" w:lineRule="auto"/>
        <w:jc w:val="both"/>
        <w:rPr>
          <w:rFonts w:ascii="Segoe UI" w:hAnsi="Segoe UI" w:cs="Segoe UI"/>
          <w:color w:val="0D0D0D"/>
          <w:shd w:val="clear" w:color="auto" w:fill="FFFFFF"/>
        </w:rPr>
      </w:pPr>
    </w:p>
    <w:p w14:paraId="16F11DCA" w14:textId="77777777" w:rsidR="004942B6" w:rsidRDefault="004942B6" w:rsidP="004942B6">
      <w:pPr>
        <w:pStyle w:val="Footer"/>
        <w:spacing w:line="360" w:lineRule="auto"/>
        <w:jc w:val="both"/>
        <w:rPr>
          <w:rFonts w:ascii="Segoe UI" w:hAnsi="Segoe UI" w:cs="Segoe UI"/>
          <w:color w:val="0D0D0D"/>
          <w:shd w:val="clear" w:color="auto" w:fill="FFFFFF"/>
        </w:rPr>
      </w:pPr>
    </w:p>
    <w:p w14:paraId="3B109DE2" w14:textId="77777777" w:rsidR="004942B6" w:rsidRDefault="004942B6" w:rsidP="004942B6">
      <w:pPr>
        <w:pStyle w:val="Footer"/>
        <w:spacing w:line="360" w:lineRule="auto"/>
        <w:jc w:val="both"/>
        <w:rPr>
          <w:rFonts w:ascii="Segoe UI" w:hAnsi="Segoe UI" w:cs="Segoe UI"/>
          <w:color w:val="0D0D0D"/>
          <w:shd w:val="clear" w:color="auto" w:fill="FFFFFF"/>
        </w:rPr>
      </w:pPr>
    </w:p>
    <w:p w14:paraId="0785B63B" w14:textId="77777777" w:rsidR="004942B6" w:rsidRDefault="004942B6" w:rsidP="004942B6">
      <w:pPr>
        <w:pStyle w:val="Footer"/>
        <w:spacing w:line="360" w:lineRule="auto"/>
        <w:jc w:val="both"/>
        <w:rPr>
          <w:rFonts w:ascii="Segoe UI" w:hAnsi="Segoe UI" w:cs="Segoe UI"/>
          <w:color w:val="0D0D0D"/>
          <w:shd w:val="clear" w:color="auto" w:fill="FFFFFF"/>
        </w:rPr>
      </w:pPr>
    </w:p>
    <w:p w14:paraId="2FACA1B8" w14:textId="77777777" w:rsidR="004942B6" w:rsidRDefault="004942B6" w:rsidP="004942B6">
      <w:pPr>
        <w:pStyle w:val="Footer"/>
        <w:spacing w:line="360" w:lineRule="auto"/>
        <w:jc w:val="both"/>
        <w:rPr>
          <w:rFonts w:ascii="Segoe UI" w:hAnsi="Segoe UI" w:cs="Segoe UI"/>
          <w:color w:val="0D0D0D"/>
          <w:shd w:val="clear" w:color="auto" w:fill="FFFFFF"/>
        </w:rPr>
      </w:pPr>
    </w:p>
    <w:p w14:paraId="0CC4D0BC" w14:textId="77777777" w:rsidR="004942B6" w:rsidRDefault="004942B6" w:rsidP="004942B6">
      <w:pPr>
        <w:pStyle w:val="Footer"/>
        <w:spacing w:line="360" w:lineRule="auto"/>
        <w:jc w:val="both"/>
        <w:rPr>
          <w:rFonts w:ascii="Segoe UI" w:hAnsi="Segoe UI" w:cs="Segoe UI"/>
          <w:color w:val="0D0D0D"/>
          <w:shd w:val="clear" w:color="auto" w:fill="FFFFFF"/>
        </w:rPr>
      </w:pPr>
    </w:p>
    <w:p w14:paraId="75887B4F" w14:textId="77777777" w:rsidR="004942B6" w:rsidRDefault="004942B6" w:rsidP="004942B6">
      <w:pPr>
        <w:pStyle w:val="Footer"/>
        <w:spacing w:line="360" w:lineRule="auto"/>
        <w:jc w:val="both"/>
        <w:rPr>
          <w:rFonts w:ascii="Segoe UI" w:hAnsi="Segoe UI" w:cs="Segoe UI"/>
          <w:color w:val="0D0D0D"/>
          <w:shd w:val="clear" w:color="auto" w:fill="FFFFFF"/>
        </w:rPr>
      </w:pPr>
    </w:p>
    <w:p w14:paraId="0FEF7CB0" w14:textId="7C91C95A" w:rsidR="00E7036A" w:rsidRDefault="00E7036A">
      <w:pPr>
        <w:rPr>
          <w:rFonts w:ascii="Segoe UI" w:eastAsiaTheme="minorEastAsia" w:hAnsi="Segoe UI" w:cs="Segoe UI"/>
          <w:color w:val="0D0D0D"/>
          <w:sz w:val="24"/>
          <w:szCs w:val="24"/>
          <w:shd w:val="clear" w:color="auto" w:fill="FFFFFF"/>
          <w:lang w:val="en-US"/>
        </w:rPr>
      </w:pPr>
      <w:r>
        <w:rPr>
          <w:rFonts w:ascii="Segoe UI" w:hAnsi="Segoe UI" w:cs="Segoe UI"/>
          <w:color w:val="0D0D0D"/>
          <w:shd w:val="clear" w:color="auto" w:fill="FFFFFF"/>
        </w:rPr>
        <w:br w:type="page"/>
      </w:r>
    </w:p>
    <w:bookmarkStart w:id="4" w:name="_Hlk192169268" w:displacedByCustomXml="next"/>
    <w:sdt>
      <w:sdtPr>
        <w:rPr>
          <w:rFonts w:ascii="Arial" w:eastAsiaTheme="minorHAnsi" w:hAnsi="Arial" w:cs="Arial"/>
          <w:color w:val="auto"/>
          <w:sz w:val="24"/>
          <w:szCs w:val="24"/>
          <w:lang w:val="en-GB"/>
        </w:rPr>
        <w:id w:val="-612428976"/>
        <w:docPartObj>
          <w:docPartGallery w:val="Table of Contents"/>
          <w:docPartUnique/>
        </w:docPartObj>
      </w:sdtPr>
      <w:sdtEndPr>
        <w:rPr>
          <w:noProof/>
        </w:rPr>
      </w:sdtEndPr>
      <w:sdtContent>
        <w:p w14:paraId="41DD3E26" w14:textId="77777777" w:rsidR="004942B6" w:rsidRPr="00F605C6" w:rsidRDefault="004942B6" w:rsidP="00EC7385">
          <w:pPr>
            <w:pStyle w:val="TOCHeading"/>
            <w:spacing w:line="360" w:lineRule="auto"/>
            <w:jc w:val="both"/>
            <w:rPr>
              <w:rFonts w:ascii="Arial" w:hAnsi="Arial" w:cs="Arial"/>
              <w:b/>
              <w:bCs/>
              <w:color w:val="4472C4" w:themeColor="accent1"/>
            </w:rPr>
          </w:pPr>
          <w:r w:rsidRPr="00F605C6">
            <w:rPr>
              <w:rStyle w:val="Heading1Char"/>
              <w:rFonts w:ascii="Arial" w:hAnsi="Arial" w:cs="Arial"/>
              <w:b/>
              <w:bCs/>
              <w:color w:val="4472C4" w:themeColor="accent1"/>
              <w:sz w:val="32"/>
              <w:szCs w:val="32"/>
            </w:rPr>
            <w:t>INDEX</w:t>
          </w:r>
        </w:p>
        <w:p w14:paraId="19B6E160" w14:textId="3039D6B1" w:rsidR="00EC7385" w:rsidRPr="00EC7385" w:rsidRDefault="004942B6" w:rsidP="00EC7385">
          <w:pPr>
            <w:pStyle w:val="TOC1"/>
            <w:rPr>
              <w:rFonts w:eastAsiaTheme="minorEastAsia"/>
              <w:b w:val="0"/>
              <w:bCs w:val="0"/>
              <w:kern w:val="2"/>
              <w:lang w:eastAsia="en-GB"/>
            </w:rPr>
          </w:pPr>
          <w:r w:rsidRPr="00EC7385">
            <w:rPr>
              <w:noProof w:val="0"/>
            </w:rPr>
            <w:fldChar w:fldCharType="begin"/>
          </w:r>
          <w:r w:rsidRPr="00EC7385">
            <w:instrText xml:space="preserve"> TOC \o "1-3" \h \z \u </w:instrText>
          </w:r>
          <w:r w:rsidRPr="00EC7385">
            <w:rPr>
              <w:noProof w:val="0"/>
            </w:rPr>
            <w:fldChar w:fldCharType="separate"/>
          </w:r>
          <w:hyperlink w:anchor="_Toc171203834" w:history="1">
            <w:r w:rsidR="00EC7385" w:rsidRPr="00EC7385">
              <w:rPr>
                <w:rStyle w:val="Hyperlink"/>
                <w:color w:val="auto"/>
              </w:rPr>
              <w:t>Abstract</w:t>
            </w:r>
            <w:r w:rsidR="00EC7385" w:rsidRPr="00EC7385">
              <w:rPr>
                <w:webHidden/>
              </w:rPr>
              <w:tab/>
            </w:r>
            <w:r w:rsidR="00EC7385" w:rsidRPr="00EC7385">
              <w:rPr>
                <w:webHidden/>
              </w:rPr>
              <w:fldChar w:fldCharType="begin"/>
            </w:r>
            <w:r w:rsidR="00EC7385" w:rsidRPr="00EC7385">
              <w:rPr>
                <w:webHidden/>
              </w:rPr>
              <w:instrText xml:space="preserve"> PAGEREF _Toc171203834 \h </w:instrText>
            </w:r>
            <w:r w:rsidR="00EC7385" w:rsidRPr="00EC7385">
              <w:rPr>
                <w:webHidden/>
              </w:rPr>
            </w:r>
            <w:r w:rsidR="00EC7385" w:rsidRPr="00EC7385">
              <w:rPr>
                <w:webHidden/>
              </w:rPr>
              <w:fldChar w:fldCharType="separate"/>
            </w:r>
            <w:r w:rsidR="00C6126A">
              <w:rPr>
                <w:webHidden/>
              </w:rPr>
              <w:t>2</w:t>
            </w:r>
            <w:r w:rsidR="00EC7385" w:rsidRPr="00EC7385">
              <w:rPr>
                <w:webHidden/>
              </w:rPr>
              <w:fldChar w:fldCharType="end"/>
            </w:r>
          </w:hyperlink>
        </w:p>
        <w:p w14:paraId="17F0DD05" w14:textId="1B6B254F" w:rsidR="00EC7385" w:rsidRPr="00EC7385" w:rsidRDefault="00EC7385" w:rsidP="00EC7385">
          <w:pPr>
            <w:pStyle w:val="TOC1"/>
            <w:rPr>
              <w:rFonts w:eastAsiaTheme="minorEastAsia"/>
              <w:b w:val="0"/>
              <w:bCs w:val="0"/>
              <w:kern w:val="2"/>
              <w:lang w:eastAsia="en-GB"/>
            </w:rPr>
          </w:pPr>
          <w:hyperlink w:anchor="_Toc171203835" w:history="1">
            <w:r w:rsidRPr="00EC7385">
              <w:rPr>
                <w:rStyle w:val="Hyperlink"/>
                <w:color w:val="auto"/>
              </w:rPr>
              <w:t>Acknowledgements</w:t>
            </w:r>
            <w:r w:rsidRPr="00EC7385">
              <w:rPr>
                <w:webHidden/>
              </w:rPr>
              <w:tab/>
            </w:r>
            <w:r w:rsidRPr="00EC7385">
              <w:rPr>
                <w:webHidden/>
              </w:rPr>
              <w:fldChar w:fldCharType="begin"/>
            </w:r>
            <w:r w:rsidRPr="00EC7385">
              <w:rPr>
                <w:webHidden/>
              </w:rPr>
              <w:instrText xml:space="preserve"> PAGEREF _Toc171203835 \h </w:instrText>
            </w:r>
            <w:r w:rsidRPr="00EC7385">
              <w:rPr>
                <w:webHidden/>
              </w:rPr>
            </w:r>
            <w:r w:rsidRPr="00EC7385">
              <w:rPr>
                <w:webHidden/>
              </w:rPr>
              <w:fldChar w:fldCharType="separate"/>
            </w:r>
            <w:r w:rsidR="00C6126A">
              <w:rPr>
                <w:webHidden/>
              </w:rPr>
              <w:t>4</w:t>
            </w:r>
            <w:r w:rsidRPr="00EC7385">
              <w:rPr>
                <w:webHidden/>
              </w:rPr>
              <w:fldChar w:fldCharType="end"/>
            </w:r>
          </w:hyperlink>
        </w:p>
        <w:p w14:paraId="0E5BC4B0" w14:textId="2A070A3A" w:rsidR="00EC7385" w:rsidRPr="00EC7385" w:rsidRDefault="00EC7385" w:rsidP="00EC7385">
          <w:pPr>
            <w:pStyle w:val="TOC1"/>
            <w:rPr>
              <w:rFonts w:eastAsiaTheme="minorEastAsia"/>
              <w:b w:val="0"/>
              <w:bCs w:val="0"/>
              <w:kern w:val="2"/>
              <w:lang w:eastAsia="en-GB"/>
            </w:rPr>
          </w:pPr>
          <w:hyperlink w:anchor="_Toc171203836" w:history="1">
            <w:r w:rsidRPr="00EC7385">
              <w:rPr>
                <w:rStyle w:val="Hyperlink"/>
                <w:color w:val="auto"/>
              </w:rPr>
              <w:t>Statement of contribution</w:t>
            </w:r>
            <w:r w:rsidRPr="00EC7385">
              <w:rPr>
                <w:webHidden/>
              </w:rPr>
              <w:tab/>
            </w:r>
            <w:r w:rsidRPr="00EC7385">
              <w:rPr>
                <w:webHidden/>
              </w:rPr>
              <w:fldChar w:fldCharType="begin"/>
            </w:r>
            <w:r w:rsidRPr="00EC7385">
              <w:rPr>
                <w:webHidden/>
              </w:rPr>
              <w:instrText xml:space="preserve"> PAGEREF _Toc171203836 \h </w:instrText>
            </w:r>
            <w:r w:rsidRPr="00EC7385">
              <w:rPr>
                <w:webHidden/>
              </w:rPr>
            </w:r>
            <w:r w:rsidRPr="00EC7385">
              <w:rPr>
                <w:webHidden/>
              </w:rPr>
              <w:fldChar w:fldCharType="separate"/>
            </w:r>
            <w:r w:rsidR="00C6126A">
              <w:rPr>
                <w:webHidden/>
              </w:rPr>
              <w:t>5</w:t>
            </w:r>
            <w:r w:rsidRPr="00EC7385">
              <w:rPr>
                <w:webHidden/>
              </w:rPr>
              <w:fldChar w:fldCharType="end"/>
            </w:r>
          </w:hyperlink>
        </w:p>
        <w:p w14:paraId="71954C6E" w14:textId="6A239F3E" w:rsidR="00EC7385" w:rsidRPr="00EC7385" w:rsidRDefault="00EC7385" w:rsidP="00EC7385">
          <w:pPr>
            <w:pStyle w:val="TOC1"/>
            <w:rPr>
              <w:rFonts w:eastAsiaTheme="minorEastAsia"/>
              <w:b w:val="0"/>
              <w:bCs w:val="0"/>
              <w:kern w:val="2"/>
              <w:lang w:eastAsia="en-GB"/>
            </w:rPr>
          </w:pPr>
          <w:hyperlink w:anchor="_Toc171203837" w:history="1">
            <w:r w:rsidRPr="00EC7385">
              <w:rPr>
                <w:rStyle w:val="Hyperlink"/>
                <w:color w:val="auto"/>
              </w:rPr>
              <w:t>Abbreviations</w:t>
            </w:r>
            <w:r w:rsidRPr="00EC7385">
              <w:rPr>
                <w:webHidden/>
              </w:rPr>
              <w:tab/>
            </w:r>
            <w:r w:rsidRPr="00EC7385">
              <w:rPr>
                <w:webHidden/>
              </w:rPr>
              <w:fldChar w:fldCharType="begin"/>
            </w:r>
            <w:r w:rsidRPr="00EC7385">
              <w:rPr>
                <w:webHidden/>
              </w:rPr>
              <w:instrText xml:space="preserve"> PAGEREF _Toc171203837 \h </w:instrText>
            </w:r>
            <w:r w:rsidRPr="00EC7385">
              <w:rPr>
                <w:webHidden/>
              </w:rPr>
            </w:r>
            <w:r w:rsidRPr="00EC7385">
              <w:rPr>
                <w:webHidden/>
              </w:rPr>
              <w:fldChar w:fldCharType="separate"/>
            </w:r>
            <w:r w:rsidR="00C6126A">
              <w:rPr>
                <w:webHidden/>
              </w:rPr>
              <w:t>9</w:t>
            </w:r>
            <w:r w:rsidRPr="00EC7385">
              <w:rPr>
                <w:webHidden/>
              </w:rPr>
              <w:fldChar w:fldCharType="end"/>
            </w:r>
          </w:hyperlink>
        </w:p>
        <w:p w14:paraId="07A21685" w14:textId="38529DE9" w:rsidR="00EC7385" w:rsidRPr="00EC7385" w:rsidRDefault="00EC7385" w:rsidP="00EC7385">
          <w:pPr>
            <w:pStyle w:val="TOC1"/>
            <w:rPr>
              <w:rFonts w:eastAsiaTheme="minorEastAsia"/>
              <w:b w:val="0"/>
              <w:bCs w:val="0"/>
              <w:kern w:val="2"/>
              <w:lang w:eastAsia="en-GB"/>
            </w:rPr>
          </w:pPr>
          <w:hyperlink w:anchor="_Toc171203838" w:history="1">
            <w:r w:rsidRPr="00EC7385">
              <w:rPr>
                <w:rStyle w:val="Hyperlink"/>
                <w:color w:val="auto"/>
              </w:rPr>
              <w:t>1. Introduction</w:t>
            </w:r>
            <w:r w:rsidRPr="00EC7385">
              <w:rPr>
                <w:webHidden/>
              </w:rPr>
              <w:tab/>
            </w:r>
            <w:r w:rsidRPr="00EC7385">
              <w:rPr>
                <w:webHidden/>
              </w:rPr>
              <w:fldChar w:fldCharType="begin"/>
            </w:r>
            <w:r w:rsidRPr="00EC7385">
              <w:rPr>
                <w:webHidden/>
              </w:rPr>
              <w:instrText xml:space="preserve"> PAGEREF _Toc171203838 \h </w:instrText>
            </w:r>
            <w:r w:rsidRPr="00EC7385">
              <w:rPr>
                <w:webHidden/>
              </w:rPr>
            </w:r>
            <w:r w:rsidRPr="00EC7385">
              <w:rPr>
                <w:webHidden/>
              </w:rPr>
              <w:fldChar w:fldCharType="separate"/>
            </w:r>
            <w:r w:rsidR="00C6126A">
              <w:rPr>
                <w:webHidden/>
              </w:rPr>
              <w:t>17</w:t>
            </w:r>
            <w:r w:rsidRPr="00EC7385">
              <w:rPr>
                <w:webHidden/>
              </w:rPr>
              <w:fldChar w:fldCharType="end"/>
            </w:r>
          </w:hyperlink>
        </w:p>
        <w:p w14:paraId="704697D9" w14:textId="0308F35F" w:rsidR="00EC7385" w:rsidRPr="00EC7385" w:rsidRDefault="00EC7385" w:rsidP="00EC7385">
          <w:pPr>
            <w:pStyle w:val="TOC2"/>
            <w:tabs>
              <w:tab w:val="left" w:pos="880"/>
            </w:tabs>
            <w:rPr>
              <w:rFonts w:ascii="Arial" w:eastAsiaTheme="minorEastAsia" w:hAnsi="Arial" w:cs="Arial"/>
              <w:kern w:val="2"/>
              <w:lang w:eastAsia="en-GB"/>
            </w:rPr>
          </w:pPr>
          <w:hyperlink w:anchor="_Toc171203839" w:history="1">
            <w:r w:rsidRPr="00EC7385">
              <w:rPr>
                <w:rStyle w:val="Hyperlink"/>
                <w:rFonts w:ascii="Arial" w:hAnsi="Arial" w:cs="Arial"/>
                <w:color w:val="auto"/>
              </w:rPr>
              <w:t>1.1</w:t>
            </w:r>
            <w:r>
              <w:rPr>
                <w:rFonts w:ascii="Arial" w:eastAsiaTheme="minorEastAsia" w:hAnsi="Arial" w:cs="Arial"/>
                <w:kern w:val="2"/>
                <w:lang w:eastAsia="en-GB"/>
              </w:rPr>
              <w:t xml:space="preserve"> </w:t>
            </w:r>
            <w:r w:rsidRPr="00EC7385">
              <w:rPr>
                <w:rStyle w:val="Hyperlink"/>
                <w:rFonts w:ascii="Arial" w:hAnsi="Arial" w:cs="Arial"/>
                <w:color w:val="auto"/>
              </w:rPr>
              <w:t>Coronary artery disease (CAD): epidemiology and disease burden</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_Toc171203839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17</w:t>
            </w:r>
            <w:r w:rsidRPr="00EC7385">
              <w:rPr>
                <w:rFonts w:ascii="Arial" w:hAnsi="Arial" w:cs="Arial"/>
                <w:webHidden/>
              </w:rPr>
              <w:fldChar w:fldCharType="end"/>
            </w:r>
          </w:hyperlink>
        </w:p>
        <w:p w14:paraId="5F3C4E20" w14:textId="30BC9E1C" w:rsidR="00EC7385" w:rsidRPr="00EC7385" w:rsidRDefault="00EC7385" w:rsidP="00EC7385">
          <w:pPr>
            <w:pStyle w:val="TOC2"/>
            <w:rPr>
              <w:rFonts w:ascii="Arial" w:eastAsiaTheme="minorEastAsia" w:hAnsi="Arial" w:cs="Arial"/>
              <w:kern w:val="2"/>
              <w:lang w:eastAsia="en-GB"/>
            </w:rPr>
          </w:pPr>
          <w:hyperlink w:anchor="_Toc171203840" w:history="1">
            <w:r w:rsidRPr="00EC7385">
              <w:rPr>
                <w:rStyle w:val="Hyperlink"/>
                <w:rFonts w:ascii="Arial" w:hAnsi="Arial" w:cs="Arial"/>
                <w:color w:val="auto"/>
              </w:rPr>
              <w:t>1.2 Pathophysiology of coronary artery disease</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_Toc171203840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17</w:t>
            </w:r>
            <w:r w:rsidRPr="00EC7385">
              <w:rPr>
                <w:rFonts w:ascii="Arial" w:hAnsi="Arial" w:cs="Arial"/>
                <w:webHidden/>
              </w:rPr>
              <w:fldChar w:fldCharType="end"/>
            </w:r>
          </w:hyperlink>
        </w:p>
        <w:p w14:paraId="278E09DA" w14:textId="228B464E" w:rsidR="00EC7385" w:rsidRPr="00EC7385" w:rsidRDefault="00EC7385" w:rsidP="00EC7385">
          <w:pPr>
            <w:pStyle w:val="TOC2"/>
            <w:rPr>
              <w:rFonts w:ascii="Arial" w:eastAsiaTheme="minorEastAsia" w:hAnsi="Arial" w:cs="Arial"/>
              <w:kern w:val="2"/>
              <w:lang w:eastAsia="en-GB"/>
            </w:rPr>
          </w:pPr>
          <w:hyperlink w:anchor="_Toc171203841" w:history="1">
            <w:r w:rsidRPr="00EC7385">
              <w:rPr>
                <w:rStyle w:val="Hyperlink"/>
                <w:rFonts w:ascii="Arial" w:hAnsi="Arial" w:cs="Arial"/>
                <w:color w:val="auto"/>
              </w:rPr>
              <w:t>1.3 Risk factors for coronary artery disease (CAD)</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_Toc171203841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19</w:t>
            </w:r>
            <w:r w:rsidRPr="00EC7385">
              <w:rPr>
                <w:rFonts w:ascii="Arial" w:hAnsi="Arial" w:cs="Arial"/>
                <w:webHidden/>
              </w:rPr>
              <w:fldChar w:fldCharType="end"/>
            </w:r>
          </w:hyperlink>
        </w:p>
        <w:p w14:paraId="0F1CBD13" w14:textId="7FC30CA4" w:rsidR="00EC7385" w:rsidRPr="00EC7385" w:rsidRDefault="00EC7385" w:rsidP="00EC7385">
          <w:pPr>
            <w:pStyle w:val="TOC2"/>
            <w:rPr>
              <w:rFonts w:ascii="Arial" w:eastAsiaTheme="minorEastAsia" w:hAnsi="Arial" w:cs="Arial"/>
              <w:kern w:val="2"/>
              <w:lang w:eastAsia="en-GB"/>
            </w:rPr>
          </w:pPr>
          <w:hyperlink w:anchor="_Toc171203842" w:history="1">
            <w:r w:rsidRPr="00EC7385">
              <w:rPr>
                <w:rStyle w:val="Hyperlink"/>
                <w:rFonts w:ascii="Arial" w:hAnsi="Arial" w:cs="Arial"/>
                <w:color w:val="auto"/>
              </w:rPr>
              <w:t>1.4 Anatomy of the coronary arterial tree</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_Toc171203842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19</w:t>
            </w:r>
            <w:r w:rsidRPr="00EC7385">
              <w:rPr>
                <w:rFonts w:ascii="Arial" w:hAnsi="Arial" w:cs="Arial"/>
                <w:webHidden/>
              </w:rPr>
              <w:fldChar w:fldCharType="end"/>
            </w:r>
          </w:hyperlink>
        </w:p>
        <w:p w14:paraId="58B943DB" w14:textId="57B112D2" w:rsidR="00EC7385" w:rsidRPr="00EC7385" w:rsidRDefault="00EC7385" w:rsidP="00EC7385">
          <w:pPr>
            <w:pStyle w:val="TOC2"/>
            <w:rPr>
              <w:rFonts w:ascii="Arial" w:eastAsiaTheme="minorEastAsia" w:hAnsi="Arial" w:cs="Arial"/>
              <w:kern w:val="2"/>
              <w:lang w:eastAsia="en-GB"/>
            </w:rPr>
          </w:pPr>
          <w:hyperlink w:anchor="_Toc171203844" w:history="1">
            <w:r w:rsidRPr="00EC7385">
              <w:rPr>
                <w:rStyle w:val="Hyperlink"/>
                <w:rFonts w:ascii="Arial" w:hAnsi="Arial" w:cs="Arial"/>
                <w:color w:val="auto"/>
              </w:rPr>
              <w:t>1.5 Clinical manifestation of coronary artery disease</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_Toc171203844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20</w:t>
            </w:r>
            <w:r w:rsidRPr="00EC7385">
              <w:rPr>
                <w:rFonts w:ascii="Arial" w:hAnsi="Arial" w:cs="Arial"/>
                <w:webHidden/>
              </w:rPr>
              <w:fldChar w:fldCharType="end"/>
            </w:r>
          </w:hyperlink>
        </w:p>
        <w:p w14:paraId="2D646486" w14:textId="2D62DD43" w:rsidR="00EC7385" w:rsidRPr="00EC7385" w:rsidRDefault="00EC7385" w:rsidP="00EC7385">
          <w:pPr>
            <w:pStyle w:val="TOC2"/>
            <w:rPr>
              <w:rFonts w:ascii="Arial" w:eastAsiaTheme="minorEastAsia" w:hAnsi="Arial" w:cs="Arial"/>
              <w:kern w:val="2"/>
              <w:lang w:eastAsia="en-GB"/>
            </w:rPr>
          </w:pPr>
          <w:hyperlink w:anchor="_Toc171203847" w:history="1">
            <w:r w:rsidRPr="00EC7385">
              <w:rPr>
                <w:rStyle w:val="Hyperlink"/>
                <w:rFonts w:ascii="Arial" w:hAnsi="Arial" w:cs="Arial"/>
                <w:color w:val="auto"/>
              </w:rPr>
              <w:t>1.6 Investigations and assessment of coronary artery disease (CAD)</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_Toc171203847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25</w:t>
            </w:r>
            <w:r w:rsidRPr="00EC7385">
              <w:rPr>
                <w:rFonts w:ascii="Arial" w:hAnsi="Arial" w:cs="Arial"/>
                <w:webHidden/>
              </w:rPr>
              <w:fldChar w:fldCharType="end"/>
            </w:r>
          </w:hyperlink>
        </w:p>
        <w:p w14:paraId="16F72123" w14:textId="028F600C" w:rsidR="00EC7385" w:rsidRPr="00EC7385" w:rsidRDefault="00EC7385" w:rsidP="00EC7385">
          <w:pPr>
            <w:pStyle w:val="TOC2"/>
            <w:rPr>
              <w:rFonts w:ascii="Arial" w:eastAsiaTheme="minorEastAsia" w:hAnsi="Arial" w:cs="Arial"/>
              <w:kern w:val="2"/>
              <w:lang w:eastAsia="en-GB"/>
            </w:rPr>
          </w:pPr>
          <w:hyperlink w:anchor="_Toc171203850" w:history="1">
            <w:r w:rsidRPr="00EC7385">
              <w:rPr>
                <w:rStyle w:val="Hyperlink"/>
                <w:rFonts w:ascii="Arial" w:hAnsi="Arial" w:cs="Arial"/>
                <w:color w:val="auto"/>
              </w:rPr>
              <w:t>1.7 Treatment for coronary artery disease</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_Toc171203850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31</w:t>
            </w:r>
            <w:r w:rsidRPr="00EC7385">
              <w:rPr>
                <w:rFonts w:ascii="Arial" w:hAnsi="Arial" w:cs="Arial"/>
                <w:webHidden/>
              </w:rPr>
              <w:fldChar w:fldCharType="end"/>
            </w:r>
          </w:hyperlink>
        </w:p>
        <w:p w14:paraId="01BA6385" w14:textId="64EE83D9" w:rsidR="00EC7385" w:rsidRPr="00EC7385" w:rsidRDefault="00EC7385" w:rsidP="00EC7385">
          <w:pPr>
            <w:pStyle w:val="TOC2"/>
            <w:rPr>
              <w:rFonts w:ascii="Arial" w:eastAsiaTheme="minorEastAsia" w:hAnsi="Arial" w:cs="Arial"/>
              <w:kern w:val="2"/>
              <w:lang w:eastAsia="en-GB"/>
            </w:rPr>
          </w:pPr>
          <w:hyperlink w:anchor="_Toc171203856" w:history="1">
            <w:r w:rsidRPr="00EC7385">
              <w:rPr>
                <w:rStyle w:val="Hyperlink"/>
                <w:rFonts w:ascii="Arial" w:hAnsi="Arial" w:cs="Arial"/>
                <w:color w:val="auto"/>
                <w:shd w:val="clear" w:color="auto" w:fill="FFFFFF"/>
              </w:rPr>
              <w:t xml:space="preserve">1.8 Coronary </w:t>
            </w:r>
            <w:r w:rsidRPr="00EC7385">
              <w:rPr>
                <w:rStyle w:val="Hyperlink"/>
                <w:rFonts w:ascii="Arial" w:hAnsi="Arial" w:cs="Arial"/>
                <w:color w:val="auto"/>
              </w:rPr>
              <w:t>blood</w:t>
            </w:r>
            <w:r w:rsidRPr="00EC7385">
              <w:rPr>
                <w:rStyle w:val="Hyperlink"/>
                <w:rFonts w:ascii="Arial" w:hAnsi="Arial" w:cs="Arial"/>
                <w:color w:val="auto"/>
                <w:shd w:val="clear" w:color="auto" w:fill="FFFFFF"/>
              </w:rPr>
              <w:t xml:space="preserve"> flow fundamentals</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_Toc171203856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36</w:t>
            </w:r>
            <w:r w:rsidRPr="00EC7385">
              <w:rPr>
                <w:rFonts w:ascii="Arial" w:hAnsi="Arial" w:cs="Arial"/>
                <w:webHidden/>
              </w:rPr>
              <w:fldChar w:fldCharType="end"/>
            </w:r>
          </w:hyperlink>
        </w:p>
        <w:p w14:paraId="6688A05C" w14:textId="5CF34A14" w:rsidR="00EC7385" w:rsidRPr="00EC7385" w:rsidRDefault="00EC7385" w:rsidP="00EC7385">
          <w:pPr>
            <w:pStyle w:val="TOC2"/>
            <w:rPr>
              <w:rFonts w:ascii="Arial" w:eastAsiaTheme="minorEastAsia" w:hAnsi="Arial" w:cs="Arial"/>
              <w:kern w:val="2"/>
              <w:lang w:eastAsia="en-GB"/>
            </w:rPr>
          </w:pPr>
          <w:hyperlink w:anchor="_Toc171203857" w:history="1">
            <w:r w:rsidRPr="00EC7385">
              <w:rPr>
                <w:rStyle w:val="Hyperlink"/>
                <w:rFonts w:ascii="Arial" w:hAnsi="Arial" w:cs="Arial"/>
                <w:color w:val="auto"/>
              </w:rPr>
              <w:t>1.9 Why should coronary physiology be considered?</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_Toc171203857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37</w:t>
            </w:r>
            <w:r w:rsidRPr="00EC7385">
              <w:rPr>
                <w:rFonts w:ascii="Arial" w:hAnsi="Arial" w:cs="Arial"/>
                <w:webHidden/>
              </w:rPr>
              <w:fldChar w:fldCharType="end"/>
            </w:r>
          </w:hyperlink>
        </w:p>
        <w:p w14:paraId="227CC85C" w14:textId="7A37DA3D" w:rsidR="00EC7385" w:rsidRPr="00EC7385" w:rsidRDefault="00EC7385" w:rsidP="00EC7385">
          <w:pPr>
            <w:pStyle w:val="TOC2"/>
            <w:rPr>
              <w:rFonts w:ascii="Arial" w:eastAsiaTheme="minorEastAsia" w:hAnsi="Arial" w:cs="Arial"/>
              <w:kern w:val="2"/>
              <w:lang w:eastAsia="en-GB"/>
            </w:rPr>
          </w:pPr>
          <w:hyperlink w:anchor="_Toc171203858" w:history="1">
            <w:r w:rsidRPr="00EC7385">
              <w:rPr>
                <w:rStyle w:val="Hyperlink"/>
                <w:rFonts w:ascii="Arial" w:hAnsi="Arial" w:cs="Arial"/>
                <w:color w:val="auto"/>
              </w:rPr>
              <w:t>1.10 How to assess coronary physiology?</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_Toc171203858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38</w:t>
            </w:r>
            <w:r w:rsidRPr="00EC7385">
              <w:rPr>
                <w:rFonts w:ascii="Arial" w:hAnsi="Arial" w:cs="Arial"/>
                <w:webHidden/>
              </w:rPr>
              <w:fldChar w:fldCharType="end"/>
            </w:r>
          </w:hyperlink>
        </w:p>
        <w:p w14:paraId="03DD10BE" w14:textId="541EEB80" w:rsidR="00EC7385" w:rsidRPr="00EC7385" w:rsidRDefault="00EC7385" w:rsidP="00EC7385">
          <w:pPr>
            <w:pStyle w:val="TOC2"/>
            <w:rPr>
              <w:rFonts w:ascii="Arial" w:eastAsiaTheme="minorEastAsia" w:hAnsi="Arial" w:cs="Arial"/>
              <w:kern w:val="2"/>
              <w:lang w:eastAsia="en-GB"/>
            </w:rPr>
          </w:pPr>
          <w:hyperlink w:anchor="_Toc171203862" w:history="1">
            <w:r w:rsidRPr="00EC7385">
              <w:rPr>
                <w:rStyle w:val="Hyperlink"/>
                <w:rFonts w:ascii="Arial" w:hAnsi="Arial" w:cs="Arial"/>
                <w:color w:val="auto"/>
              </w:rPr>
              <w:t>1.11 Health economics: why is it important for healthcare systems?</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_Toc171203862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53</w:t>
            </w:r>
            <w:r w:rsidRPr="00EC7385">
              <w:rPr>
                <w:rFonts w:ascii="Arial" w:hAnsi="Arial" w:cs="Arial"/>
                <w:webHidden/>
              </w:rPr>
              <w:fldChar w:fldCharType="end"/>
            </w:r>
          </w:hyperlink>
        </w:p>
        <w:p w14:paraId="2E29D4B0" w14:textId="43E7FECE" w:rsidR="00EC7385" w:rsidRPr="00EC7385" w:rsidRDefault="00EC7385" w:rsidP="00EC7385">
          <w:pPr>
            <w:pStyle w:val="TOC2"/>
            <w:rPr>
              <w:rFonts w:ascii="Arial" w:eastAsiaTheme="minorEastAsia" w:hAnsi="Arial" w:cs="Arial"/>
              <w:kern w:val="2"/>
              <w:lang w:eastAsia="en-GB"/>
            </w:rPr>
          </w:pPr>
          <w:hyperlink w:anchor="_Toc171203868" w:history="1">
            <w:r w:rsidRPr="00EC7385">
              <w:rPr>
                <w:rStyle w:val="Hyperlink"/>
                <w:rFonts w:ascii="Arial" w:hAnsi="Arial" w:cs="Arial"/>
                <w:color w:val="auto"/>
              </w:rPr>
              <w:t>1.12 Health economics of coronary artery disease (CAD)</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_Toc171203868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57</w:t>
            </w:r>
            <w:r w:rsidRPr="00EC7385">
              <w:rPr>
                <w:rFonts w:ascii="Arial" w:hAnsi="Arial" w:cs="Arial"/>
                <w:webHidden/>
              </w:rPr>
              <w:fldChar w:fldCharType="end"/>
            </w:r>
          </w:hyperlink>
        </w:p>
        <w:p w14:paraId="51160BCC" w14:textId="0B9A7772" w:rsidR="00EC7385" w:rsidRPr="00EC7385" w:rsidRDefault="00EC7385" w:rsidP="00EC7385">
          <w:pPr>
            <w:pStyle w:val="TOC2"/>
            <w:rPr>
              <w:rFonts w:ascii="Arial" w:eastAsiaTheme="minorEastAsia" w:hAnsi="Arial" w:cs="Arial"/>
              <w:kern w:val="2"/>
              <w:lang w:eastAsia="en-GB"/>
            </w:rPr>
          </w:pPr>
          <w:hyperlink w:anchor="_Toc171203871" w:history="1">
            <w:r w:rsidRPr="00EC7385">
              <w:rPr>
                <w:rStyle w:val="Hyperlink"/>
                <w:rFonts w:ascii="Arial" w:hAnsi="Arial" w:cs="Arial"/>
                <w:color w:val="auto"/>
              </w:rPr>
              <w:t>1.13 The VIRTU-4 study</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_Toc171203871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62</w:t>
            </w:r>
            <w:r w:rsidRPr="00EC7385">
              <w:rPr>
                <w:rFonts w:ascii="Arial" w:hAnsi="Arial" w:cs="Arial"/>
                <w:webHidden/>
              </w:rPr>
              <w:fldChar w:fldCharType="end"/>
            </w:r>
          </w:hyperlink>
        </w:p>
        <w:p w14:paraId="0D667FE9" w14:textId="08033990" w:rsidR="00EC7385" w:rsidRPr="00EC7385" w:rsidRDefault="00EC7385" w:rsidP="00EC7385">
          <w:pPr>
            <w:pStyle w:val="TOC1"/>
            <w:rPr>
              <w:rFonts w:eastAsiaTheme="minorEastAsia"/>
              <w:b w:val="0"/>
              <w:bCs w:val="0"/>
              <w:kern w:val="2"/>
              <w:lang w:eastAsia="en-GB"/>
            </w:rPr>
          </w:pPr>
          <w:hyperlink w:anchor="_Toc171203877" w:history="1">
            <w:r w:rsidRPr="00EC7385">
              <w:rPr>
                <w:rStyle w:val="Hyperlink"/>
                <w:color w:val="auto"/>
              </w:rPr>
              <w:t>2.</w:t>
            </w:r>
            <w:r w:rsidR="00FA7995">
              <w:rPr>
                <w:rFonts w:eastAsiaTheme="minorEastAsia"/>
                <w:b w:val="0"/>
                <w:bCs w:val="0"/>
                <w:kern w:val="2"/>
                <w:lang w:eastAsia="en-GB"/>
              </w:rPr>
              <w:t xml:space="preserve"> </w:t>
            </w:r>
            <w:r w:rsidRPr="00EC7385">
              <w:rPr>
                <w:rStyle w:val="Hyperlink"/>
                <w:color w:val="auto"/>
              </w:rPr>
              <w:t>Methods</w:t>
            </w:r>
            <w:r w:rsidRPr="00EC7385">
              <w:rPr>
                <w:webHidden/>
              </w:rPr>
              <w:tab/>
            </w:r>
            <w:r w:rsidRPr="00EC7385">
              <w:rPr>
                <w:webHidden/>
              </w:rPr>
              <w:fldChar w:fldCharType="begin"/>
            </w:r>
            <w:r w:rsidRPr="00EC7385">
              <w:rPr>
                <w:webHidden/>
              </w:rPr>
              <w:instrText xml:space="preserve"> PAGEREF _Toc171203877 \h </w:instrText>
            </w:r>
            <w:r w:rsidRPr="00EC7385">
              <w:rPr>
                <w:webHidden/>
              </w:rPr>
            </w:r>
            <w:r w:rsidRPr="00EC7385">
              <w:rPr>
                <w:webHidden/>
              </w:rPr>
              <w:fldChar w:fldCharType="separate"/>
            </w:r>
            <w:r w:rsidR="00C6126A">
              <w:rPr>
                <w:webHidden/>
              </w:rPr>
              <w:t>66</w:t>
            </w:r>
            <w:r w:rsidRPr="00EC7385">
              <w:rPr>
                <w:webHidden/>
              </w:rPr>
              <w:fldChar w:fldCharType="end"/>
            </w:r>
          </w:hyperlink>
        </w:p>
        <w:p w14:paraId="3045C2EB" w14:textId="256F4143" w:rsidR="00EC7385" w:rsidRPr="00EC7385" w:rsidRDefault="00EC7385" w:rsidP="00EC7385">
          <w:pPr>
            <w:pStyle w:val="TOC2"/>
            <w:rPr>
              <w:rFonts w:ascii="Arial" w:eastAsiaTheme="minorEastAsia" w:hAnsi="Arial" w:cs="Arial"/>
              <w:kern w:val="2"/>
              <w:lang w:eastAsia="en-GB"/>
            </w:rPr>
          </w:pPr>
          <w:hyperlink w:anchor="_Toc171203878" w:history="1">
            <w:r w:rsidRPr="00EC7385">
              <w:rPr>
                <w:rStyle w:val="Hyperlink"/>
                <w:rFonts w:ascii="Arial" w:hAnsi="Arial" w:cs="Arial"/>
                <w:color w:val="auto"/>
              </w:rPr>
              <w:t>2.1 VIRTU-4 HE overview</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_Toc171203878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66</w:t>
            </w:r>
            <w:r w:rsidRPr="00EC7385">
              <w:rPr>
                <w:rFonts w:ascii="Arial" w:hAnsi="Arial" w:cs="Arial"/>
                <w:webHidden/>
              </w:rPr>
              <w:fldChar w:fldCharType="end"/>
            </w:r>
          </w:hyperlink>
        </w:p>
        <w:p w14:paraId="6CDAA378" w14:textId="0369E3AD" w:rsidR="00EC7385" w:rsidRPr="00EC7385" w:rsidRDefault="00EC7385" w:rsidP="00EC7385">
          <w:pPr>
            <w:pStyle w:val="TOC2"/>
            <w:rPr>
              <w:rFonts w:ascii="Arial" w:eastAsiaTheme="minorEastAsia" w:hAnsi="Arial" w:cs="Arial"/>
              <w:kern w:val="2"/>
              <w:lang w:eastAsia="en-GB"/>
            </w:rPr>
          </w:pPr>
          <w:hyperlink w:anchor="_Toc171203885" w:history="1">
            <w:r w:rsidRPr="00EC7385">
              <w:rPr>
                <w:rStyle w:val="Hyperlink"/>
                <w:rFonts w:ascii="Arial" w:hAnsi="Arial" w:cs="Arial"/>
                <w:color w:val="auto"/>
              </w:rPr>
              <w:t>2.2 Research ethics and integrity</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_Toc171203885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68</w:t>
            </w:r>
            <w:r w:rsidRPr="00EC7385">
              <w:rPr>
                <w:rFonts w:ascii="Arial" w:hAnsi="Arial" w:cs="Arial"/>
                <w:webHidden/>
              </w:rPr>
              <w:fldChar w:fldCharType="end"/>
            </w:r>
          </w:hyperlink>
        </w:p>
        <w:p w14:paraId="1ABE2EFA" w14:textId="57344FA2" w:rsidR="00EC7385" w:rsidRPr="00EC7385" w:rsidRDefault="00EC7385" w:rsidP="00EC7385">
          <w:pPr>
            <w:pStyle w:val="TOC2"/>
            <w:rPr>
              <w:rFonts w:ascii="Arial" w:eastAsiaTheme="minorEastAsia" w:hAnsi="Arial" w:cs="Arial"/>
              <w:kern w:val="2"/>
              <w:lang w:eastAsia="en-GB"/>
            </w:rPr>
          </w:pPr>
          <w:hyperlink w:anchor="_Toc171203886" w:history="1">
            <w:r w:rsidRPr="00EC7385">
              <w:rPr>
                <w:rStyle w:val="Hyperlink"/>
                <w:rFonts w:ascii="Arial" w:hAnsi="Arial" w:cs="Arial"/>
                <w:color w:val="auto"/>
              </w:rPr>
              <w:t>2.3 Data collection</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_Toc171203886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69</w:t>
            </w:r>
            <w:r w:rsidRPr="00EC7385">
              <w:rPr>
                <w:rFonts w:ascii="Arial" w:hAnsi="Arial" w:cs="Arial"/>
                <w:webHidden/>
              </w:rPr>
              <w:fldChar w:fldCharType="end"/>
            </w:r>
          </w:hyperlink>
        </w:p>
        <w:p w14:paraId="330777A3" w14:textId="44B696AB" w:rsidR="00EC7385" w:rsidRPr="00EC7385" w:rsidRDefault="00EC7385" w:rsidP="00EC7385">
          <w:pPr>
            <w:pStyle w:val="TOC2"/>
            <w:rPr>
              <w:rFonts w:ascii="Arial" w:eastAsiaTheme="minorEastAsia" w:hAnsi="Arial" w:cs="Arial"/>
              <w:kern w:val="2"/>
              <w:lang w:eastAsia="en-GB"/>
            </w:rPr>
          </w:pPr>
          <w:hyperlink w:anchor="_Toc171203891" w:history="1">
            <w:r w:rsidRPr="00EC7385">
              <w:rPr>
                <w:rStyle w:val="Hyperlink"/>
                <w:rFonts w:ascii="Arial" w:hAnsi="Arial" w:cs="Arial"/>
                <w:color w:val="auto"/>
              </w:rPr>
              <w:t>2.4 Summary of VIRTU-4 HE design</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_Toc171203891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71</w:t>
            </w:r>
            <w:r w:rsidRPr="00EC7385">
              <w:rPr>
                <w:rFonts w:ascii="Arial" w:hAnsi="Arial" w:cs="Arial"/>
                <w:webHidden/>
              </w:rPr>
              <w:fldChar w:fldCharType="end"/>
            </w:r>
          </w:hyperlink>
        </w:p>
        <w:p w14:paraId="3A20860A" w14:textId="01D35EF3" w:rsidR="00EC7385" w:rsidRPr="00EC7385" w:rsidRDefault="00EC7385" w:rsidP="00EC7385">
          <w:pPr>
            <w:pStyle w:val="TOC2"/>
            <w:rPr>
              <w:rFonts w:ascii="Arial" w:eastAsiaTheme="minorEastAsia" w:hAnsi="Arial" w:cs="Arial"/>
              <w:kern w:val="2"/>
              <w:lang w:eastAsia="en-GB"/>
            </w:rPr>
          </w:pPr>
          <w:hyperlink w:anchor="_Toc171203895" w:history="1">
            <w:r w:rsidRPr="00EC7385">
              <w:rPr>
                <w:rStyle w:val="Hyperlink"/>
                <w:rFonts w:ascii="Arial" w:hAnsi="Arial" w:cs="Arial"/>
                <w:color w:val="auto"/>
              </w:rPr>
              <w:t>2.5 Total cost estimation</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_Toc171203895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87</w:t>
            </w:r>
            <w:r w:rsidRPr="00EC7385">
              <w:rPr>
                <w:rFonts w:ascii="Arial" w:hAnsi="Arial" w:cs="Arial"/>
                <w:webHidden/>
              </w:rPr>
              <w:fldChar w:fldCharType="end"/>
            </w:r>
          </w:hyperlink>
        </w:p>
        <w:p w14:paraId="736A34DF" w14:textId="705B13C5" w:rsidR="00EC7385" w:rsidRPr="00EC7385" w:rsidRDefault="00EC7385" w:rsidP="00EC7385">
          <w:pPr>
            <w:pStyle w:val="TOC2"/>
            <w:rPr>
              <w:rFonts w:ascii="Arial" w:eastAsiaTheme="minorEastAsia" w:hAnsi="Arial" w:cs="Arial"/>
              <w:kern w:val="2"/>
              <w:lang w:eastAsia="en-GB"/>
            </w:rPr>
          </w:pPr>
          <w:hyperlink w:anchor="_Toc171203904" w:history="1">
            <w:r w:rsidRPr="00EC7385">
              <w:rPr>
                <w:rStyle w:val="Hyperlink"/>
                <w:rFonts w:ascii="Arial" w:hAnsi="Arial" w:cs="Arial"/>
                <w:color w:val="auto"/>
              </w:rPr>
              <w:t>2.6 QALY estimation</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_Toc171203904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95</w:t>
            </w:r>
            <w:r w:rsidRPr="00EC7385">
              <w:rPr>
                <w:rFonts w:ascii="Arial" w:hAnsi="Arial" w:cs="Arial"/>
                <w:webHidden/>
              </w:rPr>
              <w:fldChar w:fldCharType="end"/>
            </w:r>
          </w:hyperlink>
        </w:p>
        <w:p w14:paraId="4C7B31D7" w14:textId="492FD618" w:rsidR="00EC7385" w:rsidRPr="00EC7385" w:rsidRDefault="00EC7385" w:rsidP="00EC7385">
          <w:pPr>
            <w:pStyle w:val="TOC2"/>
            <w:rPr>
              <w:rFonts w:ascii="Arial" w:eastAsiaTheme="minorEastAsia" w:hAnsi="Arial" w:cs="Arial"/>
              <w:kern w:val="2"/>
              <w:lang w:eastAsia="en-GB"/>
            </w:rPr>
          </w:pPr>
          <w:hyperlink w:anchor="_Toc171203905" w:history="1">
            <w:r w:rsidRPr="00EC7385">
              <w:rPr>
                <w:rStyle w:val="Hyperlink"/>
                <w:rFonts w:ascii="Arial" w:hAnsi="Arial" w:cs="Arial"/>
                <w:color w:val="auto"/>
              </w:rPr>
              <w:t>2.7 ICER calculation</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_Toc171203905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95</w:t>
            </w:r>
            <w:r w:rsidRPr="00EC7385">
              <w:rPr>
                <w:rFonts w:ascii="Arial" w:hAnsi="Arial" w:cs="Arial"/>
                <w:webHidden/>
              </w:rPr>
              <w:fldChar w:fldCharType="end"/>
            </w:r>
          </w:hyperlink>
        </w:p>
        <w:p w14:paraId="2D33F56D" w14:textId="1603E665" w:rsidR="00EC7385" w:rsidRPr="00EC7385" w:rsidRDefault="00EC7385" w:rsidP="00EC7385">
          <w:pPr>
            <w:pStyle w:val="TOC2"/>
            <w:rPr>
              <w:rFonts w:ascii="Arial" w:eastAsiaTheme="minorEastAsia" w:hAnsi="Arial" w:cs="Arial"/>
              <w:kern w:val="2"/>
              <w:lang w:eastAsia="en-GB"/>
            </w:rPr>
          </w:pPr>
          <w:hyperlink w:anchor="_Toc171203906" w:history="1">
            <w:r w:rsidRPr="00EC7385">
              <w:rPr>
                <w:rStyle w:val="Hyperlink"/>
                <w:rFonts w:ascii="Arial" w:hAnsi="Arial" w:cs="Arial"/>
                <w:color w:val="auto"/>
              </w:rPr>
              <w:t>2.8 Statistical analysis</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_Toc171203906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96</w:t>
            </w:r>
            <w:r w:rsidRPr="00EC7385">
              <w:rPr>
                <w:rFonts w:ascii="Arial" w:hAnsi="Arial" w:cs="Arial"/>
                <w:webHidden/>
              </w:rPr>
              <w:fldChar w:fldCharType="end"/>
            </w:r>
          </w:hyperlink>
        </w:p>
        <w:p w14:paraId="3D5B14CA" w14:textId="1DC94A24" w:rsidR="00EC7385" w:rsidRPr="00EC7385" w:rsidRDefault="00EC7385" w:rsidP="00EC7385">
          <w:pPr>
            <w:pStyle w:val="TOC1"/>
            <w:rPr>
              <w:rFonts w:eastAsiaTheme="minorEastAsia"/>
              <w:b w:val="0"/>
              <w:bCs w:val="0"/>
              <w:kern w:val="2"/>
              <w:lang w:eastAsia="en-GB"/>
            </w:rPr>
          </w:pPr>
          <w:hyperlink w:anchor="_Toc171203907" w:history="1">
            <w:r w:rsidRPr="00EC7385">
              <w:rPr>
                <w:rStyle w:val="Hyperlink"/>
                <w:color w:val="auto"/>
              </w:rPr>
              <w:t>3. Results</w:t>
            </w:r>
            <w:r w:rsidRPr="00EC7385">
              <w:rPr>
                <w:webHidden/>
              </w:rPr>
              <w:tab/>
            </w:r>
            <w:r w:rsidRPr="00EC7385">
              <w:rPr>
                <w:webHidden/>
              </w:rPr>
              <w:fldChar w:fldCharType="begin"/>
            </w:r>
            <w:r w:rsidRPr="00EC7385">
              <w:rPr>
                <w:webHidden/>
              </w:rPr>
              <w:instrText xml:space="preserve"> PAGEREF _Toc171203907 \h </w:instrText>
            </w:r>
            <w:r w:rsidRPr="00EC7385">
              <w:rPr>
                <w:webHidden/>
              </w:rPr>
            </w:r>
            <w:r w:rsidRPr="00EC7385">
              <w:rPr>
                <w:webHidden/>
              </w:rPr>
              <w:fldChar w:fldCharType="separate"/>
            </w:r>
            <w:r w:rsidR="00C6126A">
              <w:rPr>
                <w:webHidden/>
              </w:rPr>
              <w:t>97</w:t>
            </w:r>
            <w:r w:rsidRPr="00EC7385">
              <w:rPr>
                <w:webHidden/>
              </w:rPr>
              <w:fldChar w:fldCharType="end"/>
            </w:r>
          </w:hyperlink>
        </w:p>
        <w:p w14:paraId="6A395A14" w14:textId="3B2A8505" w:rsidR="00EC7385" w:rsidRPr="00EC7385" w:rsidRDefault="00EC7385" w:rsidP="00EC7385">
          <w:pPr>
            <w:pStyle w:val="TOC2"/>
            <w:rPr>
              <w:rFonts w:ascii="Arial" w:eastAsiaTheme="minorEastAsia" w:hAnsi="Arial" w:cs="Arial"/>
              <w:kern w:val="2"/>
              <w:lang w:eastAsia="en-GB"/>
            </w:rPr>
          </w:pPr>
          <w:hyperlink w:anchor="_Toc171203908" w:history="1">
            <w:r w:rsidRPr="00EC7385">
              <w:rPr>
                <w:rStyle w:val="Hyperlink"/>
                <w:rFonts w:ascii="Arial" w:hAnsi="Arial" w:cs="Arial"/>
                <w:color w:val="auto"/>
              </w:rPr>
              <w:t>3.1 Clinical outcomes from the entire VIRTU-4 HE</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_Toc171203908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97</w:t>
            </w:r>
            <w:r w:rsidRPr="00EC7385">
              <w:rPr>
                <w:rFonts w:ascii="Arial" w:hAnsi="Arial" w:cs="Arial"/>
                <w:webHidden/>
              </w:rPr>
              <w:fldChar w:fldCharType="end"/>
            </w:r>
          </w:hyperlink>
        </w:p>
        <w:p w14:paraId="4CFCF89D" w14:textId="0D99B95D" w:rsidR="00EC7385" w:rsidRPr="00EC7385" w:rsidRDefault="00EC7385" w:rsidP="00EC7385">
          <w:pPr>
            <w:pStyle w:val="TOC2"/>
            <w:rPr>
              <w:rFonts w:ascii="Arial" w:eastAsiaTheme="minorEastAsia" w:hAnsi="Arial" w:cs="Arial"/>
              <w:kern w:val="2"/>
              <w:lang w:eastAsia="en-GB"/>
            </w:rPr>
          </w:pPr>
          <w:hyperlink w:anchor="_Toc171203920" w:history="1">
            <w:r w:rsidRPr="00EC7385">
              <w:rPr>
                <w:rStyle w:val="Hyperlink"/>
                <w:rFonts w:ascii="Arial" w:hAnsi="Arial" w:cs="Arial"/>
                <w:color w:val="auto"/>
              </w:rPr>
              <w:t>3.2 QOL outcomes from the entire VIRTU-4 HE</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_Toc171203920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107</w:t>
            </w:r>
            <w:r w:rsidRPr="00EC7385">
              <w:rPr>
                <w:rFonts w:ascii="Arial" w:hAnsi="Arial" w:cs="Arial"/>
                <w:webHidden/>
              </w:rPr>
              <w:fldChar w:fldCharType="end"/>
            </w:r>
          </w:hyperlink>
        </w:p>
        <w:p w14:paraId="3BA457AB" w14:textId="5053EA1B" w:rsidR="00EC7385" w:rsidRPr="00EC7385" w:rsidRDefault="00EC7385" w:rsidP="00EC7385">
          <w:pPr>
            <w:pStyle w:val="TOC2"/>
            <w:rPr>
              <w:rFonts w:ascii="Arial" w:eastAsiaTheme="minorEastAsia" w:hAnsi="Arial" w:cs="Arial"/>
              <w:kern w:val="2"/>
              <w:lang w:eastAsia="en-GB"/>
            </w:rPr>
          </w:pPr>
          <w:hyperlink w:anchor="_Toc171203928" w:history="1">
            <w:r w:rsidRPr="00EC7385">
              <w:rPr>
                <w:rStyle w:val="Hyperlink"/>
                <w:rFonts w:ascii="Arial" w:hAnsi="Arial" w:cs="Arial"/>
                <w:color w:val="auto"/>
              </w:rPr>
              <w:t>3.3 Health economics outcomes from the entire VIRTU-4 HE</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_Toc171203928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120</w:t>
            </w:r>
            <w:r w:rsidRPr="00EC7385">
              <w:rPr>
                <w:rFonts w:ascii="Arial" w:hAnsi="Arial" w:cs="Arial"/>
                <w:webHidden/>
              </w:rPr>
              <w:fldChar w:fldCharType="end"/>
            </w:r>
          </w:hyperlink>
        </w:p>
        <w:p w14:paraId="14D9138F" w14:textId="7397DCD3" w:rsidR="00EC7385" w:rsidRPr="00EC7385" w:rsidRDefault="00EC7385" w:rsidP="00EC7385">
          <w:pPr>
            <w:pStyle w:val="TOC2"/>
            <w:rPr>
              <w:rFonts w:ascii="Arial" w:eastAsiaTheme="minorEastAsia" w:hAnsi="Arial" w:cs="Arial"/>
              <w:kern w:val="2"/>
              <w:lang w:eastAsia="en-GB"/>
            </w:rPr>
          </w:pPr>
          <w:hyperlink w:anchor="_Toc171203932" w:history="1">
            <w:r w:rsidRPr="00EC7385">
              <w:rPr>
                <w:rStyle w:val="Hyperlink"/>
                <w:rFonts w:ascii="Arial" w:hAnsi="Arial" w:cs="Arial"/>
                <w:color w:val="auto"/>
              </w:rPr>
              <w:t>3.4 Clinical outcomes from the virtual change subset</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_Toc171203932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125</w:t>
            </w:r>
            <w:r w:rsidRPr="00EC7385">
              <w:rPr>
                <w:rFonts w:ascii="Arial" w:hAnsi="Arial" w:cs="Arial"/>
                <w:webHidden/>
              </w:rPr>
              <w:fldChar w:fldCharType="end"/>
            </w:r>
          </w:hyperlink>
        </w:p>
        <w:p w14:paraId="32AD5B40" w14:textId="75A9059C" w:rsidR="00EC7385" w:rsidRPr="00EC7385" w:rsidRDefault="00EC7385" w:rsidP="00EC7385">
          <w:pPr>
            <w:pStyle w:val="TOC2"/>
            <w:rPr>
              <w:rFonts w:ascii="Arial" w:eastAsiaTheme="minorEastAsia" w:hAnsi="Arial" w:cs="Arial"/>
              <w:kern w:val="2"/>
              <w:lang w:eastAsia="en-GB"/>
            </w:rPr>
          </w:pPr>
          <w:hyperlink w:anchor="_Toc171203935" w:history="1">
            <w:r w:rsidRPr="00EC7385">
              <w:rPr>
                <w:rStyle w:val="Hyperlink"/>
                <w:rFonts w:ascii="Arial" w:hAnsi="Arial" w:cs="Arial"/>
                <w:color w:val="auto"/>
              </w:rPr>
              <w:t>3.5 QOL outcomes for the virtual change subset</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_Toc171203935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128</w:t>
            </w:r>
            <w:r w:rsidRPr="00EC7385">
              <w:rPr>
                <w:rFonts w:ascii="Arial" w:hAnsi="Arial" w:cs="Arial"/>
                <w:webHidden/>
              </w:rPr>
              <w:fldChar w:fldCharType="end"/>
            </w:r>
          </w:hyperlink>
        </w:p>
        <w:p w14:paraId="3F92620B" w14:textId="72BB37A0" w:rsidR="00EC7385" w:rsidRPr="00EC7385" w:rsidRDefault="00EC7385" w:rsidP="00EC7385">
          <w:pPr>
            <w:pStyle w:val="TOC2"/>
            <w:rPr>
              <w:rFonts w:ascii="Arial" w:eastAsiaTheme="minorEastAsia" w:hAnsi="Arial" w:cs="Arial"/>
              <w:kern w:val="2"/>
              <w:lang w:eastAsia="en-GB"/>
            </w:rPr>
          </w:pPr>
          <w:hyperlink w:anchor="_Toc171203936" w:history="1">
            <w:r w:rsidRPr="00EC7385">
              <w:rPr>
                <w:rStyle w:val="Hyperlink"/>
                <w:rFonts w:ascii="Arial" w:hAnsi="Arial" w:cs="Arial"/>
                <w:color w:val="auto"/>
              </w:rPr>
              <w:t>3.6 Health economics outcomes from the virtual change subset</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_Toc171203936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136</w:t>
            </w:r>
            <w:r w:rsidRPr="00EC7385">
              <w:rPr>
                <w:rFonts w:ascii="Arial" w:hAnsi="Arial" w:cs="Arial"/>
                <w:webHidden/>
              </w:rPr>
              <w:fldChar w:fldCharType="end"/>
            </w:r>
          </w:hyperlink>
        </w:p>
        <w:p w14:paraId="2CBBC609" w14:textId="4A5A6FBA" w:rsidR="00EC7385" w:rsidRPr="00EC7385" w:rsidRDefault="00EC7385" w:rsidP="00EC7385">
          <w:pPr>
            <w:pStyle w:val="TOC2"/>
            <w:rPr>
              <w:rFonts w:ascii="Arial" w:eastAsiaTheme="minorEastAsia" w:hAnsi="Arial" w:cs="Arial"/>
              <w:kern w:val="2"/>
              <w:lang w:eastAsia="en-GB"/>
            </w:rPr>
          </w:pPr>
          <w:hyperlink w:anchor="_Toc171203944" w:history="1">
            <w:r w:rsidRPr="00EC7385">
              <w:rPr>
                <w:rStyle w:val="Hyperlink"/>
                <w:rFonts w:ascii="Arial" w:hAnsi="Arial" w:cs="Arial"/>
                <w:color w:val="auto"/>
              </w:rPr>
              <w:t>3.7 Outcomes from the expert MDTs</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_Toc171203944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145</w:t>
            </w:r>
            <w:r w:rsidRPr="00EC7385">
              <w:rPr>
                <w:rFonts w:ascii="Arial" w:hAnsi="Arial" w:cs="Arial"/>
                <w:webHidden/>
              </w:rPr>
              <w:fldChar w:fldCharType="end"/>
            </w:r>
          </w:hyperlink>
        </w:p>
        <w:p w14:paraId="1BA7B58C" w14:textId="3D539F9B" w:rsidR="00EC7385" w:rsidRPr="00EC7385" w:rsidRDefault="00EC7385" w:rsidP="00EC7385">
          <w:pPr>
            <w:pStyle w:val="TOC2"/>
            <w:rPr>
              <w:rFonts w:ascii="Arial" w:eastAsiaTheme="minorEastAsia" w:hAnsi="Arial" w:cs="Arial"/>
              <w:kern w:val="2"/>
              <w:lang w:eastAsia="en-GB"/>
            </w:rPr>
          </w:pPr>
          <w:hyperlink w:anchor="_Toc171203947" w:history="1">
            <w:r w:rsidRPr="00EC7385">
              <w:rPr>
                <w:rStyle w:val="Hyperlink"/>
                <w:rFonts w:ascii="Arial" w:hAnsi="Arial" w:cs="Arial"/>
                <w:color w:val="auto"/>
              </w:rPr>
              <w:t>3.8 Incremental cost-effectiveness ratio (ICER) calculation for vFFR</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_Toc171203947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153</w:t>
            </w:r>
            <w:r w:rsidRPr="00EC7385">
              <w:rPr>
                <w:rFonts w:ascii="Arial" w:hAnsi="Arial" w:cs="Arial"/>
                <w:webHidden/>
              </w:rPr>
              <w:fldChar w:fldCharType="end"/>
            </w:r>
          </w:hyperlink>
        </w:p>
        <w:p w14:paraId="0BEC769B" w14:textId="3A137ADD" w:rsidR="00EC7385" w:rsidRPr="00EC7385" w:rsidRDefault="00EC7385" w:rsidP="00EC7385">
          <w:pPr>
            <w:pStyle w:val="TOC1"/>
            <w:rPr>
              <w:rFonts w:eastAsiaTheme="minorEastAsia"/>
              <w:b w:val="0"/>
              <w:bCs w:val="0"/>
              <w:kern w:val="2"/>
              <w:lang w:eastAsia="en-GB"/>
            </w:rPr>
          </w:pPr>
          <w:hyperlink w:anchor="_Toc171203948" w:history="1">
            <w:r w:rsidRPr="00EC7385">
              <w:rPr>
                <w:rStyle w:val="Hyperlink"/>
                <w:color w:val="auto"/>
              </w:rPr>
              <w:t>4. Discussion</w:t>
            </w:r>
            <w:r w:rsidRPr="00EC7385">
              <w:rPr>
                <w:webHidden/>
              </w:rPr>
              <w:tab/>
            </w:r>
            <w:r w:rsidRPr="00EC7385">
              <w:rPr>
                <w:webHidden/>
              </w:rPr>
              <w:fldChar w:fldCharType="begin"/>
            </w:r>
            <w:r w:rsidRPr="00EC7385">
              <w:rPr>
                <w:webHidden/>
              </w:rPr>
              <w:instrText xml:space="preserve"> PAGEREF _Toc171203948 \h </w:instrText>
            </w:r>
            <w:r w:rsidRPr="00EC7385">
              <w:rPr>
                <w:webHidden/>
              </w:rPr>
            </w:r>
            <w:r w:rsidRPr="00EC7385">
              <w:rPr>
                <w:webHidden/>
              </w:rPr>
              <w:fldChar w:fldCharType="separate"/>
            </w:r>
            <w:r w:rsidR="00C6126A">
              <w:rPr>
                <w:webHidden/>
              </w:rPr>
              <w:t>157</w:t>
            </w:r>
            <w:r w:rsidRPr="00EC7385">
              <w:rPr>
                <w:webHidden/>
              </w:rPr>
              <w:fldChar w:fldCharType="end"/>
            </w:r>
          </w:hyperlink>
        </w:p>
        <w:p w14:paraId="098EDB60" w14:textId="28AD544B" w:rsidR="00EC7385" w:rsidRPr="00EC7385" w:rsidRDefault="00EC7385" w:rsidP="00EC7385">
          <w:pPr>
            <w:pStyle w:val="TOC2"/>
            <w:rPr>
              <w:rFonts w:ascii="Arial" w:eastAsiaTheme="minorEastAsia" w:hAnsi="Arial" w:cs="Arial"/>
              <w:kern w:val="2"/>
              <w:lang w:eastAsia="en-GB"/>
            </w:rPr>
          </w:pPr>
          <w:hyperlink w:anchor="_Toc171203949" w:history="1">
            <w:r w:rsidRPr="00EC7385">
              <w:rPr>
                <w:rStyle w:val="Hyperlink"/>
                <w:rFonts w:ascii="Arial" w:hAnsi="Arial" w:cs="Arial"/>
                <w:color w:val="auto"/>
              </w:rPr>
              <w:t>4.1 Summary of results</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_Toc171203949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157</w:t>
            </w:r>
            <w:r w:rsidRPr="00EC7385">
              <w:rPr>
                <w:rFonts w:ascii="Arial" w:hAnsi="Arial" w:cs="Arial"/>
                <w:webHidden/>
              </w:rPr>
              <w:fldChar w:fldCharType="end"/>
            </w:r>
          </w:hyperlink>
        </w:p>
        <w:p w14:paraId="488294CB" w14:textId="757708CC" w:rsidR="00EC7385" w:rsidRPr="00EC7385" w:rsidRDefault="00EC7385" w:rsidP="00EC7385">
          <w:pPr>
            <w:pStyle w:val="TOC2"/>
            <w:rPr>
              <w:rFonts w:ascii="Arial" w:eastAsiaTheme="minorEastAsia" w:hAnsi="Arial" w:cs="Arial"/>
              <w:kern w:val="2"/>
              <w:lang w:eastAsia="en-GB"/>
            </w:rPr>
          </w:pPr>
          <w:hyperlink w:anchor="_Toc171203950" w:history="1">
            <w:r w:rsidRPr="00EC7385">
              <w:rPr>
                <w:rStyle w:val="Hyperlink"/>
                <w:rFonts w:ascii="Arial" w:hAnsi="Arial" w:cs="Arial"/>
                <w:color w:val="auto"/>
              </w:rPr>
              <w:t>4.2 Outcomes from entire VIRTU-4 HE</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_Toc171203950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158</w:t>
            </w:r>
            <w:r w:rsidRPr="00EC7385">
              <w:rPr>
                <w:rFonts w:ascii="Arial" w:hAnsi="Arial" w:cs="Arial"/>
                <w:webHidden/>
              </w:rPr>
              <w:fldChar w:fldCharType="end"/>
            </w:r>
          </w:hyperlink>
        </w:p>
        <w:p w14:paraId="5492FBF2" w14:textId="7D3BCD15" w:rsidR="00EC7385" w:rsidRPr="00EC7385" w:rsidRDefault="00EC7385" w:rsidP="00EC7385">
          <w:pPr>
            <w:pStyle w:val="TOC3"/>
            <w:spacing w:line="360" w:lineRule="auto"/>
            <w:jc w:val="both"/>
            <w:rPr>
              <w:rFonts w:eastAsiaTheme="minorEastAsia"/>
              <w:kern w:val="2"/>
              <w:lang w:eastAsia="en-GB"/>
            </w:rPr>
          </w:pPr>
          <w:hyperlink w:anchor="_Toc171203951" w:history="1">
            <w:r w:rsidRPr="00EC7385">
              <w:rPr>
                <w:rStyle w:val="Hyperlink"/>
                <w:color w:val="auto"/>
              </w:rPr>
              <w:t xml:space="preserve">4.2.1 How did the rates of hospital re-admissions and repeat revascularisations differ between management plans (OMT vs IT) </w:t>
            </w:r>
            <w:r w:rsidR="009D5E69">
              <w:rPr>
                <w:rStyle w:val="Hyperlink"/>
                <w:color w:val="auto"/>
              </w:rPr>
              <w:t xml:space="preserve">in </w:t>
            </w:r>
            <w:r w:rsidRPr="00EC7385">
              <w:rPr>
                <w:rStyle w:val="Hyperlink"/>
                <w:color w:val="auto"/>
              </w:rPr>
              <w:t>ACS and CCS?</w:t>
            </w:r>
            <w:r w:rsidRPr="00EC7385">
              <w:rPr>
                <w:webHidden/>
              </w:rPr>
              <w:tab/>
            </w:r>
            <w:r w:rsidRPr="00EC7385">
              <w:rPr>
                <w:webHidden/>
              </w:rPr>
              <w:fldChar w:fldCharType="begin"/>
            </w:r>
            <w:r w:rsidRPr="00EC7385">
              <w:rPr>
                <w:webHidden/>
              </w:rPr>
              <w:instrText xml:space="preserve"> PAGEREF _Toc171203951 \h </w:instrText>
            </w:r>
            <w:r w:rsidRPr="00EC7385">
              <w:rPr>
                <w:webHidden/>
              </w:rPr>
            </w:r>
            <w:r w:rsidRPr="00EC7385">
              <w:rPr>
                <w:webHidden/>
              </w:rPr>
              <w:fldChar w:fldCharType="separate"/>
            </w:r>
            <w:r w:rsidR="00C6126A">
              <w:rPr>
                <w:webHidden/>
              </w:rPr>
              <w:t>158</w:t>
            </w:r>
            <w:r w:rsidRPr="00EC7385">
              <w:rPr>
                <w:webHidden/>
              </w:rPr>
              <w:fldChar w:fldCharType="end"/>
            </w:r>
          </w:hyperlink>
        </w:p>
        <w:p w14:paraId="25D868B4" w14:textId="1522B6AF" w:rsidR="00EC7385" w:rsidRPr="00EC7385" w:rsidRDefault="00EC7385" w:rsidP="00EC7385">
          <w:pPr>
            <w:pStyle w:val="TOC3"/>
            <w:spacing w:line="360" w:lineRule="auto"/>
            <w:jc w:val="both"/>
            <w:rPr>
              <w:rFonts w:eastAsiaTheme="minorEastAsia"/>
              <w:kern w:val="2"/>
              <w:lang w:eastAsia="en-GB"/>
            </w:rPr>
          </w:pPr>
          <w:hyperlink w:anchor="_Toc171203952" w:history="1">
            <w:r w:rsidRPr="00EC7385">
              <w:rPr>
                <w:rStyle w:val="Hyperlink"/>
                <w:color w:val="auto"/>
              </w:rPr>
              <w:t xml:space="preserve">4.2.2 </w:t>
            </w:r>
            <w:r w:rsidR="00E50651">
              <w:rPr>
                <w:rStyle w:val="Hyperlink"/>
                <w:color w:val="auto"/>
              </w:rPr>
              <w:t>I</w:t>
            </w:r>
            <w:r w:rsidRPr="00EC7385">
              <w:rPr>
                <w:rStyle w:val="Hyperlink"/>
                <w:color w:val="auto"/>
              </w:rPr>
              <w:t>nterval changes in QOL scores at one year</w:t>
            </w:r>
            <w:r w:rsidR="00E50651">
              <w:rPr>
                <w:rStyle w:val="Hyperlink"/>
                <w:color w:val="auto"/>
              </w:rPr>
              <w:t xml:space="preserve"> follow-up</w:t>
            </w:r>
            <w:r w:rsidRPr="00EC7385">
              <w:rPr>
                <w:webHidden/>
              </w:rPr>
              <w:tab/>
            </w:r>
            <w:r w:rsidRPr="00EC7385">
              <w:rPr>
                <w:webHidden/>
              </w:rPr>
              <w:fldChar w:fldCharType="begin"/>
            </w:r>
            <w:r w:rsidRPr="00EC7385">
              <w:rPr>
                <w:webHidden/>
              </w:rPr>
              <w:instrText xml:space="preserve"> PAGEREF _Toc171203952 \h </w:instrText>
            </w:r>
            <w:r w:rsidRPr="00EC7385">
              <w:rPr>
                <w:webHidden/>
              </w:rPr>
            </w:r>
            <w:r w:rsidRPr="00EC7385">
              <w:rPr>
                <w:webHidden/>
              </w:rPr>
              <w:fldChar w:fldCharType="separate"/>
            </w:r>
            <w:r w:rsidR="00C6126A">
              <w:rPr>
                <w:webHidden/>
              </w:rPr>
              <w:t>160</w:t>
            </w:r>
            <w:r w:rsidRPr="00EC7385">
              <w:rPr>
                <w:webHidden/>
              </w:rPr>
              <w:fldChar w:fldCharType="end"/>
            </w:r>
          </w:hyperlink>
        </w:p>
        <w:p w14:paraId="7A35898B" w14:textId="64D2249F" w:rsidR="00EC7385" w:rsidRPr="00EC7385" w:rsidRDefault="00EC7385" w:rsidP="00EC7385">
          <w:pPr>
            <w:pStyle w:val="TOC3"/>
            <w:spacing w:line="360" w:lineRule="auto"/>
            <w:jc w:val="both"/>
            <w:rPr>
              <w:rFonts w:eastAsiaTheme="minorEastAsia"/>
              <w:kern w:val="2"/>
              <w:lang w:eastAsia="en-GB"/>
            </w:rPr>
          </w:pPr>
          <w:hyperlink w:anchor="_Toc171203953" w:history="1">
            <w:r w:rsidRPr="00EC7385">
              <w:rPr>
                <w:rStyle w:val="Hyperlink"/>
                <w:color w:val="auto"/>
              </w:rPr>
              <w:t>4.2.3 Did the adopted management strategy impact the QOL scores?</w:t>
            </w:r>
            <w:r w:rsidRPr="00EC7385">
              <w:rPr>
                <w:webHidden/>
              </w:rPr>
              <w:tab/>
            </w:r>
            <w:r w:rsidRPr="00EC7385">
              <w:rPr>
                <w:webHidden/>
              </w:rPr>
              <w:fldChar w:fldCharType="begin"/>
            </w:r>
            <w:r w:rsidRPr="00EC7385">
              <w:rPr>
                <w:webHidden/>
              </w:rPr>
              <w:instrText xml:space="preserve"> PAGEREF _Toc171203953 \h </w:instrText>
            </w:r>
            <w:r w:rsidRPr="00EC7385">
              <w:rPr>
                <w:webHidden/>
              </w:rPr>
            </w:r>
            <w:r w:rsidRPr="00EC7385">
              <w:rPr>
                <w:webHidden/>
              </w:rPr>
              <w:fldChar w:fldCharType="separate"/>
            </w:r>
            <w:r w:rsidR="00C6126A">
              <w:rPr>
                <w:webHidden/>
              </w:rPr>
              <w:t>161</w:t>
            </w:r>
            <w:r w:rsidRPr="00EC7385">
              <w:rPr>
                <w:webHidden/>
              </w:rPr>
              <w:fldChar w:fldCharType="end"/>
            </w:r>
          </w:hyperlink>
        </w:p>
        <w:p w14:paraId="72EA96A0" w14:textId="73CA3EA1" w:rsidR="00EC7385" w:rsidRPr="00EC7385" w:rsidRDefault="00EC7385" w:rsidP="00EC7385">
          <w:pPr>
            <w:pStyle w:val="TOC3"/>
            <w:spacing w:line="360" w:lineRule="auto"/>
            <w:jc w:val="both"/>
            <w:rPr>
              <w:rFonts w:eastAsiaTheme="minorEastAsia"/>
              <w:kern w:val="2"/>
              <w:lang w:eastAsia="en-GB"/>
            </w:rPr>
          </w:pPr>
          <w:hyperlink w:anchor="_Toc171203954" w:history="1">
            <w:r w:rsidRPr="00EC7385">
              <w:rPr>
                <w:rStyle w:val="Hyperlink"/>
                <w:color w:val="auto"/>
              </w:rPr>
              <w:t xml:space="preserve">4.2.4 </w:t>
            </w:r>
            <w:r w:rsidR="00E50651">
              <w:rPr>
                <w:rStyle w:val="Hyperlink"/>
                <w:color w:val="auto"/>
              </w:rPr>
              <w:t>G</w:t>
            </w:r>
            <w:r w:rsidRPr="00EC7385">
              <w:rPr>
                <w:rStyle w:val="Hyperlink"/>
                <w:color w:val="auto"/>
              </w:rPr>
              <w:t>ender disparities in QOL</w:t>
            </w:r>
            <w:r w:rsidRPr="00EC7385">
              <w:rPr>
                <w:webHidden/>
              </w:rPr>
              <w:tab/>
            </w:r>
            <w:r w:rsidRPr="00EC7385">
              <w:rPr>
                <w:webHidden/>
              </w:rPr>
              <w:fldChar w:fldCharType="begin"/>
            </w:r>
            <w:r w:rsidRPr="00EC7385">
              <w:rPr>
                <w:webHidden/>
              </w:rPr>
              <w:instrText xml:space="preserve"> PAGEREF _Toc171203954 \h </w:instrText>
            </w:r>
            <w:r w:rsidRPr="00EC7385">
              <w:rPr>
                <w:webHidden/>
              </w:rPr>
            </w:r>
            <w:r w:rsidRPr="00EC7385">
              <w:rPr>
                <w:webHidden/>
              </w:rPr>
              <w:fldChar w:fldCharType="separate"/>
            </w:r>
            <w:r w:rsidR="00C6126A">
              <w:rPr>
                <w:webHidden/>
              </w:rPr>
              <w:t>162</w:t>
            </w:r>
            <w:r w:rsidRPr="00EC7385">
              <w:rPr>
                <w:webHidden/>
              </w:rPr>
              <w:fldChar w:fldCharType="end"/>
            </w:r>
          </w:hyperlink>
        </w:p>
        <w:p w14:paraId="2CA15F27" w14:textId="08948D09" w:rsidR="00EC7385" w:rsidRPr="00EC7385" w:rsidRDefault="001F38E4" w:rsidP="00EC7385">
          <w:pPr>
            <w:pStyle w:val="TOC2"/>
            <w:rPr>
              <w:rFonts w:ascii="Arial" w:eastAsiaTheme="minorEastAsia" w:hAnsi="Arial" w:cs="Arial"/>
              <w:kern w:val="2"/>
              <w:lang w:eastAsia="en-GB"/>
            </w:rPr>
          </w:pPr>
          <w:r>
            <w:rPr>
              <w:rStyle w:val="Hyperlink"/>
              <w:rFonts w:ascii="Arial" w:hAnsi="Arial" w:cs="Arial"/>
              <w:color w:val="auto"/>
              <w:u w:val="none"/>
            </w:rPr>
            <w:t xml:space="preserve">   </w:t>
          </w:r>
          <w:hyperlink w:anchor="_Toc171203955" w:history="1">
            <w:r w:rsidR="00EC7385" w:rsidRPr="00EC7385">
              <w:rPr>
                <w:rStyle w:val="Hyperlink"/>
                <w:rFonts w:ascii="Arial" w:hAnsi="Arial" w:cs="Arial"/>
                <w:color w:val="auto"/>
              </w:rPr>
              <w:t>4.2.5 Did EQ-VAS closely correlate with EQ-indexed scores?</w:t>
            </w:r>
            <w:r w:rsidR="00EC7385" w:rsidRPr="00EC7385">
              <w:rPr>
                <w:rFonts w:ascii="Arial" w:hAnsi="Arial" w:cs="Arial"/>
                <w:webHidden/>
              </w:rPr>
              <w:tab/>
            </w:r>
            <w:r w:rsidR="00EC7385" w:rsidRPr="00EC7385">
              <w:rPr>
                <w:rFonts w:ascii="Arial" w:hAnsi="Arial" w:cs="Arial"/>
                <w:webHidden/>
              </w:rPr>
              <w:fldChar w:fldCharType="begin"/>
            </w:r>
            <w:r w:rsidR="00EC7385" w:rsidRPr="00EC7385">
              <w:rPr>
                <w:rFonts w:ascii="Arial" w:hAnsi="Arial" w:cs="Arial"/>
                <w:webHidden/>
              </w:rPr>
              <w:instrText xml:space="preserve"> PAGEREF _Toc171203955 \h </w:instrText>
            </w:r>
            <w:r w:rsidR="00EC7385" w:rsidRPr="00EC7385">
              <w:rPr>
                <w:rFonts w:ascii="Arial" w:hAnsi="Arial" w:cs="Arial"/>
                <w:webHidden/>
              </w:rPr>
            </w:r>
            <w:r w:rsidR="00EC7385" w:rsidRPr="00EC7385">
              <w:rPr>
                <w:rFonts w:ascii="Arial" w:hAnsi="Arial" w:cs="Arial"/>
                <w:webHidden/>
              </w:rPr>
              <w:fldChar w:fldCharType="separate"/>
            </w:r>
            <w:r w:rsidR="00C6126A">
              <w:rPr>
                <w:rFonts w:ascii="Arial" w:hAnsi="Arial" w:cs="Arial"/>
                <w:webHidden/>
              </w:rPr>
              <w:t>164</w:t>
            </w:r>
            <w:r w:rsidR="00EC7385" w:rsidRPr="00EC7385">
              <w:rPr>
                <w:rFonts w:ascii="Arial" w:hAnsi="Arial" w:cs="Arial"/>
                <w:webHidden/>
              </w:rPr>
              <w:fldChar w:fldCharType="end"/>
            </w:r>
          </w:hyperlink>
        </w:p>
        <w:p w14:paraId="45CC2BB7" w14:textId="05206CBE" w:rsidR="00EC7385" w:rsidRPr="00EC7385" w:rsidRDefault="00EC7385" w:rsidP="00EC7385">
          <w:pPr>
            <w:pStyle w:val="TOC2"/>
            <w:rPr>
              <w:rFonts w:ascii="Arial" w:eastAsiaTheme="minorEastAsia" w:hAnsi="Arial" w:cs="Arial"/>
              <w:kern w:val="2"/>
              <w:lang w:eastAsia="en-GB"/>
            </w:rPr>
          </w:pPr>
          <w:hyperlink w:anchor="_Toc171203956" w:history="1">
            <w:r w:rsidRPr="00EC7385">
              <w:rPr>
                <w:rStyle w:val="Hyperlink"/>
                <w:rFonts w:ascii="Arial" w:hAnsi="Arial" w:cs="Arial"/>
                <w:color w:val="auto"/>
              </w:rPr>
              <w:t xml:space="preserve">4.3 Outcomes </w:t>
            </w:r>
            <w:r w:rsidR="00E50651">
              <w:rPr>
                <w:rStyle w:val="Hyperlink"/>
                <w:rFonts w:ascii="Arial" w:hAnsi="Arial" w:cs="Arial"/>
                <w:color w:val="auto"/>
              </w:rPr>
              <w:t>in the</w:t>
            </w:r>
            <w:r w:rsidRPr="00EC7385">
              <w:rPr>
                <w:rStyle w:val="Hyperlink"/>
                <w:rFonts w:ascii="Arial" w:hAnsi="Arial" w:cs="Arial"/>
                <w:color w:val="auto"/>
              </w:rPr>
              <w:t xml:space="preserve"> virtual change subset</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_Toc171203956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164</w:t>
            </w:r>
            <w:r w:rsidRPr="00EC7385">
              <w:rPr>
                <w:rFonts w:ascii="Arial" w:hAnsi="Arial" w:cs="Arial"/>
                <w:webHidden/>
              </w:rPr>
              <w:fldChar w:fldCharType="end"/>
            </w:r>
          </w:hyperlink>
        </w:p>
        <w:p w14:paraId="44B5EF6F" w14:textId="59A0156F" w:rsidR="00EC7385" w:rsidRPr="00EC7385" w:rsidRDefault="00EC7385" w:rsidP="00EC7385">
          <w:pPr>
            <w:pStyle w:val="TOC3"/>
            <w:spacing w:line="360" w:lineRule="auto"/>
            <w:jc w:val="both"/>
            <w:rPr>
              <w:rFonts w:eastAsiaTheme="minorEastAsia"/>
              <w:kern w:val="2"/>
              <w:lang w:eastAsia="en-GB"/>
            </w:rPr>
          </w:pPr>
          <w:hyperlink w:anchor="_Toc171203957" w:history="1">
            <w:r w:rsidRPr="00EC7385">
              <w:rPr>
                <w:rStyle w:val="Hyperlink"/>
                <w:color w:val="auto"/>
              </w:rPr>
              <w:t xml:space="preserve">4.3.1 </w:t>
            </w:r>
            <w:r w:rsidR="00E50651">
              <w:rPr>
                <w:rStyle w:val="Hyperlink"/>
                <w:color w:val="auto"/>
              </w:rPr>
              <w:t>T</w:t>
            </w:r>
            <w:r w:rsidRPr="00EC7385">
              <w:rPr>
                <w:rStyle w:val="Hyperlink"/>
                <w:color w:val="auto"/>
              </w:rPr>
              <w:t xml:space="preserve">he impact of vFFR </w:t>
            </w:r>
            <w:r w:rsidR="00E50651">
              <w:rPr>
                <w:rStyle w:val="Hyperlink"/>
                <w:color w:val="auto"/>
              </w:rPr>
              <w:t>up</w:t>
            </w:r>
            <w:r w:rsidRPr="00EC7385">
              <w:rPr>
                <w:rStyle w:val="Hyperlink"/>
                <w:color w:val="auto"/>
              </w:rPr>
              <w:t>on treatment plans in CAD</w:t>
            </w:r>
            <w:r w:rsidRPr="00EC7385">
              <w:rPr>
                <w:webHidden/>
              </w:rPr>
              <w:tab/>
            </w:r>
            <w:r w:rsidRPr="00EC7385">
              <w:rPr>
                <w:webHidden/>
              </w:rPr>
              <w:fldChar w:fldCharType="begin"/>
            </w:r>
            <w:r w:rsidRPr="00EC7385">
              <w:rPr>
                <w:webHidden/>
              </w:rPr>
              <w:instrText xml:space="preserve"> PAGEREF _Toc171203957 \h </w:instrText>
            </w:r>
            <w:r w:rsidRPr="00EC7385">
              <w:rPr>
                <w:webHidden/>
              </w:rPr>
            </w:r>
            <w:r w:rsidRPr="00EC7385">
              <w:rPr>
                <w:webHidden/>
              </w:rPr>
              <w:fldChar w:fldCharType="separate"/>
            </w:r>
            <w:r w:rsidR="00C6126A">
              <w:rPr>
                <w:webHidden/>
              </w:rPr>
              <w:t>164</w:t>
            </w:r>
            <w:r w:rsidRPr="00EC7385">
              <w:rPr>
                <w:webHidden/>
              </w:rPr>
              <w:fldChar w:fldCharType="end"/>
            </w:r>
          </w:hyperlink>
        </w:p>
        <w:p w14:paraId="12AF5B01" w14:textId="4AE3E21A" w:rsidR="00EC7385" w:rsidRPr="00EC7385" w:rsidRDefault="00EC7385" w:rsidP="00EC7385">
          <w:pPr>
            <w:pStyle w:val="TOC3"/>
            <w:spacing w:line="360" w:lineRule="auto"/>
            <w:jc w:val="both"/>
            <w:rPr>
              <w:rFonts w:eastAsiaTheme="minorEastAsia"/>
              <w:kern w:val="2"/>
              <w:lang w:eastAsia="en-GB"/>
            </w:rPr>
          </w:pPr>
          <w:hyperlink w:anchor="_Toc171203958" w:history="1">
            <w:r w:rsidRPr="00EC7385">
              <w:rPr>
                <w:rStyle w:val="Hyperlink"/>
                <w:color w:val="auto"/>
              </w:rPr>
              <w:t>4.3.2 D</w:t>
            </w:r>
            <w:r w:rsidR="00E50651">
              <w:rPr>
                <w:rStyle w:val="Hyperlink"/>
                <w:color w:val="auto"/>
              </w:rPr>
              <w:t xml:space="preserve">oes </w:t>
            </w:r>
            <w:r w:rsidRPr="00EC7385">
              <w:rPr>
                <w:rStyle w:val="Hyperlink"/>
                <w:color w:val="auto"/>
              </w:rPr>
              <w:t xml:space="preserve">vFFR have an impact </w:t>
            </w:r>
            <w:r w:rsidR="00E50651">
              <w:rPr>
                <w:rStyle w:val="Hyperlink"/>
                <w:color w:val="auto"/>
              </w:rPr>
              <w:t>up</w:t>
            </w:r>
            <w:r w:rsidRPr="00EC7385">
              <w:rPr>
                <w:rStyle w:val="Hyperlink"/>
                <w:color w:val="auto"/>
              </w:rPr>
              <w:t>on QOL?</w:t>
            </w:r>
            <w:r w:rsidRPr="00EC7385">
              <w:rPr>
                <w:webHidden/>
              </w:rPr>
              <w:tab/>
            </w:r>
            <w:r w:rsidRPr="00EC7385">
              <w:rPr>
                <w:webHidden/>
              </w:rPr>
              <w:fldChar w:fldCharType="begin"/>
            </w:r>
            <w:r w:rsidRPr="00EC7385">
              <w:rPr>
                <w:webHidden/>
              </w:rPr>
              <w:instrText xml:space="preserve"> PAGEREF _Toc171203958 \h </w:instrText>
            </w:r>
            <w:r w:rsidRPr="00EC7385">
              <w:rPr>
                <w:webHidden/>
              </w:rPr>
            </w:r>
            <w:r w:rsidRPr="00EC7385">
              <w:rPr>
                <w:webHidden/>
              </w:rPr>
              <w:fldChar w:fldCharType="separate"/>
            </w:r>
            <w:r w:rsidR="00C6126A">
              <w:rPr>
                <w:webHidden/>
              </w:rPr>
              <w:t>165</w:t>
            </w:r>
            <w:r w:rsidRPr="00EC7385">
              <w:rPr>
                <w:webHidden/>
              </w:rPr>
              <w:fldChar w:fldCharType="end"/>
            </w:r>
          </w:hyperlink>
        </w:p>
        <w:p w14:paraId="6C42FB7E" w14:textId="004857EE" w:rsidR="00EC7385" w:rsidRPr="00EC7385" w:rsidRDefault="00EC7385" w:rsidP="00EC7385">
          <w:pPr>
            <w:pStyle w:val="TOC3"/>
            <w:spacing w:line="360" w:lineRule="auto"/>
            <w:jc w:val="both"/>
            <w:rPr>
              <w:rFonts w:eastAsiaTheme="minorEastAsia"/>
              <w:kern w:val="2"/>
              <w:lang w:eastAsia="en-GB"/>
            </w:rPr>
          </w:pPr>
          <w:hyperlink w:anchor="_Toc171203959" w:history="1">
            <w:r w:rsidRPr="00EC7385">
              <w:rPr>
                <w:rStyle w:val="Hyperlink"/>
                <w:color w:val="auto"/>
              </w:rPr>
              <w:t xml:space="preserve">4.3.3 </w:t>
            </w:r>
            <w:r w:rsidR="00E50651">
              <w:rPr>
                <w:rStyle w:val="Hyperlink"/>
                <w:color w:val="auto"/>
              </w:rPr>
              <w:t>C</w:t>
            </w:r>
            <w:r w:rsidRPr="00EC7385">
              <w:rPr>
                <w:rStyle w:val="Hyperlink"/>
                <w:color w:val="auto"/>
              </w:rPr>
              <w:t>ost implications</w:t>
            </w:r>
            <w:r w:rsidR="00E50651">
              <w:rPr>
                <w:rStyle w:val="Hyperlink"/>
                <w:color w:val="auto"/>
              </w:rPr>
              <w:t xml:space="preserve"> of </w:t>
            </w:r>
            <w:r w:rsidRPr="00EC7385">
              <w:rPr>
                <w:rStyle w:val="Hyperlink"/>
                <w:color w:val="auto"/>
              </w:rPr>
              <w:t>the virtual changes in parent cardiologists' treatment decisions after the vFFR</w:t>
            </w:r>
            <w:r w:rsidRPr="00EC7385">
              <w:rPr>
                <w:webHidden/>
              </w:rPr>
              <w:tab/>
            </w:r>
            <w:r w:rsidRPr="00EC7385">
              <w:rPr>
                <w:webHidden/>
              </w:rPr>
              <w:fldChar w:fldCharType="begin"/>
            </w:r>
            <w:r w:rsidRPr="00EC7385">
              <w:rPr>
                <w:webHidden/>
              </w:rPr>
              <w:instrText xml:space="preserve"> PAGEREF _Toc171203959 \h </w:instrText>
            </w:r>
            <w:r w:rsidRPr="00EC7385">
              <w:rPr>
                <w:webHidden/>
              </w:rPr>
            </w:r>
            <w:r w:rsidRPr="00EC7385">
              <w:rPr>
                <w:webHidden/>
              </w:rPr>
              <w:fldChar w:fldCharType="separate"/>
            </w:r>
            <w:r w:rsidR="00C6126A">
              <w:rPr>
                <w:webHidden/>
              </w:rPr>
              <w:t>166</w:t>
            </w:r>
            <w:r w:rsidRPr="00EC7385">
              <w:rPr>
                <w:webHidden/>
              </w:rPr>
              <w:fldChar w:fldCharType="end"/>
            </w:r>
          </w:hyperlink>
        </w:p>
        <w:p w14:paraId="60B71193" w14:textId="319D6243" w:rsidR="00EC7385" w:rsidRPr="00EC7385" w:rsidRDefault="00EC7385" w:rsidP="00EC7385">
          <w:pPr>
            <w:pStyle w:val="TOC3"/>
            <w:spacing w:line="360" w:lineRule="auto"/>
            <w:jc w:val="both"/>
            <w:rPr>
              <w:rFonts w:eastAsiaTheme="minorEastAsia"/>
              <w:kern w:val="2"/>
              <w:lang w:eastAsia="en-GB"/>
            </w:rPr>
          </w:pPr>
          <w:hyperlink w:anchor="_Toc171203960" w:history="1">
            <w:r w:rsidRPr="00EC7385">
              <w:rPr>
                <w:rStyle w:val="Hyperlink"/>
                <w:color w:val="auto"/>
              </w:rPr>
              <w:t>4.3.4 What was the impact of vFFR on the concordance of treatment plans between the parent cardiologists and the expert MDTs?</w:t>
            </w:r>
            <w:r w:rsidRPr="00EC7385">
              <w:rPr>
                <w:webHidden/>
              </w:rPr>
              <w:tab/>
            </w:r>
            <w:r w:rsidRPr="00EC7385">
              <w:rPr>
                <w:webHidden/>
              </w:rPr>
              <w:fldChar w:fldCharType="begin"/>
            </w:r>
            <w:r w:rsidRPr="00EC7385">
              <w:rPr>
                <w:webHidden/>
              </w:rPr>
              <w:instrText xml:space="preserve"> PAGEREF _Toc171203960 \h </w:instrText>
            </w:r>
            <w:r w:rsidRPr="00EC7385">
              <w:rPr>
                <w:webHidden/>
              </w:rPr>
            </w:r>
            <w:r w:rsidRPr="00EC7385">
              <w:rPr>
                <w:webHidden/>
              </w:rPr>
              <w:fldChar w:fldCharType="separate"/>
            </w:r>
            <w:r w:rsidR="00C6126A">
              <w:rPr>
                <w:webHidden/>
              </w:rPr>
              <w:t>167</w:t>
            </w:r>
            <w:r w:rsidRPr="00EC7385">
              <w:rPr>
                <w:webHidden/>
              </w:rPr>
              <w:fldChar w:fldCharType="end"/>
            </w:r>
          </w:hyperlink>
        </w:p>
        <w:p w14:paraId="6A2A1788" w14:textId="73B251F1" w:rsidR="00EC7385" w:rsidRPr="00EC7385" w:rsidRDefault="00EC7385" w:rsidP="00EC7385">
          <w:pPr>
            <w:pStyle w:val="TOC2"/>
            <w:rPr>
              <w:rFonts w:ascii="Arial" w:eastAsiaTheme="minorEastAsia" w:hAnsi="Arial" w:cs="Arial"/>
              <w:kern w:val="2"/>
              <w:lang w:eastAsia="en-GB"/>
            </w:rPr>
          </w:pPr>
          <w:hyperlink w:anchor="_Toc171203961" w:history="1">
            <w:r w:rsidRPr="00EC7385">
              <w:rPr>
                <w:rStyle w:val="Hyperlink"/>
                <w:rFonts w:ascii="Arial" w:hAnsi="Arial" w:cs="Arial"/>
                <w:color w:val="auto"/>
              </w:rPr>
              <w:t xml:space="preserve">4.4 </w:t>
            </w:r>
            <w:r w:rsidR="00E50651">
              <w:rPr>
                <w:rStyle w:val="Hyperlink"/>
                <w:rFonts w:ascii="Arial" w:hAnsi="Arial" w:cs="Arial"/>
                <w:color w:val="auto"/>
              </w:rPr>
              <w:t>Handling</w:t>
            </w:r>
            <w:r w:rsidRPr="00EC7385">
              <w:rPr>
                <w:rStyle w:val="Hyperlink"/>
                <w:rFonts w:ascii="Arial" w:hAnsi="Arial" w:cs="Arial"/>
                <w:color w:val="auto"/>
              </w:rPr>
              <w:t xml:space="preserve"> of vFFR </w:t>
            </w:r>
            <w:r w:rsidR="00E50651">
              <w:rPr>
                <w:rStyle w:val="Hyperlink"/>
                <w:rFonts w:ascii="Arial" w:hAnsi="Arial" w:cs="Arial"/>
                <w:color w:val="auto"/>
              </w:rPr>
              <w:t>by</w:t>
            </w:r>
            <w:r w:rsidRPr="00EC7385">
              <w:rPr>
                <w:rStyle w:val="Hyperlink"/>
                <w:rFonts w:ascii="Arial" w:hAnsi="Arial" w:cs="Arial"/>
                <w:color w:val="auto"/>
              </w:rPr>
              <w:t xml:space="preserve"> expert MDT</w:t>
            </w:r>
            <w:r w:rsidR="00E50651">
              <w:rPr>
                <w:rStyle w:val="Hyperlink"/>
                <w:rFonts w:ascii="Arial" w:hAnsi="Arial" w:cs="Arial"/>
                <w:color w:val="auto"/>
              </w:rPr>
              <w:t>s</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_Toc171203961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168</w:t>
            </w:r>
            <w:r w:rsidRPr="00EC7385">
              <w:rPr>
                <w:rFonts w:ascii="Arial" w:hAnsi="Arial" w:cs="Arial"/>
                <w:webHidden/>
              </w:rPr>
              <w:fldChar w:fldCharType="end"/>
            </w:r>
          </w:hyperlink>
        </w:p>
        <w:p w14:paraId="6BD5A228" w14:textId="0BB92B56" w:rsidR="00EC7385" w:rsidRPr="00EC7385" w:rsidRDefault="00EC7385" w:rsidP="00EC7385">
          <w:pPr>
            <w:pStyle w:val="TOC3"/>
            <w:spacing w:line="360" w:lineRule="auto"/>
            <w:jc w:val="both"/>
            <w:rPr>
              <w:rFonts w:eastAsiaTheme="minorEastAsia"/>
              <w:kern w:val="2"/>
              <w:lang w:eastAsia="en-GB"/>
            </w:rPr>
          </w:pPr>
          <w:hyperlink w:anchor="_Toc171203962" w:history="1">
            <w:r w:rsidRPr="00EC7385">
              <w:rPr>
                <w:rStyle w:val="Hyperlink"/>
                <w:color w:val="auto"/>
              </w:rPr>
              <w:t xml:space="preserve">4.4.1 </w:t>
            </w:r>
            <w:r w:rsidR="00E50651">
              <w:rPr>
                <w:rStyle w:val="Hyperlink"/>
                <w:color w:val="auto"/>
              </w:rPr>
              <w:t>C</w:t>
            </w:r>
            <w:r w:rsidRPr="00EC7385">
              <w:rPr>
                <w:rStyle w:val="Hyperlink"/>
                <w:color w:val="auto"/>
              </w:rPr>
              <w:t>oncordance of treatment plans between the two expert MDTs</w:t>
            </w:r>
            <w:r w:rsidRPr="00EC7385">
              <w:rPr>
                <w:webHidden/>
              </w:rPr>
              <w:tab/>
            </w:r>
            <w:r w:rsidRPr="00EC7385">
              <w:rPr>
                <w:webHidden/>
              </w:rPr>
              <w:fldChar w:fldCharType="begin"/>
            </w:r>
            <w:r w:rsidRPr="00EC7385">
              <w:rPr>
                <w:webHidden/>
              </w:rPr>
              <w:instrText xml:space="preserve"> PAGEREF _Toc171203962 \h </w:instrText>
            </w:r>
            <w:r w:rsidRPr="00EC7385">
              <w:rPr>
                <w:webHidden/>
              </w:rPr>
            </w:r>
            <w:r w:rsidRPr="00EC7385">
              <w:rPr>
                <w:webHidden/>
              </w:rPr>
              <w:fldChar w:fldCharType="separate"/>
            </w:r>
            <w:r w:rsidR="00C6126A">
              <w:rPr>
                <w:webHidden/>
              </w:rPr>
              <w:t>168</w:t>
            </w:r>
            <w:r w:rsidRPr="00EC7385">
              <w:rPr>
                <w:webHidden/>
              </w:rPr>
              <w:fldChar w:fldCharType="end"/>
            </w:r>
          </w:hyperlink>
        </w:p>
        <w:p w14:paraId="7DBACBFE" w14:textId="48FE2977" w:rsidR="00EC7385" w:rsidRPr="00EC7385" w:rsidRDefault="00EC7385" w:rsidP="00EC7385">
          <w:pPr>
            <w:pStyle w:val="TOC3"/>
            <w:spacing w:line="360" w:lineRule="auto"/>
            <w:jc w:val="both"/>
            <w:rPr>
              <w:rFonts w:eastAsiaTheme="minorEastAsia"/>
              <w:kern w:val="2"/>
              <w:lang w:eastAsia="en-GB"/>
            </w:rPr>
          </w:pPr>
          <w:hyperlink w:anchor="_Toc171203963" w:history="1">
            <w:r w:rsidRPr="00EC7385">
              <w:rPr>
                <w:rStyle w:val="Hyperlink"/>
                <w:color w:val="auto"/>
              </w:rPr>
              <w:t xml:space="preserve">4.4.2 </w:t>
            </w:r>
            <w:r w:rsidR="00E50651">
              <w:rPr>
                <w:rStyle w:val="Hyperlink"/>
                <w:color w:val="auto"/>
              </w:rPr>
              <w:t>C</w:t>
            </w:r>
            <w:r w:rsidRPr="00EC7385">
              <w:rPr>
                <w:rStyle w:val="Hyperlink"/>
                <w:color w:val="auto"/>
              </w:rPr>
              <w:t>ost implications of the expert MDT’s decisions</w:t>
            </w:r>
            <w:r w:rsidRPr="00EC7385">
              <w:rPr>
                <w:webHidden/>
              </w:rPr>
              <w:tab/>
            </w:r>
            <w:r w:rsidRPr="00EC7385">
              <w:rPr>
                <w:webHidden/>
              </w:rPr>
              <w:fldChar w:fldCharType="begin"/>
            </w:r>
            <w:r w:rsidRPr="00EC7385">
              <w:rPr>
                <w:webHidden/>
              </w:rPr>
              <w:instrText xml:space="preserve"> PAGEREF _Toc171203963 \h </w:instrText>
            </w:r>
            <w:r w:rsidRPr="00EC7385">
              <w:rPr>
                <w:webHidden/>
              </w:rPr>
            </w:r>
            <w:r w:rsidRPr="00EC7385">
              <w:rPr>
                <w:webHidden/>
              </w:rPr>
              <w:fldChar w:fldCharType="separate"/>
            </w:r>
            <w:r w:rsidR="00C6126A">
              <w:rPr>
                <w:webHidden/>
              </w:rPr>
              <w:t>170</w:t>
            </w:r>
            <w:r w:rsidRPr="00EC7385">
              <w:rPr>
                <w:webHidden/>
              </w:rPr>
              <w:fldChar w:fldCharType="end"/>
            </w:r>
          </w:hyperlink>
        </w:p>
        <w:p w14:paraId="0230CC08" w14:textId="1B2981D1" w:rsidR="00EC7385" w:rsidRPr="00EC7385" w:rsidRDefault="00EC7385" w:rsidP="00EC7385">
          <w:pPr>
            <w:pStyle w:val="TOC2"/>
            <w:rPr>
              <w:rFonts w:ascii="Arial" w:eastAsiaTheme="minorEastAsia" w:hAnsi="Arial" w:cs="Arial"/>
              <w:kern w:val="2"/>
              <w:lang w:eastAsia="en-GB"/>
            </w:rPr>
          </w:pPr>
          <w:hyperlink w:anchor="_Toc171203964" w:history="1">
            <w:r w:rsidRPr="00EC7385">
              <w:rPr>
                <w:rStyle w:val="Hyperlink"/>
                <w:rFonts w:ascii="Arial" w:hAnsi="Arial" w:cs="Arial"/>
                <w:color w:val="auto"/>
              </w:rPr>
              <w:t xml:space="preserve">4.5 </w:t>
            </w:r>
            <w:r w:rsidR="003C20E6">
              <w:rPr>
                <w:rStyle w:val="Hyperlink"/>
                <w:rFonts w:ascii="Arial" w:hAnsi="Arial" w:cs="Arial"/>
                <w:color w:val="auto"/>
              </w:rPr>
              <w:t>We</w:t>
            </w:r>
            <w:r w:rsidRPr="00EC7385">
              <w:rPr>
                <w:rStyle w:val="Hyperlink"/>
                <w:rFonts w:ascii="Arial" w:hAnsi="Arial" w:cs="Arial"/>
                <w:color w:val="auto"/>
              </w:rPr>
              <w:t>re the ICERs for the CAG-based and vFFR-based outcomes below the willingness to pay (WTP) threshold?</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_Toc171203964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170</w:t>
            </w:r>
            <w:r w:rsidRPr="00EC7385">
              <w:rPr>
                <w:rFonts w:ascii="Arial" w:hAnsi="Arial" w:cs="Arial"/>
                <w:webHidden/>
              </w:rPr>
              <w:fldChar w:fldCharType="end"/>
            </w:r>
          </w:hyperlink>
        </w:p>
        <w:p w14:paraId="25101305" w14:textId="0C70FF3F" w:rsidR="00EC7385" w:rsidRPr="00EC7385" w:rsidRDefault="00EC7385" w:rsidP="00EC7385">
          <w:pPr>
            <w:pStyle w:val="TOC2"/>
            <w:rPr>
              <w:rFonts w:ascii="Arial" w:eastAsiaTheme="minorEastAsia" w:hAnsi="Arial" w:cs="Arial"/>
              <w:kern w:val="2"/>
              <w:lang w:eastAsia="en-GB"/>
            </w:rPr>
          </w:pPr>
          <w:hyperlink w:anchor="_Toc171203965" w:history="1">
            <w:r w:rsidRPr="00EC7385">
              <w:rPr>
                <w:rStyle w:val="Hyperlink"/>
                <w:rFonts w:ascii="Arial" w:hAnsi="Arial" w:cs="Arial"/>
                <w:color w:val="auto"/>
              </w:rPr>
              <w:t>4.6 Impact of COVID-19</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_Toc171203965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171</w:t>
            </w:r>
            <w:r w:rsidRPr="00EC7385">
              <w:rPr>
                <w:rFonts w:ascii="Arial" w:hAnsi="Arial" w:cs="Arial"/>
                <w:webHidden/>
              </w:rPr>
              <w:fldChar w:fldCharType="end"/>
            </w:r>
          </w:hyperlink>
        </w:p>
        <w:p w14:paraId="74B65E90" w14:textId="0D36E8DD" w:rsidR="00EC7385" w:rsidRPr="00EC7385" w:rsidRDefault="00EC7385" w:rsidP="00EC7385">
          <w:pPr>
            <w:pStyle w:val="TOC2"/>
            <w:rPr>
              <w:rFonts w:ascii="Arial" w:eastAsiaTheme="minorEastAsia" w:hAnsi="Arial" w:cs="Arial"/>
              <w:kern w:val="2"/>
              <w:lang w:eastAsia="en-GB"/>
            </w:rPr>
          </w:pPr>
          <w:hyperlink w:anchor="_Toc171203966" w:history="1">
            <w:r w:rsidRPr="00EC7385">
              <w:rPr>
                <w:rStyle w:val="Hyperlink"/>
                <w:rFonts w:ascii="Arial" w:hAnsi="Arial" w:cs="Arial"/>
                <w:color w:val="auto"/>
              </w:rPr>
              <w:t>4.7 Potential role of vFFR outside the ACS and CCS settings</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_Toc171203966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172</w:t>
            </w:r>
            <w:r w:rsidRPr="00EC7385">
              <w:rPr>
                <w:rFonts w:ascii="Arial" w:hAnsi="Arial" w:cs="Arial"/>
                <w:webHidden/>
              </w:rPr>
              <w:fldChar w:fldCharType="end"/>
            </w:r>
          </w:hyperlink>
        </w:p>
        <w:p w14:paraId="1356B08D" w14:textId="367E4EBB" w:rsidR="00EC7385" w:rsidRPr="00EC7385" w:rsidRDefault="00EC7385" w:rsidP="00EC7385">
          <w:pPr>
            <w:pStyle w:val="TOC2"/>
            <w:rPr>
              <w:rFonts w:ascii="Arial" w:eastAsiaTheme="minorEastAsia" w:hAnsi="Arial" w:cs="Arial"/>
              <w:kern w:val="2"/>
              <w:lang w:eastAsia="en-GB"/>
            </w:rPr>
          </w:pPr>
          <w:hyperlink w:anchor="_Toc171203967" w:history="1">
            <w:r w:rsidRPr="00EC7385">
              <w:rPr>
                <w:rStyle w:val="Hyperlink"/>
                <w:rFonts w:ascii="Arial" w:hAnsi="Arial" w:cs="Arial"/>
                <w:color w:val="auto"/>
              </w:rPr>
              <w:t>4.8 Limitations of this study</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_Toc171203967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173</w:t>
            </w:r>
            <w:r w:rsidRPr="00EC7385">
              <w:rPr>
                <w:rFonts w:ascii="Arial" w:hAnsi="Arial" w:cs="Arial"/>
                <w:webHidden/>
              </w:rPr>
              <w:fldChar w:fldCharType="end"/>
            </w:r>
          </w:hyperlink>
        </w:p>
        <w:p w14:paraId="7FBFDCF9" w14:textId="6A7E8D8E" w:rsidR="00EC7385" w:rsidRPr="00EC7385" w:rsidRDefault="00EC7385" w:rsidP="00EC7385">
          <w:pPr>
            <w:pStyle w:val="TOC2"/>
            <w:rPr>
              <w:rFonts w:ascii="Arial" w:eastAsiaTheme="minorEastAsia" w:hAnsi="Arial" w:cs="Arial"/>
              <w:kern w:val="2"/>
              <w:lang w:eastAsia="en-GB"/>
            </w:rPr>
          </w:pPr>
          <w:hyperlink w:anchor="_Toc171203968" w:history="1">
            <w:r w:rsidRPr="00EC7385">
              <w:rPr>
                <w:rStyle w:val="Hyperlink"/>
                <w:rFonts w:ascii="Arial" w:hAnsi="Arial" w:cs="Arial"/>
                <w:color w:val="auto"/>
              </w:rPr>
              <w:t>4.9 Research Implications of this study</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_Toc171203968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175</w:t>
            </w:r>
            <w:r w:rsidRPr="00EC7385">
              <w:rPr>
                <w:rFonts w:ascii="Arial" w:hAnsi="Arial" w:cs="Arial"/>
                <w:webHidden/>
              </w:rPr>
              <w:fldChar w:fldCharType="end"/>
            </w:r>
          </w:hyperlink>
        </w:p>
        <w:p w14:paraId="7E8D2ECB" w14:textId="3DF5F0A7" w:rsidR="00EC7385" w:rsidRPr="00EC7385" w:rsidRDefault="00EC7385" w:rsidP="00EC7385">
          <w:pPr>
            <w:pStyle w:val="TOC2"/>
            <w:rPr>
              <w:rFonts w:ascii="Arial" w:eastAsiaTheme="minorEastAsia" w:hAnsi="Arial" w:cs="Arial"/>
              <w:kern w:val="2"/>
              <w:lang w:eastAsia="en-GB"/>
            </w:rPr>
          </w:pPr>
          <w:hyperlink w:anchor="_Toc171203969" w:history="1">
            <w:r w:rsidRPr="00EC7385">
              <w:rPr>
                <w:rStyle w:val="Hyperlink"/>
                <w:rFonts w:ascii="Arial" w:hAnsi="Arial" w:cs="Arial"/>
                <w:color w:val="auto"/>
              </w:rPr>
              <w:t>4.10 Future directions</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_Toc171203969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176</w:t>
            </w:r>
            <w:r w:rsidRPr="00EC7385">
              <w:rPr>
                <w:rFonts w:ascii="Arial" w:hAnsi="Arial" w:cs="Arial"/>
                <w:webHidden/>
              </w:rPr>
              <w:fldChar w:fldCharType="end"/>
            </w:r>
          </w:hyperlink>
        </w:p>
        <w:p w14:paraId="09492925" w14:textId="73CDF3F6" w:rsidR="00EC7385" w:rsidRPr="00EC7385" w:rsidRDefault="00EC7385" w:rsidP="00EC7385">
          <w:pPr>
            <w:pStyle w:val="TOC2"/>
            <w:rPr>
              <w:rFonts w:ascii="Arial" w:eastAsiaTheme="minorEastAsia" w:hAnsi="Arial" w:cs="Arial"/>
              <w:kern w:val="2"/>
              <w:lang w:eastAsia="en-GB"/>
            </w:rPr>
          </w:pPr>
          <w:hyperlink w:anchor="_Toc171203970" w:history="1">
            <w:r w:rsidRPr="00EC7385">
              <w:rPr>
                <w:rStyle w:val="Hyperlink"/>
                <w:rFonts w:ascii="Arial" w:hAnsi="Arial" w:cs="Arial"/>
                <w:color w:val="auto"/>
              </w:rPr>
              <w:t>4.11 Final conclusions</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_Toc171203970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177</w:t>
            </w:r>
            <w:r w:rsidRPr="00EC7385">
              <w:rPr>
                <w:rFonts w:ascii="Arial" w:hAnsi="Arial" w:cs="Arial"/>
                <w:webHidden/>
              </w:rPr>
              <w:fldChar w:fldCharType="end"/>
            </w:r>
          </w:hyperlink>
        </w:p>
        <w:p w14:paraId="56BC2C9C" w14:textId="33098FF5" w:rsidR="00EC7385" w:rsidRPr="00EC7385" w:rsidRDefault="00EC7385" w:rsidP="00EC7385">
          <w:pPr>
            <w:pStyle w:val="TOC1"/>
            <w:rPr>
              <w:rFonts w:eastAsiaTheme="minorEastAsia"/>
              <w:b w:val="0"/>
              <w:bCs w:val="0"/>
              <w:kern w:val="2"/>
              <w:lang w:eastAsia="en-GB"/>
            </w:rPr>
          </w:pPr>
          <w:hyperlink w:anchor="_Toc171203971" w:history="1">
            <w:r w:rsidRPr="00EC7385">
              <w:rPr>
                <w:rStyle w:val="Hyperlink"/>
                <w:color w:val="auto"/>
              </w:rPr>
              <w:t>5.</w:t>
            </w:r>
            <w:r w:rsidR="00FA7995">
              <w:rPr>
                <w:rFonts w:eastAsiaTheme="minorEastAsia"/>
                <w:b w:val="0"/>
                <w:bCs w:val="0"/>
                <w:kern w:val="2"/>
                <w:lang w:eastAsia="en-GB"/>
              </w:rPr>
              <w:t xml:space="preserve"> </w:t>
            </w:r>
            <w:r w:rsidRPr="00EC7385">
              <w:rPr>
                <w:rStyle w:val="Hyperlink"/>
                <w:color w:val="auto"/>
              </w:rPr>
              <w:t>Bibliography</w:t>
            </w:r>
            <w:r w:rsidRPr="00EC7385">
              <w:rPr>
                <w:webHidden/>
              </w:rPr>
              <w:tab/>
            </w:r>
            <w:r w:rsidRPr="00EC7385">
              <w:rPr>
                <w:webHidden/>
              </w:rPr>
              <w:fldChar w:fldCharType="begin"/>
            </w:r>
            <w:r w:rsidRPr="00EC7385">
              <w:rPr>
                <w:webHidden/>
              </w:rPr>
              <w:instrText xml:space="preserve"> PAGEREF _Toc171203971 \h </w:instrText>
            </w:r>
            <w:r w:rsidRPr="00EC7385">
              <w:rPr>
                <w:webHidden/>
              </w:rPr>
            </w:r>
            <w:r w:rsidRPr="00EC7385">
              <w:rPr>
                <w:webHidden/>
              </w:rPr>
              <w:fldChar w:fldCharType="separate"/>
            </w:r>
            <w:r w:rsidR="00C6126A">
              <w:rPr>
                <w:webHidden/>
              </w:rPr>
              <w:t>177</w:t>
            </w:r>
            <w:r w:rsidRPr="00EC7385">
              <w:rPr>
                <w:webHidden/>
              </w:rPr>
              <w:fldChar w:fldCharType="end"/>
            </w:r>
          </w:hyperlink>
        </w:p>
        <w:p w14:paraId="0C08310B" w14:textId="26776A4E" w:rsidR="00EC7385" w:rsidRPr="00EC7385" w:rsidRDefault="00EC7385" w:rsidP="00EC7385">
          <w:pPr>
            <w:pStyle w:val="TOC1"/>
            <w:rPr>
              <w:rFonts w:eastAsiaTheme="minorEastAsia"/>
              <w:b w:val="0"/>
              <w:bCs w:val="0"/>
              <w:kern w:val="2"/>
              <w:lang w:eastAsia="en-GB"/>
            </w:rPr>
          </w:pPr>
          <w:hyperlink w:anchor="_Toc171203972" w:history="1">
            <w:r w:rsidRPr="00EC7385">
              <w:rPr>
                <w:rStyle w:val="Hyperlink"/>
                <w:color w:val="auto"/>
              </w:rPr>
              <w:t>6. Appendix:</w:t>
            </w:r>
            <w:r w:rsidRPr="00EC7385">
              <w:rPr>
                <w:webHidden/>
              </w:rPr>
              <w:tab/>
            </w:r>
            <w:r w:rsidRPr="00EC7385">
              <w:rPr>
                <w:webHidden/>
              </w:rPr>
              <w:fldChar w:fldCharType="begin"/>
            </w:r>
            <w:r w:rsidRPr="00EC7385">
              <w:rPr>
                <w:webHidden/>
              </w:rPr>
              <w:instrText xml:space="preserve"> PAGEREF _Toc171203972 \h </w:instrText>
            </w:r>
            <w:r w:rsidRPr="00EC7385">
              <w:rPr>
                <w:webHidden/>
              </w:rPr>
            </w:r>
            <w:r w:rsidRPr="00EC7385">
              <w:rPr>
                <w:webHidden/>
              </w:rPr>
              <w:fldChar w:fldCharType="separate"/>
            </w:r>
            <w:r w:rsidR="00C6126A">
              <w:rPr>
                <w:webHidden/>
              </w:rPr>
              <w:t>196</w:t>
            </w:r>
            <w:r w:rsidRPr="00EC7385">
              <w:rPr>
                <w:webHidden/>
              </w:rPr>
              <w:fldChar w:fldCharType="end"/>
            </w:r>
          </w:hyperlink>
        </w:p>
        <w:p w14:paraId="314E3AB4" w14:textId="5482B30A" w:rsidR="00EC7385" w:rsidRPr="00EC7385" w:rsidRDefault="00EC7385" w:rsidP="00EC7385">
          <w:pPr>
            <w:pStyle w:val="TOC2"/>
            <w:rPr>
              <w:rFonts w:ascii="Arial" w:eastAsiaTheme="minorEastAsia" w:hAnsi="Arial" w:cs="Arial"/>
              <w:kern w:val="2"/>
              <w:lang w:eastAsia="en-GB"/>
            </w:rPr>
          </w:pPr>
          <w:hyperlink w:anchor="_Toc171203973" w:history="1">
            <w:r w:rsidRPr="00EC7385">
              <w:rPr>
                <w:rStyle w:val="Hyperlink"/>
                <w:rFonts w:ascii="Arial" w:hAnsi="Arial" w:cs="Arial"/>
                <w:color w:val="auto"/>
              </w:rPr>
              <w:t>6.1 VIRTU-4HE - Questionnaire for the follow-up telephone consultation</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_Toc171203973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196</w:t>
            </w:r>
            <w:r w:rsidRPr="00EC7385">
              <w:rPr>
                <w:rFonts w:ascii="Arial" w:hAnsi="Arial" w:cs="Arial"/>
                <w:webHidden/>
              </w:rPr>
              <w:fldChar w:fldCharType="end"/>
            </w:r>
          </w:hyperlink>
        </w:p>
        <w:p w14:paraId="212EDEB7" w14:textId="6613648B" w:rsidR="00EC7385" w:rsidRPr="00EC7385" w:rsidRDefault="00EC7385" w:rsidP="00EC7385">
          <w:pPr>
            <w:pStyle w:val="TOC2"/>
            <w:rPr>
              <w:rFonts w:ascii="Arial" w:eastAsiaTheme="minorEastAsia" w:hAnsi="Arial" w:cs="Arial"/>
              <w:kern w:val="2"/>
              <w:lang w:eastAsia="en-GB"/>
            </w:rPr>
          </w:pPr>
          <w:hyperlink w:anchor="_Toc171203974" w:history="1">
            <w:r w:rsidRPr="00EC7385">
              <w:rPr>
                <w:rStyle w:val="Hyperlink"/>
                <w:rFonts w:ascii="Arial" w:hAnsi="Arial" w:cs="Arial"/>
                <w:color w:val="auto"/>
              </w:rPr>
              <w:t>6.2 Comparison of the individualised “actual” and post-vFFR “virtual” EQ-VAS and EQ-indexed scores of patients in the virtual change subset</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_Toc171203974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199</w:t>
            </w:r>
            <w:r w:rsidRPr="00EC7385">
              <w:rPr>
                <w:rFonts w:ascii="Arial" w:hAnsi="Arial" w:cs="Arial"/>
                <w:webHidden/>
              </w:rPr>
              <w:fldChar w:fldCharType="end"/>
            </w:r>
          </w:hyperlink>
        </w:p>
        <w:p w14:paraId="1E22C55C" w14:textId="77BBCC75" w:rsidR="00EC7385" w:rsidRPr="00EC7385" w:rsidRDefault="00EC7385" w:rsidP="00EC7385">
          <w:pPr>
            <w:pStyle w:val="TOC2"/>
            <w:rPr>
              <w:rFonts w:ascii="Arial" w:eastAsiaTheme="minorEastAsia" w:hAnsi="Arial" w:cs="Arial"/>
              <w:kern w:val="2"/>
              <w:lang w:eastAsia="en-GB"/>
            </w:rPr>
          </w:pPr>
          <w:hyperlink w:anchor="_Toc171203975" w:history="1">
            <w:r w:rsidRPr="00EC7385">
              <w:rPr>
                <w:rStyle w:val="Hyperlink"/>
                <w:rFonts w:ascii="Arial" w:hAnsi="Arial" w:cs="Arial"/>
                <w:color w:val="auto"/>
              </w:rPr>
              <w:t>6.3 Individualised outcomes from the parent cardiologists</w:t>
            </w:r>
            <w:r w:rsidRPr="00EC7385">
              <w:rPr>
                <w:rFonts w:ascii="Arial" w:hAnsi="Arial" w:cs="Arial"/>
                <w:webHidden/>
              </w:rPr>
              <w:tab/>
            </w:r>
            <w:r w:rsidRPr="00EC7385">
              <w:rPr>
                <w:rFonts w:ascii="Arial" w:hAnsi="Arial" w:cs="Arial"/>
                <w:webHidden/>
              </w:rPr>
              <w:fldChar w:fldCharType="begin"/>
            </w:r>
            <w:r w:rsidRPr="00EC7385">
              <w:rPr>
                <w:rFonts w:ascii="Arial" w:hAnsi="Arial" w:cs="Arial"/>
                <w:webHidden/>
              </w:rPr>
              <w:instrText xml:space="preserve"> PAGEREF _Toc171203975 \h </w:instrText>
            </w:r>
            <w:r w:rsidRPr="00EC7385">
              <w:rPr>
                <w:rFonts w:ascii="Arial" w:hAnsi="Arial" w:cs="Arial"/>
                <w:webHidden/>
              </w:rPr>
            </w:r>
            <w:r w:rsidRPr="00EC7385">
              <w:rPr>
                <w:rFonts w:ascii="Arial" w:hAnsi="Arial" w:cs="Arial"/>
                <w:webHidden/>
              </w:rPr>
              <w:fldChar w:fldCharType="separate"/>
            </w:r>
            <w:r w:rsidR="00C6126A">
              <w:rPr>
                <w:rFonts w:ascii="Arial" w:hAnsi="Arial" w:cs="Arial"/>
                <w:webHidden/>
              </w:rPr>
              <w:t>203</w:t>
            </w:r>
            <w:r w:rsidRPr="00EC7385">
              <w:rPr>
                <w:rFonts w:ascii="Arial" w:hAnsi="Arial" w:cs="Arial"/>
                <w:webHidden/>
              </w:rPr>
              <w:fldChar w:fldCharType="end"/>
            </w:r>
          </w:hyperlink>
        </w:p>
        <w:p w14:paraId="2D515E66" w14:textId="36FA1AB6" w:rsidR="004942B6" w:rsidRPr="0018782B" w:rsidRDefault="004942B6" w:rsidP="00EC7385">
          <w:pPr>
            <w:spacing w:line="360" w:lineRule="auto"/>
            <w:jc w:val="both"/>
            <w:rPr>
              <w:rFonts w:ascii="Arial" w:hAnsi="Arial" w:cs="Arial"/>
              <w:sz w:val="24"/>
              <w:szCs w:val="24"/>
            </w:rPr>
          </w:pPr>
          <w:r w:rsidRPr="00EC7385">
            <w:rPr>
              <w:rFonts w:ascii="Arial" w:hAnsi="Arial" w:cs="Arial"/>
              <w:noProof/>
              <w:sz w:val="24"/>
              <w:szCs w:val="24"/>
            </w:rPr>
            <w:fldChar w:fldCharType="end"/>
          </w:r>
        </w:p>
      </w:sdtContent>
    </w:sdt>
    <w:bookmarkEnd w:id="4" w:displacedByCustomXml="prev"/>
    <w:p w14:paraId="259F28D4" w14:textId="77777777" w:rsidR="004942B6" w:rsidRDefault="004942B6" w:rsidP="004942B6">
      <w:pPr>
        <w:jc w:val="both"/>
        <w:rPr>
          <w:rFonts w:ascii="Arial" w:hAnsi="Arial" w:cs="Arial"/>
          <w:sz w:val="24"/>
          <w:szCs w:val="24"/>
        </w:rPr>
      </w:pPr>
    </w:p>
    <w:p w14:paraId="65EE0236" w14:textId="77777777" w:rsidR="004942B6" w:rsidRDefault="004942B6" w:rsidP="004942B6">
      <w:pPr>
        <w:jc w:val="both"/>
        <w:rPr>
          <w:rFonts w:ascii="Arial" w:hAnsi="Arial" w:cs="Arial"/>
          <w:sz w:val="24"/>
          <w:szCs w:val="24"/>
        </w:rPr>
      </w:pPr>
    </w:p>
    <w:p w14:paraId="76D7D078" w14:textId="77777777" w:rsidR="004942B6" w:rsidRDefault="004942B6" w:rsidP="004942B6">
      <w:pPr>
        <w:jc w:val="both"/>
        <w:rPr>
          <w:rFonts w:ascii="Arial" w:hAnsi="Arial" w:cs="Arial"/>
          <w:sz w:val="24"/>
          <w:szCs w:val="24"/>
        </w:rPr>
      </w:pPr>
    </w:p>
    <w:p w14:paraId="5065794A" w14:textId="77777777" w:rsidR="004942B6" w:rsidRDefault="004942B6" w:rsidP="004942B6">
      <w:pPr>
        <w:jc w:val="both"/>
        <w:rPr>
          <w:rFonts w:ascii="Arial" w:hAnsi="Arial" w:cs="Arial"/>
          <w:sz w:val="24"/>
          <w:szCs w:val="24"/>
        </w:rPr>
      </w:pPr>
    </w:p>
    <w:p w14:paraId="5FEAE2B9" w14:textId="77777777" w:rsidR="004942B6" w:rsidRDefault="004942B6" w:rsidP="004942B6">
      <w:pPr>
        <w:jc w:val="both"/>
        <w:rPr>
          <w:rFonts w:ascii="Arial" w:hAnsi="Arial" w:cs="Arial"/>
          <w:sz w:val="24"/>
          <w:szCs w:val="24"/>
        </w:rPr>
      </w:pPr>
    </w:p>
    <w:p w14:paraId="5108C10D" w14:textId="77777777" w:rsidR="004942B6" w:rsidRDefault="004942B6" w:rsidP="004942B6">
      <w:pPr>
        <w:jc w:val="both"/>
        <w:rPr>
          <w:rFonts w:ascii="Arial" w:hAnsi="Arial" w:cs="Arial"/>
          <w:sz w:val="24"/>
          <w:szCs w:val="24"/>
        </w:rPr>
      </w:pPr>
    </w:p>
    <w:p w14:paraId="57E2F480" w14:textId="77777777" w:rsidR="004942B6" w:rsidRDefault="004942B6" w:rsidP="004942B6">
      <w:pPr>
        <w:jc w:val="both"/>
        <w:rPr>
          <w:rFonts w:ascii="Arial" w:hAnsi="Arial" w:cs="Arial"/>
          <w:sz w:val="24"/>
          <w:szCs w:val="24"/>
        </w:rPr>
      </w:pPr>
    </w:p>
    <w:p w14:paraId="38CAB81B" w14:textId="77777777" w:rsidR="004942B6" w:rsidRDefault="004942B6" w:rsidP="004942B6">
      <w:pPr>
        <w:jc w:val="both"/>
        <w:rPr>
          <w:rFonts w:ascii="Arial" w:hAnsi="Arial" w:cs="Arial"/>
          <w:sz w:val="24"/>
          <w:szCs w:val="24"/>
        </w:rPr>
      </w:pPr>
    </w:p>
    <w:p w14:paraId="5405A2F9" w14:textId="42D99B40" w:rsidR="00E7036A" w:rsidRDefault="00E7036A">
      <w:pPr>
        <w:rPr>
          <w:rFonts w:ascii="Arial" w:eastAsiaTheme="majorEastAsia" w:hAnsi="Arial" w:cs="Arial"/>
          <w:color w:val="2F5496" w:themeColor="accent1" w:themeShade="BF"/>
          <w:sz w:val="24"/>
          <w:szCs w:val="24"/>
        </w:rPr>
      </w:pPr>
      <w:r>
        <w:rPr>
          <w:rFonts w:ascii="Arial" w:hAnsi="Arial" w:cs="Arial"/>
          <w:sz w:val="24"/>
          <w:szCs w:val="24"/>
        </w:rPr>
        <w:br w:type="page"/>
      </w:r>
    </w:p>
    <w:p w14:paraId="629BFFEA" w14:textId="77777777" w:rsidR="004942B6" w:rsidRPr="008832F5" w:rsidRDefault="004942B6" w:rsidP="004942B6">
      <w:pPr>
        <w:pStyle w:val="Heading1"/>
        <w:jc w:val="both"/>
        <w:rPr>
          <w:rFonts w:ascii="Arial" w:hAnsi="Arial" w:cs="Arial"/>
          <w:b/>
          <w:bCs/>
          <w:color w:val="4472C4" w:themeColor="accent1"/>
        </w:rPr>
      </w:pPr>
      <w:bookmarkStart w:id="5" w:name="_Toc171203837"/>
      <w:r w:rsidRPr="00022669">
        <w:rPr>
          <w:rFonts w:ascii="Arial" w:hAnsi="Arial" w:cs="Arial"/>
          <w:b/>
          <w:bCs/>
          <w:color w:val="4472C4" w:themeColor="accent1"/>
        </w:rPr>
        <w:lastRenderedPageBreak/>
        <w:t>Abbreviations</w:t>
      </w:r>
      <w:bookmarkEnd w:id="5"/>
    </w:p>
    <w:tbl>
      <w:tblPr>
        <w:tblStyle w:val="PlainTable51"/>
        <w:tblW w:w="0" w:type="auto"/>
        <w:tblLook w:val="04A0" w:firstRow="1" w:lastRow="0" w:firstColumn="1" w:lastColumn="0" w:noHBand="0" w:noVBand="1"/>
      </w:tblPr>
      <w:tblGrid>
        <w:gridCol w:w="1985"/>
        <w:gridCol w:w="5658"/>
      </w:tblGrid>
      <w:tr w:rsidR="004942B6" w:rsidRPr="0018782B" w14:paraId="71576C45" w14:textId="77777777" w:rsidTr="002C2525">
        <w:trPr>
          <w:cnfStyle w:val="100000000000" w:firstRow="1" w:lastRow="0" w:firstColumn="0" w:lastColumn="0" w:oddVBand="0" w:evenVBand="0" w:oddHBand="0" w:evenHBand="0" w:firstRowFirstColumn="0" w:firstRowLastColumn="0" w:lastRowFirstColumn="0" w:lastRowLastColumn="0"/>
          <w:trHeight w:val="70"/>
        </w:trPr>
        <w:tc>
          <w:tcPr>
            <w:cnfStyle w:val="001000000100" w:firstRow="0" w:lastRow="0" w:firstColumn="1" w:lastColumn="0" w:oddVBand="0" w:evenVBand="0" w:oddHBand="0" w:evenHBand="0" w:firstRowFirstColumn="1" w:firstRowLastColumn="0" w:lastRowFirstColumn="0" w:lastRowLastColumn="0"/>
            <w:tcW w:w="7643" w:type="dxa"/>
            <w:gridSpan w:val="2"/>
            <w:shd w:val="clear" w:color="auto" w:fill="auto"/>
          </w:tcPr>
          <w:p w14:paraId="15B58FB9" w14:textId="77777777" w:rsidR="004942B6" w:rsidRPr="0018782B" w:rsidRDefault="004942B6" w:rsidP="002C2525">
            <w:pPr>
              <w:spacing w:line="360" w:lineRule="auto"/>
              <w:jc w:val="both"/>
              <w:rPr>
                <w:rFonts w:ascii="Arial" w:hAnsi="Arial" w:cs="Arial"/>
                <w:sz w:val="24"/>
                <w:szCs w:val="24"/>
              </w:rPr>
            </w:pPr>
          </w:p>
        </w:tc>
      </w:tr>
      <w:tr w:rsidR="004942B6" w:rsidRPr="0018782B" w14:paraId="772AADB2"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41E17885" w14:textId="77777777" w:rsidR="004942B6" w:rsidRDefault="004942B6" w:rsidP="002C2525">
            <w:pPr>
              <w:spacing w:line="360" w:lineRule="auto"/>
              <w:jc w:val="both"/>
              <w:rPr>
                <w:rFonts w:ascii="Arial" w:hAnsi="Arial" w:cs="Arial"/>
                <w:i w:val="0"/>
                <w:iCs w:val="0"/>
                <w:sz w:val="24"/>
                <w:szCs w:val="24"/>
              </w:rPr>
            </w:pPr>
            <w:r w:rsidRPr="0018782B">
              <w:rPr>
                <w:rFonts w:ascii="Arial" w:hAnsi="Arial" w:cs="Arial"/>
                <w:sz w:val="24"/>
                <w:szCs w:val="24"/>
              </w:rPr>
              <w:t>AI</w:t>
            </w:r>
          </w:p>
          <w:p w14:paraId="01D95E10" w14:textId="77777777" w:rsidR="004942B6" w:rsidRPr="0018782B" w:rsidRDefault="004942B6" w:rsidP="002C2525">
            <w:pPr>
              <w:spacing w:line="360" w:lineRule="auto"/>
              <w:jc w:val="both"/>
              <w:rPr>
                <w:rFonts w:ascii="Arial" w:hAnsi="Arial" w:cs="Arial"/>
                <w:sz w:val="24"/>
                <w:szCs w:val="24"/>
              </w:rPr>
            </w:pPr>
            <w:r>
              <w:rPr>
                <w:rFonts w:ascii="Arial" w:hAnsi="Arial" w:cs="Arial"/>
                <w:sz w:val="24"/>
                <w:szCs w:val="24"/>
              </w:rPr>
              <w:t>AKI</w:t>
            </w:r>
          </w:p>
        </w:tc>
        <w:tc>
          <w:tcPr>
            <w:tcW w:w="5658" w:type="dxa"/>
            <w:shd w:val="clear" w:color="auto" w:fill="auto"/>
          </w:tcPr>
          <w:p w14:paraId="0AFA33D4" w14:textId="77777777" w:rsidR="004942B6"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Artificial intelligence</w:t>
            </w:r>
          </w:p>
          <w:p w14:paraId="3BA2FF58"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Acute kidney injury</w:t>
            </w:r>
          </w:p>
        </w:tc>
      </w:tr>
      <w:tr w:rsidR="004942B6" w:rsidRPr="0018782B" w14:paraId="5176E415"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B56754F"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BHF</w:t>
            </w:r>
          </w:p>
        </w:tc>
        <w:tc>
          <w:tcPr>
            <w:tcW w:w="5658" w:type="dxa"/>
            <w:shd w:val="clear" w:color="auto" w:fill="auto"/>
          </w:tcPr>
          <w:p w14:paraId="7EDF240C"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British Heart Foundation</w:t>
            </w:r>
          </w:p>
        </w:tc>
      </w:tr>
      <w:tr w:rsidR="004942B6" w:rsidRPr="0018782B" w14:paraId="1B2FABBA"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918E00E"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C</w:t>
            </w:r>
            <w:r>
              <w:rPr>
                <w:rFonts w:ascii="Arial" w:hAnsi="Arial" w:cs="Arial"/>
                <w:sz w:val="24"/>
                <w:szCs w:val="24"/>
              </w:rPr>
              <w:t>CS Class</w:t>
            </w:r>
          </w:p>
        </w:tc>
        <w:tc>
          <w:tcPr>
            <w:tcW w:w="5658" w:type="dxa"/>
            <w:shd w:val="clear" w:color="auto" w:fill="auto"/>
          </w:tcPr>
          <w:p w14:paraId="2A585E8A"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C</w:t>
            </w:r>
            <w:r>
              <w:rPr>
                <w:rFonts w:ascii="Arial" w:hAnsi="Arial" w:cs="Arial"/>
                <w:color w:val="000000" w:themeColor="text1"/>
                <w:sz w:val="24"/>
                <w:szCs w:val="24"/>
              </w:rPr>
              <w:t>anadian Cardiovascular Society Class</w:t>
            </w:r>
          </w:p>
        </w:tc>
      </w:tr>
      <w:tr w:rsidR="004942B6" w:rsidRPr="0018782B" w14:paraId="4B4FC361"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EDBBF03"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CABG</w:t>
            </w:r>
          </w:p>
        </w:tc>
        <w:tc>
          <w:tcPr>
            <w:tcW w:w="5658" w:type="dxa"/>
            <w:shd w:val="clear" w:color="auto" w:fill="auto"/>
          </w:tcPr>
          <w:p w14:paraId="1F3B91A9"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Coronary artery bypass graft</w:t>
            </w:r>
          </w:p>
        </w:tc>
      </w:tr>
      <w:tr w:rsidR="004942B6" w:rsidRPr="0018782B" w14:paraId="72C3D0ED"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4E0748EA"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CAD</w:t>
            </w:r>
          </w:p>
        </w:tc>
        <w:tc>
          <w:tcPr>
            <w:tcW w:w="5658" w:type="dxa"/>
            <w:shd w:val="clear" w:color="auto" w:fill="auto"/>
            <w:hideMark/>
          </w:tcPr>
          <w:p w14:paraId="08850956"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Coronary </w:t>
            </w:r>
            <w:r>
              <w:rPr>
                <w:rFonts w:ascii="Arial" w:hAnsi="Arial" w:cs="Arial"/>
                <w:color w:val="000000" w:themeColor="text1"/>
                <w:sz w:val="24"/>
                <w:szCs w:val="24"/>
              </w:rPr>
              <w:t>a</w:t>
            </w:r>
            <w:r w:rsidRPr="00ED3AA2">
              <w:rPr>
                <w:rFonts w:ascii="Arial" w:hAnsi="Arial" w:cs="Arial"/>
                <w:color w:val="000000" w:themeColor="text1"/>
                <w:sz w:val="24"/>
                <w:szCs w:val="24"/>
              </w:rPr>
              <w:t xml:space="preserve">rtery </w:t>
            </w:r>
            <w:r>
              <w:rPr>
                <w:rFonts w:ascii="Arial" w:hAnsi="Arial" w:cs="Arial"/>
                <w:color w:val="000000" w:themeColor="text1"/>
                <w:sz w:val="24"/>
                <w:szCs w:val="24"/>
              </w:rPr>
              <w:t>d</w:t>
            </w:r>
            <w:r w:rsidRPr="00ED3AA2">
              <w:rPr>
                <w:rFonts w:ascii="Arial" w:hAnsi="Arial" w:cs="Arial"/>
                <w:color w:val="000000" w:themeColor="text1"/>
                <w:sz w:val="24"/>
                <w:szCs w:val="24"/>
              </w:rPr>
              <w:t>isease</w:t>
            </w:r>
          </w:p>
        </w:tc>
      </w:tr>
      <w:tr w:rsidR="004942B6" w:rsidRPr="0018782B" w14:paraId="7568E8BC"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5D330623"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CAG</w:t>
            </w:r>
          </w:p>
        </w:tc>
        <w:tc>
          <w:tcPr>
            <w:tcW w:w="5658" w:type="dxa"/>
            <w:shd w:val="clear" w:color="auto" w:fill="auto"/>
            <w:hideMark/>
          </w:tcPr>
          <w:p w14:paraId="097F583E"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Coronary </w:t>
            </w:r>
            <w:r>
              <w:rPr>
                <w:rFonts w:ascii="Arial" w:hAnsi="Arial" w:cs="Arial"/>
                <w:color w:val="000000" w:themeColor="text1"/>
                <w:sz w:val="24"/>
                <w:szCs w:val="24"/>
              </w:rPr>
              <w:t>a</w:t>
            </w:r>
            <w:r w:rsidRPr="00ED3AA2">
              <w:rPr>
                <w:rFonts w:ascii="Arial" w:hAnsi="Arial" w:cs="Arial"/>
                <w:color w:val="000000" w:themeColor="text1"/>
                <w:sz w:val="24"/>
                <w:szCs w:val="24"/>
              </w:rPr>
              <w:t>ngiography</w:t>
            </w:r>
          </w:p>
        </w:tc>
      </w:tr>
      <w:tr w:rsidR="004942B6" w:rsidRPr="0018782B" w14:paraId="1BA97595"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4B56690"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CFD</w:t>
            </w:r>
          </w:p>
        </w:tc>
        <w:tc>
          <w:tcPr>
            <w:tcW w:w="5658" w:type="dxa"/>
            <w:shd w:val="clear" w:color="auto" w:fill="auto"/>
          </w:tcPr>
          <w:p w14:paraId="4E2C7C4D"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Computational </w:t>
            </w:r>
            <w:r>
              <w:rPr>
                <w:rFonts w:ascii="Arial" w:hAnsi="Arial" w:cs="Arial"/>
                <w:color w:val="000000" w:themeColor="text1"/>
                <w:sz w:val="24"/>
                <w:szCs w:val="24"/>
              </w:rPr>
              <w:t>f</w:t>
            </w:r>
            <w:r w:rsidRPr="00ED3AA2">
              <w:rPr>
                <w:rFonts w:ascii="Arial" w:hAnsi="Arial" w:cs="Arial"/>
                <w:color w:val="000000" w:themeColor="text1"/>
                <w:sz w:val="24"/>
                <w:szCs w:val="24"/>
              </w:rPr>
              <w:t xml:space="preserve">luid </w:t>
            </w:r>
            <w:r>
              <w:rPr>
                <w:rFonts w:ascii="Arial" w:hAnsi="Arial" w:cs="Arial"/>
                <w:color w:val="000000" w:themeColor="text1"/>
                <w:sz w:val="24"/>
                <w:szCs w:val="24"/>
              </w:rPr>
              <w:t>d</w:t>
            </w:r>
            <w:r w:rsidRPr="00ED3AA2">
              <w:rPr>
                <w:rFonts w:ascii="Arial" w:hAnsi="Arial" w:cs="Arial"/>
                <w:color w:val="000000" w:themeColor="text1"/>
                <w:sz w:val="24"/>
                <w:szCs w:val="24"/>
              </w:rPr>
              <w:t xml:space="preserve">ynamics </w:t>
            </w:r>
          </w:p>
        </w:tc>
      </w:tr>
      <w:tr w:rsidR="004942B6" w:rsidRPr="0018782B" w14:paraId="263B0A47"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4F10A647"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CMRI</w:t>
            </w:r>
          </w:p>
        </w:tc>
        <w:tc>
          <w:tcPr>
            <w:tcW w:w="5658" w:type="dxa"/>
            <w:shd w:val="clear" w:color="auto" w:fill="auto"/>
          </w:tcPr>
          <w:p w14:paraId="4CC7C0C4"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Cardiac </w:t>
            </w:r>
            <w:r>
              <w:rPr>
                <w:rFonts w:ascii="Arial" w:hAnsi="Arial" w:cs="Arial"/>
                <w:color w:val="000000" w:themeColor="text1"/>
                <w:sz w:val="24"/>
                <w:szCs w:val="24"/>
              </w:rPr>
              <w:t>m</w:t>
            </w:r>
            <w:r w:rsidRPr="00ED3AA2">
              <w:rPr>
                <w:rFonts w:ascii="Arial" w:hAnsi="Arial" w:cs="Arial"/>
                <w:color w:val="000000" w:themeColor="text1"/>
                <w:sz w:val="24"/>
                <w:szCs w:val="24"/>
              </w:rPr>
              <w:t xml:space="preserve">agnetic </w:t>
            </w:r>
            <w:r>
              <w:rPr>
                <w:rFonts w:ascii="Arial" w:hAnsi="Arial" w:cs="Arial"/>
                <w:color w:val="000000" w:themeColor="text1"/>
                <w:sz w:val="24"/>
                <w:szCs w:val="24"/>
              </w:rPr>
              <w:t>r</w:t>
            </w:r>
            <w:r w:rsidRPr="00ED3AA2">
              <w:rPr>
                <w:rFonts w:ascii="Arial" w:hAnsi="Arial" w:cs="Arial"/>
                <w:color w:val="000000" w:themeColor="text1"/>
                <w:sz w:val="24"/>
                <w:szCs w:val="24"/>
              </w:rPr>
              <w:t xml:space="preserve">esonance </w:t>
            </w:r>
            <w:r>
              <w:rPr>
                <w:rFonts w:ascii="Arial" w:hAnsi="Arial" w:cs="Arial"/>
                <w:color w:val="000000" w:themeColor="text1"/>
                <w:sz w:val="24"/>
                <w:szCs w:val="24"/>
              </w:rPr>
              <w:t>i</w:t>
            </w:r>
            <w:r w:rsidRPr="00ED3AA2">
              <w:rPr>
                <w:rFonts w:ascii="Arial" w:hAnsi="Arial" w:cs="Arial"/>
                <w:color w:val="000000" w:themeColor="text1"/>
                <w:sz w:val="24"/>
                <w:szCs w:val="24"/>
              </w:rPr>
              <w:t xml:space="preserve">maging </w:t>
            </w:r>
          </w:p>
        </w:tc>
      </w:tr>
      <w:tr w:rsidR="004942B6" w:rsidRPr="0018782B" w14:paraId="6685BF73"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42060EEC"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CTCA</w:t>
            </w:r>
          </w:p>
        </w:tc>
        <w:tc>
          <w:tcPr>
            <w:tcW w:w="5658" w:type="dxa"/>
            <w:shd w:val="clear" w:color="auto" w:fill="auto"/>
          </w:tcPr>
          <w:p w14:paraId="7D77585C"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Computed </w:t>
            </w:r>
            <w:r>
              <w:rPr>
                <w:rFonts w:ascii="Arial" w:hAnsi="Arial" w:cs="Arial"/>
                <w:color w:val="000000" w:themeColor="text1"/>
                <w:sz w:val="24"/>
                <w:szCs w:val="24"/>
              </w:rPr>
              <w:t>t</w:t>
            </w:r>
            <w:r w:rsidRPr="00ED3AA2">
              <w:rPr>
                <w:rFonts w:ascii="Arial" w:hAnsi="Arial" w:cs="Arial"/>
                <w:color w:val="000000" w:themeColor="text1"/>
                <w:sz w:val="24"/>
                <w:szCs w:val="24"/>
              </w:rPr>
              <w:t xml:space="preserve">omography </w:t>
            </w:r>
            <w:r>
              <w:rPr>
                <w:rFonts w:ascii="Arial" w:hAnsi="Arial" w:cs="Arial"/>
                <w:color w:val="000000" w:themeColor="text1"/>
                <w:sz w:val="24"/>
                <w:szCs w:val="24"/>
              </w:rPr>
              <w:t>c</w:t>
            </w:r>
            <w:r w:rsidRPr="00ED3AA2">
              <w:rPr>
                <w:rFonts w:ascii="Arial" w:hAnsi="Arial" w:cs="Arial"/>
                <w:color w:val="000000" w:themeColor="text1"/>
                <w:sz w:val="24"/>
                <w:szCs w:val="24"/>
              </w:rPr>
              <w:t xml:space="preserve">oronary </w:t>
            </w:r>
            <w:r>
              <w:rPr>
                <w:rFonts w:ascii="Arial" w:hAnsi="Arial" w:cs="Arial"/>
                <w:color w:val="000000" w:themeColor="text1"/>
                <w:sz w:val="24"/>
                <w:szCs w:val="24"/>
              </w:rPr>
              <w:t>a</w:t>
            </w:r>
            <w:r w:rsidRPr="00ED3AA2">
              <w:rPr>
                <w:rFonts w:ascii="Arial" w:hAnsi="Arial" w:cs="Arial"/>
                <w:color w:val="000000" w:themeColor="text1"/>
                <w:sz w:val="24"/>
                <w:szCs w:val="24"/>
              </w:rPr>
              <w:t>ngiography</w:t>
            </w:r>
          </w:p>
        </w:tc>
      </w:tr>
      <w:tr w:rsidR="004942B6" w:rsidRPr="0018782B" w14:paraId="69D6C1A0"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40E8CB3"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CVD</w:t>
            </w:r>
          </w:p>
        </w:tc>
        <w:tc>
          <w:tcPr>
            <w:tcW w:w="5658" w:type="dxa"/>
            <w:shd w:val="clear" w:color="auto" w:fill="auto"/>
          </w:tcPr>
          <w:p w14:paraId="2D38746A"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Cardiovascular disorders</w:t>
            </w:r>
          </w:p>
        </w:tc>
      </w:tr>
      <w:tr w:rsidR="004942B6" w:rsidRPr="0018782B" w14:paraId="13C7B248"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6ECEFD06"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DAPT</w:t>
            </w:r>
          </w:p>
        </w:tc>
        <w:tc>
          <w:tcPr>
            <w:tcW w:w="5658" w:type="dxa"/>
            <w:shd w:val="clear" w:color="auto" w:fill="auto"/>
            <w:hideMark/>
          </w:tcPr>
          <w:p w14:paraId="15CDD095"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Dual antiplatelet therapy</w:t>
            </w:r>
          </w:p>
        </w:tc>
      </w:tr>
      <w:tr w:rsidR="004942B6" w:rsidRPr="0018782B" w14:paraId="7664D1E2"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6F0F38F0"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DES</w:t>
            </w:r>
          </w:p>
        </w:tc>
        <w:tc>
          <w:tcPr>
            <w:tcW w:w="5658" w:type="dxa"/>
            <w:shd w:val="clear" w:color="auto" w:fill="auto"/>
            <w:hideMark/>
          </w:tcPr>
          <w:p w14:paraId="360845A6"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Drug-eluting stent</w:t>
            </w:r>
          </w:p>
        </w:tc>
      </w:tr>
      <w:tr w:rsidR="004942B6" w:rsidRPr="0018782B" w14:paraId="392D4D93"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14D4D07A"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ECG</w:t>
            </w:r>
          </w:p>
        </w:tc>
        <w:tc>
          <w:tcPr>
            <w:tcW w:w="5658" w:type="dxa"/>
            <w:shd w:val="clear" w:color="auto" w:fill="auto"/>
            <w:hideMark/>
          </w:tcPr>
          <w:p w14:paraId="434E9816"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Electrocardiography</w:t>
            </w:r>
          </w:p>
        </w:tc>
      </w:tr>
      <w:tr w:rsidR="004942B6" w:rsidRPr="0018782B" w14:paraId="6C3D7CC2"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1A05C21E"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ESC</w:t>
            </w:r>
          </w:p>
        </w:tc>
        <w:tc>
          <w:tcPr>
            <w:tcW w:w="5658" w:type="dxa"/>
            <w:shd w:val="clear" w:color="auto" w:fill="auto"/>
            <w:hideMark/>
          </w:tcPr>
          <w:p w14:paraId="69F4B7D6"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European Society of Cardiology</w:t>
            </w:r>
          </w:p>
        </w:tc>
      </w:tr>
      <w:tr w:rsidR="004942B6" w:rsidRPr="0018782B" w14:paraId="44962045"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0DE80D86"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ETT</w:t>
            </w:r>
          </w:p>
        </w:tc>
        <w:tc>
          <w:tcPr>
            <w:tcW w:w="5658" w:type="dxa"/>
            <w:shd w:val="clear" w:color="auto" w:fill="auto"/>
            <w:hideMark/>
          </w:tcPr>
          <w:p w14:paraId="1A5B88A7"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Exercise tolerance test</w:t>
            </w:r>
          </w:p>
        </w:tc>
      </w:tr>
      <w:tr w:rsidR="004942B6" w:rsidRPr="0018782B" w14:paraId="05D3F942"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4E60DA59"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FFR</w:t>
            </w:r>
          </w:p>
        </w:tc>
        <w:tc>
          <w:tcPr>
            <w:tcW w:w="5658" w:type="dxa"/>
            <w:shd w:val="clear" w:color="auto" w:fill="auto"/>
            <w:hideMark/>
          </w:tcPr>
          <w:p w14:paraId="74A555A8"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Fractional </w:t>
            </w:r>
            <w:r>
              <w:rPr>
                <w:rFonts w:ascii="Arial" w:hAnsi="Arial" w:cs="Arial"/>
                <w:color w:val="000000" w:themeColor="text1"/>
                <w:sz w:val="24"/>
                <w:szCs w:val="24"/>
              </w:rPr>
              <w:t>f</w:t>
            </w:r>
            <w:r w:rsidRPr="00ED3AA2">
              <w:rPr>
                <w:rFonts w:ascii="Arial" w:hAnsi="Arial" w:cs="Arial"/>
                <w:color w:val="000000" w:themeColor="text1"/>
                <w:sz w:val="24"/>
                <w:szCs w:val="24"/>
              </w:rPr>
              <w:t xml:space="preserve">low </w:t>
            </w:r>
            <w:r>
              <w:rPr>
                <w:rFonts w:ascii="Arial" w:hAnsi="Arial" w:cs="Arial"/>
                <w:color w:val="000000" w:themeColor="text1"/>
                <w:sz w:val="24"/>
                <w:szCs w:val="24"/>
              </w:rPr>
              <w:t>r</w:t>
            </w:r>
            <w:r w:rsidRPr="00ED3AA2">
              <w:rPr>
                <w:rFonts w:ascii="Arial" w:hAnsi="Arial" w:cs="Arial"/>
                <w:color w:val="000000" w:themeColor="text1"/>
                <w:sz w:val="24"/>
                <w:szCs w:val="24"/>
              </w:rPr>
              <w:t>eserve</w:t>
            </w:r>
          </w:p>
        </w:tc>
      </w:tr>
      <w:tr w:rsidR="004942B6" w:rsidRPr="0018782B" w14:paraId="7CB313E2"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00E09C2" w14:textId="77777777" w:rsidR="004942B6" w:rsidRPr="0018782B" w:rsidRDefault="004942B6" w:rsidP="002C2525">
            <w:pPr>
              <w:spacing w:line="360" w:lineRule="auto"/>
              <w:jc w:val="both"/>
              <w:rPr>
                <w:rFonts w:ascii="Arial" w:hAnsi="Arial" w:cs="Arial"/>
                <w:sz w:val="24"/>
                <w:szCs w:val="24"/>
                <w:vertAlign w:val="subscript"/>
              </w:rPr>
            </w:pPr>
            <w:r w:rsidRPr="0018782B">
              <w:rPr>
                <w:rFonts w:ascii="Arial" w:hAnsi="Arial" w:cs="Arial"/>
                <w:sz w:val="24"/>
                <w:szCs w:val="24"/>
              </w:rPr>
              <w:t>FFR</w:t>
            </w:r>
            <w:r w:rsidRPr="0018782B">
              <w:rPr>
                <w:rFonts w:ascii="Arial" w:hAnsi="Arial" w:cs="Arial"/>
                <w:sz w:val="24"/>
                <w:szCs w:val="24"/>
                <w:vertAlign w:val="subscript"/>
              </w:rPr>
              <w:t>CAG</w:t>
            </w:r>
          </w:p>
        </w:tc>
        <w:tc>
          <w:tcPr>
            <w:tcW w:w="5658" w:type="dxa"/>
            <w:shd w:val="clear" w:color="auto" w:fill="auto"/>
          </w:tcPr>
          <w:p w14:paraId="25991478"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FFR derived from coronary angiography</w:t>
            </w:r>
          </w:p>
        </w:tc>
      </w:tr>
      <w:tr w:rsidR="004942B6" w:rsidRPr="0018782B" w14:paraId="67F943D6"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D0ED290"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FFR</w:t>
            </w:r>
            <w:r w:rsidRPr="0018782B">
              <w:rPr>
                <w:rFonts w:ascii="Arial" w:hAnsi="Arial" w:cs="Arial"/>
                <w:sz w:val="24"/>
                <w:szCs w:val="24"/>
                <w:vertAlign w:val="subscript"/>
              </w:rPr>
              <w:t>CT</w:t>
            </w:r>
          </w:p>
        </w:tc>
        <w:tc>
          <w:tcPr>
            <w:tcW w:w="5658" w:type="dxa"/>
            <w:shd w:val="clear" w:color="auto" w:fill="auto"/>
          </w:tcPr>
          <w:p w14:paraId="3CB0DC1E"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FFR derived from </w:t>
            </w:r>
            <w:r>
              <w:rPr>
                <w:rFonts w:ascii="Arial" w:hAnsi="Arial" w:cs="Arial"/>
                <w:color w:val="000000" w:themeColor="text1"/>
                <w:sz w:val="24"/>
                <w:szCs w:val="24"/>
              </w:rPr>
              <w:t>c</w:t>
            </w:r>
            <w:r w:rsidRPr="00ED3AA2">
              <w:rPr>
                <w:rFonts w:ascii="Arial" w:hAnsi="Arial" w:cs="Arial"/>
                <w:color w:val="000000" w:themeColor="text1"/>
                <w:sz w:val="24"/>
                <w:szCs w:val="24"/>
              </w:rPr>
              <w:t xml:space="preserve">omputed </w:t>
            </w:r>
            <w:r>
              <w:rPr>
                <w:rFonts w:ascii="Arial" w:hAnsi="Arial" w:cs="Arial"/>
                <w:color w:val="000000" w:themeColor="text1"/>
                <w:sz w:val="24"/>
                <w:szCs w:val="24"/>
              </w:rPr>
              <w:t>t</w:t>
            </w:r>
            <w:r w:rsidRPr="00ED3AA2">
              <w:rPr>
                <w:rFonts w:ascii="Arial" w:hAnsi="Arial" w:cs="Arial"/>
                <w:color w:val="000000" w:themeColor="text1"/>
                <w:sz w:val="24"/>
                <w:szCs w:val="24"/>
              </w:rPr>
              <w:t>omography</w:t>
            </w:r>
          </w:p>
        </w:tc>
      </w:tr>
      <w:tr w:rsidR="004942B6" w:rsidRPr="0018782B" w14:paraId="77F278DB"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60AC59E2"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GRACE score</w:t>
            </w:r>
          </w:p>
        </w:tc>
        <w:tc>
          <w:tcPr>
            <w:tcW w:w="5658" w:type="dxa"/>
            <w:shd w:val="clear" w:color="auto" w:fill="auto"/>
            <w:hideMark/>
          </w:tcPr>
          <w:p w14:paraId="4F011794"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Global registry of acute coronary syndrome</w:t>
            </w:r>
          </w:p>
        </w:tc>
      </w:tr>
      <w:tr w:rsidR="004942B6" w:rsidRPr="0018782B" w14:paraId="683F2CB8"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C135F92"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HE</w:t>
            </w:r>
          </w:p>
        </w:tc>
        <w:tc>
          <w:tcPr>
            <w:tcW w:w="5658" w:type="dxa"/>
            <w:shd w:val="clear" w:color="auto" w:fill="auto"/>
          </w:tcPr>
          <w:p w14:paraId="7E46412C"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Health economics</w:t>
            </w:r>
          </w:p>
        </w:tc>
      </w:tr>
      <w:tr w:rsidR="004942B6" w:rsidRPr="0018782B" w14:paraId="3F643268"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5AA372DF"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Hs-cTn</w:t>
            </w:r>
          </w:p>
        </w:tc>
        <w:tc>
          <w:tcPr>
            <w:tcW w:w="5658" w:type="dxa"/>
            <w:shd w:val="clear" w:color="auto" w:fill="auto"/>
            <w:hideMark/>
          </w:tcPr>
          <w:p w14:paraId="4B7AC1A8"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High-sensitivity cardiac troponin</w:t>
            </w:r>
          </w:p>
        </w:tc>
      </w:tr>
      <w:tr w:rsidR="004942B6" w:rsidRPr="0018782B" w14:paraId="53C9EE4B"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1EE9A99"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ICER</w:t>
            </w:r>
          </w:p>
        </w:tc>
        <w:tc>
          <w:tcPr>
            <w:tcW w:w="5658" w:type="dxa"/>
            <w:shd w:val="clear" w:color="auto" w:fill="auto"/>
          </w:tcPr>
          <w:p w14:paraId="39AD98C1"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Incremental cost-effectiveness ratio</w:t>
            </w:r>
          </w:p>
        </w:tc>
      </w:tr>
      <w:tr w:rsidR="004942B6" w:rsidRPr="0018782B" w14:paraId="14C5536D"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04C79D59"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iFR</w:t>
            </w:r>
          </w:p>
        </w:tc>
        <w:tc>
          <w:tcPr>
            <w:tcW w:w="5658" w:type="dxa"/>
            <w:shd w:val="clear" w:color="auto" w:fill="auto"/>
            <w:hideMark/>
          </w:tcPr>
          <w:p w14:paraId="78EC1A99"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Instantaneous </w:t>
            </w:r>
            <w:r>
              <w:rPr>
                <w:rFonts w:ascii="Arial" w:hAnsi="Arial" w:cs="Arial"/>
                <w:color w:val="000000" w:themeColor="text1"/>
                <w:sz w:val="24"/>
                <w:szCs w:val="24"/>
              </w:rPr>
              <w:t>w</w:t>
            </w:r>
            <w:r w:rsidRPr="00ED3AA2">
              <w:rPr>
                <w:rFonts w:ascii="Arial" w:hAnsi="Arial" w:cs="Arial"/>
                <w:color w:val="000000" w:themeColor="text1"/>
                <w:sz w:val="24"/>
                <w:szCs w:val="24"/>
              </w:rPr>
              <w:t>ave-</w:t>
            </w:r>
            <w:r>
              <w:rPr>
                <w:rFonts w:ascii="Arial" w:hAnsi="Arial" w:cs="Arial"/>
                <w:color w:val="000000" w:themeColor="text1"/>
                <w:sz w:val="24"/>
                <w:szCs w:val="24"/>
              </w:rPr>
              <w:t>f</w:t>
            </w:r>
            <w:r w:rsidRPr="00ED3AA2">
              <w:rPr>
                <w:rFonts w:ascii="Arial" w:hAnsi="Arial" w:cs="Arial"/>
                <w:color w:val="000000" w:themeColor="text1"/>
                <w:sz w:val="24"/>
                <w:szCs w:val="24"/>
              </w:rPr>
              <w:t xml:space="preserve">ree </w:t>
            </w:r>
            <w:r>
              <w:rPr>
                <w:rFonts w:ascii="Arial" w:hAnsi="Arial" w:cs="Arial"/>
                <w:color w:val="000000" w:themeColor="text1"/>
                <w:sz w:val="24"/>
                <w:szCs w:val="24"/>
              </w:rPr>
              <w:t>r</w:t>
            </w:r>
            <w:r w:rsidRPr="00ED3AA2">
              <w:rPr>
                <w:rFonts w:ascii="Arial" w:hAnsi="Arial" w:cs="Arial"/>
                <w:color w:val="000000" w:themeColor="text1"/>
                <w:sz w:val="24"/>
                <w:szCs w:val="24"/>
              </w:rPr>
              <w:t>atio</w:t>
            </w:r>
          </w:p>
        </w:tc>
      </w:tr>
      <w:tr w:rsidR="004942B6" w:rsidRPr="0018782B" w14:paraId="0BE54501"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711E292D"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IHD</w:t>
            </w:r>
          </w:p>
        </w:tc>
        <w:tc>
          <w:tcPr>
            <w:tcW w:w="5658" w:type="dxa"/>
            <w:shd w:val="clear" w:color="auto" w:fill="auto"/>
            <w:hideMark/>
          </w:tcPr>
          <w:p w14:paraId="2D1EA679"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Ischemic heart disease</w:t>
            </w:r>
          </w:p>
        </w:tc>
      </w:tr>
      <w:tr w:rsidR="004942B6" w:rsidRPr="0018782B" w14:paraId="435EFFAF"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594F10E"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IRA</w:t>
            </w:r>
          </w:p>
        </w:tc>
        <w:tc>
          <w:tcPr>
            <w:tcW w:w="5658" w:type="dxa"/>
            <w:shd w:val="clear" w:color="auto" w:fill="auto"/>
          </w:tcPr>
          <w:p w14:paraId="6DF0A10A"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Infarct-related artery </w:t>
            </w:r>
          </w:p>
        </w:tc>
      </w:tr>
      <w:tr w:rsidR="004942B6" w:rsidRPr="0018782B" w14:paraId="348BAD60"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2E83AA93"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IVUS</w:t>
            </w:r>
          </w:p>
        </w:tc>
        <w:tc>
          <w:tcPr>
            <w:tcW w:w="5658" w:type="dxa"/>
            <w:shd w:val="clear" w:color="auto" w:fill="auto"/>
            <w:hideMark/>
          </w:tcPr>
          <w:p w14:paraId="0C33A69E"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Intravascular </w:t>
            </w:r>
            <w:r>
              <w:rPr>
                <w:rFonts w:ascii="Arial" w:hAnsi="Arial" w:cs="Arial"/>
                <w:color w:val="000000" w:themeColor="text1"/>
                <w:sz w:val="24"/>
                <w:szCs w:val="24"/>
              </w:rPr>
              <w:t>u</w:t>
            </w:r>
            <w:r w:rsidRPr="00ED3AA2">
              <w:rPr>
                <w:rFonts w:ascii="Arial" w:hAnsi="Arial" w:cs="Arial"/>
                <w:color w:val="000000" w:themeColor="text1"/>
                <w:sz w:val="24"/>
                <w:szCs w:val="24"/>
              </w:rPr>
              <w:t>ltrasound</w:t>
            </w:r>
          </w:p>
        </w:tc>
      </w:tr>
      <w:tr w:rsidR="004942B6" w:rsidRPr="0018782B" w14:paraId="5E3061FE"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6D871BA2"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LAD</w:t>
            </w:r>
          </w:p>
        </w:tc>
        <w:tc>
          <w:tcPr>
            <w:tcW w:w="5658" w:type="dxa"/>
            <w:shd w:val="clear" w:color="auto" w:fill="auto"/>
            <w:hideMark/>
          </w:tcPr>
          <w:p w14:paraId="733BF4EF"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Left anterior descending artery </w:t>
            </w:r>
          </w:p>
        </w:tc>
      </w:tr>
      <w:tr w:rsidR="004942B6" w:rsidRPr="0018782B" w14:paraId="79E0D31F"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012C4025"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LCX</w:t>
            </w:r>
          </w:p>
        </w:tc>
        <w:tc>
          <w:tcPr>
            <w:tcW w:w="5658" w:type="dxa"/>
            <w:shd w:val="clear" w:color="auto" w:fill="auto"/>
            <w:hideMark/>
          </w:tcPr>
          <w:p w14:paraId="19A56A04"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Left circumflex artery</w:t>
            </w:r>
          </w:p>
        </w:tc>
      </w:tr>
      <w:tr w:rsidR="004942B6" w:rsidRPr="0018782B" w14:paraId="6750AFC1"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41105664"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LDL-C</w:t>
            </w:r>
          </w:p>
        </w:tc>
        <w:tc>
          <w:tcPr>
            <w:tcW w:w="5658" w:type="dxa"/>
            <w:shd w:val="clear" w:color="auto" w:fill="auto"/>
            <w:hideMark/>
          </w:tcPr>
          <w:p w14:paraId="2ACF21CE"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Low-density lipoprotein</w:t>
            </w:r>
            <w:r>
              <w:rPr>
                <w:rFonts w:ascii="Arial" w:hAnsi="Arial" w:cs="Arial"/>
                <w:color w:val="000000" w:themeColor="text1"/>
                <w:sz w:val="24"/>
                <w:szCs w:val="24"/>
              </w:rPr>
              <w:t xml:space="preserve"> - </w:t>
            </w:r>
            <w:r w:rsidRPr="00ED3AA2">
              <w:rPr>
                <w:rFonts w:ascii="Arial" w:hAnsi="Arial" w:cs="Arial"/>
                <w:color w:val="000000" w:themeColor="text1"/>
                <w:sz w:val="24"/>
                <w:szCs w:val="24"/>
              </w:rPr>
              <w:t>C</w:t>
            </w:r>
          </w:p>
        </w:tc>
      </w:tr>
      <w:tr w:rsidR="004942B6" w:rsidRPr="0018782B" w14:paraId="3DBA2FF6"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D7369BD"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LMS</w:t>
            </w:r>
          </w:p>
        </w:tc>
        <w:tc>
          <w:tcPr>
            <w:tcW w:w="5658" w:type="dxa"/>
            <w:shd w:val="clear" w:color="auto" w:fill="auto"/>
          </w:tcPr>
          <w:p w14:paraId="6FAC3D57"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Left main stem</w:t>
            </w:r>
          </w:p>
        </w:tc>
      </w:tr>
      <w:tr w:rsidR="004942B6" w:rsidRPr="0018782B" w14:paraId="081173D5"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ACEC5DD"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lastRenderedPageBreak/>
              <w:t>LVEDP</w:t>
            </w:r>
          </w:p>
        </w:tc>
        <w:tc>
          <w:tcPr>
            <w:tcW w:w="5658" w:type="dxa"/>
            <w:shd w:val="clear" w:color="auto" w:fill="auto"/>
          </w:tcPr>
          <w:p w14:paraId="59896C6D"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Left ventricular end-diastolic pressure</w:t>
            </w:r>
          </w:p>
        </w:tc>
      </w:tr>
      <w:tr w:rsidR="004942B6" w:rsidRPr="0018782B" w14:paraId="5926EB7F"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20956AE1"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LVSD</w:t>
            </w:r>
          </w:p>
        </w:tc>
        <w:tc>
          <w:tcPr>
            <w:tcW w:w="5658" w:type="dxa"/>
            <w:shd w:val="clear" w:color="auto" w:fill="auto"/>
            <w:hideMark/>
          </w:tcPr>
          <w:p w14:paraId="1F31EB91"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Left ventricular systolic dysfunction</w:t>
            </w:r>
          </w:p>
        </w:tc>
      </w:tr>
      <w:tr w:rsidR="004942B6" w:rsidRPr="0018782B" w14:paraId="0715977C"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45254E76"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MACE</w:t>
            </w:r>
          </w:p>
        </w:tc>
        <w:tc>
          <w:tcPr>
            <w:tcW w:w="5658" w:type="dxa"/>
            <w:shd w:val="clear" w:color="auto" w:fill="auto"/>
            <w:hideMark/>
          </w:tcPr>
          <w:p w14:paraId="433FF137"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Major adverse cardiovascular events </w:t>
            </w:r>
          </w:p>
        </w:tc>
      </w:tr>
      <w:tr w:rsidR="004942B6" w:rsidRPr="0018782B" w14:paraId="4863BF9C"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626134FB"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mFFR</w:t>
            </w:r>
          </w:p>
        </w:tc>
        <w:tc>
          <w:tcPr>
            <w:tcW w:w="5658" w:type="dxa"/>
            <w:shd w:val="clear" w:color="auto" w:fill="auto"/>
          </w:tcPr>
          <w:p w14:paraId="463A5F38"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Measured fractional flow reserve</w:t>
            </w:r>
          </w:p>
        </w:tc>
      </w:tr>
      <w:tr w:rsidR="004942B6" w:rsidRPr="0018782B" w14:paraId="57872542"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5BA9C76"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MVD</w:t>
            </w:r>
          </w:p>
        </w:tc>
        <w:tc>
          <w:tcPr>
            <w:tcW w:w="5658" w:type="dxa"/>
            <w:shd w:val="clear" w:color="auto" w:fill="auto"/>
          </w:tcPr>
          <w:p w14:paraId="53113E12"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Multi-</w:t>
            </w:r>
            <w:r>
              <w:rPr>
                <w:rFonts w:ascii="Arial" w:hAnsi="Arial" w:cs="Arial"/>
                <w:color w:val="000000" w:themeColor="text1"/>
                <w:sz w:val="24"/>
                <w:szCs w:val="24"/>
              </w:rPr>
              <w:t>v</w:t>
            </w:r>
            <w:r w:rsidRPr="00ED3AA2">
              <w:rPr>
                <w:rFonts w:ascii="Arial" w:hAnsi="Arial" w:cs="Arial"/>
                <w:color w:val="000000" w:themeColor="text1"/>
                <w:sz w:val="24"/>
                <w:szCs w:val="24"/>
              </w:rPr>
              <w:t xml:space="preserve">essel </w:t>
            </w:r>
            <w:r>
              <w:rPr>
                <w:rFonts w:ascii="Arial" w:hAnsi="Arial" w:cs="Arial"/>
                <w:color w:val="000000" w:themeColor="text1"/>
                <w:sz w:val="24"/>
                <w:szCs w:val="24"/>
              </w:rPr>
              <w:t>d</w:t>
            </w:r>
            <w:r w:rsidRPr="00ED3AA2">
              <w:rPr>
                <w:rFonts w:ascii="Arial" w:hAnsi="Arial" w:cs="Arial"/>
                <w:color w:val="000000" w:themeColor="text1"/>
                <w:sz w:val="24"/>
                <w:szCs w:val="24"/>
              </w:rPr>
              <w:t>isease</w:t>
            </w:r>
          </w:p>
        </w:tc>
      </w:tr>
      <w:tr w:rsidR="004942B6" w:rsidRPr="0018782B" w14:paraId="033E52AC"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6AD4451"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MVR</w:t>
            </w:r>
          </w:p>
        </w:tc>
        <w:tc>
          <w:tcPr>
            <w:tcW w:w="5658" w:type="dxa"/>
            <w:shd w:val="clear" w:color="auto" w:fill="auto"/>
          </w:tcPr>
          <w:p w14:paraId="7022D47A"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Myocardial vascular resistance</w:t>
            </w:r>
          </w:p>
        </w:tc>
      </w:tr>
      <w:tr w:rsidR="004942B6" w:rsidRPr="0018782B" w14:paraId="69579BBA"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8F637D3"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NHS</w:t>
            </w:r>
          </w:p>
        </w:tc>
        <w:tc>
          <w:tcPr>
            <w:tcW w:w="5658" w:type="dxa"/>
            <w:shd w:val="clear" w:color="auto" w:fill="auto"/>
          </w:tcPr>
          <w:p w14:paraId="68C85AFD"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National Health Service</w:t>
            </w:r>
          </w:p>
        </w:tc>
      </w:tr>
      <w:tr w:rsidR="004942B6" w:rsidRPr="0018782B" w14:paraId="547F6D6B"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60FE1AD7"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NICE</w:t>
            </w:r>
          </w:p>
        </w:tc>
        <w:tc>
          <w:tcPr>
            <w:tcW w:w="5658" w:type="dxa"/>
            <w:shd w:val="clear" w:color="auto" w:fill="auto"/>
          </w:tcPr>
          <w:p w14:paraId="0F589601"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National Institute for Health and Care Excellence</w:t>
            </w:r>
          </w:p>
        </w:tc>
      </w:tr>
      <w:tr w:rsidR="004942B6" w:rsidRPr="0018782B" w14:paraId="29592533"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7957F88"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NIH</w:t>
            </w:r>
          </w:p>
        </w:tc>
        <w:tc>
          <w:tcPr>
            <w:tcW w:w="5658" w:type="dxa"/>
            <w:shd w:val="clear" w:color="auto" w:fill="auto"/>
          </w:tcPr>
          <w:p w14:paraId="7D4A6031"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Neo-intimal hyperplasia</w:t>
            </w:r>
          </w:p>
        </w:tc>
      </w:tr>
      <w:tr w:rsidR="004942B6" w:rsidRPr="0018782B" w14:paraId="51AC78B9"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5BF4D07F"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NSTEMI</w:t>
            </w:r>
          </w:p>
        </w:tc>
        <w:tc>
          <w:tcPr>
            <w:tcW w:w="5658" w:type="dxa"/>
            <w:shd w:val="clear" w:color="auto" w:fill="auto"/>
            <w:hideMark/>
          </w:tcPr>
          <w:p w14:paraId="59EF701A"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Non-ST-elevation myocardial infarction</w:t>
            </w:r>
          </w:p>
        </w:tc>
      </w:tr>
      <w:tr w:rsidR="004942B6" w:rsidRPr="0018782B" w14:paraId="6A36E992"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60A044E5" w14:textId="77777777" w:rsidR="004942B6" w:rsidRPr="0018782B" w:rsidRDefault="004942B6" w:rsidP="002C2525">
            <w:pPr>
              <w:spacing w:line="360" w:lineRule="auto"/>
              <w:jc w:val="both"/>
              <w:rPr>
                <w:rFonts w:ascii="Arial" w:hAnsi="Arial" w:cs="Arial"/>
                <w:sz w:val="24"/>
                <w:szCs w:val="24"/>
              </w:rPr>
            </w:pPr>
            <w:r>
              <w:rPr>
                <w:rFonts w:ascii="Arial" w:hAnsi="Arial" w:cs="Arial"/>
                <w:sz w:val="24"/>
                <w:szCs w:val="24"/>
              </w:rPr>
              <w:t>NYHA Class</w:t>
            </w:r>
          </w:p>
        </w:tc>
        <w:tc>
          <w:tcPr>
            <w:tcW w:w="5658" w:type="dxa"/>
            <w:shd w:val="clear" w:color="auto" w:fill="auto"/>
          </w:tcPr>
          <w:p w14:paraId="7F7FF069"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New York Heart Association class</w:t>
            </w:r>
          </w:p>
        </w:tc>
      </w:tr>
      <w:tr w:rsidR="004942B6" w:rsidRPr="0018782B" w14:paraId="2DC59D9E"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57AB88F0"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OCT</w:t>
            </w:r>
          </w:p>
        </w:tc>
        <w:tc>
          <w:tcPr>
            <w:tcW w:w="5658" w:type="dxa"/>
            <w:shd w:val="clear" w:color="auto" w:fill="auto"/>
            <w:hideMark/>
          </w:tcPr>
          <w:p w14:paraId="6AB1458A"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Optical </w:t>
            </w:r>
            <w:r>
              <w:rPr>
                <w:rFonts w:ascii="Arial" w:hAnsi="Arial" w:cs="Arial"/>
                <w:color w:val="000000" w:themeColor="text1"/>
                <w:sz w:val="24"/>
                <w:szCs w:val="24"/>
              </w:rPr>
              <w:t>c</w:t>
            </w:r>
            <w:r w:rsidRPr="00ED3AA2">
              <w:rPr>
                <w:rFonts w:ascii="Arial" w:hAnsi="Arial" w:cs="Arial"/>
                <w:color w:val="000000" w:themeColor="text1"/>
                <w:sz w:val="24"/>
                <w:szCs w:val="24"/>
              </w:rPr>
              <w:t xml:space="preserve">oherence </w:t>
            </w:r>
            <w:r>
              <w:rPr>
                <w:rFonts w:ascii="Arial" w:hAnsi="Arial" w:cs="Arial"/>
                <w:color w:val="000000" w:themeColor="text1"/>
                <w:sz w:val="24"/>
                <w:szCs w:val="24"/>
              </w:rPr>
              <w:t>t</w:t>
            </w:r>
            <w:r w:rsidRPr="00ED3AA2">
              <w:rPr>
                <w:rFonts w:ascii="Arial" w:hAnsi="Arial" w:cs="Arial"/>
                <w:color w:val="000000" w:themeColor="text1"/>
                <w:sz w:val="24"/>
                <w:szCs w:val="24"/>
              </w:rPr>
              <w:t>omography</w:t>
            </w:r>
          </w:p>
        </w:tc>
      </w:tr>
      <w:tr w:rsidR="004942B6" w:rsidRPr="0018782B" w14:paraId="28422D09"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113C921D"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OMT</w:t>
            </w:r>
          </w:p>
        </w:tc>
        <w:tc>
          <w:tcPr>
            <w:tcW w:w="5658" w:type="dxa"/>
            <w:shd w:val="clear" w:color="auto" w:fill="auto"/>
          </w:tcPr>
          <w:p w14:paraId="5BBE2299"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Optimal medical therapy </w:t>
            </w:r>
          </w:p>
        </w:tc>
      </w:tr>
      <w:tr w:rsidR="004942B6" w:rsidRPr="0018782B" w14:paraId="64CCD223"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0DC689DD" w14:textId="77777777" w:rsidR="004942B6" w:rsidRPr="0018782B" w:rsidRDefault="004942B6" w:rsidP="002C2525">
            <w:pPr>
              <w:spacing w:line="360" w:lineRule="auto"/>
              <w:jc w:val="both"/>
              <w:rPr>
                <w:rFonts w:ascii="Arial" w:hAnsi="Arial" w:cs="Arial"/>
                <w:sz w:val="24"/>
                <w:szCs w:val="24"/>
                <w:vertAlign w:val="subscript"/>
              </w:rPr>
            </w:pPr>
            <w:r w:rsidRPr="0018782B">
              <w:rPr>
                <w:rFonts w:ascii="Arial" w:hAnsi="Arial" w:cs="Arial"/>
                <w:sz w:val="24"/>
                <w:szCs w:val="24"/>
              </w:rPr>
              <w:t>P</w:t>
            </w:r>
            <w:r w:rsidRPr="0018782B">
              <w:rPr>
                <w:rFonts w:ascii="Arial" w:hAnsi="Arial" w:cs="Arial"/>
                <w:sz w:val="24"/>
                <w:szCs w:val="24"/>
                <w:vertAlign w:val="subscript"/>
              </w:rPr>
              <w:t>a</w:t>
            </w:r>
          </w:p>
        </w:tc>
        <w:tc>
          <w:tcPr>
            <w:tcW w:w="5658" w:type="dxa"/>
            <w:shd w:val="clear" w:color="auto" w:fill="auto"/>
          </w:tcPr>
          <w:p w14:paraId="14A3A3BA"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Aortic coronary pressure </w:t>
            </w:r>
          </w:p>
        </w:tc>
      </w:tr>
      <w:tr w:rsidR="004942B6" w:rsidRPr="0018782B" w14:paraId="7EA00C02"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20A67211" w14:textId="77777777" w:rsidR="004942B6" w:rsidRDefault="004942B6" w:rsidP="002C2525">
            <w:pPr>
              <w:spacing w:line="360" w:lineRule="auto"/>
              <w:jc w:val="both"/>
              <w:rPr>
                <w:rFonts w:ascii="Arial" w:hAnsi="Arial" w:cs="Arial"/>
                <w:i w:val="0"/>
                <w:iCs w:val="0"/>
                <w:sz w:val="24"/>
                <w:szCs w:val="24"/>
              </w:rPr>
            </w:pPr>
            <w:r w:rsidRPr="0018782B">
              <w:rPr>
                <w:rFonts w:ascii="Arial" w:hAnsi="Arial" w:cs="Arial"/>
                <w:sz w:val="24"/>
                <w:szCs w:val="24"/>
              </w:rPr>
              <w:t>PCI</w:t>
            </w:r>
          </w:p>
          <w:p w14:paraId="2C72B87D" w14:textId="77777777" w:rsidR="004942B6" w:rsidRPr="0018782B" w:rsidRDefault="004942B6" w:rsidP="002C2525">
            <w:pPr>
              <w:spacing w:line="360" w:lineRule="auto"/>
              <w:jc w:val="both"/>
              <w:rPr>
                <w:rFonts w:ascii="Arial" w:hAnsi="Arial" w:cs="Arial"/>
                <w:sz w:val="24"/>
                <w:szCs w:val="24"/>
              </w:rPr>
            </w:pPr>
            <w:r>
              <w:rPr>
                <w:rFonts w:ascii="Arial" w:hAnsi="Arial" w:cs="Arial"/>
                <w:sz w:val="24"/>
                <w:szCs w:val="24"/>
              </w:rPr>
              <w:t>POBA</w:t>
            </w:r>
          </w:p>
        </w:tc>
        <w:tc>
          <w:tcPr>
            <w:tcW w:w="5658" w:type="dxa"/>
            <w:shd w:val="clear" w:color="auto" w:fill="auto"/>
            <w:hideMark/>
          </w:tcPr>
          <w:p w14:paraId="481C63BC" w14:textId="77777777" w:rsidR="004942B6"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Percutaneous coronary intervention </w:t>
            </w:r>
          </w:p>
          <w:p w14:paraId="042AF25A"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Pr>
                <w:rFonts w:ascii="Arial" w:hAnsi="Arial" w:cs="Arial"/>
                <w:color w:val="000000" w:themeColor="text1"/>
                <w:sz w:val="24"/>
                <w:szCs w:val="24"/>
              </w:rPr>
              <w:t>Plain old balloon angioplasty</w:t>
            </w:r>
          </w:p>
        </w:tc>
      </w:tr>
      <w:tr w:rsidR="004942B6" w:rsidRPr="0018782B" w14:paraId="16AFC803"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CF99419" w14:textId="77777777" w:rsidR="004942B6" w:rsidRPr="0018782B" w:rsidRDefault="004942B6" w:rsidP="002C2525">
            <w:pPr>
              <w:spacing w:line="360" w:lineRule="auto"/>
              <w:jc w:val="both"/>
              <w:rPr>
                <w:rFonts w:ascii="Arial" w:hAnsi="Arial" w:cs="Arial"/>
                <w:sz w:val="24"/>
                <w:szCs w:val="24"/>
                <w:vertAlign w:val="subscript"/>
              </w:rPr>
            </w:pPr>
            <w:r w:rsidRPr="0018782B">
              <w:rPr>
                <w:rFonts w:ascii="Arial" w:hAnsi="Arial" w:cs="Arial"/>
                <w:sz w:val="24"/>
                <w:szCs w:val="24"/>
              </w:rPr>
              <w:t>P</w:t>
            </w:r>
            <w:r w:rsidRPr="0018782B">
              <w:rPr>
                <w:rFonts w:ascii="Arial" w:hAnsi="Arial" w:cs="Arial"/>
                <w:sz w:val="24"/>
                <w:szCs w:val="24"/>
                <w:vertAlign w:val="subscript"/>
              </w:rPr>
              <w:t>d</w:t>
            </w:r>
          </w:p>
        </w:tc>
        <w:tc>
          <w:tcPr>
            <w:tcW w:w="5658" w:type="dxa"/>
            <w:shd w:val="clear" w:color="auto" w:fill="auto"/>
          </w:tcPr>
          <w:p w14:paraId="6DB36828"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Distal coronary pressure</w:t>
            </w:r>
          </w:p>
        </w:tc>
      </w:tr>
      <w:tr w:rsidR="004942B6" w:rsidRPr="0018782B" w14:paraId="6FE450DE"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098C9C4"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PET</w:t>
            </w:r>
          </w:p>
        </w:tc>
        <w:tc>
          <w:tcPr>
            <w:tcW w:w="5658" w:type="dxa"/>
            <w:shd w:val="clear" w:color="auto" w:fill="auto"/>
          </w:tcPr>
          <w:p w14:paraId="30816AA0"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Positron </w:t>
            </w:r>
            <w:r>
              <w:rPr>
                <w:rFonts w:ascii="Arial" w:hAnsi="Arial" w:cs="Arial"/>
                <w:color w:val="000000" w:themeColor="text1"/>
                <w:sz w:val="24"/>
                <w:szCs w:val="24"/>
              </w:rPr>
              <w:t>e</w:t>
            </w:r>
            <w:r w:rsidRPr="00ED3AA2">
              <w:rPr>
                <w:rFonts w:ascii="Arial" w:hAnsi="Arial" w:cs="Arial"/>
                <w:color w:val="000000" w:themeColor="text1"/>
                <w:sz w:val="24"/>
                <w:szCs w:val="24"/>
              </w:rPr>
              <w:t xml:space="preserve">mission </w:t>
            </w:r>
            <w:r>
              <w:rPr>
                <w:rFonts w:ascii="Arial" w:hAnsi="Arial" w:cs="Arial"/>
                <w:color w:val="000000" w:themeColor="text1"/>
                <w:sz w:val="24"/>
                <w:szCs w:val="24"/>
              </w:rPr>
              <w:t>t</w:t>
            </w:r>
            <w:r w:rsidRPr="00ED3AA2">
              <w:rPr>
                <w:rFonts w:ascii="Arial" w:hAnsi="Arial" w:cs="Arial"/>
                <w:color w:val="000000" w:themeColor="text1"/>
                <w:sz w:val="24"/>
                <w:szCs w:val="24"/>
              </w:rPr>
              <w:t xml:space="preserve">omography </w:t>
            </w:r>
          </w:p>
        </w:tc>
      </w:tr>
      <w:tr w:rsidR="004942B6" w:rsidRPr="0018782B" w14:paraId="77215360"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4FF3F33"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PPCI</w:t>
            </w:r>
          </w:p>
        </w:tc>
        <w:tc>
          <w:tcPr>
            <w:tcW w:w="5658" w:type="dxa"/>
            <w:shd w:val="clear" w:color="auto" w:fill="auto"/>
          </w:tcPr>
          <w:p w14:paraId="6F284664"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Primary percutaneous coronary intervention</w:t>
            </w:r>
          </w:p>
        </w:tc>
      </w:tr>
      <w:tr w:rsidR="004942B6" w:rsidRPr="0018782B" w14:paraId="54997541"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4887D30"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PRO</w:t>
            </w:r>
          </w:p>
        </w:tc>
        <w:tc>
          <w:tcPr>
            <w:tcW w:w="5658" w:type="dxa"/>
            <w:shd w:val="clear" w:color="auto" w:fill="auto"/>
          </w:tcPr>
          <w:p w14:paraId="13378942"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Patient-reported outcomes</w:t>
            </w:r>
          </w:p>
        </w:tc>
      </w:tr>
      <w:tr w:rsidR="004942B6" w:rsidRPr="0018782B" w14:paraId="34AE5CFC"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1E341502"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PVD</w:t>
            </w:r>
          </w:p>
        </w:tc>
        <w:tc>
          <w:tcPr>
            <w:tcW w:w="5658" w:type="dxa"/>
            <w:shd w:val="clear" w:color="auto" w:fill="auto"/>
            <w:hideMark/>
          </w:tcPr>
          <w:p w14:paraId="4F16B1C3"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Peripheral vascular disease</w:t>
            </w:r>
          </w:p>
        </w:tc>
      </w:tr>
      <w:tr w:rsidR="004942B6" w:rsidRPr="0018782B" w14:paraId="2603C2B3"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031EC8A"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QALY</w:t>
            </w:r>
          </w:p>
        </w:tc>
        <w:tc>
          <w:tcPr>
            <w:tcW w:w="5658" w:type="dxa"/>
            <w:shd w:val="clear" w:color="auto" w:fill="auto"/>
          </w:tcPr>
          <w:p w14:paraId="364C3E6E"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Quality-adjusted life years</w:t>
            </w:r>
          </w:p>
        </w:tc>
      </w:tr>
      <w:tr w:rsidR="004942B6" w:rsidRPr="0018782B" w14:paraId="0D12BAD5"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9512477"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QCA</w:t>
            </w:r>
          </w:p>
        </w:tc>
        <w:tc>
          <w:tcPr>
            <w:tcW w:w="5658" w:type="dxa"/>
            <w:shd w:val="clear" w:color="auto" w:fill="auto"/>
          </w:tcPr>
          <w:p w14:paraId="38F0E876"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Quantitative </w:t>
            </w:r>
            <w:r>
              <w:rPr>
                <w:rFonts w:ascii="Arial" w:hAnsi="Arial" w:cs="Arial"/>
                <w:color w:val="000000" w:themeColor="text1"/>
                <w:sz w:val="24"/>
                <w:szCs w:val="24"/>
              </w:rPr>
              <w:t>c</w:t>
            </w:r>
            <w:r w:rsidRPr="00ED3AA2">
              <w:rPr>
                <w:rFonts w:ascii="Arial" w:hAnsi="Arial" w:cs="Arial"/>
                <w:color w:val="000000" w:themeColor="text1"/>
                <w:sz w:val="24"/>
                <w:szCs w:val="24"/>
              </w:rPr>
              <w:t xml:space="preserve">oronary </w:t>
            </w:r>
            <w:r>
              <w:rPr>
                <w:rFonts w:ascii="Arial" w:hAnsi="Arial" w:cs="Arial"/>
                <w:color w:val="000000" w:themeColor="text1"/>
                <w:sz w:val="24"/>
                <w:szCs w:val="24"/>
              </w:rPr>
              <w:t>a</w:t>
            </w:r>
            <w:r w:rsidRPr="00ED3AA2">
              <w:rPr>
                <w:rFonts w:ascii="Arial" w:hAnsi="Arial" w:cs="Arial"/>
                <w:color w:val="000000" w:themeColor="text1"/>
                <w:sz w:val="24"/>
                <w:szCs w:val="24"/>
              </w:rPr>
              <w:t>ngiography</w:t>
            </w:r>
          </w:p>
        </w:tc>
      </w:tr>
      <w:tr w:rsidR="004942B6" w:rsidRPr="0018782B" w14:paraId="08BC3BEE"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2962731"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QOL</w:t>
            </w:r>
          </w:p>
        </w:tc>
        <w:tc>
          <w:tcPr>
            <w:tcW w:w="5658" w:type="dxa"/>
            <w:shd w:val="clear" w:color="auto" w:fill="auto"/>
          </w:tcPr>
          <w:p w14:paraId="756A43E9"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Quality of life</w:t>
            </w:r>
          </w:p>
        </w:tc>
      </w:tr>
      <w:tr w:rsidR="004942B6" w:rsidRPr="0018782B" w14:paraId="029A4CD3"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853DDB9"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RCT</w:t>
            </w:r>
          </w:p>
        </w:tc>
        <w:tc>
          <w:tcPr>
            <w:tcW w:w="5658" w:type="dxa"/>
            <w:shd w:val="clear" w:color="auto" w:fill="auto"/>
          </w:tcPr>
          <w:p w14:paraId="046DC7E5"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Randomized controlled trial</w:t>
            </w:r>
          </w:p>
        </w:tc>
      </w:tr>
      <w:tr w:rsidR="004942B6" w:rsidRPr="0018782B" w14:paraId="220B913D"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7481E9B4"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SAQ</w:t>
            </w:r>
          </w:p>
        </w:tc>
        <w:tc>
          <w:tcPr>
            <w:tcW w:w="5658" w:type="dxa"/>
            <w:shd w:val="clear" w:color="auto" w:fill="auto"/>
          </w:tcPr>
          <w:p w14:paraId="36EFA14B"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Seattle </w:t>
            </w:r>
            <w:r>
              <w:rPr>
                <w:rFonts w:ascii="Arial" w:hAnsi="Arial" w:cs="Arial"/>
                <w:color w:val="000000" w:themeColor="text1"/>
                <w:sz w:val="24"/>
                <w:szCs w:val="24"/>
              </w:rPr>
              <w:t>a</w:t>
            </w:r>
            <w:r w:rsidRPr="00ED3AA2">
              <w:rPr>
                <w:rFonts w:ascii="Arial" w:hAnsi="Arial" w:cs="Arial"/>
                <w:color w:val="000000" w:themeColor="text1"/>
                <w:sz w:val="24"/>
                <w:szCs w:val="24"/>
              </w:rPr>
              <w:t xml:space="preserve">ngina </w:t>
            </w:r>
            <w:r>
              <w:rPr>
                <w:rFonts w:ascii="Arial" w:hAnsi="Arial" w:cs="Arial"/>
                <w:color w:val="000000" w:themeColor="text1"/>
                <w:sz w:val="24"/>
                <w:szCs w:val="24"/>
              </w:rPr>
              <w:t>q</w:t>
            </w:r>
            <w:r w:rsidRPr="00ED3AA2">
              <w:rPr>
                <w:rFonts w:ascii="Arial" w:hAnsi="Arial" w:cs="Arial"/>
                <w:color w:val="000000" w:themeColor="text1"/>
                <w:sz w:val="24"/>
                <w:szCs w:val="24"/>
              </w:rPr>
              <w:t>uestionnaire</w:t>
            </w:r>
          </w:p>
        </w:tc>
      </w:tr>
      <w:tr w:rsidR="004942B6" w:rsidRPr="0018782B" w14:paraId="24E66854"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0CFA694"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SPECT</w:t>
            </w:r>
          </w:p>
        </w:tc>
        <w:tc>
          <w:tcPr>
            <w:tcW w:w="5658" w:type="dxa"/>
            <w:shd w:val="clear" w:color="auto" w:fill="auto"/>
          </w:tcPr>
          <w:p w14:paraId="2936584E"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Single </w:t>
            </w:r>
            <w:r>
              <w:rPr>
                <w:rFonts w:ascii="Arial" w:hAnsi="Arial" w:cs="Arial"/>
                <w:color w:val="000000" w:themeColor="text1"/>
                <w:sz w:val="24"/>
                <w:szCs w:val="24"/>
              </w:rPr>
              <w:t>p</w:t>
            </w:r>
            <w:r w:rsidRPr="00ED3AA2">
              <w:rPr>
                <w:rFonts w:ascii="Arial" w:hAnsi="Arial" w:cs="Arial"/>
                <w:color w:val="000000" w:themeColor="text1"/>
                <w:sz w:val="24"/>
                <w:szCs w:val="24"/>
              </w:rPr>
              <w:t xml:space="preserve">hoton </w:t>
            </w:r>
            <w:r>
              <w:rPr>
                <w:rFonts w:ascii="Arial" w:hAnsi="Arial" w:cs="Arial"/>
                <w:color w:val="000000" w:themeColor="text1"/>
                <w:sz w:val="24"/>
                <w:szCs w:val="24"/>
              </w:rPr>
              <w:t>e</w:t>
            </w:r>
            <w:r w:rsidRPr="00ED3AA2">
              <w:rPr>
                <w:rFonts w:ascii="Arial" w:hAnsi="Arial" w:cs="Arial"/>
                <w:color w:val="000000" w:themeColor="text1"/>
                <w:sz w:val="24"/>
                <w:szCs w:val="24"/>
              </w:rPr>
              <w:t xml:space="preserve">mission </w:t>
            </w:r>
            <w:r>
              <w:rPr>
                <w:rFonts w:ascii="Arial" w:hAnsi="Arial" w:cs="Arial"/>
                <w:color w:val="000000" w:themeColor="text1"/>
                <w:sz w:val="24"/>
                <w:szCs w:val="24"/>
              </w:rPr>
              <w:t>c</w:t>
            </w:r>
            <w:r w:rsidRPr="00ED3AA2">
              <w:rPr>
                <w:rFonts w:ascii="Arial" w:hAnsi="Arial" w:cs="Arial"/>
                <w:color w:val="000000" w:themeColor="text1"/>
                <w:sz w:val="24"/>
                <w:szCs w:val="24"/>
              </w:rPr>
              <w:t xml:space="preserve">omputed </w:t>
            </w:r>
            <w:r>
              <w:rPr>
                <w:rFonts w:ascii="Arial" w:hAnsi="Arial" w:cs="Arial"/>
                <w:color w:val="000000" w:themeColor="text1"/>
                <w:sz w:val="24"/>
                <w:szCs w:val="24"/>
              </w:rPr>
              <w:t>t</w:t>
            </w:r>
            <w:r w:rsidRPr="00ED3AA2">
              <w:rPr>
                <w:rFonts w:ascii="Arial" w:hAnsi="Arial" w:cs="Arial"/>
                <w:color w:val="000000" w:themeColor="text1"/>
                <w:sz w:val="24"/>
                <w:szCs w:val="24"/>
              </w:rPr>
              <w:t>omography</w:t>
            </w:r>
          </w:p>
        </w:tc>
      </w:tr>
      <w:tr w:rsidR="004942B6" w:rsidRPr="0018782B" w14:paraId="199FD887"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363D16A3"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STEMI</w:t>
            </w:r>
          </w:p>
        </w:tc>
        <w:tc>
          <w:tcPr>
            <w:tcW w:w="5658" w:type="dxa"/>
            <w:shd w:val="clear" w:color="auto" w:fill="auto"/>
          </w:tcPr>
          <w:p w14:paraId="609A46ED"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ST-elevation myocardial infarction </w:t>
            </w:r>
          </w:p>
        </w:tc>
      </w:tr>
      <w:tr w:rsidR="004942B6" w:rsidRPr="0018782B" w14:paraId="2E84595B"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24427222"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TIMI score</w:t>
            </w:r>
          </w:p>
        </w:tc>
        <w:tc>
          <w:tcPr>
            <w:tcW w:w="5658" w:type="dxa"/>
            <w:shd w:val="clear" w:color="auto" w:fill="auto"/>
            <w:hideMark/>
          </w:tcPr>
          <w:p w14:paraId="242159F2"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Thrombolysis in myocardial infarction score</w:t>
            </w:r>
          </w:p>
        </w:tc>
      </w:tr>
      <w:tr w:rsidR="004942B6" w:rsidRPr="0018782B" w14:paraId="7B6F0CA1"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2664B3A1"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UA</w:t>
            </w:r>
          </w:p>
        </w:tc>
        <w:tc>
          <w:tcPr>
            <w:tcW w:w="5658" w:type="dxa"/>
            <w:shd w:val="clear" w:color="auto" w:fill="auto"/>
            <w:hideMark/>
          </w:tcPr>
          <w:p w14:paraId="004BEA7A"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Unstable angina</w:t>
            </w:r>
          </w:p>
        </w:tc>
      </w:tr>
      <w:tr w:rsidR="004942B6" w:rsidRPr="0018782B" w14:paraId="43F17FFA"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hideMark/>
          </w:tcPr>
          <w:p w14:paraId="6E44732C"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UDMI</w:t>
            </w:r>
          </w:p>
        </w:tc>
        <w:tc>
          <w:tcPr>
            <w:tcW w:w="5658" w:type="dxa"/>
            <w:shd w:val="clear" w:color="auto" w:fill="auto"/>
            <w:hideMark/>
          </w:tcPr>
          <w:p w14:paraId="530362C8"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Universal definition of myocardial infarction</w:t>
            </w:r>
          </w:p>
        </w:tc>
      </w:tr>
      <w:tr w:rsidR="004942B6" w:rsidRPr="0018782B" w14:paraId="00D606CE"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2C77430"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URMS</w:t>
            </w:r>
          </w:p>
        </w:tc>
        <w:tc>
          <w:tcPr>
            <w:tcW w:w="5658" w:type="dxa"/>
            <w:shd w:val="clear" w:color="auto" w:fill="auto"/>
          </w:tcPr>
          <w:p w14:paraId="58C10B29"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University </w:t>
            </w:r>
            <w:r>
              <w:rPr>
                <w:rFonts w:ascii="Arial" w:hAnsi="Arial" w:cs="Arial"/>
                <w:color w:val="000000" w:themeColor="text1"/>
                <w:sz w:val="24"/>
                <w:szCs w:val="24"/>
              </w:rPr>
              <w:t>r</w:t>
            </w:r>
            <w:r w:rsidRPr="00ED3AA2">
              <w:rPr>
                <w:rFonts w:ascii="Arial" w:hAnsi="Arial" w:cs="Arial"/>
                <w:color w:val="000000" w:themeColor="text1"/>
                <w:sz w:val="24"/>
                <w:szCs w:val="24"/>
              </w:rPr>
              <w:t xml:space="preserve">esearch </w:t>
            </w:r>
            <w:r>
              <w:rPr>
                <w:rFonts w:ascii="Arial" w:hAnsi="Arial" w:cs="Arial"/>
                <w:color w:val="000000" w:themeColor="text1"/>
                <w:sz w:val="24"/>
                <w:szCs w:val="24"/>
              </w:rPr>
              <w:t>m</w:t>
            </w:r>
            <w:r w:rsidRPr="00ED3AA2">
              <w:rPr>
                <w:rFonts w:ascii="Arial" w:hAnsi="Arial" w:cs="Arial"/>
                <w:color w:val="000000" w:themeColor="text1"/>
                <w:sz w:val="24"/>
                <w:szCs w:val="24"/>
              </w:rPr>
              <w:t xml:space="preserve">anagement </w:t>
            </w:r>
            <w:r>
              <w:rPr>
                <w:rFonts w:ascii="Arial" w:hAnsi="Arial" w:cs="Arial"/>
                <w:color w:val="000000" w:themeColor="text1"/>
                <w:sz w:val="24"/>
                <w:szCs w:val="24"/>
              </w:rPr>
              <w:t>s</w:t>
            </w:r>
            <w:r w:rsidRPr="00ED3AA2">
              <w:rPr>
                <w:rFonts w:ascii="Arial" w:hAnsi="Arial" w:cs="Arial"/>
                <w:color w:val="000000" w:themeColor="text1"/>
                <w:sz w:val="24"/>
                <w:szCs w:val="24"/>
              </w:rPr>
              <w:t>ystem</w:t>
            </w:r>
          </w:p>
        </w:tc>
      </w:tr>
      <w:tr w:rsidR="004942B6" w:rsidRPr="0018782B" w14:paraId="099C0450"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DCFB752"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VAS</w:t>
            </w:r>
          </w:p>
        </w:tc>
        <w:tc>
          <w:tcPr>
            <w:tcW w:w="5658" w:type="dxa"/>
            <w:shd w:val="clear" w:color="auto" w:fill="auto"/>
          </w:tcPr>
          <w:p w14:paraId="14B89E42"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Visual analogue scale</w:t>
            </w:r>
          </w:p>
        </w:tc>
      </w:tr>
      <w:tr w:rsidR="004942B6" w:rsidRPr="0018782B" w14:paraId="289E7975"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415E20FB"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lastRenderedPageBreak/>
              <w:t>vFAI</w:t>
            </w:r>
          </w:p>
        </w:tc>
        <w:tc>
          <w:tcPr>
            <w:tcW w:w="5658" w:type="dxa"/>
            <w:shd w:val="clear" w:color="auto" w:fill="auto"/>
          </w:tcPr>
          <w:p w14:paraId="532409F2"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Virtual </w:t>
            </w:r>
            <w:r>
              <w:rPr>
                <w:rFonts w:ascii="Arial" w:hAnsi="Arial" w:cs="Arial"/>
                <w:color w:val="000000" w:themeColor="text1"/>
                <w:sz w:val="24"/>
                <w:szCs w:val="24"/>
              </w:rPr>
              <w:t>f</w:t>
            </w:r>
            <w:r w:rsidRPr="00ED3AA2">
              <w:rPr>
                <w:rFonts w:ascii="Arial" w:hAnsi="Arial" w:cs="Arial"/>
                <w:color w:val="000000" w:themeColor="text1"/>
                <w:sz w:val="24"/>
                <w:szCs w:val="24"/>
              </w:rPr>
              <w:t xml:space="preserve">unctional </w:t>
            </w:r>
            <w:r>
              <w:rPr>
                <w:rFonts w:ascii="Arial" w:hAnsi="Arial" w:cs="Arial"/>
                <w:color w:val="000000" w:themeColor="text1"/>
                <w:sz w:val="24"/>
                <w:szCs w:val="24"/>
              </w:rPr>
              <w:t>a</w:t>
            </w:r>
            <w:r w:rsidRPr="00ED3AA2">
              <w:rPr>
                <w:rFonts w:ascii="Arial" w:hAnsi="Arial" w:cs="Arial"/>
                <w:color w:val="000000" w:themeColor="text1"/>
                <w:sz w:val="24"/>
                <w:szCs w:val="24"/>
              </w:rPr>
              <w:t xml:space="preserve">ssessment </w:t>
            </w:r>
            <w:r>
              <w:rPr>
                <w:rFonts w:ascii="Arial" w:hAnsi="Arial" w:cs="Arial"/>
                <w:color w:val="000000" w:themeColor="text1"/>
                <w:sz w:val="24"/>
                <w:szCs w:val="24"/>
              </w:rPr>
              <w:t>i</w:t>
            </w:r>
            <w:r w:rsidRPr="00ED3AA2">
              <w:rPr>
                <w:rFonts w:ascii="Arial" w:hAnsi="Arial" w:cs="Arial"/>
                <w:color w:val="000000" w:themeColor="text1"/>
                <w:sz w:val="24"/>
                <w:szCs w:val="24"/>
              </w:rPr>
              <w:t>ndex</w:t>
            </w:r>
          </w:p>
        </w:tc>
      </w:tr>
      <w:tr w:rsidR="004942B6" w:rsidRPr="0018782B" w14:paraId="36D1DECF" w14:textId="77777777" w:rsidTr="002C2525">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62A65099" w14:textId="77777777" w:rsidR="004942B6" w:rsidRPr="0018782B" w:rsidRDefault="004942B6" w:rsidP="002C2525">
            <w:pPr>
              <w:spacing w:line="360" w:lineRule="auto"/>
              <w:jc w:val="both"/>
              <w:rPr>
                <w:rFonts w:ascii="Arial" w:hAnsi="Arial" w:cs="Arial"/>
                <w:sz w:val="24"/>
                <w:szCs w:val="24"/>
              </w:rPr>
            </w:pPr>
            <w:r w:rsidRPr="0018782B">
              <w:rPr>
                <w:rFonts w:ascii="Arial" w:hAnsi="Arial" w:cs="Arial"/>
                <w:sz w:val="24"/>
                <w:szCs w:val="24"/>
              </w:rPr>
              <w:t>vFFR</w:t>
            </w:r>
          </w:p>
        </w:tc>
        <w:tc>
          <w:tcPr>
            <w:tcW w:w="5658" w:type="dxa"/>
            <w:shd w:val="clear" w:color="auto" w:fill="auto"/>
          </w:tcPr>
          <w:p w14:paraId="216EE848" w14:textId="77777777" w:rsidR="004942B6" w:rsidRPr="00ED3AA2" w:rsidRDefault="004942B6" w:rsidP="002C252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 xml:space="preserve">Virtual </w:t>
            </w:r>
            <w:r>
              <w:rPr>
                <w:rFonts w:ascii="Arial" w:hAnsi="Arial" w:cs="Arial"/>
                <w:color w:val="000000" w:themeColor="text1"/>
                <w:sz w:val="24"/>
                <w:szCs w:val="24"/>
              </w:rPr>
              <w:t>f</w:t>
            </w:r>
            <w:r w:rsidRPr="00ED3AA2">
              <w:rPr>
                <w:rFonts w:ascii="Arial" w:hAnsi="Arial" w:cs="Arial"/>
                <w:color w:val="000000" w:themeColor="text1"/>
                <w:sz w:val="24"/>
                <w:szCs w:val="24"/>
              </w:rPr>
              <w:t xml:space="preserve">ractional </w:t>
            </w:r>
            <w:r>
              <w:rPr>
                <w:rFonts w:ascii="Arial" w:hAnsi="Arial" w:cs="Arial"/>
                <w:color w:val="000000" w:themeColor="text1"/>
                <w:sz w:val="24"/>
                <w:szCs w:val="24"/>
              </w:rPr>
              <w:t>f</w:t>
            </w:r>
            <w:r w:rsidRPr="00ED3AA2">
              <w:rPr>
                <w:rFonts w:ascii="Arial" w:hAnsi="Arial" w:cs="Arial"/>
                <w:color w:val="000000" w:themeColor="text1"/>
                <w:sz w:val="24"/>
                <w:szCs w:val="24"/>
              </w:rPr>
              <w:t xml:space="preserve">low </w:t>
            </w:r>
            <w:r>
              <w:rPr>
                <w:rFonts w:ascii="Arial" w:hAnsi="Arial" w:cs="Arial"/>
                <w:color w:val="000000" w:themeColor="text1"/>
                <w:sz w:val="24"/>
                <w:szCs w:val="24"/>
              </w:rPr>
              <w:t>r</w:t>
            </w:r>
            <w:r w:rsidRPr="00ED3AA2">
              <w:rPr>
                <w:rFonts w:ascii="Arial" w:hAnsi="Arial" w:cs="Arial"/>
                <w:color w:val="000000" w:themeColor="text1"/>
                <w:sz w:val="24"/>
                <w:szCs w:val="24"/>
              </w:rPr>
              <w:t>eserve</w:t>
            </w:r>
          </w:p>
        </w:tc>
      </w:tr>
      <w:tr w:rsidR="004942B6" w:rsidRPr="0018782B" w14:paraId="1B5BEBE5" w14:textId="77777777" w:rsidTr="002C25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2C5D7E12" w14:textId="77777777" w:rsidR="004942B6" w:rsidRPr="0018782B" w:rsidRDefault="004942B6" w:rsidP="002C2525">
            <w:pPr>
              <w:spacing w:line="360" w:lineRule="auto"/>
              <w:jc w:val="both"/>
              <w:rPr>
                <w:rFonts w:ascii="Arial" w:hAnsi="Arial" w:cs="Arial"/>
                <w:sz w:val="24"/>
                <w:szCs w:val="24"/>
                <w:vertAlign w:val="subscript"/>
              </w:rPr>
            </w:pPr>
            <w:r w:rsidRPr="0018782B">
              <w:rPr>
                <w:rFonts w:ascii="Arial" w:hAnsi="Arial" w:cs="Arial"/>
                <w:sz w:val="24"/>
                <w:szCs w:val="24"/>
              </w:rPr>
              <w:t>vFFR</w:t>
            </w:r>
            <w:r w:rsidRPr="0018782B">
              <w:rPr>
                <w:rFonts w:ascii="Arial" w:hAnsi="Arial" w:cs="Arial"/>
                <w:sz w:val="24"/>
                <w:szCs w:val="24"/>
                <w:vertAlign w:val="subscript"/>
              </w:rPr>
              <w:t>CAG</w:t>
            </w:r>
          </w:p>
        </w:tc>
        <w:tc>
          <w:tcPr>
            <w:tcW w:w="5658" w:type="dxa"/>
            <w:shd w:val="clear" w:color="auto" w:fill="auto"/>
          </w:tcPr>
          <w:p w14:paraId="19BA4E56" w14:textId="77777777" w:rsidR="004942B6" w:rsidRPr="00ED3AA2" w:rsidRDefault="004942B6" w:rsidP="002C252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4"/>
                <w:szCs w:val="24"/>
              </w:rPr>
            </w:pPr>
            <w:r w:rsidRPr="00ED3AA2">
              <w:rPr>
                <w:rFonts w:ascii="Arial" w:hAnsi="Arial" w:cs="Arial"/>
                <w:color w:val="000000" w:themeColor="text1"/>
                <w:sz w:val="24"/>
                <w:szCs w:val="24"/>
              </w:rPr>
              <w:t>Virtual FFR from coronary angiogram</w:t>
            </w:r>
          </w:p>
        </w:tc>
      </w:tr>
    </w:tbl>
    <w:p w14:paraId="307581F0" w14:textId="77777777" w:rsidR="004942B6" w:rsidRPr="0018782B" w:rsidRDefault="004942B6" w:rsidP="004942B6">
      <w:pPr>
        <w:jc w:val="both"/>
        <w:rPr>
          <w:rFonts w:ascii="Arial" w:hAnsi="Arial" w:cs="Arial"/>
          <w:sz w:val="24"/>
          <w:szCs w:val="24"/>
        </w:rPr>
      </w:pPr>
    </w:p>
    <w:p w14:paraId="2706B48C" w14:textId="77777777" w:rsidR="004942B6" w:rsidRDefault="004942B6" w:rsidP="004942B6">
      <w:pPr>
        <w:pStyle w:val="Caption"/>
        <w:spacing w:line="360" w:lineRule="auto"/>
        <w:rPr>
          <w:rFonts w:ascii="Arial" w:hAnsi="Arial" w:cs="Arial"/>
          <w:sz w:val="24"/>
          <w:szCs w:val="24"/>
        </w:rPr>
      </w:pPr>
    </w:p>
    <w:p w14:paraId="474928F7" w14:textId="77777777" w:rsidR="004942B6" w:rsidRDefault="004942B6" w:rsidP="004942B6"/>
    <w:p w14:paraId="5CB557DB" w14:textId="77777777" w:rsidR="004942B6" w:rsidRDefault="004942B6" w:rsidP="004942B6"/>
    <w:p w14:paraId="33F85B61" w14:textId="77777777" w:rsidR="004942B6" w:rsidRDefault="004942B6" w:rsidP="004942B6"/>
    <w:p w14:paraId="59D66484" w14:textId="77777777" w:rsidR="004942B6" w:rsidRDefault="004942B6" w:rsidP="004942B6"/>
    <w:p w14:paraId="3CB0A13E" w14:textId="77777777" w:rsidR="000E2777" w:rsidRDefault="000E2777" w:rsidP="004942B6">
      <w:pPr>
        <w:rPr>
          <w:rFonts w:ascii="Arial" w:hAnsi="Arial" w:cs="Arial"/>
          <w:b/>
          <w:bCs/>
          <w:color w:val="4472C4" w:themeColor="accent1"/>
          <w:sz w:val="40"/>
          <w:szCs w:val="40"/>
        </w:rPr>
      </w:pPr>
    </w:p>
    <w:p w14:paraId="66D5C34C" w14:textId="77777777" w:rsidR="000E2777" w:rsidRDefault="000E2777" w:rsidP="004942B6">
      <w:pPr>
        <w:rPr>
          <w:rFonts w:ascii="Arial" w:hAnsi="Arial" w:cs="Arial"/>
          <w:b/>
          <w:bCs/>
          <w:color w:val="4472C4" w:themeColor="accent1"/>
          <w:sz w:val="40"/>
          <w:szCs w:val="40"/>
        </w:rPr>
      </w:pPr>
    </w:p>
    <w:p w14:paraId="19318128" w14:textId="77777777" w:rsidR="000E2777" w:rsidRDefault="000E2777" w:rsidP="004942B6">
      <w:pPr>
        <w:rPr>
          <w:rFonts w:ascii="Arial" w:hAnsi="Arial" w:cs="Arial"/>
          <w:b/>
          <w:bCs/>
          <w:color w:val="4472C4" w:themeColor="accent1"/>
          <w:sz w:val="40"/>
          <w:szCs w:val="40"/>
        </w:rPr>
      </w:pPr>
    </w:p>
    <w:p w14:paraId="4CF9F365" w14:textId="77777777" w:rsidR="000E2777" w:rsidRDefault="000E2777" w:rsidP="004942B6">
      <w:pPr>
        <w:rPr>
          <w:rFonts w:ascii="Arial" w:hAnsi="Arial" w:cs="Arial"/>
          <w:b/>
          <w:bCs/>
          <w:color w:val="4472C4" w:themeColor="accent1"/>
          <w:sz w:val="40"/>
          <w:szCs w:val="40"/>
        </w:rPr>
      </w:pPr>
    </w:p>
    <w:p w14:paraId="61BC45AE" w14:textId="77777777" w:rsidR="000E2777" w:rsidRDefault="000E2777" w:rsidP="004942B6">
      <w:pPr>
        <w:rPr>
          <w:rFonts w:ascii="Arial" w:hAnsi="Arial" w:cs="Arial"/>
          <w:b/>
          <w:bCs/>
          <w:color w:val="4472C4" w:themeColor="accent1"/>
          <w:sz w:val="40"/>
          <w:szCs w:val="40"/>
        </w:rPr>
      </w:pPr>
    </w:p>
    <w:p w14:paraId="78127426" w14:textId="77777777" w:rsidR="000E2777" w:rsidRDefault="000E2777" w:rsidP="004942B6">
      <w:pPr>
        <w:rPr>
          <w:rFonts w:ascii="Arial" w:hAnsi="Arial" w:cs="Arial"/>
          <w:b/>
          <w:bCs/>
          <w:color w:val="4472C4" w:themeColor="accent1"/>
          <w:sz w:val="40"/>
          <w:szCs w:val="40"/>
        </w:rPr>
      </w:pPr>
    </w:p>
    <w:p w14:paraId="26963CCF" w14:textId="77777777" w:rsidR="000E2777" w:rsidRDefault="000E2777" w:rsidP="004942B6">
      <w:pPr>
        <w:rPr>
          <w:rFonts w:ascii="Arial" w:hAnsi="Arial" w:cs="Arial"/>
          <w:b/>
          <w:bCs/>
          <w:color w:val="4472C4" w:themeColor="accent1"/>
          <w:sz w:val="40"/>
          <w:szCs w:val="40"/>
        </w:rPr>
      </w:pPr>
    </w:p>
    <w:p w14:paraId="71C1F0B5" w14:textId="77777777" w:rsidR="000E2777" w:rsidRDefault="000E2777" w:rsidP="004942B6">
      <w:pPr>
        <w:rPr>
          <w:rFonts w:ascii="Arial" w:hAnsi="Arial" w:cs="Arial"/>
          <w:b/>
          <w:bCs/>
          <w:color w:val="4472C4" w:themeColor="accent1"/>
          <w:sz w:val="40"/>
          <w:szCs w:val="40"/>
        </w:rPr>
      </w:pPr>
    </w:p>
    <w:p w14:paraId="79DD5DE4" w14:textId="77777777" w:rsidR="000E2777" w:rsidRDefault="000E2777" w:rsidP="004942B6">
      <w:pPr>
        <w:rPr>
          <w:rFonts w:ascii="Arial" w:hAnsi="Arial" w:cs="Arial"/>
          <w:b/>
          <w:bCs/>
          <w:color w:val="4472C4" w:themeColor="accent1"/>
          <w:sz w:val="40"/>
          <w:szCs w:val="40"/>
        </w:rPr>
      </w:pPr>
    </w:p>
    <w:p w14:paraId="7854E7E4" w14:textId="77777777" w:rsidR="000E2777" w:rsidRDefault="000E2777" w:rsidP="004942B6">
      <w:pPr>
        <w:rPr>
          <w:rFonts w:ascii="Arial" w:hAnsi="Arial" w:cs="Arial"/>
          <w:b/>
          <w:bCs/>
          <w:color w:val="4472C4" w:themeColor="accent1"/>
          <w:sz w:val="40"/>
          <w:szCs w:val="40"/>
        </w:rPr>
      </w:pPr>
    </w:p>
    <w:p w14:paraId="7F2892D1" w14:textId="77777777" w:rsidR="000E2777" w:rsidRDefault="000E2777" w:rsidP="004942B6">
      <w:pPr>
        <w:rPr>
          <w:rFonts w:ascii="Arial" w:hAnsi="Arial" w:cs="Arial"/>
          <w:b/>
          <w:bCs/>
          <w:color w:val="4472C4" w:themeColor="accent1"/>
          <w:sz w:val="40"/>
          <w:szCs w:val="40"/>
        </w:rPr>
      </w:pPr>
    </w:p>
    <w:p w14:paraId="47CB266C" w14:textId="77777777" w:rsidR="000E2777" w:rsidRDefault="000E2777" w:rsidP="004942B6">
      <w:pPr>
        <w:rPr>
          <w:rFonts w:ascii="Arial" w:hAnsi="Arial" w:cs="Arial"/>
          <w:b/>
          <w:bCs/>
          <w:color w:val="4472C4" w:themeColor="accent1"/>
          <w:sz w:val="40"/>
          <w:szCs w:val="40"/>
        </w:rPr>
      </w:pPr>
    </w:p>
    <w:p w14:paraId="7A01C8BB" w14:textId="77777777" w:rsidR="000E2777" w:rsidRDefault="000E2777" w:rsidP="004942B6">
      <w:pPr>
        <w:rPr>
          <w:rFonts w:ascii="Arial" w:hAnsi="Arial" w:cs="Arial"/>
          <w:b/>
          <w:bCs/>
          <w:color w:val="4472C4" w:themeColor="accent1"/>
          <w:sz w:val="40"/>
          <w:szCs w:val="40"/>
        </w:rPr>
      </w:pPr>
    </w:p>
    <w:p w14:paraId="641C2430" w14:textId="75C3EF35" w:rsidR="00E7036A" w:rsidRDefault="00E7036A">
      <w:pPr>
        <w:rPr>
          <w:rFonts w:ascii="Arial" w:hAnsi="Arial" w:cs="Arial"/>
          <w:b/>
          <w:bCs/>
          <w:color w:val="4472C4" w:themeColor="accent1"/>
          <w:sz w:val="40"/>
          <w:szCs w:val="40"/>
        </w:rPr>
      </w:pPr>
      <w:r>
        <w:rPr>
          <w:rFonts w:ascii="Arial" w:hAnsi="Arial" w:cs="Arial"/>
          <w:b/>
          <w:bCs/>
          <w:color w:val="4472C4" w:themeColor="accent1"/>
          <w:sz w:val="40"/>
          <w:szCs w:val="40"/>
        </w:rPr>
        <w:br w:type="page"/>
      </w:r>
    </w:p>
    <w:p w14:paraId="7B395A85" w14:textId="7C0E327F" w:rsidR="001E7A1F" w:rsidRPr="00C30480" w:rsidRDefault="004942B6" w:rsidP="0032547C">
      <w:pPr>
        <w:spacing w:line="360" w:lineRule="auto"/>
        <w:jc w:val="both"/>
        <w:rPr>
          <w:rFonts w:ascii="Arial" w:hAnsi="Arial" w:cs="Arial"/>
          <w:b/>
          <w:bCs/>
          <w:color w:val="4472C4" w:themeColor="accent1"/>
          <w:sz w:val="40"/>
          <w:szCs w:val="40"/>
        </w:rPr>
      </w:pPr>
      <w:r w:rsidRPr="00DB11E1">
        <w:rPr>
          <w:rFonts w:ascii="Arial" w:hAnsi="Arial" w:cs="Arial"/>
          <w:b/>
          <w:bCs/>
          <w:color w:val="4472C4" w:themeColor="accent1"/>
          <w:sz w:val="40"/>
          <w:szCs w:val="40"/>
        </w:rPr>
        <w:lastRenderedPageBreak/>
        <w:t xml:space="preserve">List of </w:t>
      </w:r>
      <w:r w:rsidR="00DB11E1">
        <w:rPr>
          <w:rFonts w:ascii="Arial" w:hAnsi="Arial" w:cs="Arial"/>
          <w:b/>
          <w:bCs/>
          <w:color w:val="4472C4" w:themeColor="accent1"/>
          <w:sz w:val="40"/>
          <w:szCs w:val="40"/>
        </w:rPr>
        <w:t>F</w:t>
      </w:r>
      <w:r w:rsidRPr="00DB11E1">
        <w:rPr>
          <w:rFonts w:ascii="Arial" w:hAnsi="Arial" w:cs="Arial"/>
          <w:b/>
          <w:bCs/>
          <w:color w:val="4472C4" w:themeColor="accent1"/>
          <w:sz w:val="40"/>
          <w:szCs w:val="40"/>
        </w:rPr>
        <w:t>igures</w:t>
      </w:r>
    </w:p>
    <w:p w14:paraId="7866C3DF" w14:textId="72BE39A7"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r w:rsidRPr="00AF4064">
        <w:rPr>
          <w:rFonts w:ascii="Arial" w:hAnsi="Arial" w:cs="Arial"/>
          <w:b/>
          <w:bCs/>
          <w:color w:val="4472C4" w:themeColor="accent1"/>
          <w:sz w:val="24"/>
          <w:szCs w:val="24"/>
        </w:rPr>
        <w:fldChar w:fldCharType="begin"/>
      </w:r>
      <w:r w:rsidRPr="00AF4064">
        <w:rPr>
          <w:rFonts w:ascii="Arial" w:hAnsi="Arial" w:cs="Arial"/>
          <w:b/>
          <w:bCs/>
          <w:color w:val="4472C4" w:themeColor="accent1"/>
          <w:sz w:val="24"/>
          <w:szCs w:val="24"/>
        </w:rPr>
        <w:instrText xml:space="preserve"> TOC \h \z \c "Figure" </w:instrText>
      </w:r>
      <w:r w:rsidRPr="00AF4064">
        <w:rPr>
          <w:rFonts w:ascii="Arial" w:hAnsi="Arial" w:cs="Arial"/>
          <w:b/>
          <w:bCs/>
          <w:color w:val="4472C4" w:themeColor="accent1"/>
          <w:sz w:val="24"/>
          <w:szCs w:val="24"/>
        </w:rPr>
        <w:fldChar w:fldCharType="separate"/>
      </w:r>
      <w:hyperlink w:anchor="_Toc196153193" w:history="1">
        <w:r w:rsidRPr="0032547C">
          <w:rPr>
            <w:rStyle w:val="Hyperlink"/>
            <w:rFonts w:ascii="Arial" w:hAnsi="Arial" w:cs="Arial"/>
            <w:b/>
            <w:bCs/>
            <w:noProof/>
            <w:sz w:val="24"/>
            <w:szCs w:val="24"/>
          </w:rPr>
          <w:t>Figure 1:</w:t>
        </w:r>
        <w:r w:rsidRPr="0032547C">
          <w:rPr>
            <w:rStyle w:val="Hyperlink"/>
            <w:rFonts w:ascii="Arial" w:hAnsi="Arial" w:cs="Arial"/>
            <w:noProof/>
            <w:sz w:val="24"/>
            <w:szCs w:val="24"/>
          </w:rPr>
          <w:t xml:space="preserve"> Arterial blood supply of the heart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_Toc196153193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25</w:t>
        </w:r>
        <w:r w:rsidRPr="0032547C">
          <w:rPr>
            <w:rFonts w:ascii="Arial" w:hAnsi="Arial" w:cs="Arial"/>
            <w:noProof/>
            <w:webHidden/>
            <w:sz w:val="24"/>
            <w:szCs w:val="24"/>
          </w:rPr>
          <w:fldChar w:fldCharType="end"/>
        </w:r>
      </w:hyperlink>
    </w:p>
    <w:p w14:paraId="19752778" w14:textId="7A013690"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194" w:history="1">
        <w:r w:rsidRPr="0032547C">
          <w:rPr>
            <w:rStyle w:val="Hyperlink"/>
            <w:rFonts w:ascii="Arial" w:hAnsi="Arial" w:cs="Arial"/>
            <w:b/>
            <w:bCs/>
            <w:noProof/>
            <w:sz w:val="24"/>
            <w:szCs w:val="24"/>
          </w:rPr>
          <w:t>Figure 2:</w:t>
        </w:r>
        <w:r w:rsidRPr="0032547C">
          <w:rPr>
            <w:rStyle w:val="Hyperlink"/>
            <w:rFonts w:ascii="Arial" w:hAnsi="Arial" w:cs="Arial"/>
            <w:noProof/>
            <w:sz w:val="24"/>
            <w:szCs w:val="24"/>
          </w:rPr>
          <w:t xml:space="preserve"> ECG (panel A) showing Wellen’s sign.</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_Toc196153194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30</w:t>
        </w:r>
        <w:r w:rsidRPr="0032547C">
          <w:rPr>
            <w:rFonts w:ascii="Arial" w:hAnsi="Arial" w:cs="Arial"/>
            <w:noProof/>
            <w:webHidden/>
            <w:sz w:val="24"/>
            <w:szCs w:val="24"/>
          </w:rPr>
          <w:fldChar w:fldCharType="end"/>
        </w:r>
      </w:hyperlink>
    </w:p>
    <w:p w14:paraId="3E77EEE6" w14:textId="52C414CA"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195" w:history="1">
        <w:r w:rsidRPr="0032547C">
          <w:rPr>
            <w:rStyle w:val="Hyperlink"/>
            <w:rFonts w:ascii="Arial" w:hAnsi="Arial" w:cs="Arial"/>
            <w:b/>
            <w:bCs/>
            <w:noProof/>
            <w:sz w:val="24"/>
            <w:szCs w:val="24"/>
          </w:rPr>
          <w:t>Figure 3</w:t>
        </w:r>
        <w:r w:rsidRPr="0032547C">
          <w:rPr>
            <w:rStyle w:val="Hyperlink"/>
            <w:rFonts w:ascii="Arial" w:hAnsi="Arial" w:cs="Arial"/>
            <w:noProof/>
            <w:sz w:val="24"/>
            <w:szCs w:val="24"/>
          </w:rPr>
          <w:t>: CAG demonstrating normal coronary arteries</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_Toc196153195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35</w:t>
        </w:r>
        <w:r w:rsidRPr="0032547C">
          <w:rPr>
            <w:rFonts w:ascii="Arial" w:hAnsi="Arial" w:cs="Arial"/>
            <w:noProof/>
            <w:webHidden/>
            <w:sz w:val="24"/>
            <w:szCs w:val="24"/>
          </w:rPr>
          <w:fldChar w:fldCharType="end"/>
        </w:r>
      </w:hyperlink>
    </w:p>
    <w:p w14:paraId="1A14D243" w14:textId="40AE778B"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196" w:history="1">
        <w:r w:rsidRPr="0032547C">
          <w:rPr>
            <w:rStyle w:val="Hyperlink"/>
            <w:rFonts w:ascii="Arial" w:hAnsi="Arial" w:cs="Arial"/>
            <w:b/>
            <w:bCs/>
            <w:noProof/>
            <w:sz w:val="24"/>
            <w:szCs w:val="24"/>
          </w:rPr>
          <w:t>Figure 4:</w:t>
        </w:r>
        <w:r w:rsidRPr="0032547C">
          <w:rPr>
            <w:rStyle w:val="Hyperlink"/>
            <w:rFonts w:ascii="Arial" w:hAnsi="Arial" w:cs="Arial"/>
            <w:noProof/>
            <w:sz w:val="24"/>
            <w:szCs w:val="24"/>
          </w:rPr>
          <w:t xml:space="preserve"> Illustration of percutaneous coronary intervention (PCI)</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_Toc196153196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39</w:t>
        </w:r>
        <w:r w:rsidRPr="0032547C">
          <w:rPr>
            <w:rFonts w:ascii="Arial" w:hAnsi="Arial" w:cs="Arial"/>
            <w:noProof/>
            <w:webHidden/>
            <w:sz w:val="24"/>
            <w:szCs w:val="24"/>
          </w:rPr>
          <w:fldChar w:fldCharType="end"/>
        </w:r>
      </w:hyperlink>
    </w:p>
    <w:p w14:paraId="2BD30C9D" w14:textId="21A4D90C"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197" w:history="1">
        <w:r w:rsidRPr="0032547C">
          <w:rPr>
            <w:rStyle w:val="Hyperlink"/>
            <w:rFonts w:ascii="Arial" w:hAnsi="Arial" w:cs="Arial"/>
            <w:b/>
            <w:bCs/>
            <w:noProof/>
            <w:sz w:val="24"/>
            <w:szCs w:val="24"/>
          </w:rPr>
          <w:t>Figure 5:</w:t>
        </w:r>
        <w:r w:rsidRPr="0032547C">
          <w:rPr>
            <w:rStyle w:val="Hyperlink"/>
            <w:rFonts w:ascii="Arial" w:hAnsi="Arial" w:cs="Arial"/>
            <w:noProof/>
            <w:sz w:val="24"/>
            <w:szCs w:val="24"/>
          </w:rPr>
          <w:t xml:space="preserve"> Illustration of coronary artery bypass graft (CABG)</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_Toc196153197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40</w:t>
        </w:r>
        <w:r w:rsidRPr="0032547C">
          <w:rPr>
            <w:rFonts w:ascii="Arial" w:hAnsi="Arial" w:cs="Arial"/>
            <w:noProof/>
            <w:webHidden/>
            <w:sz w:val="24"/>
            <w:szCs w:val="24"/>
          </w:rPr>
          <w:fldChar w:fldCharType="end"/>
        </w:r>
      </w:hyperlink>
    </w:p>
    <w:p w14:paraId="5A97A652" w14:textId="6C0A7165"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198" w:history="1">
        <w:r w:rsidRPr="0032547C">
          <w:rPr>
            <w:rStyle w:val="Hyperlink"/>
            <w:rFonts w:ascii="Arial" w:hAnsi="Arial" w:cs="Arial"/>
            <w:b/>
            <w:bCs/>
            <w:noProof/>
            <w:sz w:val="24"/>
            <w:szCs w:val="24"/>
          </w:rPr>
          <w:t>Figure 6</w:t>
        </w:r>
        <w:r w:rsidRPr="0032547C">
          <w:rPr>
            <w:rStyle w:val="Hyperlink"/>
            <w:rFonts w:ascii="Arial" w:hAnsi="Arial" w:cs="Arial"/>
            <w:noProof/>
            <w:sz w:val="24"/>
            <w:szCs w:val="24"/>
          </w:rPr>
          <w:t>: Ohm’s Law governing coronary physiology</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_Toc196153198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42</w:t>
        </w:r>
        <w:r w:rsidRPr="0032547C">
          <w:rPr>
            <w:rFonts w:ascii="Arial" w:hAnsi="Arial" w:cs="Arial"/>
            <w:noProof/>
            <w:webHidden/>
            <w:sz w:val="24"/>
            <w:szCs w:val="24"/>
          </w:rPr>
          <w:fldChar w:fldCharType="end"/>
        </w:r>
      </w:hyperlink>
    </w:p>
    <w:p w14:paraId="06D475FA" w14:textId="25D5D02A"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199" w:history="1">
        <w:r w:rsidRPr="0032547C">
          <w:rPr>
            <w:rStyle w:val="Hyperlink"/>
            <w:rFonts w:ascii="Arial" w:hAnsi="Arial" w:cs="Arial"/>
            <w:b/>
            <w:bCs/>
            <w:noProof/>
            <w:sz w:val="24"/>
            <w:szCs w:val="24"/>
          </w:rPr>
          <w:t>Figure 7</w:t>
        </w:r>
        <w:r w:rsidRPr="0032547C">
          <w:rPr>
            <w:rStyle w:val="Hyperlink"/>
            <w:rFonts w:ascii="Arial" w:hAnsi="Arial" w:cs="Arial"/>
            <w:noProof/>
            <w:sz w:val="24"/>
            <w:szCs w:val="24"/>
          </w:rPr>
          <w:t xml:space="preserve">: FFR </w:t>
        </w:r>
        <w:r w:rsidR="00657C39" w:rsidRPr="0032547C">
          <w:rPr>
            <w:rStyle w:val="Hyperlink"/>
            <w:rFonts w:ascii="Arial" w:hAnsi="Arial" w:cs="Arial"/>
            <w:noProof/>
            <w:sz w:val="24"/>
            <w:szCs w:val="24"/>
          </w:rPr>
          <w:t>(Pd/Pa) as distal coronary pressure to aortic pressure ratio</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_Toc196153199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44</w:t>
        </w:r>
        <w:r w:rsidRPr="0032547C">
          <w:rPr>
            <w:rFonts w:ascii="Arial" w:hAnsi="Arial" w:cs="Arial"/>
            <w:noProof/>
            <w:webHidden/>
            <w:sz w:val="24"/>
            <w:szCs w:val="24"/>
          </w:rPr>
          <w:fldChar w:fldCharType="end"/>
        </w:r>
      </w:hyperlink>
    </w:p>
    <w:p w14:paraId="1FBEB7A9" w14:textId="49D5DF0B"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00" w:history="1">
        <w:r w:rsidRPr="0032547C">
          <w:rPr>
            <w:rStyle w:val="Hyperlink"/>
            <w:rFonts w:ascii="Arial" w:hAnsi="Arial" w:cs="Arial"/>
            <w:b/>
            <w:bCs/>
            <w:noProof/>
            <w:sz w:val="24"/>
            <w:szCs w:val="24"/>
          </w:rPr>
          <w:t>Figure 8:</w:t>
        </w:r>
        <w:r w:rsidRPr="0032547C">
          <w:rPr>
            <w:rStyle w:val="Hyperlink"/>
            <w:rFonts w:ascii="Arial" w:hAnsi="Arial" w:cs="Arial"/>
            <w:noProof/>
            <w:sz w:val="24"/>
            <w:szCs w:val="24"/>
          </w:rPr>
          <w:t xml:space="preserve"> An example of FFR performed in the right coronary artery</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_Toc196153200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44</w:t>
        </w:r>
        <w:r w:rsidRPr="0032547C">
          <w:rPr>
            <w:rFonts w:ascii="Arial" w:hAnsi="Arial" w:cs="Arial"/>
            <w:noProof/>
            <w:webHidden/>
            <w:sz w:val="24"/>
            <w:szCs w:val="24"/>
          </w:rPr>
          <w:fldChar w:fldCharType="end"/>
        </w:r>
      </w:hyperlink>
    </w:p>
    <w:p w14:paraId="72989EF1" w14:textId="25A97F68"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01" w:history="1">
        <w:r w:rsidRPr="0032547C">
          <w:rPr>
            <w:rStyle w:val="Hyperlink"/>
            <w:rFonts w:ascii="Arial" w:hAnsi="Arial" w:cs="Arial"/>
            <w:b/>
            <w:bCs/>
            <w:noProof/>
            <w:sz w:val="24"/>
            <w:szCs w:val="24"/>
          </w:rPr>
          <w:t>Figure 9:</w:t>
        </w:r>
        <w:r w:rsidRPr="0032547C">
          <w:rPr>
            <w:rStyle w:val="Hyperlink"/>
            <w:rFonts w:ascii="Arial" w:hAnsi="Arial" w:cs="Arial"/>
            <w:noProof/>
            <w:sz w:val="24"/>
            <w:szCs w:val="24"/>
          </w:rPr>
          <w:t xml:space="preserve"> An example of RCA vFFR computation with VIRTUheart</w:t>
        </w:r>
        <w:r w:rsidRPr="0032547C">
          <w:rPr>
            <w:rStyle w:val="Hyperlink"/>
            <w:rFonts w:ascii="Arial" w:hAnsi="Arial" w:cs="Arial"/>
            <w:noProof/>
            <w:sz w:val="24"/>
            <w:szCs w:val="24"/>
            <w:vertAlign w:val="superscript"/>
          </w:rPr>
          <w:t>TM</w:t>
        </w:r>
        <w:r w:rsidRPr="0032547C">
          <w:rPr>
            <w:rStyle w:val="Hyperlink"/>
            <w:rFonts w:ascii="Arial" w:hAnsi="Arial" w:cs="Arial"/>
            <w:noProof/>
            <w:sz w:val="24"/>
            <w:szCs w:val="24"/>
          </w:rPr>
          <w: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_Toc196153201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56</w:t>
        </w:r>
        <w:r w:rsidRPr="0032547C">
          <w:rPr>
            <w:rFonts w:ascii="Arial" w:hAnsi="Arial" w:cs="Arial"/>
            <w:noProof/>
            <w:webHidden/>
            <w:sz w:val="24"/>
            <w:szCs w:val="24"/>
          </w:rPr>
          <w:fldChar w:fldCharType="end"/>
        </w:r>
      </w:hyperlink>
    </w:p>
    <w:p w14:paraId="64166781" w14:textId="6301E6C5"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02" w:history="1">
        <w:r w:rsidRPr="0032547C">
          <w:rPr>
            <w:rStyle w:val="Hyperlink"/>
            <w:rFonts w:ascii="Arial" w:hAnsi="Arial" w:cs="Arial"/>
            <w:b/>
            <w:bCs/>
            <w:noProof/>
            <w:sz w:val="24"/>
            <w:szCs w:val="24"/>
          </w:rPr>
          <w:t>Figure 10</w:t>
        </w:r>
        <w:r w:rsidRPr="0032547C">
          <w:rPr>
            <w:rStyle w:val="Hyperlink"/>
            <w:rFonts w:ascii="Arial" w:hAnsi="Arial" w:cs="Arial"/>
            <w:noProof/>
            <w:sz w:val="24"/>
            <w:szCs w:val="24"/>
          </w:rPr>
          <w:t>: EQ-5D-5L indexed questionnaire and EQ-VAS scale</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_Toc196153202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62</w:t>
        </w:r>
        <w:r w:rsidRPr="0032547C">
          <w:rPr>
            <w:rFonts w:ascii="Arial" w:hAnsi="Arial" w:cs="Arial"/>
            <w:noProof/>
            <w:webHidden/>
            <w:sz w:val="24"/>
            <w:szCs w:val="24"/>
          </w:rPr>
          <w:fldChar w:fldCharType="end"/>
        </w:r>
      </w:hyperlink>
    </w:p>
    <w:p w14:paraId="4A8DA5B1" w14:textId="7B2B358F"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03" w:history="1">
        <w:r w:rsidRPr="0032547C">
          <w:rPr>
            <w:rStyle w:val="Hyperlink"/>
            <w:rFonts w:ascii="Arial" w:hAnsi="Arial" w:cs="Arial"/>
            <w:b/>
            <w:bCs/>
            <w:noProof/>
            <w:sz w:val="24"/>
            <w:szCs w:val="24"/>
          </w:rPr>
          <w:t>Figure 11:</w:t>
        </w:r>
        <w:r w:rsidRPr="0032547C">
          <w:rPr>
            <w:rStyle w:val="Hyperlink"/>
            <w:rFonts w:ascii="Arial" w:hAnsi="Arial" w:cs="Arial"/>
            <w:noProof/>
            <w:sz w:val="24"/>
            <w:szCs w:val="24"/>
          </w:rPr>
          <w:t xml:space="preserve"> Consort diagram for inclusion and exclusion in the VIRTU-4 </w:t>
        </w:r>
        <w:r w:rsidR="00657C39" w:rsidRPr="0032547C">
          <w:rPr>
            <w:rStyle w:val="Hyperlink"/>
            <w:rFonts w:ascii="Arial" w:hAnsi="Arial" w:cs="Arial"/>
            <w:noProof/>
            <w:sz w:val="24"/>
            <w:szCs w:val="24"/>
          </w:rPr>
          <w:t>HE</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_Toc196153203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76</w:t>
        </w:r>
        <w:r w:rsidRPr="0032547C">
          <w:rPr>
            <w:rFonts w:ascii="Arial" w:hAnsi="Arial" w:cs="Arial"/>
            <w:noProof/>
            <w:webHidden/>
            <w:sz w:val="24"/>
            <w:szCs w:val="24"/>
          </w:rPr>
          <w:fldChar w:fldCharType="end"/>
        </w:r>
      </w:hyperlink>
    </w:p>
    <w:p w14:paraId="371A4B5F" w14:textId="7C488A95"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04" w:history="1">
        <w:r w:rsidRPr="0032547C">
          <w:rPr>
            <w:rStyle w:val="Hyperlink"/>
            <w:rFonts w:ascii="Arial" w:hAnsi="Arial" w:cs="Arial"/>
            <w:b/>
            <w:bCs/>
            <w:noProof/>
            <w:sz w:val="24"/>
            <w:szCs w:val="24"/>
          </w:rPr>
          <w:t>Figure 12</w:t>
        </w:r>
        <w:r w:rsidRPr="0032547C">
          <w:rPr>
            <w:rStyle w:val="Hyperlink"/>
            <w:rFonts w:ascii="Arial" w:hAnsi="Arial" w:cs="Arial"/>
            <w:noProof/>
            <w:sz w:val="24"/>
            <w:szCs w:val="24"/>
          </w:rPr>
          <w:t>: Outline of VIRTU-4 HE study</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_Toc196153204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78</w:t>
        </w:r>
        <w:r w:rsidRPr="0032547C">
          <w:rPr>
            <w:rFonts w:ascii="Arial" w:hAnsi="Arial" w:cs="Arial"/>
            <w:noProof/>
            <w:webHidden/>
            <w:sz w:val="24"/>
            <w:szCs w:val="24"/>
          </w:rPr>
          <w:fldChar w:fldCharType="end"/>
        </w:r>
      </w:hyperlink>
    </w:p>
    <w:p w14:paraId="06CA4DB6" w14:textId="03F0CE55"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05" w:history="1">
        <w:r w:rsidRPr="0032547C">
          <w:rPr>
            <w:rStyle w:val="Hyperlink"/>
            <w:rFonts w:ascii="Arial" w:hAnsi="Arial" w:cs="Arial"/>
            <w:b/>
            <w:bCs/>
            <w:noProof/>
            <w:sz w:val="24"/>
            <w:szCs w:val="24"/>
          </w:rPr>
          <w:t>Figure 13</w:t>
        </w:r>
        <w:r w:rsidRPr="0032547C">
          <w:rPr>
            <w:rStyle w:val="Hyperlink"/>
            <w:rFonts w:ascii="Arial" w:hAnsi="Arial" w:cs="Arial"/>
            <w:noProof/>
            <w:sz w:val="24"/>
            <w:szCs w:val="24"/>
          </w:rPr>
          <w:t>: Expert MDTs flow chart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_Toc196153205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78</w:t>
        </w:r>
        <w:r w:rsidRPr="0032547C">
          <w:rPr>
            <w:rFonts w:ascii="Arial" w:hAnsi="Arial" w:cs="Arial"/>
            <w:noProof/>
            <w:webHidden/>
            <w:sz w:val="24"/>
            <w:szCs w:val="24"/>
          </w:rPr>
          <w:fldChar w:fldCharType="end"/>
        </w:r>
      </w:hyperlink>
    </w:p>
    <w:p w14:paraId="1A13FC90" w14:textId="60C9B382"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06" w:history="1">
        <w:r w:rsidRPr="0032547C">
          <w:rPr>
            <w:rStyle w:val="Hyperlink"/>
            <w:rFonts w:ascii="Arial" w:hAnsi="Arial" w:cs="Arial"/>
            <w:b/>
            <w:bCs/>
            <w:noProof/>
            <w:sz w:val="24"/>
            <w:szCs w:val="24"/>
          </w:rPr>
          <w:t>Figure 14:</w:t>
        </w:r>
        <w:r w:rsidRPr="0032547C">
          <w:rPr>
            <w:rStyle w:val="Hyperlink"/>
            <w:rFonts w:ascii="Arial" w:hAnsi="Arial" w:cs="Arial"/>
            <w:noProof/>
            <w:sz w:val="24"/>
            <w:szCs w:val="24"/>
          </w:rPr>
          <w:t xml:space="preserve"> Summary of expert MDTs flowsheet.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_Toc196153206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79</w:t>
        </w:r>
        <w:r w:rsidRPr="0032547C">
          <w:rPr>
            <w:rFonts w:ascii="Arial" w:hAnsi="Arial" w:cs="Arial"/>
            <w:noProof/>
            <w:webHidden/>
            <w:sz w:val="24"/>
            <w:szCs w:val="24"/>
          </w:rPr>
          <w:fldChar w:fldCharType="end"/>
        </w:r>
      </w:hyperlink>
    </w:p>
    <w:p w14:paraId="0BCCD1B2" w14:textId="00586E7A"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07" w:history="1">
        <w:r w:rsidRPr="0032547C">
          <w:rPr>
            <w:rStyle w:val="Hyperlink"/>
            <w:rFonts w:ascii="Arial" w:hAnsi="Arial" w:cs="Arial"/>
            <w:b/>
            <w:bCs/>
            <w:noProof/>
            <w:sz w:val="24"/>
            <w:szCs w:val="24"/>
          </w:rPr>
          <w:t>Figure 15</w:t>
        </w:r>
        <w:r w:rsidRPr="0032547C">
          <w:rPr>
            <w:rStyle w:val="Hyperlink"/>
            <w:rFonts w:ascii="Arial" w:hAnsi="Arial" w:cs="Arial"/>
            <w:noProof/>
            <w:sz w:val="24"/>
            <w:szCs w:val="24"/>
          </w:rPr>
          <w:t>: Example 1 – Virtual change of plan from invasive mFFR to OMT.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_Toc196153207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83</w:t>
        </w:r>
        <w:r w:rsidRPr="0032547C">
          <w:rPr>
            <w:rFonts w:ascii="Arial" w:hAnsi="Arial" w:cs="Arial"/>
            <w:noProof/>
            <w:webHidden/>
            <w:sz w:val="24"/>
            <w:szCs w:val="24"/>
          </w:rPr>
          <w:fldChar w:fldCharType="end"/>
        </w:r>
      </w:hyperlink>
    </w:p>
    <w:p w14:paraId="4B9541AD" w14:textId="5F736CDC" w:rsidR="001E7A1F" w:rsidRPr="0032547C"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08" w:history="1">
        <w:r w:rsidRPr="0032547C">
          <w:rPr>
            <w:rStyle w:val="Hyperlink"/>
            <w:rFonts w:ascii="Arial" w:hAnsi="Arial" w:cs="Arial"/>
            <w:b/>
            <w:bCs/>
            <w:noProof/>
            <w:sz w:val="24"/>
            <w:szCs w:val="24"/>
          </w:rPr>
          <w:t>Figure 16:</w:t>
        </w:r>
        <w:r w:rsidRPr="0032547C">
          <w:rPr>
            <w:rStyle w:val="Hyperlink"/>
            <w:rFonts w:ascii="Arial" w:hAnsi="Arial" w:cs="Arial"/>
            <w:noProof/>
            <w:sz w:val="24"/>
            <w:szCs w:val="24"/>
          </w:rPr>
          <w:t xml:space="preserve"> MDT flowsheet for Example 1.</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_Toc196153208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84</w:t>
        </w:r>
        <w:r w:rsidRPr="0032547C">
          <w:rPr>
            <w:rFonts w:ascii="Arial" w:hAnsi="Arial" w:cs="Arial"/>
            <w:noProof/>
            <w:webHidden/>
            <w:sz w:val="24"/>
            <w:szCs w:val="24"/>
          </w:rPr>
          <w:fldChar w:fldCharType="end"/>
        </w:r>
      </w:hyperlink>
    </w:p>
    <w:p w14:paraId="3805638A" w14:textId="087487F2"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09" w:history="1">
        <w:r w:rsidRPr="0026500E">
          <w:rPr>
            <w:rStyle w:val="Hyperlink"/>
            <w:rFonts w:ascii="Arial" w:hAnsi="Arial" w:cs="Arial"/>
            <w:b/>
            <w:bCs/>
            <w:noProof/>
            <w:sz w:val="24"/>
            <w:szCs w:val="24"/>
          </w:rPr>
          <w:t>Figure 17:</w:t>
        </w:r>
        <w:r w:rsidRPr="0026500E">
          <w:rPr>
            <w:rStyle w:val="Hyperlink"/>
            <w:rFonts w:ascii="Arial" w:hAnsi="Arial" w:cs="Arial"/>
            <w:noProof/>
            <w:sz w:val="24"/>
            <w:szCs w:val="24"/>
          </w:rPr>
          <w:t xml:space="preserve"> Example 2 - Virtual change of plan from</w:t>
        </w:r>
        <w:r w:rsidR="0026500E">
          <w:rPr>
            <w:rStyle w:val="Hyperlink"/>
            <w:rFonts w:ascii="Arial" w:hAnsi="Arial" w:cs="Arial"/>
            <w:noProof/>
            <w:sz w:val="24"/>
            <w:szCs w:val="24"/>
          </w:rPr>
          <w:t xml:space="preserve"> 1V-</w:t>
        </w:r>
        <w:r w:rsidRPr="0026500E">
          <w:rPr>
            <w:rStyle w:val="Hyperlink"/>
            <w:rFonts w:ascii="Arial" w:hAnsi="Arial" w:cs="Arial"/>
            <w:noProof/>
            <w:sz w:val="24"/>
            <w:szCs w:val="24"/>
          </w:rPr>
          <w:t xml:space="preserve">PCI </w:t>
        </w:r>
        <w:r w:rsidR="0026500E">
          <w:rPr>
            <w:rStyle w:val="Hyperlink"/>
            <w:rFonts w:ascii="Arial" w:hAnsi="Arial" w:cs="Arial"/>
            <w:noProof/>
            <w:sz w:val="24"/>
            <w:szCs w:val="24"/>
          </w:rPr>
          <w:t>to 2V-</w:t>
        </w:r>
        <w:r w:rsidRPr="0026500E">
          <w:rPr>
            <w:rStyle w:val="Hyperlink"/>
            <w:rFonts w:ascii="Arial" w:hAnsi="Arial" w:cs="Arial"/>
            <w:noProof/>
            <w:sz w:val="24"/>
            <w:szCs w:val="24"/>
          </w:rPr>
          <w:t>PCI</w:t>
        </w:r>
        <w:r w:rsidRPr="0032547C">
          <w:rPr>
            <w:rStyle w:val="Hyperlink"/>
            <w:rFonts w:ascii="Arial" w:hAnsi="Arial" w:cs="Arial"/>
            <w:noProof/>
            <w:sz w:val="24"/>
            <w:szCs w:val="24"/>
          </w:rPr>
          <w: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_Toc196153209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85</w:t>
        </w:r>
        <w:r w:rsidRPr="0032547C">
          <w:rPr>
            <w:rFonts w:ascii="Arial" w:hAnsi="Arial" w:cs="Arial"/>
            <w:noProof/>
            <w:webHidden/>
            <w:sz w:val="24"/>
            <w:szCs w:val="24"/>
          </w:rPr>
          <w:fldChar w:fldCharType="end"/>
        </w:r>
      </w:hyperlink>
    </w:p>
    <w:p w14:paraId="41C868DE" w14:textId="4F0A174F"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10" w:history="1">
        <w:r w:rsidRPr="0032547C">
          <w:rPr>
            <w:rStyle w:val="Hyperlink"/>
            <w:rFonts w:ascii="Arial" w:hAnsi="Arial" w:cs="Arial"/>
            <w:b/>
            <w:bCs/>
            <w:noProof/>
            <w:sz w:val="24"/>
            <w:szCs w:val="24"/>
          </w:rPr>
          <w:t>Figure 18:</w:t>
        </w:r>
        <w:r w:rsidRPr="0032547C">
          <w:rPr>
            <w:rStyle w:val="Hyperlink"/>
            <w:rFonts w:ascii="Arial" w:hAnsi="Arial" w:cs="Arial"/>
            <w:noProof/>
            <w:sz w:val="24"/>
            <w:szCs w:val="24"/>
          </w:rPr>
          <w:t xml:space="preserve"> MDT flowsheet for Example 2.</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_Toc196153210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86</w:t>
        </w:r>
        <w:r w:rsidRPr="0032547C">
          <w:rPr>
            <w:rFonts w:ascii="Arial" w:hAnsi="Arial" w:cs="Arial"/>
            <w:noProof/>
            <w:webHidden/>
            <w:sz w:val="24"/>
            <w:szCs w:val="24"/>
          </w:rPr>
          <w:fldChar w:fldCharType="end"/>
        </w:r>
      </w:hyperlink>
    </w:p>
    <w:p w14:paraId="406BEE48" w14:textId="6BB06E18"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11" w:history="1">
        <w:r w:rsidRPr="0032547C">
          <w:rPr>
            <w:rStyle w:val="Hyperlink"/>
            <w:rFonts w:ascii="Arial" w:hAnsi="Arial" w:cs="Arial"/>
            <w:b/>
            <w:bCs/>
            <w:noProof/>
            <w:sz w:val="24"/>
            <w:szCs w:val="24"/>
          </w:rPr>
          <w:t>Figure 19:</w:t>
        </w:r>
        <w:r w:rsidRPr="0032547C">
          <w:rPr>
            <w:rStyle w:val="Hyperlink"/>
            <w:rFonts w:ascii="Arial" w:hAnsi="Arial" w:cs="Arial"/>
            <w:noProof/>
            <w:sz w:val="24"/>
            <w:szCs w:val="24"/>
          </w:rPr>
          <w:t xml:space="preserve"> Example 3 - Virtual change of plan from culprit-vessel PCI + additional vessel mFFR to culprit-vessel PCI only.</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_Toc196153211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87</w:t>
        </w:r>
        <w:r w:rsidRPr="0032547C">
          <w:rPr>
            <w:rFonts w:ascii="Arial" w:hAnsi="Arial" w:cs="Arial"/>
            <w:noProof/>
            <w:webHidden/>
            <w:sz w:val="24"/>
            <w:szCs w:val="24"/>
          </w:rPr>
          <w:fldChar w:fldCharType="end"/>
        </w:r>
      </w:hyperlink>
    </w:p>
    <w:p w14:paraId="07A10DA3" w14:textId="0097D4CC"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12" w:history="1">
        <w:r w:rsidRPr="0032547C">
          <w:rPr>
            <w:rStyle w:val="Hyperlink"/>
            <w:rFonts w:ascii="Arial" w:hAnsi="Arial" w:cs="Arial"/>
            <w:b/>
            <w:bCs/>
            <w:noProof/>
            <w:sz w:val="24"/>
            <w:szCs w:val="24"/>
          </w:rPr>
          <w:t>Figure 20:</w:t>
        </w:r>
        <w:r w:rsidRPr="0032547C">
          <w:rPr>
            <w:rStyle w:val="Hyperlink"/>
            <w:rFonts w:ascii="Arial" w:hAnsi="Arial" w:cs="Arial"/>
            <w:noProof/>
            <w:sz w:val="24"/>
            <w:szCs w:val="24"/>
          </w:rPr>
          <w:t xml:space="preserve"> MDT flowsheet for Example 3</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_Toc196153212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88</w:t>
        </w:r>
        <w:r w:rsidRPr="0032547C">
          <w:rPr>
            <w:rFonts w:ascii="Arial" w:hAnsi="Arial" w:cs="Arial"/>
            <w:noProof/>
            <w:webHidden/>
            <w:sz w:val="24"/>
            <w:szCs w:val="24"/>
          </w:rPr>
          <w:fldChar w:fldCharType="end"/>
        </w:r>
      </w:hyperlink>
    </w:p>
    <w:p w14:paraId="4894D2A6" w14:textId="457F2F25"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13" w:history="1">
        <w:r w:rsidRPr="0032547C">
          <w:rPr>
            <w:rStyle w:val="Hyperlink"/>
            <w:rFonts w:ascii="Arial" w:hAnsi="Arial" w:cs="Arial"/>
            <w:b/>
            <w:bCs/>
            <w:noProof/>
            <w:sz w:val="24"/>
            <w:szCs w:val="24"/>
          </w:rPr>
          <w:t>Figure 21</w:t>
        </w:r>
        <w:r w:rsidRPr="0032547C">
          <w:rPr>
            <w:rStyle w:val="Hyperlink"/>
            <w:rFonts w:ascii="Arial" w:hAnsi="Arial" w:cs="Arial"/>
            <w:noProof/>
            <w:sz w:val="24"/>
            <w:szCs w:val="24"/>
          </w:rPr>
          <w:t>: Example 4 - A tale of a diffuse disease with positive vFFR.</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_Toc196153213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89</w:t>
        </w:r>
        <w:r w:rsidRPr="0032547C">
          <w:rPr>
            <w:rFonts w:ascii="Arial" w:hAnsi="Arial" w:cs="Arial"/>
            <w:noProof/>
            <w:webHidden/>
            <w:sz w:val="24"/>
            <w:szCs w:val="24"/>
          </w:rPr>
          <w:fldChar w:fldCharType="end"/>
        </w:r>
      </w:hyperlink>
    </w:p>
    <w:p w14:paraId="1061F922" w14:textId="7C3D2DF9"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14" w:history="1">
        <w:r w:rsidRPr="0032547C">
          <w:rPr>
            <w:rStyle w:val="Hyperlink"/>
            <w:rFonts w:ascii="Arial" w:hAnsi="Arial" w:cs="Arial"/>
            <w:b/>
            <w:bCs/>
            <w:noProof/>
            <w:sz w:val="24"/>
            <w:szCs w:val="24"/>
          </w:rPr>
          <w:t>Figure 22:</w:t>
        </w:r>
        <w:r w:rsidRPr="0032547C">
          <w:rPr>
            <w:rStyle w:val="Hyperlink"/>
            <w:rFonts w:ascii="Arial" w:hAnsi="Arial" w:cs="Arial"/>
            <w:noProof/>
            <w:sz w:val="24"/>
            <w:szCs w:val="24"/>
          </w:rPr>
          <w:t xml:space="preserve"> MDT flowsheet for Example 4</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_Toc196153214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90</w:t>
        </w:r>
        <w:r w:rsidRPr="0032547C">
          <w:rPr>
            <w:rFonts w:ascii="Arial" w:hAnsi="Arial" w:cs="Arial"/>
            <w:noProof/>
            <w:webHidden/>
            <w:sz w:val="24"/>
            <w:szCs w:val="24"/>
          </w:rPr>
          <w:fldChar w:fldCharType="end"/>
        </w:r>
      </w:hyperlink>
    </w:p>
    <w:p w14:paraId="199F4420" w14:textId="4368061A"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15" w:history="1">
        <w:r w:rsidRPr="0032547C">
          <w:rPr>
            <w:rStyle w:val="Hyperlink"/>
            <w:rFonts w:ascii="Arial" w:hAnsi="Arial" w:cs="Arial"/>
            <w:b/>
            <w:bCs/>
            <w:noProof/>
            <w:sz w:val="24"/>
            <w:szCs w:val="24"/>
          </w:rPr>
          <w:t>Figure 23:</w:t>
        </w:r>
        <w:r w:rsidRPr="0032547C">
          <w:rPr>
            <w:rStyle w:val="Hyperlink"/>
            <w:rFonts w:ascii="Arial" w:hAnsi="Arial" w:cs="Arial"/>
            <w:noProof/>
            <w:sz w:val="24"/>
            <w:szCs w:val="24"/>
          </w:rPr>
          <w:t xml:space="preserve"> Example 4 - CABG changed to multi-vessel PCI.</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_Toc196153215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91</w:t>
        </w:r>
        <w:r w:rsidRPr="0032547C">
          <w:rPr>
            <w:rFonts w:ascii="Arial" w:hAnsi="Arial" w:cs="Arial"/>
            <w:noProof/>
            <w:webHidden/>
            <w:sz w:val="24"/>
            <w:szCs w:val="24"/>
          </w:rPr>
          <w:fldChar w:fldCharType="end"/>
        </w:r>
      </w:hyperlink>
    </w:p>
    <w:p w14:paraId="0E055100" w14:textId="573AB960"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16" w:history="1">
        <w:r w:rsidRPr="0032547C">
          <w:rPr>
            <w:rStyle w:val="Hyperlink"/>
            <w:rFonts w:ascii="Arial" w:hAnsi="Arial" w:cs="Arial"/>
            <w:b/>
            <w:bCs/>
            <w:noProof/>
            <w:sz w:val="24"/>
            <w:szCs w:val="24"/>
          </w:rPr>
          <w:t>Figure 24:</w:t>
        </w:r>
        <w:r w:rsidRPr="0032547C">
          <w:rPr>
            <w:rStyle w:val="Hyperlink"/>
            <w:rFonts w:ascii="Arial" w:hAnsi="Arial" w:cs="Arial"/>
            <w:noProof/>
            <w:sz w:val="24"/>
            <w:szCs w:val="24"/>
          </w:rPr>
          <w:t xml:space="preserve"> MDT flowsheet for Example 5</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_Toc196153216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92</w:t>
        </w:r>
        <w:r w:rsidRPr="0032547C">
          <w:rPr>
            <w:rFonts w:ascii="Arial" w:hAnsi="Arial" w:cs="Arial"/>
            <w:noProof/>
            <w:webHidden/>
            <w:sz w:val="24"/>
            <w:szCs w:val="24"/>
          </w:rPr>
          <w:fldChar w:fldCharType="end"/>
        </w:r>
      </w:hyperlink>
    </w:p>
    <w:p w14:paraId="7D012A83" w14:textId="3CD41830"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17" w:history="1">
        <w:r w:rsidRPr="0032547C">
          <w:rPr>
            <w:rStyle w:val="Hyperlink"/>
            <w:rFonts w:ascii="Arial" w:hAnsi="Arial" w:cs="Arial"/>
            <w:b/>
            <w:bCs/>
            <w:noProof/>
            <w:sz w:val="24"/>
            <w:szCs w:val="24"/>
          </w:rPr>
          <w:t>Figure 25:</w:t>
        </w:r>
        <w:r w:rsidRPr="0032547C">
          <w:rPr>
            <w:rStyle w:val="Hyperlink"/>
            <w:rFonts w:ascii="Arial" w:hAnsi="Arial" w:cs="Arial"/>
            <w:noProof/>
            <w:sz w:val="24"/>
            <w:szCs w:val="24"/>
          </w:rPr>
          <w:t xml:space="preserve"> Age distribution graph</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_Toc196153217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103</w:t>
        </w:r>
        <w:r w:rsidRPr="0032547C">
          <w:rPr>
            <w:rFonts w:ascii="Arial" w:hAnsi="Arial" w:cs="Arial"/>
            <w:noProof/>
            <w:webHidden/>
            <w:sz w:val="24"/>
            <w:szCs w:val="24"/>
          </w:rPr>
          <w:fldChar w:fldCharType="end"/>
        </w:r>
      </w:hyperlink>
    </w:p>
    <w:p w14:paraId="30C8E8AA" w14:textId="17D272FF"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18" w:history="1">
        <w:r w:rsidRPr="0032547C">
          <w:rPr>
            <w:rStyle w:val="Hyperlink"/>
            <w:rFonts w:ascii="Arial" w:hAnsi="Arial" w:cs="Arial"/>
            <w:b/>
            <w:bCs/>
            <w:noProof/>
            <w:sz w:val="24"/>
            <w:szCs w:val="24"/>
          </w:rPr>
          <w:t>Figure 26</w:t>
        </w:r>
        <w:r w:rsidRPr="0032547C">
          <w:rPr>
            <w:rStyle w:val="Hyperlink"/>
            <w:rFonts w:ascii="Arial" w:hAnsi="Arial" w:cs="Arial"/>
            <w:noProof/>
            <w:sz w:val="24"/>
            <w:szCs w:val="24"/>
          </w:rPr>
          <w:t xml:space="preserve">: </w:t>
        </w:r>
        <w:r w:rsidR="00657C39" w:rsidRPr="0032547C">
          <w:rPr>
            <w:rStyle w:val="Hyperlink"/>
            <w:rFonts w:ascii="Arial" w:hAnsi="Arial" w:cs="Arial"/>
            <w:noProof/>
            <w:sz w:val="24"/>
            <w:szCs w:val="24"/>
          </w:rPr>
          <w:t>T</w:t>
        </w:r>
        <w:r w:rsidRPr="0032547C">
          <w:rPr>
            <w:rStyle w:val="Hyperlink"/>
            <w:rFonts w:ascii="Arial" w:hAnsi="Arial" w:cs="Arial"/>
            <w:noProof/>
            <w:sz w:val="24"/>
            <w:szCs w:val="24"/>
          </w:rPr>
          <w:t>otal number of hospital admissions.</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_Toc196153218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105</w:t>
        </w:r>
        <w:r w:rsidRPr="0032547C">
          <w:rPr>
            <w:rFonts w:ascii="Arial" w:hAnsi="Arial" w:cs="Arial"/>
            <w:noProof/>
            <w:webHidden/>
            <w:sz w:val="24"/>
            <w:szCs w:val="24"/>
          </w:rPr>
          <w:fldChar w:fldCharType="end"/>
        </w:r>
      </w:hyperlink>
    </w:p>
    <w:p w14:paraId="26928C03" w14:textId="4A50CF62"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19" w:history="1">
        <w:r w:rsidRPr="0032547C">
          <w:rPr>
            <w:rStyle w:val="Hyperlink"/>
            <w:rFonts w:ascii="Arial" w:hAnsi="Arial" w:cs="Arial"/>
            <w:b/>
            <w:bCs/>
            <w:noProof/>
            <w:sz w:val="24"/>
            <w:szCs w:val="24"/>
          </w:rPr>
          <w:t>Figure 27:</w:t>
        </w:r>
        <w:r w:rsidRPr="0032547C">
          <w:rPr>
            <w:rStyle w:val="Hyperlink"/>
            <w:rFonts w:ascii="Arial" w:hAnsi="Arial" w:cs="Arial"/>
            <w:noProof/>
            <w:sz w:val="24"/>
            <w:szCs w:val="24"/>
          </w:rPr>
          <w:t xml:space="preserve"> Re-admissions per patient in ACS and CCS groups</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_Toc196153219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106</w:t>
        </w:r>
        <w:r w:rsidRPr="0032547C">
          <w:rPr>
            <w:rFonts w:ascii="Arial" w:hAnsi="Arial" w:cs="Arial"/>
            <w:noProof/>
            <w:webHidden/>
            <w:sz w:val="24"/>
            <w:szCs w:val="24"/>
          </w:rPr>
          <w:fldChar w:fldCharType="end"/>
        </w:r>
      </w:hyperlink>
    </w:p>
    <w:p w14:paraId="5F122927" w14:textId="3A1ADACD"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20" w:history="1">
        <w:r w:rsidRPr="0032547C">
          <w:rPr>
            <w:rStyle w:val="Hyperlink"/>
            <w:rFonts w:ascii="Arial" w:hAnsi="Arial" w:cs="Arial"/>
            <w:b/>
            <w:bCs/>
            <w:noProof/>
            <w:sz w:val="24"/>
            <w:szCs w:val="24"/>
          </w:rPr>
          <w:t>Figure 28:</w:t>
        </w:r>
        <w:r w:rsidRPr="0032547C">
          <w:rPr>
            <w:rStyle w:val="Hyperlink"/>
            <w:rFonts w:ascii="Arial" w:hAnsi="Arial" w:cs="Arial"/>
            <w:noProof/>
            <w:sz w:val="24"/>
            <w:szCs w:val="24"/>
          </w:rPr>
          <w:t xml:space="preserve"> Repeat revascularisation at one-year follow-up</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_Toc196153220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108</w:t>
        </w:r>
        <w:r w:rsidRPr="0032547C">
          <w:rPr>
            <w:rFonts w:ascii="Arial" w:hAnsi="Arial" w:cs="Arial"/>
            <w:noProof/>
            <w:webHidden/>
            <w:sz w:val="24"/>
            <w:szCs w:val="24"/>
          </w:rPr>
          <w:fldChar w:fldCharType="end"/>
        </w:r>
      </w:hyperlink>
    </w:p>
    <w:p w14:paraId="56C1A3BE" w14:textId="19641371"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21" w:history="1">
        <w:r w:rsidRPr="0032547C">
          <w:rPr>
            <w:rStyle w:val="Hyperlink"/>
            <w:rFonts w:ascii="Arial" w:hAnsi="Arial" w:cs="Arial"/>
            <w:b/>
            <w:bCs/>
            <w:noProof/>
            <w:sz w:val="24"/>
            <w:szCs w:val="24"/>
          </w:rPr>
          <w:t>Figure 29:</w:t>
        </w:r>
        <w:r w:rsidRPr="0032547C">
          <w:rPr>
            <w:rStyle w:val="Hyperlink"/>
            <w:rFonts w:ascii="Arial" w:hAnsi="Arial" w:cs="Arial"/>
            <w:noProof/>
            <w:sz w:val="24"/>
            <w:szCs w:val="24"/>
          </w:rPr>
          <w:t xml:space="preserve"> Comparison of anti-anginal medications from baseline to one-year follow-up.</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_Toc196153221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109</w:t>
        </w:r>
        <w:r w:rsidRPr="0032547C">
          <w:rPr>
            <w:rFonts w:ascii="Arial" w:hAnsi="Arial" w:cs="Arial"/>
            <w:noProof/>
            <w:webHidden/>
            <w:sz w:val="24"/>
            <w:szCs w:val="24"/>
          </w:rPr>
          <w:fldChar w:fldCharType="end"/>
        </w:r>
      </w:hyperlink>
    </w:p>
    <w:p w14:paraId="5DB3A369" w14:textId="1CE999D4"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22" w:history="1">
        <w:r w:rsidRPr="0032547C">
          <w:rPr>
            <w:rStyle w:val="Hyperlink"/>
            <w:rFonts w:ascii="Arial" w:hAnsi="Arial" w:cs="Arial"/>
            <w:b/>
            <w:bCs/>
            <w:noProof/>
            <w:sz w:val="24"/>
            <w:szCs w:val="24"/>
          </w:rPr>
          <w:t>Figure 30:</w:t>
        </w:r>
        <w:r w:rsidRPr="0032547C">
          <w:rPr>
            <w:rStyle w:val="Hyperlink"/>
            <w:rFonts w:ascii="Arial" w:hAnsi="Arial" w:cs="Arial"/>
            <w:noProof/>
            <w:sz w:val="24"/>
            <w:szCs w:val="24"/>
          </w:rPr>
          <w:t xml:space="preserve"> Comparison of the number of OP visits and investigations</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_Toc196153222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110</w:t>
        </w:r>
        <w:r w:rsidRPr="0032547C">
          <w:rPr>
            <w:rFonts w:ascii="Arial" w:hAnsi="Arial" w:cs="Arial"/>
            <w:noProof/>
            <w:webHidden/>
            <w:sz w:val="24"/>
            <w:szCs w:val="24"/>
          </w:rPr>
          <w:fldChar w:fldCharType="end"/>
        </w:r>
      </w:hyperlink>
    </w:p>
    <w:p w14:paraId="4F90E8DB" w14:textId="63A79298"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23" w:history="1">
        <w:r w:rsidRPr="0032547C">
          <w:rPr>
            <w:rStyle w:val="Hyperlink"/>
            <w:rFonts w:ascii="Arial" w:hAnsi="Arial" w:cs="Arial"/>
            <w:b/>
            <w:bCs/>
            <w:noProof/>
            <w:sz w:val="24"/>
            <w:szCs w:val="24"/>
          </w:rPr>
          <w:t>Figure 31:</w:t>
        </w:r>
        <w:r w:rsidRPr="0032547C">
          <w:rPr>
            <w:rStyle w:val="Hyperlink"/>
            <w:rFonts w:ascii="Arial" w:hAnsi="Arial" w:cs="Arial"/>
            <w:noProof/>
            <w:sz w:val="24"/>
            <w:szCs w:val="24"/>
          </w:rPr>
          <w:t xml:space="preserve"> NYHA and CCS class interval change at one year.</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_Toc196153223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111</w:t>
        </w:r>
        <w:r w:rsidRPr="0032547C">
          <w:rPr>
            <w:rFonts w:ascii="Arial" w:hAnsi="Arial" w:cs="Arial"/>
            <w:noProof/>
            <w:webHidden/>
            <w:sz w:val="24"/>
            <w:szCs w:val="24"/>
          </w:rPr>
          <w:fldChar w:fldCharType="end"/>
        </w:r>
      </w:hyperlink>
    </w:p>
    <w:p w14:paraId="0542011D" w14:textId="713704AB"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24" w:history="1">
        <w:r w:rsidRPr="0032547C">
          <w:rPr>
            <w:rStyle w:val="Hyperlink"/>
            <w:rFonts w:ascii="Arial" w:hAnsi="Arial" w:cs="Arial"/>
            <w:b/>
            <w:bCs/>
            <w:noProof/>
            <w:sz w:val="24"/>
            <w:szCs w:val="24"/>
          </w:rPr>
          <w:t>Figure 32</w:t>
        </w:r>
        <w:r w:rsidRPr="0032547C">
          <w:rPr>
            <w:rStyle w:val="Hyperlink"/>
            <w:rFonts w:ascii="Arial" w:hAnsi="Arial" w:cs="Arial"/>
            <w:noProof/>
            <w:sz w:val="24"/>
            <w:szCs w:val="24"/>
          </w:rPr>
          <w:t xml:space="preserve">: </w:t>
        </w:r>
        <w:r w:rsidR="00657C39" w:rsidRPr="0032547C">
          <w:rPr>
            <w:rStyle w:val="Hyperlink"/>
            <w:rFonts w:ascii="Arial" w:hAnsi="Arial" w:cs="Arial"/>
            <w:noProof/>
            <w:sz w:val="24"/>
            <w:szCs w:val="24"/>
          </w:rPr>
          <w:t xml:space="preserve">QOL </w:t>
        </w:r>
        <w:r w:rsidRPr="0032547C">
          <w:rPr>
            <w:rStyle w:val="Hyperlink"/>
            <w:rFonts w:ascii="Arial" w:hAnsi="Arial" w:cs="Arial"/>
            <w:noProof/>
            <w:sz w:val="24"/>
            <w:szCs w:val="24"/>
          </w:rPr>
          <w:t>scores from baseline to one-year.</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_Toc196153224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113</w:t>
        </w:r>
        <w:r w:rsidRPr="0032547C">
          <w:rPr>
            <w:rFonts w:ascii="Arial" w:hAnsi="Arial" w:cs="Arial"/>
            <w:noProof/>
            <w:webHidden/>
            <w:sz w:val="24"/>
            <w:szCs w:val="24"/>
          </w:rPr>
          <w:fldChar w:fldCharType="end"/>
        </w:r>
      </w:hyperlink>
    </w:p>
    <w:p w14:paraId="50316A0F" w14:textId="203AFB54"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25" w:history="1">
        <w:r w:rsidRPr="0032547C">
          <w:rPr>
            <w:rStyle w:val="Hyperlink"/>
            <w:rFonts w:ascii="Arial" w:hAnsi="Arial" w:cs="Arial"/>
            <w:b/>
            <w:bCs/>
            <w:noProof/>
            <w:sz w:val="24"/>
            <w:szCs w:val="24"/>
          </w:rPr>
          <w:t>Figure 33</w:t>
        </w:r>
        <w:r w:rsidRPr="0032547C">
          <w:rPr>
            <w:rStyle w:val="Hyperlink"/>
            <w:rFonts w:ascii="Arial" w:hAnsi="Arial" w:cs="Arial"/>
            <w:noProof/>
            <w:sz w:val="24"/>
            <w:szCs w:val="24"/>
          </w:rPr>
          <w:t xml:space="preserve">: </w:t>
        </w:r>
        <w:r w:rsidR="00657C39" w:rsidRPr="0032547C">
          <w:rPr>
            <w:rStyle w:val="Hyperlink"/>
            <w:rFonts w:ascii="Arial" w:hAnsi="Arial" w:cs="Arial"/>
            <w:noProof/>
            <w:sz w:val="24"/>
            <w:szCs w:val="24"/>
          </w:rPr>
          <w:t>QOL scores segregated according to the ACS and CCS cohorts.</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_Toc196153225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114</w:t>
        </w:r>
        <w:r w:rsidRPr="0032547C">
          <w:rPr>
            <w:rFonts w:ascii="Arial" w:hAnsi="Arial" w:cs="Arial"/>
            <w:noProof/>
            <w:webHidden/>
            <w:sz w:val="24"/>
            <w:szCs w:val="24"/>
          </w:rPr>
          <w:fldChar w:fldCharType="end"/>
        </w:r>
      </w:hyperlink>
    </w:p>
    <w:p w14:paraId="12BEA7F4" w14:textId="796E6BF4"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26" w:history="1">
        <w:r w:rsidRPr="0032547C">
          <w:rPr>
            <w:rStyle w:val="Hyperlink"/>
            <w:rFonts w:ascii="Arial" w:hAnsi="Arial" w:cs="Arial"/>
            <w:b/>
            <w:bCs/>
            <w:noProof/>
            <w:sz w:val="24"/>
            <w:szCs w:val="24"/>
          </w:rPr>
          <w:t>Figure 34:</w:t>
        </w:r>
        <w:r w:rsidRPr="0032547C">
          <w:rPr>
            <w:rStyle w:val="Hyperlink"/>
            <w:rFonts w:ascii="Arial" w:hAnsi="Arial" w:cs="Arial"/>
            <w:noProof/>
            <w:sz w:val="24"/>
            <w:szCs w:val="24"/>
          </w:rPr>
          <w:t xml:space="preserve"> </w:t>
        </w:r>
        <w:r w:rsidR="00606591" w:rsidRPr="0032547C">
          <w:rPr>
            <w:rStyle w:val="Hyperlink"/>
            <w:rFonts w:ascii="Arial" w:hAnsi="Arial" w:cs="Arial"/>
            <w:noProof/>
            <w:sz w:val="24"/>
            <w:szCs w:val="24"/>
          </w:rPr>
          <w:t>QOL scores comparison (One-way ANOVA)</w:t>
        </w:r>
        <w:r w:rsidR="00100BA1" w:rsidRPr="0032547C">
          <w:rPr>
            <w:rStyle w:val="Hyperlink"/>
            <w:rFonts w:ascii="Arial" w:hAnsi="Arial" w:cs="Arial"/>
            <w:noProof/>
            <w:sz w:val="24"/>
            <w:szCs w:val="24"/>
          </w:rPr>
          <w:t xml:space="preserve"> </w:t>
        </w:r>
        <w:r w:rsidRPr="0032547C">
          <w:rPr>
            <w:rStyle w:val="Hyperlink"/>
            <w:rFonts w:ascii="Arial" w:hAnsi="Arial" w:cs="Arial"/>
            <w:noProof/>
            <w:sz w:val="24"/>
            <w:szCs w:val="24"/>
          </w:rPr>
          <w:t xml:space="preserve">of </w:t>
        </w:r>
        <w:r w:rsidR="00100BA1" w:rsidRPr="0032547C">
          <w:rPr>
            <w:rStyle w:val="Hyperlink"/>
            <w:rFonts w:ascii="Arial" w:hAnsi="Arial" w:cs="Arial"/>
            <w:noProof/>
            <w:sz w:val="24"/>
            <w:szCs w:val="24"/>
          </w:rPr>
          <w:t xml:space="preserve">the </w:t>
        </w:r>
        <w:r w:rsidRPr="0032547C">
          <w:rPr>
            <w:rStyle w:val="Hyperlink"/>
            <w:rFonts w:ascii="Arial" w:hAnsi="Arial" w:cs="Arial"/>
            <w:noProof/>
            <w:sz w:val="24"/>
            <w:szCs w:val="24"/>
          </w:rPr>
          <w:t>ACS (n=180) and CCS (n=86) patients in VIRTU-4</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_Toc196153226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115</w:t>
        </w:r>
        <w:r w:rsidRPr="0032547C">
          <w:rPr>
            <w:rFonts w:ascii="Arial" w:hAnsi="Arial" w:cs="Arial"/>
            <w:noProof/>
            <w:webHidden/>
            <w:sz w:val="24"/>
            <w:szCs w:val="24"/>
          </w:rPr>
          <w:fldChar w:fldCharType="end"/>
        </w:r>
      </w:hyperlink>
    </w:p>
    <w:p w14:paraId="373E01B3" w14:textId="5644FDFB"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27" w:history="1">
        <w:r w:rsidRPr="0032547C">
          <w:rPr>
            <w:rStyle w:val="Hyperlink"/>
            <w:rFonts w:ascii="Arial" w:hAnsi="Arial" w:cs="Arial"/>
            <w:b/>
            <w:bCs/>
            <w:noProof/>
            <w:sz w:val="24"/>
            <w:szCs w:val="24"/>
          </w:rPr>
          <w:t>Figure 35:</w:t>
        </w:r>
        <w:r w:rsidRPr="0032547C">
          <w:rPr>
            <w:rStyle w:val="Hyperlink"/>
            <w:rFonts w:ascii="Arial" w:hAnsi="Arial" w:cs="Arial"/>
            <w:noProof/>
            <w:sz w:val="24"/>
            <w:szCs w:val="24"/>
          </w:rPr>
          <w:t xml:space="preserve"> </w:t>
        </w:r>
        <w:r w:rsidR="00100BA1" w:rsidRPr="0032547C">
          <w:rPr>
            <w:rStyle w:val="Hyperlink"/>
            <w:rFonts w:ascii="Arial" w:hAnsi="Arial" w:cs="Arial"/>
            <w:noProof/>
            <w:sz w:val="24"/>
            <w:szCs w:val="24"/>
          </w:rPr>
          <w:t>Correlation between EQ-VAS and EQ-indexed scores</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_Toc196153227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116</w:t>
        </w:r>
        <w:r w:rsidRPr="0032547C">
          <w:rPr>
            <w:rFonts w:ascii="Arial" w:hAnsi="Arial" w:cs="Arial"/>
            <w:noProof/>
            <w:webHidden/>
            <w:sz w:val="24"/>
            <w:szCs w:val="24"/>
          </w:rPr>
          <w:fldChar w:fldCharType="end"/>
        </w:r>
      </w:hyperlink>
    </w:p>
    <w:p w14:paraId="60D4037F" w14:textId="31043980"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28" w:history="1">
        <w:r w:rsidRPr="0032547C">
          <w:rPr>
            <w:rStyle w:val="Hyperlink"/>
            <w:rFonts w:ascii="Arial" w:hAnsi="Arial" w:cs="Arial"/>
            <w:b/>
            <w:bCs/>
            <w:noProof/>
            <w:sz w:val="24"/>
            <w:szCs w:val="24"/>
          </w:rPr>
          <w:t>Figure 36</w:t>
        </w:r>
        <w:r w:rsidRPr="0032547C">
          <w:rPr>
            <w:rStyle w:val="Hyperlink"/>
            <w:rFonts w:ascii="Arial" w:hAnsi="Arial" w:cs="Arial"/>
            <w:noProof/>
            <w:sz w:val="24"/>
            <w:szCs w:val="24"/>
          </w:rPr>
          <w:t xml:space="preserve">: </w:t>
        </w:r>
        <w:r w:rsidR="00100BA1" w:rsidRPr="0032547C">
          <w:rPr>
            <w:rStyle w:val="Hyperlink"/>
            <w:rFonts w:ascii="Arial" w:hAnsi="Arial" w:cs="Arial"/>
            <w:noProof/>
            <w:sz w:val="24"/>
            <w:szCs w:val="24"/>
          </w:rPr>
          <w:t>QOL scores at one year, after exclusion of the patients with non-cardiac reasons for reduction in QOL</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_Toc196153228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118</w:t>
        </w:r>
        <w:r w:rsidRPr="0032547C">
          <w:rPr>
            <w:rFonts w:ascii="Arial" w:hAnsi="Arial" w:cs="Arial"/>
            <w:noProof/>
            <w:webHidden/>
            <w:sz w:val="24"/>
            <w:szCs w:val="24"/>
          </w:rPr>
          <w:fldChar w:fldCharType="end"/>
        </w:r>
      </w:hyperlink>
    </w:p>
    <w:p w14:paraId="40970650" w14:textId="6ED01D62"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29" w:history="1">
        <w:r w:rsidRPr="0032547C">
          <w:rPr>
            <w:rStyle w:val="Hyperlink"/>
            <w:rFonts w:ascii="Arial" w:hAnsi="Arial" w:cs="Arial"/>
            <w:b/>
            <w:bCs/>
            <w:noProof/>
            <w:sz w:val="24"/>
            <w:szCs w:val="24"/>
          </w:rPr>
          <w:t>Figure 37</w:t>
        </w:r>
        <w:r w:rsidRPr="0032547C">
          <w:rPr>
            <w:rStyle w:val="Hyperlink"/>
            <w:rFonts w:ascii="Arial" w:hAnsi="Arial" w:cs="Arial"/>
            <w:noProof/>
            <w:sz w:val="24"/>
            <w:szCs w:val="24"/>
          </w:rPr>
          <w:t xml:space="preserve">: </w:t>
        </w:r>
        <w:r w:rsidR="00100BA1" w:rsidRPr="0032547C">
          <w:rPr>
            <w:rStyle w:val="Hyperlink"/>
            <w:rFonts w:ascii="Arial" w:hAnsi="Arial" w:cs="Arial"/>
            <w:noProof/>
            <w:sz w:val="24"/>
            <w:szCs w:val="24"/>
          </w:rPr>
          <w:t>QOL</w:t>
        </w:r>
        <w:r w:rsidRPr="0032547C">
          <w:rPr>
            <w:rStyle w:val="Hyperlink"/>
            <w:rFonts w:ascii="Arial" w:hAnsi="Arial" w:cs="Arial"/>
            <w:noProof/>
            <w:sz w:val="24"/>
            <w:szCs w:val="24"/>
          </w:rPr>
          <w:t xml:space="preserve"> scores for the ACS and CCS patients at one year, after exclusion of the patients with non-cardiac reasons for reduction in QOL.</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_Toc196153229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119</w:t>
        </w:r>
        <w:r w:rsidRPr="0032547C">
          <w:rPr>
            <w:rFonts w:ascii="Arial" w:hAnsi="Arial" w:cs="Arial"/>
            <w:noProof/>
            <w:webHidden/>
            <w:sz w:val="24"/>
            <w:szCs w:val="24"/>
          </w:rPr>
          <w:fldChar w:fldCharType="end"/>
        </w:r>
      </w:hyperlink>
    </w:p>
    <w:p w14:paraId="7CDA0978" w14:textId="08C2BCBD"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30" w:history="1">
        <w:r w:rsidRPr="0032547C">
          <w:rPr>
            <w:rStyle w:val="Hyperlink"/>
            <w:rFonts w:ascii="Arial" w:hAnsi="Arial" w:cs="Arial"/>
            <w:b/>
            <w:bCs/>
            <w:noProof/>
            <w:sz w:val="24"/>
            <w:szCs w:val="24"/>
          </w:rPr>
          <w:t>Figure 38</w:t>
        </w:r>
        <w:r w:rsidRPr="0032547C">
          <w:rPr>
            <w:rStyle w:val="Hyperlink"/>
            <w:rFonts w:ascii="Arial" w:hAnsi="Arial" w:cs="Arial"/>
            <w:noProof/>
            <w:sz w:val="24"/>
            <w:szCs w:val="24"/>
          </w:rPr>
          <w:t>:</w:t>
        </w:r>
        <w:r w:rsidR="00100BA1" w:rsidRPr="0032547C">
          <w:rPr>
            <w:rStyle w:val="Hyperlink"/>
            <w:rFonts w:ascii="Arial" w:hAnsi="Arial" w:cs="Arial"/>
            <w:noProof/>
            <w:sz w:val="24"/>
            <w:szCs w:val="24"/>
          </w:rPr>
          <w:t xml:space="preserve"> QOL</w:t>
        </w:r>
        <w:r w:rsidRPr="0032547C">
          <w:rPr>
            <w:rStyle w:val="Hyperlink"/>
            <w:rFonts w:ascii="Arial" w:hAnsi="Arial" w:cs="Arial"/>
            <w:noProof/>
            <w:sz w:val="24"/>
            <w:szCs w:val="24"/>
          </w:rPr>
          <w:t xml:space="preserve"> scores in the ACS patients according to age groups.</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_Toc196153230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120</w:t>
        </w:r>
        <w:r w:rsidRPr="0032547C">
          <w:rPr>
            <w:rFonts w:ascii="Arial" w:hAnsi="Arial" w:cs="Arial"/>
            <w:noProof/>
            <w:webHidden/>
            <w:sz w:val="24"/>
            <w:szCs w:val="24"/>
          </w:rPr>
          <w:fldChar w:fldCharType="end"/>
        </w:r>
      </w:hyperlink>
    </w:p>
    <w:p w14:paraId="53AA3BB3" w14:textId="42BD2314"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31" w:history="1">
        <w:r w:rsidRPr="0032547C">
          <w:rPr>
            <w:rStyle w:val="Hyperlink"/>
            <w:rFonts w:ascii="Arial" w:hAnsi="Arial" w:cs="Arial"/>
            <w:b/>
            <w:bCs/>
            <w:noProof/>
            <w:sz w:val="24"/>
            <w:szCs w:val="24"/>
          </w:rPr>
          <w:t>Figure 39</w:t>
        </w:r>
        <w:r w:rsidRPr="0032547C">
          <w:rPr>
            <w:rStyle w:val="Hyperlink"/>
            <w:rFonts w:ascii="Arial" w:hAnsi="Arial" w:cs="Arial"/>
            <w:noProof/>
            <w:sz w:val="24"/>
            <w:szCs w:val="24"/>
          </w:rPr>
          <w:t xml:space="preserve">: </w:t>
        </w:r>
        <w:r w:rsidR="00100BA1" w:rsidRPr="0032547C">
          <w:rPr>
            <w:rStyle w:val="Hyperlink"/>
            <w:rFonts w:ascii="Arial" w:hAnsi="Arial" w:cs="Arial"/>
            <w:noProof/>
            <w:sz w:val="24"/>
            <w:szCs w:val="24"/>
          </w:rPr>
          <w:t>QOL</w:t>
        </w:r>
        <w:r w:rsidR="005A69DB">
          <w:rPr>
            <w:rStyle w:val="Hyperlink"/>
            <w:rFonts w:ascii="Arial" w:hAnsi="Arial" w:cs="Arial"/>
            <w:noProof/>
            <w:sz w:val="24"/>
            <w:szCs w:val="24"/>
          </w:rPr>
          <w:t xml:space="preserve"> </w:t>
        </w:r>
        <w:r w:rsidR="00100BA1" w:rsidRPr="0032547C">
          <w:rPr>
            <w:rStyle w:val="Hyperlink"/>
            <w:rFonts w:ascii="Arial" w:hAnsi="Arial" w:cs="Arial"/>
            <w:noProof/>
            <w:sz w:val="24"/>
            <w:szCs w:val="24"/>
          </w:rPr>
          <w:t>scores</w:t>
        </w:r>
        <w:r w:rsidRPr="0032547C">
          <w:rPr>
            <w:rStyle w:val="Hyperlink"/>
            <w:rFonts w:ascii="Arial" w:hAnsi="Arial" w:cs="Arial"/>
            <w:noProof/>
            <w:sz w:val="24"/>
            <w:szCs w:val="24"/>
          </w:rPr>
          <w:t xml:space="preserve"> in the CCS patients according to age groups.</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_Toc196153231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121</w:t>
        </w:r>
        <w:r w:rsidRPr="0032547C">
          <w:rPr>
            <w:rFonts w:ascii="Arial" w:hAnsi="Arial" w:cs="Arial"/>
            <w:noProof/>
            <w:webHidden/>
            <w:sz w:val="24"/>
            <w:szCs w:val="24"/>
          </w:rPr>
          <w:fldChar w:fldCharType="end"/>
        </w:r>
      </w:hyperlink>
    </w:p>
    <w:p w14:paraId="44C12CA6" w14:textId="656E22D1"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32" w:history="1">
        <w:r w:rsidRPr="0032547C">
          <w:rPr>
            <w:rStyle w:val="Hyperlink"/>
            <w:rFonts w:ascii="Arial" w:hAnsi="Arial" w:cs="Arial"/>
            <w:b/>
            <w:bCs/>
            <w:noProof/>
            <w:sz w:val="24"/>
            <w:szCs w:val="24"/>
          </w:rPr>
          <w:t>Figure 40</w:t>
        </w:r>
        <w:r w:rsidRPr="0032547C">
          <w:rPr>
            <w:rStyle w:val="Hyperlink"/>
            <w:rFonts w:ascii="Arial" w:hAnsi="Arial" w:cs="Arial"/>
            <w:noProof/>
            <w:sz w:val="24"/>
            <w:szCs w:val="24"/>
          </w:rPr>
          <w:t xml:space="preserve">: </w:t>
        </w:r>
        <w:r w:rsidR="00100BA1" w:rsidRPr="0032547C">
          <w:rPr>
            <w:rStyle w:val="Hyperlink"/>
            <w:rFonts w:ascii="Arial" w:hAnsi="Arial" w:cs="Arial"/>
            <w:noProof/>
            <w:sz w:val="24"/>
            <w:szCs w:val="24"/>
          </w:rPr>
          <w:t>QOL scores (medical thera</w:t>
        </w:r>
        <w:r w:rsidR="00BA71BC">
          <w:rPr>
            <w:rStyle w:val="Hyperlink"/>
            <w:rFonts w:ascii="Arial" w:hAnsi="Arial" w:cs="Arial"/>
            <w:noProof/>
            <w:sz w:val="24"/>
            <w:szCs w:val="24"/>
          </w:rPr>
          <w:t>p</w:t>
        </w:r>
        <w:r w:rsidR="00100BA1" w:rsidRPr="0032547C">
          <w:rPr>
            <w:rStyle w:val="Hyperlink"/>
            <w:rFonts w:ascii="Arial" w:hAnsi="Arial" w:cs="Arial"/>
            <w:noProof/>
            <w:sz w:val="24"/>
            <w:szCs w:val="24"/>
          </w:rPr>
          <w:t>y vs invasive therapy) in ACS patients</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_Toc196153232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122</w:t>
        </w:r>
        <w:r w:rsidRPr="0032547C">
          <w:rPr>
            <w:rFonts w:ascii="Arial" w:hAnsi="Arial" w:cs="Arial"/>
            <w:noProof/>
            <w:webHidden/>
            <w:sz w:val="24"/>
            <w:szCs w:val="24"/>
          </w:rPr>
          <w:fldChar w:fldCharType="end"/>
        </w:r>
      </w:hyperlink>
    </w:p>
    <w:p w14:paraId="41DAC85A" w14:textId="6363F48B"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33" w:history="1">
        <w:r w:rsidRPr="0032547C">
          <w:rPr>
            <w:rStyle w:val="Hyperlink"/>
            <w:rFonts w:ascii="Arial" w:hAnsi="Arial" w:cs="Arial"/>
            <w:b/>
            <w:bCs/>
            <w:noProof/>
            <w:sz w:val="24"/>
            <w:szCs w:val="24"/>
          </w:rPr>
          <w:t>Figure 41</w:t>
        </w:r>
        <w:r w:rsidRPr="0032547C">
          <w:rPr>
            <w:rStyle w:val="Hyperlink"/>
            <w:rFonts w:ascii="Arial" w:hAnsi="Arial" w:cs="Arial"/>
            <w:noProof/>
            <w:sz w:val="24"/>
            <w:szCs w:val="24"/>
          </w:rPr>
          <w:t xml:space="preserve">: </w:t>
        </w:r>
        <w:r w:rsidR="00100BA1" w:rsidRPr="0032547C">
          <w:rPr>
            <w:rStyle w:val="Hyperlink"/>
            <w:rFonts w:ascii="Arial" w:hAnsi="Arial" w:cs="Arial"/>
            <w:noProof/>
            <w:sz w:val="24"/>
            <w:szCs w:val="24"/>
          </w:rPr>
          <w:t>QOL scores (medical ther</w:t>
        </w:r>
        <w:r w:rsidR="00BA71BC">
          <w:rPr>
            <w:rStyle w:val="Hyperlink"/>
            <w:rFonts w:ascii="Arial" w:hAnsi="Arial" w:cs="Arial"/>
            <w:noProof/>
            <w:sz w:val="24"/>
            <w:szCs w:val="24"/>
          </w:rPr>
          <w:t>a</w:t>
        </w:r>
        <w:r w:rsidR="00100BA1" w:rsidRPr="0032547C">
          <w:rPr>
            <w:rStyle w:val="Hyperlink"/>
            <w:rFonts w:ascii="Arial" w:hAnsi="Arial" w:cs="Arial"/>
            <w:noProof/>
            <w:sz w:val="24"/>
            <w:szCs w:val="24"/>
          </w:rPr>
          <w:t>py vs invasive therapy) in CCS patients</w:t>
        </w:r>
        <w:r w:rsidRPr="0032547C">
          <w:rPr>
            <w:rStyle w:val="Hyperlink"/>
            <w:rFonts w:ascii="Arial" w:hAnsi="Arial" w:cs="Arial"/>
            <w:noProof/>
            <w:sz w:val="24"/>
            <w:szCs w:val="24"/>
          </w:rPr>
          <w: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_Toc196153233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123</w:t>
        </w:r>
        <w:r w:rsidRPr="0032547C">
          <w:rPr>
            <w:rFonts w:ascii="Arial" w:hAnsi="Arial" w:cs="Arial"/>
            <w:noProof/>
            <w:webHidden/>
            <w:sz w:val="24"/>
            <w:szCs w:val="24"/>
          </w:rPr>
          <w:fldChar w:fldCharType="end"/>
        </w:r>
      </w:hyperlink>
    </w:p>
    <w:p w14:paraId="0144FBB1" w14:textId="3B8D03DD"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34" w:history="1">
        <w:r w:rsidRPr="0032547C">
          <w:rPr>
            <w:rStyle w:val="Hyperlink"/>
            <w:rFonts w:ascii="Arial" w:hAnsi="Arial" w:cs="Arial"/>
            <w:b/>
            <w:bCs/>
            <w:noProof/>
            <w:sz w:val="24"/>
            <w:szCs w:val="24"/>
          </w:rPr>
          <w:t>Figure 42</w:t>
        </w:r>
        <w:r w:rsidRPr="0032547C">
          <w:rPr>
            <w:rStyle w:val="Hyperlink"/>
            <w:rFonts w:ascii="Arial" w:hAnsi="Arial" w:cs="Arial"/>
            <w:noProof/>
            <w:sz w:val="24"/>
            <w:szCs w:val="24"/>
          </w:rPr>
          <w:t xml:space="preserve">: </w:t>
        </w:r>
        <w:r w:rsidR="00100BA1" w:rsidRPr="0032547C">
          <w:rPr>
            <w:rStyle w:val="Hyperlink"/>
            <w:rFonts w:ascii="Arial" w:hAnsi="Arial" w:cs="Arial"/>
            <w:noProof/>
            <w:sz w:val="24"/>
            <w:szCs w:val="24"/>
          </w:rPr>
          <w:t>QOL scores comparison (men vs women)</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_Toc196153234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124</w:t>
        </w:r>
        <w:r w:rsidRPr="0032547C">
          <w:rPr>
            <w:rFonts w:ascii="Arial" w:hAnsi="Arial" w:cs="Arial"/>
            <w:noProof/>
            <w:webHidden/>
            <w:sz w:val="24"/>
            <w:szCs w:val="24"/>
          </w:rPr>
          <w:fldChar w:fldCharType="end"/>
        </w:r>
      </w:hyperlink>
    </w:p>
    <w:p w14:paraId="4E78645B" w14:textId="1B6393EB"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35" w:history="1">
        <w:r w:rsidRPr="0032547C">
          <w:rPr>
            <w:rStyle w:val="Hyperlink"/>
            <w:rFonts w:ascii="Arial" w:hAnsi="Arial" w:cs="Arial"/>
            <w:b/>
            <w:bCs/>
            <w:noProof/>
            <w:sz w:val="24"/>
            <w:szCs w:val="24"/>
          </w:rPr>
          <w:t>Figure 43</w:t>
        </w:r>
        <w:r w:rsidRPr="0032547C">
          <w:rPr>
            <w:rStyle w:val="Hyperlink"/>
            <w:rFonts w:ascii="Arial" w:hAnsi="Arial" w:cs="Arial"/>
            <w:noProof/>
            <w:sz w:val="24"/>
            <w:szCs w:val="24"/>
          </w:rPr>
          <w:t xml:space="preserve">: </w:t>
        </w:r>
        <w:r w:rsidR="00100BA1" w:rsidRPr="0032547C">
          <w:rPr>
            <w:rStyle w:val="Hyperlink"/>
            <w:rFonts w:ascii="Arial" w:hAnsi="Arial" w:cs="Arial"/>
            <w:noProof/>
            <w:sz w:val="24"/>
            <w:szCs w:val="24"/>
          </w:rPr>
          <w:t>QOL scores comparison (diabetics vs non-diabetics)</w:t>
        </w:r>
        <w:r w:rsidRPr="0032547C">
          <w:rPr>
            <w:rStyle w:val="Hyperlink"/>
            <w:rFonts w:ascii="Arial" w:hAnsi="Arial" w:cs="Arial"/>
            <w:noProof/>
            <w:sz w:val="24"/>
            <w:szCs w:val="24"/>
          </w:rPr>
          <w: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_Toc196153235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125</w:t>
        </w:r>
        <w:r w:rsidRPr="0032547C">
          <w:rPr>
            <w:rFonts w:ascii="Arial" w:hAnsi="Arial" w:cs="Arial"/>
            <w:noProof/>
            <w:webHidden/>
            <w:sz w:val="24"/>
            <w:szCs w:val="24"/>
          </w:rPr>
          <w:fldChar w:fldCharType="end"/>
        </w:r>
      </w:hyperlink>
    </w:p>
    <w:p w14:paraId="7BAED398" w14:textId="0E1A0BAF"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36" w:history="1">
        <w:r w:rsidRPr="0032547C">
          <w:rPr>
            <w:rStyle w:val="Hyperlink"/>
            <w:rFonts w:ascii="Arial" w:hAnsi="Arial" w:cs="Arial"/>
            <w:b/>
            <w:bCs/>
            <w:noProof/>
            <w:sz w:val="24"/>
            <w:szCs w:val="24"/>
          </w:rPr>
          <w:t>Figure 44</w:t>
        </w:r>
        <w:r w:rsidRPr="0032547C">
          <w:rPr>
            <w:rStyle w:val="Hyperlink"/>
            <w:rFonts w:ascii="Arial" w:hAnsi="Arial" w:cs="Arial"/>
            <w:noProof/>
            <w:sz w:val="24"/>
            <w:szCs w:val="24"/>
          </w:rPr>
          <w:t xml:space="preserve">: </w:t>
        </w:r>
        <w:r w:rsidR="00100BA1" w:rsidRPr="0032547C">
          <w:rPr>
            <w:rStyle w:val="Hyperlink"/>
            <w:rFonts w:ascii="Arial" w:hAnsi="Arial" w:cs="Arial"/>
            <w:noProof/>
            <w:sz w:val="24"/>
            <w:szCs w:val="24"/>
          </w:rPr>
          <w:t>Total healthcare costs of patients in VIRTU-4 HE at one year segregated according to the management plans (OMT, PCI and CABG)</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_Toc196153236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127</w:t>
        </w:r>
        <w:r w:rsidRPr="0032547C">
          <w:rPr>
            <w:rFonts w:ascii="Arial" w:hAnsi="Arial" w:cs="Arial"/>
            <w:noProof/>
            <w:webHidden/>
            <w:sz w:val="24"/>
            <w:szCs w:val="24"/>
          </w:rPr>
          <w:fldChar w:fldCharType="end"/>
        </w:r>
      </w:hyperlink>
    </w:p>
    <w:p w14:paraId="7CF86008" w14:textId="0F43174E"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37" w:history="1">
        <w:r w:rsidRPr="0032547C">
          <w:rPr>
            <w:rStyle w:val="Hyperlink"/>
            <w:rFonts w:ascii="Arial" w:hAnsi="Arial" w:cs="Arial"/>
            <w:b/>
            <w:bCs/>
            <w:noProof/>
            <w:sz w:val="24"/>
            <w:szCs w:val="24"/>
          </w:rPr>
          <w:t>Figure 45</w:t>
        </w:r>
        <w:r w:rsidRPr="0032547C">
          <w:rPr>
            <w:rStyle w:val="Hyperlink"/>
            <w:rFonts w:ascii="Arial" w:hAnsi="Arial" w:cs="Arial"/>
            <w:noProof/>
            <w:sz w:val="24"/>
            <w:szCs w:val="24"/>
          </w:rPr>
          <w:t>: Mean cost per patient in VIRTU-4 according to the management plans (OMT, PCI, and CABG)</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_Toc196153237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128</w:t>
        </w:r>
        <w:r w:rsidRPr="0032547C">
          <w:rPr>
            <w:rFonts w:ascii="Arial" w:hAnsi="Arial" w:cs="Arial"/>
            <w:noProof/>
            <w:webHidden/>
            <w:sz w:val="24"/>
            <w:szCs w:val="24"/>
          </w:rPr>
          <w:fldChar w:fldCharType="end"/>
        </w:r>
      </w:hyperlink>
    </w:p>
    <w:p w14:paraId="5F890FCF" w14:textId="449F1125"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38" w:history="1">
        <w:r w:rsidRPr="0032547C">
          <w:rPr>
            <w:rStyle w:val="Hyperlink"/>
            <w:rFonts w:ascii="Arial" w:hAnsi="Arial" w:cs="Arial"/>
            <w:b/>
            <w:bCs/>
            <w:noProof/>
            <w:sz w:val="24"/>
            <w:szCs w:val="24"/>
          </w:rPr>
          <w:t>Figure 46</w:t>
        </w:r>
        <w:r w:rsidRPr="0032547C">
          <w:rPr>
            <w:rStyle w:val="Hyperlink"/>
            <w:rFonts w:ascii="Arial" w:hAnsi="Arial" w:cs="Arial"/>
            <w:noProof/>
            <w:sz w:val="24"/>
            <w:szCs w:val="24"/>
          </w:rPr>
          <w:t xml:space="preserve">: Summary of total resources used </w:t>
        </w:r>
        <w:r w:rsidR="00100BA1" w:rsidRPr="0032547C">
          <w:rPr>
            <w:rStyle w:val="Hyperlink"/>
            <w:rFonts w:ascii="Arial" w:hAnsi="Arial" w:cs="Arial"/>
            <w:noProof/>
            <w:sz w:val="24"/>
            <w:szCs w:val="24"/>
          </w:rPr>
          <w:t>post-</w:t>
        </w:r>
        <w:r w:rsidRPr="0032547C">
          <w:rPr>
            <w:rStyle w:val="Hyperlink"/>
            <w:rFonts w:ascii="Arial" w:hAnsi="Arial" w:cs="Arial"/>
            <w:noProof/>
            <w:sz w:val="24"/>
            <w:szCs w:val="24"/>
          </w:rPr>
          <w:t>index procedure at one-</w:t>
        </w:r>
        <w:r w:rsidR="00100BA1" w:rsidRPr="0032547C">
          <w:rPr>
            <w:rStyle w:val="Hyperlink"/>
            <w:rFonts w:ascii="Arial" w:hAnsi="Arial" w:cs="Arial"/>
            <w:noProof/>
            <w:sz w:val="24"/>
            <w:szCs w:val="24"/>
          </w:rPr>
          <w:t>year</w:t>
        </w:r>
        <w:r w:rsidRPr="0032547C">
          <w:rPr>
            <w:rStyle w:val="Hyperlink"/>
            <w:rFonts w:ascii="Arial" w:hAnsi="Arial" w:cs="Arial"/>
            <w:noProof/>
            <w:sz w:val="24"/>
            <w:szCs w:val="24"/>
          </w:rPr>
          <w: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_Toc196153238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129</w:t>
        </w:r>
        <w:r w:rsidRPr="0032547C">
          <w:rPr>
            <w:rFonts w:ascii="Arial" w:hAnsi="Arial" w:cs="Arial"/>
            <w:noProof/>
            <w:webHidden/>
            <w:sz w:val="24"/>
            <w:szCs w:val="24"/>
          </w:rPr>
          <w:fldChar w:fldCharType="end"/>
        </w:r>
      </w:hyperlink>
    </w:p>
    <w:p w14:paraId="2830709C" w14:textId="02347730"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39" w:history="1">
        <w:r w:rsidRPr="0032547C">
          <w:rPr>
            <w:rStyle w:val="Hyperlink"/>
            <w:rFonts w:ascii="Arial" w:hAnsi="Arial" w:cs="Arial"/>
            <w:b/>
            <w:bCs/>
            <w:noProof/>
            <w:sz w:val="24"/>
            <w:szCs w:val="24"/>
          </w:rPr>
          <w:t>Figure 47</w:t>
        </w:r>
        <w:r w:rsidRPr="0032547C">
          <w:rPr>
            <w:rStyle w:val="Hyperlink"/>
            <w:rFonts w:ascii="Arial" w:hAnsi="Arial" w:cs="Arial"/>
            <w:noProof/>
            <w:sz w:val="24"/>
            <w:szCs w:val="24"/>
          </w:rPr>
          <w:t xml:space="preserve">: </w:t>
        </w:r>
        <w:r w:rsidR="00100BA1" w:rsidRPr="0032547C">
          <w:rPr>
            <w:rStyle w:val="Hyperlink"/>
            <w:rFonts w:ascii="Arial" w:hAnsi="Arial" w:cs="Arial"/>
            <w:noProof/>
            <w:sz w:val="24"/>
            <w:szCs w:val="24"/>
          </w:rPr>
          <w:t>Averaged cost of resources used per patient at one-year</w:t>
        </w:r>
        <w:r w:rsidRPr="0032547C">
          <w:rPr>
            <w:rStyle w:val="Hyperlink"/>
            <w:rFonts w:ascii="Arial" w:hAnsi="Arial" w:cs="Arial"/>
            <w:noProof/>
            <w:sz w:val="24"/>
            <w:szCs w:val="24"/>
          </w:rPr>
          <w: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_Toc196153239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129</w:t>
        </w:r>
        <w:r w:rsidRPr="0032547C">
          <w:rPr>
            <w:rFonts w:ascii="Arial" w:hAnsi="Arial" w:cs="Arial"/>
            <w:noProof/>
            <w:webHidden/>
            <w:sz w:val="24"/>
            <w:szCs w:val="24"/>
          </w:rPr>
          <w:fldChar w:fldCharType="end"/>
        </w:r>
      </w:hyperlink>
    </w:p>
    <w:p w14:paraId="655CE68A" w14:textId="76E7087B"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40" w:history="1">
        <w:r w:rsidRPr="0032547C">
          <w:rPr>
            <w:rStyle w:val="Hyperlink"/>
            <w:rFonts w:ascii="Arial" w:hAnsi="Arial" w:cs="Arial"/>
            <w:b/>
            <w:bCs/>
            <w:noProof/>
            <w:sz w:val="24"/>
            <w:szCs w:val="24"/>
          </w:rPr>
          <w:t>Figure 48:</w:t>
        </w:r>
        <w:r w:rsidRPr="0032547C">
          <w:rPr>
            <w:rStyle w:val="Hyperlink"/>
            <w:rFonts w:ascii="Arial" w:hAnsi="Arial" w:cs="Arial"/>
            <w:noProof/>
            <w:sz w:val="24"/>
            <w:szCs w:val="24"/>
          </w:rPr>
          <w:t xml:space="preserve"> </w:t>
        </w:r>
        <w:r w:rsidR="00AC6128" w:rsidRPr="0032547C">
          <w:rPr>
            <w:rStyle w:val="Hyperlink"/>
            <w:rFonts w:ascii="Arial" w:hAnsi="Arial" w:cs="Arial"/>
            <w:noProof/>
            <w:sz w:val="24"/>
            <w:szCs w:val="24"/>
          </w:rPr>
          <w:t>Virtual change in the management plans for the virtual change subset patients according to the parent cardiologists</w:t>
        </w:r>
        <w:r w:rsidRPr="0032547C">
          <w:rPr>
            <w:rStyle w:val="Hyperlink"/>
            <w:rFonts w:ascii="Arial" w:hAnsi="Arial" w:cs="Arial"/>
            <w:noProof/>
            <w:sz w:val="24"/>
            <w:szCs w:val="24"/>
          </w:rPr>
          <w: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_Toc196153240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130</w:t>
        </w:r>
        <w:r w:rsidRPr="0032547C">
          <w:rPr>
            <w:rFonts w:ascii="Arial" w:hAnsi="Arial" w:cs="Arial"/>
            <w:noProof/>
            <w:webHidden/>
            <w:sz w:val="24"/>
            <w:szCs w:val="24"/>
          </w:rPr>
          <w:fldChar w:fldCharType="end"/>
        </w:r>
      </w:hyperlink>
    </w:p>
    <w:p w14:paraId="38051C1E" w14:textId="4880FC44"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41" w:history="1">
        <w:r w:rsidRPr="0032547C">
          <w:rPr>
            <w:rStyle w:val="Hyperlink"/>
            <w:rFonts w:ascii="Arial" w:hAnsi="Arial" w:cs="Arial"/>
            <w:b/>
            <w:bCs/>
            <w:noProof/>
            <w:sz w:val="24"/>
            <w:szCs w:val="24"/>
          </w:rPr>
          <w:t>Figure 49</w:t>
        </w:r>
        <w:r w:rsidRPr="0032547C">
          <w:rPr>
            <w:rStyle w:val="Hyperlink"/>
            <w:rFonts w:ascii="Arial" w:hAnsi="Arial" w:cs="Arial"/>
            <w:noProof/>
            <w:sz w:val="24"/>
            <w:szCs w:val="24"/>
          </w:rPr>
          <w:t xml:space="preserve">: </w:t>
        </w:r>
        <w:r w:rsidR="00AC6128" w:rsidRPr="0032547C">
          <w:rPr>
            <w:rStyle w:val="Hyperlink"/>
            <w:rFonts w:ascii="Arial" w:hAnsi="Arial" w:cs="Arial"/>
            <w:noProof/>
            <w:sz w:val="24"/>
            <w:szCs w:val="24"/>
          </w:rPr>
          <w:t>Pre-vFFR-management plans concordance between parent cardiologists and expert MDTs within the virtual change subset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_Toc196153241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131</w:t>
        </w:r>
        <w:r w:rsidRPr="0032547C">
          <w:rPr>
            <w:rFonts w:ascii="Arial" w:hAnsi="Arial" w:cs="Arial"/>
            <w:noProof/>
            <w:webHidden/>
            <w:sz w:val="24"/>
            <w:szCs w:val="24"/>
          </w:rPr>
          <w:fldChar w:fldCharType="end"/>
        </w:r>
      </w:hyperlink>
    </w:p>
    <w:p w14:paraId="37147886" w14:textId="0E924B26"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42" w:history="1">
        <w:r w:rsidRPr="0032547C">
          <w:rPr>
            <w:rStyle w:val="Hyperlink"/>
            <w:rFonts w:ascii="Arial" w:hAnsi="Arial" w:cs="Arial"/>
            <w:b/>
            <w:bCs/>
            <w:noProof/>
            <w:sz w:val="24"/>
            <w:szCs w:val="24"/>
          </w:rPr>
          <w:t>Figure 50:</w:t>
        </w:r>
        <w:r w:rsidRPr="0032547C">
          <w:rPr>
            <w:rStyle w:val="Hyperlink"/>
            <w:rFonts w:ascii="Arial" w:hAnsi="Arial" w:cs="Arial"/>
            <w:noProof/>
            <w:sz w:val="24"/>
            <w:szCs w:val="24"/>
          </w:rPr>
          <w:t xml:space="preserve"> </w:t>
        </w:r>
        <w:r w:rsidR="00AC6128" w:rsidRPr="0032547C">
          <w:rPr>
            <w:rStyle w:val="Hyperlink"/>
            <w:rFonts w:ascii="Arial" w:hAnsi="Arial" w:cs="Arial"/>
            <w:noProof/>
            <w:sz w:val="24"/>
            <w:szCs w:val="24"/>
          </w:rPr>
          <w:t>Post-vFFR-management plans concordance between parent cardiologists and expert MDTs within the virtual change subset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_Toc196153242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132</w:t>
        </w:r>
        <w:r w:rsidRPr="0032547C">
          <w:rPr>
            <w:rFonts w:ascii="Arial" w:hAnsi="Arial" w:cs="Arial"/>
            <w:noProof/>
            <w:webHidden/>
            <w:sz w:val="24"/>
            <w:szCs w:val="24"/>
          </w:rPr>
          <w:fldChar w:fldCharType="end"/>
        </w:r>
      </w:hyperlink>
    </w:p>
    <w:p w14:paraId="27608D6A" w14:textId="257CFC42"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43" w:history="1">
        <w:r w:rsidRPr="0032547C">
          <w:rPr>
            <w:rStyle w:val="Hyperlink"/>
            <w:rFonts w:ascii="Arial" w:hAnsi="Arial" w:cs="Arial"/>
            <w:b/>
            <w:bCs/>
            <w:noProof/>
            <w:sz w:val="24"/>
            <w:szCs w:val="24"/>
          </w:rPr>
          <w:t>Figure 51:</w:t>
        </w:r>
        <w:r w:rsidRPr="0032547C">
          <w:rPr>
            <w:rStyle w:val="Hyperlink"/>
            <w:rFonts w:ascii="Arial" w:hAnsi="Arial" w:cs="Arial"/>
            <w:noProof/>
            <w:sz w:val="24"/>
            <w:szCs w:val="24"/>
          </w:rPr>
          <w:t xml:space="preserve"> One-way ANOVA analysis of </w:t>
        </w:r>
        <w:r w:rsidR="00AC6128" w:rsidRPr="0032547C">
          <w:rPr>
            <w:rStyle w:val="Hyperlink"/>
            <w:rFonts w:ascii="Arial" w:hAnsi="Arial" w:cs="Arial"/>
            <w:noProof/>
            <w:sz w:val="24"/>
            <w:szCs w:val="24"/>
          </w:rPr>
          <w:t>QOL</w:t>
        </w:r>
        <w:r w:rsidRPr="0032547C">
          <w:rPr>
            <w:rStyle w:val="Hyperlink"/>
            <w:rFonts w:ascii="Arial" w:hAnsi="Arial" w:cs="Arial"/>
            <w:noProof/>
            <w:sz w:val="24"/>
            <w:szCs w:val="24"/>
          </w:rPr>
          <w:t xml:space="preserve"> scores of ACS (n=39) and CCS (n=26) patients from the virtual change subset of VIRTU-4.</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_Toc196153243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134</w:t>
        </w:r>
        <w:r w:rsidRPr="0032547C">
          <w:rPr>
            <w:rFonts w:ascii="Arial" w:hAnsi="Arial" w:cs="Arial"/>
            <w:noProof/>
            <w:webHidden/>
            <w:sz w:val="24"/>
            <w:szCs w:val="24"/>
          </w:rPr>
          <w:fldChar w:fldCharType="end"/>
        </w:r>
      </w:hyperlink>
    </w:p>
    <w:p w14:paraId="3E1DE217" w14:textId="590D4DCA"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44" w:history="1">
        <w:r w:rsidRPr="0032547C">
          <w:rPr>
            <w:rStyle w:val="Hyperlink"/>
            <w:rFonts w:ascii="Arial" w:hAnsi="Arial" w:cs="Arial"/>
            <w:b/>
            <w:bCs/>
            <w:noProof/>
            <w:sz w:val="24"/>
            <w:szCs w:val="24"/>
          </w:rPr>
          <w:t>Figure 52</w:t>
        </w:r>
        <w:r w:rsidRPr="0032547C">
          <w:rPr>
            <w:rStyle w:val="Hyperlink"/>
            <w:rFonts w:ascii="Arial" w:hAnsi="Arial" w:cs="Arial"/>
            <w:noProof/>
            <w:sz w:val="24"/>
            <w:szCs w:val="24"/>
          </w:rPr>
          <w:t xml:space="preserve">: </w:t>
        </w:r>
        <w:r w:rsidR="00AC6128" w:rsidRPr="0032547C">
          <w:rPr>
            <w:rStyle w:val="Hyperlink"/>
            <w:rFonts w:ascii="Arial" w:hAnsi="Arial" w:cs="Arial"/>
            <w:noProof/>
            <w:sz w:val="24"/>
            <w:szCs w:val="24"/>
          </w:rPr>
          <w:t>Interval change in the "actual" and post-vFFR "virtual" QOL scores at one year within the virtual change subset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_Toc196153244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135</w:t>
        </w:r>
        <w:r w:rsidRPr="0032547C">
          <w:rPr>
            <w:rFonts w:ascii="Arial" w:hAnsi="Arial" w:cs="Arial"/>
            <w:noProof/>
            <w:webHidden/>
            <w:sz w:val="24"/>
            <w:szCs w:val="24"/>
          </w:rPr>
          <w:fldChar w:fldCharType="end"/>
        </w:r>
      </w:hyperlink>
    </w:p>
    <w:p w14:paraId="1B776A3E" w14:textId="6D21E2D5"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45" w:history="1">
        <w:r w:rsidRPr="0032547C">
          <w:rPr>
            <w:rStyle w:val="Hyperlink"/>
            <w:rFonts w:ascii="Arial" w:hAnsi="Arial" w:cs="Arial"/>
            <w:b/>
            <w:bCs/>
            <w:noProof/>
            <w:sz w:val="24"/>
            <w:szCs w:val="24"/>
          </w:rPr>
          <w:t>Figure 53</w:t>
        </w:r>
        <w:r w:rsidRPr="0032547C">
          <w:rPr>
            <w:rStyle w:val="Hyperlink"/>
            <w:rFonts w:ascii="Arial" w:hAnsi="Arial" w:cs="Arial"/>
            <w:noProof/>
            <w:sz w:val="24"/>
            <w:szCs w:val="24"/>
          </w:rPr>
          <w:t xml:space="preserve">: </w:t>
        </w:r>
        <w:r w:rsidR="00AC6128" w:rsidRPr="0032547C">
          <w:rPr>
            <w:rStyle w:val="Hyperlink"/>
            <w:rFonts w:ascii="Arial" w:hAnsi="Arial" w:cs="Arial"/>
            <w:noProof/>
            <w:sz w:val="24"/>
            <w:szCs w:val="24"/>
          </w:rPr>
          <w:t>Interval change in the "actual" and post-vFFR "virtual" EQ-VAS scores at one year within the virtual change subset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_Toc196153245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136</w:t>
        </w:r>
        <w:r w:rsidRPr="0032547C">
          <w:rPr>
            <w:rFonts w:ascii="Arial" w:hAnsi="Arial" w:cs="Arial"/>
            <w:noProof/>
            <w:webHidden/>
            <w:sz w:val="24"/>
            <w:szCs w:val="24"/>
          </w:rPr>
          <w:fldChar w:fldCharType="end"/>
        </w:r>
      </w:hyperlink>
    </w:p>
    <w:p w14:paraId="4F3396DA" w14:textId="3A513FA6"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46" w:history="1">
        <w:r w:rsidRPr="0032547C">
          <w:rPr>
            <w:rStyle w:val="Hyperlink"/>
            <w:rFonts w:ascii="Arial" w:hAnsi="Arial" w:cs="Arial"/>
            <w:b/>
            <w:bCs/>
            <w:noProof/>
            <w:sz w:val="24"/>
            <w:szCs w:val="24"/>
          </w:rPr>
          <w:t>Figure 54</w:t>
        </w:r>
        <w:r w:rsidRPr="0032547C">
          <w:rPr>
            <w:rStyle w:val="Hyperlink"/>
            <w:rFonts w:ascii="Arial" w:hAnsi="Arial" w:cs="Arial"/>
            <w:noProof/>
            <w:sz w:val="24"/>
            <w:szCs w:val="24"/>
          </w:rPr>
          <w:t xml:space="preserve">: </w:t>
        </w:r>
        <w:r w:rsidR="00AC6128" w:rsidRPr="0032547C">
          <w:rPr>
            <w:rStyle w:val="Hyperlink"/>
            <w:rFonts w:ascii="Arial" w:hAnsi="Arial" w:cs="Arial"/>
            <w:noProof/>
            <w:sz w:val="24"/>
            <w:szCs w:val="24"/>
          </w:rPr>
          <w:t>Interval change in the "actual" and post-vFFR "virtual" EQ-indexed scores at one year within the virtual change subset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_Toc196153246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137</w:t>
        </w:r>
        <w:r w:rsidRPr="0032547C">
          <w:rPr>
            <w:rFonts w:ascii="Arial" w:hAnsi="Arial" w:cs="Arial"/>
            <w:noProof/>
            <w:webHidden/>
            <w:sz w:val="24"/>
            <w:szCs w:val="24"/>
          </w:rPr>
          <w:fldChar w:fldCharType="end"/>
        </w:r>
      </w:hyperlink>
    </w:p>
    <w:p w14:paraId="092F0A3B" w14:textId="3D915424"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47" w:history="1">
        <w:r w:rsidRPr="0032547C">
          <w:rPr>
            <w:rStyle w:val="Hyperlink"/>
            <w:rFonts w:ascii="Arial" w:hAnsi="Arial" w:cs="Arial"/>
            <w:b/>
            <w:bCs/>
            <w:noProof/>
            <w:sz w:val="24"/>
            <w:szCs w:val="24"/>
          </w:rPr>
          <w:t>Figure 55:</w:t>
        </w:r>
        <w:r w:rsidRPr="0032547C">
          <w:rPr>
            <w:rStyle w:val="Hyperlink"/>
            <w:rFonts w:ascii="Arial" w:hAnsi="Arial" w:cs="Arial"/>
            <w:noProof/>
            <w:sz w:val="24"/>
            <w:szCs w:val="24"/>
          </w:rPr>
          <w:t xml:space="preserve"> </w:t>
        </w:r>
        <w:r w:rsidR="00AC6128" w:rsidRPr="0032547C">
          <w:rPr>
            <w:rStyle w:val="Hyperlink"/>
            <w:rFonts w:ascii="Arial" w:hAnsi="Arial" w:cs="Arial"/>
            <w:noProof/>
            <w:sz w:val="24"/>
            <w:szCs w:val="24"/>
          </w:rPr>
          <w:t>Interval change in the "actual" and post-vFFR "virtual" QOL scores within the virtual change subset at one year after exclusion of patients with non-cardiac reasons for reduction in QOL</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_Toc196153247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139</w:t>
        </w:r>
        <w:r w:rsidRPr="0032547C">
          <w:rPr>
            <w:rFonts w:ascii="Arial" w:hAnsi="Arial" w:cs="Arial"/>
            <w:noProof/>
            <w:webHidden/>
            <w:sz w:val="24"/>
            <w:szCs w:val="24"/>
          </w:rPr>
          <w:fldChar w:fldCharType="end"/>
        </w:r>
      </w:hyperlink>
    </w:p>
    <w:p w14:paraId="6CA83586" w14:textId="5E1F0FDE"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48" w:history="1">
        <w:r w:rsidRPr="0032547C">
          <w:rPr>
            <w:rStyle w:val="Hyperlink"/>
            <w:rFonts w:ascii="Arial" w:hAnsi="Arial" w:cs="Arial"/>
            <w:b/>
            <w:bCs/>
            <w:noProof/>
            <w:sz w:val="24"/>
            <w:szCs w:val="24"/>
          </w:rPr>
          <w:t>Figure 56</w:t>
        </w:r>
        <w:r w:rsidRPr="0032547C">
          <w:rPr>
            <w:rStyle w:val="Hyperlink"/>
            <w:rFonts w:ascii="Arial" w:hAnsi="Arial" w:cs="Arial"/>
            <w:noProof/>
            <w:sz w:val="24"/>
            <w:szCs w:val="24"/>
          </w:rPr>
          <w:t xml:space="preserve">: </w:t>
        </w:r>
        <w:r w:rsidR="00AC6128" w:rsidRPr="0032547C">
          <w:rPr>
            <w:rStyle w:val="Hyperlink"/>
            <w:rFonts w:ascii="Arial" w:hAnsi="Arial" w:cs="Arial"/>
            <w:noProof/>
            <w:sz w:val="24"/>
            <w:szCs w:val="24"/>
          </w:rPr>
          <w:t xml:space="preserve">Interval change in </w:t>
        </w:r>
        <w:r w:rsidRPr="0032547C">
          <w:rPr>
            <w:rStyle w:val="Hyperlink"/>
            <w:rFonts w:ascii="Arial" w:hAnsi="Arial" w:cs="Arial"/>
            <w:noProof/>
            <w:sz w:val="24"/>
            <w:szCs w:val="24"/>
          </w:rPr>
          <w:t>the "actual" and "virtual" EQ-indexed scores in the virtual change subset at one year after exclusion of patients with non-cardiac reasons of reduction in QOL.</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_Toc196153248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140</w:t>
        </w:r>
        <w:r w:rsidRPr="0032547C">
          <w:rPr>
            <w:rFonts w:ascii="Arial" w:hAnsi="Arial" w:cs="Arial"/>
            <w:noProof/>
            <w:webHidden/>
            <w:sz w:val="24"/>
            <w:szCs w:val="24"/>
          </w:rPr>
          <w:fldChar w:fldCharType="end"/>
        </w:r>
      </w:hyperlink>
    </w:p>
    <w:p w14:paraId="0C1A4973" w14:textId="4D378CF0"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49" w:history="1">
        <w:r w:rsidRPr="0032547C">
          <w:rPr>
            <w:rStyle w:val="Hyperlink"/>
            <w:rFonts w:ascii="Arial" w:hAnsi="Arial" w:cs="Arial"/>
            <w:b/>
            <w:bCs/>
            <w:noProof/>
            <w:sz w:val="24"/>
            <w:szCs w:val="24"/>
          </w:rPr>
          <w:t>Figure 57</w:t>
        </w:r>
        <w:r w:rsidRPr="0032547C">
          <w:rPr>
            <w:rStyle w:val="Hyperlink"/>
            <w:rFonts w:ascii="Arial" w:hAnsi="Arial" w:cs="Arial"/>
            <w:noProof/>
            <w:sz w:val="24"/>
            <w:szCs w:val="24"/>
          </w:rPr>
          <w:t xml:space="preserve">: </w:t>
        </w:r>
        <w:r w:rsidR="00AC6128" w:rsidRPr="0032547C">
          <w:rPr>
            <w:rStyle w:val="Hyperlink"/>
            <w:rFonts w:ascii="Arial" w:hAnsi="Arial" w:cs="Arial"/>
            <w:noProof/>
            <w:sz w:val="24"/>
            <w:szCs w:val="24"/>
          </w:rPr>
          <w:t>Interval change in</w:t>
        </w:r>
        <w:r w:rsidRPr="0032547C">
          <w:rPr>
            <w:rStyle w:val="Hyperlink"/>
            <w:rFonts w:ascii="Arial" w:hAnsi="Arial" w:cs="Arial"/>
            <w:noProof/>
            <w:sz w:val="24"/>
            <w:szCs w:val="24"/>
          </w:rPr>
          <w:t xml:space="preserve"> the "actual" and "virtual" EQ-VAS scores of ACS and CCS patients in the virtual change subset at one year, after exclusion of patients with non-cardiac reasons of reduction in QOL</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_Toc196153249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141</w:t>
        </w:r>
        <w:r w:rsidRPr="0032547C">
          <w:rPr>
            <w:rFonts w:ascii="Arial" w:hAnsi="Arial" w:cs="Arial"/>
            <w:noProof/>
            <w:webHidden/>
            <w:sz w:val="24"/>
            <w:szCs w:val="24"/>
          </w:rPr>
          <w:fldChar w:fldCharType="end"/>
        </w:r>
      </w:hyperlink>
    </w:p>
    <w:p w14:paraId="67806650" w14:textId="5DF6BF81"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50" w:history="1">
        <w:r w:rsidRPr="0032547C">
          <w:rPr>
            <w:rStyle w:val="Hyperlink"/>
            <w:rFonts w:ascii="Arial" w:hAnsi="Arial" w:cs="Arial"/>
            <w:b/>
            <w:bCs/>
            <w:noProof/>
            <w:sz w:val="24"/>
            <w:szCs w:val="24"/>
          </w:rPr>
          <w:t>Figure 58</w:t>
        </w:r>
        <w:r w:rsidRPr="0032547C">
          <w:rPr>
            <w:rStyle w:val="Hyperlink"/>
            <w:rFonts w:ascii="Arial" w:hAnsi="Arial" w:cs="Arial"/>
            <w:noProof/>
            <w:sz w:val="24"/>
            <w:szCs w:val="24"/>
          </w:rPr>
          <w:t>: Total cost for the virtual change subset according to the management plans (OMT, PCI, and CABG)</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_Toc196153250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142</w:t>
        </w:r>
        <w:r w:rsidRPr="0032547C">
          <w:rPr>
            <w:rFonts w:ascii="Arial" w:hAnsi="Arial" w:cs="Arial"/>
            <w:noProof/>
            <w:webHidden/>
            <w:sz w:val="24"/>
            <w:szCs w:val="24"/>
          </w:rPr>
          <w:fldChar w:fldCharType="end"/>
        </w:r>
      </w:hyperlink>
    </w:p>
    <w:p w14:paraId="43E20B57" w14:textId="6BBDD0DF"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51" w:history="1">
        <w:r w:rsidRPr="0032547C">
          <w:rPr>
            <w:rStyle w:val="Hyperlink"/>
            <w:rFonts w:ascii="Arial" w:hAnsi="Arial" w:cs="Arial"/>
            <w:b/>
            <w:bCs/>
            <w:noProof/>
            <w:sz w:val="24"/>
            <w:szCs w:val="24"/>
          </w:rPr>
          <w:t>Figure 59</w:t>
        </w:r>
        <w:r w:rsidRPr="0032547C">
          <w:rPr>
            <w:rStyle w:val="Hyperlink"/>
            <w:rFonts w:ascii="Arial" w:hAnsi="Arial" w:cs="Arial"/>
            <w:noProof/>
            <w:sz w:val="24"/>
            <w:szCs w:val="24"/>
          </w:rPr>
          <w:t xml:space="preserve">: </w:t>
        </w:r>
        <w:r w:rsidR="00AC6128" w:rsidRPr="0032547C">
          <w:rPr>
            <w:rStyle w:val="Hyperlink"/>
            <w:rFonts w:ascii="Arial" w:hAnsi="Arial" w:cs="Arial"/>
            <w:noProof/>
            <w:sz w:val="24"/>
            <w:szCs w:val="24"/>
          </w:rPr>
          <w:t>Comparison of the total costs of outcomes in the virtual change subset with patients without a virtual change in management</w:t>
        </w:r>
        <w:r w:rsidRPr="0032547C">
          <w:rPr>
            <w:rStyle w:val="Hyperlink"/>
            <w:rFonts w:ascii="Arial" w:hAnsi="Arial" w:cs="Arial"/>
            <w:noProof/>
            <w:sz w:val="24"/>
            <w:szCs w:val="24"/>
          </w:rPr>
          <w: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_Toc196153251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147</w:t>
        </w:r>
        <w:r w:rsidRPr="0032547C">
          <w:rPr>
            <w:rFonts w:ascii="Arial" w:hAnsi="Arial" w:cs="Arial"/>
            <w:noProof/>
            <w:webHidden/>
            <w:sz w:val="24"/>
            <w:szCs w:val="24"/>
          </w:rPr>
          <w:fldChar w:fldCharType="end"/>
        </w:r>
      </w:hyperlink>
    </w:p>
    <w:p w14:paraId="51D9E13F" w14:textId="6A82B72A"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52" w:history="1">
        <w:r w:rsidRPr="0032547C">
          <w:rPr>
            <w:rStyle w:val="Hyperlink"/>
            <w:rFonts w:ascii="Arial" w:hAnsi="Arial" w:cs="Arial"/>
            <w:b/>
            <w:bCs/>
            <w:noProof/>
            <w:sz w:val="24"/>
            <w:szCs w:val="24"/>
          </w:rPr>
          <w:t>Figure 60</w:t>
        </w:r>
        <w:r w:rsidRPr="0032547C">
          <w:rPr>
            <w:rStyle w:val="Hyperlink"/>
            <w:rFonts w:ascii="Arial" w:hAnsi="Arial" w:cs="Arial"/>
            <w:noProof/>
            <w:sz w:val="24"/>
            <w:szCs w:val="24"/>
          </w:rPr>
          <w:t>: Comparison of the cost of “actual” outcomes in the virtual change subset with patients without a virtual change in management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_Toc196153252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148</w:t>
        </w:r>
        <w:r w:rsidRPr="0032547C">
          <w:rPr>
            <w:rFonts w:ascii="Arial" w:hAnsi="Arial" w:cs="Arial"/>
            <w:noProof/>
            <w:webHidden/>
            <w:sz w:val="24"/>
            <w:szCs w:val="24"/>
          </w:rPr>
          <w:fldChar w:fldCharType="end"/>
        </w:r>
      </w:hyperlink>
    </w:p>
    <w:p w14:paraId="2EA30328" w14:textId="55A11BE1"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53" w:history="1">
        <w:r w:rsidRPr="0032547C">
          <w:rPr>
            <w:rStyle w:val="Hyperlink"/>
            <w:rFonts w:ascii="Arial" w:hAnsi="Arial" w:cs="Arial"/>
            <w:b/>
            <w:bCs/>
            <w:noProof/>
            <w:sz w:val="24"/>
            <w:szCs w:val="24"/>
          </w:rPr>
          <w:t>Figure 61</w:t>
        </w:r>
        <w:r w:rsidRPr="0032547C">
          <w:rPr>
            <w:rStyle w:val="Hyperlink"/>
            <w:rFonts w:ascii="Arial" w:hAnsi="Arial" w:cs="Arial"/>
            <w:noProof/>
            <w:sz w:val="24"/>
            <w:szCs w:val="24"/>
          </w:rPr>
          <w:t>: Comparison of the "actual" and "virtual" mean cost per patient within the virtual change subset according to management plans (OMT, PCI, CABG).</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_Toc196153253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149</w:t>
        </w:r>
        <w:r w:rsidRPr="0032547C">
          <w:rPr>
            <w:rFonts w:ascii="Arial" w:hAnsi="Arial" w:cs="Arial"/>
            <w:noProof/>
            <w:webHidden/>
            <w:sz w:val="24"/>
            <w:szCs w:val="24"/>
          </w:rPr>
          <w:fldChar w:fldCharType="end"/>
        </w:r>
      </w:hyperlink>
    </w:p>
    <w:p w14:paraId="3EBCE422" w14:textId="4C3AD44F"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54" w:history="1">
        <w:r w:rsidRPr="0032547C">
          <w:rPr>
            <w:rStyle w:val="Hyperlink"/>
            <w:rFonts w:ascii="Arial" w:hAnsi="Arial" w:cs="Arial"/>
            <w:b/>
            <w:bCs/>
            <w:noProof/>
            <w:sz w:val="24"/>
            <w:szCs w:val="24"/>
          </w:rPr>
          <w:t>Figure 62</w:t>
        </w:r>
        <w:r w:rsidRPr="0032547C">
          <w:rPr>
            <w:rStyle w:val="Hyperlink"/>
            <w:rFonts w:ascii="Arial" w:hAnsi="Arial" w:cs="Arial"/>
            <w:noProof/>
            <w:sz w:val="24"/>
            <w:szCs w:val="24"/>
          </w:rPr>
          <w:t xml:space="preserve">: </w:t>
        </w:r>
        <w:r w:rsidR="00AF4064" w:rsidRPr="0032547C">
          <w:rPr>
            <w:rStyle w:val="Hyperlink"/>
            <w:rFonts w:ascii="Arial" w:hAnsi="Arial" w:cs="Arial"/>
            <w:noProof/>
            <w:sz w:val="24"/>
            <w:szCs w:val="24"/>
          </w:rPr>
          <w:t>Pre- and post-vFFR concordance between plans from MDTs</w:t>
        </w:r>
        <w:r w:rsidRPr="0032547C">
          <w:rPr>
            <w:rStyle w:val="Hyperlink"/>
            <w:rFonts w:ascii="Arial" w:hAnsi="Arial" w:cs="Arial"/>
            <w:noProof/>
            <w:sz w:val="24"/>
            <w:szCs w:val="24"/>
          </w:rPr>
          <w: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_Toc196153254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151</w:t>
        </w:r>
        <w:r w:rsidRPr="0032547C">
          <w:rPr>
            <w:rFonts w:ascii="Arial" w:hAnsi="Arial" w:cs="Arial"/>
            <w:noProof/>
            <w:webHidden/>
            <w:sz w:val="24"/>
            <w:szCs w:val="24"/>
          </w:rPr>
          <w:fldChar w:fldCharType="end"/>
        </w:r>
      </w:hyperlink>
    </w:p>
    <w:p w14:paraId="6F88B494" w14:textId="14E10C66"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55" w:history="1">
        <w:r w:rsidRPr="0032547C">
          <w:rPr>
            <w:rStyle w:val="Hyperlink"/>
            <w:rFonts w:ascii="Arial" w:hAnsi="Arial" w:cs="Arial"/>
            <w:b/>
            <w:bCs/>
            <w:noProof/>
            <w:sz w:val="24"/>
            <w:szCs w:val="24"/>
          </w:rPr>
          <w:t>Figure 63</w:t>
        </w:r>
        <w:r w:rsidRPr="0032547C">
          <w:rPr>
            <w:rStyle w:val="Hyperlink"/>
            <w:rFonts w:ascii="Arial" w:hAnsi="Arial" w:cs="Arial"/>
            <w:noProof/>
            <w:sz w:val="24"/>
            <w:szCs w:val="24"/>
          </w:rPr>
          <w:t xml:space="preserve">: </w:t>
        </w:r>
        <w:r w:rsidR="00AF4064" w:rsidRPr="0032547C">
          <w:rPr>
            <w:rStyle w:val="Hyperlink"/>
            <w:rFonts w:ascii="Arial" w:hAnsi="Arial" w:cs="Arial"/>
            <w:noProof/>
            <w:sz w:val="24"/>
            <w:szCs w:val="24"/>
          </w:rPr>
          <w:t>Comparison of the total cost of outcomes of the pre- and post-vFFR plans of virtual change subset patients (according to the expert MDTs)</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_Toc196153255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158</w:t>
        </w:r>
        <w:r w:rsidRPr="0032547C">
          <w:rPr>
            <w:rFonts w:ascii="Arial" w:hAnsi="Arial" w:cs="Arial"/>
            <w:noProof/>
            <w:webHidden/>
            <w:sz w:val="24"/>
            <w:szCs w:val="24"/>
          </w:rPr>
          <w:fldChar w:fldCharType="end"/>
        </w:r>
      </w:hyperlink>
    </w:p>
    <w:p w14:paraId="6A8495DD" w14:textId="287ED183"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56" w:history="1">
        <w:r w:rsidRPr="0032547C">
          <w:rPr>
            <w:rStyle w:val="Hyperlink"/>
            <w:rFonts w:ascii="Arial" w:hAnsi="Arial" w:cs="Arial"/>
            <w:b/>
            <w:bCs/>
            <w:noProof/>
            <w:sz w:val="24"/>
            <w:szCs w:val="24"/>
          </w:rPr>
          <w:t>Figure 64</w:t>
        </w:r>
        <w:r w:rsidRPr="0032547C">
          <w:rPr>
            <w:rStyle w:val="Hyperlink"/>
            <w:rFonts w:ascii="Arial" w:hAnsi="Arial" w:cs="Arial"/>
            <w:noProof/>
            <w:sz w:val="24"/>
            <w:szCs w:val="24"/>
          </w:rPr>
          <w:t xml:space="preserve">: </w:t>
        </w:r>
        <w:r w:rsidR="00AF4064" w:rsidRPr="0032547C">
          <w:rPr>
            <w:rStyle w:val="Hyperlink"/>
            <w:rFonts w:ascii="Arial" w:hAnsi="Arial" w:cs="Arial"/>
            <w:noProof/>
            <w:sz w:val="24"/>
            <w:szCs w:val="24"/>
          </w:rPr>
          <w:t>ICER for the proposed three-tier annually renewable "voucher-based" licence cost of vFFR</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_Toc196153256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160</w:t>
        </w:r>
        <w:r w:rsidRPr="0032547C">
          <w:rPr>
            <w:rFonts w:ascii="Arial" w:hAnsi="Arial" w:cs="Arial"/>
            <w:noProof/>
            <w:webHidden/>
            <w:sz w:val="24"/>
            <w:szCs w:val="24"/>
          </w:rPr>
          <w:fldChar w:fldCharType="end"/>
        </w:r>
      </w:hyperlink>
    </w:p>
    <w:p w14:paraId="7B76221D" w14:textId="0980945B" w:rsidR="001E7A1F" w:rsidRPr="0026500E" w:rsidRDefault="001E7A1F" w:rsidP="0032547C">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96153257" w:history="1">
        <w:r w:rsidRPr="0032547C">
          <w:rPr>
            <w:rStyle w:val="Hyperlink"/>
            <w:rFonts w:ascii="Arial" w:hAnsi="Arial" w:cs="Arial"/>
            <w:b/>
            <w:bCs/>
            <w:noProof/>
            <w:sz w:val="24"/>
            <w:szCs w:val="24"/>
          </w:rPr>
          <w:t>Figure 65</w:t>
        </w:r>
        <w:r w:rsidRPr="0032547C">
          <w:rPr>
            <w:rStyle w:val="Hyperlink"/>
            <w:rFonts w:ascii="Arial" w:hAnsi="Arial" w:cs="Arial"/>
            <w:noProof/>
            <w:sz w:val="24"/>
            <w:szCs w:val="24"/>
          </w:rPr>
          <w:t xml:space="preserve">: </w:t>
        </w:r>
        <w:r w:rsidR="00AF4064" w:rsidRPr="0032547C">
          <w:rPr>
            <w:rStyle w:val="Hyperlink"/>
            <w:rFonts w:ascii="Arial" w:hAnsi="Arial" w:cs="Arial"/>
            <w:noProof/>
            <w:sz w:val="24"/>
            <w:szCs w:val="24"/>
          </w:rPr>
          <w:t>ICER for the proposed three-tier annually renewable "institutional" licence cost of vFFR</w:t>
        </w:r>
        <w:r w:rsidRPr="0032547C">
          <w:rPr>
            <w:rStyle w:val="Hyperlink"/>
            <w:rFonts w:ascii="Arial" w:hAnsi="Arial" w:cs="Arial"/>
            <w:noProof/>
            <w:sz w:val="24"/>
            <w:szCs w:val="24"/>
          </w:rPr>
          <w:t>.</w:t>
        </w:r>
        <w:r w:rsidRPr="0032547C">
          <w:rPr>
            <w:rFonts w:ascii="Arial" w:hAnsi="Arial" w:cs="Arial"/>
            <w:noProof/>
            <w:webHidden/>
            <w:sz w:val="24"/>
            <w:szCs w:val="24"/>
          </w:rPr>
          <w:tab/>
        </w:r>
        <w:r w:rsidRPr="0032547C">
          <w:rPr>
            <w:rFonts w:ascii="Arial" w:hAnsi="Arial" w:cs="Arial"/>
            <w:noProof/>
            <w:webHidden/>
            <w:sz w:val="24"/>
            <w:szCs w:val="24"/>
          </w:rPr>
          <w:fldChar w:fldCharType="begin"/>
        </w:r>
        <w:r w:rsidRPr="0032547C">
          <w:rPr>
            <w:rFonts w:ascii="Arial" w:hAnsi="Arial" w:cs="Arial"/>
            <w:noProof/>
            <w:webHidden/>
            <w:sz w:val="24"/>
            <w:szCs w:val="24"/>
          </w:rPr>
          <w:instrText xml:space="preserve"> PAGEREF _Toc196153257 \h </w:instrText>
        </w:r>
        <w:r w:rsidRPr="0032547C">
          <w:rPr>
            <w:rFonts w:ascii="Arial" w:hAnsi="Arial" w:cs="Arial"/>
            <w:noProof/>
            <w:webHidden/>
            <w:sz w:val="24"/>
            <w:szCs w:val="24"/>
          </w:rPr>
        </w:r>
        <w:r w:rsidRPr="0032547C">
          <w:rPr>
            <w:rFonts w:ascii="Arial" w:hAnsi="Arial" w:cs="Arial"/>
            <w:noProof/>
            <w:webHidden/>
            <w:sz w:val="24"/>
            <w:szCs w:val="24"/>
          </w:rPr>
          <w:fldChar w:fldCharType="separate"/>
        </w:r>
        <w:r w:rsidRPr="0032547C">
          <w:rPr>
            <w:rFonts w:ascii="Arial" w:hAnsi="Arial" w:cs="Arial"/>
            <w:noProof/>
            <w:webHidden/>
            <w:sz w:val="24"/>
            <w:szCs w:val="24"/>
          </w:rPr>
          <w:t>161</w:t>
        </w:r>
        <w:r w:rsidRPr="0032547C">
          <w:rPr>
            <w:rFonts w:ascii="Arial" w:hAnsi="Arial" w:cs="Arial"/>
            <w:noProof/>
            <w:webHidden/>
            <w:sz w:val="24"/>
            <w:szCs w:val="24"/>
          </w:rPr>
          <w:fldChar w:fldCharType="end"/>
        </w:r>
      </w:hyperlink>
    </w:p>
    <w:p w14:paraId="5B1E24BF" w14:textId="4D1CAF33" w:rsidR="00762C60" w:rsidRPr="00AF4064" w:rsidRDefault="001E7A1F" w:rsidP="0026500E">
      <w:pPr>
        <w:spacing w:line="360" w:lineRule="auto"/>
        <w:jc w:val="both"/>
        <w:rPr>
          <w:rFonts w:ascii="Arial" w:hAnsi="Arial" w:cs="Arial"/>
          <w:b/>
          <w:bCs/>
          <w:color w:val="4472C4" w:themeColor="accent1"/>
          <w:sz w:val="24"/>
          <w:szCs w:val="24"/>
        </w:rPr>
      </w:pPr>
      <w:r w:rsidRPr="00AF4064">
        <w:rPr>
          <w:rFonts w:ascii="Arial" w:hAnsi="Arial" w:cs="Arial"/>
          <w:b/>
          <w:bCs/>
          <w:color w:val="4472C4" w:themeColor="accent1"/>
          <w:sz w:val="24"/>
          <w:szCs w:val="24"/>
        </w:rPr>
        <w:fldChar w:fldCharType="end"/>
      </w:r>
    </w:p>
    <w:p w14:paraId="49ED29A3" w14:textId="77777777" w:rsidR="00762C60" w:rsidRDefault="00762C60" w:rsidP="004942B6">
      <w:pPr>
        <w:rPr>
          <w:rFonts w:ascii="Arial" w:hAnsi="Arial" w:cs="Arial"/>
          <w:b/>
          <w:bCs/>
          <w:color w:val="4472C4" w:themeColor="accent1"/>
          <w:sz w:val="40"/>
          <w:szCs w:val="40"/>
        </w:rPr>
      </w:pPr>
    </w:p>
    <w:p w14:paraId="39532A1F" w14:textId="77777777" w:rsidR="00762C60" w:rsidRDefault="00762C60" w:rsidP="004942B6">
      <w:pPr>
        <w:rPr>
          <w:rFonts w:ascii="Arial" w:hAnsi="Arial" w:cs="Arial"/>
          <w:b/>
          <w:bCs/>
          <w:color w:val="4472C4" w:themeColor="accent1"/>
          <w:sz w:val="40"/>
          <w:szCs w:val="40"/>
        </w:rPr>
      </w:pPr>
    </w:p>
    <w:p w14:paraId="4651E29A" w14:textId="77777777" w:rsidR="00762C60" w:rsidRDefault="00762C60" w:rsidP="004942B6">
      <w:pPr>
        <w:rPr>
          <w:rFonts w:ascii="Arial" w:hAnsi="Arial" w:cs="Arial"/>
          <w:b/>
          <w:bCs/>
          <w:color w:val="4472C4" w:themeColor="accent1"/>
          <w:sz w:val="40"/>
          <w:szCs w:val="40"/>
        </w:rPr>
      </w:pPr>
    </w:p>
    <w:p w14:paraId="30E63BF6" w14:textId="6C299884" w:rsidR="004942B6" w:rsidRPr="00F605C6" w:rsidRDefault="004942B6" w:rsidP="0032547C">
      <w:pPr>
        <w:rPr>
          <w:rFonts w:ascii="Arial" w:hAnsi="Arial" w:cs="Arial"/>
          <w:b/>
          <w:bCs/>
          <w:color w:val="4472C4" w:themeColor="accent1"/>
          <w:sz w:val="40"/>
          <w:szCs w:val="40"/>
        </w:rPr>
      </w:pPr>
      <w:r w:rsidRPr="00F605C6">
        <w:rPr>
          <w:rFonts w:ascii="Arial" w:hAnsi="Arial" w:cs="Arial"/>
          <w:b/>
          <w:bCs/>
          <w:color w:val="4472C4" w:themeColor="accent1"/>
          <w:sz w:val="40"/>
          <w:szCs w:val="40"/>
        </w:rPr>
        <w:lastRenderedPageBreak/>
        <w:t xml:space="preserve">List of </w:t>
      </w:r>
      <w:r w:rsidR="00DB11E1" w:rsidRPr="00F605C6">
        <w:rPr>
          <w:rFonts w:ascii="Arial" w:hAnsi="Arial" w:cs="Arial"/>
          <w:b/>
          <w:bCs/>
          <w:color w:val="4472C4" w:themeColor="accent1"/>
          <w:sz w:val="40"/>
          <w:szCs w:val="40"/>
        </w:rPr>
        <w:t>T</w:t>
      </w:r>
      <w:r w:rsidRPr="00F605C6">
        <w:rPr>
          <w:rFonts w:ascii="Arial" w:hAnsi="Arial" w:cs="Arial"/>
          <w:b/>
          <w:bCs/>
          <w:color w:val="4472C4" w:themeColor="accent1"/>
          <w:sz w:val="40"/>
          <w:szCs w:val="40"/>
        </w:rPr>
        <w:t>ables</w:t>
      </w:r>
    </w:p>
    <w:p w14:paraId="635328E9" w14:textId="766E985A"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r>
        <w:rPr>
          <w:rFonts w:ascii="Arial" w:hAnsi="Arial" w:cs="Arial"/>
          <w:sz w:val="24"/>
          <w:szCs w:val="24"/>
        </w:rPr>
        <w:fldChar w:fldCharType="begin"/>
      </w:r>
      <w:r>
        <w:rPr>
          <w:rFonts w:ascii="Arial" w:hAnsi="Arial" w:cs="Arial"/>
          <w:sz w:val="24"/>
          <w:szCs w:val="24"/>
        </w:rPr>
        <w:instrText xml:space="preserve"> TOC \h \z \c "Table" </w:instrText>
      </w:r>
      <w:r>
        <w:rPr>
          <w:rFonts w:ascii="Arial" w:hAnsi="Arial" w:cs="Arial"/>
          <w:sz w:val="24"/>
          <w:szCs w:val="24"/>
        </w:rPr>
        <w:fldChar w:fldCharType="separate"/>
      </w:r>
      <w:hyperlink w:anchor="_Toc171206714" w:history="1">
        <w:r w:rsidRPr="0025565B">
          <w:rPr>
            <w:rStyle w:val="Hyperlink"/>
            <w:rFonts w:ascii="Arial" w:hAnsi="Arial" w:cs="Arial"/>
            <w:b/>
            <w:bCs/>
            <w:noProof/>
            <w:sz w:val="24"/>
            <w:szCs w:val="24"/>
          </w:rPr>
          <w:t>Table 1:</w:t>
        </w:r>
        <w:r w:rsidRPr="0025565B">
          <w:rPr>
            <w:rStyle w:val="Hyperlink"/>
            <w:rFonts w:ascii="Arial" w:hAnsi="Arial" w:cs="Arial"/>
            <w:noProof/>
            <w:sz w:val="24"/>
            <w:szCs w:val="24"/>
          </w:rPr>
          <w:t xml:space="preserve"> Modifiable and non-modifiable risk factors for </w:t>
        </w:r>
        <w:r>
          <w:rPr>
            <w:rStyle w:val="Hyperlink"/>
            <w:rFonts w:ascii="Arial" w:hAnsi="Arial" w:cs="Arial"/>
            <w:noProof/>
            <w:sz w:val="24"/>
            <w:szCs w:val="24"/>
          </w:rPr>
          <w:t>CAD</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_Toc171206714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20</w:t>
        </w:r>
        <w:r w:rsidRPr="0025565B">
          <w:rPr>
            <w:rFonts w:ascii="Arial" w:hAnsi="Arial" w:cs="Arial"/>
            <w:noProof/>
            <w:webHidden/>
            <w:sz w:val="24"/>
            <w:szCs w:val="24"/>
          </w:rPr>
          <w:fldChar w:fldCharType="end"/>
        </w:r>
      </w:hyperlink>
    </w:p>
    <w:p w14:paraId="08555F39" w14:textId="065EDA2C"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15" w:history="1">
        <w:r w:rsidRPr="0025565B">
          <w:rPr>
            <w:rStyle w:val="Hyperlink"/>
            <w:rFonts w:ascii="Arial" w:hAnsi="Arial" w:cs="Arial"/>
            <w:b/>
            <w:bCs/>
            <w:noProof/>
            <w:sz w:val="24"/>
            <w:szCs w:val="24"/>
          </w:rPr>
          <w:t>Table 2:</w:t>
        </w:r>
        <w:r w:rsidRPr="0025565B">
          <w:rPr>
            <w:rStyle w:val="Hyperlink"/>
            <w:rFonts w:ascii="Arial" w:hAnsi="Arial" w:cs="Arial"/>
            <w:noProof/>
            <w:sz w:val="24"/>
            <w:szCs w:val="24"/>
          </w:rPr>
          <w:t xml:space="preserve"> Canadian Cardiovascular Society (CCS) classification for angina severity</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_Toc171206715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22</w:t>
        </w:r>
        <w:r w:rsidRPr="0025565B">
          <w:rPr>
            <w:rFonts w:ascii="Arial" w:hAnsi="Arial" w:cs="Arial"/>
            <w:noProof/>
            <w:webHidden/>
            <w:sz w:val="24"/>
            <w:szCs w:val="24"/>
          </w:rPr>
          <w:fldChar w:fldCharType="end"/>
        </w:r>
      </w:hyperlink>
    </w:p>
    <w:p w14:paraId="4E32B964" w14:textId="1175476B"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16" w:history="1">
        <w:r w:rsidRPr="0025565B">
          <w:rPr>
            <w:rStyle w:val="Hyperlink"/>
            <w:rFonts w:ascii="Arial" w:hAnsi="Arial" w:cs="Arial"/>
            <w:b/>
            <w:bCs/>
            <w:noProof/>
            <w:sz w:val="24"/>
            <w:szCs w:val="24"/>
          </w:rPr>
          <w:t>Table 3:</w:t>
        </w:r>
        <w:r w:rsidRPr="0025565B">
          <w:rPr>
            <w:rStyle w:val="Hyperlink"/>
            <w:rFonts w:ascii="Arial" w:hAnsi="Arial" w:cs="Arial"/>
            <w:noProof/>
            <w:sz w:val="24"/>
            <w:szCs w:val="24"/>
          </w:rPr>
          <w:t xml:space="preserve"> NYHA classification</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_Toc171206716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23</w:t>
        </w:r>
        <w:r w:rsidRPr="0025565B">
          <w:rPr>
            <w:rFonts w:ascii="Arial" w:hAnsi="Arial" w:cs="Arial"/>
            <w:noProof/>
            <w:webHidden/>
            <w:sz w:val="24"/>
            <w:szCs w:val="24"/>
          </w:rPr>
          <w:fldChar w:fldCharType="end"/>
        </w:r>
      </w:hyperlink>
    </w:p>
    <w:p w14:paraId="0AFF0733" w14:textId="39F65C80"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17" w:history="1">
        <w:r w:rsidRPr="0025565B">
          <w:rPr>
            <w:rStyle w:val="Hyperlink"/>
            <w:rFonts w:ascii="Arial" w:hAnsi="Arial" w:cs="Arial"/>
            <w:b/>
            <w:bCs/>
            <w:noProof/>
            <w:sz w:val="24"/>
            <w:szCs w:val="24"/>
          </w:rPr>
          <w:t>Table 4:</w:t>
        </w:r>
        <w:r w:rsidRPr="0025565B">
          <w:rPr>
            <w:rStyle w:val="Hyperlink"/>
            <w:rFonts w:ascii="Arial" w:hAnsi="Arial" w:cs="Arial"/>
            <w:noProof/>
            <w:sz w:val="24"/>
            <w:szCs w:val="24"/>
          </w:rPr>
          <w:t xml:space="preserve"> Alternative non-hyperaemic pressure indices.</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_Toc171206717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44</w:t>
        </w:r>
        <w:r w:rsidRPr="0025565B">
          <w:rPr>
            <w:rFonts w:ascii="Arial" w:hAnsi="Arial" w:cs="Arial"/>
            <w:noProof/>
            <w:webHidden/>
            <w:sz w:val="24"/>
            <w:szCs w:val="24"/>
          </w:rPr>
          <w:fldChar w:fldCharType="end"/>
        </w:r>
      </w:hyperlink>
    </w:p>
    <w:p w14:paraId="74C3E925" w14:textId="670E252F"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18" w:history="1">
        <w:r w:rsidRPr="0025565B">
          <w:rPr>
            <w:rStyle w:val="Hyperlink"/>
            <w:rFonts w:ascii="Arial" w:hAnsi="Arial" w:cs="Arial"/>
            <w:b/>
            <w:bCs/>
            <w:noProof/>
            <w:sz w:val="24"/>
            <w:szCs w:val="24"/>
          </w:rPr>
          <w:t>Table 5:</w:t>
        </w:r>
        <w:r w:rsidRPr="0025565B">
          <w:rPr>
            <w:rStyle w:val="Hyperlink"/>
            <w:rFonts w:ascii="Arial" w:hAnsi="Arial" w:cs="Arial"/>
            <w:noProof/>
            <w:sz w:val="24"/>
            <w:szCs w:val="24"/>
          </w:rPr>
          <w:t xml:space="preserve"> NHS tariffs for outpatient cardiology investigations</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_Toc171206718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94</w:t>
        </w:r>
        <w:r w:rsidRPr="0025565B">
          <w:rPr>
            <w:rFonts w:ascii="Arial" w:hAnsi="Arial" w:cs="Arial"/>
            <w:noProof/>
            <w:webHidden/>
            <w:sz w:val="24"/>
            <w:szCs w:val="24"/>
          </w:rPr>
          <w:fldChar w:fldCharType="end"/>
        </w:r>
      </w:hyperlink>
    </w:p>
    <w:p w14:paraId="1AD4246F" w14:textId="719D7954"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19" w:history="1">
        <w:r w:rsidRPr="0025565B">
          <w:rPr>
            <w:rStyle w:val="Hyperlink"/>
            <w:rFonts w:ascii="Arial" w:hAnsi="Arial" w:cs="Arial"/>
            <w:b/>
            <w:bCs/>
            <w:noProof/>
            <w:sz w:val="24"/>
            <w:szCs w:val="24"/>
          </w:rPr>
          <w:t>Table 6:</w:t>
        </w:r>
        <w:r w:rsidRPr="0025565B">
          <w:rPr>
            <w:rStyle w:val="Hyperlink"/>
            <w:rFonts w:ascii="Arial" w:hAnsi="Arial" w:cs="Arial"/>
            <w:noProof/>
            <w:sz w:val="24"/>
            <w:szCs w:val="24"/>
          </w:rPr>
          <w:t xml:space="preserve"> Study Demographics</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_Toc171206719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98</w:t>
        </w:r>
        <w:r w:rsidRPr="0025565B">
          <w:rPr>
            <w:rFonts w:ascii="Arial" w:hAnsi="Arial" w:cs="Arial"/>
            <w:noProof/>
            <w:webHidden/>
            <w:sz w:val="24"/>
            <w:szCs w:val="24"/>
          </w:rPr>
          <w:fldChar w:fldCharType="end"/>
        </w:r>
      </w:hyperlink>
    </w:p>
    <w:p w14:paraId="578670B1" w14:textId="4FB00B12"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20" w:history="1">
        <w:r w:rsidRPr="0025565B">
          <w:rPr>
            <w:rStyle w:val="Hyperlink"/>
            <w:rFonts w:ascii="Arial" w:hAnsi="Arial" w:cs="Arial"/>
            <w:b/>
            <w:bCs/>
            <w:noProof/>
            <w:sz w:val="24"/>
            <w:szCs w:val="24"/>
          </w:rPr>
          <w:t>Table 7</w:t>
        </w:r>
        <w:r w:rsidRPr="0025565B">
          <w:rPr>
            <w:rStyle w:val="Hyperlink"/>
            <w:rFonts w:ascii="Arial" w:hAnsi="Arial" w:cs="Arial"/>
            <w:noProof/>
            <w:sz w:val="24"/>
            <w:szCs w:val="24"/>
          </w:rPr>
          <w:t>: Summary of MACE</w:t>
        </w:r>
        <w:r w:rsidR="001D6A04">
          <w:rPr>
            <w:rStyle w:val="Hyperlink"/>
            <w:rFonts w:ascii="Arial" w:hAnsi="Arial" w:cs="Arial"/>
            <w:noProof/>
            <w:sz w:val="24"/>
            <w:szCs w:val="24"/>
          </w:rPr>
          <w:t xml:space="preserve"> outcomes</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_Toc171206720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99</w:t>
        </w:r>
        <w:r w:rsidRPr="0025565B">
          <w:rPr>
            <w:rFonts w:ascii="Arial" w:hAnsi="Arial" w:cs="Arial"/>
            <w:noProof/>
            <w:webHidden/>
            <w:sz w:val="24"/>
            <w:szCs w:val="24"/>
          </w:rPr>
          <w:fldChar w:fldCharType="end"/>
        </w:r>
      </w:hyperlink>
    </w:p>
    <w:p w14:paraId="5B9E233F" w14:textId="363383ED"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21" w:history="1">
        <w:r w:rsidRPr="0025565B">
          <w:rPr>
            <w:rStyle w:val="Hyperlink"/>
            <w:rFonts w:ascii="Arial" w:hAnsi="Arial" w:cs="Arial"/>
            <w:b/>
            <w:bCs/>
            <w:noProof/>
            <w:sz w:val="24"/>
            <w:szCs w:val="24"/>
          </w:rPr>
          <w:t>Table 8</w:t>
        </w:r>
        <w:r w:rsidRPr="0025565B">
          <w:rPr>
            <w:rStyle w:val="Hyperlink"/>
            <w:rFonts w:ascii="Arial" w:hAnsi="Arial" w:cs="Arial"/>
            <w:noProof/>
            <w:sz w:val="24"/>
            <w:szCs w:val="24"/>
          </w:rPr>
          <w:t>: Cardiac reasons for re-admissions in ACS and CCS patients</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_Toc171206721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102</w:t>
        </w:r>
        <w:r w:rsidRPr="0025565B">
          <w:rPr>
            <w:rFonts w:ascii="Arial" w:hAnsi="Arial" w:cs="Arial"/>
            <w:noProof/>
            <w:webHidden/>
            <w:sz w:val="24"/>
            <w:szCs w:val="24"/>
          </w:rPr>
          <w:fldChar w:fldCharType="end"/>
        </w:r>
      </w:hyperlink>
    </w:p>
    <w:p w14:paraId="5CBB05C5" w14:textId="21D1EA68"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22" w:history="1">
        <w:r w:rsidRPr="0025565B">
          <w:rPr>
            <w:rStyle w:val="Hyperlink"/>
            <w:rFonts w:ascii="Arial" w:hAnsi="Arial" w:cs="Arial"/>
            <w:b/>
            <w:bCs/>
            <w:noProof/>
            <w:sz w:val="24"/>
            <w:szCs w:val="24"/>
          </w:rPr>
          <w:t>Table 9</w:t>
        </w:r>
        <w:r w:rsidRPr="0025565B">
          <w:rPr>
            <w:rStyle w:val="Hyperlink"/>
            <w:rFonts w:ascii="Arial" w:hAnsi="Arial" w:cs="Arial"/>
            <w:noProof/>
            <w:sz w:val="24"/>
            <w:szCs w:val="24"/>
          </w:rPr>
          <w:t>: Non-cardiac reasons for reduction in QOL in ACS and CCS patients</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_Toc171206722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110</w:t>
        </w:r>
        <w:r w:rsidRPr="0025565B">
          <w:rPr>
            <w:rFonts w:ascii="Arial" w:hAnsi="Arial" w:cs="Arial"/>
            <w:noProof/>
            <w:webHidden/>
            <w:sz w:val="24"/>
            <w:szCs w:val="24"/>
          </w:rPr>
          <w:fldChar w:fldCharType="end"/>
        </w:r>
      </w:hyperlink>
    </w:p>
    <w:p w14:paraId="0DD94743" w14:textId="25FEC405"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23" w:history="1">
        <w:r w:rsidRPr="0025565B">
          <w:rPr>
            <w:rStyle w:val="Hyperlink"/>
            <w:rFonts w:ascii="Arial" w:hAnsi="Arial" w:cs="Arial"/>
            <w:b/>
            <w:bCs/>
            <w:noProof/>
            <w:sz w:val="24"/>
            <w:szCs w:val="24"/>
          </w:rPr>
          <w:t>Table 10</w:t>
        </w:r>
        <w:r w:rsidRPr="0025565B">
          <w:rPr>
            <w:rStyle w:val="Hyperlink"/>
            <w:rFonts w:ascii="Arial" w:hAnsi="Arial" w:cs="Arial"/>
            <w:noProof/>
            <w:sz w:val="24"/>
            <w:szCs w:val="24"/>
          </w:rPr>
          <w:t>: Summary of the total costs of followed-up patients in VIRTU-4 at one-year follow-up, according to the management plans (OMT, PCI, CABG)</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_Toc171206723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119</w:t>
        </w:r>
        <w:r w:rsidRPr="0025565B">
          <w:rPr>
            <w:rFonts w:ascii="Arial" w:hAnsi="Arial" w:cs="Arial"/>
            <w:noProof/>
            <w:webHidden/>
            <w:sz w:val="24"/>
            <w:szCs w:val="24"/>
          </w:rPr>
          <w:fldChar w:fldCharType="end"/>
        </w:r>
      </w:hyperlink>
    </w:p>
    <w:p w14:paraId="638F9002" w14:textId="5022F8B9"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24" w:history="1">
        <w:r w:rsidRPr="0025565B">
          <w:rPr>
            <w:rStyle w:val="Hyperlink"/>
            <w:rFonts w:ascii="Arial" w:hAnsi="Arial" w:cs="Arial"/>
            <w:b/>
            <w:bCs/>
            <w:noProof/>
            <w:sz w:val="24"/>
            <w:szCs w:val="24"/>
          </w:rPr>
          <w:t>Table 11</w:t>
        </w:r>
        <w:r w:rsidRPr="0025565B">
          <w:rPr>
            <w:rStyle w:val="Hyperlink"/>
            <w:rFonts w:ascii="Arial" w:hAnsi="Arial" w:cs="Arial"/>
            <w:noProof/>
            <w:sz w:val="24"/>
            <w:szCs w:val="24"/>
          </w:rPr>
          <w:t xml:space="preserve">: Comparison of the “actual” and </w:t>
        </w:r>
        <w:r w:rsidR="001D6A04">
          <w:rPr>
            <w:rStyle w:val="Hyperlink"/>
            <w:rFonts w:ascii="Arial" w:hAnsi="Arial" w:cs="Arial"/>
            <w:noProof/>
            <w:sz w:val="24"/>
            <w:szCs w:val="24"/>
          </w:rPr>
          <w:t xml:space="preserve">post-vFFR </w:t>
        </w:r>
        <w:r w:rsidRPr="0025565B">
          <w:rPr>
            <w:rStyle w:val="Hyperlink"/>
            <w:rFonts w:ascii="Arial" w:hAnsi="Arial" w:cs="Arial"/>
            <w:noProof/>
            <w:sz w:val="24"/>
            <w:szCs w:val="24"/>
          </w:rPr>
          <w:t>“virtual” change in NYHA and CCS classes at one year (according to the parent cardiologists’ plans)</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_Toc171206724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126</w:t>
        </w:r>
        <w:r w:rsidRPr="0025565B">
          <w:rPr>
            <w:rFonts w:ascii="Arial" w:hAnsi="Arial" w:cs="Arial"/>
            <w:noProof/>
            <w:webHidden/>
            <w:sz w:val="24"/>
            <w:szCs w:val="24"/>
          </w:rPr>
          <w:fldChar w:fldCharType="end"/>
        </w:r>
      </w:hyperlink>
    </w:p>
    <w:p w14:paraId="15947F2F" w14:textId="277F7599"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25" w:history="1">
        <w:r w:rsidRPr="0025565B">
          <w:rPr>
            <w:rStyle w:val="Hyperlink"/>
            <w:rFonts w:ascii="Arial" w:hAnsi="Arial" w:cs="Arial"/>
            <w:b/>
            <w:bCs/>
            <w:noProof/>
            <w:sz w:val="24"/>
            <w:szCs w:val="24"/>
          </w:rPr>
          <w:t>Table 12</w:t>
        </w:r>
        <w:r w:rsidRPr="0025565B">
          <w:rPr>
            <w:rStyle w:val="Hyperlink"/>
            <w:rFonts w:ascii="Arial" w:hAnsi="Arial" w:cs="Arial"/>
            <w:noProof/>
            <w:sz w:val="24"/>
            <w:szCs w:val="24"/>
          </w:rPr>
          <w:t>: Non-cardiac reasons for exclusion from QOL analysis</w:t>
        </w:r>
        <w:r w:rsidR="001D6A04">
          <w:rPr>
            <w:rStyle w:val="Hyperlink"/>
            <w:rFonts w:ascii="Arial" w:hAnsi="Arial" w:cs="Arial"/>
            <w:noProof/>
            <w:sz w:val="24"/>
            <w:szCs w:val="24"/>
          </w:rPr>
          <w:t xml:space="preserve"> with</w:t>
        </w:r>
        <w:r w:rsidRPr="0025565B">
          <w:rPr>
            <w:rStyle w:val="Hyperlink"/>
            <w:rFonts w:ascii="Arial" w:hAnsi="Arial" w:cs="Arial"/>
            <w:noProof/>
            <w:sz w:val="24"/>
            <w:szCs w:val="24"/>
          </w:rPr>
          <w:t>in the virtual change subset</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_Toc171206725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130</w:t>
        </w:r>
        <w:r w:rsidRPr="0025565B">
          <w:rPr>
            <w:rFonts w:ascii="Arial" w:hAnsi="Arial" w:cs="Arial"/>
            <w:noProof/>
            <w:webHidden/>
            <w:sz w:val="24"/>
            <w:szCs w:val="24"/>
          </w:rPr>
          <w:fldChar w:fldCharType="end"/>
        </w:r>
      </w:hyperlink>
    </w:p>
    <w:p w14:paraId="7CDFFB79" w14:textId="226491D9"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26" w:history="1">
        <w:r w:rsidRPr="0025565B">
          <w:rPr>
            <w:rStyle w:val="Hyperlink"/>
            <w:rFonts w:ascii="Arial" w:hAnsi="Arial" w:cs="Arial"/>
            <w:b/>
            <w:bCs/>
            <w:noProof/>
            <w:sz w:val="24"/>
            <w:szCs w:val="24"/>
          </w:rPr>
          <w:t>Table 13</w:t>
        </w:r>
        <w:r w:rsidRPr="0025565B">
          <w:rPr>
            <w:rStyle w:val="Hyperlink"/>
            <w:rFonts w:ascii="Arial" w:hAnsi="Arial" w:cs="Arial"/>
            <w:noProof/>
            <w:sz w:val="24"/>
            <w:szCs w:val="24"/>
          </w:rPr>
          <w:t>: Comparison of th</w:t>
        </w:r>
        <w:r w:rsidR="007214BC">
          <w:rPr>
            <w:rStyle w:val="Hyperlink"/>
            <w:rFonts w:ascii="Arial" w:hAnsi="Arial" w:cs="Arial"/>
            <w:noProof/>
            <w:sz w:val="24"/>
            <w:szCs w:val="24"/>
          </w:rPr>
          <w:t>e i</w:t>
        </w:r>
        <w:r w:rsidRPr="0025565B">
          <w:rPr>
            <w:rStyle w:val="Hyperlink"/>
            <w:rFonts w:ascii="Arial" w:hAnsi="Arial" w:cs="Arial"/>
            <w:noProof/>
            <w:sz w:val="24"/>
            <w:szCs w:val="24"/>
          </w:rPr>
          <w:t xml:space="preserve">ndividualised "actual" and </w:t>
        </w:r>
        <w:r w:rsidR="000122D4">
          <w:rPr>
            <w:rStyle w:val="Hyperlink"/>
            <w:rFonts w:ascii="Arial" w:hAnsi="Arial" w:cs="Arial"/>
            <w:noProof/>
            <w:sz w:val="24"/>
            <w:szCs w:val="24"/>
          </w:rPr>
          <w:t xml:space="preserve">post-vFFR </w:t>
        </w:r>
        <w:r w:rsidRPr="0025565B">
          <w:rPr>
            <w:rStyle w:val="Hyperlink"/>
            <w:rFonts w:ascii="Arial" w:hAnsi="Arial" w:cs="Arial"/>
            <w:noProof/>
            <w:sz w:val="24"/>
            <w:szCs w:val="24"/>
          </w:rPr>
          <w:t>"virtual" cost of the index procedure for the ACS patients (n=39) in the virtual change subset according to the parent cardiologists’ plan</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_Toc171206726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135</w:t>
        </w:r>
        <w:r w:rsidRPr="0025565B">
          <w:rPr>
            <w:rFonts w:ascii="Arial" w:hAnsi="Arial" w:cs="Arial"/>
            <w:noProof/>
            <w:webHidden/>
            <w:sz w:val="24"/>
            <w:szCs w:val="24"/>
          </w:rPr>
          <w:fldChar w:fldCharType="end"/>
        </w:r>
      </w:hyperlink>
    </w:p>
    <w:p w14:paraId="37BF4326" w14:textId="06D6BC28"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27" w:history="1">
        <w:r w:rsidRPr="0025565B">
          <w:rPr>
            <w:rStyle w:val="Hyperlink"/>
            <w:rFonts w:ascii="Arial" w:hAnsi="Arial" w:cs="Arial"/>
            <w:b/>
            <w:bCs/>
            <w:noProof/>
            <w:sz w:val="24"/>
            <w:szCs w:val="24"/>
          </w:rPr>
          <w:t>Table 14:</w:t>
        </w:r>
        <w:r w:rsidRPr="0025565B">
          <w:rPr>
            <w:rStyle w:val="Hyperlink"/>
            <w:rFonts w:ascii="Arial" w:hAnsi="Arial" w:cs="Arial"/>
            <w:noProof/>
            <w:sz w:val="24"/>
            <w:szCs w:val="24"/>
          </w:rPr>
          <w:t xml:space="preserve"> Comparison of the individualised "actual" and </w:t>
        </w:r>
        <w:r w:rsidR="007214BC">
          <w:rPr>
            <w:rStyle w:val="Hyperlink"/>
            <w:rFonts w:ascii="Arial" w:hAnsi="Arial" w:cs="Arial"/>
            <w:noProof/>
            <w:sz w:val="24"/>
            <w:szCs w:val="24"/>
          </w:rPr>
          <w:t xml:space="preserve">post-vFFR </w:t>
        </w:r>
        <w:r w:rsidRPr="0025565B">
          <w:rPr>
            <w:rStyle w:val="Hyperlink"/>
            <w:rFonts w:ascii="Arial" w:hAnsi="Arial" w:cs="Arial"/>
            <w:noProof/>
            <w:sz w:val="24"/>
            <w:szCs w:val="24"/>
          </w:rPr>
          <w:t>"virtual" costs of the index procedure for the CCS patients (n=26) in the virtual change subset according to parent cardiologists’ plans</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_Toc171206727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137</w:t>
        </w:r>
        <w:r w:rsidRPr="0025565B">
          <w:rPr>
            <w:rFonts w:ascii="Arial" w:hAnsi="Arial" w:cs="Arial"/>
            <w:noProof/>
            <w:webHidden/>
            <w:sz w:val="24"/>
            <w:szCs w:val="24"/>
          </w:rPr>
          <w:fldChar w:fldCharType="end"/>
        </w:r>
      </w:hyperlink>
    </w:p>
    <w:p w14:paraId="3F7FDBC0" w14:textId="0D9E9743"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28" w:history="1">
        <w:r w:rsidRPr="0025565B">
          <w:rPr>
            <w:rStyle w:val="Hyperlink"/>
            <w:rFonts w:ascii="Arial" w:hAnsi="Arial" w:cs="Arial"/>
            <w:b/>
            <w:bCs/>
            <w:noProof/>
            <w:sz w:val="24"/>
            <w:szCs w:val="24"/>
          </w:rPr>
          <w:t>Table 15</w:t>
        </w:r>
        <w:r w:rsidRPr="0025565B">
          <w:rPr>
            <w:rStyle w:val="Hyperlink"/>
            <w:rFonts w:ascii="Arial" w:hAnsi="Arial" w:cs="Arial"/>
            <w:noProof/>
            <w:sz w:val="24"/>
            <w:szCs w:val="24"/>
          </w:rPr>
          <w:t>: Individualised pre- and post-vFFR management plans and associated change in the costs of indexed procedures according to the expert MDT-1 for the virtual change subset patients</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_Toc171206728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144</w:t>
        </w:r>
        <w:r w:rsidRPr="0025565B">
          <w:rPr>
            <w:rFonts w:ascii="Arial" w:hAnsi="Arial" w:cs="Arial"/>
            <w:noProof/>
            <w:webHidden/>
            <w:sz w:val="24"/>
            <w:szCs w:val="24"/>
          </w:rPr>
          <w:fldChar w:fldCharType="end"/>
        </w:r>
      </w:hyperlink>
    </w:p>
    <w:p w14:paraId="271E3183" w14:textId="6F059978"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29" w:history="1">
        <w:r w:rsidRPr="0025565B">
          <w:rPr>
            <w:rStyle w:val="Hyperlink"/>
            <w:rFonts w:ascii="Arial" w:hAnsi="Arial" w:cs="Arial"/>
            <w:b/>
            <w:bCs/>
            <w:noProof/>
            <w:sz w:val="24"/>
            <w:szCs w:val="24"/>
          </w:rPr>
          <w:t>Table 16</w:t>
        </w:r>
        <w:r w:rsidRPr="0025565B">
          <w:rPr>
            <w:rStyle w:val="Hyperlink"/>
            <w:rFonts w:ascii="Arial" w:hAnsi="Arial" w:cs="Arial"/>
            <w:noProof/>
            <w:sz w:val="24"/>
            <w:szCs w:val="24"/>
          </w:rPr>
          <w:t>: Individualised pre- and post-vFFR management plans and associated change in the costs of indexed procedures according to the expert MDT-2 for the virtual change subset patients</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_Toc171206729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147</w:t>
        </w:r>
        <w:r w:rsidRPr="0025565B">
          <w:rPr>
            <w:rFonts w:ascii="Arial" w:hAnsi="Arial" w:cs="Arial"/>
            <w:noProof/>
            <w:webHidden/>
            <w:sz w:val="24"/>
            <w:szCs w:val="24"/>
          </w:rPr>
          <w:fldChar w:fldCharType="end"/>
        </w:r>
      </w:hyperlink>
    </w:p>
    <w:p w14:paraId="4C5E437C" w14:textId="077F80B4"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30" w:history="1">
        <w:r w:rsidRPr="0025565B">
          <w:rPr>
            <w:rStyle w:val="Hyperlink"/>
            <w:rFonts w:ascii="Arial" w:hAnsi="Arial" w:cs="Arial"/>
            <w:b/>
            <w:bCs/>
            <w:noProof/>
            <w:sz w:val="24"/>
            <w:szCs w:val="24"/>
          </w:rPr>
          <w:t>Table 17:</w:t>
        </w:r>
        <w:r w:rsidRPr="0025565B">
          <w:rPr>
            <w:rStyle w:val="Hyperlink"/>
            <w:rFonts w:ascii="Arial" w:hAnsi="Arial" w:cs="Arial"/>
            <w:noProof/>
            <w:sz w:val="24"/>
            <w:szCs w:val="24"/>
          </w:rPr>
          <w:t xml:space="preserve"> Comparison of the individualised "actual" and </w:t>
        </w:r>
        <w:r w:rsidR="007214BC">
          <w:rPr>
            <w:rStyle w:val="Hyperlink"/>
            <w:rFonts w:ascii="Arial" w:hAnsi="Arial" w:cs="Arial"/>
            <w:noProof/>
            <w:sz w:val="24"/>
            <w:szCs w:val="24"/>
          </w:rPr>
          <w:t xml:space="preserve">post-vFFR </w:t>
        </w:r>
        <w:r w:rsidRPr="0025565B">
          <w:rPr>
            <w:rStyle w:val="Hyperlink"/>
            <w:rFonts w:ascii="Arial" w:hAnsi="Arial" w:cs="Arial"/>
            <w:noProof/>
            <w:sz w:val="24"/>
            <w:szCs w:val="24"/>
          </w:rPr>
          <w:t xml:space="preserve">"virtual" </w:t>
        </w:r>
        <w:r w:rsidR="007214BC">
          <w:rPr>
            <w:rStyle w:val="Hyperlink"/>
            <w:rFonts w:ascii="Arial" w:hAnsi="Arial" w:cs="Arial"/>
            <w:noProof/>
            <w:sz w:val="24"/>
            <w:szCs w:val="24"/>
          </w:rPr>
          <w:t xml:space="preserve">QOL </w:t>
        </w:r>
        <w:r w:rsidRPr="0025565B">
          <w:rPr>
            <w:rStyle w:val="Hyperlink"/>
            <w:rFonts w:ascii="Arial" w:hAnsi="Arial" w:cs="Arial"/>
            <w:noProof/>
            <w:sz w:val="24"/>
            <w:szCs w:val="24"/>
          </w:rPr>
          <w:t>scores of ACS patients in the virtual change subset at one year</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_Toc171206730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195</w:t>
        </w:r>
        <w:r w:rsidRPr="0025565B">
          <w:rPr>
            <w:rFonts w:ascii="Arial" w:hAnsi="Arial" w:cs="Arial"/>
            <w:noProof/>
            <w:webHidden/>
            <w:sz w:val="24"/>
            <w:szCs w:val="24"/>
          </w:rPr>
          <w:fldChar w:fldCharType="end"/>
        </w:r>
      </w:hyperlink>
    </w:p>
    <w:p w14:paraId="574FBE2B" w14:textId="6B6EA297" w:rsidR="0025565B" w:rsidRPr="0025565B" w:rsidRDefault="0025565B" w:rsidP="007C4A6F">
      <w:pPr>
        <w:pStyle w:val="TableofFigures"/>
        <w:tabs>
          <w:tab w:val="right" w:leader="dot" w:pos="9016"/>
        </w:tabs>
        <w:spacing w:line="360" w:lineRule="auto"/>
        <w:jc w:val="both"/>
        <w:rPr>
          <w:rFonts w:ascii="Arial" w:eastAsiaTheme="minorEastAsia" w:hAnsi="Arial" w:cs="Arial"/>
          <w:noProof/>
          <w:kern w:val="2"/>
          <w:sz w:val="24"/>
          <w:szCs w:val="24"/>
          <w:lang w:eastAsia="en-GB"/>
        </w:rPr>
      </w:pPr>
      <w:hyperlink w:anchor="_Toc171206731" w:history="1">
        <w:r w:rsidRPr="0025565B">
          <w:rPr>
            <w:rStyle w:val="Hyperlink"/>
            <w:rFonts w:ascii="Arial" w:hAnsi="Arial" w:cs="Arial"/>
            <w:b/>
            <w:bCs/>
            <w:noProof/>
            <w:sz w:val="24"/>
            <w:szCs w:val="24"/>
          </w:rPr>
          <w:t>Table 18</w:t>
        </w:r>
        <w:r w:rsidRPr="0025565B">
          <w:rPr>
            <w:rStyle w:val="Hyperlink"/>
            <w:rFonts w:ascii="Arial" w:hAnsi="Arial" w:cs="Arial"/>
            <w:noProof/>
            <w:sz w:val="24"/>
            <w:szCs w:val="24"/>
          </w:rPr>
          <w:t xml:space="preserve">: Comparison of the individualised "actual" and </w:t>
        </w:r>
        <w:r w:rsidR="007214BC">
          <w:rPr>
            <w:rStyle w:val="Hyperlink"/>
            <w:rFonts w:ascii="Arial" w:hAnsi="Arial" w:cs="Arial"/>
            <w:noProof/>
            <w:sz w:val="24"/>
            <w:szCs w:val="24"/>
          </w:rPr>
          <w:t xml:space="preserve">post-vFFR </w:t>
        </w:r>
        <w:r w:rsidRPr="0025565B">
          <w:rPr>
            <w:rStyle w:val="Hyperlink"/>
            <w:rFonts w:ascii="Arial" w:hAnsi="Arial" w:cs="Arial"/>
            <w:noProof/>
            <w:sz w:val="24"/>
            <w:szCs w:val="24"/>
          </w:rPr>
          <w:t xml:space="preserve">"virtual" </w:t>
        </w:r>
        <w:r w:rsidR="007214BC">
          <w:rPr>
            <w:rStyle w:val="Hyperlink"/>
            <w:rFonts w:ascii="Arial" w:hAnsi="Arial" w:cs="Arial"/>
            <w:noProof/>
            <w:sz w:val="24"/>
            <w:szCs w:val="24"/>
          </w:rPr>
          <w:t xml:space="preserve">QOL </w:t>
        </w:r>
        <w:r w:rsidRPr="0025565B">
          <w:rPr>
            <w:rStyle w:val="Hyperlink"/>
            <w:rFonts w:ascii="Arial" w:hAnsi="Arial" w:cs="Arial"/>
            <w:noProof/>
            <w:sz w:val="24"/>
            <w:szCs w:val="24"/>
          </w:rPr>
          <w:t>scores</w:t>
        </w:r>
        <w:r w:rsidR="007214BC">
          <w:rPr>
            <w:rStyle w:val="Hyperlink"/>
            <w:rFonts w:ascii="Arial" w:hAnsi="Arial" w:cs="Arial"/>
            <w:noProof/>
            <w:sz w:val="24"/>
            <w:szCs w:val="24"/>
          </w:rPr>
          <w:t xml:space="preserve"> </w:t>
        </w:r>
        <w:r w:rsidRPr="0025565B">
          <w:rPr>
            <w:rStyle w:val="Hyperlink"/>
            <w:rFonts w:ascii="Arial" w:hAnsi="Arial" w:cs="Arial"/>
            <w:noProof/>
            <w:sz w:val="24"/>
            <w:szCs w:val="24"/>
          </w:rPr>
          <w:t>of CCS patients in the virtual change subset at one year</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_Toc171206731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197</w:t>
        </w:r>
        <w:r w:rsidRPr="0025565B">
          <w:rPr>
            <w:rFonts w:ascii="Arial" w:hAnsi="Arial" w:cs="Arial"/>
            <w:noProof/>
            <w:webHidden/>
            <w:sz w:val="24"/>
            <w:szCs w:val="24"/>
          </w:rPr>
          <w:fldChar w:fldCharType="end"/>
        </w:r>
      </w:hyperlink>
    </w:p>
    <w:p w14:paraId="293F5475" w14:textId="5E8A5F56" w:rsidR="0025565B" w:rsidRDefault="0025565B" w:rsidP="007C4A6F">
      <w:pPr>
        <w:pStyle w:val="TableofFigures"/>
        <w:tabs>
          <w:tab w:val="right" w:leader="dot" w:pos="9016"/>
        </w:tabs>
        <w:spacing w:line="360" w:lineRule="auto"/>
        <w:jc w:val="both"/>
        <w:rPr>
          <w:rFonts w:eastAsiaTheme="minorEastAsia"/>
          <w:noProof/>
          <w:kern w:val="2"/>
          <w:sz w:val="24"/>
          <w:szCs w:val="24"/>
          <w:lang w:eastAsia="en-GB"/>
        </w:rPr>
      </w:pPr>
      <w:hyperlink w:anchor="_Toc171206732" w:history="1">
        <w:r w:rsidRPr="0025565B">
          <w:rPr>
            <w:rStyle w:val="Hyperlink"/>
            <w:rFonts w:ascii="Arial" w:hAnsi="Arial" w:cs="Arial"/>
            <w:b/>
            <w:bCs/>
            <w:noProof/>
            <w:sz w:val="24"/>
            <w:szCs w:val="24"/>
          </w:rPr>
          <w:t>Table 19</w:t>
        </w:r>
        <w:r w:rsidRPr="0025565B">
          <w:rPr>
            <w:rStyle w:val="Hyperlink"/>
            <w:rFonts w:ascii="Arial" w:hAnsi="Arial" w:cs="Arial"/>
            <w:noProof/>
            <w:sz w:val="24"/>
            <w:szCs w:val="24"/>
          </w:rPr>
          <w:t>: Individualised "actual" and post-vFFR "virtual" outcomes from parent cardiologists’ treatment plans within the virtual change subset</w:t>
        </w:r>
        <w:r w:rsidRPr="0025565B">
          <w:rPr>
            <w:rFonts w:ascii="Arial" w:hAnsi="Arial" w:cs="Arial"/>
            <w:noProof/>
            <w:webHidden/>
            <w:sz w:val="24"/>
            <w:szCs w:val="24"/>
          </w:rPr>
          <w:tab/>
        </w:r>
        <w:r w:rsidRPr="0025565B">
          <w:rPr>
            <w:rFonts w:ascii="Arial" w:hAnsi="Arial" w:cs="Arial"/>
            <w:noProof/>
            <w:webHidden/>
            <w:sz w:val="24"/>
            <w:szCs w:val="24"/>
          </w:rPr>
          <w:fldChar w:fldCharType="begin"/>
        </w:r>
        <w:r w:rsidRPr="0025565B">
          <w:rPr>
            <w:rFonts w:ascii="Arial" w:hAnsi="Arial" w:cs="Arial"/>
            <w:noProof/>
            <w:webHidden/>
            <w:sz w:val="24"/>
            <w:szCs w:val="24"/>
          </w:rPr>
          <w:instrText xml:space="preserve"> PAGEREF _Toc171206732 \h </w:instrText>
        </w:r>
        <w:r w:rsidRPr="0025565B">
          <w:rPr>
            <w:rFonts w:ascii="Arial" w:hAnsi="Arial" w:cs="Arial"/>
            <w:noProof/>
            <w:webHidden/>
            <w:sz w:val="24"/>
            <w:szCs w:val="24"/>
          </w:rPr>
        </w:r>
        <w:r w:rsidRPr="0025565B">
          <w:rPr>
            <w:rFonts w:ascii="Arial" w:hAnsi="Arial" w:cs="Arial"/>
            <w:noProof/>
            <w:webHidden/>
            <w:sz w:val="24"/>
            <w:szCs w:val="24"/>
          </w:rPr>
          <w:fldChar w:fldCharType="separate"/>
        </w:r>
        <w:r w:rsidRPr="0025565B">
          <w:rPr>
            <w:rFonts w:ascii="Arial" w:hAnsi="Arial" w:cs="Arial"/>
            <w:noProof/>
            <w:webHidden/>
            <w:sz w:val="24"/>
            <w:szCs w:val="24"/>
          </w:rPr>
          <w:t>199</w:t>
        </w:r>
        <w:r w:rsidRPr="0025565B">
          <w:rPr>
            <w:rFonts w:ascii="Arial" w:hAnsi="Arial" w:cs="Arial"/>
            <w:noProof/>
            <w:webHidden/>
            <w:sz w:val="24"/>
            <w:szCs w:val="24"/>
          </w:rPr>
          <w:fldChar w:fldCharType="end"/>
        </w:r>
      </w:hyperlink>
    </w:p>
    <w:p w14:paraId="32E9917A" w14:textId="05147C0B" w:rsidR="004942B6" w:rsidRPr="00996E1A" w:rsidRDefault="0025565B" w:rsidP="007C4A6F">
      <w:pPr>
        <w:spacing w:line="360" w:lineRule="auto"/>
        <w:jc w:val="both"/>
        <w:rPr>
          <w:rFonts w:ascii="Arial" w:hAnsi="Arial" w:cs="Arial"/>
          <w:sz w:val="24"/>
          <w:szCs w:val="24"/>
        </w:rPr>
      </w:pPr>
      <w:r>
        <w:rPr>
          <w:rFonts w:ascii="Arial" w:hAnsi="Arial" w:cs="Arial"/>
          <w:sz w:val="24"/>
          <w:szCs w:val="24"/>
        </w:rPr>
        <w:fldChar w:fldCharType="end"/>
      </w:r>
      <w:r w:rsidR="00A32A2E" w:rsidRPr="00996E1A">
        <w:rPr>
          <w:rFonts w:ascii="Arial" w:hAnsi="Arial" w:cs="Arial"/>
          <w:b/>
          <w:bCs/>
          <w:sz w:val="24"/>
          <w:szCs w:val="24"/>
        </w:rPr>
        <w:t>Table 20:</w:t>
      </w:r>
      <w:r w:rsidR="00A32A2E" w:rsidRPr="00996E1A">
        <w:rPr>
          <w:rFonts w:ascii="Arial" w:hAnsi="Arial" w:cs="Arial"/>
          <w:sz w:val="24"/>
          <w:szCs w:val="24"/>
        </w:rPr>
        <w:t xml:space="preserve"> </w:t>
      </w:r>
      <w:r w:rsidR="00A43DC0" w:rsidRPr="00996E1A">
        <w:rPr>
          <w:rFonts w:ascii="Arial" w:hAnsi="Arial" w:cs="Arial"/>
          <w:sz w:val="24"/>
          <w:szCs w:val="24"/>
        </w:rPr>
        <w:t>Comparison of the individualised "actual" and "virtual" EQ-VAS and EQ-indexed scores of ACS patients in the virtual chang</w:t>
      </w:r>
      <w:r w:rsidR="00B522AD">
        <w:rPr>
          <w:rFonts w:ascii="Arial" w:hAnsi="Arial" w:cs="Arial"/>
          <w:sz w:val="24"/>
          <w:szCs w:val="24"/>
        </w:rPr>
        <w:t xml:space="preserve">e subset………………………  </w:t>
      </w:r>
      <w:r w:rsidR="00996E1A" w:rsidRPr="00996E1A">
        <w:rPr>
          <w:rFonts w:ascii="Arial" w:hAnsi="Arial" w:cs="Arial"/>
          <w:sz w:val="24"/>
          <w:szCs w:val="24"/>
        </w:rPr>
        <w:t>196</w:t>
      </w:r>
    </w:p>
    <w:p w14:paraId="7F8CC849" w14:textId="145B13D5" w:rsidR="00B522AD" w:rsidRPr="00996E1A" w:rsidRDefault="00B522AD" w:rsidP="007C4A6F">
      <w:pPr>
        <w:spacing w:line="360" w:lineRule="auto"/>
        <w:jc w:val="both"/>
        <w:rPr>
          <w:rFonts w:ascii="Arial" w:hAnsi="Arial" w:cs="Arial"/>
          <w:sz w:val="24"/>
          <w:szCs w:val="24"/>
        </w:rPr>
      </w:pPr>
      <w:r w:rsidRPr="00996E1A">
        <w:rPr>
          <w:rFonts w:ascii="Arial" w:hAnsi="Arial" w:cs="Arial"/>
          <w:b/>
          <w:bCs/>
          <w:sz w:val="24"/>
          <w:szCs w:val="24"/>
        </w:rPr>
        <w:t>Table 2</w:t>
      </w:r>
      <w:r>
        <w:rPr>
          <w:rFonts w:ascii="Arial" w:hAnsi="Arial" w:cs="Arial"/>
          <w:b/>
          <w:bCs/>
          <w:sz w:val="24"/>
          <w:szCs w:val="24"/>
        </w:rPr>
        <w:t>1</w:t>
      </w:r>
      <w:r w:rsidRPr="00996E1A">
        <w:rPr>
          <w:rFonts w:ascii="Arial" w:hAnsi="Arial" w:cs="Arial"/>
          <w:b/>
          <w:bCs/>
          <w:sz w:val="24"/>
          <w:szCs w:val="24"/>
        </w:rPr>
        <w:t>:</w:t>
      </w:r>
      <w:r w:rsidRPr="00996E1A">
        <w:rPr>
          <w:rFonts w:ascii="Arial" w:hAnsi="Arial" w:cs="Arial"/>
          <w:sz w:val="24"/>
          <w:szCs w:val="24"/>
        </w:rPr>
        <w:t xml:space="preserve"> Comparison of the individualised "actual" and "virtual" EQ-VAS and EQ-indexed scores of ACS patients in the virtual chang</w:t>
      </w:r>
      <w:r>
        <w:rPr>
          <w:rFonts w:ascii="Arial" w:hAnsi="Arial" w:cs="Arial"/>
          <w:sz w:val="24"/>
          <w:szCs w:val="24"/>
        </w:rPr>
        <w:t xml:space="preserve">e subset………………………  </w:t>
      </w:r>
      <w:r w:rsidRPr="00996E1A">
        <w:rPr>
          <w:rFonts w:ascii="Arial" w:hAnsi="Arial" w:cs="Arial"/>
          <w:sz w:val="24"/>
          <w:szCs w:val="24"/>
        </w:rPr>
        <w:t>19</w:t>
      </w:r>
      <w:r>
        <w:rPr>
          <w:rFonts w:ascii="Arial" w:hAnsi="Arial" w:cs="Arial"/>
          <w:sz w:val="24"/>
          <w:szCs w:val="24"/>
        </w:rPr>
        <w:t>8</w:t>
      </w:r>
    </w:p>
    <w:p w14:paraId="73CDEB9C" w14:textId="0210B677" w:rsidR="00B522AD" w:rsidRPr="00B522AD" w:rsidRDefault="00B522AD" w:rsidP="007C4A6F">
      <w:pPr>
        <w:spacing w:line="360" w:lineRule="auto"/>
        <w:jc w:val="both"/>
        <w:rPr>
          <w:rFonts w:ascii="Arial" w:hAnsi="Arial" w:cs="Arial"/>
          <w:sz w:val="24"/>
          <w:szCs w:val="24"/>
        </w:rPr>
      </w:pPr>
      <w:r w:rsidRPr="00B522AD">
        <w:rPr>
          <w:rFonts w:ascii="Arial" w:hAnsi="Arial" w:cs="Arial"/>
          <w:b/>
          <w:bCs/>
          <w:sz w:val="24"/>
          <w:szCs w:val="24"/>
        </w:rPr>
        <w:t>Table 2</w:t>
      </w:r>
      <w:r w:rsidR="0038075F">
        <w:rPr>
          <w:rFonts w:ascii="Arial" w:hAnsi="Arial" w:cs="Arial"/>
          <w:b/>
          <w:bCs/>
          <w:sz w:val="24"/>
          <w:szCs w:val="24"/>
        </w:rPr>
        <w:t>2</w:t>
      </w:r>
      <w:r w:rsidRPr="00B522AD">
        <w:rPr>
          <w:rFonts w:ascii="Arial" w:hAnsi="Arial" w:cs="Arial"/>
          <w:b/>
          <w:bCs/>
          <w:sz w:val="24"/>
          <w:szCs w:val="24"/>
        </w:rPr>
        <w:t>:</w:t>
      </w:r>
      <w:r w:rsidRPr="00B522AD">
        <w:rPr>
          <w:rFonts w:ascii="Arial" w:hAnsi="Arial" w:cs="Arial"/>
          <w:sz w:val="24"/>
          <w:szCs w:val="24"/>
        </w:rPr>
        <w:t xml:space="preserve"> Individualised "actual" and post-vFFR "virtual" outcomes from parent cardiologists’ treatment plans for the ACS and CCS patients within the virtual change subset</w:t>
      </w:r>
      <w:r>
        <w:rPr>
          <w:rFonts w:ascii="Arial" w:hAnsi="Arial" w:cs="Arial"/>
          <w:sz w:val="24"/>
          <w:szCs w:val="24"/>
        </w:rPr>
        <w:t>.</w:t>
      </w:r>
      <w:r w:rsidRPr="00B522AD">
        <w:rPr>
          <w:rFonts w:ascii="Arial" w:hAnsi="Arial" w:cs="Arial"/>
          <w:sz w:val="24"/>
          <w:szCs w:val="24"/>
        </w:rPr>
        <w:t>…</w:t>
      </w:r>
      <w:r>
        <w:rPr>
          <w:rFonts w:ascii="Arial" w:hAnsi="Arial" w:cs="Arial"/>
          <w:sz w:val="24"/>
          <w:szCs w:val="24"/>
        </w:rPr>
        <w:t>………………………………………………………………………………</w:t>
      </w:r>
      <w:r w:rsidR="00FA7995">
        <w:rPr>
          <w:rFonts w:ascii="Arial" w:hAnsi="Arial" w:cs="Arial"/>
          <w:sz w:val="24"/>
          <w:szCs w:val="24"/>
        </w:rPr>
        <w:t>….</w:t>
      </w:r>
      <w:r w:rsidR="00B46029">
        <w:rPr>
          <w:rFonts w:ascii="Arial" w:hAnsi="Arial" w:cs="Arial"/>
          <w:sz w:val="24"/>
          <w:szCs w:val="24"/>
        </w:rPr>
        <w:t xml:space="preserve">  </w:t>
      </w:r>
      <w:r w:rsidRPr="00B522AD">
        <w:rPr>
          <w:rFonts w:ascii="Arial" w:hAnsi="Arial" w:cs="Arial"/>
          <w:sz w:val="24"/>
          <w:szCs w:val="24"/>
        </w:rPr>
        <w:t>200</w:t>
      </w:r>
    </w:p>
    <w:p w14:paraId="034F7B73" w14:textId="77777777" w:rsidR="00A43DC0" w:rsidRDefault="00A43DC0" w:rsidP="004942B6">
      <w:pPr>
        <w:spacing w:line="360" w:lineRule="auto"/>
        <w:jc w:val="both"/>
        <w:rPr>
          <w:rFonts w:ascii="Arial" w:hAnsi="Arial" w:cs="Arial"/>
          <w:sz w:val="24"/>
          <w:szCs w:val="24"/>
        </w:rPr>
      </w:pPr>
    </w:p>
    <w:p w14:paraId="2A51A6ED" w14:textId="77777777" w:rsidR="004942B6" w:rsidRDefault="004942B6" w:rsidP="004942B6">
      <w:pPr>
        <w:spacing w:line="360" w:lineRule="auto"/>
        <w:jc w:val="both"/>
        <w:rPr>
          <w:rFonts w:ascii="Arial" w:hAnsi="Arial" w:cs="Arial"/>
          <w:sz w:val="24"/>
          <w:szCs w:val="24"/>
        </w:rPr>
      </w:pPr>
    </w:p>
    <w:p w14:paraId="197D93E3" w14:textId="77777777" w:rsidR="004942B6" w:rsidRDefault="004942B6" w:rsidP="004942B6">
      <w:pPr>
        <w:spacing w:line="360" w:lineRule="auto"/>
        <w:jc w:val="both"/>
        <w:rPr>
          <w:rFonts w:ascii="Arial" w:hAnsi="Arial" w:cs="Arial"/>
          <w:sz w:val="24"/>
          <w:szCs w:val="24"/>
        </w:rPr>
      </w:pPr>
    </w:p>
    <w:p w14:paraId="019F3161" w14:textId="77777777" w:rsidR="004942B6" w:rsidRDefault="004942B6" w:rsidP="004942B6">
      <w:pPr>
        <w:spacing w:line="360" w:lineRule="auto"/>
        <w:jc w:val="both"/>
        <w:rPr>
          <w:rFonts w:ascii="Arial" w:hAnsi="Arial" w:cs="Arial"/>
          <w:sz w:val="24"/>
          <w:szCs w:val="24"/>
        </w:rPr>
      </w:pPr>
    </w:p>
    <w:p w14:paraId="5335F568" w14:textId="77777777" w:rsidR="004942B6" w:rsidRDefault="004942B6" w:rsidP="004942B6">
      <w:pPr>
        <w:spacing w:line="360" w:lineRule="auto"/>
        <w:jc w:val="both"/>
        <w:rPr>
          <w:rFonts w:ascii="Arial" w:hAnsi="Arial" w:cs="Arial"/>
          <w:sz w:val="24"/>
          <w:szCs w:val="24"/>
        </w:rPr>
      </w:pPr>
    </w:p>
    <w:p w14:paraId="58148633" w14:textId="77777777" w:rsidR="004942B6" w:rsidRDefault="004942B6" w:rsidP="004942B6">
      <w:pPr>
        <w:spacing w:line="360" w:lineRule="auto"/>
        <w:jc w:val="both"/>
        <w:rPr>
          <w:rFonts w:ascii="Arial" w:hAnsi="Arial" w:cs="Arial"/>
          <w:sz w:val="24"/>
          <w:szCs w:val="24"/>
        </w:rPr>
      </w:pPr>
    </w:p>
    <w:p w14:paraId="266D3BA7" w14:textId="77777777" w:rsidR="004942B6" w:rsidRDefault="004942B6" w:rsidP="004942B6">
      <w:pPr>
        <w:spacing w:line="360" w:lineRule="auto"/>
        <w:jc w:val="both"/>
        <w:rPr>
          <w:rFonts w:ascii="Arial" w:hAnsi="Arial" w:cs="Arial"/>
          <w:sz w:val="24"/>
          <w:szCs w:val="24"/>
        </w:rPr>
      </w:pPr>
    </w:p>
    <w:p w14:paraId="47964970" w14:textId="77777777" w:rsidR="004942B6" w:rsidRDefault="004942B6" w:rsidP="004942B6">
      <w:pPr>
        <w:spacing w:line="360" w:lineRule="auto"/>
        <w:jc w:val="both"/>
        <w:rPr>
          <w:rFonts w:ascii="Arial" w:hAnsi="Arial" w:cs="Arial"/>
          <w:sz w:val="24"/>
          <w:szCs w:val="24"/>
        </w:rPr>
      </w:pPr>
    </w:p>
    <w:p w14:paraId="6B8C2A5F" w14:textId="77777777" w:rsidR="004942B6" w:rsidRDefault="004942B6" w:rsidP="004942B6">
      <w:pPr>
        <w:spacing w:line="360" w:lineRule="auto"/>
        <w:jc w:val="both"/>
        <w:rPr>
          <w:rFonts w:ascii="Arial" w:hAnsi="Arial" w:cs="Arial"/>
          <w:sz w:val="24"/>
          <w:szCs w:val="24"/>
        </w:rPr>
      </w:pPr>
    </w:p>
    <w:p w14:paraId="7B4272CC" w14:textId="77777777" w:rsidR="004942B6" w:rsidRDefault="004942B6" w:rsidP="004942B6">
      <w:pPr>
        <w:spacing w:line="360" w:lineRule="auto"/>
        <w:jc w:val="both"/>
        <w:rPr>
          <w:rFonts w:ascii="Arial" w:hAnsi="Arial" w:cs="Arial"/>
          <w:sz w:val="24"/>
          <w:szCs w:val="24"/>
        </w:rPr>
      </w:pPr>
    </w:p>
    <w:p w14:paraId="3F3AF8B7" w14:textId="77777777" w:rsidR="004942B6" w:rsidRDefault="004942B6" w:rsidP="004942B6">
      <w:pPr>
        <w:spacing w:line="360" w:lineRule="auto"/>
        <w:jc w:val="both"/>
        <w:rPr>
          <w:rFonts w:ascii="Arial" w:hAnsi="Arial" w:cs="Arial"/>
          <w:sz w:val="24"/>
          <w:szCs w:val="24"/>
        </w:rPr>
      </w:pPr>
    </w:p>
    <w:p w14:paraId="34265371" w14:textId="77777777" w:rsidR="0025565B" w:rsidRDefault="0025565B" w:rsidP="004942B6">
      <w:pPr>
        <w:spacing w:line="360" w:lineRule="auto"/>
        <w:jc w:val="both"/>
        <w:rPr>
          <w:rFonts w:ascii="Arial" w:hAnsi="Arial" w:cs="Arial"/>
          <w:sz w:val="24"/>
          <w:szCs w:val="24"/>
        </w:rPr>
      </w:pPr>
    </w:p>
    <w:p w14:paraId="54646104" w14:textId="77777777" w:rsidR="004942B6" w:rsidRDefault="004942B6" w:rsidP="004942B6">
      <w:pPr>
        <w:spacing w:line="360" w:lineRule="auto"/>
        <w:jc w:val="both"/>
        <w:rPr>
          <w:rFonts w:ascii="Arial" w:hAnsi="Arial" w:cs="Arial"/>
          <w:sz w:val="24"/>
          <w:szCs w:val="24"/>
        </w:rPr>
      </w:pPr>
    </w:p>
    <w:p w14:paraId="74476E27" w14:textId="77777777" w:rsidR="00762C60" w:rsidRDefault="00762C60" w:rsidP="004942B6">
      <w:pPr>
        <w:spacing w:line="360" w:lineRule="auto"/>
        <w:jc w:val="both"/>
        <w:rPr>
          <w:rFonts w:ascii="Arial" w:hAnsi="Arial" w:cs="Arial"/>
          <w:sz w:val="24"/>
          <w:szCs w:val="24"/>
        </w:rPr>
      </w:pPr>
    </w:p>
    <w:p w14:paraId="29EABCCF" w14:textId="77777777" w:rsidR="004942B6" w:rsidRDefault="004942B6" w:rsidP="004942B6">
      <w:pPr>
        <w:spacing w:line="360" w:lineRule="auto"/>
        <w:jc w:val="both"/>
        <w:rPr>
          <w:rFonts w:ascii="Arial" w:hAnsi="Arial" w:cs="Arial"/>
          <w:sz w:val="24"/>
          <w:szCs w:val="24"/>
        </w:rPr>
      </w:pPr>
    </w:p>
    <w:p w14:paraId="075D1A0D" w14:textId="77777777" w:rsidR="0025565B" w:rsidRDefault="0025565B" w:rsidP="004942B6">
      <w:pPr>
        <w:spacing w:line="360" w:lineRule="auto"/>
        <w:jc w:val="both"/>
        <w:rPr>
          <w:rFonts w:ascii="Arial" w:hAnsi="Arial" w:cs="Arial"/>
          <w:sz w:val="24"/>
          <w:szCs w:val="24"/>
        </w:rPr>
      </w:pPr>
    </w:p>
    <w:p w14:paraId="2D5A0952" w14:textId="0BA8067C" w:rsidR="00E7036A" w:rsidRDefault="00E7036A">
      <w:pPr>
        <w:rPr>
          <w:rFonts w:ascii="Arial" w:eastAsiaTheme="majorEastAsia" w:hAnsi="Arial" w:cs="Arial"/>
          <w:color w:val="2F5496" w:themeColor="accent1" w:themeShade="BF"/>
          <w:sz w:val="24"/>
          <w:szCs w:val="24"/>
        </w:rPr>
      </w:pPr>
      <w:r>
        <w:rPr>
          <w:rFonts w:ascii="Arial" w:hAnsi="Arial" w:cs="Arial"/>
          <w:sz w:val="24"/>
          <w:szCs w:val="24"/>
        </w:rPr>
        <w:br w:type="page"/>
      </w:r>
    </w:p>
    <w:p w14:paraId="7A1696EC" w14:textId="77777777" w:rsidR="004942B6" w:rsidRPr="00F605C6" w:rsidRDefault="004942B6" w:rsidP="004942B6">
      <w:pPr>
        <w:pStyle w:val="Heading1"/>
        <w:rPr>
          <w:rFonts w:ascii="Arial" w:hAnsi="Arial" w:cs="Arial"/>
          <w:b/>
          <w:bCs/>
          <w:color w:val="4472C4" w:themeColor="accent1"/>
        </w:rPr>
      </w:pPr>
      <w:bookmarkStart w:id="6" w:name="_Toc171203838"/>
      <w:r w:rsidRPr="00F605C6">
        <w:rPr>
          <w:rFonts w:ascii="Arial" w:hAnsi="Arial" w:cs="Arial"/>
          <w:b/>
          <w:bCs/>
          <w:color w:val="4472C4" w:themeColor="accent1"/>
        </w:rPr>
        <w:lastRenderedPageBreak/>
        <w:t>1. Introduction</w:t>
      </w:r>
      <w:bookmarkEnd w:id="6"/>
    </w:p>
    <w:p w14:paraId="4FA8E7A0" w14:textId="77777777" w:rsidR="004942B6" w:rsidRPr="00267BA2" w:rsidRDefault="004942B6" w:rsidP="004942B6">
      <w:pPr>
        <w:spacing w:line="360" w:lineRule="auto"/>
        <w:jc w:val="both"/>
        <w:rPr>
          <w:rFonts w:ascii="Arial" w:hAnsi="Arial" w:cs="Arial"/>
          <w:color w:val="4472C4" w:themeColor="accent1"/>
          <w:sz w:val="24"/>
          <w:szCs w:val="24"/>
        </w:rPr>
      </w:pPr>
    </w:p>
    <w:p w14:paraId="1DCAC3C3" w14:textId="79781B62" w:rsidR="004942B6" w:rsidRPr="00BC5384" w:rsidRDefault="00F605C6" w:rsidP="00B73D7D">
      <w:pPr>
        <w:pStyle w:val="Heading2"/>
        <w:numPr>
          <w:ilvl w:val="1"/>
          <w:numId w:val="7"/>
        </w:numPr>
        <w:spacing w:line="360" w:lineRule="auto"/>
        <w:jc w:val="both"/>
        <w:rPr>
          <w:rFonts w:ascii="Arial" w:hAnsi="Arial" w:cs="Arial"/>
          <w:color w:val="4472C4" w:themeColor="accent1"/>
          <w:sz w:val="28"/>
          <w:szCs w:val="28"/>
        </w:rPr>
      </w:pPr>
      <w:bookmarkStart w:id="7" w:name="_Toc171203839"/>
      <w:r>
        <w:rPr>
          <w:rFonts w:ascii="Arial" w:hAnsi="Arial" w:cs="Arial"/>
          <w:color w:val="4472C4" w:themeColor="accent1"/>
          <w:sz w:val="28"/>
          <w:szCs w:val="28"/>
        </w:rPr>
        <w:t xml:space="preserve"> </w:t>
      </w:r>
      <w:r w:rsidR="004942B6" w:rsidRPr="00BC5384">
        <w:rPr>
          <w:rFonts w:ascii="Arial" w:hAnsi="Arial" w:cs="Arial"/>
          <w:color w:val="4472C4" w:themeColor="accent1"/>
          <w:sz w:val="28"/>
          <w:szCs w:val="28"/>
        </w:rPr>
        <w:t xml:space="preserve">Coronary </w:t>
      </w:r>
      <w:r w:rsidR="00B73D7D" w:rsidRPr="00BC5384">
        <w:rPr>
          <w:rFonts w:ascii="Arial" w:hAnsi="Arial" w:cs="Arial"/>
          <w:color w:val="4472C4" w:themeColor="accent1"/>
          <w:sz w:val="28"/>
          <w:szCs w:val="28"/>
        </w:rPr>
        <w:t>a</w:t>
      </w:r>
      <w:r w:rsidR="004942B6" w:rsidRPr="00BC5384">
        <w:rPr>
          <w:rFonts w:ascii="Arial" w:hAnsi="Arial" w:cs="Arial"/>
          <w:color w:val="4472C4" w:themeColor="accent1"/>
          <w:sz w:val="28"/>
          <w:szCs w:val="28"/>
        </w:rPr>
        <w:t xml:space="preserve">rtery </w:t>
      </w:r>
      <w:r w:rsidR="00B73D7D" w:rsidRPr="00BC5384">
        <w:rPr>
          <w:rFonts w:ascii="Arial" w:hAnsi="Arial" w:cs="Arial"/>
          <w:color w:val="4472C4" w:themeColor="accent1"/>
          <w:sz w:val="28"/>
          <w:szCs w:val="28"/>
        </w:rPr>
        <w:t>d</w:t>
      </w:r>
      <w:r w:rsidR="004942B6" w:rsidRPr="00BC5384">
        <w:rPr>
          <w:rFonts w:ascii="Arial" w:hAnsi="Arial" w:cs="Arial"/>
          <w:color w:val="4472C4" w:themeColor="accent1"/>
          <w:sz w:val="28"/>
          <w:szCs w:val="28"/>
        </w:rPr>
        <w:t>isease (CAD): epidemiology and disease burden</w:t>
      </w:r>
      <w:bookmarkEnd w:id="7"/>
      <w:r w:rsidR="004942B6" w:rsidRPr="00BC5384">
        <w:rPr>
          <w:rFonts w:ascii="Arial" w:hAnsi="Arial" w:cs="Arial"/>
          <w:color w:val="4472C4" w:themeColor="accent1"/>
          <w:sz w:val="28"/>
          <w:szCs w:val="28"/>
        </w:rPr>
        <w:t xml:space="preserve"> </w:t>
      </w:r>
    </w:p>
    <w:p w14:paraId="06C4D321" w14:textId="77777777" w:rsidR="004942B6" w:rsidRPr="00903928" w:rsidRDefault="004942B6" w:rsidP="004942B6">
      <w:pPr>
        <w:pStyle w:val="NormalWeb"/>
        <w:spacing w:before="0" w:beforeAutospacing="0" w:after="0" w:afterAutospacing="0"/>
        <w:jc w:val="both"/>
        <w:rPr>
          <w:rFonts w:ascii="Arial" w:hAnsi="Arial" w:cs="Arial"/>
          <w:color w:val="0E101A"/>
        </w:rPr>
      </w:pPr>
      <w:r w:rsidRPr="000F26F6">
        <w:rPr>
          <w:rFonts w:ascii="Arial" w:hAnsi="Arial" w:cs="Arial"/>
          <w:color w:val="0E101A"/>
        </w:rPr>
        <w:t>Cardiovascular disease (CVD) has been one of the significant causes of mortality and morbidity throughout the world, affecting both developed and developing countries. About one-third of the deaths globally are caused by cardiovascular disorders (CVD). (1) Coronary artery disease constitutes (CAD) the most significant proportion (46%) of CVD-related fatalities. (1) Each year, an estimated 3.8 million men and 3.4 million women die from CAD worldwide. (</w:t>
      </w:r>
      <w:r>
        <w:rPr>
          <w:rFonts w:ascii="Arial" w:hAnsi="Arial" w:cs="Arial"/>
          <w:color w:val="0E101A"/>
        </w:rPr>
        <w:t>2</w:t>
      </w:r>
      <w:r w:rsidRPr="000F26F6">
        <w:rPr>
          <w:rFonts w:ascii="Arial" w:hAnsi="Arial" w:cs="Arial"/>
          <w:color w:val="0E101A"/>
        </w:rPr>
        <w:t>) According to the British Heart Foundation (BHF), CAD is accountable for 66,000 deaths annually in the UK. (</w:t>
      </w:r>
      <w:r>
        <w:rPr>
          <w:rFonts w:ascii="Arial" w:hAnsi="Arial" w:cs="Arial"/>
          <w:color w:val="0E101A"/>
        </w:rPr>
        <w:t>2</w:t>
      </w:r>
      <w:r w:rsidRPr="000F26F6">
        <w:rPr>
          <w:rFonts w:ascii="Arial" w:hAnsi="Arial" w:cs="Arial"/>
          <w:color w:val="0E101A"/>
        </w:rPr>
        <w:t>) Geographically, death rates related to CAD are the highest in Scotland and Northern England. (</w:t>
      </w:r>
      <w:r>
        <w:rPr>
          <w:rFonts w:ascii="Arial" w:hAnsi="Arial" w:cs="Arial"/>
          <w:color w:val="0E101A"/>
        </w:rPr>
        <w:t>3</w:t>
      </w:r>
      <w:r w:rsidRPr="000F26F6">
        <w:rPr>
          <w:rFonts w:ascii="Arial" w:hAnsi="Arial" w:cs="Arial"/>
          <w:color w:val="0E101A"/>
        </w:rPr>
        <w:t>) Similarly, the highest CAD mortality rates are reported amongst people of South Asian ethnicity (Indians, Pakistanis, and Sri Lankans). (</w:t>
      </w:r>
      <w:r>
        <w:rPr>
          <w:rFonts w:ascii="Arial" w:hAnsi="Arial" w:cs="Arial"/>
          <w:color w:val="0E101A"/>
        </w:rPr>
        <w:t>3</w:t>
      </w:r>
      <w:r w:rsidRPr="000F26F6">
        <w:rPr>
          <w:rFonts w:ascii="Arial" w:hAnsi="Arial" w:cs="Arial"/>
          <w:color w:val="0E101A"/>
        </w:rPr>
        <w:t>)</w:t>
      </w:r>
      <w:r>
        <w:rPr>
          <w:rFonts w:ascii="Arial" w:hAnsi="Arial" w:cs="Arial"/>
          <w:color w:val="0E101A"/>
        </w:rPr>
        <w:t xml:space="preserve"> </w:t>
      </w:r>
      <w:r w:rsidRPr="000F26F6">
        <w:rPr>
          <w:rFonts w:ascii="Arial" w:hAnsi="Arial" w:cs="Arial"/>
          <w:color w:val="0E101A"/>
        </w:rPr>
        <w:t>The incidence of coronary artery disease has steadily increased throughout the world in the last few decades. An estimated 2.3 million people in the UK have CAD, with about half a million hospital admissions yearly. (</w:t>
      </w:r>
      <w:r>
        <w:rPr>
          <w:rFonts w:ascii="Arial" w:hAnsi="Arial" w:cs="Arial"/>
          <w:color w:val="0E101A"/>
        </w:rPr>
        <w:t>4</w:t>
      </w:r>
      <w:r w:rsidRPr="000F26F6">
        <w:rPr>
          <w:rFonts w:ascii="Arial" w:hAnsi="Arial" w:cs="Arial"/>
          <w:color w:val="0E101A"/>
        </w:rPr>
        <w:t>) Approximately 100,000 people suffer from a heart attack each year. (</w:t>
      </w:r>
      <w:r>
        <w:rPr>
          <w:rFonts w:ascii="Arial" w:hAnsi="Arial" w:cs="Arial"/>
          <w:color w:val="0E101A"/>
        </w:rPr>
        <w:t>4</w:t>
      </w:r>
      <w:r w:rsidRPr="000F26F6">
        <w:rPr>
          <w:rFonts w:ascii="Arial" w:hAnsi="Arial" w:cs="Arial"/>
          <w:color w:val="0E101A"/>
        </w:rPr>
        <w:t xml:space="preserve">) However, the survival rate after a heart attack has significantly risen to 7/10 compared to 3/10 in the 1960s, </w:t>
      </w:r>
      <w:r>
        <w:rPr>
          <w:rFonts w:ascii="Arial" w:hAnsi="Arial" w:cs="Arial"/>
          <w:color w:val="0E101A"/>
        </w:rPr>
        <w:t xml:space="preserve">presumably </w:t>
      </w:r>
      <w:r w:rsidRPr="000F26F6">
        <w:rPr>
          <w:rFonts w:ascii="Arial" w:hAnsi="Arial" w:cs="Arial"/>
          <w:color w:val="0E101A"/>
        </w:rPr>
        <w:t>owing to the advancement in the available treatment options. (</w:t>
      </w:r>
      <w:r>
        <w:rPr>
          <w:rFonts w:ascii="Arial" w:hAnsi="Arial" w:cs="Arial"/>
          <w:color w:val="0E101A"/>
        </w:rPr>
        <w:t>4</w:t>
      </w:r>
      <w:r w:rsidRPr="000F26F6">
        <w:rPr>
          <w:rFonts w:ascii="Arial" w:hAnsi="Arial" w:cs="Arial"/>
          <w:color w:val="0E101A"/>
        </w:rPr>
        <w:t xml:space="preserve">) CAD represents a significant financial burden of £9bn on UK National Health Services (NHS) annually, of which a significant proportion is spent on providing medications and emergency </w:t>
      </w:r>
      <w:r w:rsidRPr="00903928">
        <w:rPr>
          <w:rFonts w:ascii="Arial" w:hAnsi="Arial" w:cs="Arial"/>
          <w:color w:val="0E101A"/>
        </w:rPr>
        <w:t>hospitalisations in primary and secondary care, respectively. (</w:t>
      </w:r>
      <w:r>
        <w:rPr>
          <w:rFonts w:ascii="Arial" w:hAnsi="Arial" w:cs="Arial"/>
          <w:color w:val="0E101A"/>
        </w:rPr>
        <w:t>2</w:t>
      </w:r>
      <w:r w:rsidRPr="00903928">
        <w:rPr>
          <w:rFonts w:ascii="Arial" w:hAnsi="Arial" w:cs="Arial"/>
          <w:color w:val="0E101A"/>
        </w:rPr>
        <w:t>)</w:t>
      </w:r>
    </w:p>
    <w:p w14:paraId="47E450CF" w14:textId="77777777" w:rsidR="004942B6" w:rsidRPr="00BC5384" w:rsidRDefault="004942B6" w:rsidP="004942B6">
      <w:pPr>
        <w:pStyle w:val="NormalWeb"/>
        <w:spacing w:before="0" w:beforeAutospacing="0" w:after="0" w:afterAutospacing="0"/>
        <w:jc w:val="both"/>
        <w:rPr>
          <w:rFonts w:ascii="Arial" w:hAnsi="Arial" w:cs="Arial"/>
          <w:color w:val="0E101A"/>
          <w:sz w:val="28"/>
          <w:szCs w:val="28"/>
        </w:rPr>
      </w:pPr>
    </w:p>
    <w:p w14:paraId="1CFCFB67" w14:textId="77777777" w:rsidR="004942B6" w:rsidRPr="00BC5384" w:rsidRDefault="004942B6" w:rsidP="004942B6">
      <w:pPr>
        <w:pStyle w:val="Heading2"/>
        <w:spacing w:before="0" w:line="360" w:lineRule="auto"/>
        <w:jc w:val="both"/>
        <w:rPr>
          <w:rFonts w:ascii="Arial" w:hAnsi="Arial" w:cs="Arial"/>
          <w:color w:val="4472C4" w:themeColor="accent1"/>
          <w:sz w:val="28"/>
          <w:szCs w:val="28"/>
        </w:rPr>
      </w:pPr>
      <w:bookmarkStart w:id="8" w:name="_Toc171203840"/>
      <w:r w:rsidRPr="00BC5384">
        <w:rPr>
          <w:rFonts w:ascii="Arial" w:hAnsi="Arial" w:cs="Arial"/>
          <w:color w:val="4472C4" w:themeColor="accent1"/>
          <w:sz w:val="28"/>
          <w:szCs w:val="28"/>
        </w:rPr>
        <w:t>1.2 Pathophysiology of coronary artery disease</w:t>
      </w:r>
      <w:bookmarkEnd w:id="8"/>
    </w:p>
    <w:p w14:paraId="30456EF8" w14:textId="77777777" w:rsidR="004942B6" w:rsidRPr="000F26F6" w:rsidRDefault="004942B6" w:rsidP="004942B6">
      <w:pPr>
        <w:pStyle w:val="NormalWeb"/>
        <w:spacing w:before="0" w:beforeAutospacing="0" w:after="0" w:afterAutospacing="0"/>
        <w:jc w:val="both"/>
        <w:rPr>
          <w:rFonts w:ascii="Arial" w:hAnsi="Arial" w:cs="Arial"/>
          <w:color w:val="0E101A"/>
        </w:rPr>
      </w:pPr>
      <w:r w:rsidRPr="00903928">
        <w:rPr>
          <w:rFonts w:ascii="Arial" w:hAnsi="Arial" w:cs="Arial"/>
          <w:color w:val="0E101A"/>
        </w:rPr>
        <w:t>Atherosclerosis is a chronic inflammatory condition</w:t>
      </w:r>
      <w:r w:rsidRPr="000F26F6">
        <w:rPr>
          <w:rFonts w:ascii="Arial" w:hAnsi="Arial" w:cs="Arial"/>
          <w:color w:val="0E101A"/>
        </w:rPr>
        <w:t xml:space="preserve"> that d</w:t>
      </w:r>
      <w:r>
        <w:rPr>
          <w:rFonts w:ascii="Arial" w:hAnsi="Arial" w:cs="Arial"/>
          <w:color w:val="0E101A"/>
        </w:rPr>
        <w:t>e</w:t>
      </w:r>
      <w:r w:rsidRPr="000F26F6">
        <w:rPr>
          <w:rFonts w:ascii="Arial" w:hAnsi="Arial" w:cs="Arial"/>
          <w:color w:val="0E101A"/>
        </w:rPr>
        <w:t>velops fatty streaks resulting in a gradual build-up of lipid and fibrous materials in the sub-intimal layer of arterial walls. This, in turn, predisposes to increased vessel wall thickness and calcification, which may lead to thrombosis in the event of a plaque rupture. (</w:t>
      </w:r>
      <w:r>
        <w:rPr>
          <w:rFonts w:ascii="Arial" w:hAnsi="Arial" w:cs="Arial"/>
          <w:color w:val="0E101A"/>
        </w:rPr>
        <w:t>5</w:t>
      </w:r>
      <w:r w:rsidRPr="000F26F6">
        <w:rPr>
          <w:rFonts w:ascii="Arial" w:hAnsi="Arial" w:cs="Arial"/>
          <w:color w:val="0E101A"/>
        </w:rPr>
        <w:t>) </w:t>
      </w:r>
    </w:p>
    <w:p w14:paraId="72BEDDAF" w14:textId="77777777" w:rsidR="004942B6" w:rsidRPr="000F26F6" w:rsidRDefault="004942B6" w:rsidP="004942B6">
      <w:pPr>
        <w:pStyle w:val="NormalWeb"/>
        <w:spacing w:before="0" w:beforeAutospacing="0" w:after="0" w:afterAutospacing="0"/>
        <w:jc w:val="both"/>
        <w:rPr>
          <w:rFonts w:ascii="Arial" w:hAnsi="Arial" w:cs="Arial"/>
          <w:color w:val="0E101A"/>
        </w:rPr>
      </w:pPr>
      <w:r w:rsidRPr="000F26F6">
        <w:rPr>
          <w:rFonts w:ascii="Arial" w:hAnsi="Arial" w:cs="Arial"/>
          <w:color w:val="0E101A"/>
        </w:rPr>
        <w:t xml:space="preserve">Following any endothelial lining injury, monocytes, T-cells, and macrophages mount a local inflammatory response. This causes them to migrate into the sub-endothelial space, releasing pro-inflammatory cytokines, inhibiting nitric oxide production, stimulating expression of adhesion molecules like vascular adhesion molecule-1 </w:t>
      </w:r>
      <w:r w:rsidRPr="000F26F6">
        <w:rPr>
          <w:rFonts w:ascii="Arial" w:hAnsi="Arial" w:cs="Arial"/>
          <w:color w:val="0E101A"/>
        </w:rPr>
        <w:lastRenderedPageBreak/>
        <w:t>(VCAM-1), and recruiting smooth muscle cells (SMCs), the exact mechanism for which is not entirely clear. (</w:t>
      </w:r>
      <w:r>
        <w:rPr>
          <w:rFonts w:ascii="Arial" w:hAnsi="Arial" w:cs="Arial"/>
          <w:color w:val="0E101A"/>
        </w:rPr>
        <w:t>6</w:t>
      </w:r>
      <w:r w:rsidRPr="000F26F6">
        <w:rPr>
          <w:rFonts w:ascii="Arial" w:hAnsi="Arial" w:cs="Arial"/>
          <w:color w:val="0E101A"/>
        </w:rPr>
        <w:t>) SMC replication causes dense extracellular matrix accumulation and forms a fibrous cap, constituted by intimal SMCs surrounded by a matrix composed of connective tissue and intra/extracellular lipids. The fibrous plaque formation can distort the laminar blood flow, and the shear hydrostatic forces may cause the plaque to become unstable (fissure or rupture), consequently exposing the lipid-rich core to circulation. (</w:t>
      </w:r>
      <w:r>
        <w:rPr>
          <w:rFonts w:ascii="Arial" w:hAnsi="Arial" w:cs="Arial"/>
          <w:color w:val="0E101A"/>
        </w:rPr>
        <w:t>5,6</w:t>
      </w:r>
      <w:r w:rsidRPr="000F26F6">
        <w:rPr>
          <w:rFonts w:ascii="Arial" w:hAnsi="Arial" w:cs="Arial"/>
          <w:color w:val="0E101A"/>
        </w:rPr>
        <w:t>) This results in the activation of the atherothrombotic response (platelet aggregation, intrinsic and extrinsic pathways), leading to the formation of a thrombus, which can either occlude the artery partially or entirely (see Figure 1). (</w:t>
      </w:r>
      <w:r>
        <w:rPr>
          <w:rFonts w:ascii="Arial" w:hAnsi="Arial" w:cs="Arial"/>
          <w:color w:val="0E101A"/>
        </w:rPr>
        <w:t>6</w:t>
      </w:r>
      <w:r w:rsidRPr="000F26F6">
        <w:rPr>
          <w:rFonts w:ascii="Arial" w:hAnsi="Arial" w:cs="Arial"/>
          <w:color w:val="0E101A"/>
        </w:rPr>
        <w:t>)</w:t>
      </w:r>
    </w:p>
    <w:p w14:paraId="4807D106" w14:textId="3905B6A4" w:rsidR="00633EDB" w:rsidRPr="00EE0E48" w:rsidRDefault="00633EDB" w:rsidP="004942B6">
      <w:pPr>
        <w:spacing w:line="360" w:lineRule="auto"/>
        <w:jc w:val="both"/>
        <w:rPr>
          <w:rFonts w:ascii="Arial" w:hAnsi="Arial" w:cs="Arial"/>
          <w:color w:val="000000" w:themeColor="text1"/>
          <w:sz w:val="24"/>
          <w:szCs w:val="24"/>
          <w:shd w:val="clear" w:color="auto" w:fill="FFFFFF"/>
        </w:rPr>
      </w:pPr>
    </w:p>
    <w:p w14:paraId="2AEB4BD3" w14:textId="32D981BE" w:rsidR="004942B6" w:rsidRPr="00EE0E48" w:rsidRDefault="006B658A" w:rsidP="004942B6">
      <w:pPr>
        <w:keepNext/>
        <w:spacing w:line="360" w:lineRule="auto"/>
        <w:jc w:val="both"/>
        <w:rPr>
          <w:rFonts w:ascii="Arial" w:hAnsi="Arial" w:cs="Arial"/>
          <w:color w:val="000000" w:themeColor="text1"/>
          <w:sz w:val="24"/>
          <w:szCs w:val="24"/>
        </w:rPr>
      </w:pPr>
      <w:r>
        <w:rPr>
          <w:rFonts w:ascii="Arial" w:hAnsi="Arial" w:cs="Arial"/>
          <w:noProof/>
          <w:color w:val="000000" w:themeColor="text1"/>
          <w:sz w:val="24"/>
          <w:szCs w:val="24"/>
          <w:lang w:eastAsia="en-GB"/>
        </w:rPr>
        <w:drawing>
          <wp:inline distT="0" distB="0" distL="0" distR="0" wp14:anchorId="5D532C44" wp14:editId="02DDB7E4">
            <wp:extent cx="5735782" cy="4461884"/>
            <wp:effectExtent l="0" t="0" r="0" b="0"/>
            <wp:docPr id="11349490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49094" name="Picture 1134949094"/>
                    <pic:cNvPicPr/>
                  </pic:nvPicPr>
                  <pic:blipFill rotWithShape="1">
                    <a:blip r:embed="rId10" cstate="print">
                      <a:extLst>
                        <a:ext uri="{BEBA8EAE-BF5A-486C-A8C5-ECC9F3942E4B}">
                          <a14:imgProps xmlns:a14="http://schemas.microsoft.com/office/drawing/2010/main">
                            <a14:imgLayer r:embed="rId1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6065" r="6123" b="2412"/>
                    <a:stretch/>
                  </pic:blipFill>
                  <pic:spPr bwMode="auto">
                    <a:xfrm>
                      <a:off x="0" y="0"/>
                      <a:ext cx="5743060" cy="4467545"/>
                    </a:xfrm>
                    <a:prstGeom prst="rect">
                      <a:avLst/>
                    </a:prstGeom>
                    <a:ln>
                      <a:noFill/>
                    </a:ln>
                    <a:extLst>
                      <a:ext uri="{53640926-AAD7-44D8-BBD7-CCE9431645EC}">
                        <a14:shadowObscured xmlns:a14="http://schemas.microsoft.com/office/drawing/2010/main"/>
                      </a:ext>
                    </a:extLst>
                  </pic:spPr>
                </pic:pic>
              </a:graphicData>
            </a:graphic>
          </wp:inline>
        </w:drawing>
      </w:r>
    </w:p>
    <w:p w14:paraId="1FC898B3" w14:textId="257AA1CB" w:rsidR="004942B6" w:rsidRDefault="004942B6" w:rsidP="004942B6">
      <w:pPr>
        <w:pStyle w:val="Caption"/>
        <w:jc w:val="both"/>
        <w:rPr>
          <w:rFonts w:ascii="Arial" w:hAnsi="Arial" w:cs="Arial"/>
          <w:color w:val="auto"/>
          <w:sz w:val="20"/>
          <w:szCs w:val="20"/>
        </w:rPr>
      </w:pPr>
      <w:bookmarkStart w:id="9" w:name="_Toc134970241"/>
      <w:bookmarkStart w:id="10" w:name="_Toc135331827"/>
      <w:r w:rsidRPr="00E42491">
        <w:rPr>
          <w:rFonts w:ascii="Arial" w:hAnsi="Arial" w:cs="Arial"/>
          <w:b/>
          <w:bCs/>
          <w:color w:val="auto"/>
          <w:sz w:val="20"/>
          <w:szCs w:val="20"/>
        </w:rPr>
        <w:t>Figure 1</w:t>
      </w:r>
      <w:r w:rsidRPr="00E42491">
        <w:rPr>
          <w:rFonts w:ascii="Arial" w:hAnsi="Arial" w:cs="Arial"/>
          <w:color w:val="auto"/>
          <w:sz w:val="20"/>
          <w:szCs w:val="20"/>
        </w:rPr>
        <w:t>: Endothelial Injury le</w:t>
      </w:r>
      <w:r w:rsidR="006B658A">
        <w:rPr>
          <w:rFonts w:ascii="Arial" w:hAnsi="Arial" w:cs="Arial"/>
          <w:color w:val="auto"/>
          <w:sz w:val="20"/>
          <w:szCs w:val="20"/>
        </w:rPr>
        <w:t xml:space="preserve">ading to </w:t>
      </w:r>
      <w:r w:rsidRPr="00E42491">
        <w:rPr>
          <w:rFonts w:ascii="Arial" w:hAnsi="Arial" w:cs="Arial"/>
          <w:color w:val="auto"/>
          <w:sz w:val="20"/>
          <w:szCs w:val="20"/>
        </w:rPr>
        <w:t>coagulation cascade activation</w:t>
      </w:r>
      <w:r w:rsidR="006B658A">
        <w:rPr>
          <w:rFonts w:ascii="Arial" w:hAnsi="Arial" w:cs="Arial"/>
          <w:color w:val="auto"/>
          <w:sz w:val="20"/>
          <w:szCs w:val="20"/>
        </w:rPr>
        <w:t xml:space="preserve"> resulting in platelet plug and blood clot</w:t>
      </w:r>
      <w:r>
        <w:rPr>
          <w:rFonts w:ascii="Arial" w:hAnsi="Arial" w:cs="Arial"/>
          <w:color w:val="auto"/>
          <w:sz w:val="20"/>
          <w:szCs w:val="20"/>
        </w:rPr>
        <w:t xml:space="preserve"> </w:t>
      </w:r>
      <w:r w:rsidR="006B658A">
        <w:rPr>
          <w:rFonts w:ascii="Arial" w:hAnsi="Arial" w:cs="Arial"/>
          <w:color w:val="auto"/>
          <w:sz w:val="20"/>
          <w:szCs w:val="20"/>
        </w:rPr>
        <w:t xml:space="preserve">formation </w:t>
      </w:r>
      <w:r>
        <w:rPr>
          <w:rFonts w:ascii="Arial" w:hAnsi="Arial" w:cs="Arial"/>
          <w:color w:val="auto"/>
          <w:sz w:val="20"/>
          <w:szCs w:val="20"/>
        </w:rPr>
        <w:t>(</w:t>
      </w:r>
      <w:r w:rsidR="006B658A">
        <w:rPr>
          <w:rFonts w:ascii="Arial" w:hAnsi="Arial" w:cs="Arial"/>
          <w:color w:val="auto"/>
          <w:sz w:val="20"/>
          <w:szCs w:val="20"/>
        </w:rPr>
        <w:t>I</w:t>
      </w:r>
      <w:r>
        <w:rPr>
          <w:rFonts w:ascii="Arial" w:hAnsi="Arial" w:cs="Arial"/>
          <w:color w:val="auto"/>
          <w:sz w:val="20"/>
          <w:szCs w:val="20"/>
        </w:rPr>
        <w:t>mage created with Biorender)</w:t>
      </w:r>
      <w:r w:rsidRPr="00E42491">
        <w:rPr>
          <w:rFonts w:ascii="Arial" w:hAnsi="Arial" w:cs="Arial"/>
          <w:color w:val="auto"/>
          <w:sz w:val="20"/>
          <w:szCs w:val="20"/>
        </w:rPr>
        <w:t>.</w:t>
      </w:r>
      <w:bookmarkEnd w:id="9"/>
      <w:bookmarkEnd w:id="10"/>
    </w:p>
    <w:p w14:paraId="75F20334" w14:textId="77777777" w:rsidR="006B658A" w:rsidRPr="006B658A" w:rsidRDefault="006B658A" w:rsidP="006B658A"/>
    <w:p w14:paraId="6D96C399" w14:textId="77777777" w:rsidR="004942B6" w:rsidRPr="00680AB6" w:rsidRDefault="004942B6" w:rsidP="004942B6">
      <w:pPr>
        <w:pStyle w:val="NormalWeb"/>
        <w:spacing w:before="0" w:beforeAutospacing="0" w:after="0" w:afterAutospacing="0"/>
        <w:jc w:val="both"/>
        <w:rPr>
          <w:rFonts w:ascii="Arial" w:hAnsi="Arial" w:cs="Arial"/>
          <w:color w:val="0E101A"/>
        </w:rPr>
      </w:pPr>
      <w:r w:rsidRPr="00680AB6">
        <w:rPr>
          <w:rFonts w:ascii="Arial" w:hAnsi="Arial" w:cs="Arial"/>
          <w:color w:val="0E101A"/>
        </w:rPr>
        <w:t xml:space="preserve">The extent of thrombus occlusion defines the cardiac clinical manifestation of any of the three acute presentations: unstable angina (UA), non-ST elevation myocardial </w:t>
      </w:r>
      <w:r w:rsidRPr="00680AB6">
        <w:rPr>
          <w:rFonts w:ascii="Arial" w:hAnsi="Arial" w:cs="Arial"/>
          <w:color w:val="0E101A"/>
        </w:rPr>
        <w:lastRenderedPageBreak/>
        <w:t>infarction (NSTEMI) or ST-elevation myocardial infarction (STEMI). Atherosclerotic plaques may co-develop in other vascular beds simultaneously, which can manifest clinically as cerebrovascular accident (CVA), aortic aneurysm (AA) or peripheral vascular disease (PVD). (</w:t>
      </w:r>
      <w:r>
        <w:rPr>
          <w:rFonts w:ascii="Arial" w:hAnsi="Arial" w:cs="Arial"/>
          <w:color w:val="0E101A"/>
        </w:rPr>
        <w:t>7</w:t>
      </w:r>
      <w:r w:rsidRPr="00680AB6">
        <w:rPr>
          <w:rFonts w:ascii="Arial" w:hAnsi="Arial" w:cs="Arial"/>
          <w:color w:val="0E101A"/>
        </w:rPr>
        <w:t>)</w:t>
      </w:r>
    </w:p>
    <w:p w14:paraId="4BDAA3BE" w14:textId="77777777" w:rsidR="004942B6" w:rsidRPr="00BC5384" w:rsidRDefault="004942B6" w:rsidP="004942B6">
      <w:pPr>
        <w:pStyle w:val="NormalWeb"/>
        <w:spacing w:before="0" w:beforeAutospacing="0" w:after="0" w:afterAutospacing="0"/>
        <w:jc w:val="both"/>
        <w:rPr>
          <w:rFonts w:ascii="Arial" w:hAnsi="Arial" w:cs="Arial"/>
          <w:color w:val="0E101A"/>
          <w:sz w:val="28"/>
          <w:szCs w:val="28"/>
        </w:rPr>
      </w:pPr>
    </w:p>
    <w:p w14:paraId="1DC87DE0" w14:textId="77777777" w:rsidR="004942B6" w:rsidRPr="00BC5384" w:rsidRDefault="004942B6" w:rsidP="004942B6">
      <w:pPr>
        <w:pStyle w:val="Heading2"/>
        <w:spacing w:before="0" w:line="360" w:lineRule="auto"/>
        <w:jc w:val="both"/>
        <w:rPr>
          <w:rFonts w:ascii="Arial" w:hAnsi="Arial" w:cs="Arial"/>
          <w:color w:val="4472C4" w:themeColor="accent1"/>
          <w:sz w:val="28"/>
          <w:szCs w:val="28"/>
        </w:rPr>
      </w:pPr>
      <w:bookmarkStart w:id="11" w:name="_Toc171203841"/>
      <w:r w:rsidRPr="00BC5384">
        <w:rPr>
          <w:rFonts w:ascii="Arial" w:hAnsi="Arial" w:cs="Arial"/>
          <w:color w:val="4472C4" w:themeColor="accent1"/>
          <w:sz w:val="28"/>
          <w:szCs w:val="28"/>
        </w:rPr>
        <w:t>1.3 Risk factors for coronary artery disease (CAD)</w:t>
      </w:r>
      <w:bookmarkEnd w:id="11"/>
    </w:p>
    <w:p w14:paraId="2F91C9A7" w14:textId="77777777" w:rsidR="004942B6" w:rsidRPr="00680AB6" w:rsidRDefault="004942B6" w:rsidP="004942B6">
      <w:pPr>
        <w:pStyle w:val="NormalWeb"/>
        <w:spacing w:before="0" w:beforeAutospacing="0" w:after="0" w:afterAutospacing="0"/>
        <w:jc w:val="both"/>
        <w:rPr>
          <w:rFonts w:ascii="Arial" w:hAnsi="Arial" w:cs="Arial"/>
          <w:color w:val="0E101A"/>
        </w:rPr>
      </w:pPr>
      <w:r w:rsidRPr="00903928">
        <w:rPr>
          <w:rFonts w:ascii="Arial" w:hAnsi="Arial" w:cs="Arial"/>
          <w:color w:val="0E101A"/>
        </w:rPr>
        <w:t> Although coronary artery disease (CAD) is multifactorial, the risk factors can be classified as modifiable and non-modifiable</w:t>
      </w:r>
      <w:r w:rsidRPr="00680AB6">
        <w:rPr>
          <w:rFonts w:ascii="Arial" w:hAnsi="Arial" w:cs="Arial"/>
          <w:color w:val="0E101A"/>
        </w:rPr>
        <w:t xml:space="preserve"> categories, as illustrated in Table 1. (8) Early identification and management of the modifiable risk factors helps to minimise mortality and morbidity associated with CAD and hence, should be targeted as a fundamental goal in the prevention of adverse outcomes. (</w:t>
      </w:r>
      <w:r>
        <w:rPr>
          <w:rFonts w:ascii="Arial" w:hAnsi="Arial" w:cs="Arial"/>
          <w:color w:val="0E101A"/>
        </w:rPr>
        <w:t>8</w:t>
      </w:r>
      <w:r w:rsidRPr="00680AB6">
        <w:rPr>
          <w:rFonts w:ascii="Arial" w:hAnsi="Arial" w:cs="Arial"/>
          <w:color w:val="0E101A"/>
        </w:rPr>
        <w:t>) </w:t>
      </w:r>
    </w:p>
    <w:p w14:paraId="06F1C5E4" w14:textId="77777777" w:rsidR="004942B6" w:rsidRPr="0018782B" w:rsidRDefault="004942B6" w:rsidP="004942B6">
      <w:pPr>
        <w:spacing w:line="360" w:lineRule="auto"/>
        <w:jc w:val="both"/>
        <w:rPr>
          <w:rFonts w:ascii="Arial" w:hAnsi="Arial" w:cs="Arial"/>
          <w:color w:val="212121"/>
          <w:sz w:val="24"/>
          <w:szCs w:val="24"/>
          <w:shd w:val="clear" w:color="auto" w:fill="FFFFFF"/>
        </w:rPr>
      </w:pPr>
    </w:p>
    <w:p w14:paraId="0441747A" w14:textId="4753BBE1" w:rsidR="004942B6" w:rsidRPr="00C87838" w:rsidRDefault="004942B6" w:rsidP="004942B6">
      <w:pPr>
        <w:pStyle w:val="TableofFigures"/>
        <w:tabs>
          <w:tab w:val="right" w:leader="dot" w:pos="9016"/>
        </w:tabs>
        <w:rPr>
          <w:rFonts w:ascii="Arial" w:hAnsi="Arial" w:cs="Arial"/>
          <w:color w:val="000000" w:themeColor="text1"/>
          <w:sz w:val="20"/>
          <w:szCs w:val="20"/>
        </w:rPr>
      </w:pPr>
      <w:bookmarkStart w:id="12" w:name="_Toc134095690"/>
      <w:bookmarkStart w:id="13" w:name="_Toc135462256"/>
      <w:bookmarkStart w:id="14" w:name="_Toc136312350"/>
      <w:bookmarkStart w:id="15" w:name="_Toc136329086"/>
      <w:bookmarkStart w:id="16" w:name="_Toc151222929"/>
      <w:bookmarkStart w:id="17" w:name="_Toc151630612"/>
      <w:bookmarkStart w:id="18" w:name="_Toc152340572"/>
      <w:bookmarkStart w:id="19" w:name="_Toc152598048"/>
      <w:bookmarkStart w:id="20" w:name="_Toc153725834"/>
      <w:bookmarkStart w:id="21" w:name="_Toc159318276"/>
      <w:bookmarkStart w:id="22" w:name="_Toc159610311"/>
      <w:bookmarkStart w:id="23" w:name="_Toc164699068"/>
      <w:bookmarkStart w:id="24" w:name="_Toc171206714"/>
      <w:r w:rsidRPr="00C87838">
        <w:rPr>
          <w:rFonts w:ascii="Arial" w:hAnsi="Arial" w:cs="Arial"/>
          <w:b/>
          <w:bCs/>
          <w:color w:val="000000" w:themeColor="text1"/>
          <w:sz w:val="20"/>
          <w:szCs w:val="20"/>
        </w:rPr>
        <w:t xml:space="preserve">Table </w:t>
      </w:r>
      <w:r w:rsidRPr="00C87838">
        <w:rPr>
          <w:rFonts w:ascii="Arial" w:hAnsi="Arial" w:cs="Arial"/>
          <w:b/>
          <w:bCs/>
          <w:color w:val="000000" w:themeColor="text1"/>
          <w:sz w:val="20"/>
          <w:szCs w:val="20"/>
        </w:rPr>
        <w:fldChar w:fldCharType="begin"/>
      </w:r>
      <w:r w:rsidRPr="00C87838">
        <w:rPr>
          <w:rFonts w:ascii="Arial" w:hAnsi="Arial" w:cs="Arial"/>
          <w:b/>
          <w:bCs/>
          <w:color w:val="000000" w:themeColor="text1"/>
          <w:sz w:val="20"/>
          <w:szCs w:val="20"/>
        </w:rPr>
        <w:instrText xml:space="preserve"> SEQ Table \* ARABIC </w:instrText>
      </w:r>
      <w:r w:rsidRPr="00C87838">
        <w:rPr>
          <w:rFonts w:ascii="Arial" w:hAnsi="Arial" w:cs="Arial"/>
          <w:b/>
          <w:bCs/>
          <w:color w:val="000000" w:themeColor="text1"/>
          <w:sz w:val="20"/>
          <w:szCs w:val="20"/>
        </w:rPr>
        <w:fldChar w:fldCharType="separate"/>
      </w:r>
      <w:r w:rsidR="00822C3B">
        <w:rPr>
          <w:rFonts w:ascii="Arial" w:hAnsi="Arial" w:cs="Arial"/>
          <w:b/>
          <w:bCs/>
          <w:noProof/>
          <w:color w:val="000000" w:themeColor="text1"/>
          <w:sz w:val="20"/>
          <w:szCs w:val="20"/>
        </w:rPr>
        <w:t>1</w:t>
      </w:r>
      <w:r w:rsidRPr="00C87838">
        <w:rPr>
          <w:rFonts w:ascii="Arial" w:hAnsi="Arial" w:cs="Arial"/>
          <w:b/>
          <w:bCs/>
          <w:noProof/>
          <w:color w:val="000000" w:themeColor="text1"/>
          <w:sz w:val="20"/>
          <w:szCs w:val="20"/>
        </w:rPr>
        <w:fldChar w:fldCharType="end"/>
      </w:r>
      <w:r w:rsidRPr="00C87838">
        <w:rPr>
          <w:rFonts w:ascii="Arial" w:hAnsi="Arial" w:cs="Arial"/>
          <w:b/>
          <w:bCs/>
          <w:color w:val="000000" w:themeColor="text1"/>
          <w:sz w:val="20"/>
          <w:szCs w:val="20"/>
        </w:rPr>
        <w:t>:</w:t>
      </w:r>
      <w:r w:rsidRPr="00C87838">
        <w:rPr>
          <w:rFonts w:ascii="Arial" w:hAnsi="Arial" w:cs="Arial"/>
          <w:color w:val="000000" w:themeColor="text1"/>
          <w:sz w:val="20"/>
          <w:szCs w:val="20"/>
        </w:rPr>
        <w:t xml:space="preserve"> Modifiable and non-modifiable risk factors for coronary artery disease</w:t>
      </w:r>
      <w:bookmarkEnd w:id="12"/>
      <w:bookmarkEnd w:id="13"/>
      <w:bookmarkEnd w:id="14"/>
      <w:bookmarkEnd w:id="15"/>
      <w:bookmarkEnd w:id="16"/>
      <w:bookmarkEnd w:id="17"/>
      <w:bookmarkEnd w:id="18"/>
      <w:bookmarkEnd w:id="19"/>
      <w:bookmarkEnd w:id="20"/>
      <w:bookmarkEnd w:id="21"/>
      <w:bookmarkEnd w:id="22"/>
      <w:bookmarkEnd w:id="23"/>
      <w:bookmarkEnd w:id="24"/>
    </w:p>
    <w:p w14:paraId="5E1E2C15" w14:textId="77777777" w:rsidR="004942B6" w:rsidRPr="0011424C" w:rsidRDefault="004942B6" w:rsidP="004942B6">
      <w:pPr>
        <w:rPr>
          <w:lang w:eastAsia="en-GB"/>
        </w:rPr>
      </w:pPr>
    </w:p>
    <w:tbl>
      <w:tblPr>
        <w:tblStyle w:val="TableGrid"/>
        <w:tblW w:w="0" w:type="auto"/>
        <w:tblLook w:val="04A0" w:firstRow="1" w:lastRow="0" w:firstColumn="1" w:lastColumn="0" w:noHBand="0" w:noVBand="1"/>
      </w:tblPr>
      <w:tblGrid>
        <w:gridCol w:w="4508"/>
        <w:gridCol w:w="4508"/>
      </w:tblGrid>
      <w:tr w:rsidR="004942B6" w:rsidRPr="009222F3" w14:paraId="17A29BD7" w14:textId="77777777" w:rsidTr="002C2525">
        <w:trPr>
          <w:trHeight w:val="690"/>
        </w:trPr>
        <w:tc>
          <w:tcPr>
            <w:tcW w:w="4508" w:type="dxa"/>
          </w:tcPr>
          <w:p w14:paraId="468E1192" w14:textId="77777777" w:rsidR="004942B6" w:rsidRPr="009222F3" w:rsidRDefault="004942B6" w:rsidP="002C2525">
            <w:pPr>
              <w:jc w:val="both"/>
              <w:rPr>
                <w:rFonts w:ascii="Arial" w:hAnsi="Arial" w:cs="Arial"/>
                <w:b/>
                <w:bCs/>
                <w:color w:val="000000" w:themeColor="text1"/>
                <w:sz w:val="24"/>
                <w:szCs w:val="24"/>
              </w:rPr>
            </w:pPr>
            <w:r w:rsidRPr="009222F3">
              <w:rPr>
                <w:rFonts w:ascii="Arial" w:hAnsi="Arial" w:cs="Arial"/>
                <w:b/>
                <w:bCs/>
                <w:color w:val="000000" w:themeColor="text1"/>
                <w:sz w:val="24"/>
                <w:szCs w:val="24"/>
              </w:rPr>
              <w:t>Modifiable</w:t>
            </w:r>
          </w:p>
        </w:tc>
        <w:tc>
          <w:tcPr>
            <w:tcW w:w="4508" w:type="dxa"/>
          </w:tcPr>
          <w:p w14:paraId="5344F61D" w14:textId="77777777" w:rsidR="004942B6" w:rsidRPr="009222F3" w:rsidRDefault="004942B6" w:rsidP="002C2525">
            <w:pPr>
              <w:jc w:val="both"/>
              <w:rPr>
                <w:rFonts w:ascii="Arial" w:hAnsi="Arial" w:cs="Arial"/>
                <w:b/>
                <w:bCs/>
                <w:color w:val="000000" w:themeColor="text1"/>
                <w:sz w:val="24"/>
                <w:szCs w:val="24"/>
                <w:shd w:val="clear" w:color="auto" w:fill="FFFFFF"/>
              </w:rPr>
            </w:pPr>
            <w:r w:rsidRPr="009222F3">
              <w:rPr>
                <w:rFonts w:ascii="Arial" w:hAnsi="Arial" w:cs="Arial"/>
                <w:b/>
                <w:bCs/>
                <w:color w:val="000000" w:themeColor="text1"/>
                <w:sz w:val="24"/>
                <w:szCs w:val="24"/>
                <w:shd w:val="clear" w:color="auto" w:fill="FFFFFF"/>
              </w:rPr>
              <w:t>Non-modifiable</w:t>
            </w:r>
          </w:p>
        </w:tc>
      </w:tr>
      <w:tr w:rsidR="004942B6" w:rsidRPr="009222F3" w14:paraId="44E0FC80" w14:textId="77777777" w:rsidTr="002C2525">
        <w:tc>
          <w:tcPr>
            <w:tcW w:w="4508" w:type="dxa"/>
          </w:tcPr>
          <w:p w14:paraId="544150C2"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Smoking</w:t>
            </w:r>
          </w:p>
        </w:tc>
        <w:tc>
          <w:tcPr>
            <w:tcW w:w="4508" w:type="dxa"/>
          </w:tcPr>
          <w:p w14:paraId="68C41185"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Age</w:t>
            </w:r>
          </w:p>
        </w:tc>
      </w:tr>
      <w:tr w:rsidR="004942B6" w:rsidRPr="009222F3" w14:paraId="2147F941" w14:textId="77777777" w:rsidTr="002C2525">
        <w:tc>
          <w:tcPr>
            <w:tcW w:w="4508" w:type="dxa"/>
          </w:tcPr>
          <w:p w14:paraId="06438488"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Diabetes</w:t>
            </w:r>
          </w:p>
        </w:tc>
        <w:tc>
          <w:tcPr>
            <w:tcW w:w="4508" w:type="dxa"/>
          </w:tcPr>
          <w:p w14:paraId="67401A90"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Gender</w:t>
            </w:r>
          </w:p>
        </w:tc>
      </w:tr>
      <w:tr w:rsidR="004942B6" w:rsidRPr="009222F3" w14:paraId="08B5084B" w14:textId="77777777" w:rsidTr="002C2525">
        <w:tc>
          <w:tcPr>
            <w:tcW w:w="4508" w:type="dxa"/>
          </w:tcPr>
          <w:p w14:paraId="6131FE84"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Hypertension</w:t>
            </w:r>
          </w:p>
        </w:tc>
        <w:tc>
          <w:tcPr>
            <w:tcW w:w="4508" w:type="dxa"/>
          </w:tcPr>
          <w:p w14:paraId="55FDE7DE"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Family history</w:t>
            </w:r>
          </w:p>
        </w:tc>
      </w:tr>
      <w:tr w:rsidR="004942B6" w:rsidRPr="009222F3" w14:paraId="6A620FCC" w14:textId="77777777" w:rsidTr="002C2525">
        <w:tc>
          <w:tcPr>
            <w:tcW w:w="4508" w:type="dxa"/>
          </w:tcPr>
          <w:p w14:paraId="240BD427"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Obesity</w:t>
            </w:r>
          </w:p>
        </w:tc>
        <w:tc>
          <w:tcPr>
            <w:tcW w:w="4508" w:type="dxa"/>
          </w:tcPr>
          <w:p w14:paraId="74D6AAC4"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Ethnicity</w:t>
            </w:r>
          </w:p>
        </w:tc>
      </w:tr>
      <w:tr w:rsidR="004942B6" w:rsidRPr="009222F3" w14:paraId="75DB82FA" w14:textId="77777777" w:rsidTr="002C2525">
        <w:tc>
          <w:tcPr>
            <w:tcW w:w="4508" w:type="dxa"/>
          </w:tcPr>
          <w:p w14:paraId="4F04E2D8"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Dyslipidaemia</w:t>
            </w:r>
          </w:p>
        </w:tc>
        <w:tc>
          <w:tcPr>
            <w:tcW w:w="4508" w:type="dxa"/>
          </w:tcPr>
          <w:p w14:paraId="097F5B3A"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Homocystinuria</w:t>
            </w:r>
          </w:p>
        </w:tc>
      </w:tr>
      <w:tr w:rsidR="004942B6" w:rsidRPr="009222F3" w14:paraId="0988671C" w14:textId="77777777" w:rsidTr="002C2525">
        <w:tc>
          <w:tcPr>
            <w:tcW w:w="4508" w:type="dxa"/>
          </w:tcPr>
          <w:p w14:paraId="013CB8E5"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Sedentary lifestyle</w:t>
            </w:r>
          </w:p>
        </w:tc>
        <w:tc>
          <w:tcPr>
            <w:tcW w:w="4508" w:type="dxa"/>
          </w:tcPr>
          <w:p w14:paraId="118DD747"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p>
        </w:tc>
      </w:tr>
      <w:tr w:rsidR="004942B6" w:rsidRPr="009222F3" w14:paraId="3DCA2EEA" w14:textId="77777777" w:rsidTr="002C2525">
        <w:tc>
          <w:tcPr>
            <w:tcW w:w="4508" w:type="dxa"/>
          </w:tcPr>
          <w:p w14:paraId="50E85182"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Dietary factors</w:t>
            </w:r>
          </w:p>
        </w:tc>
        <w:tc>
          <w:tcPr>
            <w:tcW w:w="4508" w:type="dxa"/>
          </w:tcPr>
          <w:p w14:paraId="7B8BD07C"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p>
        </w:tc>
      </w:tr>
    </w:tbl>
    <w:p w14:paraId="1076A93E" w14:textId="77777777" w:rsidR="004942B6" w:rsidRPr="009222F3" w:rsidRDefault="004942B6" w:rsidP="004942B6">
      <w:pPr>
        <w:spacing w:line="360" w:lineRule="auto"/>
        <w:jc w:val="both"/>
        <w:rPr>
          <w:rFonts w:ascii="Arial" w:hAnsi="Arial" w:cs="Arial"/>
          <w:color w:val="000000" w:themeColor="text1"/>
          <w:sz w:val="24"/>
          <w:szCs w:val="24"/>
          <w:shd w:val="clear" w:color="auto" w:fill="FFFFFF"/>
        </w:rPr>
      </w:pPr>
    </w:p>
    <w:p w14:paraId="33476805" w14:textId="77777777" w:rsidR="004942B6" w:rsidRPr="00BC5384" w:rsidRDefault="004942B6" w:rsidP="004942B6">
      <w:pPr>
        <w:pStyle w:val="Heading2"/>
        <w:spacing w:before="0" w:line="360" w:lineRule="auto"/>
        <w:jc w:val="both"/>
        <w:rPr>
          <w:rFonts w:ascii="Arial" w:hAnsi="Arial" w:cs="Arial"/>
          <w:color w:val="4472C4" w:themeColor="accent1"/>
          <w:sz w:val="28"/>
          <w:szCs w:val="28"/>
        </w:rPr>
      </w:pPr>
      <w:bookmarkStart w:id="25" w:name="_Toc171203842"/>
      <w:r w:rsidRPr="00BC5384">
        <w:rPr>
          <w:rFonts w:ascii="Arial" w:hAnsi="Arial" w:cs="Arial"/>
          <w:color w:val="4472C4" w:themeColor="accent1"/>
          <w:sz w:val="28"/>
          <w:szCs w:val="28"/>
        </w:rPr>
        <w:t>1.4 Anatomy of the coronary arterial tree</w:t>
      </w:r>
      <w:bookmarkEnd w:id="25"/>
      <w:r w:rsidRPr="00BC5384">
        <w:rPr>
          <w:rFonts w:ascii="Arial" w:hAnsi="Arial" w:cs="Arial"/>
          <w:color w:val="4472C4" w:themeColor="accent1"/>
          <w:sz w:val="28"/>
          <w:szCs w:val="28"/>
        </w:rPr>
        <w:t> </w:t>
      </w:r>
    </w:p>
    <w:p w14:paraId="556E6002" w14:textId="77777777" w:rsidR="004942B6" w:rsidRPr="00EC58FF" w:rsidRDefault="004942B6" w:rsidP="004942B6">
      <w:pPr>
        <w:pStyle w:val="NormalWeb"/>
        <w:spacing w:before="0" w:beforeAutospacing="0" w:after="0" w:afterAutospacing="0"/>
        <w:jc w:val="both"/>
        <w:rPr>
          <w:rFonts w:ascii="Arial" w:hAnsi="Arial" w:cs="Arial"/>
          <w:color w:val="0E101A"/>
        </w:rPr>
      </w:pPr>
      <w:r w:rsidRPr="00903928">
        <w:rPr>
          <w:rFonts w:ascii="Arial" w:hAnsi="Arial" w:cs="Arial"/>
          <w:color w:val="0E101A"/>
        </w:rPr>
        <w:t>The arterial blood supply of the heart</w:t>
      </w:r>
      <w:r w:rsidRPr="00EC58FF">
        <w:rPr>
          <w:rFonts w:ascii="Arial" w:hAnsi="Arial" w:cs="Arial"/>
          <w:color w:val="0E101A"/>
        </w:rPr>
        <w:t xml:space="preserve"> originates from the left and right aortic sinuses. The left coronary tree starts as the left main stem (LMS), which usually bifurcates into the left anterior descending (LAD) and left circumflex artery (LCx) (see Figure 1). Although several variations of this commonality are described in the literature, its details are beyond the scope of this review.</w:t>
      </w:r>
    </w:p>
    <w:p w14:paraId="0665FE8D" w14:textId="77777777" w:rsidR="004942B6" w:rsidRDefault="004942B6" w:rsidP="004942B6">
      <w:pPr>
        <w:pStyle w:val="NormalWeb"/>
        <w:spacing w:before="0" w:beforeAutospacing="0" w:after="0" w:afterAutospacing="0"/>
        <w:jc w:val="both"/>
        <w:rPr>
          <w:rFonts w:ascii="Arial" w:hAnsi="Arial" w:cs="Arial"/>
          <w:color w:val="0E101A"/>
        </w:rPr>
      </w:pPr>
      <w:r w:rsidRPr="00EC58FF">
        <w:rPr>
          <w:rFonts w:ascii="Arial" w:hAnsi="Arial" w:cs="Arial"/>
          <w:color w:val="0E101A"/>
        </w:rPr>
        <w:t>The left anterior descending artery (LAD) supplies almost 2/3rd of the heart, giving rise to diagonal branches</w:t>
      </w:r>
      <w:r>
        <w:rPr>
          <w:rFonts w:ascii="Arial" w:hAnsi="Arial" w:cs="Arial"/>
          <w:color w:val="0E101A"/>
        </w:rPr>
        <w:t xml:space="preserve"> and septal perforators</w:t>
      </w:r>
      <w:r w:rsidRPr="00EC58FF">
        <w:rPr>
          <w:rFonts w:ascii="Arial" w:hAnsi="Arial" w:cs="Arial"/>
          <w:color w:val="0E101A"/>
        </w:rPr>
        <w:t xml:space="preserve"> (</w:t>
      </w:r>
      <w:r>
        <w:rPr>
          <w:rFonts w:ascii="Arial" w:hAnsi="Arial" w:cs="Arial"/>
          <w:color w:val="0E101A"/>
        </w:rPr>
        <w:t>9</w:t>
      </w:r>
      <w:r w:rsidRPr="00EC58FF">
        <w:rPr>
          <w:rFonts w:ascii="Arial" w:hAnsi="Arial" w:cs="Arial"/>
          <w:color w:val="0E101A"/>
        </w:rPr>
        <w:t xml:space="preserve">). It is responsible for the arterial supply </w:t>
      </w:r>
      <w:r w:rsidRPr="00EC58FF">
        <w:rPr>
          <w:rFonts w:ascii="Arial" w:hAnsi="Arial" w:cs="Arial"/>
          <w:color w:val="0E101A"/>
        </w:rPr>
        <w:lastRenderedPageBreak/>
        <w:t>of the interventricular septum from the mid to apical segment and 2/3rd of the basal interventricular septum. (</w:t>
      </w:r>
      <w:r>
        <w:rPr>
          <w:rFonts w:ascii="Arial" w:hAnsi="Arial" w:cs="Arial"/>
          <w:color w:val="0E101A"/>
        </w:rPr>
        <w:t>9</w:t>
      </w:r>
      <w:r w:rsidRPr="00EC58FF">
        <w:rPr>
          <w:rFonts w:ascii="Arial" w:hAnsi="Arial" w:cs="Arial"/>
          <w:color w:val="0E101A"/>
        </w:rPr>
        <w:t>) The left circumflex artery (LCx) provides blood supply to the lateral wall of the left ventricle and gives origin to obtuse marginal branches. (1</w:t>
      </w:r>
      <w:r>
        <w:rPr>
          <w:rFonts w:ascii="Arial" w:hAnsi="Arial" w:cs="Arial"/>
          <w:color w:val="0E101A"/>
        </w:rPr>
        <w:t>0</w:t>
      </w:r>
      <w:r w:rsidRPr="00EC58FF">
        <w:rPr>
          <w:rFonts w:ascii="Arial" w:hAnsi="Arial" w:cs="Arial"/>
          <w:color w:val="0E101A"/>
        </w:rPr>
        <w:t>) The right coronary artery</w:t>
      </w:r>
      <w:r>
        <w:rPr>
          <w:rFonts w:ascii="Arial" w:hAnsi="Arial" w:cs="Arial"/>
          <w:color w:val="0E101A"/>
        </w:rPr>
        <w:t xml:space="preserve"> (RCA)</w:t>
      </w:r>
      <w:r w:rsidRPr="00EC58FF">
        <w:rPr>
          <w:rFonts w:ascii="Arial" w:hAnsi="Arial" w:cs="Arial"/>
          <w:color w:val="0E101A"/>
        </w:rPr>
        <w:t xml:space="preserve"> arises from the right coronary sinus of the aorta and supplies blood to the right ventricle, commonly the posterior 1/3rd of the interventricular septum. (10,1</w:t>
      </w:r>
      <w:r>
        <w:rPr>
          <w:rFonts w:ascii="Arial" w:hAnsi="Arial" w:cs="Arial"/>
          <w:color w:val="0E101A"/>
        </w:rPr>
        <w:t>1</w:t>
      </w:r>
      <w:r w:rsidRPr="00EC58FF">
        <w:rPr>
          <w:rFonts w:ascii="Arial" w:hAnsi="Arial" w:cs="Arial"/>
          <w:color w:val="0E101A"/>
        </w:rPr>
        <w:t>) </w:t>
      </w:r>
    </w:p>
    <w:p w14:paraId="112D3523" w14:textId="77777777" w:rsidR="00633EDB" w:rsidRPr="00EC58FF" w:rsidRDefault="00633EDB" w:rsidP="004942B6">
      <w:pPr>
        <w:pStyle w:val="NormalWeb"/>
        <w:spacing w:before="0" w:beforeAutospacing="0" w:after="0" w:afterAutospacing="0"/>
        <w:jc w:val="both"/>
        <w:rPr>
          <w:rFonts w:ascii="Arial" w:hAnsi="Arial" w:cs="Arial"/>
          <w:color w:val="0E101A"/>
        </w:rPr>
      </w:pPr>
    </w:p>
    <w:p w14:paraId="11E32830" w14:textId="77777777" w:rsidR="004942B6" w:rsidRPr="00633EDB" w:rsidRDefault="004942B6" w:rsidP="004942B6">
      <w:pPr>
        <w:pStyle w:val="Heading3"/>
        <w:spacing w:before="0" w:line="360" w:lineRule="auto"/>
        <w:jc w:val="both"/>
        <w:rPr>
          <w:rFonts w:ascii="Arial" w:hAnsi="Arial" w:cs="Arial"/>
          <w:color w:val="4472C4" w:themeColor="accent1"/>
          <w:sz w:val="24"/>
          <w:szCs w:val="24"/>
        </w:rPr>
      </w:pPr>
      <w:bookmarkStart w:id="26" w:name="_Toc159609641"/>
      <w:bookmarkStart w:id="27" w:name="_Toc159613536"/>
      <w:bookmarkStart w:id="28" w:name="_Toc160981197"/>
      <w:bookmarkStart w:id="29" w:name="_Toc164670778"/>
      <w:bookmarkStart w:id="30" w:name="_Toc164670965"/>
      <w:bookmarkStart w:id="31" w:name="_Toc164675991"/>
      <w:bookmarkStart w:id="32" w:name="_Toc164680436"/>
      <w:bookmarkStart w:id="33" w:name="_Toc164681334"/>
      <w:bookmarkStart w:id="34" w:name="_Toc170075016"/>
      <w:bookmarkStart w:id="35" w:name="_Toc170076003"/>
      <w:bookmarkStart w:id="36" w:name="_Toc170577699"/>
      <w:bookmarkStart w:id="37" w:name="_Toc170579217"/>
      <w:bookmarkStart w:id="38" w:name="_Toc171203072"/>
      <w:bookmarkStart w:id="39" w:name="_Toc171203843"/>
      <w:r w:rsidRPr="00633EDB">
        <w:rPr>
          <w:rFonts w:ascii="Arial" w:hAnsi="Arial" w:cs="Arial"/>
          <w:color w:val="4472C4" w:themeColor="accent1"/>
          <w:sz w:val="24"/>
          <w:szCs w:val="24"/>
        </w:rPr>
        <w:t>1.4.1 Coronary dominance</w:t>
      </w:r>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52897F6B" w14:textId="77777777" w:rsidR="004942B6" w:rsidRDefault="004942B6" w:rsidP="004942B6">
      <w:pPr>
        <w:pStyle w:val="NormalWeb"/>
        <w:spacing w:before="0" w:beforeAutospacing="0" w:after="0" w:afterAutospacing="0"/>
        <w:jc w:val="both"/>
        <w:rPr>
          <w:rFonts w:ascii="Arial" w:hAnsi="Arial" w:cs="Arial"/>
          <w:color w:val="0E101A"/>
        </w:rPr>
      </w:pPr>
      <w:r w:rsidRPr="00416E42">
        <w:rPr>
          <w:rFonts w:ascii="Arial" w:hAnsi="Arial" w:cs="Arial"/>
          <w:color w:val="0E101A"/>
        </w:rPr>
        <w:t> The dominance of the coronary system is determined by the artery giving rise to the posterior descending artery (PDA), which is responsible for the blood supply to the posterior one-third of the interventricular septum. Right dominance has been the most common, constituting about 85.5%, followed by left dominance at 9.7% and co-dominance at 4.8%. (1</w:t>
      </w:r>
      <w:r>
        <w:rPr>
          <w:rFonts w:ascii="Arial" w:hAnsi="Arial" w:cs="Arial"/>
          <w:color w:val="0E101A"/>
        </w:rPr>
        <w:t>0,</w:t>
      </w:r>
      <w:r w:rsidRPr="00416E42">
        <w:rPr>
          <w:rFonts w:ascii="Arial" w:hAnsi="Arial" w:cs="Arial"/>
          <w:color w:val="0E101A"/>
        </w:rPr>
        <w:t>1</w:t>
      </w:r>
      <w:r>
        <w:rPr>
          <w:rFonts w:ascii="Arial" w:hAnsi="Arial" w:cs="Arial"/>
          <w:color w:val="0E101A"/>
        </w:rPr>
        <w:t>2</w:t>
      </w:r>
      <w:r w:rsidRPr="00416E42">
        <w:rPr>
          <w:rFonts w:ascii="Arial" w:hAnsi="Arial" w:cs="Arial"/>
          <w:color w:val="0E101A"/>
        </w:rPr>
        <w:t>)</w:t>
      </w:r>
    </w:p>
    <w:p w14:paraId="7FEA1EBC" w14:textId="77777777" w:rsidR="004942B6" w:rsidRPr="00C4717E" w:rsidRDefault="004942B6" w:rsidP="004942B6">
      <w:pPr>
        <w:pStyle w:val="NormalWeb"/>
        <w:spacing w:before="0" w:beforeAutospacing="0" w:after="0" w:afterAutospacing="0"/>
        <w:jc w:val="both"/>
        <w:rPr>
          <w:rFonts w:ascii="Arial" w:hAnsi="Arial" w:cs="Arial"/>
          <w:color w:val="0E101A"/>
        </w:rPr>
      </w:pPr>
    </w:p>
    <w:p w14:paraId="53A9FD98" w14:textId="5A452B0E" w:rsidR="004942B6" w:rsidRPr="0018782B" w:rsidRDefault="00241053" w:rsidP="004942B6">
      <w:pPr>
        <w:spacing w:line="360" w:lineRule="auto"/>
        <w:jc w:val="both"/>
        <w:rPr>
          <w:rFonts w:ascii="Arial" w:hAnsi="Arial" w:cs="Arial"/>
          <w:color w:val="212121"/>
          <w:sz w:val="24"/>
          <w:szCs w:val="24"/>
          <w:shd w:val="clear" w:color="auto" w:fill="FFFFFF"/>
        </w:rPr>
      </w:pPr>
      <w:r>
        <w:rPr>
          <w:rFonts w:ascii="Arial" w:hAnsi="Arial" w:cs="Arial"/>
          <w:noProof/>
          <w:color w:val="212121"/>
          <w:sz w:val="24"/>
          <w:szCs w:val="24"/>
          <w:shd w:val="clear" w:color="auto" w:fill="FFFFFF"/>
          <w:lang w:eastAsia="en-GB"/>
        </w:rPr>
        <w:drawing>
          <wp:inline distT="0" distB="0" distL="0" distR="0" wp14:anchorId="2A9194D9" wp14:editId="27FCE3A4">
            <wp:extent cx="5851430" cy="3234407"/>
            <wp:effectExtent l="0" t="0" r="0" b="0"/>
            <wp:docPr id="20485842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84299" name="Picture 2048584299"/>
                    <pic:cNvPicPr/>
                  </pic:nvPicPr>
                  <pic:blipFill rotWithShape="1">
                    <a:blip r:embed="rId12" cstate="print">
                      <a:extLst>
                        <a:ext uri="{28A0092B-C50C-407E-A947-70E740481C1C}">
                          <a14:useLocalDpi xmlns:a14="http://schemas.microsoft.com/office/drawing/2010/main" val="0"/>
                        </a:ext>
                      </a:extLst>
                    </a:blip>
                    <a:srcRect l="3165" t="8101" r="4525" b="19003"/>
                    <a:stretch/>
                  </pic:blipFill>
                  <pic:spPr bwMode="auto">
                    <a:xfrm>
                      <a:off x="0" y="0"/>
                      <a:ext cx="5859335" cy="3238776"/>
                    </a:xfrm>
                    <a:prstGeom prst="rect">
                      <a:avLst/>
                    </a:prstGeom>
                    <a:ln>
                      <a:noFill/>
                    </a:ln>
                    <a:extLst>
                      <a:ext uri="{53640926-AAD7-44D8-BBD7-CCE9431645EC}">
                        <a14:shadowObscured xmlns:a14="http://schemas.microsoft.com/office/drawing/2010/main"/>
                      </a:ext>
                    </a:extLst>
                  </pic:spPr>
                </pic:pic>
              </a:graphicData>
            </a:graphic>
          </wp:inline>
        </w:drawing>
      </w:r>
    </w:p>
    <w:p w14:paraId="3B728E41" w14:textId="1847D352" w:rsidR="004942B6" w:rsidRPr="00C87838" w:rsidRDefault="004942B6" w:rsidP="004942B6">
      <w:pPr>
        <w:pStyle w:val="Caption"/>
        <w:jc w:val="both"/>
        <w:rPr>
          <w:rFonts w:ascii="Arial" w:hAnsi="Arial" w:cs="Arial"/>
          <w:color w:val="000000" w:themeColor="text1"/>
          <w:sz w:val="20"/>
          <w:szCs w:val="20"/>
          <w:shd w:val="clear" w:color="auto" w:fill="FFFFFF"/>
        </w:rPr>
      </w:pPr>
      <w:bookmarkStart w:id="40" w:name="_Toc145055721"/>
      <w:bookmarkStart w:id="41" w:name="_Toc150518896"/>
      <w:bookmarkStart w:id="42" w:name="_Toc151222833"/>
      <w:bookmarkStart w:id="43" w:name="_Toc151626673"/>
      <w:bookmarkStart w:id="44" w:name="_Toc152340467"/>
      <w:bookmarkStart w:id="45" w:name="_Toc152492260"/>
      <w:bookmarkStart w:id="46" w:name="_Toc152596947"/>
      <w:bookmarkStart w:id="47" w:name="_Toc153409650"/>
      <w:bookmarkStart w:id="48" w:name="_Toc153724896"/>
      <w:bookmarkStart w:id="49" w:name="_Toc159318483"/>
      <w:bookmarkStart w:id="50" w:name="_Toc159612009"/>
      <w:bookmarkStart w:id="51" w:name="_Toc160982655"/>
      <w:bookmarkStart w:id="52" w:name="_Toc164697480"/>
      <w:bookmarkStart w:id="53" w:name="_Toc134970242"/>
      <w:bookmarkStart w:id="54" w:name="_Toc135331828"/>
      <w:bookmarkStart w:id="55" w:name="_Toc170744562"/>
      <w:bookmarkStart w:id="56" w:name="_Toc196153193"/>
      <w:r w:rsidRPr="00C87838">
        <w:rPr>
          <w:rFonts w:ascii="Arial" w:hAnsi="Arial" w:cs="Arial"/>
          <w:b/>
          <w:bCs/>
          <w:color w:val="000000" w:themeColor="text1"/>
          <w:sz w:val="20"/>
          <w:szCs w:val="20"/>
        </w:rPr>
        <w:t xml:space="preserve">Figure </w:t>
      </w:r>
      <w:r w:rsidRPr="00C87838">
        <w:rPr>
          <w:rFonts w:ascii="Arial" w:hAnsi="Arial" w:cs="Arial"/>
          <w:b/>
          <w:bCs/>
          <w:color w:val="000000" w:themeColor="text1"/>
          <w:sz w:val="20"/>
          <w:szCs w:val="20"/>
        </w:rPr>
        <w:fldChar w:fldCharType="begin"/>
      </w:r>
      <w:r w:rsidRPr="00C87838">
        <w:rPr>
          <w:rFonts w:ascii="Arial" w:hAnsi="Arial" w:cs="Arial"/>
          <w:b/>
          <w:bCs/>
          <w:color w:val="000000" w:themeColor="text1"/>
          <w:sz w:val="20"/>
          <w:szCs w:val="20"/>
        </w:rPr>
        <w:instrText xml:space="preserve"> SEQ Figure \* ARABIC </w:instrText>
      </w:r>
      <w:r w:rsidRPr="00C87838">
        <w:rPr>
          <w:rFonts w:ascii="Arial" w:hAnsi="Arial" w:cs="Arial"/>
          <w:b/>
          <w:bCs/>
          <w:color w:val="000000" w:themeColor="text1"/>
          <w:sz w:val="20"/>
          <w:szCs w:val="20"/>
        </w:rPr>
        <w:fldChar w:fldCharType="separate"/>
      </w:r>
      <w:r w:rsidR="001823B4">
        <w:rPr>
          <w:rFonts w:ascii="Arial" w:hAnsi="Arial" w:cs="Arial"/>
          <w:b/>
          <w:bCs/>
          <w:noProof/>
          <w:color w:val="000000" w:themeColor="text1"/>
          <w:sz w:val="20"/>
          <w:szCs w:val="20"/>
        </w:rPr>
        <w:t>1</w:t>
      </w:r>
      <w:r w:rsidRPr="00C87838">
        <w:rPr>
          <w:rFonts w:ascii="Arial" w:hAnsi="Arial" w:cs="Arial"/>
          <w:b/>
          <w:bCs/>
          <w:noProof/>
          <w:color w:val="000000" w:themeColor="text1"/>
          <w:sz w:val="20"/>
          <w:szCs w:val="20"/>
        </w:rPr>
        <w:fldChar w:fldCharType="end"/>
      </w:r>
      <w:r w:rsidRPr="00C87838">
        <w:rPr>
          <w:rFonts w:ascii="Arial" w:hAnsi="Arial" w:cs="Arial"/>
          <w:b/>
          <w:bCs/>
          <w:noProof/>
          <w:color w:val="000000" w:themeColor="text1"/>
          <w:sz w:val="20"/>
          <w:szCs w:val="20"/>
        </w:rPr>
        <w:t>:</w:t>
      </w:r>
      <w:r w:rsidRPr="00C87838">
        <w:rPr>
          <w:rFonts w:ascii="Arial" w:hAnsi="Arial" w:cs="Arial"/>
          <w:noProof/>
          <w:color w:val="000000" w:themeColor="text1"/>
          <w:sz w:val="20"/>
          <w:szCs w:val="20"/>
        </w:rPr>
        <w:t xml:space="preserve"> Arterial blood supply of the heart</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00241053">
        <w:rPr>
          <w:rFonts w:ascii="Arial" w:hAnsi="Arial" w:cs="Arial"/>
          <w:noProof/>
          <w:color w:val="000000" w:themeColor="text1"/>
          <w:sz w:val="20"/>
          <w:szCs w:val="20"/>
        </w:rPr>
        <w:t xml:space="preserve"> (Image created with Biorender)</w:t>
      </w:r>
      <w:bookmarkEnd w:id="55"/>
      <w:bookmarkEnd w:id="56"/>
    </w:p>
    <w:p w14:paraId="34C82BE1" w14:textId="77777777" w:rsidR="004942B6" w:rsidRPr="009222F3" w:rsidRDefault="004942B6" w:rsidP="004942B6">
      <w:pPr>
        <w:jc w:val="both"/>
        <w:rPr>
          <w:rFonts w:ascii="Arial" w:hAnsi="Arial" w:cs="Arial"/>
          <w:color w:val="000000" w:themeColor="text1"/>
          <w:sz w:val="24"/>
          <w:szCs w:val="24"/>
        </w:rPr>
      </w:pPr>
    </w:p>
    <w:p w14:paraId="7E482F86" w14:textId="77777777" w:rsidR="004942B6" w:rsidRPr="00BC5384" w:rsidRDefault="004942B6" w:rsidP="004942B6">
      <w:pPr>
        <w:pStyle w:val="Heading2"/>
        <w:spacing w:before="0" w:line="360" w:lineRule="auto"/>
        <w:jc w:val="both"/>
        <w:rPr>
          <w:rFonts w:ascii="Arial" w:hAnsi="Arial" w:cs="Arial"/>
          <w:color w:val="4472C4" w:themeColor="accent1"/>
          <w:sz w:val="28"/>
          <w:szCs w:val="28"/>
        </w:rPr>
      </w:pPr>
      <w:bookmarkStart w:id="57" w:name="_Toc171203844"/>
      <w:r w:rsidRPr="00BC5384">
        <w:rPr>
          <w:rFonts w:ascii="Arial" w:hAnsi="Arial" w:cs="Arial"/>
          <w:color w:val="4472C4" w:themeColor="accent1"/>
          <w:sz w:val="28"/>
          <w:szCs w:val="28"/>
        </w:rPr>
        <w:t>1.5 Clinical manifestation of coronary artery disease</w:t>
      </w:r>
      <w:bookmarkEnd w:id="57"/>
    </w:p>
    <w:p w14:paraId="32543140" w14:textId="77777777" w:rsidR="004942B6" w:rsidRDefault="004942B6" w:rsidP="004942B6">
      <w:pPr>
        <w:pStyle w:val="NormalWeb"/>
        <w:spacing w:before="0" w:beforeAutospacing="0" w:after="0" w:afterAutospacing="0"/>
        <w:jc w:val="both"/>
        <w:rPr>
          <w:rFonts w:ascii="Arial" w:hAnsi="Arial" w:cs="Arial"/>
          <w:color w:val="0E101A"/>
        </w:rPr>
      </w:pPr>
      <w:r w:rsidRPr="00903928">
        <w:rPr>
          <w:rFonts w:ascii="Arial" w:hAnsi="Arial" w:cs="Arial"/>
          <w:color w:val="0E101A"/>
        </w:rPr>
        <w:t>The presentation of CAD depends</w:t>
      </w:r>
      <w:r w:rsidRPr="00672BA0">
        <w:rPr>
          <w:rFonts w:ascii="Arial" w:hAnsi="Arial" w:cs="Arial"/>
          <w:color w:val="0E101A"/>
        </w:rPr>
        <w:t xml:space="preserve"> upon the stability of atherosclerotic plaque. Therefore, the dynamicity of the atherosclerotic phenomenon can result in various </w:t>
      </w:r>
      <w:r w:rsidRPr="00672BA0">
        <w:rPr>
          <w:rFonts w:ascii="Arial" w:hAnsi="Arial" w:cs="Arial"/>
          <w:color w:val="0E101A"/>
        </w:rPr>
        <w:lastRenderedPageBreak/>
        <w:t xml:space="preserve">clinical </w:t>
      </w:r>
      <w:r>
        <w:rPr>
          <w:rFonts w:ascii="Arial" w:hAnsi="Arial" w:cs="Arial"/>
          <w:color w:val="0E101A"/>
        </w:rPr>
        <w:t>manifestations</w:t>
      </w:r>
      <w:r w:rsidRPr="00672BA0">
        <w:rPr>
          <w:rFonts w:ascii="Arial" w:hAnsi="Arial" w:cs="Arial"/>
          <w:color w:val="0E101A"/>
        </w:rPr>
        <w:t>, which can be categorised as either chronic coronary syndrome (CCS) or acute coronary syndrome (ACS). (</w:t>
      </w:r>
      <w:r>
        <w:rPr>
          <w:rFonts w:ascii="Arial" w:hAnsi="Arial" w:cs="Arial"/>
          <w:color w:val="0E101A"/>
        </w:rPr>
        <w:t>5,</w:t>
      </w:r>
      <w:r w:rsidRPr="00672BA0">
        <w:rPr>
          <w:rFonts w:ascii="Arial" w:hAnsi="Arial" w:cs="Arial"/>
          <w:color w:val="0E101A"/>
        </w:rPr>
        <w:t>6) </w:t>
      </w:r>
    </w:p>
    <w:p w14:paraId="237EF488" w14:textId="77777777" w:rsidR="007515E2" w:rsidRDefault="007515E2" w:rsidP="004942B6">
      <w:pPr>
        <w:pStyle w:val="NormalWeb"/>
        <w:spacing w:before="0" w:beforeAutospacing="0" w:after="0" w:afterAutospacing="0"/>
        <w:jc w:val="both"/>
        <w:rPr>
          <w:rFonts w:ascii="Arial" w:hAnsi="Arial" w:cs="Arial"/>
          <w:color w:val="0E101A"/>
        </w:rPr>
      </w:pPr>
    </w:p>
    <w:p w14:paraId="7F596BA6" w14:textId="77777777" w:rsidR="004942B6" w:rsidRPr="00633EDB" w:rsidRDefault="004942B6" w:rsidP="004942B6">
      <w:pPr>
        <w:pStyle w:val="Heading3"/>
        <w:spacing w:before="0" w:line="360" w:lineRule="auto"/>
        <w:jc w:val="both"/>
        <w:rPr>
          <w:rFonts w:ascii="Arial" w:hAnsi="Arial" w:cs="Arial"/>
          <w:color w:val="4472C4" w:themeColor="accent1"/>
          <w:sz w:val="24"/>
          <w:szCs w:val="24"/>
        </w:rPr>
      </w:pPr>
      <w:bookmarkStart w:id="58" w:name="_Toc164681336"/>
      <w:bookmarkStart w:id="59" w:name="_Toc170075018"/>
      <w:bookmarkStart w:id="60" w:name="_Toc170076005"/>
      <w:bookmarkStart w:id="61" w:name="_Toc170577701"/>
      <w:bookmarkStart w:id="62" w:name="_Toc170579219"/>
      <w:bookmarkStart w:id="63" w:name="_Toc171203074"/>
      <w:bookmarkStart w:id="64" w:name="_Toc171203845"/>
      <w:r w:rsidRPr="00633EDB">
        <w:rPr>
          <w:rFonts w:ascii="Arial" w:hAnsi="Arial" w:cs="Arial"/>
          <w:color w:val="4472C4" w:themeColor="accent1"/>
          <w:sz w:val="24"/>
          <w:szCs w:val="24"/>
        </w:rPr>
        <w:t>1.5.1 Chronic coronary syndrome (CCS)</w:t>
      </w:r>
      <w:bookmarkEnd w:id="58"/>
      <w:bookmarkEnd w:id="59"/>
      <w:bookmarkEnd w:id="60"/>
      <w:bookmarkEnd w:id="61"/>
      <w:bookmarkEnd w:id="62"/>
      <w:bookmarkEnd w:id="63"/>
      <w:bookmarkEnd w:id="64"/>
    </w:p>
    <w:p w14:paraId="2483BC5D" w14:textId="77777777" w:rsidR="004942B6" w:rsidRPr="00672BA0" w:rsidRDefault="004942B6" w:rsidP="004942B6">
      <w:pPr>
        <w:pStyle w:val="NormalWeb"/>
        <w:spacing w:before="0" w:beforeAutospacing="0" w:after="0" w:afterAutospacing="0"/>
        <w:jc w:val="both"/>
        <w:rPr>
          <w:rFonts w:ascii="Arial" w:hAnsi="Arial" w:cs="Arial"/>
          <w:color w:val="0E101A"/>
        </w:rPr>
      </w:pPr>
      <w:r w:rsidRPr="00672BA0">
        <w:rPr>
          <w:rFonts w:ascii="Arial" w:hAnsi="Arial" w:cs="Arial"/>
          <w:color w:val="0E101A"/>
        </w:rPr>
        <w:t> The term “</w:t>
      </w:r>
      <w:r>
        <w:rPr>
          <w:rFonts w:ascii="Arial" w:hAnsi="Arial" w:cs="Arial"/>
          <w:color w:val="0E101A"/>
        </w:rPr>
        <w:t>c</w:t>
      </w:r>
      <w:r w:rsidRPr="00672BA0">
        <w:rPr>
          <w:rFonts w:ascii="Arial" w:hAnsi="Arial" w:cs="Arial"/>
          <w:color w:val="0E101A"/>
        </w:rPr>
        <w:t>hronic coronary syndrome” was introduced by the European Society of Cardiology (ESC) in the revised guidelines for previously called stable CAD in 2019. (1</w:t>
      </w:r>
      <w:r>
        <w:rPr>
          <w:rFonts w:ascii="Arial" w:hAnsi="Arial" w:cs="Arial"/>
          <w:color w:val="0E101A"/>
        </w:rPr>
        <w:t>3</w:t>
      </w:r>
      <w:r w:rsidRPr="00672BA0">
        <w:rPr>
          <w:rFonts w:ascii="Arial" w:hAnsi="Arial" w:cs="Arial"/>
          <w:color w:val="0E101A"/>
        </w:rPr>
        <w:t>) Despite the chronicity and progressive nature of CAD, the disease may remain quiescent for several years before any clinical manifestation. However, the development of angina implies myocardial ischaemia due to an imbalance between myocardial demand and supply. (1</w:t>
      </w:r>
      <w:r>
        <w:rPr>
          <w:rFonts w:ascii="Arial" w:hAnsi="Arial" w:cs="Arial"/>
          <w:color w:val="0E101A"/>
        </w:rPr>
        <w:t>4</w:t>
      </w:r>
      <w:r w:rsidRPr="00672BA0">
        <w:rPr>
          <w:rFonts w:ascii="Arial" w:hAnsi="Arial" w:cs="Arial"/>
          <w:color w:val="0E101A"/>
        </w:rPr>
        <w:t>) </w:t>
      </w:r>
    </w:p>
    <w:p w14:paraId="6CDDF567" w14:textId="77777777" w:rsidR="004942B6" w:rsidRPr="00672BA0" w:rsidRDefault="004942B6" w:rsidP="004942B6">
      <w:pPr>
        <w:pStyle w:val="NormalWeb"/>
        <w:spacing w:before="0" w:beforeAutospacing="0" w:after="0" w:afterAutospacing="0"/>
        <w:jc w:val="both"/>
        <w:rPr>
          <w:rFonts w:ascii="Arial" w:hAnsi="Arial" w:cs="Arial"/>
          <w:color w:val="0E101A"/>
        </w:rPr>
      </w:pPr>
      <w:r w:rsidRPr="00672BA0">
        <w:rPr>
          <w:rFonts w:ascii="Arial" w:hAnsi="Arial" w:cs="Arial"/>
          <w:color w:val="0E101A"/>
        </w:rPr>
        <w:t xml:space="preserve">A triad characterises the classical presentation of </w:t>
      </w:r>
      <w:r>
        <w:rPr>
          <w:rFonts w:ascii="Arial" w:hAnsi="Arial" w:cs="Arial"/>
          <w:color w:val="0E101A"/>
        </w:rPr>
        <w:t xml:space="preserve">an </w:t>
      </w:r>
      <w:r w:rsidRPr="00672BA0">
        <w:rPr>
          <w:rFonts w:ascii="Arial" w:hAnsi="Arial" w:cs="Arial"/>
          <w:color w:val="0E101A"/>
        </w:rPr>
        <w:t>anginal attack: (14)</w:t>
      </w:r>
    </w:p>
    <w:p w14:paraId="1A1C6469" w14:textId="77777777" w:rsidR="004942B6" w:rsidRDefault="004942B6" w:rsidP="0038772D">
      <w:pPr>
        <w:numPr>
          <w:ilvl w:val="0"/>
          <w:numId w:val="8"/>
        </w:numPr>
        <w:spacing w:after="0" w:line="360" w:lineRule="auto"/>
        <w:jc w:val="both"/>
        <w:rPr>
          <w:rFonts w:ascii="Arial" w:hAnsi="Arial" w:cs="Arial"/>
          <w:color w:val="0E101A"/>
          <w:sz w:val="24"/>
          <w:szCs w:val="24"/>
        </w:rPr>
      </w:pPr>
      <w:r w:rsidRPr="00672BA0">
        <w:rPr>
          <w:rFonts w:ascii="Arial" w:hAnsi="Arial" w:cs="Arial"/>
          <w:color w:val="0E101A"/>
          <w:sz w:val="24"/>
          <w:szCs w:val="24"/>
        </w:rPr>
        <w:t>Retrosternal heaviness or pressure-like feeling radiating to the arm, neck, or jaw. </w:t>
      </w:r>
    </w:p>
    <w:p w14:paraId="4E44CA83" w14:textId="77777777" w:rsidR="004942B6" w:rsidRDefault="004942B6" w:rsidP="0038772D">
      <w:pPr>
        <w:numPr>
          <w:ilvl w:val="0"/>
          <w:numId w:val="8"/>
        </w:numPr>
        <w:spacing w:after="0" w:line="360" w:lineRule="auto"/>
        <w:jc w:val="both"/>
        <w:rPr>
          <w:rFonts w:ascii="Arial" w:hAnsi="Arial" w:cs="Arial"/>
          <w:color w:val="0E101A"/>
          <w:sz w:val="24"/>
          <w:szCs w:val="24"/>
        </w:rPr>
      </w:pPr>
      <w:r w:rsidRPr="00A8273C">
        <w:rPr>
          <w:rFonts w:ascii="Arial" w:hAnsi="Arial" w:cs="Arial"/>
          <w:color w:val="0E101A"/>
          <w:sz w:val="24"/>
          <w:szCs w:val="24"/>
        </w:rPr>
        <w:t>Symptoms are usually precipitated by exertion. </w:t>
      </w:r>
    </w:p>
    <w:p w14:paraId="4019F089" w14:textId="77777777" w:rsidR="004942B6" w:rsidRPr="00A8273C" w:rsidRDefault="004942B6" w:rsidP="0038772D">
      <w:pPr>
        <w:numPr>
          <w:ilvl w:val="0"/>
          <w:numId w:val="8"/>
        </w:numPr>
        <w:spacing w:after="0" w:line="360" w:lineRule="auto"/>
        <w:jc w:val="both"/>
        <w:rPr>
          <w:rFonts w:ascii="Arial" w:hAnsi="Arial" w:cs="Arial"/>
          <w:color w:val="0E101A"/>
          <w:sz w:val="24"/>
          <w:szCs w:val="24"/>
        </w:rPr>
      </w:pPr>
      <w:r w:rsidRPr="00A8273C">
        <w:rPr>
          <w:rFonts w:ascii="Arial" w:hAnsi="Arial" w:cs="Arial"/>
          <w:color w:val="0E101A"/>
          <w:sz w:val="24"/>
          <w:szCs w:val="24"/>
        </w:rPr>
        <w:t>Relieved with either rest or nitro-glycerine. </w:t>
      </w:r>
    </w:p>
    <w:p w14:paraId="3E2D95A8" w14:textId="77777777" w:rsidR="004942B6" w:rsidRPr="00672BA0" w:rsidRDefault="004942B6" w:rsidP="004942B6">
      <w:pPr>
        <w:pStyle w:val="NormalWeb"/>
        <w:spacing w:before="0" w:beforeAutospacing="0" w:after="0" w:afterAutospacing="0"/>
        <w:jc w:val="both"/>
        <w:rPr>
          <w:rFonts w:ascii="Arial" w:hAnsi="Arial" w:cs="Arial"/>
          <w:color w:val="0E101A"/>
        </w:rPr>
      </w:pPr>
      <w:r w:rsidRPr="00672BA0">
        <w:rPr>
          <w:rFonts w:ascii="Arial" w:hAnsi="Arial" w:cs="Arial"/>
          <w:color w:val="0E101A"/>
        </w:rPr>
        <w:t xml:space="preserve">The classical triad of angina may not be present in all patients, and several atypical presentations have also been described. Hence, they could be divided as per the “Diamond </w:t>
      </w:r>
      <w:r>
        <w:rPr>
          <w:rFonts w:ascii="Arial" w:hAnsi="Arial" w:cs="Arial"/>
          <w:color w:val="0E101A"/>
        </w:rPr>
        <w:t>C</w:t>
      </w:r>
      <w:r w:rsidRPr="00672BA0">
        <w:rPr>
          <w:rFonts w:ascii="Arial" w:hAnsi="Arial" w:cs="Arial"/>
          <w:color w:val="0E101A"/>
        </w:rPr>
        <w:t xml:space="preserve">lassification” into typical, atypical, or non-cardiac if they meet </w:t>
      </w:r>
      <w:r>
        <w:rPr>
          <w:rFonts w:ascii="Arial" w:hAnsi="Arial" w:cs="Arial"/>
          <w:color w:val="0E101A"/>
        </w:rPr>
        <w:t>three</w:t>
      </w:r>
      <w:r w:rsidRPr="00672BA0">
        <w:rPr>
          <w:rFonts w:ascii="Arial" w:hAnsi="Arial" w:cs="Arial"/>
          <w:color w:val="0E101A"/>
        </w:rPr>
        <w:t xml:space="preserve">, </w:t>
      </w:r>
      <w:r>
        <w:rPr>
          <w:rFonts w:ascii="Arial" w:hAnsi="Arial" w:cs="Arial"/>
          <w:color w:val="0E101A"/>
        </w:rPr>
        <w:t>two</w:t>
      </w:r>
      <w:r w:rsidRPr="00672BA0">
        <w:rPr>
          <w:rFonts w:ascii="Arial" w:hAnsi="Arial" w:cs="Arial"/>
          <w:color w:val="0E101A"/>
        </w:rPr>
        <w:t xml:space="preserve"> or</w:t>
      </w:r>
      <w:r>
        <w:rPr>
          <w:rFonts w:ascii="Arial" w:hAnsi="Arial" w:cs="Arial"/>
          <w:color w:val="0E101A"/>
        </w:rPr>
        <w:t xml:space="preserve"> one</w:t>
      </w:r>
      <w:r w:rsidRPr="00672BA0">
        <w:rPr>
          <w:rFonts w:ascii="Arial" w:hAnsi="Arial" w:cs="Arial"/>
          <w:color w:val="0E101A"/>
        </w:rPr>
        <w:t xml:space="preserve"> symptom o</w:t>
      </w:r>
      <w:r>
        <w:rPr>
          <w:rFonts w:ascii="Arial" w:hAnsi="Arial" w:cs="Arial"/>
          <w:color w:val="0E101A"/>
        </w:rPr>
        <w:t>n</w:t>
      </w:r>
      <w:r w:rsidRPr="00672BA0">
        <w:rPr>
          <w:rFonts w:ascii="Arial" w:hAnsi="Arial" w:cs="Arial"/>
          <w:color w:val="0E101A"/>
        </w:rPr>
        <w:t xml:space="preserve"> the triad list, respectively. (1</w:t>
      </w:r>
      <w:r>
        <w:rPr>
          <w:rFonts w:ascii="Arial" w:hAnsi="Arial" w:cs="Arial"/>
          <w:color w:val="0E101A"/>
        </w:rPr>
        <w:t>5</w:t>
      </w:r>
      <w:r w:rsidRPr="00672BA0">
        <w:rPr>
          <w:rFonts w:ascii="Arial" w:hAnsi="Arial" w:cs="Arial"/>
          <w:color w:val="0E101A"/>
        </w:rPr>
        <w:t>) </w:t>
      </w:r>
    </w:p>
    <w:p w14:paraId="75D3185B" w14:textId="77777777" w:rsidR="004942B6" w:rsidRDefault="004942B6" w:rsidP="004942B6">
      <w:pPr>
        <w:pStyle w:val="NormalWeb"/>
        <w:spacing w:before="0" w:beforeAutospacing="0" w:after="0" w:afterAutospacing="0"/>
        <w:jc w:val="both"/>
        <w:rPr>
          <w:rFonts w:ascii="Arial" w:hAnsi="Arial" w:cs="Arial"/>
          <w:color w:val="0E101A"/>
        </w:rPr>
      </w:pPr>
      <w:r>
        <w:rPr>
          <w:rFonts w:ascii="Arial" w:hAnsi="Arial" w:cs="Arial"/>
          <w:color w:val="0E101A"/>
        </w:rPr>
        <w:t xml:space="preserve">The </w:t>
      </w:r>
      <w:r w:rsidRPr="00672BA0">
        <w:rPr>
          <w:rFonts w:ascii="Arial" w:hAnsi="Arial" w:cs="Arial"/>
          <w:color w:val="0E101A"/>
        </w:rPr>
        <w:t>Canadian Cardiovascular Society (CCS) classification has been widely used in clinical practice to grade the angina severity in relation to the exercise threshold, as illustrated in Table 2. (1</w:t>
      </w:r>
      <w:r>
        <w:rPr>
          <w:rFonts w:ascii="Arial" w:hAnsi="Arial" w:cs="Arial"/>
          <w:color w:val="0E101A"/>
        </w:rPr>
        <w:t>3</w:t>
      </w:r>
      <w:r w:rsidRPr="00672BA0">
        <w:rPr>
          <w:rFonts w:ascii="Arial" w:hAnsi="Arial" w:cs="Arial"/>
          <w:color w:val="0E101A"/>
        </w:rPr>
        <w:t>)</w:t>
      </w:r>
    </w:p>
    <w:p w14:paraId="3FEC3C88" w14:textId="77777777" w:rsidR="00F605C6" w:rsidRDefault="00F605C6" w:rsidP="004942B6">
      <w:pPr>
        <w:pStyle w:val="NormalWeb"/>
        <w:spacing w:before="0" w:beforeAutospacing="0" w:after="0" w:afterAutospacing="0"/>
        <w:jc w:val="both"/>
        <w:rPr>
          <w:rFonts w:ascii="Arial" w:hAnsi="Arial" w:cs="Arial"/>
          <w:color w:val="0E101A"/>
        </w:rPr>
      </w:pPr>
    </w:p>
    <w:p w14:paraId="003F863E" w14:textId="77777777" w:rsidR="00F605C6" w:rsidRDefault="00F605C6" w:rsidP="004942B6">
      <w:pPr>
        <w:pStyle w:val="NormalWeb"/>
        <w:spacing w:before="0" w:beforeAutospacing="0" w:after="0" w:afterAutospacing="0"/>
        <w:jc w:val="both"/>
        <w:rPr>
          <w:rFonts w:ascii="Arial" w:hAnsi="Arial" w:cs="Arial"/>
          <w:color w:val="0E101A"/>
        </w:rPr>
      </w:pPr>
    </w:p>
    <w:p w14:paraId="48BA2018" w14:textId="77777777" w:rsidR="00F605C6" w:rsidRDefault="00F605C6" w:rsidP="004942B6">
      <w:pPr>
        <w:pStyle w:val="NormalWeb"/>
        <w:spacing w:before="0" w:beforeAutospacing="0" w:after="0" w:afterAutospacing="0"/>
        <w:jc w:val="both"/>
        <w:rPr>
          <w:rFonts w:ascii="Arial" w:hAnsi="Arial" w:cs="Arial"/>
          <w:color w:val="0E101A"/>
        </w:rPr>
      </w:pPr>
    </w:p>
    <w:p w14:paraId="4546640F" w14:textId="77777777" w:rsidR="00F605C6" w:rsidRDefault="00F605C6" w:rsidP="004942B6">
      <w:pPr>
        <w:pStyle w:val="NormalWeb"/>
        <w:spacing w:before="0" w:beforeAutospacing="0" w:after="0" w:afterAutospacing="0"/>
        <w:jc w:val="both"/>
        <w:rPr>
          <w:rFonts w:ascii="Arial" w:hAnsi="Arial" w:cs="Arial"/>
          <w:color w:val="0E101A"/>
        </w:rPr>
      </w:pPr>
    </w:p>
    <w:p w14:paraId="2781C91D" w14:textId="77777777" w:rsidR="00F605C6" w:rsidRDefault="00F605C6" w:rsidP="004942B6">
      <w:pPr>
        <w:pStyle w:val="NormalWeb"/>
        <w:spacing w:before="0" w:beforeAutospacing="0" w:after="0" w:afterAutospacing="0"/>
        <w:jc w:val="both"/>
        <w:rPr>
          <w:rFonts w:ascii="Arial" w:hAnsi="Arial" w:cs="Arial"/>
          <w:color w:val="0E101A"/>
        </w:rPr>
      </w:pPr>
    </w:p>
    <w:p w14:paraId="4943645E" w14:textId="77777777" w:rsidR="00F605C6" w:rsidRDefault="00F605C6" w:rsidP="004942B6">
      <w:pPr>
        <w:pStyle w:val="NormalWeb"/>
        <w:spacing w:before="0" w:beforeAutospacing="0" w:after="0" w:afterAutospacing="0"/>
        <w:jc w:val="both"/>
        <w:rPr>
          <w:rFonts w:ascii="Arial" w:hAnsi="Arial" w:cs="Arial"/>
          <w:color w:val="0E101A"/>
        </w:rPr>
      </w:pPr>
    </w:p>
    <w:p w14:paraId="57D3DFD4" w14:textId="77777777" w:rsidR="00F605C6" w:rsidRDefault="00F605C6" w:rsidP="004942B6">
      <w:pPr>
        <w:pStyle w:val="NormalWeb"/>
        <w:spacing w:before="0" w:beforeAutospacing="0" w:after="0" w:afterAutospacing="0"/>
        <w:jc w:val="both"/>
        <w:rPr>
          <w:rFonts w:ascii="Arial" w:hAnsi="Arial" w:cs="Arial"/>
          <w:color w:val="0E101A"/>
        </w:rPr>
      </w:pPr>
    </w:p>
    <w:p w14:paraId="5E32A4F1" w14:textId="77777777" w:rsidR="00F605C6" w:rsidRDefault="00F605C6" w:rsidP="004942B6">
      <w:pPr>
        <w:pStyle w:val="NormalWeb"/>
        <w:spacing w:before="0" w:beforeAutospacing="0" w:after="0" w:afterAutospacing="0"/>
        <w:jc w:val="both"/>
        <w:rPr>
          <w:rFonts w:ascii="Arial" w:hAnsi="Arial" w:cs="Arial"/>
          <w:color w:val="0E101A"/>
        </w:rPr>
      </w:pPr>
    </w:p>
    <w:p w14:paraId="77437787" w14:textId="77777777" w:rsidR="00F605C6" w:rsidRDefault="00F605C6" w:rsidP="004942B6">
      <w:pPr>
        <w:pStyle w:val="NormalWeb"/>
        <w:spacing w:before="0" w:beforeAutospacing="0" w:after="0" w:afterAutospacing="0"/>
        <w:jc w:val="both"/>
        <w:rPr>
          <w:rFonts w:ascii="Arial" w:hAnsi="Arial" w:cs="Arial"/>
          <w:color w:val="0E101A"/>
        </w:rPr>
      </w:pPr>
    </w:p>
    <w:p w14:paraId="3E5A6274" w14:textId="77777777" w:rsidR="004942B6" w:rsidRDefault="004942B6" w:rsidP="004942B6">
      <w:pPr>
        <w:pStyle w:val="Caption"/>
        <w:keepNext/>
        <w:rPr>
          <w:color w:val="000000" w:themeColor="text1"/>
        </w:rPr>
      </w:pPr>
    </w:p>
    <w:p w14:paraId="76211CCF" w14:textId="77777777" w:rsidR="00F605C6" w:rsidRPr="00F605C6" w:rsidRDefault="00F605C6" w:rsidP="00F605C6"/>
    <w:p w14:paraId="2C7FDEAC" w14:textId="1473704B" w:rsidR="004942B6" w:rsidRPr="00325841" w:rsidRDefault="004942B6" w:rsidP="004942B6">
      <w:pPr>
        <w:pStyle w:val="Caption"/>
        <w:rPr>
          <w:rFonts w:ascii="Arial" w:hAnsi="Arial" w:cs="Arial"/>
          <w:color w:val="000000" w:themeColor="text1"/>
          <w:sz w:val="20"/>
          <w:szCs w:val="20"/>
        </w:rPr>
      </w:pPr>
      <w:bookmarkStart w:id="65" w:name="_Toc135462257"/>
      <w:bookmarkStart w:id="66" w:name="_Toc136312351"/>
      <w:bookmarkStart w:id="67" w:name="_Toc136329087"/>
      <w:bookmarkStart w:id="68" w:name="_Toc151222930"/>
      <w:bookmarkStart w:id="69" w:name="_Toc151630613"/>
      <w:bookmarkStart w:id="70" w:name="_Toc152340573"/>
      <w:bookmarkStart w:id="71" w:name="_Toc152598049"/>
      <w:bookmarkStart w:id="72" w:name="_Toc153725835"/>
      <w:bookmarkStart w:id="73" w:name="_Toc159318277"/>
      <w:bookmarkStart w:id="74" w:name="_Toc159610312"/>
      <w:bookmarkStart w:id="75" w:name="_Toc164699069"/>
      <w:bookmarkStart w:id="76" w:name="_Toc171206715"/>
      <w:r w:rsidRPr="00325841">
        <w:rPr>
          <w:rFonts w:ascii="Arial" w:hAnsi="Arial" w:cs="Arial"/>
          <w:b/>
          <w:bCs/>
          <w:color w:val="000000" w:themeColor="text1"/>
          <w:sz w:val="20"/>
          <w:szCs w:val="20"/>
        </w:rPr>
        <w:lastRenderedPageBreak/>
        <w:t xml:space="preserve">Table </w:t>
      </w:r>
      <w:r w:rsidRPr="00325841">
        <w:rPr>
          <w:rFonts w:ascii="Arial" w:hAnsi="Arial" w:cs="Arial"/>
          <w:b/>
          <w:bCs/>
          <w:color w:val="000000" w:themeColor="text1"/>
          <w:sz w:val="20"/>
          <w:szCs w:val="20"/>
        </w:rPr>
        <w:fldChar w:fldCharType="begin"/>
      </w:r>
      <w:r w:rsidRPr="00325841">
        <w:rPr>
          <w:rFonts w:ascii="Arial" w:hAnsi="Arial" w:cs="Arial"/>
          <w:b/>
          <w:bCs/>
          <w:color w:val="000000" w:themeColor="text1"/>
          <w:sz w:val="20"/>
          <w:szCs w:val="20"/>
        </w:rPr>
        <w:instrText xml:space="preserve"> SEQ Table \* ARABIC </w:instrText>
      </w:r>
      <w:r w:rsidRPr="00325841">
        <w:rPr>
          <w:rFonts w:ascii="Arial" w:hAnsi="Arial" w:cs="Arial"/>
          <w:b/>
          <w:bCs/>
          <w:color w:val="000000" w:themeColor="text1"/>
          <w:sz w:val="20"/>
          <w:szCs w:val="20"/>
        </w:rPr>
        <w:fldChar w:fldCharType="separate"/>
      </w:r>
      <w:r w:rsidR="00822C3B">
        <w:rPr>
          <w:rFonts w:ascii="Arial" w:hAnsi="Arial" w:cs="Arial"/>
          <w:b/>
          <w:bCs/>
          <w:noProof/>
          <w:color w:val="000000" w:themeColor="text1"/>
          <w:sz w:val="20"/>
          <w:szCs w:val="20"/>
        </w:rPr>
        <w:t>2</w:t>
      </w:r>
      <w:r w:rsidRPr="00325841">
        <w:rPr>
          <w:rFonts w:ascii="Arial" w:hAnsi="Arial" w:cs="Arial"/>
          <w:b/>
          <w:bCs/>
          <w:noProof/>
          <w:color w:val="000000" w:themeColor="text1"/>
          <w:sz w:val="20"/>
          <w:szCs w:val="20"/>
        </w:rPr>
        <w:fldChar w:fldCharType="end"/>
      </w:r>
      <w:r w:rsidRPr="00325841">
        <w:rPr>
          <w:rFonts w:ascii="Arial" w:hAnsi="Arial" w:cs="Arial"/>
          <w:b/>
          <w:bCs/>
          <w:color w:val="000000" w:themeColor="text1"/>
          <w:sz w:val="20"/>
          <w:szCs w:val="20"/>
        </w:rPr>
        <w:t>:</w:t>
      </w:r>
      <w:r w:rsidRPr="00325841">
        <w:rPr>
          <w:rFonts w:ascii="Arial" w:hAnsi="Arial" w:cs="Arial"/>
          <w:color w:val="000000" w:themeColor="text1"/>
          <w:sz w:val="20"/>
          <w:szCs w:val="20"/>
        </w:rPr>
        <w:t xml:space="preserve"> Canadian Cardiovascular Society (CCS) classification</w:t>
      </w:r>
      <w:r w:rsidRPr="00325841">
        <w:rPr>
          <w:rFonts w:ascii="Arial" w:hAnsi="Arial" w:cs="Arial"/>
          <w:noProof/>
          <w:color w:val="000000" w:themeColor="text1"/>
          <w:sz w:val="20"/>
          <w:szCs w:val="20"/>
        </w:rPr>
        <w:t xml:space="preserve"> for angina severity</w:t>
      </w:r>
      <w:bookmarkEnd w:id="65"/>
      <w:bookmarkEnd w:id="66"/>
      <w:bookmarkEnd w:id="67"/>
      <w:bookmarkEnd w:id="68"/>
      <w:bookmarkEnd w:id="69"/>
      <w:bookmarkEnd w:id="70"/>
      <w:bookmarkEnd w:id="71"/>
      <w:bookmarkEnd w:id="72"/>
      <w:bookmarkEnd w:id="73"/>
      <w:bookmarkEnd w:id="74"/>
      <w:bookmarkEnd w:id="75"/>
      <w:bookmarkEnd w:id="76"/>
    </w:p>
    <w:tbl>
      <w:tblPr>
        <w:tblStyle w:val="GridTable1Light"/>
        <w:tblW w:w="0" w:type="auto"/>
        <w:tblLook w:val="04A0" w:firstRow="1" w:lastRow="0" w:firstColumn="1" w:lastColumn="0" w:noHBand="0" w:noVBand="1"/>
      </w:tblPr>
      <w:tblGrid>
        <w:gridCol w:w="988"/>
        <w:gridCol w:w="2551"/>
        <w:gridCol w:w="5477"/>
      </w:tblGrid>
      <w:tr w:rsidR="004942B6" w:rsidRPr="009222F3" w14:paraId="298B946C" w14:textId="77777777" w:rsidTr="002C2525">
        <w:trPr>
          <w:cnfStyle w:val="100000000000" w:firstRow="1" w:lastRow="0" w:firstColumn="0" w:lastColumn="0" w:oddVBand="0" w:evenVBand="0" w:oddHBand="0" w:evenHBand="0" w:firstRowFirstColumn="0" w:firstRowLastColumn="0" w:lastRowFirstColumn="0" w:lastRowLastColumn="0"/>
          <w:trHeight w:val="774"/>
        </w:trPr>
        <w:tc>
          <w:tcPr>
            <w:cnfStyle w:val="001000000000" w:firstRow="0" w:lastRow="0" w:firstColumn="1" w:lastColumn="0" w:oddVBand="0" w:evenVBand="0" w:oddHBand="0" w:evenHBand="0" w:firstRowFirstColumn="0" w:firstRowLastColumn="0" w:lastRowFirstColumn="0" w:lastRowLastColumn="0"/>
            <w:tcW w:w="988" w:type="dxa"/>
          </w:tcPr>
          <w:p w14:paraId="408E40DB"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Grade</w:t>
            </w:r>
          </w:p>
        </w:tc>
        <w:tc>
          <w:tcPr>
            <w:tcW w:w="2551" w:type="dxa"/>
          </w:tcPr>
          <w:p w14:paraId="2C5AD944" w14:textId="77777777" w:rsidR="004942B6" w:rsidRPr="009222F3" w:rsidRDefault="004942B6" w:rsidP="002C2525">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Angina severity</w:t>
            </w:r>
          </w:p>
        </w:tc>
        <w:tc>
          <w:tcPr>
            <w:tcW w:w="5477" w:type="dxa"/>
          </w:tcPr>
          <w:p w14:paraId="344DD906" w14:textId="77777777" w:rsidR="004942B6" w:rsidRPr="009222F3" w:rsidRDefault="004942B6" w:rsidP="002C2525">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Description</w:t>
            </w:r>
          </w:p>
        </w:tc>
      </w:tr>
      <w:tr w:rsidR="004942B6" w:rsidRPr="009222F3" w14:paraId="1A5A1FB4" w14:textId="77777777" w:rsidTr="002C2525">
        <w:tc>
          <w:tcPr>
            <w:cnfStyle w:val="001000000000" w:firstRow="0" w:lastRow="0" w:firstColumn="1" w:lastColumn="0" w:oddVBand="0" w:evenVBand="0" w:oddHBand="0" w:evenHBand="0" w:firstRowFirstColumn="0" w:firstRowLastColumn="0" w:lastRowFirstColumn="0" w:lastRowLastColumn="0"/>
            <w:tcW w:w="988" w:type="dxa"/>
          </w:tcPr>
          <w:p w14:paraId="6AC9B385"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I</w:t>
            </w:r>
          </w:p>
        </w:tc>
        <w:tc>
          <w:tcPr>
            <w:tcW w:w="2551" w:type="dxa"/>
          </w:tcPr>
          <w:p w14:paraId="56F8EFAC" w14:textId="77777777" w:rsidR="004942B6" w:rsidRPr="009222F3" w:rsidRDefault="004942B6" w:rsidP="002C252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Angina at strenuous exertion</w:t>
            </w:r>
          </w:p>
        </w:tc>
        <w:tc>
          <w:tcPr>
            <w:tcW w:w="5477" w:type="dxa"/>
          </w:tcPr>
          <w:p w14:paraId="270F8B27" w14:textId="75099B9C" w:rsidR="004942B6" w:rsidRPr="009222F3" w:rsidRDefault="004942B6" w:rsidP="002C252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Angina during strenuous or prolonged ordinary activity (walking or climbing stairs). </w:t>
            </w:r>
          </w:p>
        </w:tc>
      </w:tr>
      <w:tr w:rsidR="004942B6" w:rsidRPr="009222F3" w14:paraId="43CBC918" w14:textId="77777777" w:rsidTr="002C2525">
        <w:tc>
          <w:tcPr>
            <w:cnfStyle w:val="001000000000" w:firstRow="0" w:lastRow="0" w:firstColumn="1" w:lastColumn="0" w:oddVBand="0" w:evenVBand="0" w:oddHBand="0" w:evenHBand="0" w:firstRowFirstColumn="0" w:firstRowLastColumn="0" w:lastRowFirstColumn="0" w:lastRowLastColumn="0"/>
            <w:tcW w:w="988" w:type="dxa"/>
          </w:tcPr>
          <w:p w14:paraId="0E7EE947"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II</w:t>
            </w:r>
          </w:p>
        </w:tc>
        <w:tc>
          <w:tcPr>
            <w:tcW w:w="2551" w:type="dxa"/>
          </w:tcPr>
          <w:p w14:paraId="35C7F4B4" w14:textId="77777777" w:rsidR="004942B6" w:rsidRPr="009222F3" w:rsidRDefault="004942B6" w:rsidP="002C252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Angina at moderate exertion </w:t>
            </w:r>
          </w:p>
        </w:tc>
        <w:tc>
          <w:tcPr>
            <w:tcW w:w="5477" w:type="dxa"/>
          </w:tcPr>
          <w:p w14:paraId="530361CD" w14:textId="77777777" w:rsidR="004942B6" w:rsidRPr="009222F3" w:rsidRDefault="004942B6" w:rsidP="002C252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Slight limitations of ordinary activities when performed rapidly, walking uphill, climbing more than one flight of stairs at a normal pace, or under emotional stress</w:t>
            </w:r>
          </w:p>
        </w:tc>
      </w:tr>
      <w:tr w:rsidR="004942B6" w:rsidRPr="009222F3" w14:paraId="6601AB1F" w14:textId="77777777" w:rsidTr="002C2525">
        <w:tc>
          <w:tcPr>
            <w:cnfStyle w:val="001000000000" w:firstRow="0" w:lastRow="0" w:firstColumn="1" w:lastColumn="0" w:oddVBand="0" w:evenVBand="0" w:oddHBand="0" w:evenHBand="0" w:firstRowFirstColumn="0" w:firstRowLastColumn="0" w:lastRowFirstColumn="0" w:lastRowLastColumn="0"/>
            <w:tcW w:w="988" w:type="dxa"/>
          </w:tcPr>
          <w:p w14:paraId="7BEE6C77"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III</w:t>
            </w:r>
          </w:p>
        </w:tc>
        <w:tc>
          <w:tcPr>
            <w:tcW w:w="2551" w:type="dxa"/>
          </w:tcPr>
          <w:p w14:paraId="04C40DC4" w14:textId="77777777" w:rsidR="004942B6" w:rsidRPr="009222F3" w:rsidRDefault="004942B6" w:rsidP="002C252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Angina at mild exertion</w:t>
            </w:r>
          </w:p>
        </w:tc>
        <w:tc>
          <w:tcPr>
            <w:tcW w:w="5477" w:type="dxa"/>
          </w:tcPr>
          <w:p w14:paraId="7050C77B" w14:textId="77777777" w:rsidR="004942B6" w:rsidRPr="009222F3" w:rsidRDefault="004942B6" w:rsidP="002C252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Symptoms after walking one or two blocks on level ground or climbing one flight of stairs</w:t>
            </w:r>
            <w:r>
              <w:rPr>
                <w:rFonts w:ascii="Arial" w:hAnsi="Arial" w:cs="Arial"/>
                <w:color w:val="000000" w:themeColor="text1"/>
                <w:sz w:val="24"/>
                <w:szCs w:val="24"/>
                <w:shd w:val="clear" w:color="auto" w:fill="FFFFFF"/>
              </w:rPr>
              <w:t xml:space="preserve"> </w:t>
            </w:r>
            <w:r w:rsidRPr="009222F3">
              <w:rPr>
                <w:rFonts w:ascii="Arial" w:hAnsi="Arial" w:cs="Arial"/>
                <w:color w:val="000000" w:themeColor="text1"/>
                <w:sz w:val="24"/>
                <w:szCs w:val="24"/>
                <w:shd w:val="clear" w:color="auto" w:fill="FFFFFF"/>
              </w:rPr>
              <w:t xml:space="preserve">at a normal pace </w:t>
            </w:r>
          </w:p>
        </w:tc>
      </w:tr>
      <w:tr w:rsidR="004942B6" w:rsidRPr="009222F3" w14:paraId="7C3A4ACF" w14:textId="77777777" w:rsidTr="002C2525">
        <w:tc>
          <w:tcPr>
            <w:cnfStyle w:val="001000000000" w:firstRow="0" w:lastRow="0" w:firstColumn="1" w:lastColumn="0" w:oddVBand="0" w:evenVBand="0" w:oddHBand="0" w:evenHBand="0" w:firstRowFirstColumn="0" w:firstRowLastColumn="0" w:lastRowFirstColumn="0" w:lastRowLastColumn="0"/>
            <w:tcW w:w="988" w:type="dxa"/>
          </w:tcPr>
          <w:p w14:paraId="690EC4C3"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IV</w:t>
            </w:r>
          </w:p>
        </w:tc>
        <w:tc>
          <w:tcPr>
            <w:tcW w:w="2551" w:type="dxa"/>
          </w:tcPr>
          <w:p w14:paraId="769F5A62" w14:textId="77777777" w:rsidR="004942B6" w:rsidRPr="009222F3" w:rsidRDefault="004942B6" w:rsidP="002C252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Angina at rest</w:t>
            </w:r>
          </w:p>
        </w:tc>
        <w:tc>
          <w:tcPr>
            <w:tcW w:w="5477" w:type="dxa"/>
          </w:tcPr>
          <w:p w14:paraId="5A5B50DE" w14:textId="77777777" w:rsidR="004942B6" w:rsidRPr="009222F3" w:rsidRDefault="004942B6" w:rsidP="002C2525">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Angina with any level of exertion or even at rest</w:t>
            </w:r>
          </w:p>
        </w:tc>
      </w:tr>
    </w:tbl>
    <w:p w14:paraId="28927EA3" w14:textId="77777777" w:rsidR="008C38D5" w:rsidRDefault="008C38D5" w:rsidP="004942B6">
      <w:pPr>
        <w:spacing w:line="360" w:lineRule="auto"/>
        <w:jc w:val="both"/>
        <w:rPr>
          <w:rFonts w:ascii="Arial" w:hAnsi="Arial" w:cs="Arial"/>
          <w:color w:val="000000" w:themeColor="text1"/>
          <w:sz w:val="24"/>
          <w:szCs w:val="24"/>
          <w:shd w:val="clear" w:color="auto" w:fill="FFFFFF"/>
        </w:rPr>
      </w:pPr>
    </w:p>
    <w:p w14:paraId="4810B0B0" w14:textId="03993BA9" w:rsidR="004942B6" w:rsidRPr="009222F3" w:rsidRDefault="004942B6" w:rsidP="004942B6">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CAD may lead to the development of heart failure symptoms due to myocardial injury, resulting in left ventricular systolic dysfunction (LVSD)</w:t>
      </w:r>
      <w:r>
        <w:rPr>
          <w:rFonts w:ascii="Arial" w:hAnsi="Arial" w:cs="Arial"/>
          <w:color w:val="000000" w:themeColor="text1"/>
          <w:sz w:val="24"/>
          <w:szCs w:val="24"/>
          <w:shd w:val="clear" w:color="auto" w:fill="FFFFFF"/>
        </w:rPr>
        <w:t>,</w:t>
      </w:r>
      <w:r w:rsidRPr="009222F3">
        <w:rPr>
          <w:rFonts w:ascii="Arial" w:hAnsi="Arial" w:cs="Arial"/>
          <w:color w:val="000000" w:themeColor="text1"/>
          <w:sz w:val="24"/>
          <w:szCs w:val="24"/>
          <w:shd w:val="clear" w:color="auto" w:fill="FFFFFF"/>
        </w:rPr>
        <w:t xml:space="preserve"> which commonly presents as </w:t>
      </w:r>
      <w:r>
        <w:rPr>
          <w:rFonts w:ascii="Arial" w:hAnsi="Arial" w:cs="Arial"/>
          <w:color w:val="000000" w:themeColor="text1"/>
          <w:sz w:val="24"/>
          <w:szCs w:val="24"/>
          <w:shd w:val="clear" w:color="auto" w:fill="FFFFFF"/>
        </w:rPr>
        <w:t>shortness of breath (</w:t>
      </w:r>
      <w:r w:rsidRPr="009222F3">
        <w:rPr>
          <w:rFonts w:ascii="Arial" w:hAnsi="Arial" w:cs="Arial"/>
          <w:color w:val="000000" w:themeColor="text1"/>
          <w:sz w:val="24"/>
          <w:szCs w:val="24"/>
          <w:shd w:val="clear" w:color="auto" w:fill="FFFFFF"/>
        </w:rPr>
        <w:t>SOB</w:t>
      </w:r>
      <w:r>
        <w:rPr>
          <w:rFonts w:ascii="Arial" w:hAnsi="Arial" w:cs="Arial"/>
          <w:color w:val="000000" w:themeColor="text1"/>
          <w:sz w:val="24"/>
          <w:szCs w:val="24"/>
          <w:shd w:val="clear" w:color="auto" w:fill="FFFFFF"/>
        </w:rPr>
        <w:t>)</w:t>
      </w:r>
      <w:r w:rsidRPr="009222F3">
        <w:rPr>
          <w:rFonts w:ascii="Arial" w:hAnsi="Arial" w:cs="Arial"/>
          <w:color w:val="000000" w:themeColor="text1"/>
          <w:sz w:val="24"/>
          <w:szCs w:val="24"/>
          <w:shd w:val="clear" w:color="auto" w:fill="FFFFFF"/>
        </w:rPr>
        <w:t xml:space="preserve"> </w:t>
      </w:r>
      <w:r>
        <w:rPr>
          <w:rFonts w:ascii="Arial" w:hAnsi="Arial" w:cs="Arial"/>
          <w:color w:val="000000" w:themeColor="text1"/>
          <w:sz w:val="24"/>
          <w:szCs w:val="24"/>
          <w:shd w:val="clear" w:color="auto" w:fill="FFFFFF"/>
        </w:rPr>
        <w:t>up</w:t>
      </w:r>
      <w:r w:rsidRPr="009222F3">
        <w:rPr>
          <w:rFonts w:ascii="Arial" w:hAnsi="Arial" w:cs="Arial"/>
          <w:color w:val="000000" w:themeColor="text1"/>
          <w:sz w:val="24"/>
          <w:szCs w:val="24"/>
          <w:shd w:val="clear" w:color="auto" w:fill="FFFFFF"/>
        </w:rPr>
        <w:t xml:space="preserve">on exertion, paroxysmal nocturnal dyspnoea and </w:t>
      </w:r>
      <w:r>
        <w:rPr>
          <w:rFonts w:ascii="Arial" w:hAnsi="Arial" w:cs="Arial"/>
          <w:color w:val="000000" w:themeColor="text1"/>
          <w:sz w:val="24"/>
          <w:szCs w:val="24"/>
          <w:shd w:val="clear" w:color="auto" w:fill="FFFFFF"/>
        </w:rPr>
        <w:t xml:space="preserve">with </w:t>
      </w:r>
      <w:r w:rsidRPr="009222F3">
        <w:rPr>
          <w:rFonts w:ascii="Arial" w:hAnsi="Arial" w:cs="Arial"/>
          <w:color w:val="000000" w:themeColor="text1"/>
          <w:sz w:val="24"/>
          <w:szCs w:val="24"/>
          <w:shd w:val="clear" w:color="auto" w:fill="FFFFFF"/>
        </w:rPr>
        <w:t>acute pulmonary oedema in extreme cases. Like the Canadian Cardiovascular Society Classification, the extent of the symptoms related to exertion is routinely described using the New York Heart Association (NYHA) classification</w:t>
      </w:r>
      <w:r>
        <w:rPr>
          <w:rFonts w:ascii="Arial" w:hAnsi="Arial" w:cs="Arial"/>
          <w:color w:val="000000" w:themeColor="text1"/>
          <w:sz w:val="24"/>
          <w:szCs w:val="24"/>
          <w:shd w:val="clear" w:color="auto" w:fill="FFFFFF"/>
        </w:rPr>
        <w:t>,</w:t>
      </w:r>
      <w:r w:rsidRPr="009222F3">
        <w:rPr>
          <w:rFonts w:ascii="Arial" w:hAnsi="Arial" w:cs="Arial"/>
          <w:color w:val="000000" w:themeColor="text1"/>
          <w:sz w:val="24"/>
          <w:szCs w:val="24"/>
          <w:shd w:val="clear" w:color="auto" w:fill="FFFFFF"/>
        </w:rPr>
        <w:t xml:space="preserve"> which has been defined in Table 3. </w:t>
      </w:r>
      <w:sdt>
        <w:sdtPr>
          <w:rPr>
            <w:rFonts w:ascii="Arial" w:hAnsi="Arial" w:cs="Arial"/>
            <w:color w:val="000000"/>
            <w:sz w:val="24"/>
            <w:szCs w:val="24"/>
            <w:shd w:val="clear" w:color="auto" w:fill="FFFFFF"/>
          </w:rPr>
          <w:tag w:val="MENDELEY_CITATION_v3_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"/>
          <w:id w:val="1282083749"/>
          <w:placeholder>
            <w:docPart w:val="60586A23D4794876A55A282F8892D8F9"/>
          </w:placeholder>
        </w:sdtPr>
        <w:sdtEndPr/>
        <w:sdtContent>
          <w:r w:rsidRPr="00CB13E6">
            <w:rPr>
              <w:rFonts w:ascii="Arial" w:hAnsi="Arial" w:cs="Arial"/>
              <w:color w:val="000000"/>
              <w:sz w:val="24"/>
              <w:szCs w:val="24"/>
              <w:shd w:val="clear" w:color="auto" w:fill="FFFFFF"/>
            </w:rPr>
            <w:t>(1)</w:t>
          </w:r>
        </w:sdtContent>
      </w:sdt>
    </w:p>
    <w:p w14:paraId="435738B0" w14:textId="77777777" w:rsidR="004942B6" w:rsidRPr="009222F3" w:rsidRDefault="004942B6" w:rsidP="004942B6">
      <w:pPr>
        <w:spacing w:line="360" w:lineRule="auto"/>
        <w:jc w:val="both"/>
        <w:rPr>
          <w:rFonts w:ascii="Arial" w:hAnsi="Arial" w:cs="Arial"/>
          <w:color w:val="000000" w:themeColor="text1"/>
          <w:sz w:val="24"/>
          <w:szCs w:val="24"/>
          <w:shd w:val="clear" w:color="auto" w:fill="FFFFFF"/>
        </w:rPr>
      </w:pPr>
    </w:p>
    <w:p w14:paraId="04268F3C" w14:textId="6CE5B1B8" w:rsidR="004942B6" w:rsidRPr="00E8361D" w:rsidRDefault="004942B6" w:rsidP="004942B6">
      <w:pPr>
        <w:pStyle w:val="Caption"/>
        <w:keepNext/>
        <w:rPr>
          <w:rFonts w:ascii="Arial" w:hAnsi="Arial" w:cs="Arial"/>
          <w:color w:val="000000" w:themeColor="text1"/>
          <w:sz w:val="20"/>
          <w:szCs w:val="20"/>
        </w:rPr>
      </w:pPr>
      <w:bookmarkStart w:id="77" w:name="_Toc135462258"/>
      <w:bookmarkStart w:id="78" w:name="_Toc136312352"/>
      <w:bookmarkStart w:id="79" w:name="_Toc136329088"/>
      <w:bookmarkStart w:id="80" w:name="_Toc151222931"/>
      <w:bookmarkStart w:id="81" w:name="_Toc151630614"/>
      <w:bookmarkStart w:id="82" w:name="_Toc152340574"/>
      <w:bookmarkStart w:id="83" w:name="_Toc152598050"/>
      <w:bookmarkStart w:id="84" w:name="_Toc153725836"/>
      <w:bookmarkStart w:id="85" w:name="_Toc159318278"/>
      <w:bookmarkStart w:id="86" w:name="_Toc159610313"/>
      <w:bookmarkStart w:id="87" w:name="_Toc164699070"/>
      <w:bookmarkStart w:id="88" w:name="_Toc171206716"/>
      <w:r w:rsidRPr="00E8361D">
        <w:rPr>
          <w:rFonts w:ascii="Arial" w:hAnsi="Arial" w:cs="Arial"/>
          <w:b/>
          <w:bCs/>
          <w:color w:val="000000" w:themeColor="text1"/>
          <w:sz w:val="20"/>
          <w:szCs w:val="20"/>
        </w:rPr>
        <w:t xml:space="preserve">Table </w:t>
      </w:r>
      <w:r w:rsidRPr="00E8361D">
        <w:rPr>
          <w:rFonts w:ascii="Arial" w:hAnsi="Arial" w:cs="Arial"/>
          <w:b/>
          <w:bCs/>
          <w:color w:val="000000" w:themeColor="text1"/>
          <w:sz w:val="20"/>
          <w:szCs w:val="20"/>
        </w:rPr>
        <w:fldChar w:fldCharType="begin"/>
      </w:r>
      <w:r w:rsidRPr="00E8361D">
        <w:rPr>
          <w:rFonts w:ascii="Arial" w:hAnsi="Arial" w:cs="Arial"/>
          <w:b/>
          <w:bCs/>
          <w:color w:val="000000" w:themeColor="text1"/>
          <w:sz w:val="20"/>
          <w:szCs w:val="20"/>
        </w:rPr>
        <w:instrText xml:space="preserve"> SEQ Table \* ARABIC </w:instrText>
      </w:r>
      <w:r w:rsidRPr="00E8361D">
        <w:rPr>
          <w:rFonts w:ascii="Arial" w:hAnsi="Arial" w:cs="Arial"/>
          <w:b/>
          <w:bCs/>
          <w:color w:val="000000" w:themeColor="text1"/>
          <w:sz w:val="20"/>
          <w:szCs w:val="20"/>
        </w:rPr>
        <w:fldChar w:fldCharType="separate"/>
      </w:r>
      <w:r w:rsidR="00822C3B">
        <w:rPr>
          <w:rFonts w:ascii="Arial" w:hAnsi="Arial" w:cs="Arial"/>
          <w:b/>
          <w:bCs/>
          <w:noProof/>
          <w:color w:val="000000" w:themeColor="text1"/>
          <w:sz w:val="20"/>
          <w:szCs w:val="20"/>
        </w:rPr>
        <w:t>3</w:t>
      </w:r>
      <w:r w:rsidRPr="00E8361D">
        <w:rPr>
          <w:rFonts w:ascii="Arial" w:hAnsi="Arial" w:cs="Arial"/>
          <w:b/>
          <w:bCs/>
          <w:color w:val="000000" w:themeColor="text1"/>
          <w:sz w:val="20"/>
          <w:szCs w:val="20"/>
        </w:rPr>
        <w:fldChar w:fldCharType="end"/>
      </w:r>
      <w:r w:rsidRPr="00E8361D">
        <w:rPr>
          <w:rFonts w:ascii="Arial" w:hAnsi="Arial" w:cs="Arial"/>
          <w:b/>
          <w:bCs/>
          <w:color w:val="000000" w:themeColor="text1"/>
          <w:sz w:val="20"/>
          <w:szCs w:val="20"/>
        </w:rPr>
        <w:t>:</w:t>
      </w:r>
      <w:r w:rsidRPr="00E8361D">
        <w:rPr>
          <w:rFonts w:ascii="Arial" w:hAnsi="Arial" w:cs="Arial"/>
          <w:color w:val="000000" w:themeColor="text1"/>
          <w:sz w:val="20"/>
          <w:szCs w:val="20"/>
        </w:rPr>
        <w:t xml:space="preserve"> NYHA </w:t>
      </w:r>
      <w:r>
        <w:rPr>
          <w:rFonts w:ascii="Arial" w:hAnsi="Arial" w:cs="Arial"/>
          <w:color w:val="000000" w:themeColor="text1"/>
          <w:sz w:val="20"/>
          <w:szCs w:val="20"/>
        </w:rPr>
        <w:t>c</w:t>
      </w:r>
      <w:r w:rsidRPr="00E8361D">
        <w:rPr>
          <w:rFonts w:ascii="Arial" w:hAnsi="Arial" w:cs="Arial"/>
          <w:color w:val="000000" w:themeColor="text1"/>
          <w:sz w:val="20"/>
          <w:szCs w:val="20"/>
        </w:rPr>
        <w:t>lassification</w:t>
      </w:r>
      <w:bookmarkEnd w:id="77"/>
      <w:bookmarkEnd w:id="78"/>
      <w:bookmarkEnd w:id="79"/>
      <w:bookmarkEnd w:id="80"/>
      <w:bookmarkEnd w:id="81"/>
      <w:bookmarkEnd w:id="82"/>
      <w:bookmarkEnd w:id="83"/>
      <w:bookmarkEnd w:id="84"/>
      <w:bookmarkEnd w:id="85"/>
      <w:bookmarkEnd w:id="86"/>
      <w:bookmarkEnd w:id="87"/>
      <w:bookmarkEnd w:id="88"/>
    </w:p>
    <w:tbl>
      <w:tblPr>
        <w:tblStyle w:val="TableGrid"/>
        <w:tblW w:w="0" w:type="auto"/>
        <w:tblLook w:val="04A0" w:firstRow="1" w:lastRow="0" w:firstColumn="1" w:lastColumn="0" w:noHBand="0" w:noVBand="1"/>
      </w:tblPr>
      <w:tblGrid>
        <w:gridCol w:w="2122"/>
        <w:gridCol w:w="6894"/>
      </w:tblGrid>
      <w:tr w:rsidR="004942B6" w:rsidRPr="009222F3" w14:paraId="17B3E598" w14:textId="77777777" w:rsidTr="002C2525">
        <w:tc>
          <w:tcPr>
            <w:tcW w:w="2122" w:type="dxa"/>
          </w:tcPr>
          <w:p w14:paraId="5651955C" w14:textId="77777777" w:rsidR="004942B6" w:rsidRPr="009222F3" w:rsidRDefault="004942B6" w:rsidP="002C2525">
            <w:pPr>
              <w:spacing w:line="360" w:lineRule="auto"/>
              <w:jc w:val="both"/>
              <w:rPr>
                <w:rFonts w:ascii="Arial" w:hAnsi="Arial" w:cs="Arial"/>
                <w:b/>
                <w:bCs/>
                <w:color w:val="000000" w:themeColor="text1"/>
                <w:sz w:val="28"/>
                <w:szCs w:val="28"/>
                <w:shd w:val="clear" w:color="auto" w:fill="FFFFFF"/>
              </w:rPr>
            </w:pPr>
            <w:r w:rsidRPr="009222F3">
              <w:rPr>
                <w:rFonts w:ascii="Arial" w:hAnsi="Arial" w:cs="Arial"/>
                <w:b/>
                <w:bCs/>
                <w:color w:val="000000" w:themeColor="text1"/>
                <w:sz w:val="28"/>
                <w:szCs w:val="28"/>
                <w:shd w:val="clear" w:color="auto" w:fill="FFFFFF"/>
              </w:rPr>
              <w:t>NYHA Class</w:t>
            </w:r>
          </w:p>
        </w:tc>
        <w:tc>
          <w:tcPr>
            <w:tcW w:w="6894" w:type="dxa"/>
          </w:tcPr>
          <w:p w14:paraId="12DBDCD7" w14:textId="77777777" w:rsidR="004942B6" w:rsidRPr="009222F3" w:rsidRDefault="004942B6" w:rsidP="002C2525">
            <w:pPr>
              <w:spacing w:line="360" w:lineRule="auto"/>
              <w:jc w:val="both"/>
              <w:rPr>
                <w:rFonts w:ascii="Arial" w:hAnsi="Arial" w:cs="Arial"/>
                <w:b/>
                <w:bCs/>
                <w:color w:val="000000" w:themeColor="text1"/>
                <w:sz w:val="28"/>
                <w:szCs w:val="28"/>
                <w:shd w:val="clear" w:color="auto" w:fill="FFFFFF"/>
              </w:rPr>
            </w:pPr>
            <w:r w:rsidRPr="009222F3">
              <w:rPr>
                <w:rFonts w:ascii="Arial" w:hAnsi="Arial" w:cs="Arial"/>
                <w:b/>
                <w:bCs/>
                <w:color w:val="000000" w:themeColor="text1"/>
                <w:sz w:val="28"/>
                <w:szCs w:val="28"/>
                <w:shd w:val="clear" w:color="auto" w:fill="FFFFFF"/>
              </w:rPr>
              <w:t>Description</w:t>
            </w:r>
          </w:p>
        </w:tc>
      </w:tr>
      <w:tr w:rsidR="004942B6" w:rsidRPr="009222F3" w14:paraId="61AA6F6D" w14:textId="77777777" w:rsidTr="002C2525">
        <w:tc>
          <w:tcPr>
            <w:tcW w:w="2122" w:type="dxa"/>
          </w:tcPr>
          <w:p w14:paraId="6B7BC89D"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Class 1</w:t>
            </w:r>
          </w:p>
        </w:tc>
        <w:tc>
          <w:tcPr>
            <w:tcW w:w="6894" w:type="dxa"/>
          </w:tcPr>
          <w:p w14:paraId="06CC2B6C"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No limitations to ordinary activity</w:t>
            </w:r>
          </w:p>
        </w:tc>
      </w:tr>
      <w:tr w:rsidR="004942B6" w:rsidRPr="009222F3" w14:paraId="401D82AE" w14:textId="77777777" w:rsidTr="002C2525">
        <w:tc>
          <w:tcPr>
            <w:tcW w:w="2122" w:type="dxa"/>
          </w:tcPr>
          <w:p w14:paraId="62819458"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Class 2</w:t>
            </w:r>
          </w:p>
        </w:tc>
        <w:tc>
          <w:tcPr>
            <w:tcW w:w="6894" w:type="dxa"/>
          </w:tcPr>
          <w:p w14:paraId="2024D574"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Mild symptoms and slight limitations during ordinary activity</w:t>
            </w:r>
          </w:p>
        </w:tc>
      </w:tr>
      <w:tr w:rsidR="004942B6" w:rsidRPr="009222F3" w14:paraId="5AA46D55" w14:textId="77777777" w:rsidTr="002C2525">
        <w:tc>
          <w:tcPr>
            <w:tcW w:w="2122" w:type="dxa"/>
          </w:tcPr>
          <w:p w14:paraId="472B2840"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Class 3</w:t>
            </w:r>
          </w:p>
        </w:tc>
        <w:tc>
          <w:tcPr>
            <w:tcW w:w="6894" w:type="dxa"/>
          </w:tcPr>
          <w:p w14:paraId="5DB3ED53" w14:textId="0CE1BBA2"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Significant limitation due to SOB during ordinary activity</w:t>
            </w:r>
            <w:r w:rsidR="00C6126A">
              <w:rPr>
                <w:rFonts w:ascii="Arial" w:hAnsi="Arial" w:cs="Arial"/>
                <w:color w:val="000000" w:themeColor="text1"/>
                <w:sz w:val="24"/>
                <w:szCs w:val="24"/>
                <w:shd w:val="clear" w:color="auto" w:fill="FFFFFF"/>
              </w:rPr>
              <w:t>,</w:t>
            </w:r>
            <w:r w:rsidRPr="009222F3">
              <w:rPr>
                <w:rFonts w:ascii="Arial" w:hAnsi="Arial" w:cs="Arial"/>
                <w:color w:val="000000" w:themeColor="text1"/>
                <w:sz w:val="24"/>
                <w:szCs w:val="24"/>
                <w:shd w:val="clear" w:color="auto" w:fill="FFFFFF"/>
              </w:rPr>
              <w:t xml:space="preserve"> but remains comfortable at rest</w:t>
            </w:r>
          </w:p>
        </w:tc>
      </w:tr>
      <w:tr w:rsidR="004942B6" w:rsidRPr="009222F3" w14:paraId="4F36D69E" w14:textId="77777777" w:rsidTr="002C2525">
        <w:tc>
          <w:tcPr>
            <w:tcW w:w="2122" w:type="dxa"/>
          </w:tcPr>
          <w:p w14:paraId="71032A18"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Class 4</w:t>
            </w:r>
          </w:p>
        </w:tc>
        <w:tc>
          <w:tcPr>
            <w:tcW w:w="6894" w:type="dxa"/>
          </w:tcPr>
          <w:p w14:paraId="2172E138" w14:textId="77777777" w:rsidR="004942B6" w:rsidRPr="009222F3" w:rsidRDefault="004942B6" w:rsidP="002C2525">
            <w:pPr>
              <w:spacing w:line="360" w:lineRule="auto"/>
              <w:jc w:val="both"/>
              <w:rPr>
                <w:rFonts w:ascii="Arial" w:hAnsi="Arial" w:cs="Arial"/>
                <w:color w:val="000000" w:themeColor="text1"/>
                <w:sz w:val="24"/>
                <w:szCs w:val="24"/>
                <w:shd w:val="clear" w:color="auto" w:fill="FFFFFF"/>
              </w:rPr>
            </w:pPr>
            <w:r w:rsidRPr="009222F3">
              <w:rPr>
                <w:rFonts w:ascii="Arial" w:hAnsi="Arial" w:cs="Arial"/>
                <w:color w:val="000000" w:themeColor="text1"/>
                <w:sz w:val="24"/>
                <w:szCs w:val="24"/>
                <w:shd w:val="clear" w:color="auto" w:fill="FFFFFF"/>
              </w:rPr>
              <w:t>Symptoms of SOB even at rest</w:t>
            </w:r>
          </w:p>
        </w:tc>
      </w:tr>
    </w:tbl>
    <w:p w14:paraId="37FC378B" w14:textId="77777777" w:rsidR="0051753B" w:rsidRDefault="0051753B" w:rsidP="004942B6">
      <w:pPr>
        <w:pStyle w:val="Heading3"/>
        <w:spacing w:before="0" w:line="360" w:lineRule="auto"/>
        <w:jc w:val="both"/>
        <w:rPr>
          <w:rFonts w:ascii="Arial" w:hAnsi="Arial" w:cs="Arial"/>
          <w:color w:val="0E101A"/>
        </w:rPr>
      </w:pPr>
      <w:bookmarkStart w:id="89" w:name="_Toc164681337"/>
    </w:p>
    <w:p w14:paraId="692519D6" w14:textId="77777777" w:rsidR="00F605C6" w:rsidRPr="00F605C6" w:rsidRDefault="00F605C6" w:rsidP="00F605C6"/>
    <w:p w14:paraId="48C0F891" w14:textId="744FE474" w:rsidR="004942B6" w:rsidRPr="00633EDB" w:rsidRDefault="004942B6" w:rsidP="004942B6">
      <w:pPr>
        <w:pStyle w:val="Heading3"/>
        <w:spacing w:before="0" w:line="360" w:lineRule="auto"/>
        <w:jc w:val="both"/>
        <w:rPr>
          <w:rFonts w:ascii="Arial" w:hAnsi="Arial" w:cs="Arial"/>
          <w:color w:val="4472C4" w:themeColor="accent1"/>
          <w:sz w:val="24"/>
          <w:szCs w:val="24"/>
        </w:rPr>
      </w:pPr>
      <w:bookmarkStart w:id="90" w:name="_Toc170075019"/>
      <w:bookmarkStart w:id="91" w:name="_Toc170076006"/>
      <w:bookmarkStart w:id="92" w:name="_Toc170577702"/>
      <w:bookmarkStart w:id="93" w:name="_Toc170579220"/>
      <w:bookmarkStart w:id="94" w:name="_Toc171203075"/>
      <w:bookmarkStart w:id="95" w:name="_Toc171203846"/>
      <w:r w:rsidRPr="00633EDB">
        <w:rPr>
          <w:rFonts w:ascii="Arial" w:hAnsi="Arial" w:cs="Arial"/>
          <w:color w:val="4472C4" w:themeColor="accent1"/>
          <w:sz w:val="24"/>
          <w:szCs w:val="24"/>
        </w:rPr>
        <w:lastRenderedPageBreak/>
        <w:t>1.5.2 Acute coronary syndrome (ACS)</w:t>
      </w:r>
      <w:bookmarkEnd w:id="89"/>
      <w:bookmarkEnd w:id="90"/>
      <w:bookmarkEnd w:id="91"/>
      <w:bookmarkEnd w:id="92"/>
      <w:bookmarkEnd w:id="93"/>
      <w:bookmarkEnd w:id="94"/>
      <w:bookmarkEnd w:id="95"/>
    </w:p>
    <w:p w14:paraId="2E0CBD00" w14:textId="77777777" w:rsidR="004942B6"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 xml:space="preserve">Acute coronary syndrome (ACS) refers to a constellation of three conditions, all with similar pathophysiology, and acute chest pain as a sequel. These are unstable angina (UA), non-ST elevation myocardial infarction (NSTEMI) and ST-elevation myocardial infarction (STEMI). The clinical presentation of ACS is broad, ranging from </w:t>
      </w:r>
      <w:r>
        <w:rPr>
          <w:rFonts w:ascii="Arial" w:hAnsi="Arial" w:cs="Arial"/>
          <w:color w:val="0E101A"/>
        </w:rPr>
        <w:t>being</w:t>
      </w:r>
      <w:r w:rsidRPr="00DF0F85">
        <w:rPr>
          <w:rFonts w:ascii="Arial" w:hAnsi="Arial" w:cs="Arial"/>
          <w:color w:val="0E101A"/>
        </w:rPr>
        <w:t xml:space="preserve"> </w:t>
      </w:r>
      <w:r>
        <w:rPr>
          <w:rFonts w:ascii="Arial" w:hAnsi="Arial" w:cs="Arial"/>
          <w:color w:val="0E101A"/>
        </w:rPr>
        <w:t>angina</w:t>
      </w:r>
      <w:r w:rsidRPr="00DF0F85">
        <w:rPr>
          <w:rFonts w:ascii="Arial" w:hAnsi="Arial" w:cs="Arial"/>
          <w:color w:val="0E101A"/>
        </w:rPr>
        <w:t>-free at the time of presentation to ongoing ischaemia, hemodynamic instability, life-threatening cardiac arrhythmias, cardiogenic shock, or even cardiac arrest. (1</w:t>
      </w:r>
      <w:r>
        <w:rPr>
          <w:rFonts w:ascii="Arial" w:hAnsi="Arial" w:cs="Arial"/>
          <w:color w:val="0E101A"/>
        </w:rPr>
        <w:t>6</w:t>
      </w:r>
      <w:r w:rsidRPr="00DF0F85">
        <w:rPr>
          <w:rFonts w:ascii="Arial" w:hAnsi="Arial" w:cs="Arial"/>
          <w:color w:val="0E101A"/>
        </w:rPr>
        <w:t>) These high-risk manifestations of CAD warrant prompt recognition by taking a thorough history, detailed clinical examination, urgent electrocardiography (ECG), and cardiac biomarker evaluation, all of which guide towards accurate diagnosis and early risk stratification. (1</w:t>
      </w:r>
      <w:r>
        <w:rPr>
          <w:rFonts w:ascii="Arial" w:hAnsi="Arial" w:cs="Arial"/>
          <w:color w:val="0E101A"/>
        </w:rPr>
        <w:t>6</w:t>
      </w:r>
      <w:r w:rsidRPr="00DF0F85">
        <w:rPr>
          <w:rFonts w:ascii="Arial" w:hAnsi="Arial" w:cs="Arial"/>
          <w:color w:val="0E101A"/>
        </w:rPr>
        <w:t>)</w:t>
      </w:r>
    </w:p>
    <w:p w14:paraId="39BB792D" w14:textId="77777777" w:rsidR="004942B6" w:rsidRPr="00DF0F85" w:rsidRDefault="004942B6" w:rsidP="004942B6">
      <w:pPr>
        <w:pStyle w:val="NormalWeb"/>
        <w:spacing w:before="0" w:beforeAutospacing="0" w:after="0" w:afterAutospacing="0"/>
        <w:jc w:val="both"/>
        <w:rPr>
          <w:rFonts w:ascii="Arial" w:hAnsi="Arial" w:cs="Arial"/>
          <w:color w:val="0E101A"/>
        </w:rPr>
      </w:pPr>
    </w:p>
    <w:p w14:paraId="68247475" w14:textId="77777777" w:rsidR="004942B6" w:rsidRPr="00284C3E" w:rsidRDefault="004942B6" w:rsidP="004942B6">
      <w:pPr>
        <w:pStyle w:val="Heading4"/>
        <w:spacing w:before="0" w:line="360" w:lineRule="auto"/>
        <w:jc w:val="both"/>
        <w:rPr>
          <w:rFonts w:ascii="Arial" w:hAnsi="Arial" w:cs="Arial"/>
          <w:i w:val="0"/>
          <w:iCs w:val="0"/>
          <w:color w:val="4472C4" w:themeColor="accent1"/>
          <w:sz w:val="24"/>
          <w:szCs w:val="24"/>
        </w:rPr>
      </w:pPr>
      <w:r w:rsidRPr="00284C3E">
        <w:rPr>
          <w:rFonts w:ascii="Arial" w:hAnsi="Arial" w:cs="Arial"/>
          <w:i w:val="0"/>
          <w:iCs w:val="0"/>
          <w:color w:val="4472C4" w:themeColor="accent1"/>
          <w:sz w:val="24"/>
          <w:szCs w:val="24"/>
        </w:rPr>
        <w:t>1.5.2.1 Universal definition of myocardial infarction (UDMI)</w:t>
      </w:r>
    </w:p>
    <w:p w14:paraId="5994A6C9" w14:textId="77777777" w:rsidR="004942B6" w:rsidRPr="00DF0F85"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The universal definition of myocardial infarction (UDMI) describes the myocardial infarction (MI) as an increase in the level of cardiac biomarkers (preferably a high-sensitivity cardiac troponin (hs-cTn) T or I) above the 99th percentile of the upper reference limit, in addition to one of the following: (1</w:t>
      </w:r>
      <w:r>
        <w:rPr>
          <w:rFonts w:ascii="Arial" w:hAnsi="Arial" w:cs="Arial"/>
          <w:color w:val="0E101A"/>
        </w:rPr>
        <w:t>7</w:t>
      </w:r>
      <w:r w:rsidRPr="00DF0F85">
        <w:rPr>
          <w:rFonts w:ascii="Arial" w:hAnsi="Arial" w:cs="Arial"/>
          <w:color w:val="0E101A"/>
        </w:rPr>
        <w:t>)</w:t>
      </w:r>
    </w:p>
    <w:p w14:paraId="36CF57A5" w14:textId="77777777" w:rsidR="004942B6" w:rsidRPr="00DF0F85"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1. Symptoms of myocardial ischaemia.</w:t>
      </w:r>
    </w:p>
    <w:p w14:paraId="4B621AA0" w14:textId="77777777" w:rsidR="004942B6" w:rsidRPr="00DF0F85"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2. New ischaemic ECG changes.</w:t>
      </w:r>
    </w:p>
    <w:p w14:paraId="0DA4431F" w14:textId="77777777" w:rsidR="004942B6" w:rsidRPr="00DF0F85"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3. Development of pathological Q waves on ECG.</w:t>
      </w:r>
    </w:p>
    <w:p w14:paraId="71AFAB50" w14:textId="77777777" w:rsidR="004942B6" w:rsidRPr="00DF0F85"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4. Imaging evidence of loss of viable myocardium or new regional wall motion abnormality in a pattern consistent with an ischaemic aetiology.</w:t>
      </w:r>
    </w:p>
    <w:p w14:paraId="7B4C1EF5" w14:textId="77777777" w:rsidR="004942B6" w:rsidRPr="00DF0F85" w:rsidRDefault="004942B6" w:rsidP="00714723">
      <w:pPr>
        <w:pStyle w:val="NormalWeb"/>
        <w:spacing w:before="0" w:beforeAutospacing="0" w:after="0" w:afterAutospacing="0"/>
        <w:jc w:val="both"/>
        <w:rPr>
          <w:rFonts w:ascii="Arial" w:hAnsi="Arial" w:cs="Arial"/>
          <w:color w:val="0E101A"/>
        </w:rPr>
      </w:pPr>
      <w:r w:rsidRPr="00DF0F85">
        <w:rPr>
          <w:rFonts w:ascii="Arial" w:hAnsi="Arial" w:cs="Arial"/>
          <w:color w:val="0E101A"/>
        </w:rPr>
        <w:t>5. Intracoronary thrombus detected on angiography or autopsy. (1</w:t>
      </w:r>
      <w:r>
        <w:rPr>
          <w:rFonts w:ascii="Arial" w:hAnsi="Arial" w:cs="Arial"/>
          <w:color w:val="0E101A"/>
        </w:rPr>
        <w:t>7</w:t>
      </w:r>
      <w:r w:rsidRPr="00DF0F85">
        <w:rPr>
          <w:rFonts w:ascii="Arial" w:hAnsi="Arial" w:cs="Arial"/>
          <w:color w:val="0E101A"/>
        </w:rPr>
        <w:t>)</w:t>
      </w:r>
    </w:p>
    <w:p w14:paraId="324CA9CC" w14:textId="77777777" w:rsidR="004942B6" w:rsidRPr="00D14D1A" w:rsidRDefault="004942B6" w:rsidP="00714723">
      <w:pPr>
        <w:pStyle w:val="NormalWeb"/>
        <w:spacing w:before="0" w:beforeAutospacing="0" w:after="0" w:afterAutospacing="0"/>
        <w:jc w:val="both"/>
        <w:rPr>
          <w:rFonts w:ascii="Arial" w:hAnsi="Arial" w:cs="Arial"/>
          <w:color w:val="0E101A"/>
        </w:rPr>
      </w:pPr>
      <w:r w:rsidRPr="00DF0F85">
        <w:rPr>
          <w:rFonts w:ascii="Arial" w:hAnsi="Arial" w:cs="Arial"/>
          <w:color w:val="0E101A"/>
        </w:rPr>
        <w:t> </w:t>
      </w:r>
    </w:p>
    <w:p w14:paraId="421AB646" w14:textId="77777777" w:rsidR="004942B6" w:rsidRPr="00F37C31" w:rsidRDefault="004942B6" w:rsidP="00714723">
      <w:pPr>
        <w:pStyle w:val="Heading4"/>
        <w:spacing w:before="0" w:line="360" w:lineRule="auto"/>
        <w:jc w:val="both"/>
        <w:rPr>
          <w:rFonts w:ascii="Arial" w:hAnsi="Arial" w:cs="Arial"/>
          <w:i w:val="0"/>
          <w:iCs w:val="0"/>
          <w:color w:val="4472C4" w:themeColor="accent1"/>
          <w:sz w:val="24"/>
          <w:szCs w:val="24"/>
        </w:rPr>
      </w:pPr>
      <w:r w:rsidRPr="00284C3E">
        <w:rPr>
          <w:rFonts w:ascii="Arial" w:hAnsi="Arial" w:cs="Arial"/>
          <w:i w:val="0"/>
          <w:iCs w:val="0"/>
          <w:color w:val="4472C4" w:themeColor="accent1"/>
          <w:sz w:val="24"/>
          <w:szCs w:val="24"/>
        </w:rPr>
        <w:t>1.5.2.2 ST-elevation myocardial infarction (STEMI)</w:t>
      </w:r>
    </w:p>
    <w:p w14:paraId="15CF79FE" w14:textId="79229760" w:rsidR="004942B6"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 xml:space="preserve">ST-elevation myocardial infarction refers to an acute onset of severe chest pain with associated characteristic ST-elevation on </w:t>
      </w:r>
      <w:r>
        <w:rPr>
          <w:rFonts w:ascii="Arial" w:hAnsi="Arial" w:cs="Arial"/>
          <w:color w:val="0E101A"/>
        </w:rPr>
        <w:t xml:space="preserve">the </w:t>
      </w:r>
      <w:r w:rsidRPr="00DF0F85">
        <w:rPr>
          <w:rFonts w:ascii="Arial" w:hAnsi="Arial" w:cs="Arial"/>
          <w:color w:val="0E101A"/>
        </w:rPr>
        <w:t xml:space="preserve">ECG. </w:t>
      </w:r>
      <w:r w:rsidR="00CE64CD">
        <w:rPr>
          <w:rFonts w:ascii="Arial" w:hAnsi="Arial" w:cs="Arial"/>
          <w:color w:val="0E101A"/>
        </w:rPr>
        <w:t xml:space="preserve">It </w:t>
      </w:r>
      <w:r w:rsidRPr="00DF0F85">
        <w:rPr>
          <w:rFonts w:ascii="Arial" w:hAnsi="Arial" w:cs="Arial"/>
          <w:color w:val="0E101A"/>
        </w:rPr>
        <w:t>is usually the sequel of rupture or erosion of an atherosclerotic plaque</w:t>
      </w:r>
      <w:r w:rsidR="00C6126A">
        <w:rPr>
          <w:rFonts w:ascii="Arial" w:hAnsi="Arial" w:cs="Arial"/>
          <w:color w:val="0E101A"/>
        </w:rPr>
        <w:t>,</w:t>
      </w:r>
      <w:r w:rsidRPr="00DF0F85">
        <w:rPr>
          <w:rFonts w:ascii="Arial" w:hAnsi="Arial" w:cs="Arial"/>
          <w:color w:val="0E101A"/>
        </w:rPr>
        <w:t xml:space="preserve"> causing complete occlusion of the coronary artery. (1</w:t>
      </w:r>
      <w:r>
        <w:rPr>
          <w:rFonts w:ascii="Arial" w:hAnsi="Arial" w:cs="Arial"/>
          <w:color w:val="0E101A"/>
        </w:rPr>
        <w:t>6</w:t>
      </w:r>
      <w:r w:rsidRPr="00DF0F85">
        <w:rPr>
          <w:rFonts w:ascii="Arial" w:hAnsi="Arial" w:cs="Arial"/>
          <w:color w:val="0E101A"/>
        </w:rPr>
        <w:t>) Such patients require urgent revascularisation and restoration of coronary blood flow via the insertion of a stent in the occluded artery through the primary percutaneous coronary intervention (PPCI) pathway. (1</w:t>
      </w:r>
      <w:r>
        <w:rPr>
          <w:rFonts w:ascii="Arial" w:hAnsi="Arial" w:cs="Arial"/>
          <w:color w:val="0E101A"/>
        </w:rPr>
        <w:t>8</w:t>
      </w:r>
      <w:r w:rsidRPr="00DF0F85">
        <w:rPr>
          <w:rFonts w:ascii="Arial" w:hAnsi="Arial" w:cs="Arial"/>
          <w:color w:val="0E101A"/>
        </w:rPr>
        <w:t>)</w:t>
      </w:r>
      <w:r>
        <w:rPr>
          <w:rFonts w:ascii="Arial" w:hAnsi="Arial" w:cs="Arial"/>
          <w:color w:val="0E101A"/>
        </w:rPr>
        <w:t xml:space="preserve"> </w:t>
      </w:r>
      <w:r w:rsidRPr="00DF0F85">
        <w:rPr>
          <w:rFonts w:ascii="Arial" w:hAnsi="Arial" w:cs="Arial"/>
          <w:color w:val="0E101A"/>
        </w:rPr>
        <w:t xml:space="preserve">There are more than 100,000 patients admitted every year in the UK with </w:t>
      </w:r>
      <w:r>
        <w:rPr>
          <w:rFonts w:ascii="Arial" w:hAnsi="Arial" w:cs="Arial"/>
          <w:color w:val="0E101A"/>
        </w:rPr>
        <w:t>MI</w:t>
      </w:r>
      <w:r w:rsidRPr="00DF0F85">
        <w:rPr>
          <w:rFonts w:ascii="Arial" w:hAnsi="Arial" w:cs="Arial"/>
          <w:color w:val="0E101A"/>
        </w:rPr>
        <w:t>, and STEMI constitutes almost 39% of these admissions. (1</w:t>
      </w:r>
      <w:r>
        <w:rPr>
          <w:rFonts w:ascii="Arial" w:hAnsi="Arial" w:cs="Arial"/>
          <w:color w:val="0E101A"/>
        </w:rPr>
        <w:t>8</w:t>
      </w:r>
      <w:r w:rsidRPr="00DF0F85">
        <w:rPr>
          <w:rFonts w:ascii="Arial" w:hAnsi="Arial" w:cs="Arial"/>
          <w:color w:val="0E101A"/>
        </w:rPr>
        <w:t xml:space="preserve">) </w:t>
      </w:r>
      <w:r w:rsidRPr="006C4E36">
        <w:rPr>
          <w:rFonts w:ascii="Arial" w:hAnsi="Arial" w:cs="Arial"/>
          <w:color w:val="0E101A"/>
        </w:rPr>
        <w:t xml:space="preserve">Despite notable </w:t>
      </w:r>
      <w:r>
        <w:rPr>
          <w:rFonts w:ascii="Arial" w:hAnsi="Arial" w:cs="Arial"/>
          <w:color w:val="0E101A"/>
        </w:rPr>
        <w:t>improvement</w:t>
      </w:r>
      <w:r w:rsidRPr="006C4E36">
        <w:rPr>
          <w:rFonts w:ascii="Arial" w:hAnsi="Arial" w:cs="Arial"/>
          <w:color w:val="0E101A"/>
        </w:rPr>
        <w:t xml:space="preserve"> in myocardial infarction </w:t>
      </w:r>
      <w:r w:rsidRPr="006C4E36">
        <w:rPr>
          <w:rFonts w:ascii="Arial" w:hAnsi="Arial" w:cs="Arial"/>
          <w:color w:val="0E101A"/>
        </w:rPr>
        <w:lastRenderedPageBreak/>
        <w:t>(MI) outcomes, the current survival rate (seven out of 10)</w:t>
      </w:r>
      <w:r w:rsidR="005A56DE">
        <w:rPr>
          <w:rFonts w:ascii="Arial" w:hAnsi="Arial" w:cs="Arial"/>
          <w:color w:val="0E101A"/>
        </w:rPr>
        <w:t>,</w:t>
      </w:r>
      <w:r w:rsidRPr="006C4E36">
        <w:rPr>
          <w:rFonts w:ascii="Arial" w:hAnsi="Arial" w:cs="Arial"/>
          <w:color w:val="0E101A"/>
        </w:rPr>
        <w:t xml:space="preserve"> owing to prompt healthcare provision, still indicates potential for furth</w:t>
      </w:r>
      <w:r>
        <w:rPr>
          <w:rFonts w:ascii="Arial" w:hAnsi="Arial" w:cs="Arial"/>
          <w:color w:val="0E101A"/>
        </w:rPr>
        <w:t>er augmentation</w:t>
      </w:r>
      <w:r w:rsidRPr="006C4E36">
        <w:rPr>
          <w:rFonts w:ascii="Arial" w:hAnsi="Arial" w:cs="Arial"/>
          <w:color w:val="0E101A"/>
        </w:rPr>
        <w:t xml:space="preserve">. </w:t>
      </w:r>
      <w:r w:rsidRPr="00DF0F85">
        <w:rPr>
          <w:rFonts w:ascii="Arial" w:hAnsi="Arial" w:cs="Arial"/>
          <w:color w:val="0E101A"/>
        </w:rPr>
        <w:t>(</w:t>
      </w:r>
      <w:r>
        <w:rPr>
          <w:rFonts w:ascii="Arial" w:hAnsi="Arial" w:cs="Arial"/>
          <w:color w:val="0E101A"/>
        </w:rPr>
        <w:t>3</w:t>
      </w:r>
      <w:r w:rsidRPr="00DF0F85">
        <w:rPr>
          <w:rFonts w:ascii="Arial" w:hAnsi="Arial" w:cs="Arial"/>
          <w:color w:val="0E101A"/>
        </w:rPr>
        <w:t xml:space="preserve">) The prognosis in these circumstances depends upon age, comorbidities, </w:t>
      </w:r>
      <w:r w:rsidR="00C6126A">
        <w:rPr>
          <w:rFonts w:ascii="Arial" w:hAnsi="Arial" w:cs="Arial"/>
          <w:color w:val="0E101A"/>
        </w:rPr>
        <w:t xml:space="preserve">the </w:t>
      </w:r>
      <w:r w:rsidRPr="00DF0F85">
        <w:rPr>
          <w:rFonts w:ascii="Arial" w:hAnsi="Arial" w:cs="Arial"/>
          <w:color w:val="0E101A"/>
        </w:rPr>
        <w:t xml:space="preserve">artery involved, </w:t>
      </w:r>
      <w:r w:rsidR="00C6126A">
        <w:rPr>
          <w:rFonts w:ascii="Arial" w:hAnsi="Arial" w:cs="Arial"/>
          <w:color w:val="0E101A"/>
        </w:rPr>
        <w:t xml:space="preserve">the </w:t>
      </w:r>
      <w:r w:rsidRPr="00DF0F85">
        <w:rPr>
          <w:rFonts w:ascii="Arial" w:hAnsi="Arial" w:cs="Arial"/>
          <w:color w:val="0E101A"/>
        </w:rPr>
        <w:t>size of the infarct and time delay in coronary intervention. (</w:t>
      </w:r>
      <w:r>
        <w:rPr>
          <w:rFonts w:ascii="Arial" w:hAnsi="Arial" w:cs="Arial"/>
          <w:color w:val="0E101A"/>
        </w:rPr>
        <w:t>19,</w:t>
      </w:r>
      <w:r w:rsidRPr="00DF0F85">
        <w:rPr>
          <w:rFonts w:ascii="Arial" w:hAnsi="Arial" w:cs="Arial"/>
          <w:color w:val="0E101A"/>
        </w:rPr>
        <w:t>20)</w:t>
      </w:r>
      <w:r>
        <w:rPr>
          <w:rFonts w:ascii="Arial" w:hAnsi="Arial" w:cs="Arial"/>
          <w:color w:val="0E101A"/>
        </w:rPr>
        <w:t xml:space="preserve"> </w:t>
      </w:r>
    </w:p>
    <w:p w14:paraId="5387C197" w14:textId="77777777" w:rsidR="004942B6" w:rsidRPr="00DF0F85" w:rsidRDefault="004942B6" w:rsidP="004942B6">
      <w:pPr>
        <w:pStyle w:val="NormalWeb"/>
        <w:spacing w:before="0" w:beforeAutospacing="0" w:after="0" w:afterAutospacing="0"/>
        <w:jc w:val="both"/>
        <w:rPr>
          <w:rFonts w:ascii="Arial" w:hAnsi="Arial" w:cs="Arial"/>
          <w:color w:val="0E101A"/>
        </w:rPr>
      </w:pPr>
    </w:p>
    <w:p w14:paraId="1A1AA02A" w14:textId="77777777" w:rsidR="004942B6" w:rsidRPr="00F37C31" w:rsidRDefault="004942B6" w:rsidP="004942B6">
      <w:pPr>
        <w:pStyle w:val="Heading4"/>
        <w:spacing w:before="0" w:line="360" w:lineRule="auto"/>
        <w:jc w:val="both"/>
        <w:rPr>
          <w:rFonts w:ascii="Arial" w:hAnsi="Arial" w:cs="Arial"/>
          <w:i w:val="0"/>
          <w:iCs w:val="0"/>
          <w:color w:val="4472C4" w:themeColor="accent1"/>
          <w:sz w:val="24"/>
          <w:szCs w:val="24"/>
        </w:rPr>
      </w:pPr>
      <w:r w:rsidRPr="00F37C31">
        <w:rPr>
          <w:rFonts w:ascii="Arial" w:hAnsi="Arial" w:cs="Arial"/>
          <w:i w:val="0"/>
          <w:iCs w:val="0"/>
          <w:color w:val="4472C4" w:themeColor="accent1"/>
          <w:sz w:val="24"/>
          <w:szCs w:val="24"/>
        </w:rPr>
        <w:t>1.5.2.3 Non-ST elevation myocardial infarction (NSTEMI) and unstable angina (UA)</w:t>
      </w:r>
    </w:p>
    <w:p w14:paraId="0A7F2ABA" w14:textId="7AF3B7A5" w:rsidR="004942B6"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Non-ST elevation myocardial infarction (NSTEMI) and unstable angina (UA) symptomatically mimic each other regarding chest pain or dynamic ECG changes. However, the main distinction is that cardiac troponin, the marker of cardiomyocyte necrosis, is elevated in NSTEMI. (2</w:t>
      </w:r>
      <w:r>
        <w:rPr>
          <w:rFonts w:ascii="Arial" w:hAnsi="Arial" w:cs="Arial"/>
          <w:color w:val="0E101A"/>
        </w:rPr>
        <w:t>1</w:t>
      </w:r>
      <w:r w:rsidRPr="00DF0F85">
        <w:rPr>
          <w:rFonts w:ascii="Arial" w:hAnsi="Arial" w:cs="Arial"/>
          <w:color w:val="0E101A"/>
        </w:rPr>
        <w:t xml:space="preserve">) The treatment in most such patients is an urgent cardiac catheterisation with a view to definitive treatment either in the form of percutaneous coronary intervention (PCI) or coronary artery bypass surgery (CABG). </w:t>
      </w:r>
      <w:r w:rsidRPr="00D61B26">
        <w:rPr>
          <w:rFonts w:ascii="Arial" w:hAnsi="Arial" w:cs="Arial"/>
          <w:color w:val="0E101A"/>
        </w:rPr>
        <w:t xml:space="preserve">Several risk stratification scores are used in clinical practices, including the Global Registry for Acute Coronary Events (GRACE) Thrombolysis in Myocardial Infarction (TIMI) score. </w:t>
      </w:r>
      <w:r w:rsidRPr="00DF0F85">
        <w:rPr>
          <w:rFonts w:ascii="Arial" w:hAnsi="Arial" w:cs="Arial"/>
          <w:color w:val="0E101A"/>
        </w:rPr>
        <w:t>(18</w:t>
      </w:r>
      <w:r>
        <w:rPr>
          <w:rFonts w:ascii="Arial" w:hAnsi="Arial" w:cs="Arial"/>
          <w:color w:val="0E101A"/>
        </w:rPr>
        <w:t>-</w:t>
      </w:r>
      <w:r w:rsidRPr="00DF0F85">
        <w:rPr>
          <w:rFonts w:ascii="Arial" w:hAnsi="Arial" w:cs="Arial"/>
          <w:color w:val="0E101A"/>
        </w:rPr>
        <w:t xml:space="preserve">20) The European Society of Cardiology (ESC) advocates using these risk stratification tools to guide </w:t>
      </w:r>
      <w:r w:rsidR="00C6126A">
        <w:rPr>
          <w:rFonts w:ascii="Arial" w:hAnsi="Arial" w:cs="Arial"/>
          <w:color w:val="0E101A"/>
        </w:rPr>
        <w:t>whether</w:t>
      </w:r>
      <w:r w:rsidR="00C6126A" w:rsidRPr="00DF0F85">
        <w:rPr>
          <w:rFonts w:ascii="Arial" w:hAnsi="Arial" w:cs="Arial"/>
          <w:color w:val="0E101A"/>
        </w:rPr>
        <w:t xml:space="preserve"> </w:t>
      </w:r>
      <w:r w:rsidRPr="00DF0F85">
        <w:rPr>
          <w:rFonts w:ascii="Arial" w:hAnsi="Arial" w:cs="Arial"/>
          <w:color w:val="0E101A"/>
        </w:rPr>
        <w:t>an immediate (&lt;2 hours), urgent (&lt;24 hours) or selective invasive management strategy should be adopted. (1</w:t>
      </w:r>
      <w:r>
        <w:rPr>
          <w:rFonts w:ascii="Arial" w:hAnsi="Arial" w:cs="Arial"/>
          <w:color w:val="0E101A"/>
        </w:rPr>
        <w:t>7</w:t>
      </w:r>
      <w:r w:rsidRPr="00DF0F85">
        <w:rPr>
          <w:rFonts w:ascii="Arial" w:hAnsi="Arial" w:cs="Arial"/>
          <w:color w:val="0E101A"/>
        </w:rPr>
        <w:t>) </w:t>
      </w:r>
      <w:r>
        <w:rPr>
          <w:rFonts w:ascii="Arial" w:hAnsi="Arial" w:cs="Arial"/>
          <w:color w:val="0E101A"/>
        </w:rPr>
        <w:t>An example of NSTEMI with dynamic ECG changes (deep T-wave inversion in anterolateral precordial leads) and CAG findings is shown in Figure 3.</w:t>
      </w:r>
    </w:p>
    <w:p w14:paraId="4B96CF47" w14:textId="77777777" w:rsidR="004942B6" w:rsidRDefault="004942B6" w:rsidP="004942B6">
      <w:pPr>
        <w:pStyle w:val="NormalWeb"/>
        <w:spacing w:before="0" w:beforeAutospacing="0" w:after="0" w:afterAutospacing="0"/>
        <w:jc w:val="both"/>
        <w:rPr>
          <w:rFonts w:ascii="Arial" w:hAnsi="Arial" w:cs="Arial"/>
          <w:color w:val="0E101A"/>
        </w:rPr>
      </w:pPr>
    </w:p>
    <w:p w14:paraId="739AA8FD" w14:textId="77777777" w:rsidR="004942B6" w:rsidRDefault="004942B6" w:rsidP="004942B6">
      <w:pPr>
        <w:pStyle w:val="NormalWeb"/>
        <w:keepNext/>
        <w:spacing w:before="0" w:beforeAutospacing="0" w:after="0" w:afterAutospacing="0"/>
        <w:jc w:val="both"/>
      </w:pPr>
      <w:r>
        <w:rPr>
          <w:noProof/>
        </w:rPr>
        <w:lastRenderedPageBreak/>
        <w:drawing>
          <wp:inline distT="0" distB="0" distL="0" distR="0" wp14:anchorId="635181D1" wp14:editId="48EE272F">
            <wp:extent cx="5895637" cy="4347411"/>
            <wp:effectExtent l="0" t="0" r="0" b="0"/>
            <wp:docPr id="1106629968" name="Picture 1106629968" descr="A graph of a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29968" name="Picture 1" descr="A graph of a heart"/>
                    <pic:cNvPicPr/>
                  </pic:nvPicPr>
                  <pic:blipFill rotWithShape="1">
                    <a:blip r:embed="rId13" cstate="print">
                      <a:extLst>
                        <a:ext uri="{BEBA8EAE-BF5A-486C-A8C5-ECC9F3942E4B}">
                          <a14:imgProps xmlns:a14="http://schemas.microsoft.com/office/drawing/2010/main">
                            <a14:imgLayer r:embed="rId1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7138" t="2000" r="2317" b="2616"/>
                    <a:stretch/>
                  </pic:blipFill>
                  <pic:spPr bwMode="auto">
                    <a:xfrm>
                      <a:off x="0" y="0"/>
                      <a:ext cx="5900101" cy="4350703"/>
                    </a:xfrm>
                    <a:prstGeom prst="rect">
                      <a:avLst/>
                    </a:prstGeom>
                    <a:ln>
                      <a:noFill/>
                    </a:ln>
                    <a:extLst>
                      <a:ext uri="{53640926-AAD7-44D8-BBD7-CCE9431645EC}">
                        <a14:shadowObscured xmlns:a14="http://schemas.microsoft.com/office/drawing/2010/main"/>
                      </a:ext>
                    </a:extLst>
                  </pic:spPr>
                </pic:pic>
              </a:graphicData>
            </a:graphic>
          </wp:inline>
        </w:drawing>
      </w:r>
    </w:p>
    <w:p w14:paraId="0F51D5B8" w14:textId="6A50205B" w:rsidR="004942B6" w:rsidRPr="00937E77" w:rsidRDefault="004942B6" w:rsidP="004942B6">
      <w:pPr>
        <w:pStyle w:val="Caption"/>
        <w:jc w:val="both"/>
        <w:rPr>
          <w:rFonts w:ascii="Arial" w:hAnsi="Arial" w:cs="Arial"/>
          <w:color w:val="auto"/>
        </w:rPr>
      </w:pPr>
      <w:bookmarkStart w:id="96" w:name="_Toc153409652"/>
      <w:bookmarkStart w:id="97" w:name="_Toc153724898"/>
      <w:bookmarkStart w:id="98" w:name="_Toc159318484"/>
      <w:bookmarkStart w:id="99" w:name="_Toc159612010"/>
      <w:bookmarkStart w:id="100" w:name="_Toc160982656"/>
      <w:bookmarkStart w:id="101" w:name="_Toc164697481"/>
      <w:bookmarkStart w:id="102" w:name="_Toc170744563"/>
      <w:bookmarkStart w:id="103" w:name="_Toc196153194"/>
      <w:r w:rsidRPr="00937E77">
        <w:rPr>
          <w:rFonts w:ascii="Arial" w:hAnsi="Arial" w:cs="Arial"/>
          <w:b/>
          <w:bCs/>
          <w:color w:val="auto"/>
        </w:rPr>
        <w:t xml:space="preserve">Figure </w:t>
      </w:r>
      <w:r w:rsidRPr="00937E77">
        <w:rPr>
          <w:rFonts w:ascii="Arial" w:hAnsi="Arial" w:cs="Arial"/>
          <w:b/>
          <w:bCs/>
          <w:color w:val="auto"/>
        </w:rPr>
        <w:fldChar w:fldCharType="begin"/>
      </w:r>
      <w:r w:rsidRPr="00937E77">
        <w:rPr>
          <w:rFonts w:ascii="Arial" w:hAnsi="Arial" w:cs="Arial"/>
          <w:b/>
          <w:bCs/>
          <w:color w:val="auto"/>
        </w:rPr>
        <w:instrText xml:space="preserve"> SEQ Figure \* ARABIC </w:instrText>
      </w:r>
      <w:r w:rsidRPr="00937E77">
        <w:rPr>
          <w:rFonts w:ascii="Arial" w:hAnsi="Arial" w:cs="Arial"/>
          <w:b/>
          <w:bCs/>
          <w:color w:val="auto"/>
        </w:rPr>
        <w:fldChar w:fldCharType="separate"/>
      </w:r>
      <w:r w:rsidR="001823B4">
        <w:rPr>
          <w:rFonts w:ascii="Arial" w:hAnsi="Arial" w:cs="Arial"/>
          <w:b/>
          <w:bCs/>
          <w:noProof/>
          <w:color w:val="auto"/>
        </w:rPr>
        <w:t>2</w:t>
      </w:r>
      <w:r w:rsidRPr="00937E77">
        <w:rPr>
          <w:rFonts w:ascii="Arial" w:hAnsi="Arial" w:cs="Arial"/>
          <w:b/>
          <w:bCs/>
          <w:color w:val="auto"/>
        </w:rPr>
        <w:fldChar w:fldCharType="end"/>
      </w:r>
      <w:r w:rsidRPr="00937E77">
        <w:rPr>
          <w:rFonts w:ascii="Arial" w:hAnsi="Arial" w:cs="Arial"/>
          <w:b/>
          <w:bCs/>
          <w:color w:val="auto"/>
        </w:rPr>
        <w:t>:</w:t>
      </w:r>
      <w:r w:rsidRPr="00937E77">
        <w:rPr>
          <w:rFonts w:ascii="Arial" w:hAnsi="Arial" w:cs="Arial"/>
          <w:color w:val="auto"/>
        </w:rPr>
        <w:t xml:space="preserve"> ECG (panel A) showing biphasic deep TW inversions in the anterior leads (Wellen's sign), which correlates with the coronary angiogram findings of critical proximal LAD lesion marked with a yellow arrow (panel B), which was stretched with a balloon (panel C) and subsequently treated with a drug-eluting stent (DES).</w:t>
      </w:r>
      <w:bookmarkEnd w:id="96"/>
      <w:bookmarkEnd w:id="97"/>
      <w:bookmarkEnd w:id="98"/>
      <w:bookmarkEnd w:id="99"/>
      <w:bookmarkEnd w:id="100"/>
      <w:bookmarkEnd w:id="101"/>
      <w:bookmarkEnd w:id="102"/>
      <w:bookmarkEnd w:id="103"/>
    </w:p>
    <w:p w14:paraId="5180A539" w14:textId="77777777" w:rsidR="004942B6" w:rsidRPr="00DF0F85" w:rsidRDefault="004942B6" w:rsidP="004942B6">
      <w:pPr>
        <w:pStyle w:val="NormalWeb"/>
        <w:spacing w:before="0" w:beforeAutospacing="0" w:after="0" w:afterAutospacing="0"/>
        <w:jc w:val="both"/>
        <w:rPr>
          <w:rFonts w:ascii="Arial" w:hAnsi="Arial" w:cs="Arial"/>
          <w:color w:val="0E101A"/>
        </w:rPr>
      </w:pPr>
    </w:p>
    <w:p w14:paraId="4F4F4A15" w14:textId="77777777" w:rsidR="004942B6" w:rsidRPr="007515E2" w:rsidRDefault="004942B6" w:rsidP="004942B6">
      <w:pPr>
        <w:pStyle w:val="Heading2"/>
        <w:spacing w:before="0" w:line="360" w:lineRule="auto"/>
        <w:jc w:val="both"/>
        <w:rPr>
          <w:rFonts w:ascii="Arial" w:hAnsi="Arial" w:cs="Arial"/>
          <w:color w:val="4472C4" w:themeColor="accent1"/>
          <w:sz w:val="28"/>
          <w:szCs w:val="28"/>
        </w:rPr>
      </w:pPr>
      <w:bookmarkStart w:id="104" w:name="_Toc171203847"/>
      <w:r w:rsidRPr="007515E2">
        <w:rPr>
          <w:rFonts w:ascii="Arial" w:hAnsi="Arial" w:cs="Arial"/>
          <w:color w:val="4472C4" w:themeColor="accent1"/>
          <w:sz w:val="28"/>
          <w:szCs w:val="28"/>
        </w:rPr>
        <w:t>1.6 Investigations and assessment of coronary artery disease (CAD)</w:t>
      </w:r>
      <w:bookmarkEnd w:id="104"/>
    </w:p>
    <w:p w14:paraId="2FD9E152" w14:textId="2F566148" w:rsidR="004942B6" w:rsidRDefault="004942B6" w:rsidP="004942B6">
      <w:pPr>
        <w:pStyle w:val="NormalWeb"/>
        <w:spacing w:before="0" w:beforeAutospacing="0" w:after="0" w:afterAutospacing="0"/>
        <w:jc w:val="both"/>
        <w:rPr>
          <w:rFonts w:ascii="Arial" w:hAnsi="Arial" w:cs="Arial"/>
          <w:color w:val="0E101A"/>
        </w:rPr>
      </w:pPr>
      <w:r w:rsidRPr="007B67DB">
        <w:rPr>
          <w:rFonts w:ascii="Arial" w:hAnsi="Arial" w:cs="Arial"/>
          <w:color w:val="0E101A"/>
        </w:rPr>
        <w:t>The selection of the most appropriate investigation for the suspected C</w:t>
      </w:r>
      <w:r>
        <w:rPr>
          <w:rFonts w:ascii="Arial" w:hAnsi="Arial" w:cs="Arial"/>
          <w:color w:val="0E101A"/>
        </w:rPr>
        <w:t>AD</w:t>
      </w:r>
      <w:r w:rsidRPr="007B67DB">
        <w:rPr>
          <w:rFonts w:ascii="Arial" w:hAnsi="Arial" w:cs="Arial"/>
          <w:color w:val="0E101A"/>
        </w:rPr>
        <w:t xml:space="preserve"> is </w:t>
      </w:r>
      <w:r w:rsidR="00FC5EC6">
        <w:rPr>
          <w:rFonts w:ascii="Arial" w:hAnsi="Arial" w:cs="Arial"/>
          <w:color w:val="0E101A"/>
        </w:rPr>
        <w:t>vital</w:t>
      </w:r>
      <w:r w:rsidRPr="007B67DB">
        <w:rPr>
          <w:rFonts w:ascii="Arial" w:hAnsi="Arial" w:cs="Arial"/>
          <w:color w:val="0E101A"/>
        </w:rPr>
        <w:t xml:space="preserve"> in the decision-making; hence, the ESC recommends</w:t>
      </w:r>
      <w:r w:rsidRPr="00DF0F85">
        <w:rPr>
          <w:rFonts w:ascii="Arial" w:hAnsi="Arial" w:cs="Arial"/>
          <w:color w:val="0E101A"/>
        </w:rPr>
        <w:t xml:space="preserve"> a pre-test probability (PTP) approach. (2</w:t>
      </w:r>
      <w:r>
        <w:rPr>
          <w:rFonts w:ascii="Arial" w:hAnsi="Arial" w:cs="Arial"/>
          <w:color w:val="0E101A"/>
        </w:rPr>
        <w:t>2</w:t>
      </w:r>
      <w:r w:rsidRPr="00DF0F85">
        <w:rPr>
          <w:rFonts w:ascii="Arial" w:hAnsi="Arial" w:cs="Arial"/>
          <w:color w:val="0E101A"/>
        </w:rPr>
        <w:t>) The PTP depends on several factors, including age, gender, comorbid conditions (hypertension, diabetes) and the nature of the reported symptoms. (2</w:t>
      </w:r>
      <w:r>
        <w:rPr>
          <w:rFonts w:ascii="Arial" w:hAnsi="Arial" w:cs="Arial"/>
          <w:color w:val="0E101A"/>
        </w:rPr>
        <w:t>2</w:t>
      </w:r>
      <w:r w:rsidRPr="00DF0F85">
        <w:rPr>
          <w:rFonts w:ascii="Arial" w:hAnsi="Arial" w:cs="Arial"/>
          <w:color w:val="0E101A"/>
        </w:rPr>
        <w:t>) Once the diagnosis is confirmed, patients should be initiated on the optimal medical therapy (OMT) immediately, along with risk stratification for subsequent events. Based on the above information, the treating physician must decide upon the investigation, which can reliably include or exclude the diagnosis of CAD. The investigation panel could be divided into non-invasive and invasive categories.</w:t>
      </w:r>
    </w:p>
    <w:p w14:paraId="54A5CA86" w14:textId="77777777" w:rsidR="004942B6" w:rsidRDefault="004942B6" w:rsidP="004942B6">
      <w:pPr>
        <w:pStyle w:val="NormalWeb"/>
        <w:spacing w:before="0" w:beforeAutospacing="0" w:after="0" w:afterAutospacing="0"/>
        <w:jc w:val="both"/>
        <w:rPr>
          <w:rFonts w:ascii="Arial" w:hAnsi="Arial" w:cs="Arial"/>
          <w:color w:val="0E101A"/>
        </w:rPr>
      </w:pPr>
    </w:p>
    <w:p w14:paraId="40EBA345" w14:textId="77777777" w:rsidR="00F605C6" w:rsidRPr="00DF0F85" w:rsidRDefault="00F605C6" w:rsidP="004942B6">
      <w:pPr>
        <w:pStyle w:val="NormalWeb"/>
        <w:spacing w:before="0" w:beforeAutospacing="0" w:after="0" w:afterAutospacing="0"/>
        <w:jc w:val="both"/>
        <w:rPr>
          <w:rFonts w:ascii="Arial" w:hAnsi="Arial" w:cs="Arial"/>
          <w:color w:val="0E101A"/>
        </w:rPr>
      </w:pPr>
    </w:p>
    <w:p w14:paraId="7757584F" w14:textId="77777777" w:rsidR="004942B6" w:rsidRPr="00374290" w:rsidRDefault="004942B6" w:rsidP="004942B6">
      <w:pPr>
        <w:pStyle w:val="Heading2"/>
        <w:rPr>
          <w:rFonts w:ascii="Arial" w:hAnsi="Arial" w:cs="Arial"/>
          <w:color w:val="4472C4" w:themeColor="accent1"/>
          <w:sz w:val="24"/>
          <w:szCs w:val="24"/>
        </w:rPr>
      </w:pPr>
      <w:bookmarkStart w:id="105" w:name="_Toc159613541"/>
      <w:bookmarkStart w:id="106" w:name="_Toc160981202"/>
      <w:bookmarkStart w:id="107" w:name="_Toc164675996"/>
      <w:bookmarkStart w:id="108" w:name="_Toc164680441"/>
      <w:bookmarkStart w:id="109" w:name="_Toc164681339"/>
      <w:bookmarkStart w:id="110" w:name="_Toc170075021"/>
      <w:bookmarkStart w:id="111" w:name="_Toc170076008"/>
      <w:bookmarkStart w:id="112" w:name="_Toc170577704"/>
      <w:bookmarkStart w:id="113" w:name="_Toc170579222"/>
      <w:bookmarkStart w:id="114" w:name="_Toc171203077"/>
      <w:bookmarkStart w:id="115" w:name="_Toc171203848"/>
      <w:r w:rsidRPr="00374290">
        <w:rPr>
          <w:rFonts w:ascii="Arial" w:hAnsi="Arial" w:cs="Arial"/>
          <w:color w:val="4472C4" w:themeColor="accent1"/>
          <w:sz w:val="24"/>
          <w:szCs w:val="24"/>
        </w:rPr>
        <w:lastRenderedPageBreak/>
        <w:t>1.6.1 Non-invasive Investigations</w:t>
      </w:r>
      <w:bookmarkEnd w:id="105"/>
      <w:bookmarkEnd w:id="106"/>
      <w:bookmarkEnd w:id="107"/>
      <w:bookmarkEnd w:id="108"/>
      <w:bookmarkEnd w:id="109"/>
      <w:bookmarkEnd w:id="110"/>
      <w:bookmarkEnd w:id="111"/>
      <w:bookmarkEnd w:id="112"/>
      <w:bookmarkEnd w:id="113"/>
      <w:bookmarkEnd w:id="114"/>
      <w:bookmarkEnd w:id="115"/>
    </w:p>
    <w:p w14:paraId="6CE3C289" w14:textId="77777777" w:rsidR="004942B6" w:rsidRPr="00F37C31" w:rsidRDefault="004942B6" w:rsidP="004942B6">
      <w:pPr>
        <w:pStyle w:val="NormalWeb"/>
        <w:spacing w:before="0" w:beforeAutospacing="0" w:after="0" w:afterAutospacing="0"/>
        <w:jc w:val="both"/>
        <w:rPr>
          <w:rFonts w:ascii="Arial" w:hAnsi="Arial" w:cs="Arial"/>
          <w:color w:val="4472C4" w:themeColor="accent1"/>
        </w:rPr>
      </w:pPr>
    </w:p>
    <w:p w14:paraId="78AAFB13" w14:textId="77777777" w:rsidR="004942B6" w:rsidRPr="00F37C31" w:rsidRDefault="004942B6" w:rsidP="004942B6">
      <w:pPr>
        <w:pStyle w:val="Heading4"/>
        <w:spacing w:before="0" w:line="360" w:lineRule="auto"/>
        <w:jc w:val="both"/>
        <w:rPr>
          <w:rFonts w:ascii="Arial" w:hAnsi="Arial" w:cs="Arial"/>
          <w:i w:val="0"/>
          <w:iCs w:val="0"/>
          <w:color w:val="4472C4" w:themeColor="accent1"/>
          <w:sz w:val="24"/>
          <w:szCs w:val="24"/>
        </w:rPr>
      </w:pPr>
      <w:r w:rsidRPr="00F37C31">
        <w:rPr>
          <w:rFonts w:ascii="Arial" w:hAnsi="Arial" w:cs="Arial"/>
          <w:i w:val="0"/>
          <w:iCs w:val="0"/>
          <w:color w:val="4472C4" w:themeColor="accent1"/>
          <w:sz w:val="24"/>
          <w:szCs w:val="24"/>
        </w:rPr>
        <w:t>1.6.1.1 Baseline Investigations</w:t>
      </w:r>
    </w:p>
    <w:p w14:paraId="526F0B1A" w14:textId="77777777" w:rsidR="004942B6" w:rsidRDefault="004942B6" w:rsidP="004942B6">
      <w:pPr>
        <w:pStyle w:val="NormalWeb"/>
        <w:spacing w:before="0" w:beforeAutospacing="0" w:after="0" w:afterAutospacing="0"/>
        <w:jc w:val="both"/>
        <w:rPr>
          <w:rFonts w:ascii="Arial" w:hAnsi="Arial" w:cs="Arial"/>
          <w:color w:val="0E101A"/>
        </w:rPr>
      </w:pPr>
      <w:r w:rsidRPr="00D14D1A">
        <w:rPr>
          <w:rFonts w:ascii="Arial" w:hAnsi="Arial" w:cs="Arial"/>
          <w:color w:val="0E101A"/>
        </w:rPr>
        <w:t>According to the ESC guidelines, suspected</w:t>
      </w:r>
      <w:r w:rsidRPr="00DF0F85">
        <w:rPr>
          <w:rFonts w:ascii="Arial" w:hAnsi="Arial" w:cs="Arial"/>
          <w:color w:val="0E101A"/>
        </w:rPr>
        <w:t xml:space="preserve"> CAD disease patients should have baseline investigations performed, which can be tailored according to the clinical presentation. These investigations should be preceded by a thorough clinical</w:t>
      </w:r>
      <w:r>
        <w:rPr>
          <w:rFonts w:ascii="Arial" w:hAnsi="Arial" w:cs="Arial"/>
          <w:color w:val="0E101A"/>
        </w:rPr>
        <w:t xml:space="preserve"> history and</w:t>
      </w:r>
      <w:r w:rsidRPr="00DF0F85">
        <w:rPr>
          <w:rFonts w:ascii="Arial" w:hAnsi="Arial" w:cs="Arial"/>
          <w:color w:val="0E101A"/>
        </w:rPr>
        <w:t xml:space="preserve"> examination, followed by a 12-lead electrocardiography (ECG), chest X-ray (CXR), and blood tests (complete blood count, renal functions, creatinine, lipid profile and high-sensitivity cardiac troponin assays). Glycosylated haemoglobin (HbA1c) levels should also be considered if there is a history of type 2 diabetes mellitus (DM). (2</w:t>
      </w:r>
      <w:r>
        <w:rPr>
          <w:rFonts w:ascii="Arial" w:hAnsi="Arial" w:cs="Arial"/>
          <w:color w:val="0E101A"/>
        </w:rPr>
        <w:t>2</w:t>
      </w:r>
      <w:r w:rsidRPr="00DF0F85">
        <w:rPr>
          <w:rFonts w:ascii="Arial" w:hAnsi="Arial" w:cs="Arial"/>
          <w:color w:val="0E101A"/>
        </w:rPr>
        <w:t>) The echocardiography could also exclude any area of regional wall abnormality (RWMA) as a surrogate marker of an ischaemic insult. (2</w:t>
      </w:r>
      <w:r>
        <w:rPr>
          <w:rFonts w:ascii="Arial" w:hAnsi="Arial" w:cs="Arial"/>
          <w:color w:val="0E101A"/>
        </w:rPr>
        <w:t>2</w:t>
      </w:r>
      <w:r w:rsidRPr="00DF0F85">
        <w:rPr>
          <w:rFonts w:ascii="Arial" w:hAnsi="Arial" w:cs="Arial"/>
          <w:color w:val="0E101A"/>
        </w:rPr>
        <w:t>)</w:t>
      </w:r>
    </w:p>
    <w:p w14:paraId="0909C063" w14:textId="77777777" w:rsidR="004942B6" w:rsidRPr="005F5350" w:rsidRDefault="004942B6" w:rsidP="004942B6"/>
    <w:p w14:paraId="56264492" w14:textId="77777777" w:rsidR="004942B6" w:rsidRPr="00F37C31" w:rsidRDefault="004942B6" w:rsidP="004942B6">
      <w:pPr>
        <w:pStyle w:val="Heading4"/>
        <w:spacing w:before="0" w:line="360" w:lineRule="auto"/>
        <w:jc w:val="both"/>
        <w:rPr>
          <w:rFonts w:ascii="Arial" w:hAnsi="Arial" w:cs="Arial"/>
          <w:i w:val="0"/>
          <w:iCs w:val="0"/>
          <w:color w:val="4472C4" w:themeColor="accent1"/>
          <w:sz w:val="24"/>
          <w:szCs w:val="24"/>
        </w:rPr>
      </w:pPr>
      <w:r w:rsidRPr="00F37C31">
        <w:rPr>
          <w:rFonts w:ascii="Arial" w:hAnsi="Arial" w:cs="Arial"/>
          <w:i w:val="0"/>
          <w:iCs w:val="0"/>
          <w:color w:val="4472C4" w:themeColor="accent1"/>
          <w:sz w:val="24"/>
          <w:szCs w:val="24"/>
        </w:rPr>
        <w:t>1.6.1.2 Anatomical non-invasive testing</w:t>
      </w:r>
    </w:p>
    <w:p w14:paraId="15216E22" w14:textId="77777777" w:rsidR="004942B6" w:rsidRPr="00DF0F85"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In the UK, the National Institute of Health and Care Excellence (NICE) guidelines (CG95 - recent onset chest pain of suspected cardiac origin) recommend performing computed tomography coronary angiography (CTCA) as the first-line investigation in patients with a low probability of CAD, because of its high negative predictive value as evidenced by SCOT-HEART and PROMISE trials. (2</w:t>
      </w:r>
      <w:r>
        <w:rPr>
          <w:rFonts w:ascii="Arial" w:hAnsi="Arial" w:cs="Arial"/>
          <w:color w:val="0E101A"/>
        </w:rPr>
        <w:t>3,</w:t>
      </w:r>
      <w:r w:rsidRPr="00DF0F85">
        <w:rPr>
          <w:rFonts w:ascii="Arial" w:hAnsi="Arial" w:cs="Arial"/>
          <w:color w:val="0E101A"/>
        </w:rPr>
        <w:t>2</w:t>
      </w:r>
      <w:r>
        <w:rPr>
          <w:rFonts w:ascii="Arial" w:hAnsi="Arial" w:cs="Arial"/>
          <w:color w:val="0E101A"/>
        </w:rPr>
        <w:t>4</w:t>
      </w:r>
      <w:r w:rsidRPr="00DF0F85">
        <w:rPr>
          <w:rFonts w:ascii="Arial" w:hAnsi="Arial" w:cs="Arial"/>
          <w:color w:val="0E101A"/>
        </w:rPr>
        <w:t>) The SCOT-HEART study, comprising 4,146 patients, demonstrated a lower mortality rate and non-fatal MI (2.3% vs 3.9%) when CTCA was performed in addition to the routine non-invasive testing (predominantly exercise ECG) at 5-year follow-up. (2</w:t>
      </w:r>
      <w:r>
        <w:rPr>
          <w:rFonts w:ascii="Arial" w:hAnsi="Arial" w:cs="Arial"/>
          <w:color w:val="0E101A"/>
        </w:rPr>
        <w:t>3</w:t>
      </w:r>
      <w:r w:rsidRPr="00DF0F85">
        <w:rPr>
          <w:rFonts w:ascii="Arial" w:hAnsi="Arial" w:cs="Arial"/>
          <w:color w:val="0E101A"/>
        </w:rPr>
        <w:t>) Similarly, the PROMISE trial randomised 10,003 patients with low-intermediate risk of CAD to either receive CTCA or non-invasive ischemia testing and showed that there was no difference in MACE (3.3% CTCA vs 3.0% functional) at 25 months follow-up. (2</w:t>
      </w:r>
      <w:r>
        <w:rPr>
          <w:rFonts w:ascii="Arial" w:hAnsi="Arial" w:cs="Arial"/>
          <w:color w:val="0E101A"/>
        </w:rPr>
        <w:t>5</w:t>
      </w:r>
      <w:r w:rsidRPr="00DF0F85">
        <w:rPr>
          <w:rFonts w:ascii="Arial" w:hAnsi="Arial" w:cs="Arial"/>
          <w:color w:val="0E101A"/>
        </w:rPr>
        <w:t>)</w:t>
      </w:r>
      <w:r>
        <w:rPr>
          <w:rFonts w:ascii="Arial" w:hAnsi="Arial" w:cs="Arial"/>
          <w:color w:val="0E101A"/>
        </w:rPr>
        <w:t xml:space="preserve"> </w:t>
      </w:r>
      <w:r w:rsidRPr="00DF0F85">
        <w:rPr>
          <w:rFonts w:ascii="Arial" w:hAnsi="Arial" w:cs="Arial"/>
          <w:color w:val="0E101A"/>
        </w:rPr>
        <w:t> Despite its usefulness in CCS settings, performing CTCA routinely in suspected ACS patients failed to prove an effective strategy. (2</w:t>
      </w:r>
      <w:r>
        <w:rPr>
          <w:rFonts w:ascii="Arial" w:hAnsi="Arial" w:cs="Arial"/>
          <w:color w:val="0E101A"/>
        </w:rPr>
        <w:t>6</w:t>
      </w:r>
      <w:r w:rsidRPr="00DF0F85">
        <w:rPr>
          <w:rFonts w:ascii="Arial" w:hAnsi="Arial" w:cs="Arial"/>
          <w:color w:val="0E101A"/>
        </w:rPr>
        <w:t xml:space="preserve">) In the RAPID-CTCA trial (n=1748), patients were randomised to undergo either an early CTCA or routine standard management. The conclusions were that guiding management strategy based on CTCA in suspected ACS patients with </w:t>
      </w:r>
      <w:r>
        <w:rPr>
          <w:rFonts w:ascii="Arial" w:hAnsi="Arial" w:cs="Arial"/>
          <w:color w:val="0E101A"/>
        </w:rPr>
        <w:t>intermediate risk</w:t>
      </w:r>
      <w:r w:rsidRPr="00DF0F85">
        <w:rPr>
          <w:rFonts w:ascii="Arial" w:hAnsi="Arial" w:cs="Arial"/>
          <w:color w:val="0E101A"/>
        </w:rPr>
        <w:t xml:space="preserve"> had no difference in mortality (5.8% CTCA vs 6.1% routine). Furthermore, CTCA did not reduce the number of invasive coronary angiograms (54% CTCA vs 61% routine). In addition, this approach was associated with a slightly increased length of hospital stay (2.2 days vs 2.0). (2</w:t>
      </w:r>
      <w:r>
        <w:rPr>
          <w:rFonts w:ascii="Arial" w:hAnsi="Arial" w:cs="Arial"/>
          <w:color w:val="0E101A"/>
        </w:rPr>
        <w:t>6</w:t>
      </w:r>
      <w:r w:rsidRPr="00DF0F85">
        <w:rPr>
          <w:rFonts w:ascii="Arial" w:hAnsi="Arial" w:cs="Arial"/>
          <w:color w:val="0E101A"/>
        </w:rPr>
        <w:t>)</w:t>
      </w:r>
    </w:p>
    <w:p w14:paraId="3E8AC0B4" w14:textId="77777777" w:rsidR="004942B6"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lastRenderedPageBreak/>
        <w:t>Although CTCA is an excellent screening tool, it has its limitations. The presence of extensive calcification, irregular heart rate in atrial fibrillation (AF), inability to achieve a slower heart rate &lt; 65/min, elevated body mass index (BMI), and failure to perform the breath-holding during scanning are a few factors which can significantly decrease the image quality and hence, can negatively impact the predictive capabilities of CTCA. (2</w:t>
      </w:r>
      <w:r>
        <w:rPr>
          <w:rFonts w:ascii="Arial" w:hAnsi="Arial" w:cs="Arial"/>
          <w:color w:val="0E101A"/>
        </w:rPr>
        <w:t>7</w:t>
      </w:r>
      <w:r w:rsidRPr="00DF0F85">
        <w:rPr>
          <w:rFonts w:ascii="Arial" w:hAnsi="Arial" w:cs="Arial"/>
          <w:color w:val="0E101A"/>
        </w:rPr>
        <w:t>)</w:t>
      </w:r>
    </w:p>
    <w:p w14:paraId="6C0F95A0" w14:textId="77777777" w:rsidR="004942B6" w:rsidRPr="00DF0F85" w:rsidRDefault="004942B6" w:rsidP="004942B6">
      <w:pPr>
        <w:pStyle w:val="NormalWeb"/>
        <w:spacing w:before="0" w:beforeAutospacing="0" w:after="0" w:afterAutospacing="0"/>
        <w:jc w:val="both"/>
        <w:rPr>
          <w:rFonts w:ascii="Arial" w:hAnsi="Arial" w:cs="Arial"/>
          <w:color w:val="0E101A"/>
        </w:rPr>
      </w:pPr>
    </w:p>
    <w:p w14:paraId="2CEC0BF8" w14:textId="77777777" w:rsidR="004942B6" w:rsidRPr="00C26BC5" w:rsidRDefault="004942B6" w:rsidP="004942B6">
      <w:pPr>
        <w:pStyle w:val="Heading4"/>
        <w:spacing w:before="0" w:line="360" w:lineRule="auto"/>
        <w:jc w:val="both"/>
        <w:rPr>
          <w:rFonts w:ascii="Arial" w:hAnsi="Arial" w:cs="Arial"/>
          <w:i w:val="0"/>
          <w:iCs w:val="0"/>
          <w:color w:val="4472C4" w:themeColor="accent1"/>
          <w:sz w:val="24"/>
          <w:szCs w:val="24"/>
        </w:rPr>
      </w:pPr>
      <w:r w:rsidRPr="00C26BC5">
        <w:rPr>
          <w:rFonts w:ascii="Arial" w:hAnsi="Arial" w:cs="Arial"/>
          <w:i w:val="0"/>
          <w:iCs w:val="0"/>
          <w:color w:val="4472C4" w:themeColor="accent1"/>
          <w:sz w:val="24"/>
          <w:szCs w:val="24"/>
        </w:rPr>
        <w:t>1.6.1.3 Functional non-invasive testing</w:t>
      </w:r>
    </w:p>
    <w:p w14:paraId="7693F1D9" w14:textId="77777777" w:rsidR="004942B6" w:rsidRDefault="004942B6" w:rsidP="00714723">
      <w:pPr>
        <w:pStyle w:val="NormalWeb"/>
        <w:spacing w:before="0" w:beforeAutospacing="0" w:after="0" w:afterAutospacing="0"/>
        <w:jc w:val="both"/>
        <w:rPr>
          <w:rFonts w:ascii="Arial" w:hAnsi="Arial" w:cs="Arial"/>
          <w:color w:val="0E101A"/>
        </w:rPr>
      </w:pPr>
      <w:r w:rsidRPr="00CB49A1">
        <w:rPr>
          <w:rFonts w:ascii="Arial" w:hAnsi="Arial" w:cs="Arial"/>
          <w:color w:val="0E101A"/>
        </w:rPr>
        <w:t>Functional non-invasive testing includes the detection of ischaemia either by exercise or pharmacology. Exercise leads</w:t>
      </w:r>
      <w:r w:rsidRPr="00DF0F85">
        <w:rPr>
          <w:rFonts w:ascii="Arial" w:hAnsi="Arial" w:cs="Arial"/>
          <w:color w:val="0E101A"/>
        </w:rPr>
        <w:t xml:space="preserve"> to an escalated myocardial workload and oxygen demands, resulting in the reproduction of anginal symptoms or the development of new regional wall motion abnormalities depicting ischaemic substrate. On the other hand, pharmacological stress testing provokes coronary vasodilation and demarcates the area of ischaemic myocardium as a perfusion defect. (2</w:t>
      </w:r>
      <w:r>
        <w:rPr>
          <w:rFonts w:ascii="Arial" w:hAnsi="Arial" w:cs="Arial"/>
          <w:color w:val="0E101A"/>
        </w:rPr>
        <w:t>8</w:t>
      </w:r>
      <w:r w:rsidRPr="00DF0F85">
        <w:rPr>
          <w:rFonts w:ascii="Arial" w:hAnsi="Arial" w:cs="Arial"/>
          <w:color w:val="0E101A"/>
        </w:rPr>
        <w:t>)</w:t>
      </w:r>
    </w:p>
    <w:p w14:paraId="24B1F9FC" w14:textId="77777777" w:rsidR="004942B6" w:rsidRPr="00DF0F85" w:rsidRDefault="004942B6" w:rsidP="00714723">
      <w:pPr>
        <w:pStyle w:val="NormalWeb"/>
        <w:spacing w:before="0" w:beforeAutospacing="0" w:after="0" w:afterAutospacing="0"/>
        <w:jc w:val="both"/>
        <w:rPr>
          <w:rFonts w:ascii="Arial" w:hAnsi="Arial" w:cs="Arial"/>
          <w:color w:val="0E101A"/>
        </w:rPr>
      </w:pPr>
      <w:r w:rsidRPr="00DF0F85">
        <w:rPr>
          <w:rFonts w:ascii="Arial" w:hAnsi="Arial" w:cs="Arial"/>
          <w:color w:val="0E101A"/>
        </w:rPr>
        <w:t> </w:t>
      </w:r>
    </w:p>
    <w:p w14:paraId="5ACFFE9B" w14:textId="77777777" w:rsidR="004942B6" w:rsidRPr="00C26BC5" w:rsidRDefault="004942B6" w:rsidP="00714723">
      <w:pPr>
        <w:pStyle w:val="Heading5"/>
        <w:spacing w:before="0" w:line="360" w:lineRule="auto"/>
        <w:jc w:val="both"/>
        <w:rPr>
          <w:rFonts w:ascii="Arial" w:hAnsi="Arial" w:cs="Arial"/>
          <w:color w:val="4472C4" w:themeColor="accent1"/>
          <w:sz w:val="24"/>
          <w:szCs w:val="24"/>
        </w:rPr>
      </w:pPr>
      <w:r w:rsidRPr="00C26BC5">
        <w:rPr>
          <w:rFonts w:ascii="Arial" w:hAnsi="Arial" w:cs="Arial"/>
          <w:color w:val="4472C4" w:themeColor="accent1"/>
          <w:sz w:val="24"/>
          <w:szCs w:val="24"/>
        </w:rPr>
        <w:t>1.6.1.3.1 Exercise treadmill test (ETT)</w:t>
      </w:r>
    </w:p>
    <w:p w14:paraId="2C987C37" w14:textId="3D9BD2D8" w:rsidR="007D0522" w:rsidRDefault="004942B6" w:rsidP="00714723">
      <w:pPr>
        <w:pStyle w:val="NormalWeb"/>
        <w:spacing w:before="0" w:beforeAutospacing="0" w:after="0" w:afterAutospacing="0"/>
        <w:jc w:val="both"/>
        <w:rPr>
          <w:rFonts w:ascii="Arial" w:hAnsi="Arial" w:cs="Arial"/>
          <w:color w:val="0E101A"/>
        </w:rPr>
      </w:pPr>
      <w:r w:rsidRPr="00DF0F85">
        <w:rPr>
          <w:rFonts w:ascii="Arial" w:hAnsi="Arial" w:cs="Arial"/>
          <w:color w:val="0E101A"/>
        </w:rPr>
        <w:t>The use of ETT in clinical practice has gradually declined due to its relatively inferior diagnostic performance compared to other functional assessment techniques. (2</w:t>
      </w:r>
      <w:r>
        <w:rPr>
          <w:rFonts w:ascii="Arial" w:hAnsi="Arial" w:cs="Arial"/>
          <w:color w:val="0E101A"/>
        </w:rPr>
        <w:t>8</w:t>
      </w:r>
      <w:r w:rsidRPr="00DF0F85">
        <w:rPr>
          <w:rFonts w:ascii="Arial" w:hAnsi="Arial" w:cs="Arial"/>
          <w:color w:val="0E101A"/>
        </w:rPr>
        <w:t>) An exercise test becomes uninterpretable if the patient has an underlying bundle branch block (BBB), paced rhythm, resting ECG changes, or drugs like digoxin. (2</w:t>
      </w:r>
      <w:r>
        <w:rPr>
          <w:rFonts w:ascii="Arial" w:hAnsi="Arial" w:cs="Arial"/>
          <w:color w:val="0E101A"/>
        </w:rPr>
        <w:t>8</w:t>
      </w:r>
      <w:r w:rsidRPr="00DF0F85">
        <w:rPr>
          <w:rFonts w:ascii="Arial" w:hAnsi="Arial" w:cs="Arial"/>
          <w:color w:val="0E101A"/>
        </w:rPr>
        <w:t>) Clinical use of ETT is now limited to specific circumstances, such as assessment of asymptomatic valvular disease, exercise-related hemodynamic response in hypertrophic obstructive cardiomyopathy (HOCM), arrhythmia provocation testing and evaluation of sudden cardiac death (SCD) in some inherited cardiac conditions. (2</w:t>
      </w:r>
      <w:r>
        <w:rPr>
          <w:rFonts w:ascii="Arial" w:hAnsi="Arial" w:cs="Arial"/>
          <w:color w:val="0E101A"/>
        </w:rPr>
        <w:t>2</w:t>
      </w:r>
      <w:r w:rsidRPr="00DF0F85">
        <w:rPr>
          <w:rFonts w:ascii="Arial" w:hAnsi="Arial" w:cs="Arial"/>
          <w:color w:val="0E101A"/>
        </w:rPr>
        <w:t>)</w:t>
      </w:r>
    </w:p>
    <w:p w14:paraId="468B95A4" w14:textId="77777777" w:rsidR="007D0522" w:rsidRPr="007D0522" w:rsidRDefault="007D0522" w:rsidP="007D0522">
      <w:pPr>
        <w:pStyle w:val="NormalWeb"/>
        <w:spacing w:before="0" w:beforeAutospacing="0" w:after="0" w:afterAutospacing="0"/>
        <w:jc w:val="both"/>
        <w:rPr>
          <w:rFonts w:ascii="Arial" w:hAnsi="Arial" w:cs="Arial"/>
          <w:color w:val="0E101A"/>
        </w:rPr>
      </w:pPr>
    </w:p>
    <w:p w14:paraId="0F813A15" w14:textId="6CD11827" w:rsidR="004942B6" w:rsidRPr="00C26BC5" w:rsidRDefault="004942B6" w:rsidP="004942B6">
      <w:pPr>
        <w:pStyle w:val="Heading5"/>
        <w:spacing w:before="0" w:line="360" w:lineRule="auto"/>
        <w:jc w:val="both"/>
        <w:rPr>
          <w:rFonts w:ascii="Arial" w:hAnsi="Arial" w:cs="Arial"/>
          <w:color w:val="4472C4" w:themeColor="accent1"/>
          <w:sz w:val="24"/>
          <w:szCs w:val="24"/>
        </w:rPr>
      </w:pPr>
      <w:r w:rsidRPr="00C26BC5">
        <w:rPr>
          <w:rFonts w:ascii="Arial" w:hAnsi="Arial" w:cs="Arial"/>
          <w:color w:val="4472C4" w:themeColor="accent1"/>
          <w:sz w:val="24"/>
          <w:szCs w:val="24"/>
        </w:rPr>
        <w:t>1.6.1.3.2 Stress echocardiography </w:t>
      </w:r>
    </w:p>
    <w:p w14:paraId="6B9DECFA" w14:textId="77777777" w:rsidR="004942B6" w:rsidRPr="00DF0F85"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Inducible ischaemia can be evaluated on echocardiography by demonstrating regional wall motion abnormalities (RWMA), even before any ST-segment changes are visible on the ECG. (2</w:t>
      </w:r>
      <w:r>
        <w:rPr>
          <w:rFonts w:ascii="Arial" w:hAnsi="Arial" w:cs="Arial"/>
          <w:color w:val="0E101A"/>
        </w:rPr>
        <w:t>8</w:t>
      </w:r>
      <w:r w:rsidRPr="00DF0F85">
        <w:rPr>
          <w:rFonts w:ascii="Arial" w:hAnsi="Arial" w:cs="Arial"/>
          <w:color w:val="0E101A"/>
        </w:rPr>
        <w:t>) Ischaemic stress may be induced by physical exercise or a pharmacological agent (dobutamine commonly used). Stress echocardiography can also provide valuable information about concomitant cardiomyopathy, diastolic dysfunction, and valvular heart disease. (</w:t>
      </w:r>
      <w:r>
        <w:rPr>
          <w:rFonts w:ascii="Arial" w:hAnsi="Arial" w:cs="Arial"/>
          <w:color w:val="0E101A"/>
        </w:rPr>
        <w:t>29</w:t>
      </w:r>
      <w:r w:rsidRPr="00DF0F85">
        <w:rPr>
          <w:rFonts w:ascii="Arial" w:hAnsi="Arial" w:cs="Arial"/>
          <w:color w:val="0E101A"/>
        </w:rPr>
        <w:t xml:space="preserve">) Stress echocardiography proved cost-effective and demonstrated superior diagnostic accuracy than the ETT in a prospective </w:t>
      </w:r>
      <w:r w:rsidRPr="00DF0F85">
        <w:rPr>
          <w:rFonts w:ascii="Arial" w:hAnsi="Arial" w:cs="Arial"/>
          <w:color w:val="0E101A"/>
        </w:rPr>
        <w:lastRenderedPageBreak/>
        <w:t>randomised trial of 385 patients. (3</w:t>
      </w:r>
      <w:r>
        <w:rPr>
          <w:rFonts w:ascii="Arial" w:hAnsi="Arial" w:cs="Arial"/>
          <w:color w:val="0E101A"/>
        </w:rPr>
        <w:t>0</w:t>
      </w:r>
      <w:r w:rsidRPr="00DF0F85">
        <w:rPr>
          <w:rFonts w:ascii="Arial" w:hAnsi="Arial" w:cs="Arial"/>
          <w:color w:val="0E101A"/>
        </w:rPr>
        <w:t>) Another study directly compared dobutamine-stress echo (DSE) with myocardial perfusion scanning (MPS) and found comparable diagnostic accuracy for stress echocardiography and myocardial perfusion without any statistically significant difference. (3</w:t>
      </w:r>
      <w:r>
        <w:rPr>
          <w:rFonts w:ascii="Arial" w:hAnsi="Arial" w:cs="Arial"/>
          <w:color w:val="0E101A"/>
        </w:rPr>
        <w:t>1</w:t>
      </w:r>
      <w:r w:rsidRPr="00DF0F85">
        <w:rPr>
          <w:rFonts w:ascii="Arial" w:hAnsi="Arial" w:cs="Arial"/>
          <w:color w:val="0E101A"/>
        </w:rPr>
        <w:t>) However, poor acoustic windows due to obesity, chronic obstructive pulmonary disease (COPD), or chest wall deformities (pectus excavatum or carinatum) may adversely affect the diagnostic yield of stress echocardiography. (</w:t>
      </w:r>
      <w:r>
        <w:rPr>
          <w:rFonts w:ascii="Arial" w:hAnsi="Arial" w:cs="Arial"/>
          <w:color w:val="0E101A"/>
        </w:rPr>
        <w:t>29,</w:t>
      </w:r>
      <w:r w:rsidRPr="00DF0F85">
        <w:rPr>
          <w:rFonts w:ascii="Arial" w:hAnsi="Arial" w:cs="Arial"/>
          <w:color w:val="0E101A"/>
        </w:rPr>
        <w:t>3</w:t>
      </w:r>
      <w:r>
        <w:rPr>
          <w:rFonts w:ascii="Arial" w:hAnsi="Arial" w:cs="Arial"/>
          <w:color w:val="0E101A"/>
        </w:rPr>
        <w:t>0</w:t>
      </w:r>
      <w:r w:rsidRPr="00DF0F85">
        <w:rPr>
          <w:rFonts w:ascii="Arial" w:hAnsi="Arial" w:cs="Arial"/>
          <w:color w:val="0E101A"/>
        </w:rPr>
        <w:t>)</w:t>
      </w:r>
    </w:p>
    <w:p w14:paraId="24991940" w14:textId="77777777" w:rsidR="004942B6" w:rsidRPr="00DF0F85"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 </w:t>
      </w:r>
    </w:p>
    <w:p w14:paraId="206A6B6B" w14:textId="77777777" w:rsidR="004942B6" w:rsidRPr="00C26BC5" w:rsidRDefault="004942B6" w:rsidP="004942B6">
      <w:pPr>
        <w:pStyle w:val="Heading5"/>
        <w:spacing w:before="0" w:line="360" w:lineRule="auto"/>
        <w:jc w:val="both"/>
        <w:rPr>
          <w:rFonts w:ascii="Arial" w:hAnsi="Arial" w:cs="Arial"/>
          <w:color w:val="4472C4" w:themeColor="accent1"/>
          <w:sz w:val="24"/>
          <w:szCs w:val="24"/>
        </w:rPr>
      </w:pPr>
      <w:r w:rsidRPr="00C26BC5">
        <w:rPr>
          <w:rFonts w:ascii="Arial" w:hAnsi="Arial" w:cs="Arial"/>
          <w:color w:val="4472C4" w:themeColor="accent1"/>
          <w:sz w:val="24"/>
          <w:szCs w:val="24"/>
        </w:rPr>
        <w:t>1.6.1.3.3 Myocardial perfusion imaging (MPI): single photon emission computed tomography (SPECT) and positron emission tomography (PET)</w:t>
      </w:r>
    </w:p>
    <w:p w14:paraId="2DA7A012" w14:textId="5E5F1F65" w:rsidR="004942B6"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Regional myocardial perfusion can be assessed non-invasively by intravenous administration of technetium-99m labelled radioisotopes (sestamibi or tetrofosmin). The emitted radiation is detected with a gamma camera for single photon emission computed tomography (SPECT) or positron emission tomography (PET), either with pharmacological or exercise stress. (3</w:t>
      </w:r>
      <w:r>
        <w:rPr>
          <w:rFonts w:ascii="Arial" w:hAnsi="Arial" w:cs="Arial"/>
          <w:color w:val="0E101A"/>
        </w:rPr>
        <w:t>2</w:t>
      </w:r>
      <w:r w:rsidRPr="00DF0F85">
        <w:rPr>
          <w:rFonts w:ascii="Arial" w:hAnsi="Arial" w:cs="Arial"/>
          <w:color w:val="0E101A"/>
        </w:rPr>
        <w:t>) A reversible perfusion defect in the myocardium reflects inducible ischaemia. (3</w:t>
      </w:r>
      <w:r>
        <w:rPr>
          <w:rFonts w:ascii="Arial" w:hAnsi="Arial" w:cs="Arial"/>
          <w:color w:val="0E101A"/>
        </w:rPr>
        <w:t>2</w:t>
      </w:r>
      <w:r w:rsidRPr="00DF0F85">
        <w:rPr>
          <w:rFonts w:ascii="Arial" w:hAnsi="Arial" w:cs="Arial"/>
          <w:color w:val="0E101A"/>
        </w:rPr>
        <w:t xml:space="preserve">) Myocardial perfusion scan (MPS) has an excellent negative predictive value (NPV). In a study of 421 patients, a normal stress perfusion test was associated with </w:t>
      </w:r>
      <w:r w:rsidR="00C6126A">
        <w:rPr>
          <w:rFonts w:ascii="Arial" w:hAnsi="Arial" w:cs="Arial"/>
          <w:color w:val="0E101A"/>
        </w:rPr>
        <w:t xml:space="preserve">a </w:t>
      </w:r>
      <w:r w:rsidRPr="00DF0F85">
        <w:rPr>
          <w:rFonts w:ascii="Arial" w:hAnsi="Arial" w:cs="Arial"/>
          <w:color w:val="0E101A"/>
        </w:rPr>
        <w:t>&lt;1% risk of MACE or non-fatal myocardial infarction at 12 months. (3</w:t>
      </w:r>
      <w:r>
        <w:rPr>
          <w:rFonts w:ascii="Arial" w:hAnsi="Arial" w:cs="Arial"/>
          <w:color w:val="0E101A"/>
        </w:rPr>
        <w:t>2</w:t>
      </w:r>
      <w:r w:rsidRPr="00DF0F85">
        <w:rPr>
          <w:rFonts w:ascii="Arial" w:hAnsi="Arial" w:cs="Arial"/>
          <w:color w:val="0E101A"/>
        </w:rPr>
        <w:t>) The PACIFIC trial was the first trial (n=208) to perform a head-to-head comparison of PET, SPECT and CTCA. It revealed that PET had the highest diagnostic accuracy (85%) vs SPECT (77%) and CTCA (74%) in identifying hemodynamically significant stenosis</w:t>
      </w:r>
      <w:r>
        <w:rPr>
          <w:rFonts w:ascii="Arial" w:hAnsi="Arial" w:cs="Arial"/>
          <w:color w:val="0E101A"/>
        </w:rPr>
        <w:t>, judged</w:t>
      </w:r>
      <w:r w:rsidRPr="00DF0F85">
        <w:rPr>
          <w:rFonts w:ascii="Arial" w:hAnsi="Arial" w:cs="Arial"/>
          <w:color w:val="0E101A"/>
        </w:rPr>
        <w:t xml:space="preserve"> by FFR &lt;0.8. (3</w:t>
      </w:r>
      <w:r>
        <w:rPr>
          <w:rFonts w:ascii="Arial" w:hAnsi="Arial" w:cs="Arial"/>
          <w:color w:val="0E101A"/>
        </w:rPr>
        <w:t>3</w:t>
      </w:r>
      <w:r w:rsidRPr="00DF0F85">
        <w:rPr>
          <w:rFonts w:ascii="Arial" w:hAnsi="Arial" w:cs="Arial"/>
          <w:color w:val="0E101A"/>
        </w:rPr>
        <w:t>) A recently published meta-analysis showed that the sensitivity and specificity of SPECT to diagnose CAD are approximately 79% and 85%, respectively. (3</w:t>
      </w:r>
      <w:r>
        <w:rPr>
          <w:rFonts w:ascii="Arial" w:hAnsi="Arial" w:cs="Arial"/>
          <w:color w:val="0E101A"/>
        </w:rPr>
        <w:t>4</w:t>
      </w:r>
      <w:r w:rsidRPr="00DF0F85">
        <w:rPr>
          <w:rFonts w:ascii="Arial" w:hAnsi="Arial" w:cs="Arial"/>
          <w:color w:val="0E101A"/>
        </w:rPr>
        <w:t>) One of the significant limitations of SPECT is that it provides information on relative perfusion, which may lead to a false negative result in the presence of “balanced ischaemia”, commonly observed in left main stem (LMS) or triple vessel disease (3VD). (3</w:t>
      </w:r>
      <w:r>
        <w:rPr>
          <w:rFonts w:ascii="Arial" w:hAnsi="Arial" w:cs="Arial"/>
          <w:color w:val="0E101A"/>
        </w:rPr>
        <w:t>5</w:t>
      </w:r>
      <w:r w:rsidRPr="00DF0F85">
        <w:rPr>
          <w:rFonts w:ascii="Arial" w:hAnsi="Arial" w:cs="Arial"/>
          <w:color w:val="0E101A"/>
        </w:rPr>
        <w:t>) PET, despite its high spatial resolution and quantitative blood flow estimation ability, is limited by its high costs, availability, and shorter half-life tracers, which may pose some difficulty for stress imaging. (3</w:t>
      </w:r>
      <w:r>
        <w:rPr>
          <w:rFonts w:ascii="Arial" w:hAnsi="Arial" w:cs="Arial"/>
          <w:color w:val="0E101A"/>
        </w:rPr>
        <w:t>5</w:t>
      </w:r>
      <w:r w:rsidRPr="00DF0F85">
        <w:rPr>
          <w:rFonts w:ascii="Arial" w:hAnsi="Arial" w:cs="Arial"/>
          <w:color w:val="0E101A"/>
        </w:rPr>
        <w:t>) </w:t>
      </w:r>
    </w:p>
    <w:p w14:paraId="12B48EDC" w14:textId="77777777" w:rsidR="004942B6" w:rsidRPr="00DF0F85"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 </w:t>
      </w:r>
    </w:p>
    <w:p w14:paraId="33D949DE" w14:textId="77777777" w:rsidR="004942B6" w:rsidRPr="00C26BC5" w:rsidRDefault="004942B6" w:rsidP="004942B6">
      <w:pPr>
        <w:pStyle w:val="Heading5"/>
        <w:spacing w:before="0" w:line="360" w:lineRule="auto"/>
        <w:jc w:val="both"/>
        <w:rPr>
          <w:rFonts w:ascii="Arial" w:hAnsi="Arial" w:cs="Arial"/>
          <w:color w:val="4472C4" w:themeColor="accent1"/>
          <w:sz w:val="24"/>
          <w:szCs w:val="24"/>
        </w:rPr>
      </w:pPr>
      <w:r w:rsidRPr="00C26BC5">
        <w:rPr>
          <w:rFonts w:ascii="Arial" w:hAnsi="Arial" w:cs="Arial"/>
          <w:color w:val="4472C4" w:themeColor="accent1"/>
          <w:sz w:val="24"/>
          <w:szCs w:val="24"/>
        </w:rPr>
        <w:lastRenderedPageBreak/>
        <w:t>1.6.1.3.4 Stress cardiac magnetic resonance imaging (</w:t>
      </w:r>
      <w:r>
        <w:rPr>
          <w:rFonts w:ascii="Arial" w:hAnsi="Arial" w:cs="Arial"/>
          <w:color w:val="4472C4" w:themeColor="accent1"/>
          <w:sz w:val="24"/>
          <w:szCs w:val="24"/>
        </w:rPr>
        <w:t>s</w:t>
      </w:r>
      <w:r w:rsidRPr="00C26BC5">
        <w:rPr>
          <w:rFonts w:ascii="Arial" w:hAnsi="Arial" w:cs="Arial"/>
          <w:color w:val="4472C4" w:themeColor="accent1"/>
          <w:sz w:val="24"/>
          <w:szCs w:val="24"/>
        </w:rPr>
        <w:t>CMR)</w:t>
      </w:r>
    </w:p>
    <w:p w14:paraId="31F3891D" w14:textId="77777777" w:rsidR="004942B6" w:rsidRPr="00DF0F85" w:rsidRDefault="004942B6" w:rsidP="004942B6">
      <w:pPr>
        <w:pStyle w:val="NormalWeb"/>
        <w:spacing w:before="0" w:beforeAutospacing="0" w:after="0" w:afterAutospacing="0"/>
        <w:jc w:val="both"/>
        <w:rPr>
          <w:rFonts w:ascii="Arial" w:hAnsi="Arial" w:cs="Arial"/>
          <w:color w:val="0E101A"/>
        </w:rPr>
      </w:pPr>
      <w:r w:rsidRPr="00DF0F85">
        <w:rPr>
          <w:rFonts w:ascii="Arial" w:hAnsi="Arial" w:cs="Arial"/>
          <w:color w:val="0E101A"/>
        </w:rPr>
        <w:t>Stress cardiac magnetic resonance imaging (sCMR) has emerged as an imaging modality with high diagnostic accuracy for CAD, compared to other non-invasive imaging technologies, without ionising radiation. (3</w:t>
      </w:r>
      <w:r>
        <w:rPr>
          <w:rFonts w:ascii="Arial" w:hAnsi="Arial" w:cs="Arial"/>
          <w:color w:val="0E101A"/>
        </w:rPr>
        <w:t>6</w:t>
      </w:r>
      <w:r w:rsidRPr="00DF0F85">
        <w:rPr>
          <w:rFonts w:ascii="Arial" w:hAnsi="Arial" w:cs="Arial"/>
          <w:color w:val="0E101A"/>
        </w:rPr>
        <w:t>) The CE-MARC study was a large prospective trial in which 752 patients with suspected CCS were randomised to undergo stress CMR, SPECT or invasive coronary angiogram. Stress CMR showed superiority over SPECT in terms of sensitivity (86.5% CMR vs 66.5% SPECT) and negative predictive value (90.5% CMR vs 79.1% SPECT) for identifying underlying CAD. (3</w:t>
      </w:r>
      <w:r>
        <w:rPr>
          <w:rFonts w:ascii="Arial" w:hAnsi="Arial" w:cs="Arial"/>
          <w:color w:val="0E101A"/>
        </w:rPr>
        <w:t>7</w:t>
      </w:r>
      <w:r w:rsidRPr="00DF0F85">
        <w:rPr>
          <w:rFonts w:ascii="Arial" w:hAnsi="Arial" w:cs="Arial"/>
          <w:color w:val="0E101A"/>
        </w:rPr>
        <w:t>) In CE-MARC 2, stress CMR-based strategy caused a significant reduction in invasive coronary angiograms when compared to NICE guidelines-directed pathways (7.5% CMR vs 28.8% NICE), without any compelling differences in MACE (2.5% CMR vs 1.7% NICE) at 12 months follow up. (3</w:t>
      </w:r>
      <w:r>
        <w:rPr>
          <w:rFonts w:ascii="Arial" w:hAnsi="Arial" w:cs="Arial"/>
          <w:color w:val="0E101A"/>
        </w:rPr>
        <w:t>8</w:t>
      </w:r>
      <w:r w:rsidRPr="00DF0F85">
        <w:rPr>
          <w:rFonts w:ascii="Arial" w:hAnsi="Arial" w:cs="Arial"/>
          <w:color w:val="0E101A"/>
        </w:rPr>
        <w:t>)</w:t>
      </w:r>
      <w:r>
        <w:rPr>
          <w:rFonts w:ascii="Arial" w:hAnsi="Arial" w:cs="Arial"/>
          <w:color w:val="0E101A"/>
        </w:rPr>
        <w:t xml:space="preserve"> </w:t>
      </w:r>
    </w:p>
    <w:p w14:paraId="66DFF19A" w14:textId="77777777" w:rsidR="004942B6" w:rsidRPr="00DF0F85" w:rsidRDefault="004942B6" w:rsidP="00312A89">
      <w:pPr>
        <w:pStyle w:val="NormalWeb"/>
        <w:spacing w:before="0" w:beforeAutospacing="0" w:after="0" w:afterAutospacing="0"/>
        <w:jc w:val="both"/>
        <w:rPr>
          <w:rFonts w:ascii="Arial" w:hAnsi="Arial" w:cs="Arial"/>
          <w:color w:val="0E101A"/>
        </w:rPr>
      </w:pPr>
      <w:r w:rsidRPr="00DF0F85">
        <w:rPr>
          <w:rFonts w:ascii="Arial" w:hAnsi="Arial" w:cs="Arial"/>
          <w:color w:val="0E101A"/>
        </w:rPr>
        <w:t>Due to its high spatial resolution, large field of view, and ability to aid tissue characterisation, CMR can also add information about the left ventricular systolic function, perfusion, myocardial scarring, and viability in a single setting. (3</w:t>
      </w:r>
      <w:r>
        <w:rPr>
          <w:rFonts w:ascii="Arial" w:hAnsi="Arial" w:cs="Arial"/>
          <w:color w:val="0E101A"/>
        </w:rPr>
        <w:t>6</w:t>
      </w:r>
      <w:r w:rsidRPr="00DF0F85">
        <w:rPr>
          <w:rFonts w:ascii="Arial" w:hAnsi="Arial" w:cs="Arial"/>
          <w:color w:val="0E101A"/>
        </w:rPr>
        <w:t>) Morbid obesity (more than 150kg), claustrophobia, and inability to incorporate the exercise protocols for stress testing appear to be the only few limitations. (3</w:t>
      </w:r>
      <w:r>
        <w:rPr>
          <w:rFonts w:ascii="Arial" w:hAnsi="Arial" w:cs="Arial"/>
          <w:color w:val="0E101A"/>
        </w:rPr>
        <w:t>6</w:t>
      </w:r>
      <w:r w:rsidRPr="00DF0F85">
        <w:rPr>
          <w:rFonts w:ascii="Arial" w:hAnsi="Arial" w:cs="Arial"/>
          <w:color w:val="0E101A"/>
        </w:rPr>
        <w:t>)</w:t>
      </w:r>
    </w:p>
    <w:p w14:paraId="38449981" w14:textId="77777777" w:rsidR="004942B6" w:rsidRPr="0015504E" w:rsidRDefault="004942B6" w:rsidP="00312A89">
      <w:pPr>
        <w:spacing w:line="360" w:lineRule="auto"/>
      </w:pPr>
    </w:p>
    <w:p w14:paraId="37FBF0DD" w14:textId="6F240A13" w:rsidR="004942B6" w:rsidRDefault="004942B6" w:rsidP="00312A89">
      <w:pPr>
        <w:pStyle w:val="Heading2"/>
        <w:spacing w:line="360" w:lineRule="auto"/>
        <w:rPr>
          <w:rFonts w:ascii="Arial" w:hAnsi="Arial" w:cs="Arial"/>
          <w:color w:val="4472C4" w:themeColor="accent1"/>
          <w:sz w:val="24"/>
          <w:szCs w:val="24"/>
          <w:shd w:val="clear" w:color="auto" w:fill="FFFFFF"/>
        </w:rPr>
      </w:pPr>
      <w:bookmarkStart w:id="116" w:name="_Toc159613542"/>
      <w:bookmarkStart w:id="117" w:name="_Toc160981203"/>
      <w:bookmarkStart w:id="118" w:name="_Toc164675997"/>
      <w:bookmarkStart w:id="119" w:name="_Toc164680442"/>
      <w:bookmarkStart w:id="120" w:name="_Toc164681340"/>
      <w:bookmarkStart w:id="121" w:name="_Toc170075022"/>
      <w:bookmarkStart w:id="122" w:name="_Toc170076009"/>
      <w:bookmarkStart w:id="123" w:name="_Toc170577705"/>
      <w:bookmarkStart w:id="124" w:name="_Toc170579223"/>
      <w:bookmarkStart w:id="125" w:name="_Toc171203078"/>
      <w:bookmarkStart w:id="126" w:name="_Toc171203849"/>
      <w:r w:rsidRPr="002A0D5D">
        <w:rPr>
          <w:rFonts w:ascii="Arial" w:hAnsi="Arial" w:cs="Arial"/>
          <w:color w:val="4472C4" w:themeColor="accent1"/>
          <w:sz w:val="24"/>
          <w:szCs w:val="24"/>
          <w:shd w:val="clear" w:color="auto" w:fill="FFFFFF"/>
        </w:rPr>
        <w:t>1.6.2 Invasive Investigations</w:t>
      </w:r>
      <w:bookmarkEnd w:id="116"/>
      <w:bookmarkEnd w:id="117"/>
      <w:bookmarkEnd w:id="118"/>
      <w:bookmarkEnd w:id="119"/>
      <w:bookmarkEnd w:id="120"/>
      <w:bookmarkEnd w:id="121"/>
      <w:bookmarkEnd w:id="122"/>
      <w:bookmarkEnd w:id="123"/>
      <w:bookmarkEnd w:id="124"/>
      <w:bookmarkEnd w:id="125"/>
      <w:bookmarkEnd w:id="126"/>
    </w:p>
    <w:p w14:paraId="48C0B56F" w14:textId="77777777" w:rsidR="00312A89" w:rsidRPr="00312A89" w:rsidRDefault="00312A89" w:rsidP="00312A89"/>
    <w:p w14:paraId="57541CA9" w14:textId="77777777" w:rsidR="004942B6" w:rsidRPr="00C26BC5" w:rsidRDefault="004942B6" w:rsidP="00312A89">
      <w:pPr>
        <w:pStyle w:val="Heading4"/>
        <w:spacing w:line="360" w:lineRule="auto"/>
        <w:jc w:val="both"/>
        <w:rPr>
          <w:rFonts w:ascii="Arial" w:hAnsi="Arial" w:cs="Arial"/>
          <w:i w:val="0"/>
          <w:iCs w:val="0"/>
          <w:color w:val="4472C4" w:themeColor="accent1"/>
          <w:sz w:val="24"/>
          <w:szCs w:val="24"/>
          <w:shd w:val="clear" w:color="auto" w:fill="FFFFFF"/>
        </w:rPr>
      </w:pPr>
      <w:r w:rsidRPr="00C26BC5">
        <w:rPr>
          <w:rFonts w:ascii="Arial" w:hAnsi="Arial" w:cs="Arial"/>
          <w:i w:val="0"/>
          <w:iCs w:val="0"/>
          <w:color w:val="4472C4" w:themeColor="accent1"/>
          <w:sz w:val="24"/>
          <w:szCs w:val="24"/>
          <w:shd w:val="clear" w:color="auto" w:fill="FFFFFF"/>
        </w:rPr>
        <w:t>1.6.2.1 Invasive c</w:t>
      </w:r>
      <w:r w:rsidRPr="00C26BC5">
        <w:rPr>
          <w:rFonts w:ascii="Arial" w:hAnsi="Arial" w:cs="Arial"/>
          <w:i w:val="0"/>
          <w:iCs w:val="0"/>
          <w:color w:val="4472C4" w:themeColor="accent1"/>
          <w:sz w:val="24"/>
          <w:szCs w:val="24"/>
        </w:rPr>
        <w:t>oronary</w:t>
      </w:r>
      <w:r w:rsidRPr="00C26BC5">
        <w:rPr>
          <w:rFonts w:ascii="Arial" w:hAnsi="Arial" w:cs="Arial"/>
          <w:i w:val="0"/>
          <w:iCs w:val="0"/>
          <w:color w:val="4472C4" w:themeColor="accent1"/>
          <w:sz w:val="24"/>
          <w:szCs w:val="24"/>
          <w:shd w:val="clear" w:color="auto" w:fill="FFFFFF"/>
        </w:rPr>
        <w:t xml:space="preserve"> angiography (CAG)</w:t>
      </w:r>
    </w:p>
    <w:p w14:paraId="50DC5915" w14:textId="77777777" w:rsidR="004942B6" w:rsidRDefault="004942B6" w:rsidP="00312A89">
      <w:pPr>
        <w:spacing w:line="360" w:lineRule="auto"/>
        <w:jc w:val="both"/>
        <w:rPr>
          <w:rFonts w:ascii="Arial" w:hAnsi="Arial" w:cs="Arial"/>
          <w:sz w:val="24"/>
          <w:szCs w:val="24"/>
        </w:rPr>
      </w:pPr>
      <w:r w:rsidRPr="00C153AD">
        <w:rPr>
          <w:rFonts w:ascii="Arial" w:eastAsia="Times New Roman" w:hAnsi="Arial" w:cs="Arial"/>
          <w:sz w:val="24"/>
          <w:szCs w:val="24"/>
          <w:shd w:val="clear" w:color="auto" w:fill="FFFFFF"/>
          <w:lang w:eastAsia="en-GB"/>
        </w:rPr>
        <w:t>Sones and Shirley were the first to conduct a coronary angiogram (CAG) in 1960, which paved the way for the first coronary angioplasty performed by Andreas Grüntzig in 1977. (</w:t>
      </w:r>
      <w:r>
        <w:rPr>
          <w:rFonts w:ascii="Arial" w:eastAsia="Times New Roman" w:hAnsi="Arial" w:cs="Arial"/>
          <w:sz w:val="24"/>
          <w:szCs w:val="24"/>
          <w:shd w:val="clear" w:color="auto" w:fill="FFFFFF"/>
          <w:lang w:eastAsia="en-GB"/>
        </w:rPr>
        <w:t>39</w:t>
      </w:r>
      <w:r w:rsidRPr="00C153AD">
        <w:rPr>
          <w:rFonts w:ascii="Arial" w:eastAsia="Times New Roman" w:hAnsi="Arial" w:cs="Arial"/>
          <w:sz w:val="24"/>
          <w:szCs w:val="24"/>
          <w:shd w:val="clear" w:color="auto" w:fill="FFFFFF"/>
          <w:lang w:eastAsia="en-GB"/>
        </w:rPr>
        <w:t>) CAG is essentially a lumenogram by which coronary arteries can be evaluated for any narrowing by administering a contrast agent</w:t>
      </w:r>
      <w:r>
        <w:rPr>
          <w:rFonts w:ascii="Arial" w:eastAsia="Times New Roman" w:hAnsi="Arial" w:cs="Arial"/>
          <w:sz w:val="24"/>
          <w:szCs w:val="24"/>
          <w:shd w:val="clear" w:color="auto" w:fill="FFFFFF"/>
          <w:lang w:eastAsia="en-GB"/>
        </w:rPr>
        <w:t xml:space="preserve"> (see Fig 4)</w:t>
      </w:r>
      <w:r w:rsidRPr="00C153AD">
        <w:rPr>
          <w:rFonts w:ascii="Arial" w:eastAsia="Times New Roman" w:hAnsi="Arial" w:cs="Arial"/>
          <w:sz w:val="24"/>
          <w:szCs w:val="24"/>
          <w:shd w:val="clear" w:color="auto" w:fill="FFFFFF"/>
          <w:lang w:eastAsia="en-GB"/>
        </w:rPr>
        <w:t>. This can be performed through vascular access obtained via the radial or femoral artery. As per ESC guidelines, an invasive coronary angiogram should be reserved as the first line for patients with ACS or CCS with persistent anginal symptoms despite optimal medical therapy (OMT). (2</w:t>
      </w:r>
      <w:r>
        <w:rPr>
          <w:rFonts w:ascii="Arial" w:eastAsia="Times New Roman" w:hAnsi="Arial" w:cs="Arial"/>
          <w:sz w:val="24"/>
          <w:szCs w:val="24"/>
          <w:shd w:val="clear" w:color="auto" w:fill="FFFFFF"/>
          <w:lang w:eastAsia="en-GB"/>
        </w:rPr>
        <w:t>2</w:t>
      </w:r>
      <w:r w:rsidRPr="00C153AD">
        <w:rPr>
          <w:rFonts w:ascii="Arial" w:eastAsia="Times New Roman" w:hAnsi="Arial" w:cs="Arial"/>
          <w:sz w:val="24"/>
          <w:szCs w:val="24"/>
          <w:shd w:val="clear" w:color="auto" w:fill="FFFFFF"/>
          <w:lang w:eastAsia="en-GB"/>
        </w:rPr>
        <w:t xml:space="preserve">) Advancements in coronary angiogram techniques have substantially improved, reducing the risk of complications </w:t>
      </w:r>
      <w:r>
        <w:rPr>
          <w:rFonts w:ascii="Arial" w:eastAsia="Times New Roman" w:hAnsi="Arial" w:cs="Arial"/>
          <w:sz w:val="24"/>
          <w:szCs w:val="24"/>
          <w:shd w:val="clear" w:color="auto" w:fill="FFFFFF"/>
          <w:lang w:eastAsia="en-GB"/>
        </w:rPr>
        <w:t>(</w:t>
      </w:r>
      <w:r w:rsidRPr="00C153AD">
        <w:rPr>
          <w:rFonts w:ascii="Arial" w:eastAsia="Times New Roman" w:hAnsi="Arial" w:cs="Arial"/>
          <w:sz w:val="24"/>
          <w:szCs w:val="24"/>
          <w:shd w:val="clear" w:color="auto" w:fill="FFFFFF"/>
          <w:lang w:eastAsia="en-GB"/>
        </w:rPr>
        <w:t>estimated to be 0.1-0.2%</w:t>
      </w:r>
      <w:r>
        <w:rPr>
          <w:rFonts w:ascii="Arial" w:eastAsia="Times New Roman" w:hAnsi="Arial" w:cs="Arial"/>
          <w:sz w:val="24"/>
          <w:szCs w:val="24"/>
          <w:shd w:val="clear" w:color="auto" w:fill="FFFFFF"/>
          <w:lang w:eastAsia="en-GB"/>
        </w:rPr>
        <w:t>)</w:t>
      </w:r>
      <w:r w:rsidRPr="00C153AD">
        <w:rPr>
          <w:rFonts w:ascii="Arial" w:eastAsia="Times New Roman" w:hAnsi="Arial" w:cs="Arial"/>
          <w:sz w:val="24"/>
          <w:szCs w:val="24"/>
          <w:shd w:val="clear" w:color="auto" w:fill="FFFFFF"/>
          <w:lang w:eastAsia="en-GB"/>
        </w:rPr>
        <w:t>. (4</w:t>
      </w:r>
      <w:r>
        <w:rPr>
          <w:rFonts w:ascii="Arial" w:eastAsia="Times New Roman" w:hAnsi="Arial" w:cs="Arial"/>
          <w:sz w:val="24"/>
          <w:szCs w:val="24"/>
          <w:shd w:val="clear" w:color="auto" w:fill="FFFFFF"/>
          <w:lang w:eastAsia="en-GB"/>
        </w:rPr>
        <w:t>0</w:t>
      </w:r>
      <w:r w:rsidRPr="00C153AD">
        <w:rPr>
          <w:rFonts w:ascii="Arial" w:eastAsia="Times New Roman" w:hAnsi="Arial" w:cs="Arial"/>
          <w:sz w:val="24"/>
          <w:szCs w:val="24"/>
          <w:shd w:val="clear" w:color="auto" w:fill="FFFFFF"/>
          <w:lang w:eastAsia="en-GB"/>
        </w:rPr>
        <w:t xml:space="preserve">) This is especially true for the radial approach, as revealed in the RIVAL study (7051 patients), which showed a lower risk of major bleeding (1.9% vs 4.5%) and life-threatening vascular complications (1.4% vs 3.7%) in comparison with the femoral </w:t>
      </w:r>
      <w:r w:rsidRPr="00C153AD">
        <w:rPr>
          <w:rFonts w:ascii="Arial" w:eastAsia="Times New Roman" w:hAnsi="Arial" w:cs="Arial"/>
          <w:sz w:val="24"/>
          <w:szCs w:val="24"/>
          <w:shd w:val="clear" w:color="auto" w:fill="FFFFFF"/>
          <w:lang w:eastAsia="en-GB"/>
        </w:rPr>
        <w:lastRenderedPageBreak/>
        <w:t>approach. (4</w:t>
      </w:r>
      <w:r>
        <w:rPr>
          <w:rFonts w:ascii="Arial" w:eastAsia="Times New Roman" w:hAnsi="Arial" w:cs="Arial"/>
          <w:sz w:val="24"/>
          <w:szCs w:val="24"/>
          <w:shd w:val="clear" w:color="auto" w:fill="FFFFFF"/>
          <w:lang w:eastAsia="en-GB"/>
        </w:rPr>
        <w:t>1</w:t>
      </w:r>
      <w:r w:rsidRPr="00C153AD">
        <w:rPr>
          <w:rFonts w:ascii="Arial" w:eastAsia="Times New Roman" w:hAnsi="Arial" w:cs="Arial"/>
          <w:sz w:val="24"/>
          <w:szCs w:val="24"/>
          <w:shd w:val="clear" w:color="auto" w:fill="FFFFFF"/>
          <w:lang w:eastAsia="en-GB"/>
        </w:rPr>
        <w:t>) Functional assessment should also be considered in addition to invasive CAG, especially in multivessel disease (MVD) or if estimated stenosis is 50-90% due to chances of mismatch between the visual-functional significance of the lesions. (1</w:t>
      </w:r>
      <w:r>
        <w:rPr>
          <w:rFonts w:ascii="Arial" w:eastAsia="Times New Roman" w:hAnsi="Arial" w:cs="Arial"/>
          <w:sz w:val="24"/>
          <w:szCs w:val="24"/>
          <w:shd w:val="clear" w:color="auto" w:fill="FFFFFF"/>
          <w:lang w:eastAsia="en-GB"/>
        </w:rPr>
        <w:t>4</w:t>
      </w:r>
      <w:r w:rsidRPr="00C153AD">
        <w:rPr>
          <w:rFonts w:ascii="Arial" w:eastAsia="Times New Roman" w:hAnsi="Arial" w:cs="Arial"/>
          <w:sz w:val="24"/>
          <w:szCs w:val="24"/>
          <w:shd w:val="clear" w:color="auto" w:fill="FFFFFF"/>
          <w:lang w:eastAsia="en-GB"/>
        </w:rPr>
        <w:t>)</w:t>
      </w:r>
    </w:p>
    <w:p w14:paraId="305264BB" w14:textId="77777777" w:rsidR="004942B6" w:rsidRDefault="004942B6" w:rsidP="004942B6">
      <w:pPr>
        <w:pStyle w:val="Heading2"/>
        <w:rPr>
          <w:rFonts w:ascii="Arial" w:hAnsi="Arial" w:cs="Arial"/>
          <w:color w:val="auto"/>
          <w:sz w:val="24"/>
          <w:szCs w:val="24"/>
        </w:rPr>
      </w:pPr>
    </w:p>
    <w:p w14:paraId="63EF1533" w14:textId="77777777" w:rsidR="004942B6" w:rsidRDefault="004942B6" w:rsidP="004942B6">
      <w:pPr>
        <w:keepNext/>
      </w:pPr>
      <w:r>
        <w:rPr>
          <w:noProof/>
          <w:lang w:eastAsia="en-GB"/>
        </w:rPr>
        <w:drawing>
          <wp:inline distT="0" distB="0" distL="0" distR="0" wp14:anchorId="7362245E" wp14:editId="171A1260">
            <wp:extent cx="6075009" cy="4628148"/>
            <wp:effectExtent l="0" t="0" r="0" b="0"/>
            <wp:docPr id="2053220230" name="Picture 2053220230" descr="A collage of images of a ve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20230" name="Picture 5" descr="A collage of images of a vein&#10;&#10;Description automatically generated"/>
                    <pic:cNvPicPr/>
                  </pic:nvPicPr>
                  <pic:blipFill rotWithShape="1">
                    <a:blip r:embed="rId15" cstate="print">
                      <a:extLst>
                        <a:ext uri="{BEBA8EAE-BF5A-486C-A8C5-ECC9F3942E4B}">
                          <a14:imgProps xmlns:a14="http://schemas.microsoft.com/office/drawing/2010/main">
                            <a14:imgLayer r:embed="rId1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739" t="3400" r="8475" b="3232"/>
                    <a:stretch/>
                  </pic:blipFill>
                  <pic:spPr bwMode="auto">
                    <a:xfrm>
                      <a:off x="0" y="0"/>
                      <a:ext cx="6081734" cy="4633271"/>
                    </a:xfrm>
                    <a:prstGeom prst="rect">
                      <a:avLst/>
                    </a:prstGeom>
                    <a:ln>
                      <a:noFill/>
                    </a:ln>
                    <a:extLst>
                      <a:ext uri="{53640926-AAD7-44D8-BBD7-CCE9431645EC}">
                        <a14:shadowObscured xmlns:a14="http://schemas.microsoft.com/office/drawing/2010/main"/>
                      </a:ext>
                    </a:extLst>
                  </pic:spPr>
                </pic:pic>
              </a:graphicData>
            </a:graphic>
          </wp:inline>
        </w:drawing>
      </w:r>
    </w:p>
    <w:p w14:paraId="4B0B6D49" w14:textId="7BD65610" w:rsidR="00633EDB" w:rsidRPr="00241053" w:rsidRDefault="004942B6" w:rsidP="00241053">
      <w:pPr>
        <w:pStyle w:val="Caption"/>
        <w:jc w:val="both"/>
        <w:rPr>
          <w:rFonts w:ascii="Arial" w:hAnsi="Arial" w:cs="Arial"/>
          <w:color w:val="auto"/>
        </w:rPr>
      </w:pPr>
      <w:bookmarkStart w:id="127" w:name="_Toc153724899"/>
      <w:bookmarkStart w:id="128" w:name="_Toc159318485"/>
      <w:bookmarkStart w:id="129" w:name="_Toc159612011"/>
      <w:bookmarkStart w:id="130" w:name="_Toc160982657"/>
      <w:bookmarkStart w:id="131" w:name="_Toc164697482"/>
      <w:bookmarkStart w:id="132" w:name="_Toc170744564"/>
      <w:bookmarkStart w:id="133" w:name="_Toc196153195"/>
      <w:r w:rsidRPr="00E42491">
        <w:rPr>
          <w:rFonts w:ascii="Arial" w:hAnsi="Arial" w:cs="Arial"/>
          <w:b/>
          <w:bCs/>
          <w:color w:val="auto"/>
        </w:rPr>
        <w:t xml:space="preserve">Figure </w:t>
      </w:r>
      <w:r w:rsidRPr="00E42491">
        <w:rPr>
          <w:rFonts w:ascii="Arial" w:hAnsi="Arial" w:cs="Arial"/>
          <w:b/>
          <w:bCs/>
          <w:color w:val="auto"/>
        </w:rPr>
        <w:fldChar w:fldCharType="begin"/>
      </w:r>
      <w:r w:rsidRPr="00E42491">
        <w:rPr>
          <w:rFonts w:ascii="Arial" w:hAnsi="Arial" w:cs="Arial"/>
          <w:b/>
          <w:bCs/>
          <w:color w:val="auto"/>
        </w:rPr>
        <w:instrText xml:space="preserve"> SEQ Figure \* ARABIC </w:instrText>
      </w:r>
      <w:r w:rsidRPr="00E42491">
        <w:rPr>
          <w:rFonts w:ascii="Arial" w:hAnsi="Arial" w:cs="Arial"/>
          <w:b/>
          <w:bCs/>
          <w:color w:val="auto"/>
        </w:rPr>
        <w:fldChar w:fldCharType="separate"/>
      </w:r>
      <w:r w:rsidR="001823B4">
        <w:rPr>
          <w:rFonts w:ascii="Arial" w:hAnsi="Arial" w:cs="Arial"/>
          <w:b/>
          <w:bCs/>
          <w:noProof/>
          <w:color w:val="auto"/>
        </w:rPr>
        <w:t>3</w:t>
      </w:r>
      <w:r w:rsidRPr="00E42491">
        <w:rPr>
          <w:rFonts w:ascii="Arial" w:hAnsi="Arial" w:cs="Arial"/>
          <w:b/>
          <w:bCs/>
          <w:color w:val="auto"/>
        </w:rPr>
        <w:fldChar w:fldCharType="end"/>
      </w:r>
      <w:r w:rsidRPr="00E42491">
        <w:rPr>
          <w:rFonts w:ascii="Arial" w:hAnsi="Arial" w:cs="Arial"/>
          <w:color w:val="auto"/>
        </w:rPr>
        <w:t>: CAG demonstrating normal coronary arteries.</w:t>
      </w:r>
      <w:r w:rsidRPr="00E42491">
        <w:rPr>
          <w:rFonts w:ascii="Arial" w:hAnsi="Arial" w:cs="Arial"/>
          <w:b/>
          <w:bCs/>
          <w:color w:val="auto"/>
          <w:sz w:val="22"/>
          <w:szCs w:val="22"/>
        </w:rPr>
        <w:t xml:space="preserve"> A</w:t>
      </w:r>
      <w:r w:rsidRPr="00E42491">
        <w:rPr>
          <w:rFonts w:ascii="Arial" w:hAnsi="Arial" w:cs="Arial"/>
          <w:color w:val="auto"/>
        </w:rPr>
        <w:t xml:space="preserve"> and </w:t>
      </w:r>
      <w:r w:rsidRPr="00E42491">
        <w:rPr>
          <w:rFonts w:ascii="Arial" w:hAnsi="Arial" w:cs="Arial"/>
          <w:b/>
          <w:bCs/>
          <w:color w:val="auto"/>
          <w:sz w:val="22"/>
          <w:szCs w:val="22"/>
        </w:rPr>
        <w:t>B</w:t>
      </w:r>
      <w:r w:rsidRPr="00E42491">
        <w:rPr>
          <w:rFonts w:ascii="Arial" w:hAnsi="Arial" w:cs="Arial"/>
          <w:color w:val="auto"/>
        </w:rPr>
        <w:t xml:space="preserve"> - Left coronary artery. </w:t>
      </w:r>
      <w:r w:rsidRPr="00E42491">
        <w:rPr>
          <w:rFonts w:ascii="Arial" w:hAnsi="Arial" w:cs="Arial"/>
          <w:b/>
          <w:bCs/>
          <w:color w:val="auto"/>
          <w:sz w:val="22"/>
          <w:szCs w:val="22"/>
        </w:rPr>
        <w:t xml:space="preserve">C </w:t>
      </w:r>
      <w:r w:rsidRPr="00E42491">
        <w:rPr>
          <w:rFonts w:ascii="Arial" w:hAnsi="Arial" w:cs="Arial"/>
          <w:color w:val="auto"/>
        </w:rPr>
        <w:t>– Right coronary artery</w:t>
      </w:r>
      <w:bookmarkEnd w:id="127"/>
      <w:bookmarkEnd w:id="128"/>
      <w:bookmarkEnd w:id="129"/>
      <w:bookmarkEnd w:id="130"/>
      <w:bookmarkEnd w:id="131"/>
      <w:bookmarkEnd w:id="132"/>
      <w:bookmarkEnd w:id="133"/>
    </w:p>
    <w:p w14:paraId="5CDE1BBD" w14:textId="35A30BE0" w:rsidR="004942B6" w:rsidRPr="007515E2" w:rsidRDefault="004942B6" w:rsidP="004942B6">
      <w:pPr>
        <w:pStyle w:val="Heading2"/>
        <w:rPr>
          <w:rFonts w:ascii="Arial" w:hAnsi="Arial" w:cs="Arial"/>
          <w:color w:val="4472C4" w:themeColor="accent1"/>
          <w:sz w:val="28"/>
          <w:szCs w:val="28"/>
        </w:rPr>
      </w:pPr>
      <w:bookmarkStart w:id="134" w:name="_Toc171203850"/>
      <w:r w:rsidRPr="007515E2">
        <w:rPr>
          <w:rFonts w:ascii="Arial" w:hAnsi="Arial" w:cs="Arial"/>
          <w:color w:val="4472C4" w:themeColor="accent1"/>
          <w:sz w:val="28"/>
          <w:szCs w:val="28"/>
        </w:rPr>
        <w:lastRenderedPageBreak/>
        <w:t>1.7 Treatment for coronary artery disease</w:t>
      </w:r>
      <w:bookmarkEnd w:id="134"/>
    </w:p>
    <w:p w14:paraId="4FDAFECC" w14:textId="77777777" w:rsidR="004942B6" w:rsidRPr="0052241B" w:rsidRDefault="004942B6" w:rsidP="004942B6">
      <w:pPr>
        <w:pStyle w:val="Heading3"/>
        <w:spacing w:before="0" w:line="360" w:lineRule="auto"/>
        <w:jc w:val="both"/>
        <w:rPr>
          <w:rFonts w:ascii="Arial" w:hAnsi="Arial" w:cs="Arial"/>
          <w:color w:val="4472C4" w:themeColor="accent1"/>
          <w:sz w:val="24"/>
          <w:szCs w:val="24"/>
        </w:rPr>
      </w:pPr>
    </w:p>
    <w:p w14:paraId="1F6DA97C" w14:textId="77777777" w:rsidR="004942B6" w:rsidRPr="0052241B" w:rsidRDefault="004942B6" w:rsidP="004942B6">
      <w:pPr>
        <w:pStyle w:val="Heading3"/>
        <w:spacing w:before="0" w:line="360" w:lineRule="auto"/>
        <w:jc w:val="both"/>
        <w:rPr>
          <w:rFonts w:ascii="Arial" w:hAnsi="Arial" w:cs="Arial"/>
          <w:color w:val="4472C4" w:themeColor="accent1"/>
          <w:sz w:val="24"/>
          <w:szCs w:val="24"/>
        </w:rPr>
      </w:pPr>
      <w:bookmarkStart w:id="135" w:name="_Toc159613544"/>
      <w:bookmarkStart w:id="136" w:name="_Toc160981205"/>
      <w:bookmarkStart w:id="137" w:name="_Toc164675999"/>
      <w:bookmarkStart w:id="138" w:name="_Toc164680444"/>
      <w:bookmarkStart w:id="139" w:name="_Toc164681342"/>
      <w:bookmarkStart w:id="140" w:name="_Toc170075024"/>
      <w:bookmarkStart w:id="141" w:name="_Toc170076011"/>
      <w:bookmarkStart w:id="142" w:name="_Toc170577707"/>
      <w:bookmarkStart w:id="143" w:name="_Toc170579225"/>
      <w:bookmarkStart w:id="144" w:name="_Toc171203080"/>
      <w:bookmarkStart w:id="145" w:name="_Toc171203851"/>
      <w:r w:rsidRPr="0052241B">
        <w:rPr>
          <w:rFonts w:ascii="Arial" w:hAnsi="Arial" w:cs="Arial"/>
          <w:color w:val="4472C4" w:themeColor="accent1"/>
          <w:sz w:val="24"/>
          <w:szCs w:val="24"/>
        </w:rPr>
        <w:t>1.7.1 Lifestyle modification</w:t>
      </w:r>
      <w:bookmarkEnd w:id="135"/>
      <w:bookmarkEnd w:id="136"/>
      <w:bookmarkEnd w:id="137"/>
      <w:bookmarkEnd w:id="138"/>
      <w:bookmarkEnd w:id="139"/>
      <w:bookmarkEnd w:id="140"/>
      <w:bookmarkEnd w:id="141"/>
      <w:bookmarkEnd w:id="142"/>
      <w:bookmarkEnd w:id="143"/>
      <w:bookmarkEnd w:id="144"/>
      <w:bookmarkEnd w:id="145"/>
    </w:p>
    <w:p w14:paraId="4D0BB790" w14:textId="77777777" w:rsidR="004942B6" w:rsidRPr="0052241B" w:rsidRDefault="004942B6" w:rsidP="004942B6">
      <w:pPr>
        <w:pStyle w:val="Heading3"/>
        <w:spacing w:before="0" w:line="360" w:lineRule="auto"/>
        <w:jc w:val="both"/>
        <w:rPr>
          <w:rFonts w:ascii="Arial" w:hAnsi="Arial" w:cs="Arial"/>
          <w:color w:val="0E101A"/>
          <w:sz w:val="24"/>
          <w:szCs w:val="24"/>
        </w:rPr>
      </w:pPr>
      <w:bookmarkStart w:id="146" w:name="_Toc152252891"/>
      <w:bookmarkStart w:id="147" w:name="_Toc152337457"/>
      <w:bookmarkStart w:id="148" w:name="_Toc152340291"/>
      <w:bookmarkStart w:id="149" w:name="_Toc152341275"/>
      <w:bookmarkStart w:id="150" w:name="_Toc152490681"/>
      <w:bookmarkStart w:id="151" w:name="_Toc152596802"/>
      <w:bookmarkStart w:id="152" w:name="_Toc153727011"/>
      <w:bookmarkStart w:id="153" w:name="_Toc153740215"/>
      <w:bookmarkStart w:id="154" w:name="_Toc159320099"/>
      <w:bookmarkStart w:id="155" w:name="_Toc159609649"/>
      <w:bookmarkStart w:id="156" w:name="_Toc159613545"/>
      <w:bookmarkStart w:id="157" w:name="_Toc160981206"/>
      <w:bookmarkStart w:id="158" w:name="_Toc164670787"/>
      <w:bookmarkStart w:id="159" w:name="_Toc164670974"/>
      <w:bookmarkStart w:id="160" w:name="_Toc164676000"/>
      <w:bookmarkStart w:id="161" w:name="_Toc164680445"/>
      <w:bookmarkStart w:id="162" w:name="_Toc164681343"/>
      <w:bookmarkStart w:id="163" w:name="_Toc170075025"/>
      <w:bookmarkStart w:id="164" w:name="_Toc170076012"/>
      <w:bookmarkStart w:id="165" w:name="_Toc170577708"/>
      <w:bookmarkStart w:id="166" w:name="_Toc170579226"/>
      <w:bookmarkStart w:id="167" w:name="_Toc171203081"/>
      <w:bookmarkStart w:id="168" w:name="_Toc171203852"/>
      <w:r w:rsidRPr="0052241B">
        <w:rPr>
          <w:rFonts w:ascii="Arial" w:hAnsi="Arial" w:cs="Arial"/>
          <w:color w:val="0E101A"/>
          <w:sz w:val="24"/>
          <w:szCs w:val="24"/>
        </w:rPr>
        <w:t>Implementing healthy lifestyle changes (regular physical exercise, healthy body mass index, stopping smoking) deserves keen attention due to the high potential gains by minimal spending and benefits that could be evident within six months. (42) Smoking cessation may lead to an overall 36% reduction in cardiovascular mortality. (43) Regular exercise (30-60 minutes of aerobic activity for more than five days/week) can reduce MACE by 14-17%. (44) The ESC recommendations on cardiovascular disease (CVD) prevention in clinical practice serve as an excellent guide to create an impact on CAD primary prevention in the real world. (42)</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r w:rsidRPr="0052241B">
        <w:rPr>
          <w:rFonts w:ascii="Arial" w:hAnsi="Arial" w:cs="Arial"/>
          <w:color w:val="0E101A"/>
          <w:sz w:val="24"/>
          <w:szCs w:val="24"/>
        </w:rPr>
        <w:t> </w:t>
      </w:r>
    </w:p>
    <w:p w14:paraId="558DEE05" w14:textId="77777777" w:rsidR="004942B6" w:rsidRPr="0052241B" w:rsidRDefault="004942B6" w:rsidP="004942B6">
      <w:pPr>
        <w:rPr>
          <w:sz w:val="24"/>
          <w:szCs w:val="24"/>
        </w:rPr>
      </w:pPr>
    </w:p>
    <w:p w14:paraId="40F1266F" w14:textId="77777777" w:rsidR="004942B6" w:rsidRPr="0052241B" w:rsidRDefault="004942B6" w:rsidP="004942B6">
      <w:pPr>
        <w:pStyle w:val="Heading3"/>
        <w:rPr>
          <w:rFonts w:ascii="Arial" w:hAnsi="Arial" w:cs="Arial"/>
          <w:color w:val="4472C4" w:themeColor="accent1"/>
          <w:sz w:val="24"/>
          <w:szCs w:val="24"/>
        </w:rPr>
      </w:pPr>
      <w:bookmarkStart w:id="169" w:name="_Toc159613546"/>
      <w:bookmarkStart w:id="170" w:name="_Toc160981207"/>
      <w:bookmarkStart w:id="171" w:name="_Toc164676001"/>
      <w:bookmarkStart w:id="172" w:name="_Toc164680446"/>
      <w:bookmarkStart w:id="173" w:name="_Toc164681344"/>
      <w:bookmarkStart w:id="174" w:name="_Toc170075026"/>
      <w:bookmarkStart w:id="175" w:name="_Toc170076013"/>
      <w:bookmarkStart w:id="176" w:name="_Toc170577709"/>
      <w:bookmarkStart w:id="177" w:name="_Toc170579227"/>
      <w:bookmarkStart w:id="178" w:name="_Toc171203082"/>
      <w:bookmarkStart w:id="179" w:name="_Toc171203853"/>
      <w:r w:rsidRPr="0052241B">
        <w:rPr>
          <w:rFonts w:ascii="Arial" w:hAnsi="Arial" w:cs="Arial"/>
          <w:color w:val="4472C4" w:themeColor="accent1"/>
          <w:sz w:val="24"/>
          <w:szCs w:val="24"/>
        </w:rPr>
        <w:t>1.7.2 Optimal medical therapy (OMT)</w:t>
      </w:r>
      <w:bookmarkEnd w:id="169"/>
      <w:bookmarkEnd w:id="170"/>
      <w:bookmarkEnd w:id="171"/>
      <w:bookmarkEnd w:id="172"/>
      <w:bookmarkEnd w:id="173"/>
      <w:bookmarkEnd w:id="174"/>
      <w:bookmarkEnd w:id="175"/>
      <w:bookmarkEnd w:id="176"/>
      <w:bookmarkEnd w:id="177"/>
      <w:bookmarkEnd w:id="178"/>
      <w:bookmarkEnd w:id="179"/>
    </w:p>
    <w:p w14:paraId="7E5C4A62" w14:textId="77777777" w:rsidR="004942B6" w:rsidRPr="0052241B" w:rsidRDefault="004942B6" w:rsidP="004942B6">
      <w:pPr>
        <w:jc w:val="both"/>
        <w:rPr>
          <w:rFonts w:ascii="Arial" w:hAnsi="Arial" w:cs="Arial"/>
          <w:color w:val="4472C4" w:themeColor="accent1"/>
          <w:sz w:val="24"/>
          <w:szCs w:val="24"/>
        </w:rPr>
      </w:pPr>
    </w:p>
    <w:p w14:paraId="359E9E8B" w14:textId="77777777" w:rsidR="004942B6" w:rsidRPr="0052241B" w:rsidRDefault="004942B6" w:rsidP="004942B6">
      <w:pPr>
        <w:pStyle w:val="Heading4"/>
        <w:spacing w:line="360" w:lineRule="auto"/>
        <w:rPr>
          <w:rFonts w:ascii="Arial" w:hAnsi="Arial" w:cs="Arial"/>
          <w:i w:val="0"/>
          <w:iCs w:val="0"/>
          <w:color w:val="4472C4" w:themeColor="accent1"/>
          <w:sz w:val="24"/>
          <w:szCs w:val="24"/>
        </w:rPr>
      </w:pPr>
      <w:r w:rsidRPr="0052241B">
        <w:rPr>
          <w:rFonts w:ascii="Arial" w:hAnsi="Arial" w:cs="Arial"/>
          <w:i w:val="0"/>
          <w:iCs w:val="0"/>
          <w:color w:val="4472C4" w:themeColor="accent1"/>
          <w:sz w:val="24"/>
          <w:szCs w:val="24"/>
        </w:rPr>
        <w:t>1.7.2.1 Antiplatelet agents</w:t>
      </w:r>
    </w:p>
    <w:p w14:paraId="21350799" w14:textId="0C0C2B4A" w:rsidR="004942B6" w:rsidRPr="0052241B" w:rsidRDefault="004942B6" w:rsidP="004942B6">
      <w:pPr>
        <w:spacing w:line="360" w:lineRule="auto"/>
        <w:jc w:val="both"/>
        <w:rPr>
          <w:rFonts w:ascii="Arial" w:hAnsi="Arial" w:cs="Arial"/>
          <w:sz w:val="24"/>
          <w:szCs w:val="24"/>
        </w:rPr>
      </w:pPr>
      <w:r w:rsidRPr="0052241B">
        <w:rPr>
          <w:rFonts w:ascii="Arial" w:hAnsi="Arial" w:cs="Arial"/>
          <w:sz w:val="24"/>
          <w:szCs w:val="24"/>
        </w:rPr>
        <w:t>The antiplatelet agent, aspirin, and the combination of it with a P2Y12 inhibitor (clopidogrel, ticagrelor or prasugrel) (dual antiplatelet agents; DAPT) are the mainstay of treatment in ACS, and for those undergoing revascularisation with angioplasty in CCS. Aspirin has been an important drug for decades in CAD, with a role in secondary prevention</w:t>
      </w:r>
      <w:r w:rsidR="0052241B">
        <w:rPr>
          <w:rFonts w:ascii="Arial" w:hAnsi="Arial" w:cs="Arial"/>
          <w:sz w:val="24"/>
          <w:szCs w:val="24"/>
        </w:rPr>
        <w:t>.</w:t>
      </w:r>
      <w:r w:rsidRPr="0052241B">
        <w:rPr>
          <w:rFonts w:ascii="Arial" w:hAnsi="Arial" w:cs="Arial"/>
          <w:sz w:val="24"/>
          <w:szCs w:val="24"/>
        </w:rPr>
        <w:t xml:space="preserve"> (45) During maintenance therapy, ticagrelor provides a more reliable and consistent level of P2Y12 inhibition, and a more rapid onset of the antiplatelet effect than clopidogrel. (46,47) Similarly, prasugrel has a more predictable, swift, and potent platelet switch-off effect than clopidogrel, at the expense of slightly higher bleeding events. (48) Usually, DAPT is recommended for six months in CCS patients (PCI-treated) and 12 months after an ACS, with limited evidence for Ticagrelor continuation on a long-term, in a lower dose of 60mg twice daily, for higher ischaemic-risk patients. (49)</w:t>
      </w:r>
    </w:p>
    <w:p w14:paraId="0A714EE7" w14:textId="77777777" w:rsidR="004942B6" w:rsidRDefault="004942B6" w:rsidP="004942B6">
      <w:pPr>
        <w:spacing w:line="360" w:lineRule="auto"/>
        <w:jc w:val="both"/>
        <w:rPr>
          <w:rFonts w:ascii="Arial" w:hAnsi="Arial" w:cs="Arial"/>
          <w:sz w:val="24"/>
          <w:szCs w:val="24"/>
        </w:rPr>
      </w:pPr>
    </w:p>
    <w:p w14:paraId="37ECB0FC" w14:textId="77777777" w:rsidR="004942B6" w:rsidRPr="00EE6A83" w:rsidRDefault="004942B6" w:rsidP="004942B6">
      <w:pPr>
        <w:spacing w:line="360" w:lineRule="auto"/>
        <w:jc w:val="both"/>
        <w:rPr>
          <w:rFonts w:ascii="Arial" w:hAnsi="Arial" w:cs="Arial"/>
          <w:color w:val="4472C4" w:themeColor="accent1"/>
          <w:sz w:val="24"/>
          <w:szCs w:val="24"/>
        </w:rPr>
      </w:pPr>
      <w:r w:rsidRPr="00EE6A83">
        <w:rPr>
          <w:rFonts w:ascii="Arial" w:hAnsi="Arial" w:cs="Arial"/>
          <w:color w:val="4472C4" w:themeColor="accent1"/>
          <w:sz w:val="24"/>
          <w:szCs w:val="24"/>
        </w:rPr>
        <w:t>1.7.2.2 Anti-anginal medications</w:t>
      </w:r>
    </w:p>
    <w:p w14:paraId="0E4E8ED0" w14:textId="77777777" w:rsidR="004942B6" w:rsidRDefault="004942B6" w:rsidP="004942B6">
      <w:pPr>
        <w:spacing w:line="360" w:lineRule="auto"/>
        <w:jc w:val="both"/>
        <w:rPr>
          <w:rFonts w:ascii="Arial" w:hAnsi="Arial" w:cs="Arial"/>
          <w:sz w:val="24"/>
          <w:szCs w:val="24"/>
        </w:rPr>
      </w:pPr>
      <w:r w:rsidRPr="00431638">
        <w:rPr>
          <w:rFonts w:ascii="Arial" w:hAnsi="Arial" w:cs="Arial"/>
          <w:sz w:val="24"/>
          <w:szCs w:val="24"/>
        </w:rPr>
        <w:t>Anti-anginal drugs mainly improve the symptoms of effort angina but have limited benefits in CAD in reducing MACE in patients without left ventricular dysfunction (LVSD). (</w:t>
      </w:r>
      <w:r>
        <w:rPr>
          <w:rFonts w:ascii="Arial" w:hAnsi="Arial" w:cs="Arial"/>
          <w:sz w:val="24"/>
          <w:szCs w:val="24"/>
        </w:rPr>
        <w:t>22</w:t>
      </w:r>
      <w:r w:rsidRPr="00431638">
        <w:rPr>
          <w:rFonts w:ascii="Arial" w:hAnsi="Arial" w:cs="Arial"/>
          <w:sz w:val="24"/>
          <w:szCs w:val="24"/>
        </w:rPr>
        <w:t xml:space="preserve">) Beta-blockers and calcium-channel blockers are considered the first-line </w:t>
      </w:r>
      <w:r w:rsidRPr="00431638">
        <w:rPr>
          <w:rFonts w:ascii="Arial" w:hAnsi="Arial" w:cs="Arial"/>
          <w:sz w:val="24"/>
          <w:szCs w:val="24"/>
        </w:rPr>
        <w:lastRenderedPageBreak/>
        <w:t>anti-anginal agents, as evidenced by a meta-analysis of 46 studies. (5</w:t>
      </w:r>
      <w:r>
        <w:rPr>
          <w:rFonts w:ascii="Arial" w:hAnsi="Arial" w:cs="Arial"/>
          <w:sz w:val="24"/>
          <w:szCs w:val="24"/>
        </w:rPr>
        <w:t>0</w:t>
      </w:r>
      <w:r w:rsidRPr="00431638">
        <w:rPr>
          <w:rFonts w:ascii="Arial" w:hAnsi="Arial" w:cs="Arial"/>
          <w:sz w:val="24"/>
          <w:szCs w:val="24"/>
        </w:rPr>
        <w:t>) A favourable outcome of beta-blockers on mortality and MACE is proven in patients with a prior history of MI or LVSD. However, due to a lack of placebo-controlled randomised studies, the prognostic benefit data has been limited in the presence of normal LV function and no history of previous MI. (5</w:t>
      </w:r>
      <w:r>
        <w:rPr>
          <w:rFonts w:ascii="Arial" w:hAnsi="Arial" w:cs="Arial"/>
          <w:sz w:val="24"/>
          <w:szCs w:val="24"/>
        </w:rPr>
        <w:t>1</w:t>
      </w:r>
      <w:r w:rsidRPr="00431638">
        <w:rPr>
          <w:rFonts w:ascii="Arial" w:hAnsi="Arial" w:cs="Arial"/>
          <w:sz w:val="24"/>
          <w:szCs w:val="24"/>
        </w:rPr>
        <w:t>,5</w:t>
      </w:r>
      <w:r>
        <w:rPr>
          <w:rFonts w:ascii="Arial" w:hAnsi="Arial" w:cs="Arial"/>
          <w:sz w:val="24"/>
          <w:szCs w:val="24"/>
        </w:rPr>
        <w:t>2</w:t>
      </w:r>
      <w:r w:rsidRPr="00431638">
        <w:rPr>
          <w:rFonts w:ascii="Arial" w:hAnsi="Arial" w:cs="Arial"/>
          <w:sz w:val="24"/>
          <w:szCs w:val="24"/>
        </w:rPr>
        <w:t>). The ACTION trial (</w:t>
      </w:r>
      <w:r>
        <w:rPr>
          <w:rFonts w:ascii="Arial" w:hAnsi="Arial" w:cs="Arial"/>
          <w:sz w:val="24"/>
          <w:szCs w:val="24"/>
        </w:rPr>
        <w:t>n=</w:t>
      </w:r>
      <w:r w:rsidRPr="00431638">
        <w:rPr>
          <w:rFonts w:ascii="Arial" w:hAnsi="Arial" w:cs="Arial"/>
          <w:sz w:val="24"/>
          <w:szCs w:val="24"/>
        </w:rPr>
        <w:t>3825) showed improved anginal symptom control with a dihydropyridine calcium blocker (nifedipine) with a slight reduction in the need for an invasive coronary angiogram but no overall benefit on mortality. (5</w:t>
      </w:r>
      <w:r>
        <w:rPr>
          <w:rFonts w:ascii="Arial" w:hAnsi="Arial" w:cs="Arial"/>
          <w:sz w:val="24"/>
          <w:szCs w:val="24"/>
        </w:rPr>
        <w:t>3</w:t>
      </w:r>
      <w:r w:rsidRPr="00431638">
        <w:rPr>
          <w:rFonts w:ascii="Arial" w:hAnsi="Arial" w:cs="Arial"/>
          <w:sz w:val="24"/>
          <w:szCs w:val="24"/>
        </w:rPr>
        <w:t>) Ivabradine, a second-line agent for angina, has demonstrated non-inferiority to beta-blockers or calcium-blockers with no effect on MACE, as investigated in the BEAUTIFUL trial comprising 10,917 patients. (5</w:t>
      </w:r>
      <w:r>
        <w:rPr>
          <w:rFonts w:ascii="Arial" w:hAnsi="Arial" w:cs="Arial"/>
          <w:sz w:val="24"/>
          <w:szCs w:val="24"/>
        </w:rPr>
        <w:t>4</w:t>
      </w:r>
      <w:r w:rsidRPr="00431638">
        <w:rPr>
          <w:rFonts w:ascii="Arial" w:hAnsi="Arial" w:cs="Arial"/>
          <w:sz w:val="24"/>
          <w:szCs w:val="24"/>
        </w:rPr>
        <w:t>,5</w:t>
      </w:r>
      <w:r>
        <w:rPr>
          <w:rFonts w:ascii="Arial" w:hAnsi="Arial" w:cs="Arial"/>
          <w:sz w:val="24"/>
          <w:szCs w:val="24"/>
        </w:rPr>
        <w:t>5</w:t>
      </w:r>
      <w:r w:rsidRPr="00431638">
        <w:rPr>
          <w:rFonts w:ascii="Arial" w:hAnsi="Arial" w:cs="Arial"/>
          <w:sz w:val="24"/>
          <w:szCs w:val="24"/>
        </w:rPr>
        <w:t>) Similarly, Nicorandil and Ranolazine have also been recommended as second-line agents for achieving anginal control without effects on MACE as showed in IONA (n=5126) and MERLIN-TIMI 36 trial (n=6560), respectively. (5</w:t>
      </w:r>
      <w:r>
        <w:rPr>
          <w:rFonts w:ascii="Arial" w:hAnsi="Arial" w:cs="Arial"/>
          <w:sz w:val="24"/>
          <w:szCs w:val="24"/>
        </w:rPr>
        <w:t>6</w:t>
      </w:r>
      <w:r w:rsidRPr="00431638">
        <w:rPr>
          <w:rFonts w:ascii="Arial" w:hAnsi="Arial" w:cs="Arial"/>
          <w:sz w:val="24"/>
          <w:szCs w:val="24"/>
        </w:rPr>
        <w:t>,5</w:t>
      </w:r>
      <w:r>
        <w:rPr>
          <w:rFonts w:ascii="Arial" w:hAnsi="Arial" w:cs="Arial"/>
          <w:sz w:val="24"/>
          <w:szCs w:val="24"/>
        </w:rPr>
        <w:t>7</w:t>
      </w:r>
      <w:r w:rsidRPr="00431638">
        <w:rPr>
          <w:rFonts w:ascii="Arial" w:hAnsi="Arial" w:cs="Arial"/>
          <w:sz w:val="24"/>
          <w:szCs w:val="24"/>
        </w:rPr>
        <w:t>)</w:t>
      </w:r>
    </w:p>
    <w:p w14:paraId="761BBE2C" w14:textId="77777777" w:rsidR="000C58F8" w:rsidRPr="00B10C9E" w:rsidRDefault="000C58F8" w:rsidP="004942B6">
      <w:pPr>
        <w:spacing w:line="360" w:lineRule="auto"/>
        <w:jc w:val="both"/>
        <w:rPr>
          <w:rFonts w:ascii="Arial" w:hAnsi="Arial" w:cs="Arial"/>
          <w:color w:val="000000" w:themeColor="text1"/>
          <w:sz w:val="24"/>
          <w:szCs w:val="24"/>
        </w:rPr>
      </w:pPr>
    </w:p>
    <w:p w14:paraId="76C97E2D" w14:textId="77777777" w:rsidR="004942B6" w:rsidRDefault="004942B6" w:rsidP="004942B6">
      <w:pPr>
        <w:pStyle w:val="Heading4"/>
        <w:spacing w:line="360" w:lineRule="auto"/>
        <w:rPr>
          <w:rFonts w:ascii="Arial" w:hAnsi="Arial" w:cs="Arial"/>
          <w:i w:val="0"/>
          <w:iCs w:val="0"/>
          <w:color w:val="4472C4" w:themeColor="accent1"/>
          <w:sz w:val="24"/>
          <w:szCs w:val="24"/>
        </w:rPr>
      </w:pPr>
      <w:r w:rsidRPr="009267D0">
        <w:rPr>
          <w:rFonts w:ascii="Arial" w:hAnsi="Arial" w:cs="Arial"/>
          <w:i w:val="0"/>
          <w:iCs w:val="0"/>
          <w:color w:val="4472C4" w:themeColor="accent1"/>
          <w:sz w:val="24"/>
          <w:szCs w:val="24"/>
        </w:rPr>
        <w:t>1.7.2.3 Cholesterol-lowering medications</w:t>
      </w:r>
    </w:p>
    <w:p w14:paraId="2AFA8287" w14:textId="77777777" w:rsidR="004942B6" w:rsidRDefault="004942B6" w:rsidP="004942B6">
      <w:pPr>
        <w:spacing w:line="360" w:lineRule="auto"/>
        <w:jc w:val="both"/>
        <w:rPr>
          <w:rFonts w:ascii="Arial" w:hAnsi="Arial" w:cs="Arial"/>
          <w:color w:val="000000" w:themeColor="text1"/>
          <w:sz w:val="24"/>
          <w:szCs w:val="24"/>
        </w:rPr>
      </w:pPr>
      <w:r w:rsidRPr="000E21AB">
        <w:rPr>
          <w:rFonts w:ascii="Arial" w:hAnsi="Arial" w:cs="Arial"/>
          <w:sz w:val="24"/>
          <w:szCs w:val="24"/>
        </w:rPr>
        <w:t xml:space="preserve">Treatment with </w:t>
      </w:r>
      <w:r>
        <w:rPr>
          <w:rFonts w:ascii="Arial" w:hAnsi="Arial" w:cs="Arial"/>
          <w:sz w:val="24"/>
          <w:szCs w:val="24"/>
        </w:rPr>
        <w:t xml:space="preserve">a </w:t>
      </w:r>
      <w:r w:rsidRPr="000E21AB">
        <w:rPr>
          <w:rFonts w:ascii="Arial" w:hAnsi="Arial" w:cs="Arial"/>
          <w:sz w:val="24"/>
          <w:szCs w:val="24"/>
        </w:rPr>
        <w:t xml:space="preserve">statin </w:t>
      </w:r>
      <w:r>
        <w:rPr>
          <w:rFonts w:ascii="Arial" w:hAnsi="Arial" w:cs="Arial"/>
          <w:sz w:val="24"/>
          <w:szCs w:val="24"/>
        </w:rPr>
        <w:t>is recommended</w:t>
      </w:r>
      <w:r w:rsidRPr="000E21AB">
        <w:rPr>
          <w:rFonts w:ascii="Arial" w:hAnsi="Arial" w:cs="Arial"/>
          <w:sz w:val="24"/>
          <w:szCs w:val="24"/>
        </w:rPr>
        <w:t xml:space="preserve"> in both established CAD and deemed high-risk CCS patients, irrespective of low-density lipoprotein-C (LDL-C) levels (target &lt; 1.4mmol/L). (4</w:t>
      </w:r>
      <w:r>
        <w:rPr>
          <w:rFonts w:ascii="Arial" w:hAnsi="Arial" w:cs="Arial"/>
          <w:sz w:val="24"/>
          <w:szCs w:val="24"/>
        </w:rPr>
        <w:t>2</w:t>
      </w:r>
      <w:r w:rsidRPr="000E21AB">
        <w:rPr>
          <w:rFonts w:ascii="Arial" w:hAnsi="Arial" w:cs="Arial"/>
          <w:sz w:val="24"/>
          <w:szCs w:val="24"/>
        </w:rPr>
        <w:t>) Statin therapy aims to reduce LDL-C levels to less than 50% of the baseline values. (4</w:t>
      </w:r>
      <w:r>
        <w:rPr>
          <w:rFonts w:ascii="Arial" w:hAnsi="Arial" w:cs="Arial"/>
          <w:sz w:val="24"/>
          <w:szCs w:val="24"/>
        </w:rPr>
        <w:t>2</w:t>
      </w:r>
      <w:r w:rsidRPr="000E21AB">
        <w:rPr>
          <w:rFonts w:ascii="Arial" w:hAnsi="Arial" w:cs="Arial"/>
          <w:sz w:val="24"/>
          <w:szCs w:val="24"/>
        </w:rPr>
        <w:t xml:space="preserve">) Ezetimibe </w:t>
      </w:r>
      <w:r>
        <w:rPr>
          <w:rFonts w:ascii="Arial" w:hAnsi="Arial" w:cs="Arial"/>
          <w:sz w:val="24"/>
          <w:szCs w:val="24"/>
        </w:rPr>
        <w:t>may</w:t>
      </w:r>
      <w:r w:rsidRPr="000E21AB">
        <w:rPr>
          <w:rFonts w:ascii="Arial" w:hAnsi="Arial" w:cs="Arial"/>
          <w:sz w:val="24"/>
          <w:szCs w:val="24"/>
        </w:rPr>
        <w:t xml:space="preserve"> be used as an add-on statin therapy if the LDL-C targets are not achieved. (5</w:t>
      </w:r>
      <w:r>
        <w:rPr>
          <w:rFonts w:ascii="Arial" w:hAnsi="Arial" w:cs="Arial"/>
          <w:sz w:val="24"/>
          <w:szCs w:val="24"/>
        </w:rPr>
        <w:t>8</w:t>
      </w:r>
      <w:r w:rsidRPr="000E21AB">
        <w:rPr>
          <w:rFonts w:ascii="Arial" w:hAnsi="Arial" w:cs="Arial"/>
          <w:sz w:val="24"/>
          <w:szCs w:val="24"/>
        </w:rPr>
        <w:t>) Similarly, proprotein convertase subtilisin-kexin type-9 (PCSK-9) monoclonal antibodies (Alirocumab, Evolocumab) have emerged as novel treatment</w:t>
      </w:r>
      <w:r>
        <w:rPr>
          <w:rFonts w:ascii="Arial" w:hAnsi="Arial" w:cs="Arial"/>
          <w:sz w:val="24"/>
          <w:szCs w:val="24"/>
        </w:rPr>
        <w:t>s</w:t>
      </w:r>
      <w:r w:rsidRPr="000E21AB">
        <w:rPr>
          <w:rFonts w:ascii="Arial" w:hAnsi="Arial" w:cs="Arial"/>
          <w:sz w:val="24"/>
          <w:szCs w:val="24"/>
        </w:rPr>
        <w:t xml:space="preserve"> to reduce LDL-C effectively with an overall reduction in cardiovascular ischaemic events. (</w:t>
      </w:r>
      <w:r>
        <w:rPr>
          <w:rFonts w:ascii="Arial" w:hAnsi="Arial" w:cs="Arial"/>
          <w:sz w:val="24"/>
          <w:szCs w:val="24"/>
        </w:rPr>
        <w:t>59,60</w:t>
      </w:r>
      <w:r w:rsidRPr="000E21AB">
        <w:rPr>
          <w:rFonts w:ascii="Arial" w:hAnsi="Arial" w:cs="Arial"/>
          <w:sz w:val="24"/>
          <w:szCs w:val="24"/>
        </w:rPr>
        <w:t>)</w:t>
      </w:r>
    </w:p>
    <w:p w14:paraId="676E4A62" w14:textId="77777777" w:rsidR="004942B6" w:rsidRPr="000E21AB" w:rsidRDefault="004942B6" w:rsidP="004942B6">
      <w:pPr>
        <w:spacing w:line="360" w:lineRule="auto"/>
      </w:pPr>
    </w:p>
    <w:p w14:paraId="0D288D89" w14:textId="77777777" w:rsidR="004942B6" w:rsidRPr="000C58F8" w:rsidRDefault="004942B6" w:rsidP="004942B6">
      <w:pPr>
        <w:pStyle w:val="Heading3"/>
        <w:spacing w:line="360" w:lineRule="auto"/>
        <w:rPr>
          <w:rFonts w:ascii="Arial" w:hAnsi="Arial" w:cs="Arial"/>
          <w:color w:val="4472C4" w:themeColor="accent1"/>
          <w:sz w:val="24"/>
          <w:szCs w:val="24"/>
        </w:rPr>
      </w:pPr>
      <w:bookmarkStart w:id="180" w:name="_Toc159613547"/>
      <w:bookmarkStart w:id="181" w:name="_Toc160981208"/>
      <w:bookmarkStart w:id="182" w:name="_Toc164676002"/>
      <w:bookmarkStart w:id="183" w:name="_Toc164680447"/>
      <w:bookmarkStart w:id="184" w:name="_Toc164681345"/>
      <w:bookmarkStart w:id="185" w:name="_Toc170075027"/>
      <w:bookmarkStart w:id="186" w:name="_Toc170076014"/>
      <w:bookmarkStart w:id="187" w:name="_Toc170577710"/>
      <w:bookmarkStart w:id="188" w:name="_Toc170579228"/>
      <w:bookmarkStart w:id="189" w:name="_Toc171203083"/>
      <w:bookmarkStart w:id="190" w:name="_Toc171203854"/>
      <w:r w:rsidRPr="000C58F8">
        <w:rPr>
          <w:rFonts w:ascii="Arial" w:hAnsi="Arial" w:cs="Arial"/>
          <w:color w:val="4472C4" w:themeColor="accent1"/>
          <w:sz w:val="24"/>
          <w:szCs w:val="24"/>
        </w:rPr>
        <w:t>1.7.3 Percutaneous coronary intervention (PCI)</w:t>
      </w:r>
      <w:bookmarkEnd w:id="180"/>
      <w:bookmarkEnd w:id="181"/>
      <w:bookmarkEnd w:id="182"/>
      <w:bookmarkEnd w:id="183"/>
      <w:bookmarkEnd w:id="184"/>
      <w:bookmarkEnd w:id="185"/>
      <w:bookmarkEnd w:id="186"/>
      <w:bookmarkEnd w:id="187"/>
      <w:bookmarkEnd w:id="188"/>
      <w:bookmarkEnd w:id="189"/>
      <w:bookmarkEnd w:id="190"/>
    </w:p>
    <w:p w14:paraId="67CA84E1" w14:textId="2A9C9564" w:rsidR="004942B6" w:rsidRPr="002044F2" w:rsidRDefault="004942B6" w:rsidP="004942B6">
      <w:pPr>
        <w:pStyle w:val="Caption"/>
        <w:spacing w:line="360" w:lineRule="auto"/>
        <w:jc w:val="both"/>
        <w:rPr>
          <w:rFonts w:ascii="Arial" w:hAnsi="Arial" w:cs="Arial"/>
          <w:i w:val="0"/>
          <w:iCs w:val="0"/>
          <w:color w:val="auto"/>
          <w:sz w:val="24"/>
          <w:szCs w:val="24"/>
        </w:rPr>
      </w:pPr>
      <w:r w:rsidRPr="002044F2">
        <w:rPr>
          <w:rFonts w:ascii="Arial" w:hAnsi="Arial" w:cs="Arial"/>
          <w:i w:val="0"/>
          <w:iCs w:val="0"/>
          <w:color w:val="auto"/>
          <w:sz w:val="24"/>
          <w:szCs w:val="24"/>
        </w:rPr>
        <w:t xml:space="preserve">Following the first angioplasty in 1977, percutaneous coronary intervention (PCI) entered an era of dynamic evolution from ‘plain old’ balloon angioplasty (POBA) and bare metal stents (BMS) to second and third-generation drug-eluting stents (DES). (39) BMS were initially employed as a bail-out strategy to deal with acute vessel closure with POBA, followed by the development of drug-eluting stents due to problems with in-stent restenosis. (61) Since then, there has been ongoing research and advancement in stent technology with a prime focus on strut design and thickness, </w:t>
      </w:r>
      <w:r w:rsidRPr="002044F2">
        <w:rPr>
          <w:rFonts w:ascii="Arial" w:hAnsi="Arial" w:cs="Arial"/>
          <w:i w:val="0"/>
          <w:iCs w:val="0"/>
          <w:color w:val="auto"/>
          <w:sz w:val="24"/>
          <w:szCs w:val="24"/>
        </w:rPr>
        <w:lastRenderedPageBreak/>
        <w:t>deliverability, flexibility, polymer choice, and bioresorbable stent scaffolding. (62) This evolving innovation has remarkably improved the clinical outcomes, as evidenced by a patient-level meta-analysis of three randomised trials of Everolimus-eluting stents vs first-generation stents, comprising 1581 patients.</w:t>
      </w:r>
      <w:r>
        <w:rPr>
          <w:rFonts w:ascii="Arial" w:hAnsi="Arial" w:cs="Arial"/>
          <w:i w:val="0"/>
          <w:iCs w:val="0"/>
          <w:color w:val="auto"/>
          <w:sz w:val="24"/>
          <w:szCs w:val="24"/>
        </w:rPr>
        <w:t xml:space="preserve"> </w:t>
      </w:r>
      <w:r w:rsidRPr="002044F2">
        <w:rPr>
          <w:rFonts w:ascii="Arial" w:hAnsi="Arial" w:cs="Arial"/>
          <w:i w:val="0"/>
          <w:iCs w:val="0"/>
          <w:color w:val="auto"/>
          <w:sz w:val="24"/>
          <w:szCs w:val="24"/>
        </w:rPr>
        <w:t>The results showed that</w:t>
      </w:r>
      <w:r>
        <w:rPr>
          <w:rFonts w:ascii="Arial" w:hAnsi="Arial" w:cs="Arial"/>
          <w:i w:val="0"/>
          <w:iCs w:val="0"/>
          <w:color w:val="auto"/>
          <w:sz w:val="24"/>
          <w:szCs w:val="24"/>
        </w:rPr>
        <w:t xml:space="preserve"> the </w:t>
      </w:r>
      <w:r w:rsidRPr="002044F2">
        <w:rPr>
          <w:rFonts w:ascii="Arial" w:hAnsi="Arial" w:cs="Arial"/>
          <w:i w:val="0"/>
          <w:iCs w:val="0"/>
          <w:color w:val="auto"/>
          <w:sz w:val="24"/>
          <w:szCs w:val="24"/>
        </w:rPr>
        <w:t xml:space="preserve">Everolimus stents had significant advantages over the first-generation stents in terms of mortality (7.8% vs 11.7%), stent thrombosis (3.4% vs 6.1%), target vessel revascularisation (14.2% vs 20.1%) and reinfarction (8.1% vs 11.2%) at five years. (63) </w:t>
      </w:r>
    </w:p>
    <w:p w14:paraId="5F5889D9" w14:textId="2D1B27D3" w:rsidR="004942B6" w:rsidRPr="002044F2" w:rsidRDefault="004942B6" w:rsidP="004942B6">
      <w:pPr>
        <w:pStyle w:val="Caption"/>
        <w:spacing w:line="360" w:lineRule="auto"/>
        <w:jc w:val="both"/>
        <w:rPr>
          <w:rFonts w:ascii="Arial" w:hAnsi="Arial" w:cs="Arial"/>
          <w:i w:val="0"/>
          <w:iCs w:val="0"/>
          <w:color w:val="auto"/>
          <w:sz w:val="24"/>
          <w:szCs w:val="24"/>
        </w:rPr>
      </w:pPr>
      <w:r w:rsidRPr="002044F2">
        <w:rPr>
          <w:rFonts w:ascii="Arial" w:hAnsi="Arial" w:cs="Arial"/>
          <w:i w:val="0"/>
          <w:iCs w:val="0"/>
          <w:color w:val="auto"/>
          <w:sz w:val="24"/>
          <w:szCs w:val="24"/>
        </w:rPr>
        <w:t xml:space="preserve">Revascularisation with primary PCI is the default strategy in patients with STEMI (64). As soon as the diagnosis is confirmed based on history, clinical examination, and electrocardiography (ECG), PPCI should be performed ASAP from the onset of symptoms up to a 48-hour window. (67,68) </w:t>
      </w:r>
      <w:r>
        <w:rPr>
          <w:rFonts w:ascii="Arial" w:hAnsi="Arial" w:cs="Arial"/>
          <w:i w:val="0"/>
          <w:iCs w:val="0"/>
          <w:color w:val="auto"/>
          <w:sz w:val="24"/>
          <w:szCs w:val="24"/>
        </w:rPr>
        <w:t>However, i</w:t>
      </w:r>
      <w:r w:rsidRPr="002044F2">
        <w:rPr>
          <w:rFonts w:ascii="Arial" w:hAnsi="Arial" w:cs="Arial"/>
          <w:i w:val="0"/>
          <w:iCs w:val="0"/>
          <w:color w:val="auto"/>
          <w:sz w:val="24"/>
          <w:szCs w:val="24"/>
        </w:rPr>
        <w:t>n NSTEMI, patients should undergo risk stratification into high, intermediate and low-risk, which guides the timings of revascularisation as &lt;2 hours, &lt;24 hours and a selective-invasive approach, respectively. (69-71) In a meta-analysis of 46 randomised trials (n=37757), PCI in acute coronary syndrome resulted in a reduction in all-cause mortality (RR 0.84; 95% CI: 0.75-0.93; p=0.02). In addition, PCI showed a decremental trend in cardiovascular mortality (RR 0.69; 95% CI: 0.53-0.90; p=0.007) and recurrent MI (RR 0.74; 95% CI: 0.62-0.90; p=0.002). (64) Even the benefits of PCI were superior to conservative treatment in NSTEMI for the octogenarian population (&gt;80 years of age) and led to a reduction in the incidence rates of cumulative primary endpoints of death, MI, stroke, and repeat revascularisation by 0.76; 95% CI: 0.63-0.93; p=0.005. (65) In another single-centre study of 491 octogenarian patients (mean age of 83)</w:t>
      </w:r>
      <w:r w:rsidR="00B7494B">
        <w:rPr>
          <w:rFonts w:ascii="Arial" w:hAnsi="Arial" w:cs="Arial"/>
          <w:i w:val="0"/>
          <w:iCs w:val="0"/>
          <w:color w:val="auto"/>
          <w:sz w:val="24"/>
          <w:szCs w:val="24"/>
        </w:rPr>
        <w:t>,</w:t>
      </w:r>
      <w:r w:rsidRPr="002044F2">
        <w:rPr>
          <w:rFonts w:ascii="Arial" w:hAnsi="Arial" w:cs="Arial"/>
          <w:i w:val="0"/>
          <w:iCs w:val="0"/>
          <w:color w:val="auto"/>
          <w:sz w:val="24"/>
          <w:szCs w:val="24"/>
        </w:rPr>
        <w:t xml:space="preserve"> a survival benefit of 21.8% in the PCI arm </w:t>
      </w:r>
      <w:r w:rsidR="0004507C">
        <w:rPr>
          <w:rFonts w:ascii="Arial" w:hAnsi="Arial" w:cs="Arial"/>
          <w:i w:val="0"/>
          <w:iCs w:val="0"/>
          <w:color w:val="auto"/>
          <w:sz w:val="24"/>
          <w:szCs w:val="24"/>
        </w:rPr>
        <w:t xml:space="preserve">was observed </w:t>
      </w:r>
      <w:r w:rsidRPr="002044F2">
        <w:rPr>
          <w:rFonts w:ascii="Arial" w:hAnsi="Arial" w:cs="Arial"/>
          <w:i w:val="0"/>
          <w:iCs w:val="0"/>
          <w:color w:val="auto"/>
          <w:sz w:val="24"/>
          <w:szCs w:val="24"/>
        </w:rPr>
        <w:t>at three-year follow-up, therefore suggesting improved outcomes with PCI. (66)</w:t>
      </w:r>
    </w:p>
    <w:p w14:paraId="41405F4C" w14:textId="77777777" w:rsidR="00312A89" w:rsidRDefault="004942B6" w:rsidP="00312A89">
      <w:pPr>
        <w:pStyle w:val="Caption"/>
        <w:spacing w:line="360" w:lineRule="auto"/>
        <w:jc w:val="both"/>
        <w:rPr>
          <w:rFonts w:ascii="Arial" w:hAnsi="Arial" w:cs="Arial"/>
          <w:i w:val="0"/>
          <w:iCs w:val="0"/>
          <w:color w:val="auto"/>
          <w:sz w:val="24"/>
          <w:szCs w:val="24"/>
        </w:rPr>
      </w:pPr>
      <w:r w:rsidRPr="002044F2">
        <w:rPr>
          <w:rFonts w:ascii="Arial" w:hAnsi="Arial" w:cs="Arial"/>
          <w:i w:val="0"/>
          <w:iCs w:val="0"/>
          <w:color w:val="auto"/>
          <w:sz w:val="24"/>
          <w:szCs w:val="24"/>
        </w:rPr>
        <w:t>In contrast, OMT plays a pivotal role in CCS, with angioplasty only being an adjuvant to the OMT (14,23,28). Although a 5-year follow-up of the FAME-2 trial showed the sustained benefit of PCI + OMT over OMT alone (72), a further meta-analysis showed only modest improvement in prognosis (73). The evidence of benefit of revascularisation in CCS is limited to patients who have evidence of ischaemia on stress testing (&gt;10% burden), multivessel disease (MVD) with impaired LV systolic function, and significant LMS or proximal LAD involvement. (27,74) Therefore,</w:t>
      </w:r>
      <w:r w:rsidR="00F403C8">
        <w:rPr>
          <w:rFonts w:ascii="Arial" w:hAnsi="Arial" w:cs="Arial"/>
          <w:i w:val="0"/>
          <w:iCs w:val="0"/>
          <w:color w:val="auto"/>
          <w:sz w:val="24"/>
          <w:szCs w:val="24"/>
        </w:rPr>
        <w:t xml:space="preserve"> </w:t>
      </w:r>
      <w:r w:rsidRPr="002044F2">
        <w:rPr>
          <w:rFonts w:ascii="Arial" w:hAnsi="Arial" w:cs="Arial"/>
          <w:i w:val="0"/>
          <w:iCs w:val="0"/>
          <w:color w:val="auto"/>
          <w:sz w:val="24"/>
          <w:szCs w:val="24"/>
        </w:rPr>
        <w:lastRenderedPageBreak/>
        <w:t xml:space="preserve">compared to OMT alone, revascularisation with PCI in CCS settings is essentially aimed at reducing angina and improving the exertional capacity and </w:t>
      </w:r>
      <w:r>
        <w:rPr>
          <w:rFonts w:ascii="Arial" w:hAnsi="Arial" w:cs="Arial"/>
          <w:i w:val="0"/>
          <w:iCs w:val="0"/>
          <w:color w:val="auto"/>
          <w:sz w:val="24"/>
          <w:szCs w:val="24"/>
        </w:rPr>
        <w:t>QOL</w:t>
      </w:r>
      <w:r w:rsidRPr="002044F2">
        <w:rPr>
          <w:rFonts w:ascii="Arial" w:hAnsi="Arial" w:cs="Arial"/>
          <w:i w:val="0"/>
          <w:iCs w:val="0"/>
          <w:color w:val="auto"/>
          <w:sz w:val="24"/>
          <w:szCs w:val="24"/>
        </w:rPr>
        <w:t>.</w:t>
      </w:r>
    </w:p>
    <w:p w14:paraId="203D530D" w14:textId="2E452D23" w:rsidR="004942B6" w:rsidRPr="00312A89" w:rsidRDefault="004942B6" w:rsidP="00312A89">
      <w:pPr>
        <w:pStyle w:val="Caption"/>
        <w:spacing w:line="360" w:lineRule="auto"/>
        <w:jc w:val="both"/>
        <w:rPr>
          <w:rFonts w:ascii="Arial" w:hAnsi="Arial" w:cs="Arial"/>
          <w:i w:val="0"/>
          <w:iCs w:val="0"/>
          <w:color w:val="auto"/>
          <w:sz w:val="24"/>
          <w:szCs w:val="24"/>
        </w:rPr>
      </w:pPr>
      <w:r w:rsidRPr="002044F2">
        <w:rPr>
          <w:rFonts w:ascii="Arial" w:hAnsi="Arial" w:cs="Arial"/>
          <w:i w:val="0"/>
          <w:iCs w:val="0"/>
          <w:color w:val="auto"/>
          <w:sz w:val="24"/>
          <w:szCs w:val="24"/>
        </w:rPr>
        <w:t xml:space="preserve"> </w:t>
      </w:r>
      <w:bookmarkStart w:id="191" w:name="_Toc170744565"/>
      <w:bookmarkStart w:id="192" w:name="_Toc196153196"/>
      <w:r w:rsidR="00312A89" w:rsidRPr="00BC3E56">
        <w:rPr>
          <w:noProof/>
          <w:lang w:eastAsia="en-GB"/>
        </w:rPr>
        <w:drawing>
          <wp:inline distT="0" distB="0" distL="0" distR="0" wp14:anchorId="79C738D7" wp14:editId="6ADC7854">
            <wp:extent cx="5717050" cy="4411980"/>
            <wp:effectExtent l="0" t="0" r="0" b="7620"/>
            <wp:docPr id="19" name="Picture 19" descr="A diagram of a he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diagram of a heart&#10;&#10;Description automatically generated with medium confidence"/>
                    <pic:cNvPicPr/>
                  </pic:nvPicPr>
                  <pic:blipFill>
                    <a:blip r:embed="rId17"/>
                    <a:stretch>
                      <a:fillRect/>
                    </a:stretch>
                  </pic:blipFill>
                  <pic:spPr>
                    <a:xfrm>
                      <a:off x="0" y="0"/>
                      <a:ext cx="5719615" cy="4413960"/>
                    </a:xfrm>
                    <a:prstGeom prst="rect">
                      <a:avLst/>
                    </a:prstGeom>
                  </pic:spPr>
                </pic:pic>
              </a:graphicData>
            </a:graphic>
          </wp:inline>
        </w:drawing>
      </w:r>
      <w:bookmarkStart w:id="193" w:name="_Toc151626674"/>
      <w:bookmarkStart w:id="194" w:name="_Toc152340468"/>
      <w:bookmarkStart w:id="195" w:name="_Toc152492261"/>
      <w:bookmarkStart w:id="196" w:name="_Toc152596948"/>
      <w:bookmarkStart w:id="197" w:name="_Toc153409653"/>
      <w:bookmarkStart w:id="198" w:name="_Toc134970243"/>
      <w:bookmarkStart w:id="199" w:name="_Toc135331829"/>
      <w:bookmarkStart w:id="200" w:name="_Toc145055722"/>
      <w:bookmarkStart w:id="201" w:name="_Toc150518897"/>
      <w:bookmarkStart w:id="202" w:name="_Toc151222834"/>
      <w:bookmarkStart w:id="203" w:name="_Toc153724900"/>
      <w:bookmarkStart w:id="204" w:name="_Toc159318486"/>
      <w:bookmarkStart w:id="205" w:name="_Toc159612012"/>
      <w:bookmarkStart w:id="206" w:name="_Toc160982658"/>
      <w:bookmarkStart w:id="207" w:name="_Toc164697483"/>
      <w:r w:rsidRPr="00C553DC">
        <w:rPr>
          <w:rFonts w:ascii="Arial" w:hAnsi="Arial" w:cs="Arial"/>
          <w:b/>
          <w:bCs/>
          <w:color w:val="000000" w:themeColor="text1"/>
          <w:sz w:val="20"/>
          <w:szCs w:val="20"/>
        </w:rPr>
        <w:t xml:space="preserve">Figure </w:t>
      </w:r>
      <w:r w:rsidRPr="00C553DC">
        <w:rPr>
          <w:rFonts w:ascii="Arial" w:hAnsi="Arial" w:cs="Arial"/>
          <w:b/>
          <w:bCs/>
          <w:color w:val="000000" w:themeColor="text1"/>
          <w:sz w:val="20"/>
          <w:szCs w:val="20"/>
        </w:rPr>
        <w:fldChar w:fldCharType="begin"/>
      </w:r>
      <w:r w:rsidRPr="00C553DC">
        <w:rPr>
          <w:rFonts w:ascii="Arial" w:hAnsi="Arial" w:cs="Arial"/>
          <w:b/>
          <w:bCs/>
          <w:color w:val="000000" w:themeColor="text1"/>
          <w:sz w:val="20"/>
          <w:szCs w:val="20"/>
        </w:rPr>
        <w:instrText xml:space="preserve"> SEQ Figure \* ARABIC </w:instrText>
      </w:r>
      <w:r w:rsidRPr="00C553DC">
        <w:rPr>
          <w:rFonts w:ascii="Arial" w:hAnsi="Arial" w:cs="Arial"/>
          <w:b/>
          <w:bCs/>
          <w:color w:val="000000" w:themeColor="text1"/>
          <w:sz w:val="20"/>
          <w:szCs w:val="20"/>
        </w:rPr>
        <w:fldChar w:fldCharType="separate"/>
      </w:r>
      <w:r w:rsidR="001823B4">
        <w:rPr>
          <w:rFonts w:ascii="Arial" w:hAnsi="Arial" w:cs="Arial"/>
          <w:b/>
          <w:bCs/>
          <w:noProof/>
          <w:color w:val="000000" w:themeColor="text1"/>
          <w:sz w:val="20"/>
          <w:szCs w:val="20"/>
        </w:rPr>
        <w:t>4</w:t>
      </w:r>
      <w:r w:rsidRPr="00C553DC">
        <w:rPr>
          <w:rFonts w:ascii="Arial" w:hAnsi="Arial" w:cs="Arial"/>
          <w:b/>
          <w:bCs/>
          <w:color w:val="000000" w:themeColor="text1"/>
          <w:sz w:val="20"/>
          <w:szCs w:val="20"/>
        </w:rPr>
        <w:fldChar w:fldCharType="end"/>
      </w:r>
      <w:r w:rsidRPr="00C553DC">
        <w:rPr>
          <w:rFonts w:ascii="Arial" w:hAnsi="Arial" w:cs="Arial"/>
          <w:b/>
          <w:bCs/>
          <w:color w:val="000000" w:themeColor="text1"/>
          <w:sz w:val="20"/>
          <w:szCs w:val="20"/>
        </w:rPr>
        <w:t>:</w:t>
      </w:r>
      <w:r w:rsidRPr="00C553DC">
        <w:rPr>
          <w:rFonts w:ascii="Arial" w:hAnsi="Arial" w:cs="Arial"/>
          <w:color w:val="000000" w:themeColor="text1"/>
          <w:sz w:val="20"/>
          <w:szCs w:val="20"/>
        </w:rPr>
        <w:t xml:space="preserve"> Illustration of percutaneous coronary intervention (PCI)</w:t>
      </w:r>
      <w:bookmarkEnd w:id="193"/>
      <w:bookmarkEnd w:id="194"/>
      <w:bookmarkEnd w:id="195"/>
      <w:bookmarkEnd w:id="196"/>
      <w:bookmarkEnd w:id="197"/>
      <w:bookmarkEnd w:id="198"/>
      <w:bookmarkEnd w:id="199"/>
      <w:bookmarkEnd w:id="200"/>
      <w:bookmarkEnd w:id="201"/>
      <w:bookmarkEnd w:id="202"/>
      <w:r>
        <w:rPr>
          <w:rFonts w:ascii="Arial" w:hAnsi="Arial" w:cs="Arial"/>
          <w:color w:val="000000" w:themeColor="text1"/>
          <w:sz w:val="20"/>
          <w:szCs w:val="20"/>
        </w:rPr>
        <w:t xml:space="preserve"> – Image created with Biorender</w:t>
      </w:r>
      <w:bookmarkEnd w:id="191"/>
      <w:bookmarkEnd w:id="192"/>
      <w:bookmarkEnd w:id="203"/>
      <w:bookmarkEnd w:id="204"/>
      <w:bookmarkEnd w:id="205"/>
      <w:bookmarkEnd w:id="206"/>
      <w:bookmarkEnd w:id="207"/>
    </w:p>
    <w:p w14:paraId="6BA7DC8E" w14:textId="77777777" w:rsidR="004942B6" w:rsidRPr="009222F3" w:rsidRDefault="004942B6" w:rsidP="004942B6">
      <w:pPr>
        <w:spacing w:line="360" w:lineRule="auto"/>
        <w:rPr>
          <w:color w:val="000000" w:themeColor="text1"/>
        </w:rPr>
      </w:pPr>
    </w:p>
    <w:p w14:paraId="21C534B1" w14:textId="77777777" w:rsidR="004942B6" w:rsidRPr="00B70931" w:rsidRDefault="004942B6" w:rsidP="004942B6">
      <w:pPr>
        <w:pStyle w:val="Heading3"/>
        <w:spacing w:line="360" w:lineRule="auto"/>
        <w:rPr>
          <w:rFonts w:ascii="Arial" w:hAnsi="Arial" w:cs="Arial"/>
          <w:color w:val="4472C4" w:themeColor="accent1"/>
          <w:sz w:val="24"/>
          <w:szCs w:val="24"/>
        </w:rPr>
      </w:pPr>
      <w:bookmarkStart w:id="208" w:name="_Toc159613548"/>
      <w:bookmarkStart w:id="209" w:name="_Toc160981209"/>
      <w:bookmarkStart w:id="210" w:name="_Toc164676003"/>
      <w:bookmarkStart w:id="211" w:name="_Toc164680448"/>
      <w:bookmarkStart w:id="212" w:name="_Toc164681346"/>
      <w:bookmarkStart w:id="213" w:name="_Toc170075028"/>
      <w:bookmarkStart w:id="214" w:name="_Toc170076015"/>
      <w:bookmarkStart w:id="215" w:name="_Toc170577711"/>
      <w:bookmarkStart w:id="216" w:name="_Toc170579229"/>
      <w:bookmarkStart w:id="217" w:name="_Toc171203084"/>
      <w:bookmarkStart w:id="218" w:name="_Toc171203855"/>
      <w:r w:rsidRPr="00B70931">
        <w:rPr>
          <w:rFonts w:ascii="Arial" w:hAnsi="Arial" w:cs="Arial"/>
          <w:color w:val="4472C4" w:themeColor="accent1"/>
          <w:sz w:val="24"/>
          <w:szCs w:val="24"/>
        </w:rPr>
        <w:t>1.7.4 Coronary artery bypass grafting (CABG)</w:t>
      </w:r>
      <w:bookmarkEnd w:id="208"/>
      <w:bookmarkEnd w:id="209"/>
      <w:bookmarkEnd w:id="210"/>
      <w:bookmarkEnd w:id="211"/>
      <w:bookmarkEnd w:id="212"/>
      <w:bookmarkEnd w:id="213"/>
      <w:bookmarkEnd w:id="214"/>
      <w:bookmarkEnd w:id="215"/>
      <w:bookmarkEnd w:id="216"/>
      <w:bookmarkEnd w:id="217"/>
      <w:bookmarkEnd w:id="218"/>
    </w:p>
    <w:p w14:paraId="25831C94" w14:textId="77777777" w:rsidR="004942B6" w:rsidRDefault="004942B6" w:rsidP="004942B6">
      <w:pPr>
        <w:spacing w:line="360" w:lineRule="auto"/>
        <w:jc w:val="both"/>
        <w:rPr>
          <w:rFonts w:ascii="Arial" w:hAnsi="Arial" w:cs="Arial"/>
          <w:sz w:val="24"/>
          <w:szCs w:val="24"/>
        </w:rPr>
      </w:pPr>
      <w:r w:rsidRPr="00C376AF">
        <w:rPr>
          <w:rFonts w:ascii="Arial" w:hAnsi="Arial" w:cs="Arial"/>
          <w:sz w:val="24"/>
          <w:szCs w:val="24"/>
        </w:rPr>
        <w:t>Surgical revascularisation with CABG was established as the first definitive treatment option a decade before angioplasty evolved and has been available since the 1970s. (7</w:t>
      </w:r>
      <w:r>
        <w:rPr>
          <w:rFonts w:ascii="Arial" w:hAnsi="Arial" w:cs="Arial"/>
          <w:sz w:val="24"/>
          <w:szCs w:val="24"/>
        </w:rPr>
        <w:t>5</w:t>
      </w:r>
      <w:r w:rsidRPr="00C376AF">
        <w:rPr>
          <w:rFonts w:ascii="Arial" w:hAnsi="Arial" w:cs="Arial"/>
          <w:sz w:val="24"/>
          <w:szCs w:val="24"/>
        </w:rPr>
        <w:t>) Arterial (mammary or radial) or venous (long saphenous vein) conduits are used to bypass the segments of coronary stenoses, with a preference for arterial grafts due to better long-term outcomes. (7</w:t>
      </w:r>
      <w:r>
        <w:rPr>
          <w:rFonts w:ascii="Arial" w:hAnsi="Arial" w:cs="Arial"/>
          <w:sz w:val="24"/>
          <w:szCs w:val="24"/>
        </w:rPr>
        <w:t>6</w:t>
      </w:r>
      <w:r w:rsidRPr="00C376AF">
        <w:rPr>
          <w:rFonts w:ascii="Arial" w:hAnsi="Arial" w:cs="Arial"/>
          <w:sz w:val="24"/>
          <w:szCs w:val="24"/>
        </w:rPr>
        <w:t>) One of the most extended follow-up studies of CABG, spanning 30 years, showed a median life expectancy of 17.6 years, with &gt;94% of patients requiring some form of revascularisation post-CABG during a lifetime span. (7</w:t>
      </w:r>
      <w:r>
        <w:rPr>
          <w:rFonts w:ascii="Arial" w:hAnsi="Arial" w:cs="Arial"/>
          <w:sz w:val="24"/>
          <w:szCs w:val="24"/>
        </w:rPr>
        <w:t>7</w:t>
      </w:r>
      <w:r w:rsidRPr="00C376AF">
        <w:rPr>
          <w:rFonts w:ascii="Arial" w:hAnsi="Arial" w:cs="Arial"/>
          <w:sz w:val="24"/>
          <w:szCs w:val="24"/>
        </w:rPr>
        <w:t xml:space="preserve">) A meta-analysis of 11 randomised controlled trials (RCTs) of 11,518 patients showed that CABG sustained a mortality benefit over PCI in patients with diabetes </w:t>
      </w:r>
      <w:r w:rsidRPr="00C376AF">
        <w:rPr>
          <w:rFonts w:ascii="Arial" w:hAnsi="Arial" w:cs="Arial"/>
          <w:sz w:val="24"/>
          <w:szCs w:val="24"/>
        </w:rPr>
        <w:lastRenderedPageBreak/>
        <w:t>(10.0% CABG vs 15.5%PCI), multivessel disease (8.9% CABG vs 11.5% PCI) and with high SYNTAX score (a scoring system for the extent of coronary disease) of 33 or higher (9.2% CABG vs 11.2% PCI) over 5-years follow-up. (</w:t>
      </w:r>
      <w:r>
        <w:rPr>
          <w:rFonts w:ascii="Arial" w:hAnsi="Arial" w:cs="Arial"/>
          <w:sz w:val="24"/>
          <w:szCs w:val="24"/>
        </w:rPr>
        <w:t>76</w:t>
      </w:r>
      <w:r w:rsidRPr="00C376AF">
        <w:rPr>
          <w:rFonts w:ascii="Arial" w:hAnsi="Arial" w:cs="Arial"/>
          <w:sz w:val="24"/>
          <w:szCs w:val="24"/>
        </w:rPr>
        <w:t>) Another RCT comprised of 4394 patients including the SYNTAX, EXCEL, NOBLE and PRECOMBAT trials, revealed no statistically significant difference in MACE between CABG and PCI (10.2% CABG vs 11.2% PCI) amongst the patients with isolated left main stem (LMS) disease, and low-intermediate anatomical complexity (SYNTAX score of less than 33) at 5-year follow-up. However, PCI was associated with a higher rate of revascularisation (18.3% vs 10.7%) and a lower rate of stroke (2.7% vs 3.1%) compared to CABG. (</w:t>
      </w:r>
      <w:r>
        <w:rPr>
          <w:rFonts w:ascii="Arial" w:hAnsi="Arial" w:cs="Arial"/>
          <w:sz w:val="24"/>
          <w:szCs w:val="24"/>
        </w:rPr>
        <w:t>79</w:t>
      </w:r>
      <w:r w:rsidRPr="00C376AF">
        <w:rPr>
          <w:rFonts w:ascii="Arial" w:hAnsi="Arial" w:cs="Arial"/>
          <w:sz w:val="24"/>
          <w:szCs w:val="24"/>
        </w:rPr>
        <w:t>) Hence, a heart-team multidisciplinary approach is highly recommended to assist physicians and patients in making a final informed decision.</w:t>
      </w:r>
    </w:p>
    <w:p w14:paraId="31EC2F09" w14:textId="77777777" w:rsidR="004942B6" w:rsidRPr="0018782B" w:rsidRDefault="004942B6" w:rsidP="004942B6">
      <w:pPr>
        <w:spacing w:line="360" w:lineRule="auto"/>
        <w:jc w:val="both"/>
        <w:rPr>
          <w:rFonts w:ascii="Arial" w:hAnsi="Arial" w:cs="Arial"/>
          <w:sz w:val="24"/>
          <w:szCs w:val="24"/>
        </w:rPr>
      </w:pPr>
    </w:p>
    <w:p w14:paraId="4CD53ADE" w14:textId="4FEE1744" w:rsidR="004942B6" w:rsidRPr="0018782B" w:rsidRDefault="00312A89" w:rsidP="004942B6">
      <w:pPr>
        <w:spacing w:line="360" w:lineRule="auto"/>
        <w:jc w:val="both"/>
        <w:rPr>
          <w:rFonts w:ascii="Arial" w:hAnsi="Arial" w:cs="Arial"/>
          <w:sz w:val="24"/>
          <w:szCs w:val="24"/>
        </w:rPr>
      </w:pPr>
      <w:r>
        <w:rPr>
          <w:rFonts w:ascii="Arial" w:hAnsi="Arial" w:cs="Arial"/>
          <w:noProof/>
          <w:sz w:val="24"/>
          <w:szCs w:val="24"/>
          <w:lang w:eastAsia="en-GB"/>
        </w:rPr>
        <w:drawing>
          <wp:inline distT="0" distB="0" distL="0" distR="0" wp14:anchorId="7BFF6324" wp14:editId="499B3C95">
            <wp:extent cx="5922608" cy="4145280"/>
            <wp:effectExtent l="0" t="0" r="2540" b="7620"/>
            <wp:docPr id="504744901" name="Picture 1" descr="A diagram of a human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44901" name="Picture 1" descr="A diagram of a human body"/>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24059" cy="4146296"/>
                    </a:xfrm>
                    <a:prstGeom prst="rect">
                      <a:avLst/>
                    </a:prstGeom>
                  </pic:spPr>
                </pic:pic>
              </a:graphicData>
            </a:graphic>
          </wp:inline>
        </w:drawing>
      </w:r>
    </w:p>
    <w:p w14:paraId="2B40453F" w14:textId="27EE03C8" w:rsidR="004942B6" w:rsidRDefault="004942B6" w:rsidP="004942B6">
      <w:pPr>
        <w:pStyle w:val="Caption"/>
        <w:rPr>
          <w:rFonts w:ascii="Arial" w:hAnsi="Arial" w:cs="Arial"/>
          <w:color w:val="000000" w:themeColor="text1"/>
          <w:sz w:val="20"/>
          <w:szCs w:val="20"/>
        </w:rPr>
      </w:pPr>
      <w:bookmarkStart w:id="219" w:name="_Toc151626675"/>
      <w:bookmarkStart w:id="220" w:name="_Toc152340469"/>
      <w:bookmarkStart w:id="221" w:name="_Toc152492262"/>
      <w:bookmarkStart w:id="222" w:name="_Toc152596949"/>
      <w:bookmarkStart w:id="223" w:name="_Toc134970244"/>
      <w:bookmarkStart w:id="224" w:name="_Toc135331830"/>
      <w:bookmarkStart w:id="225" w:name="_Toc145055723"/>
      <w:bookmarkStart w:id="226" w:name="_Toc150518898"/>
      <w:bookmarkStart w:id="227" w:name="_Toc151222835"/>
      <w:bookmarkStart w:id="228" w:name="_Toc153409654"/>
      <w:bookmarkStart w:id="229" w:name="_Toc153724901"/>
      <w:bookmarkStart w:id="230" w:name="_Toc159318487"/>
      <w:bookmarkStart w:id="231" w:name="_Toc159612013"/>
      <w:bookmarkStart w:id="232" w:name="_Toc160982659"/>
      <w:bookmarkStart w:id="233" w:name="_Toc164697484"/>
      <w:bookmarkStart w:id="234" w:name="_Toc170744566"/>
      <w:bookmarkStart w:id="235" w:name="_Toc196153197"/>
      <w:r w:rsidRPr="00C553DC">
        <w:rPr>
          <w:rFonts w:ascii="Arial" w:hAnsi="Arial" w:cs="Arial"/>
          <w:b/>
          <w:bCs/>
          <w:color w:val="000000" w:themeColor="text1"/>
          <w:sz w:val="20"/>
          <w:szCs w:val="20"/>
        </w:rPr>
        <w:t xml:space="preserve">Figure </w:t>
      </w:r>
      <w:r w:rsidRPr="00C553DC">
        <w:rPr>
          <w:rFonts w:ascii="Arial" w:hAnsi="Arial" w:cs="Arial"/>
          <w:b/>
          <w:bCs/>
          <w:color w:val="000000" w:themeColor="text1"/>
          <w:sz w:val="20"/>
          <w:szCs w:val="20"/>
        </w:rPr>
        <w:fldChar w:fldCharType="begin"/>
      </w:r>
      <w:r w:rsidRPr="00C553DC">
        <w:rPr>
          <w:rFonts w:ascii="Arial" w:hAnsi="Arial" w:cs="Arial"/>
          <w:b/>
          <w:bCs/>
          <w:color w:val="000000" w:themeColor="text1"/>
          <w:sz w:val="20"/>
          <w:szCs w:val="20"/>
        </w:rPr>
        <w:instrText xml:space="preserve"> SEQ Figure \* ARABIC </w:instrText>
      </w:r>
      <w:r w:rsidRPr="00C553DC">
        <w:rPr>
          <w:rFonts w:ascii="Arial" w:hAnsi="Arial" w:cs="Arial"/>
          <w:b/>
          <w:bCs/>
          <w:color w:val="000000" w:themeColor="text1"/>
          <w:sz w:val="20"/>
          <w:szCs w:val="20"/>
        </w:rPr>
        <w:fldChar w:fldCharType="separate"/>
      </w:r>
      <w:r w:rsidR="001823B4">
        <w:rPr>
          <w:rFonts w:ascii="Arial" w:hAnsi="Arial" w:cs="Arial"/>
          <w:b/>
          <w:bCs/>
          <w:noProof/>
          <w:color w:val="000000" w:themeColor="text1"/>
          <w:sz w:val="20"/>
          <w:szCs w:val="20"/>
        </w:rPr>
        <w:t>5</w:t>
      </w:r>
      <w:r w:rsidRPr="00C553DC">
        <w:rPr>
          <w:rFonts w:ascii="Arial" w:hAnsi="Arial" w:cs="Arial"/>
          <w:b/>
          <w:bCs/>
          <w:noProof/>
          <w:color w:val="000000" w:themeColor="text1"/>
          <w:sz w:val="20"/>
          <w:szCs w:val="20"/>
        </w:rPr>
        <w:fldChar w:fldCharType="end"/>
      </w:r>
      <w:r w:rsidRPr="00C553DC">
        <w:rPr>
          <w:rFonts w:ascii="Arial" w:hAnsi="Arial" w:cs="Arial"/>
          <w:b/>
          <w:bCs/>
          <w:noProof/>
          <w:color w:val="000000" w:themeColor="text1"/>
          <w:sz w:val="20"/>
          <w:szCs w:val="20"/>
        </w:rPr>
        <w:t>:</w:t>
      </w:r>
      <w:r w:rsidRPr="00C553DC">
        <w:rPr>
          <w:rFonts w:ascii="Arial" w:hAnsi="Arial" w:cs="Arial"/>
          <w:color w:val="000000" w:themeColor="text1"/>
          <w:sz w:val="20"/>
          <w:szCs w:val="20"/>
        </w:rPr>
        <w:t xml:space="preserve"> Illustration of coronary artery bypass graft (CABG) with the left anterior mammary artery (LIMA), radial artery and saphenous vein graft (SVG)</w:t>
      </w:r>
      <w:bookmarkEnd w:id="219"/>
      <w:bookmarkEnd w:id="220"/>
      <w:bookmarkEnd w:id="221"/>
      <w:bookmarkEnd w:id="222"/>
      <w:bookmarkEnd w:id="223"/>
      <w:bookmarkEnd w:id="224"/>
      <w:bookmarkEnd w:id="225"/>
      <w:bookmarkEnd w:id="226"/>
      <w:bookmarkEnd w:id="227"/>
      <w:bookmarkEnd w:id="228"/>
      <w:r>
        <w:rPr>
          <w:rFonts w:ascii="Arial" w:hAnsi="Arial" w:cs="Arial"/>
          <w:color w:val="000000" w:themeColor="text1"/>
          <w:sz w:val="20"/>
          <w:szCs w:val="20"/>
        </w:rPr>
        <w:t xml:space="preserve"> – Image created with Biorender</w:t>
      </w:r>
      <w:bookmarkEnd w:id="229"/>
      <w:bookmarkEnd w:id="230"/>
      <w:bookmarkEnd w:id="231"/>
      <w:bookmarkEnd w:id="232"/>
      <w:bookmarkEnd w:id="233"/>
      <w:bookmarkEnd w:id="234"/>
      <w:bookmarkEnd w:id="235"/>
    </w:p>
    <w:p w14:paraId="5BAD3942" w14:textId="77777777" w:rsidR="004942B6" w:rsidRPr="0055179E" w:rsidRDefault="004942B6" w:rsidP="004942B6"/>
    <w:p w14:paraId="1F7A7BBC" w14:textId="77777777" w:rsidR="004942B6" w:rsidRPr="007515E2" w:rsidRDefault="004942B6" w:rsidP="004942B6">
      <w:pPr>
        <w:pStyle w:val="Heading2"/>
        <w:spacing w:line="360" w:lineRule="auto"/>
        <w:rPr>
          <w:rFonts w:ascii="Arial" w:hAnsi="Arial" w:cs="Arial"/>
          <w:color w:val="4472C4" w:themeColor="accent1"/>
          <w:sz w:val="28"/>
          <w:szCs w:val="28"/>
          <w:shd w:val="clear" w:color="auto" w:fill="FFFFFF"/>
        </w:rPr>
      </w:pPr>
      <w:bookmarkStart w:id="236" w:name="_Toc171203856"/>
      <w:r w:rsidRPr="007515E2">
        <w:rPr>
          <w:rFonts w:ascii="Arial" w:hAnsi="Arial" w:cs="Arial"/>
          <w:color w:val="4472C4" w:themeColor="accent1"/>
          <w:sz w:val="28"/>
          <w:szCs w:val="28"/>
          <w:shd w:val="clear" w:color="auto" w:fill="FFFFFF"/>
        </w:rPr>
        <w:lastRenderedPageBreak/>
        <w:t xml:space="preserve">1.8 Coronary </w:t>
      </w:r>
      <w:r w:rsidRPr="007515E2">
        <w:rPr>
          <w:rFonts w:ascii="Arial" w:hAnsi="Arial" w:cs="Arial"/>
          <w:color w:val="4472C4" w:themeColor="accent1"/>
          <w:sz w:val="28"/>
          <w:szCs w:val="28"/>
        </w:rPr>
        <w:t>blood</w:t>
      </w:r>
      <w:r w:rsidRPr="007515E2">
        <w:rPr>
          <w:rFonts w:ascii="Arial" w:hAnsi="Arial" w:cs="Arial"/>
          <w:color w:val="4472C4" w:themeColor="accent1"/>
          <w:sz w:val="28"/>
          <w:szCs w:val="28"/>
          <w:shd w:val="clear" w:color="auto" w:fill="FFFFFF"/>
        </w:rPr>
        <w:t xml:space="preserve"> flow fundamentals</w:t>
      </w:r>
      <w:bookmarkEnd w:id="236"/>
    </w:p>
    <w:p w14:paraId="38E99E35" w14:textId="6AB20A03" w:rsidR="004942B6" w:rsidRPr="00DA4177" w:rsidRDefault="004942B6" w:rsidP="004942B6">
      <w:pPr>
        <w:spacing w:line="360" w:lineRule="auto"/>
        <w:jc w:val="both"/>
        <w:rPr>
          <w:rFonts w:ascii="Arial" w:hAnsi="Arial" w:cs="Arial"/>
          <w:sz w:val="24"/>
          <w:szCs w:val="24"/>
          <w:shd w:val="clear" w:color="auto" w:fill="FFFFFF"/>
        </w:rPr>
      </w:pPr>
      <w:r w:rsidRPr="00DA4177">
        <w:rPr>
          <w:rFonts w:ascii="Arial" w:hAnsi="Arial" w:cs="Arial"/>
          <w:sz w:val="24"/>
          <w:szCs w:val="24"/>
          <w:shd w:val="clear" w:color="auto" w:fill="FFFFFF"/>
        </w:rPr>
        <w:t>The human heart has the highest metabolic activity of any organ and can extract the highest amount of oxygen</w:t>
      </w:r>
      <w:r w:rsidR="00713A00">
        <w:rPr>
          <w:rFonts w:ascii="Arial" w:hAnsi="Arial" w:cs="Arial"/>
          <w:sz w:val="24"/>
          <w:szCs w:val="24"/>
          <w:shd w:val="clear" w:color="auto" w:fill="FFFFFF"/>
        </w:rPr>
        <w:t>,</w:t>
      </w:r>
      <w:r w:rsidRPr="00DA4177">
        <w:rPr>
          <w:rFonts w:ascii="Arial" w:hAnsi="Arial" w:cs="Arial"/>
          <w:sz w:val="24"/>
          <w:szCs w:val="24"/>
          <w:shd w:val="clear" w:color="auto" w:fill="FFFFFF"/>
        </w:rPr>
        <w:t xml:space="preserve"> up to 75%. (8</w:t>
      </w:r>
      <w:r>
        <w:rPr>
          <w:rFonts w:ascii="Arial" w:hAnsi="Arial" w:cs="Arial"/>
          <w:sz w:val="24"/>
          <w:szCs w:val="24"/>
          <w:shd w:val="clear" w:color="auto" w:fill="FFFFFF"/>
        </w:rPr>
        <w:t>0</w:t>
      </w:r>
      <w:r w:rsidRPr="00DA4177">
        <w:rPr>
          <w:rFonts w:ascii="Arial" w:hAnsi="Arial" w:cs="Arial"/>
          <w:sz w:val="24"/>
          <w:szCs w:val="24"/>
          <w:shd w:val="clear" w:color="auto" w:fill="FFFFFF"/>
        </w:rPr>
        <w:t>) Resting coronary blood flow is approximately 250ml/min (0.8ml/min/g of heart muscle), which equates to only 5% of the cardiac output. (8</w:t>
      </w:r>
      <w:r>
        <w:rPr>
          <w:rFonts w:ascii="Arial" w:hAnsi="Arial" w:cs="Arial"/>
          <w:sz w:val="24"/>
          <w:szCs w:val="24"/>
          <w:shd w:val="clear" w:color="auto" w:fill="FFFFFF"/>
        </w:rPr>
        <w:t>0</w:t>
      </w:r>
      <w:r w:rsidRPr="00DA4177">
        <w:rPr>
          <w:rFonts w:ascii="Arial" w:hAnsi="Arial" w:cs="Arial"/>
          <w:sz w:val="24"/>
          <w:szCs w:val="24"/>
          <w:shd w:val="clear" w:color="auto" w:fill="FFFFFF"/>
        </w:rPr>
        <w:t>) However, it can increase to 300-400% of the resting state during exercise. (8</w:t>
      </w:r>
      <w:r>
        <w:rPr>
          <w:rFonts w:ascii="Arial" w:hAnsi="Arial" w:cs="Arial"/>
          <w:sz w:val="24"/>
          <w:szCs w:val="24"/>
          <w:shd w:val="clear" w:color="auto" w:fill="FFFFFF"/>
        </w:rPr>
        <w:t>1</w:t>
      </w:r>
      <w:r w:rsidRPr="00DA4177">
        <w:rPr>
          <w:rFonts w:ascii="Arial" w:hAnsi="Arial" w:cs="Arial"/>
          <w:sz w:val="24"/>
          <w:szCs w:val="24"/>
          <w:shd w:val="clear" w:color="auto" w:fill="FFFFFF"/>
        </w:rPr>
        <w:t>) Coronary perfusion is paradoxical to the perfusion of other tissues. All the tissues receive the blood supply during systole. At the same time, the coronary perfusion happens during the diastolic phase, as in systole, where the contracting myocardium compresses the coronary vasculature. (83) Myocardium, a highly metabolically active tissue, can extract up to 60-70% oxygen at the baseline resting period. Hence, the increased myocardial demand is met primarily by increased coronary blood flow through coronary vasodilation, with little contribution from increased oxygen extraction. (8</w:t>
      </w:r>
      <w:r>
        <w:rPr>
          <w:rFonts w:ascii="Arial" w:hAnsi="Arial" w:cs="Arial"/>
          <w:sz w:val="24"/>
          <w:szCs w:val="24"/>
          <w:shd w:val="clear" w:color="auto" w:fill="FFFFFF"/>
        </w:rPr>
        <w:t>3</w:t>
      </w:r>
      <w:r w:rsidRPr="00DA4177">
        <w:rPr>
          <w:rFonts w:ascii="Arial" w:hAnsi="Arial" w:cs="Arial"/>
          <w:sz w:val="24"/>
          <w:szCs w:val="24"/>
          <w:shd w:val="clear" w:color="auto" w:fill="FFFFFF"/>
        </w:rPr>
        <w:t xml:space="preserve">) </w:t>
      </w:r>
    </w:p>
    <w:p w14:paraId="756738F5" w14:textId="77777777" w:rsidR="004942B6" w:rsidRPr="00DA4177" w:rsidRDefault="004942B6" w:rsidP="004942B6">
      <w:pPr>
        <w:spacing w:line="360" w:lineRule="auto"/>
        <w:jc w:val="both"/>
        <w:rPr>
          <w:rFonts w:ascii="Arial" w:hAnsi="Arial" w:cs="Arial"/>
          <w:sz w:val="24"/>
          <w:szCs w:val="24"/>
          <w:shd w:val="clear" w:color="auto" w:fill="FFFFFF"/>
        </w:rPr>
      </w:pPr>
      <w:r w:rsidRPr="00DA4177">
        <w:rPr>
          <w:rFonts w:ascii="Arial" w:hAnsi="Arial" w:cs="Arial"/>
          <w:sz w:val="24"/>
          <w:szCs w:val="24"/>
          <w:shd w:val="clear" w:color="auto" w:fill="FFFFFF"/>
        </w:rPr>
        <w:t>Coronary perfusion is a complex triad of flow, pressure, and resistance, coupled with neurohormonal modulation, which ensures an adequate balance in the myocardial arterial demand and supply. When this harmony is altered, it initiates an ischaemic cascade, producing a clinical constellation of CAD. (8</w:t>
      </w:r>
      <w:r>
        <w:rPr>
          <w:rFonts w:ascii="Arial" w:hAnsi="Arial" w:cs="Arial"/>
          <w:sz w:val="24"/>
          <w:szCs w:val="24"/>
          <w:shd w:val="clear" w:color="auto" w:fill="FFFFFF"/>
        </w:rPr>
        <w:t>0</w:t>
      </w:r>
      <w:r w:rsidRPr="00DA4177">
        <w:rPr>
          <w:rFonts w:ascii="Arial" w:hAnsi="Arial" w:cs="Arial"/>
          <w:sz w:val="24"/>
          <w:szCs w:val="24"/>
          <w:shd w:val="clear" w:color="auto" w:fill="FFFFFF"/>
        </w:rPr>
        <w:t>) Multiple factors that may affect the coronary perfusion include: (8</w:t>
      </w:r>
      <w:r>
        <w:rPr>
          <w:rFonts w:ascii="Arial" w:hAnsi="Arial" w:cs="Arial"/>
          <w:sz w:val="24"/>
          <w:szCs w:val="24"/>
          <w:shd w:val="clear" w:color="auto" w:fill="FFFFFF"/>
        </w:rPr>
        <w:t>0</w:t>
      </w:r>
      <w:r w:rsidRPr="00DA4177">
        <w:rPr>
          <w:rFonts w:ascii="Arial" w:hAnsi="Arial" w:cs="Arial"/>
          <w:sz w:val="24"/>
          <w:szCs w:val="24"/>
          <w:shd w:val="clear" w:color="auto" w:fill="FFFFFF"/>
        </w:rPr>
        <w:t>)</w:t>
      </w:r>
    </w:p>
    <w:p w14:paraId="140109D0" w14:textId="77777777" w:rsidR="004942B6" w:rsidRPr="00DA4177" w:rsidRDefault="004942B6" w:rsidP="004942B6">
      <w:pPr>
        <w:spacing w:line="360" w:lineRule="auto"/>
        <w:jc w:val="both"/>
        <w:rPr>
          <w:rFonts w:ascii="Arial" w:hAnsi="Arial" w:cs="Arial"/>
          <w:sz w:val="24"/>
          <w:szCs w:val="24"/>
          <w:shd w:val="clear" w:color="auto" w:fill="FFFFFF"/>
        </w:rPr>
      </w:pPr>
      <w:r w:rsidRPr="00DA4177">
        <w:rPr>
          <w:rFonts w:ascii="Arial" w:hAnsi="Arial" w:cs="Arial"/>
          <w:sz w:val="24"/>
          <w:szCs w:val="24"/>
          <w:shd w:val="clear" w:color="auto" w:fill="FFFFFF"/>
        </w:rPr>
        <w:t>a. Perfusion time – tachycardia reduces the diastolic phase duration and reduces myocardial perfusion.</w:t>
      </w:r>
    </w:p>
    <w:p w14:paraId="06E23F51" w14:textId="77777777" w:rsidR="004942B6" w:rsidRPr="00DA4177" w:rsidRDefault="004942B6" w:rsidP="004942B6">
      <w:pPr>
        <w:spacing w:line="360" w:lineRule="auto"/>
        <w:jc w:val="both"/>
        <w:rPr>
          <w:rFonts w:ascii="Arial" w:hAnsi="Arial" w:cs="Arial"/>
          <w:sz w:val="24"/>
          <w:szCs w:val="24"/>
          <w:shd w:val="clear" w:color="auto" w:fill="FFFFFF"/>
        </w:rPr>
      </w:pPr>
      <w:r w:rsidRPr="00DA4177">
        <w:rPr>
          <w:rFonts w:ascii="Arial" w:hAnsi="Arial" w:cs="Arial"/>
          <w:sz w:val="24"/>
          <w:szCs w:val="24"/>
          <w:shd w:val="clear" w:color="auto" w:fill="FFFFFF"/>
        </w:rPr>
        <w:t xml:space="preserve">b. Vessel wall diameter – this is affected by vasomotor tone through autoregulation, stenoses in the vessel, microvascular disease, and variations in myocardial metabolism via the release of nitric oxide and adenosine. </w:t>
      </w:r>
    </w:p>
    <w:p w14:paraId="30A3B63B" w14:textId="77777777" w:rsidR="004942B6" w:rsidRPr="00DA4177" w:rsidRDefault="004942B6" w:rsidP="004942B6">
      <w:pPr>
        <w:spacing w:line="360" w:lineRule="auto"/>
        <w:jc w:val="both"/>
        <w:rPr>
          <w:rFonts w:ascii="Arial" w:hAnsi="Arial" w:cs="Arial"/>
          <w:sz w:val="24"/>
          <w:szCs w:val="24"/>
          <w:shd w:val="clear" w:color="auto" w:fill="FFFFFF"/>
        </w:rPr>
      </w:pPr>
      <w:r w:rsidRPr="00DA4177">
        <w:rPr>
          <w:rFonts w:ascii="Arial" w:hAnsi="Arial" w:cs="Arial"/>
          <w:sz w:val="24"/>
          <w:szCs w:val="24"/>
          <w:shd w:val="clear" w:color="auto" w:fill="FFFFFF"/>
        </w:rPr>
        <w:t>c. Concomitant disorders – hypertension, diabetes, heart failure, or aortic valve stenosis.</w:t>
      </w:r>
    </w:p>
    <w:p w14:paraId="1392CAEE" w14:textId="77777777" w:rsidR="004942B6" w:rsidRPr="00DA4177" w:rsidRDefault="004942B6" w:rsidP="004942B6">
      <w:pPr>
        <w:spacing w:line="360" w:lineRule="auto"/>
        <w:jc w:val="both"/>
        <w:rPr>
          <w:rFonts w:ascii="Arial" w:hAnsi="Arial" w:cs="Arial"/>
          <w:sz w:val="24"/>
          <w:szCs w:val="24"/>
          <w:shd w:val="clear" w:color="auto" w:fill="FFFFFF"/>
        </w:rPr>
      </w:pPr>
      <w:r w:rsidRPr="00DA4177">
        <w:rPr>
          <w:rFonts w:ascii="Arial" w:hAnsi="Arial" w:cs="Arial"/>
          <w:sz w:val="24"/>
          <w:szCs w:val="24"/>
          <w:shd w:val="clear" w:color="auto" w:fill="FFFFFF"/>
        </w:rPr>
        <w:t>d. Drugs – beta blockers, calcium channel blockers, nitrates, or inotropes.</w:t>
      </w:r>
    </w:p>
    <w:p w14:paraId="017FC99B" w14:textId="77777777" w:rsidR="004942B6" w:rsidRPr="00DA4177" w:rsidRDefault="004942B6" w:rsidP="004942B6">
      <w:pPr>
        <w:spacing w:line="360" w:lineRule="auto"/>
        <w:jc w:val="both"/>
        <w:rPr>
          <w:rFonts w:ascii="Arial" w:hAnsi="Arial" w:cs="Arial"/>
          <w:sz w:val="24"/>
          <w:szCs w:val="24"/>
          <w:shd w:val="clear" w:color="auto" w:fill="FFFFFF"/>
        </w:rPr>
      </w:pPr>
      <w:r w:rsidRPr="00DA4177">
        <w:rPr>
          <w:rFonts w:ascii="Arial" w:hAnsi="Arial" w:cs="Arial"/>
          <w:sz w:val="24"/>
          <w:szCs w:val="24"/>
          <w:shd w:val="clear" w:color="auto" w:fill="FFFFFF"/>
        </w:rPr>
        <w:t>Gould et al. first demonstrated that the resting coronary blood flow is not significantly affected unless the lesion is at least 85% stenotic. (8</w:t>
      </w:r>
      <w:r>
        <w:rPr>
          <w:rFonts w:ascii="Arial" w:hAnsi="Arial" w:cs="Arial"/>
          <w:sz w:val="24"/>
          <w:szCs w:val="24"/>
          <w:shd w:val="clear" w:color="auto" w:fill="FFFFFF"/>
        </w:rPr>
        <w:t>4</w:t>
      </w:r>
      <w:r w:rsidRPr="00DA4177">
        <w:rPr>
          <w:rFonts w:ascii="Arial" w:hAnsi="Arial" w:cs="Arial"/>
          <w:sz w:val="24"/>
          <w:szCs w:val="24"/>
          <w:shd w:val="clear" w:color="auto" w:fill="FFFFFF"/>
        </w:rPr>
        <w:t>) However, even lesions with 30-40% stenosis during maximal hyperaemia may restrict the maximal achievable coronary blood flow. Hence, the actual magnitude of reduction in absolute coronary flow is most compelling during maximal hyperaemia. (8</w:t>
      </w:r>
      <w:r>
        <w:rPr>
          <w:rFonts w:ascii="Arial" w:hAnsi="Arial" w:cs="Arial"/>
          <w:sz w:val="24"/>
          <w:szCs w:val="24"/>
          <w:shd w:val="clear" w:color="auto" w:fill="FFFFFF"/>
        </w:rPr>
        <w:t>4</w:t>
      </w:r>
      <w:r w:rsidRPr="00DA4177">
        <w:rPr>
          <w:rFonts w:ascii="Arial" w:hAnsi="Arial" w:cs="Arial"/>
          <w:sz w:val="24"/>
          <w:szCs w:val="24"/>
          <w:shd w:val="clear" w:color="auto" w:fill="FFFFFF"/>
        </w:rPr>
        <w:t>)</w:t>
      </w:r>
    </w:p>
    <w:p w14:paraId="1E65FB2E" w14:textId="77777777" w:rsidR="004942B6" w:rsidRDefault="004942B6" w:rsidP="004942B6">
      <w:pPr>
        <w:spacing w:line="360" w:lineRule="auto"/>
        <w:jc w:val="both"/>
        <w:rPr>
          <w:rFonts w:ascii="Arial" w:hAnsi="Arial" w:cs="Arial"/>
          <w:sz w:val="24"/>
          <w:szCs w:val="24"/>
          <w:shd w:val="clear" w:color="auto" w:fill="FFFFFF"/>
        </w:rPr>
      </w:pPr>
      <w:r w:rsidRPr="00DA4177">
        <w:rPr>
          <w:rFonts w:ascii="Arial" w:hAnsi="Arial" w:cs="Arial"/>
          <w:sz w:val="24"/>
          <w:szCs w:val="24"/>
          <w:shd w:val="clear" w:color="auto" w:fill="FFFFFF"/>
        </w:rPr>
        <w:lastRenderedPageBreak/>
        <w:t xml:space="preserve">The difference between aortic diastolic pressure and left ventricular end-diastolic pressure (LVEDP) drives </w:t>
      </w:r>
      <w:r>
        <w:rPr>
          <w:rFonts w:ascii="Arial" w:hAnsi="Arial" w:cs="Arial"/>
          <w:sz w:val="24"/>
          <w:szCs w:val="24"/>
          <w:shd w:val="clear" w:color="auto" w:fill="FFFFFF"/>
        </w:rPr>
        <w:t xml:space="preserve">blood </w:t>
      </w:r>
      <w:r w:rsidRPr="00DA4177">
        <w:rPr>
          <w:rFonts w:ascii="Arial" w:hAnsi="Arial" w:cs="Arial"/>
          <w:sz w:val="24"/>
          <w:szCs w:val="24"/>
          <w:shd w:val="clear" w:color="auto" w:fill="FFFFFF"/>
        </w:rPr>
        <w:t>flow down the coronary arteries. (8</w:t>
      </w:r>
      <w:r>
        <w:rPr>
          <w:rFonts w:ascii="Arial" w:hAnsi="Arial" w:cs="Arial"/>
          <w:sz w:val="24"/>
          <w:szCs w:val="24"/>
          <w:shd w:val="clear" w:color="auto" w:fill="FFFFFF"/>
        </w:rPr>
        <w:t>0</w:t>
      </w:r>
      <w:r w:rsidRPr="00DA4177">
        <w:rPr>
          <w:rFonts w:ascii="Arial" w:hAnsi="Arial" w:cs="Arial"/>
          <w:sz w:val="24"/>
          <w:szCs w:val="24"/>
          <w:shd w:val="clear" w:color="auto" w:fill="FFFFFF"/>
        </w:rPr>
        <w:t xml:space="preserve">)  The basic principle governing this flow can be understood by the application of Ohm’s law, in which coronary flow (Q) is equal to the ratio of the pressure gradient (ΔP) divided by the resistance (R) imposed by stenosis (if any) and microvascular resistance, as illustrated in </w:t>
      </w:r>
      <w:r>
        <w:rPr>
          <w:rFonts w:ascii="Arial" w:hAnsi="Arial" w:cs="Arial"/>
          <w:sz w:val="24"/>
          <w:szCs w:val="24"/>
          <w:shd w:val="clear" w:color="auto" w:fill="FFFFFF"/>
        </w:rPr>
        <w:t>F</w:t>
      </w:r>
      <w:r w:rsidRPr="00DA4177">
        <w:rPr>
          <w:rFonts w:ascii="Arial" w:hAnsi="Arial" w:cs="Arial"/>
          <w:sz w:val="24"/>
          <w:szCs w:val="24"/>
          <w:shd w:val="clear" w:color="auto" w:fill="FFFFFF"/>
        </w:rPr>
        <w:t>igure</w:t>
      </w:r>
      <w:r>
        <w:rPr>
          <w:rFonts w:ascii="Arial" w:hAnsi="Arial" w:cs="Arial"/>
          <w:sz w:val="24"/>
          <w:szCs w:val="24"/>
          <w:shd w:val="clear" w:color="auto" w:fill="FFFFFF"/>
        </w:rPr>
        <w:t xml:space="preserve"> 6.</w:t>
      </w:r>
      <w:r w:rsidRPr="00DA4177">
        <w:rPr>
          <w:rFonts w:ascii="Arial" w:hAnsi="Arial" w:cs="Arial"/>
          <w:sz w:val="24"/>
          <w:szCs w:val="24"/>
          <w:shd w:val="clear" w:color="auto" w:fill="FFFFFF"/>
        </w:rPr>
        <w:t xml:space="preserve"> (8</w:t>
      </w:r>
      <w:r>
        <w:rPr>
          <w:rFonts w:ascii="Arial" w:hAnsi="Arial" w:cs="Arial"/>
          <w:sz w:val="24"/>
          <w:szCs w:val="24"/>
          <w:shd w:val="clear" w:color="auto" w:fill="FFFFFF"/>
        </w:rPr>
        <w:t>0</w:t>
      </w:r>
      <w:r w:rsidRPr="00DA4177">
        <w:rPr>
          <w:rFonts w:ascii="Arial" w:hAnsi="Arial" w:cs="Arial"/>
          <w:sz w:val="24"/>
          <w:szCs w:val="24"/>
          <w:shd w:val="clear" w:color="auto" w:fill="FFFFFF"/>
        </w:rPr>
        <w:t>)</w:t>
      </w:r>
    </w:p>
    <w:p w14:paraId="4961CC35" w14:textId="77777777" w:rsidR="004942B6" w:rsidRPr="00A93019" w:rsidRDefault="004942B6" w:rsidP="004942B6">
      <w:pPr>
        <w:spacing w:line="360" w:lineRule="auto"/>
        <w:jc w:val="both"/>
        <w:rPr>
          <w:rFonts w:ascii="Arial" w:hAnsi="Arial" w:cs="Arial"/>
          <w:sz w:val="24"/>
          <w:szCs w:val="24"/>
          <w:shd w:val="clear" w:color="auto" w:fill="FFFFFF"/>
        </w:rPr>
      </w:pPr>
    </w:p>
    <w:p w14:paraId="47E3F0F2" w14:textId="77777777" w:rsidR="004942B6" w:rsidRPr="0018782B" w:rsidRDefault="004942B6" w:rsidP="004942B6">
      <w:pPr>
        <w:spacing w:line="360" w:lineRule="auto"/>
        <w:jc w:val="both"/>
        <w:rPr>
          <w:rFonts w:ascii="Arial" w:hAnsi="Arial" w:cs="Arial"/>
          <w:color w:val="212121"/>
          <w:sz w:val="24"/>
          <w:szCs w:val="24"/>
          <w:shd w:val="clear" w:color="auto" w:fill="FFFFFF"/>
        </w:rPr>
      </w:pPr>
      <w:r w:rsidRPr="0018782B">
        <w:rPr>
          <w:rFonts w:ascii="Arial" w:hAnsi="Arial" w:cs="Arial"/>
          <w:noProof/>
          <w:color w:val="212121"/>
          <w:sz w:val="24"/>
          <w:szCs w:val="24"/>
          <w:shd w:val="clear" w:color="auto" w:fill="FFFFFF"/>
          <w:lang w:eastAsia="en-GB"/>
        </w:rPr>
        <w:drawing>
          <wp:inline distT="0" distB="0" distL="0" distR="0" wp14:anchorId="21A877A3" wp14:editId="57025C84">
            <wp:extent cx="5731510" cy="3720465"/>
            <wp:effectExtent l="0" t="0" r="254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31510" cy="3720465"/>
                    </a:xfrm>
                    <a:prstGeom prst="rect">
                      <a:avLst/>
                    </a:prstGeom>
                    <a:ln>
                      <a:noFill/>
                    </a:ln>
                    <a:effectLst>
                      <a:softEdge rad="112500"/>
                    </a:effectLst>
                  </pic:spPr>
                </pic:pic>
              </a:graphicData>
            </a:graphic>
          </wp:inline>
        </w:drawing>
      </w:r>
    </w:p>
    <w:p w14:paraId="0E9F546D" w14:textId="66370A0C" w:rsidR="004942B6" w:rsidRPr="00723022" w:rsidRDefault="004942B6" w:rsidP="004942B6">
      <w:pPr>
        <w:pStyle w:val="Caption"/>
        <w:rPr>
          <w:rFonts w:ascii="Arial" w:hAnsi="Arial" w:cs="Arial"/>
          <w:color w:val="000000" w:themeColor="text1"/>
          <w:sz w:val="20"/>
          <w:szCs w:val="20"/>
          <w:shd w:val="clear" w:color="auto" w:fill="FFFFFF"/>
        </w:rPr>
      </w:pPr>
      <w:bookmarkStart w:id="237" w:name="_Toc151626676"/>
      <w:bookmarkStart w:id="238" w:name="_Toc152340470"/>
      <w:bookmarkStart w:id="239" w:name="_Toc152492263"/>
      <w:bookmarkStart w:id="240" w:name="_Toc152596950"/>
      <w:bookmarkStart w:id="241" w:name="_Toc153409655"/>
      <w:bookmarkStart w:id="242" w:name="_Toc153724902"/>
      <w:bookmarkStart w:id="243" w:name="_Toc159318488"/>
      <w:bookmarkStart w:id="244" w:name="_Toc159612014"/>
      <w:bookmarkStart w:id="245" w:name="_Toc160982660"/>
      <w:bookmarkStart w:id="246" w:name="_Toc164697485"/>
      <w:bookmarkStart w:id="247" w:name="_Toc170744567"/>
      <w:bookmarkStart w:id="248" w:name="_Toc196153198"/>
      <w:bookmarkStart w:id="249" w:name="_Toc134970245"/>
      <w:bookmarkStart w:id="250" w:name="_Toc135331831"/>
      <w:bookmarkStart w:id="251" w:name="_Toc145055724"/>
      <w:bookmarkStart w:id="252" w:name="_Toc150518899"/>
      <w:bookmarkStart w:id="253" w:name="_Toc151222836"/>
      <w:r w:rsidRPr="00723022">
        <w:rPr>
          <w:rFonts w:ascii="Arial" w:hAnsi="Arial" w:cs="Arial"/>
          <w:b/>
          <w:bCs/>
          <w:color w:val="000000" w:themeColor="text1"/>
          <w:sz w:val="20"/>
          <w:szCs w:val="20"/>
        </w:rPr>
        <w:t xml:space="preserve">Figure </w:t>
      </w:r>
      <w:r w:rsidRPr="00723022">
        <w:rPr>
          <w:rFonts w:ascii="Arial" w:hAnsi="Arial" w:cs="Arial"/>
          <w:b/>
          <w:bCs/>
          <w:color w:val="000000" w:themeColor="text1"/>
          <w:sz w:val="20"/>
          <w:szCs w:val="20"/>
        </w:rPr>
        <w:fldChar w:fldCharType="begin"/>
      </w:r>
      <w:r w:rsidRPr="00723022">
        <w:rPr>
          <w:rFonts w:ascii="Arial" w:hAnsi="Arial" w:cs="Arial"/>
          <w:b/>
          <w:bCs/>
          <w:color w:val="000000" w:themeColor="text1"/>
          <w:sz w:val="20"/>
          <w:szCs w:val="20"/>
        </w:rPr>
        <w:instrText xml:space="preserve"> SEQ Figure \* ARABIC </w:instrText>
      </w:r>
      <w:r w:rsidRPr="00723022">
        <w:rPr>
          <w:rFonts w:ascii="Arial" w:hAnsi="Arial" w:cs="Arial"/>
          <w:b/>
          <w:bCs/>
          <w:color w:val="000000" w:themeColor="text1"/>
          <w:sz w:val="20"/>
          <w:szCs w:val="20"/>
        </w:rPr>
        <w:fldChar w:fldCharType="separate"/>
      </w:r>
      <w:r w:rsidR="001823B4">
        <w:rPr>
          <w:rFonts w:ascii="Arial" w:hAnsi="Arial" w:cs="Arial"/>
          <w:b/>
          <w:bCs/>
          <w:noProof/>
          <w:color w:val="000000" w:themeColor="text1"/>
          <w:sz w:val="20"/>
          <w:szCs w:val="20"/>
        </w:rPr>
        <w:t>6</w:t>
      </w:r>
      <w:r w:rsidRPr="00723022">
        <w:rPr>
          <w:rFonts w:ascii="Arial" w:hAnsi="Arial" w:cs="Arial"/>
          <w:b/>
          <w:bCs/>
          <w:noProof/>
          <w:color w:val="000000" w:themeColor="text1"/>
          <w:sz w:val="20"/>
          <w:szCs w:val="20"/>
        </w:rPr>
        <w:fldChar w:fldCharType="end"/>
      </w:r>
      <w:r w:rsidRPr="00723022">
        <w:rPr>
          <w:rFonts w:ascii="Arial" w:hAnsi="Arial" w:cs="Arial"/>
          <w:color w:val="000000" w:themeColor="text1"/>
          <w:sz w:val="20"/>
          <w:szCs w:val="20"/>
        </w:rPr>
        <w:t>: Ohm’s Law governing coronary physiology where coronary flow (Q) is equal to the pressure gradient (ΔP) divided by the resistance (R)</w:t>
      </w:r>
      <w:bookmarkEnd w:id="237"/>
      <w:bookmarkEnd w:id="238"/>
      <w:bookmarkEnd w:id="239"/>
      <w:bookmarkEnd w:id="240"/>
      <w:bookmarkEnd w:id="241"/>
      <w:bookmarkEnd w:id="242"/>
      <w:bookmarkEnd w:id="243"/>
      <w:bookmarkEnd w:id="244"/>
      <w:bookmarkEnd w:id="245"/>
      <w:bookmarkEnd w:id="246"/>
      <w:bookmarkEnd w:id="247"/>
      <w:bookmarkEnd w:id="248"/>
      <w:r w:rsidRPr="00723022">
        <w:rPr>
          <w:rFonts w:ascii="Arial" w:hAnsi="Arial" w:cs="Arial"/>
          <w:color w:val="000000" w:themeColor="text1"/>
          <w:sz w:val="20"/>
          <w:szCs w:val="20"/>
        </w:rPr>
        <w:t xml:space="preserve"> </w:t>
      </w:r>
      <w:bookmarkEnd w:id="249"/>
      <w:bookmarkEnd w:id="250"/>
      <w:bookmarkEnd w:id="251"/>
      <w:bookmarkEnd w:id="252"/>
      <w:bookmarkEnd w:id="253"/>
    </w:p>
    <w:p w14:paraId="11768B47" w14:textId="77777777" w:rsidR="004942B6" w:rsidRDefault="004942B6" w:rsidP="004942B6">
      <w:pPr>
        <w:spacing w:line="360" w:lineRule="auto"/>
        <w:jc w:val="both"/>
        <w:rPr>
          <w:rFonts w:ascii="Arial" w:hAnsi="Arial" w:cs="Arial"/>
          <w:color w:val="000000" w:themeColor="text1"/>
          <w:sz w:val="24"/>
          <w:szCs w:val="24"/>
          <w:shd w:val="clear" w:color="auto" w:fill="FFFFFF"/>
        </w:rPr>
      </w:pPr>
    </w:p>
    <w:p w14:paraId="0BC9E6AE" w14:textId="77777777" w:rsidR="004942B6" w:rsidRPr="007515E2" w:rsidRDefault="004942B6" w:rsidP="004942B6">
      <w:pPr>
        <w:pStyle w:val="Heading2"/>
        <w:spacing w:line="360" w:lineRule="auto"/>
        <w:rPr>
          <w:rFonts w:ascii="Arial" w:hAnsi="Arial" w:cs="Arial"/>
          <w:color w:val="4472C4" w:themeColor="accent1"/>
          <w:sz w:val="28"/>
          <w:szCs w:val="28"/>
        </w:rPr>
      </w:pPr>
      <w:bookmarkStart w:id="254" w:name="_Toc171203857"/>
      <w:bookmarkStart w:id="255" w:name="_Toc113975424"/>
      <w:r w:rsidRPr="007515E2">
        <w:rPr>
          <w:rFonts w:ascii="Arial" w:hAnsi="Arial" w:cs="Arial"/>
          <w:color w:val="4472C4" w:themeColor="accent1"/>
          <w:sz w:val="28"/>
          <w:szCs w:val="28"/>
        </w:rPr>
        <w:t>1.9 Why should coronary physiology be considered?</w:t>
      </w:r>
      <w:bookmarkEnd w:id="254"/>
      <w:r w:rsidRPr="007515E2">
        <w:rPr>
          <w:rFonts w:ascii="Arial" w:hAnsi="Arial" w:cs="Arial"/>
          <w:color w:val="4472C4" w:themeColor="accent1"/>
          <w:sz w:val="28"/>
          <w:szCs w:val="28"/>
        </w:rPr>
        <w:t xml:space="preserve"> </w:t>
      </w:r>
      <w:bookmarkEnd w:id="255"/>
    </w:p>
    <w:p w14:paraId="5BA36A6A" w14:textId="77777777" w:rsidR="004942B6" w:rsidRDefault="004942B6" w:rsidP="004942B6">
      <w:pPr>
        <w:spacing w:line="360" w:lineRule="auto"/>
        <w:jc w:val="both"/>
        <w:rPr>
          <w:rFonts w:ascii="Arial" w:hAnsi="Arial" w:cs="Arial"/>
          <w:color w:val="000000" w:themeColor="text1"/>
          <w:sz w:val="24"/>
          <w:szCs w:val="24"/>
        </w:rPr>
      </w:pPr>
      <w:r w:rsidRPr="004D543D">
        <w:rPr>
          <w:rFonts w:ascii="Arial" w:hAnsi="Arial" w:cs="Arial"/>
          <w:sz w:val="24"/>
          <w:szCs w:val="24"/>
        </w:rPr>
        <w:t xml:space="preserve">The current management of </w:t>
      </w:r>
      <w:r>
        <w:rPr>
          <w:rFonts w:ascii="Arial" w:hAnsi="Arial" w:cs="Arial"/>
          <w:sz w:val="24"/>
          <w:szCs w:val="24"/>
        </w:rPr>
        <w:t>many</w:t>
      </w:r>
      <w:r w:rsidRPr="004D543D">
        <w:rPr>
          <w:rFonts w:ascii="Arial" w:hAnsi="Arial" w:cs="Arial"/>
          <w:sz w:val="24"/>
          <w:szCs w:val="24"/>
        </w:rPr>
        <w:t xml:space="preserve"> ACS and CCS patients with a high probability of CAD is with an invasive coronary angiogram to decide upon a revascularisation strategy, either with percutaneous coronary intervention (PCI) or coronary artery bypass graft (CABG). (8</w:t>
      </w:r>
      <w:r>
        <w:rPr>
          <w:rFonts w:ascii="Arial" w:hAnsi="Arial" w:cs="Arial"/>
          <w:sz w:val="24"/>
          <w:szCs w:val="24"/>
        </w:rPr>
        <w:t>5</w:t>
      </w:r>
      <w:r w:rsidRPr="004D543D">
        <w:rPr>
          <w:rFonts w:ascii="Arial" w:hAnsi="Arial" w:cs="Arial"/>
          <w:sz w:val="24"/>
          <w:szCs w:val="24"/>
        </w:rPr>
        <w:t>) However, a coronary angiogram is essentially a 2-D lumenogram, and visual assessment alone does not corroborate well with the physiological significance due to imaging imprecision and a considerable inter-observer variation in the estimation of the lesion’s severity. (8</w:t>
      </w:r>
      <w:r>
        <w:rPr>
          <w:rFonts w:ascii="Arial" w:hAnsi="Arial" w:cs="Arial"/>
          <w:sz w:val="24"/>
          <w:szCs w:val="24"/>
        </w:rPr>
        <w:t>6</w:t>
      </w:r>
      <w:r w:rsidRPr="004D543D">
        <w:rPr>
          <w:rFonts w:ascii="Arial" w:hAnsi="Arial" w:cs="Arial"/>
          <w:sz w:val="24"/>
          <w:szCs w:val="24"/>
        </w:rPr>
        <w:t>,8</w:t>
      </w:r>
      <w:r>
        <w:rPr>
          <w:rFonts w:ascii="Arial" w:hAnsi="Arial" w:cs="Arial"/>
          <w:sz w:val="24"/>
          <w:szCs w:val="24"/>
        </w:rPr>
        <w:t>7</w:t>
      </w:r>
      <w:r w:rsidRPr="004D543D">
        <w:rPr>
          <w:rFonts w:ascii="Arial" w:hAnsi="Arial" w:cs="Arial"/>
          <w:sz w:val="24"/>
          <w:szCs w:val="24"/>
        </w:rPr>
        <w:t xml:space="preserve">) The RIPCORD trial </w:t>
      </w:r>
      <w:r w:rsidRPr="004D543D">
        <w:rPr>
          <w:rFonts w:ascii="Arial" w:hAnsi="Arial" w:cs="Arial"/>
          <w:sz w:val="24"/>
          <w:szCs w:val="24"/>
        </w:rPr>
        <w:lastRenderedPageBreak/>
        <w:t>(200 patients) showed a discrepancy in the evaluation of an angiographic moderate lesion between visual assessment and FFR. The study showed an alteration in the management plans of 26% (53/200) of the patients after disclosing FFR values. (8</w:t>
      </w:r>
      <w:r>
        <w:rPr>
          <w:rFonts w:ascii="Arial" w:hAnsi="Arial" w:cs="Arial"/>
          <w:sz w:val="24"/>
          <w:szCs w:val="24"/>
        </w:rPr>
        <w:t>8</w:t>
      </w:r>
      <w:r w:rsidRPr="004D543D">
        <w:rPr>
          <w:rFonts w:ascii="Arial" w:hAnsi="Arial" w:cs="Arial"/>
          <w:sz w:val="24"/>
          <w:szCs w:val="24"/>
        </w:rPr>
        <w:t>) A sub-analysis of the FAME trial demonstrated that as many as 65% of the non-LMS lesions with a visually estimated stenosis &gt;50% were functionally non-ischemic (FFR &gt;0.8); (</w:t>
      </w:r>
      <w:r>
        <w:rPr>
          <w:rFonts w:ascii="Arial" w:hAnsi="Arial" w:cs="Arial"/>
          <w:sz w:val="24"/>
          <w:szCs w:val="24"/>
        </w:rPr>
        <w:t>89</w:t>
      </w:r>
      <w:r w:rsidRPr="004D543D">
        <w:rPr>
          <w:rFonts w:ascii="Arial" w:hAnsi="Arial" w:cs="Arial"/>
          <w:sz w:val="24"/>
          <w:szCs w:val="24"/>
        </w:rPr>
        <w:t>) and conversely, 20% of the LMS lesions were ischemia-provoking, despite being visually estimated as &lt;50%. (</w:t>
      </w:r>
      <w:r>
        <w:rPr>
          <w:rFonts w:ascii="Arial" w:hAnsi="Arial" w:cs="Arial"/>
          <w:sz w:val="24"/>
          <w:szCs w:val="24"/>
        </w:rPr>
        <w:t>89</w:t>
      </w:r>
      <w:r w:rsidRPr="004D543D">
        <w:rPr>
          <w:rFonts w:ascii="Arial" w:hAnsi="Arial" w:cs="Arial"/>
          <w:sz w:val="24"/>
          <w:szCs w:val="24"/>
        </w:rPr>
        <w:t>) Another study of 2986 patients revealed a discordance of 35% between the visual-functional significance, with LMS being more often underestimated. (9</w:t>
      </w:r>
      <w:r>
        <w:rPr>
          <w:rFonts w:ascii="Arial" w:hAnsi="Arial" w:cs="Arial"/>
          <w:sz w:val="24"/>
          <w:szCs w:val="24"/>
        </w:rPr>
        <w:t>0</w:t>
      </w:r>
      <w:r w:rsidRPr="004D543D">
        <w:rPr>
          <w:rFonts w:ascii="Arial" w:hAnsi="Arial" w:cs="Arial"/>
          <w:sz w:val="24"/>
          <w:szCs w:val="24"/>
        </w:rPr>
        <w:t>) Additionally, there may be further inconsistencies depending upon the quality of the angiogram, aorto-ostial or branch-ostial location of the stenoses, and vessel overlap, which may hinder the evaluation of the coronary tree. (8</w:t>
      </w:r>
      <w:r>
        <w:rPr>
          <w:rFonts w:ascii="Arial" w:hAnsi="Arial" w:cs="Arial"/>
          <w:sz w:val="24"/>
          <w:szCs w:val="24"/>
        </w:rPr>
        <w:t>7</w:t>
      </w:r>
      <w:r w:rsidRPr="004D543D">
        <w:rPr>
          <w:rFonts w:ascii="Arial" w:hAnsi="Arial" w:cs="Arial"/>
          <w:sz w:val="24"/>
          <w:szCs w:val="24"/>
        </w:rPr>
        <w:t>) Therefore, the angiography-alone strategy to guide decisions about revascularization may be flawed and can lead to unnecessary revascularisation procedures. Hence, coronary physiology should be used as an adjunct for accurate and appropriate decision-making.</w:t>
      </w:r>
    </w:p>
    <w:p w14:paraId="2736501B" w14:textId="77777777" w:rsidR="004942B6" w:rsidRDefault="004942B6" w:rsidP="004942B6">
      <w:pPr>
        <w:pStyle w:val="Heading2"/>
        <w:spacing w:line="360" w:lineRule="auto"/>
        <w:rPr>
          <w:rFonts w:ascii="Arial" w:hAnsi="Arial" w:cs="Arial"/>
          <w:color w:val="auto"/>
          <w:sz w:val="24"/>
          <w:szCs w:val="24"/>
        </w:rPr>
      </w:pPr>
      <w:bookmarkStart w:id="256" w:name="_Toc113975425"/>
    </w:p>
    <w:p w14:paraId="69ABEF5A" w14:textId="77777777" w:rsidR="004942B6" w:rsidRPr="007515E2" w:rsidRDefault="004942B6" w:rsidP="004942B6">
      <w:pPr>
        <w:pStyle w:val="Heading2"/>
        <w:spacing w:line="360" w:lineRule="auto"/>
        <w:rPr>
          <w:rFonts w:ascii="Arial" w:hAnsi="Arial" w:cs="Arial"/>
          <w:color w:val="4472C4" w:themeColor="accent1"/>
          <w:sz w:val="28"/>
          <w:szCs w:val="28"/>
        </w:rPr>
      </w:pPr>
      <w:bookmarkStart w:id="257" w:name="_Toc171203858"/>
      <w:r w:rsidRPr="007515E2">
        <w:rPr>
          <w:rFonts w:ascii="Arial" w:hAnsi="Arial" w:cs="Arial"/>
          <w:color w:val="4472C4" w:themeColor="accent1"/>
          <w:sz w:val="28"/>
          <w:szCs w:val="28"/>
        </w:rPr>
        <w:t>1.10 How to assess coronary physiology?</w:t>
      </w:r>
      <w:bookmarkEnd w:id="256"/>
      <w:bookmarkEnd w:id="257"/>
    </w:p>
    <w:p w14:paraId="040A3DD8" w14:textId="77777777" w:rsidR="004942B6" w:rsidRPr="00723022" w:rsidRDefault="004942B6" w:rsidP="004942B6">
      <w:pPr>
        <w:spacing w:line="360" w:lineRule="auto"/>
        <w:jc w:val="both"/>
        <w:rPr>
          <w:rFonts w:ascii="Arial" w:hAnsi="Arial" w:cs="Arial"/>
          <w:sz w:val="24"/>
          <w:szCs w:val="24"/>
          <w:vertAlign w:val="subscript"/>
        </w:rPr>
      </w:pPr>
      <w:r w:rsidRPr="00D272DF">
        <w:rPr>
          <w:rFonts w:ascii="Arial" w:hAnsi="Arial" w:cs="Arial"/>
          <w:sz w:val="24"/>
          <w:szCs w:val="24"/>
        </w:rPr>
        <w:t>Coronary physiology can be assessed using both invasive and non-invasive means. Invasive methods include pressure wire-based, of which fractional flow reserve (FFR) is the most common, whilst non-invasive virtual FFR can be performed using CT (FFR</w:t>
      </w:r>
      <w:r>
        <w:rPr>
          <w:rFonts w:ascii="Arial" w:hAnsi="Arial" w:cs="Arial"/>
          <w:sz w:val="24"/>
          <w:szCs w:val="24"/>
          <w:vertAlign w:val="subscript"/>
        </w:rPr>
        <w:t>CT</w:t>
      </w:r>
      <w:r w:rsidRPr="00D272DF">
        <w:rPr>
          <w:rFonts w:ascii="Arial" w:hAnsi="Arial" w:cs="Arial"/>
          <w:sz w:val="24"/>
          <w:szCs w:val="24"/>
        </w:rPr>
        <w:t>) or hybrid invasive angiogram-based virtual FFR (FFR</w:t>
      </w:r>
      <w:r>
        <w:rPr>
          <w:rFonts w:ascii="Arial" w:hAnsi="Arial" w:cs="Arial"/>
          <w:sz w:val="24"/>
          <w:szCs w:val="24"/>
          <w:vertAlign w:val="subscript"/>
        </w:rPr>
        <w:t>CAG</w:t>
      </w:r>
      <w:r w:rsidRPr="00D272DF">
        <w:rPr>
          <w:rFonts w:ascii="Arial" w:hAnsi="Arial" w:cs="Arial"/>
          <w:sz w:val="24"/>
          <w:szCs w:val="24"/>
        </w:rPr>
        <w:t xml:space="preserve">).     </w:t>
      </w:r>
    </w:p>
    <w:p w14:paraId="17F33B66" w14:textId="77777777" w:rsidR="004942B6" w:rsidRPr="001D6986" w:rsidRDefault="004942B6" w:rsidP="004942B6">
      <w:pPr>
        <w:pStyle w:val="Heading3"/>
        <w:spacing w:line="360" w:lineRule="auto"/>
        <w:rPr>
          <w:rFonts w:ascii="Arial" w:hAnsi="Arial" w:cs="Arial"/>
          <w:color w:val="4472C4" w:themeColor="accent1"/>
          <w:sz w:val="24"/>
          <w:szCs w:val="24"/>
        </w:rPr>
      </w:pPr>
      <w:bookmarkStart w:id="258" w:name="_Toc113975426"/>
    </w:p>
    <w:p w14:paraId="693A66CF" w14:textId="77777777" w:rsidR="004942B6" w:rsidRPr="001D6986" w:rsidRDefault="004942B6" w:rsidP="004942B6">
      <w:pPr>
        <w:pStyle w:val="Heading3"/>
        <w:spacing w:line="360" w:lineRule="auto"/>
        <w:rPr>
          <w:rFonts w:ascii="Arial" w:hAnsi="Arial" w:cs="Arial"/>
          <w:color w:val="4472C4" w:themeColor="accent1"/>
          <w:sz w:val="24"/>
          <w:szCs w:val="24"/>
        </w:rPr>
      </w:pPr>
      <w:bookmarkStart w:id="259" w:name="_Toc159613552"/>
      <w:bookmarkStart w:id="260" w:name="_Toc160981213"/>
      <w:bookmarkStart w:id="261" w:name="_Toc164670981"/>
      <w:bookmarkStart w:id="262" w:name="_Toc164676007"/>
      <w:bookmarkStart w:id="263" w:name="_Toc164680452"/>
      <w:bookmarkStart w:id="264" w:name="_Toc164681350"/>
      <w:bookmarkStart w:id="265" w:name="_Toc170075032"/>
      <w:bookmarkStart w:id="266" w:name="_Toc170076019"/>
      <w:bookmarkStart w:id="267" w:name="_Toc170577715"/>
      <w:bookmarkStart w:id="268" w:name="_Toc170579233"/>
      <w:bookmarkStart w:id="269" w:name="_Toc171203088"/>
      <w:bookmarkStart w:id="270" w:name="_Toc171203859"/>
      <w:r w:rsidRPr="001D6986">
        <w:rPr>
          <w:rFonts w:ascii="Arial" w:hAnsi="Arial" w:cs="Arial"/>
          <w:color w:val="4472C4" w:themeColor="accent1"/>
          <w:sz w:val="24"/>
          <w:szCs w:val="24"/>
        </w:rPr>
        <w:t>1.10.1 Pressure wire-based invasive fractional flow reserve (FFR)</w:t>
      </w:r>
      <w:bookmarkEnd w:id="258"/>
      <w:bookmarkEnd w:id="259"/>
      <w:bookmarkEnd w:id="260"/>
      <w:bookmarkEnd w:id="261"/>
      <w:bookmarkEnd w:id="262"/>
      <w:bookmarkEnd w:id="263"/>
      <w:bookmarkEnd w:id="264"/>
      <w:bookmarkEnd w:id="265"/>
      <w:bookmarkEnd w:id="266"/>
      <w:bookmarkEnd w:id="267"/>
      <w:bookmarkEnd w:id="268"/>
      <w:bookmarkEnd w:id="269"/>
      <w:bookmarkEnd w:id="270"/>
    </w:p>
    <w:p w14:paraId="0086FA3B" w14:textId="77777777" w:rsidR="004942B6" w:rsidRPr="009222F3" w:rsidRDefault="004942B6" w:rsidP="004942B6">
      <w:pPr>
        <w:spacing w:line="360" w:lineRule="auto"/>
        <w:jc w:val="both"/>
        <w:rPr>
          <w:rFonts w:ascii="Arial" w:hAnsi="Arial" w:cs="Arial"/>
          <w:color w:val="000000" w:themeColor="text1"/>
          <w:sz w:val="24"/>
          <w:szCs w:val="24"/>
        </w:rPr>
      </w:pPr>
      <w:r w:rsidRPr="00C14673">
        <w:rPr>
          <w:rFonts w:ascii="Arial" w:hAnsi="Arial" w:cs="Arial"/>
          <w:color w:val="000000" w:themeColor="text1"/>
          <w:sz w:val="24"/>
          <w:szCs w:val="24"/>
        </w:rPr>
        <w:t>Fractional flow reserve (FFR) is defined as the ratio of coronary pressure distal to the stenosis (P</w:t>
      </w:r>
      <w:r>
        <w:rPr>
          <w:rFonts w:ascii="Arial" w:hAnsi="Arial" w:cs="Arial"/>
          <w:color w:val="000000" w:themeColor="text1"/>
          <w:sz w:val="24"/>
          <w:szCs w:val="24"/>
          <w:vertAlign w:val="subscript"/>
        </w:rPr>
        <w:t>d</w:t>
      </w:r>
      <w:r w:rsidRPr="00C14673">
        <w:rPr>
          <w:rFonts w:ascii="Arial" w:hAnsi="Arial" w:cs="Arial"/>
          <w:color w:val="000000" w:themeColor="text1"/>
          <w:sz w:val="24"/>
          <w:szCs w:val="24"/>
        </w:rPr>
        <w:t>) divided by the proximal aortic pressure (P</w:t>
      </w:r>
      <w:r>
        <w:rPr>
          <w:rFonts w:ascii="Arial" w:hAnsi="Arial" w:cs="Arial"/>
          <w:color w:val="000000" w:themeColor="text1"/>
          <w:sz w:val="24"/>
          <w:szCs w:val="24"/>
          <w:vertAlign w:val="subscript"/>
        </w:rPr>
        <w:t>a</w:t>
      </w:r>
      <w:r w:rsidRPr="00C14673">
        <w:rPr>
          <w:rFonts w:ascii="Arial" w:hAnsi="Arial" w:cs="Arial"/>
          <w:color w:val="000000" w:themeColor="text1"/>
          <w:sz w:val="24"/>
          <w:szCs w:val="24"/>
        </w:rPr>
        <w:t>), calculated during the maximal hyperaemic state, in which the microvascular resistance (MVR) is minimalistic. (9</w:t>
      </w:r>
      <w:r>
        <w:rPr>
          <w:rFonts w:ascii="Arial" w:hAnsi="Arial" w:cs="Arial"/>
          <w:color w:val="000000" w:themeColor="text1"/>
          <w:sz w:val="24"/>
          <w:szCs w:val="24"/>
        </w:rPr>
        <w:t>1</w:t>
      </w:r>
      <w:r w:rsidRPr="00C14673">
        <w:rPr>
          <w:rFonts w:ascii="Arial" w:hAnsi="Arial" w:cs="Arial"/>
          <w:color w:val="000000" w:themeColor="text1"/>
          <w:sz w:val="24"/>
          <w:szCs w:val="24"/>
        </w:rPr>
        <w:t>) The mean aortic pressure is measured via a guide catheter</w:t>
      </w:r>
      <w:r>
        <w:rPr>
          <w:rFonts w:ascii="Arial" w:hAnsi="Arial" w:cs="Arial"/>
          <w:color w:val="000000" w:themeColor="text1"/>
          <w:sz w:val="24"/>
          <w:szCs w:val="24"/>
        </w:rPr>
        <w:t xml:space="preserve">, whereas </w:t>
      </w:r>
      <w:r w:rsidRPr="00C14673">
        <w:rPr>
          <w:rFonts w:ascii="Arial" w:hAnsi="Arial" w:cs="Arial"/>
          <w:color w:val="000000" w:themeColor="text1"/>
          <w:sz w:val="24"/>
          <w:szCs w:val="24"/>
        </w:rPr>
        <w:t>the distal coronary pressure is estimated using a wire with a pressure transducer near the guidewire's tip</w:t>
      </w:r>
      <w:r>
        <w:rPr>
          <w:rFonts w:ascii="Arial" w:hAnsi="Arial" w:cs="Arial"/>
          <w:color w:val="000000" w:themeColor="text1"/>
          <w:sz w:val="24"/>
          <w:szCs w:val="24"/>
        </w:rPr>
        <w:t xml:space="preserve"> (see Figure 7). An example of a mid-RCA lesion being investigated with an invasive pressure wire is shown in Figure 8.</w:t>
      </w:r>
      <w:r w:rsidRPr="00C14673">
        <w:rPr>
          <w:rFonts w:ascii="Arial" w:hAnsi="Arial" w:cs="Arial"/>
          <w:color w:val="000000" w:themeColor="text1"/>
          <w:sz w:val="24"/>
          <w:szCs w:val="24"/>
        </w:rPr>
        <w:t xml:space="preserve"> </w:t>
      </w:r>
      <w:r w:rsidRPr="009222F3">
        <w:rPr>
          <w:rFonts w:ascii="Arial" w:hAnsi="Arial" w:cs="Arial"/>
          <w:color w:val="000000" w:themeColor="text1"/>
          <w:sz w:val="24"/>
          <w:szCs w:val="24"/>
        </w:rPr>
        <w:t xml:space="preserve">           </w:t>
      </w:r>
    </w:p>
    <w:p w14:paraId="553A538B" w14:textId="77777777" w:rsidR="004942B6" w:rsidRPr="009222F3" w:rsidRDefault="004942B6" w:rsidP="004942B6">
      <w:pPr>
        <w:pStyle w:val="Caption"/>
        <w:rPr>
          <w:rFonts w:ascii="Arial" w:hAnsi="Arial" w:cs="Arial"/>
          <w:color w:val="000000" w:themeColor="text1"/>
          <w:sz w:val="20"/>
          <w:szCs w:val="20"/>
          <w:vertAlign w:val="subscript"/>
        </w:rPr>
      </w:pPr>
    </w:p>
    <w:p w14:paraId="39A3D87C" w14:textId="77777777" w:rsidR="004942B6" w:rsidRDefault="004942B6" w:rsidP="004942B6">
      <w:pPr>
        <w:keepNext/>
        <w:jc w:val="both"/>
      </w:pPr>
      <w:r>
        <w:rPr>
          <w:noProof/>
          <w:lang w:eastAsia="en-GB"/>
        </w:rPr>
        <w:lastRenderedPageBreak/>
        <w:drawing>
          <wp:inline distT="0" distB="0" distL="0" distR="0" wp14:anchorId="10A4058E" wp14:editId="7F75C4A4">
            <wp:extent cx="5617106" cy="3710940"/>
            <wp:effectExtent l="0" t="0" r="0" b="3810"/>
            <wp:docPr id="246523764" name="Picture 246523764" descr="A diagram of a blood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23764" name="Picture 13" descr="A diagram of a blood vessel&#10;&#10;Description automatically generated"/>
                    <pic:cNvPicPr/>
                  </pic:nvPicPr>
                  <pic:blipFill rotWithShape="1">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12098" t="13675" r="14247" b="16809"/>
                    <a:stretch/>
                  </pic:blipFill>
                  <pic:spPr bwMode="auto">
                    <a:xfrm>
                      <a:off x="0" y="0"/>
                      <a:ext cx="5620356" cy="3713087"/>
                    </a:xfrm>
                    <a:prstGeom prst="rect">
                      <a:avLst/>
                    </a:prstGeom>
                    <a:ln>
                      <a:noFill/>
                    </a:ln>
                    <a:extLst>
                      <a:ext uri="{53640926-AAD7-44D8-BBD7-CCE9431645EC}">
                        <a14:shadowObscured xmlns:a14="http://schemas.microsoft.com/office/drawing/2010/main"/>
                      </a:ext>
                    </a:extLst>
                  </pic:spPr>
                </pic:pic>
              </a:graphicData>
            </a:graphic>
          </wp:inline>
        </w:drawing>
      </w:r>
    </w:p>
    <w:p w14:paraId="5DB4DBF2" w14:textId="53C7E93E" w:rsidR="004942B6" w:rsidRPr="00CF7E43" w:rsidRDefault="004942B6" w:rsidP="004942B6">
      <w:pPr>
        <w:pStyle w:val="Caption"/>
        <w:jc w:val="both"/>
        <w:rPr>
          <w:rFonts w:ascii="Arial" w:hAnsi="Arial" w:cs="Arial"/>
          <w:color w:val="auto"/>
          <w:sz w:val="20"/>
          <w:szCs w:val="20"/>
        </w:rPr>
      </w:pPr>
      <w:bookmarkStart w:id="271" w:name="_Toc151626677"/>
      <w:bookmarkStart w:id="272" w:name="_Toc152340471"/>
      <w:bookmarkStart w:id="273" w:name="_Toc152492264"/>
      <w:bookmarkStart w:id="274" w:name="_Toc152596951"/>
      <w:bookmarkStart w:id="275" w:name="_Toc153409656"/>
      <w:bookmarkStart w:id="276" w:name="_Toc153724903"/>
      <w:bookmarkStart w:id="277" w:name="_Toc159318489"/>
      <w:bookmarkStart w:id="278" w:name="_Toc159612015"/>
      <w:bookmarkStart w:id="279" w:name="_Toc160982661"/>
      <w:bookmarkStart w:id="280" w:name="_Toc164697486"/>
      <w:bookmarkStart w:id="281" w:name="_Toc170744568"/>
      <w:bookmarkStart w:id="282" w:name="_Toc196153199"/>
      <w:r w:rsidRPr="003D6CE3">
        <w:rPr>
          <w:rFonts w:ascii="Arial" w:hAnsi="Arial" w:cs="Arial"/>
          <w:b/>
          <w:bCs/>
          <w:color w:val="auto"/>
          <w:sz w:val="20"/>
          <w:szCs w:val="20"/>
        </w:rPr>
        <w:t xml:space="preserve">Figure </w:t>
      </w:r>
      <w:r w:rsidRPr="003D6CE3">
        <w:rPr>
          <w:rFonts w:ascii="Arial" w:hAnsi="Arial" w:cs="Arial"/>
          <w:b/>
          <w:bCs/>
          <w:color w:val="auto"/>
          <w:sz w:val="20"/>
          <w:szCs w:val="20"/>
        </w:rPr>
        <w:fldChar w:fldCharType="begin"/>
      </w:r>
      <w:r w:rsidRPr="003D6CE3">
        <w:rPr>
          <w:rFonts w:ascii="Arial" w:hAnsi="Arial" w:cs="Arial"/>
          <w:b/>
          <w:bCs/>
          <w:color w:val="auto"/>
          <w:sz w:val="20"/>
          <w:szCs w:val="20"/>
        </w:rPr>
        <w:instrText xml:space="preserve"> SEQ Figure \* ARABIC </w:instrText>
      </w:r>
      <w:r w:rsidRPr="003D6CE3">
        <w:rPr>
          <w:rFonts w:ascii="Arial" w:hAnsi="Arial" w:cs="Arial"/>
          <w:b/>
          <w:bCs/>
          <w:color w:val="auto"/>
          <w:sz w:val="20"/>
          <w:szCs w:val="20"/>
        </w:rPr>
        <w:fldChar w:fldCharType="separate"/>
      </w:r>
      <w:r w:rsidR="001823B4">
        <w:rPr>
          <w:rFonts w:ascii="Arial" w:hAnsi="Arial" w:cs="Arial"/>
          <w:b/>
          <w:bCs/>
          <w:noProof/>
          <w:color w:val="auto"/>
          <w:sz w:val="20"/>
          <w:szCs w:val="20"/>
        </w:rPr>
        <w:t>7</w:t>
      </w:r>
      <w:r w:rsidRPr="003D6CE3">
        <w:rPr>
          <w:rFonts w:ascii="Arial" w:hAnsi="Arial" w:cs="Arial"/>
          <w:b/>
          <w:bCs/>
          <w:color w:val="auto"/>
          <w:sz w:val="20"/>
          <w:szCs w:val="20"/>
        </w:rPr>
        <w:fldChar w:fldCharType="end"/>
      </w:r>
      <w:r w:rsidRPr="00CF7E43">
        <w:rPr>
          <w:rFonts w:ascii="Arial" w:hAnsi="Arial" w:cs="Arial"/>
          <w:color w:val="auto"/>
          <w:sz w:val="20"/>
          <w:szCs w:val="20"/>
        </w:rPr>
        <w:t>: FFR as demonstrated by the ratio of pressure distal to stenosis and aortic pressure Pd / Pa</w:t>
      </w:r>
      <w:bookmarkEnd w:id="271"/>
      <w:bookmarkEnd w:id="272"/>
      <w:bookmarkEnd w:id="273"/>
      <w:bookmarkEnd w:id="274"/>
      <w:bookmarkEnd w:id="275"/>
      <w:r>
        <w:rPr>
          <w:rFonts w:ascii="Arial" w:hAnsi="Arial" w:cs="Arial"/>
          <w:color w:val="auto"/>
          <w:sz w:val="20"/>
          <w:szCs w:val="20"/>
        </w:rPr>
        <w:t xml:space="preserve"> (image created with Biorender)</w:t>
      </w:r>
      <w:bookmarkEnd w:id="276"/>
      <w:bookmarkEnd w:id="277"/>
      <w:bookmarkEnd w:id="278"/>
      <w:bookmarkEnd w:id="279"/>
      <w:bookmarkEnd w:id="280"/>
      <w:bookmarkEnd w:id="281"/>
      <w:bookmarkEnd w:id="282"/>
    </w:p>
    <w:p w14:paraId="7E66B704" w14:textId="77777777" w:rsidR="004942B6" w:rsidRPr="00136DE2" w:rsidRDefault="004942B6" w:rsidP="004942B6"/>
    <w:p w14:paraId="45880811" w14:textId="77777777" w:rsidR="004942B6" w:rsidRDefault="004942B6" w:rsidP="004942B6">
      <w:pPr>
        <w:pStyle w:val="Heading4"/>
        <w:spacing w:line="360" w:lineRule="auto"/>
        <w:rPr>
          <w:rFonts w:ascii="Arial" w:eastAsiaTheme="minorHAnsi" w:hAnsi="Arial" w:cs="Arial"/>
          <w:i w:val="0"/>
          <w:iCs w:val="0"/>
          <w:color w:val="000000" w:themeColor="text1"/>
          <w:sz w:val="24"/>
          <w:szCs w:val="24"/>
        </w:rPr>
      </w:pPr>
      <w:bookmarkStart w:id="283" w:name="_Toc113975427"/>
    </w:p>
    <w:p w14:paraId="0EAA5882" w14:textId="77777777" w:rsidR="004942B6" w:rsidRDefault="004942B6" w:rsidP="004942B6">
      <w:pPr>
        <w:keepNext/>
      </w:pPr>
      <w:r>
        <w:rPr>
          <w:noProof/>
          <w:lang w:eastAsia="en-GB"/>
        </w:rPr>
        <w:drawing>
          <wp:inline distT="0" distB="0" distL="0" distR="0" wp14:anchorId="6405C049" wp14:editId="4BAEA256">
            <wp:extent cx="5987378" cy="2422358"/>
            <wp:effectExtent l="0" t="0" r="0" b="0"/>
            <wp:docPr id="772708161" name="Picture 7727081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08161" name="Picture 2" descr="A screenshot of a computer&#10;&#10;Description automatically generated"/>
                    <pic:cNvPicPr/>
                  </pic:nvPicPr>
                  <pic:blipFill rotWithShape="1">
                    <a:blip r:embed="rId22" cstate="print">
                      <a:extLst>
                        <a:ext uri="{BEBA8EAE-BF5A-486C-A8C5-ECC9F3942E4B}">
                          <a14:imgProps xmlns:a14="http://schemas.microsoft.com/office/drawing/2010/main">
                            <a14:imgLayer r:embed="rId2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5319" t="3400" r="3290" b="46419"/>
                    <a:stretch/>
                  </pic:blipFill>
                  <pic:spPr bwMode="auto">
                    <a:xfrm>
                      <a:off x="0" y="0"/>
                      <a:ext cx="5994800" cy="2425361"/>
                    </a:xfrm>
                    <a:prstGeom prst="rect">
                      <a:avLst/>
                    </a:prstGeom>
                    <a:ln>
                      <a:noFill/>
                    </a:ln>
                    <a:extLst>
                      <a:ext uri="{53640926-AAD7-44D8-BBD7-CCE9431645EC}">
                        <a14:shadowObscured xmlns:a14="http://schemas.microsoft.com/office/drawing/2010/main"/>
                      </a:ext>
                    </a:extLst>
                  </pic:spPr>
                </pic:pic>
              </a:graphicData>
            </a:graphic>
          </wp:inline>
        </w:drawing>
      </w:r>
    </w:p>
    <w:p w14:paraId="38122F05" w14:textId="43678F31" w:rsidR="004942B6" w:rsidRPr="00EE1E49" w:rsidRDefault="004942B6" w:rsidP="004942B6">
      <w:pPr>
        <w:pStyle w:val="Caption"/>
        <w:jc w:val="both"/>
        <w:rPr>
          <w:rFonts w:ascii="Arial" w:hAnsi="Arial" w:cs="Arial"/>
          <w:color w:val="auto"/>
          <w:sz w:val="20"/>
          <w:szCs w:val="20"/>
        </w:rPr>
      </w:pPr>
      <w:bookmarkStart w:id="284" w:name="_Toc153409657"/>
      <w:bookmarkStart w:id="285" w:name="_Toc153724904"/>
      <w:bookmarkStart w:id="286" w:name="_Toc159318490"/>
      <w:bookmarkStart w:id="287" w:name="_Toc159612016"/>
      <w:bookmarkStart w:id="288" w:name="_Toc160982662"/>
      <w:bookmarkStart w:id="289" w:name="_Toc164697487"/>
      <w:bookmarkStart w:id="290" w:name="_Toc170744569"/>
      <w:bookmarkStart w:id="291" w:name="_Toc196153200"/>
      <w:r w:rsidRPr="00EE1E49">
        <w:rPr>
          <w:rFonts w:ascii="Arial" w:hAnsi="Arial" w:cs="Arial"/>
          <w:b/>
          <w:bCs/>
          <w:color w:val="auto"/>
          <w:sz w:val="20"/>
          <w:szCs w:val="20"/>
        </w:rPr>
        <w:t xml:space="preserve">Figure </w:t>
      </w:r>
      <w:r w:rsidRPr="00EE1E49">
        <w:rPr>
          <w:rFonts w:ascii="Arial" w:hAnsi="Arial" w:cs="Arial"/>
          <w:b/>
          <w:bCs/>
          <w:color w:val="auto"/>
          <w:sz w:val="20"/>
          <w:szCs w:val="20"/>
        </w:rPr>
        <w:fldChar w:fldCharType="begin"/>
      </w:r>
      <w:r w:rsidRPr="00EE1E49">
        <w:rPr>
          <w:rFonts w:ascii="Arial" w:hAnsi="Arial" w:cs="Arial"/>
          <w:b/>
          <w:bCs/>
          <w:color w:val="auto"/>
          <w:sz w:val="20"/>
          <w:szCs w:val="20"/>
        </w:rPr>
        <w:instrText xml:space="preserve"> SEQ Figure \* ARABIC </w:instrText>
      </w:r>
      <w:r w:rsidRPr="00EE1E49">
        <w:rPr>
          <w:rFonts w:ascii="Arial" w:hAnsi="Arial" w:cs="Arial"/>
          <w:b/>
          <w:bCs/>
          <w:color w:val="auto"/>
          <w:sz w:val="20"/>
          <w:szCs w:val="20"/>
        </w:rPr>
        <w:fldChar w:fldCharType="separate"/>
      </w:r>
      <w:r w:rsidR="001823B4">
        <w:rPr>
          <w:rFonts w:ascii="Arial" w:hAnsi="Arial" w:cs="Arial"/>
          <w:b/>
          <w:bCs/>
          <w:noProof/>
          <w:color w:val="auto"/>
          <w:sz w:val="20"/>
          <w:szCs w:val="20"/>
        </w:rPr>
        <w:t>8</w:t>
      </w:r>
      <w:r w:rsidRPr="00EE1E49">
        <w:rPr>
          <w:rFonts w:ascii="Arial" w:hAnsi="Arial" w:cs="Arial"/>
          <w:b/>
          <w:bCs/>
          <w:color w:val="auto"/>
          <w:sz w:val="20"/>
          <w:szCs w:val="20"/>
        </w:rPr>
        <w:fldChar w:fldCharType="end"/>
      </w:r>
      <w:r w:rsidRPr="00EE1E49">
        <w:rPr>
          <w:rFonts w:ascii="Arial" w:hAnsi="Arial" w:cs="Arial"/>
          <w:b/>
          <w:bCs/>
          <w:color w:val="auto"/>
          <w:sz w:val="20"/>
          <w:szCs w:val="20"/>
        </w:rPr>
        <w:t>:</w:t>
      </w:r>
      <w:r w:rsidRPr="00EE1E49">
        <w:rPr>
          <w:rFonts w:ascii="Arial" w:hAnsi="Arial" w:cs="Arial"/>
          <w:color w:val="auto"/>
          <w:sz w:val="20"/>
          <w:szCs w:val="20"/>
        </w:rPr>
        <w:t xml:space="preserve"> An example of FFR performed in the right coronary artery</w:t>
      </w:r>
      <w:r>
        <w:rPr>
          <w:rFonts w:ascii="Arial" w:hAnsi="Arial" w:cs="Arial"/>
          <w:color w:val="auto"/>
          <w:sz w:val="20"/>
          <w:szCs w:val="20"/>
        </w:rPr>
        <w:t>. Panel A shows the mid-segment of the RCA being evaluated with a pressure wire. Panel B shows a negative</w:t>
      </w:r>
      <w:r w:rsidRPr="00EE1E49">
        <w:rPr>
          <w:rFonts w:ascii="Arial" w:hAnsi="Arial" w:cs="Arial"/>
          <w:color w:val="auto"/>
          <w:sz w:val="20"/>
          <w:szCs w:val="20"/>
        </w:rPr>
        <w:t xml:space="preserve"> </w:t>
      </w:r>
      <w:r>
        <w:rPr>
          <w:rFonts w:ascii="Arial" w:hAnsi="Arial" w:cs="Arial"/>
          <w:color w:val="auto"/>
          <w:sz w:val="20"/>
          <w:szCs w:val="20"/>
        </w:rPr>
        <w:t>FFR of</w:t>
      </w:r>
      <w:r w:rsidRPr="00EE1E49">
        <w:rPr>
          <w:rFonts w:ascii="Arial" w:hAnsi="Arial" w:cs="Arial"/>
          <w:color w:val="auto"/>
          <w:sz w:val="20"/>
          <w:szCs w:val="20"/>
        </w:rPr>
        <w:t xml:space="preserve"> 0.</w:t>
      </w:r>
      <w:r>
        <w:rPr>
          <w:rFonts w:ascii="Arial" w:hAnsi="Arial" w:cs="Arial"/>
          <w:color w:val="auto"/>
          <w:sz w:val="20"/>
          <w:szCs w:val="20"/>
        </w:rPr>
        <w:t>97</w:t>
      </w:r>
      <w:r w:rsidRPr="00EE1E49">
        <w:rPr>
          <w:rFonts w:ascii="Arial" w:hAnsi="Arial" w:cs="Arial"/>
          <w:color w:val="auto"/>
          <w:sz w:val="20"/>
          <w:szCs w:val="20"/>
        </w:rPr>
        <w:t xml:space="preserve"> (cut off for intervention 0.80) during maximal hyperaemia with intravenous adenosine administration</w:t>
      </w:r>
      <w:bookmarkEnd w:id="284"/>
      <w:r>
        <w:rPr>
          <w:rFonts w:ascii="Arial" w:hAnsi="Arial" w:cs="Arial"/>
          <w:color w:val="auto"/>
          <w:sz w:val="20"/>
          <w:szCs w:val="20"/>
        </w:rPr>
        <w:t xml:space="preserve"> (dotted area)</w:t>
      </w:r>
      <w:bookmarkEnd w:id="285"/>
      <w:bookmarkEnd w:id="286"/>
      <w:bookmarkEnd w:id="287"/>
      <w:bookmarkEnd w:id="288"/>
      <w:bookmarkEnd w:id="289"/>
      <w:bookmarkEnd w:id="290"/>
      <w:bookmarkEnd w:id="291"/>
    </w:p>
    <w:p w14:paraId="2CA2AAB5" w14:textId="77777777" w:rsidR="004942B6" w:rsidRDefault="004942B6" w:rsidP="004942B6">
      <w:pPr>
        <w:pStyle w:val="Heading4"/>
        <w:spacing w:line="360" w:lineRule="auto"/>
        <w:rPr>
          <w:rFonts w:ascii="Arial" w:eastAsiaTheme="minorHAnsi" w:hAnsi="Arial" w:cs="Arial"/>
          <w:i w:val="0"/>
          <w:iCs w:val="0"/>
          <w:color w:val="000000" w:themeColor="text1"/>
          <w:sz w:val="24"/>
          <w:szCs w:val="24"/>
        </w:rPr>
      </w:pPr>
      <w:r w:rsidRPr="002F6475">
        <w:rPr>
          <w:rFonts w:ascii="Arial" w:eastAsiaTheme="minorHAnsi" w:hAnsi="Arial" w:cs="Arial"/>
          <w:i w:val="0"/>
          <w:iCs w:val="0"/>
          <w:color w:val="000000" w:themeColor="text1"/>
          <w:sz w:val="24"/>
          <w:szCs w:val="24"/>
        </w:rPr>
        <w:lastRenderedPageBreak/>
        <w:t>The presence of hyperaemia is essential to mimic the physiological state of exercise, which requires maximal flow. The hyperaemic state is achieved by the administration of adenosine, which results in the reduction of MVR to minimal levels (9</w:t>
      </w:r>
      <w:r>
        <w:rPr>
          <w:rFonts w:ascii="Arial" w:eastAsiaTheme="minorHAnsi" w:hAnsi="Arial" w:cs="Arial"/>
          <w:i w:val="0"/>
          <w:iCs w:val="0"/>
          <w:color w:val="000000" w:themeColor="text1"/>
          <w:sz w:val="24"/>
          <w:szCs w:val="24"/>
        </w:rPr>
        <w:t>2</w:t>
      </w:r>
      <w:r w:rsidRPr="002F6475">
        <w:rPr>
          <w:rFonts w:ascii="Arial" w:eastAsiaTheme="minorHAnsi" w:hAnsi="Arial" w:cs="Arial"/>
          <w:i w:val="0"/>
          <w:iCs w:val="0"/>
          <w:color w:val="000000" w:themeColor="text1"/>
          <w:sz w:val="24"/>
          <w:szCs w:val="24"/>
        </w:rPr>
        <w:t>). Adenosine can be given either as an intravenous infusion (140 ug/kg/min) or as an intracoronary bolus. (9</w:t>
      </w:r>
      <w:r>
        <w:rPr>
          <w:rFonts w:ascii="Arial" w:eastAsiaTheme="minorHAnsi" w:hAnsi="Arial" w:cs="Arial"/>
          <w:i w:val="0"/>
          <w:iCs w:val="0"/>
          <w:color w:val="000000" w:themeColor="text1"/>
          <w:sz w:val="24"/>
          <w:szCs w:val="24"/>
        </w:rPr>
        <w:t>4</w:t>
      </w:r>
      <w:r w:rsidRPr="002F6475">
        <w:rPr>
          <w:rFonts w:ascii="Arial" w:eastAsiaTheme="minorHAnsi" w:hAnsi="Arial" w:cs="Arial"/>
          <w:i w:val="0"/>
          <w:iCs w:val="0"/>
          <w:color w:val="000000" w:themeColor="text1"/>
          <w:sz w:val="24"/>
          <w:szCs w:val="24"/>
        </w:rPr>
        <w:t>)</w:t>
      </w:r>
      <w:r>
        <w:rPr>
          <w:rFonts w:ascii="Arial" w:eastAsiaTheme="minorHAnsi" w:hAnsi="Arial" w:cs="Arial"/>
          <w:i w:val="0"/>
          <w:iCs w:val="0"/>
          <w:color w:val="000000" w:themeColor="text1"/>
          <w:sz w:val="24"/>
          <w:szCs w:val="24"/>
        </w:rPr>
        <w:t xml:space="preserve"> </w:t>
      </w:r>
      <w:r w:rsidRPr="002F6475">
        <w:rPr>
          <w:rFonts w:ascii="Arial" w:eastAsiaTheme="minorHAnsi" w:hAnsi="Arial" w:cs="Arial"/>
          <w:i w:val="0"/>
          <w:iCs w:val="0"/>
          <w:color w:val="000000" w:themeColor="text1"/>
          <w:sz w:val="24"/>
          <w:szCs w:val="24"/>
        </w:rPr>
        <w:t>FFR values should always be evaluated by considering the clinical context and should not be used as a dichotomous variable for clinical decision-making, with a threshold of 0.8 as the cut-off for coronary intervention. (9</w:t>
      </w:r>
      <w:r>
        <w:rPr>
          <w:rFonts w:ascii="Arial" w:eastAsiaTheme="minorHAnsi" w:hAnsi="Arial" w:cs="Arial"/>
          <w:i w:val="0"/>
          <w:iCs w:val="0"/>
          <w:color w:val="000000" w:themeColor="text1"/>
          <w:sz w:val="24"/>
          <w:szCs w:val="24"/>
        </w:rPr>
        <w:t>3,94</w:t>
      </w:r>
      <w:r w:rsidRPr="002F6475">
        <w:rPr>
          <w:rFonts w:ascii="Arial" w:eastAsiaTheme="minorHAnsi" w:hAnsi="Arial" w:cs="Arial"/>
          <w:i w:val="0"/>
          <w:iCs w:val="0"/>
          <w:color w:val="000000" w:themeColor="text1"/>
          <w:sz w:val="24"/>
          <w:szCs w:val="24"/>
        </w:rPr>
        <w:t xml:space="preserve">)  </w:t>
      </w:r>
    </w:p>
    <w:p w14:paraId="777BBE10" w14:textId="77777777" w:rsidR="004942B6" w:rsidRPr="002F6475" w:rsidRDefault="004942B6" w:rsidP="004942B6">
      <w:pPr>
        <w:spacing w:line="360" w:lineRule="auto"/>
      </w:pPr>
    </w:p>
    <w:p w14:paraId="6137639F" w14:textId="77777777" w:rsidR="004942B6" w:rsidRPr="009012C5" w:rsidRDefault="004942B6" w:rsidP="004942B6">
      <w:pPr>
        <w:pStyle w:val="Heading4"/>
        <w:spacing w:line="360" w:lineRule="auto"/>
        <w:rPr>
          <w:rFonts w:ascii="Arial" w:hAnsi="Arial" w:cs="Arial"/>
          <w:i w:val="0"/>
          <w:iCs w:val="0"/>
          <w:color w:val="4472C4" w:themeColor="accent1"/>
          <w:sz w:val="24"/>
          <w:szCs w:val="24"/>
        </w:rPr>
      </w:pPr>
      <w:r w:rsidRPr="009012C5">
        <w:rPr>
          <w:rFonts w:ascii="Arial" w:hAnsi="Arial" w:cs="Arial"/>
          <w:i w:val="0"/>
          <w:iCs w:val="0"/>
          <w:color w:val="4472C4" w:themeColor="accent1"/>
          <w:sz w:val="24"/>
          <w:szCs w:val="24"/>
        </w:rPr>
        <w:t>1.10.1.1 Clinical validity of FFR</w:t>
      </w:r>
      <w:bookmarkStart w:id="292" w:name="_Toc113975428"/>
      <w:bookmarkEnd w:id="283"/>
    </w:p>
    <w:p w14:paraId="24F5B5B0" w14:textId="77777777" w:rsidR="004942B6" w:rsidRDefault="004942B6" w:rsidP="004942B6">
      <w:pPr>
        <w:pStyle w:val="Heading4"/>
        <w:spacing w:line="360" w:lineRule="auto"/>
        <w:rPr>
          <w:rFonts w:ascii="Arial" w:hAnsi="Arial" w:cs="Arial"/>
          <w:i w:val="0"/>
          <w:iCs w:val="0"/>
          <w:color w:val="4472C4" w:themeColor="accent1"/>
          <w:sz w:val="24"/>
          <w:szCs w:val="24"/>
        </w:rPr>
      </w:pPr>
    </w:p>
    <w:p w14:paraId="0147DC23" w14:textId="77777777" w:rsidR="004942B6" w:rsidRPr="009012C5" w:rsidRDefault="004942B6" w:rsidP="004942B6">
      <w:pPr>
        <w:pStyle w:val="Heading4"/>
        <w:spacing w:line="360" w:lineRule="auto"/>
        <w:rPr>
          <w:rFonts w:ascii="Arial" w:hAnsi="Arial" w:cs="Arial"/>
          <w:i w:val="0"/>
          <w:iCs w:val="0"/>
          <w:color w:val="4472C4" w:themeColor="accent1"/>
          <w:sz w:val="24"/>
          <w:szCs w:val="24"/>
        </w:rPr>
      </w:pPr>
      <w:r w:rsidRPr="009012C5">
        <w:rPr>
          <w:rFonts w:ascii="Arial" w:hAnsi="Arial" w:cs="Arial"/>
          <w:i w:val="0"/>
          <w:iCs w:val="0"/>
          <w:color w:val="4472C4" w:themeColor="accent1"/>
          <w:sz w:val="24"/>
          <w:szCs w:val="24"/>
        </w:rPr>
        <w:t>1.10.1.1.1 Evidence in chronic coronary syndrome (CCS)</w:t>
      </w:r>
      <w:bookmarkEnd w:id="292"/>
    </w:p>
    <w:p w14:paraId="3CD4CADC" w14:textId="77777777" w:rsidR="004942B6" w:rsidRPr="00C55F4B" w:rsidRDefault="004942B6" w:rsidP="004942B6">
      <w:pPr>
        <w:spacing w:line="360" w:lineRule="auto"/>
        <w:jc w:val="both"/>
        <w:rPr>
          <w:rFonts w:ascii="Arial" w:hAnsi="Arial" w:cs="Arial"/>
          <w:sz w:val="24"/>
          <w:szCs w:val="24"/>
        </w:rPr>
      </w:pPr>
      <w:r w:rsidRPr="00C55F4B">
        <w:rPr>
          <w:rFonts w:ascii="Arial" w:hAnsi="Arial" w:cs="Arial"/>
          <w:sz w:val="24"/>
          <w:szCs w:val="24"/>
        </w:rPr>
        <w:t xml:space="preserve">FFR has been endorsed by the ESC </w:t>
      </w:r>
      <w:r>
        <w:rPr>
          <w:rFonts w:ascii="Arial" w:hAnsi="Arial" w:cs="Arial"/>
          <w:sz w:val="24"/>
          <w:szCs w:val="24"/>
        </w:rPr>
        <w:t>with</w:t>
      </w:r>
      <w:r w:rsidRPr="00C55F4B">
        <w:rPr>
          <w:rFonts w:ascii="Arial" w:hAnsi="Arial" w:cs="Arial"/>
          <w:sz w:val="24"/>
          <w:szCs w:val="24"/>
        </w:rPr>
        <w:t xml:space="preserve"> a class 1 indication in CCS settings when there is coronary stenosis of 50-90% by visual assessment and when results from non-invasive ischemia testing are either unavailable or inconclusive. (1</w:t>
      </w:r>
      <w:r>
        <w:rPr>
          <w:rFonts w:ascii="Arial" w:hAnsi="Arial" w:cs="Arial"/>
          <w:sz w:val="24"/>
          <w:szCs w:val="24"/>
        </w:rPr>
        <w:t>3</w:t>
      </w:r>
      <w:r w:rsidRPr="00C55F4B">
        <w:rPr>
          <w:rFonts w:ascii="Arial" w:hAnsi="Arial" w:cs="Arial"/>
          <w:sz w:val="24"/>
          <w:szCs w:val="24"/>
        </w:rPr>
        <w:t>,9</w:t>
      </w:r>
      <w:r>
        <w:rPr>
          <w:rFonts w:ascii="Arial" w:hAnsi="Arial" w:cs="Arial"/>
          <w:sz w:val="24"/>
          <w:szCs w:val="24"/>
        </w:rPr>
        <w:t>4</w:t>
      </w:r>
      <w:r w:rsidRPr="00C55F4B">
        <w:rPr>
          <w:rFonts w:ascii="Arial" w:hAnsi="Arial" w:cs="Arial"/>
          <w:sz w:val="24"/>
          <w:szCs w:val="24"/>
        </w:rPr>
        <w:t>,9</w:t>
      </w:r>
      <w:r>
        <w:rPr>
          <w:rFonts w:ascii="Arial" w:hAnsi="Arial" w:cs="Arial"/>
          <w:sz w:val="24"/>
          <w:szCs w:val="24"/>
        </w:rPr>
        <w:t>5</w:t>
      </w:r>
      <w:r w:rsidRPr="00C55F4B">
        <w:rPr>
          <w:rFonts w:ascii="Arial" w:hAnsi="Arial" w:cs="Arial"/>
          <w:sz w:val="24"/>
          <w:szCs w:val="24"/>
        </w:rPr>
        <w:t>) This is based on the conclusions from three seminal trials: DEFER, FAME and FAME-2. The DEFER (deferral vs performance of percutaneous coronary intervention of functionally non-significant coronary stenosis) was the first study, published in 2001, to evaluate the clinical impact of FFR-guided revascularisation in 325 patients. If the invasive FFR was ≤0.75, PCI was performed, and if the FFR was &gt; 0.75, then patients were randomised to either PCI or medical therapy. This showed that the composite rate of mortality and MI was significantly lower in patients in whom PCI was deferred when FFR was ≥0.75, compared to the group where PCI was performed (2.2% in DEFER vs 7.9% in PERFORM). (9</w:t>
      </w:r>
      <w:r>
        <w:rPr>
          <w:rFonts w:ascii="Arial" w:hAnsi="Arial" w:cs="Arial"/>
          <w:sz w:val="24"/>
          <w:szCs w:val="24"/>
        </w:rPr>
        <w:t>3</w:t>
      </w:r>
      <w:r w:rsidRPr="00C55F4B">
        <w:rPr>
          <w:rFonts w:ascii="Arial" w:hAnsi="Arial" w:cs="Arial"/>
          <w:sz w:val="24"/>
          <w:szCs w:val="24"/>
        </w:rPr>
        <w:t xml:space="preserve">) </w:t>
      </w:r>
    </w:p>
    <w:p w14:paraId="4A7730D7" w14:textId="77777777" w:rsidR="004942B6" w:rsidRPr="00C55F4B" w:rsidRDefault="004942B6" w:rsidP="004942B6">
      <w:pPr>
        <w:spacing w:line="360" w:lineRule="auto"/>
        <w:jc w:val="both"/>
        <w:rPr>
          <w:rFonts w:ascii="Arial" w:hAnsi="Arial" w:cs="Arial"/>
          <w:sz w:val="24"/>
          <w:szCs w:val="24"/>
        </w:rPr>
      </w:pPr>
      <w:r w:rsidRPr="00C55F4B">
        <w:rPr>
          <w:rFonts w:ascii="Arial" w:hAnsi="Arial" w:cs="Arial"/>
          <w:sz w:val="24"/>
          <w:szCs w:val="24"/>
        </w:rPr>
        <w:t xml:space="preserve">The FAME trial (fractional flow reserve vs angiography for multivessel evaluation), published in 2009, randomised 1005 patients with multivessel disease (MVD) to angiography-alone versus FFR-driven revascularisation if the FFR was ≤0.8. In the angiography-guided arm, any stenosis above 50% was revascularised, while in the FFR-guided arm, patients underwent PCI only if the FFR was ≤0.8. The results demonstrated that the FFR-guided strategy was associated with a significant reduction in the combined primary endpoints of major adverse cardiac events (MACE), as well as the need for repeat revascularisation (8.4 % vs 12.9 %, p=0.002) at two years follow </w:t>
      </w:r>
      <w:r w:rsidRPr="00C55F4B">
        <w:rPr>
          <w:rFonts w:ascii="Arial" w:hAnsi="Arial" w:cs="Arial"/>
          <w:sz w:val="24"/>
          <w:szCs w:val="24"/>
        </w:rPr>
        <w:lastRenderedPageBreak/>
        <w:t>up. (9</w:t>
      </w:r>
      <w:r>
        <w:rPr>
          <w:rFonts w:ascii="Arial" w:hAnsi="Arial" w:cs="Arial"/>
          <w:sz w:val="24"/>
          <w:szCs w:val="24"/>
        </w:rPr>
        <w:t>6</w:t>
      </w:r>
      <w:r w:rsidRPr="00C55F4B">
        <w:rPr>
          <w:rFonts w:ascii="Arial" w:hAnsi="Arial" w:cs="Arial"/>
          <w:sz w:val="24"/>
          <w:szCs w:val="24"/>
        </w:rPr>
        <w:t>) Later, 5-year follow-up data of FAME showed the consistent and long-term benefit of the FFR-guided revascularisation strategy in multivessel CAD regarding MACE (31% in angio-guided vs 28% in FFR-guided). Furthermore, there was a reduction in the number of stents placed per patient (mean 2.7 +/- SD1.2 in angio-guided vs 1.9 +/- SD 1.3 in FFR-guided arm). (9</w:t>
      </w:r>
      <w:r>
        <w:rPr>
          <w:rFonts w:ascii="Arial" w:hAnsi="Arial" w:cs="Arial"/>
          <w:sz w:val="24"/>
          <w:szCs w:val="24"/>
        </w:rPr>
        <w:t>7</w:t>
      </w:r>
      <w:r w:rsidRPr="00C55F4B">
        <w:rPr>
          <w:rFonts w:ascii="Arial" w:hAnsi="Arial" w:cs="Arial"/>
          <w:sz w:val="24"/>
          <w:szCs w:val="24"/>
        </w:rPr>
        <w:t>)</w:t>
      </w:r>
    </w:p>
    <w:p w14:paraId="59998205" w14:textId="77777777" w:rsidR="004942B6" w:rsidRPr="009222F3" w:rsidRDefault="004942B6" w:rsidP="004942B6">
      <w:pPr>
        <w:spacing w:line="360" w:lineRule="auto"/>
        <w:jc w:val="both"/>
        <w:rPr>
          <w:rFonts w:ascii="Arial" w:hAnsi="Arial" w:cs="Arial"/>
          <w:color w:val="000000" w:themeColor="text1"/>
          <w:sz w:val="24"/>
          <w:szCs w:val="24"/>
        </w:rPr>
      </w:pPr>
      <w:r w:rsidRPr="00C55F4B">
        <w:rPr>
          <w:rFonts w:ascii="Arial" w:hAnsi="Arial" w:cs="Arial"/>
          <w:sz w:val="24"/>
          <w:szCs w:val="24"/>
        </w:rPr>
        <w:t xml:space="preserve">The FAME-2 </w:t>
      </w:r>
      <w:r>
        <w:rPr>
          <w:rFonts w:ascii="Arial" w:hAnsi="Arial" w:cs="Arial"/>
          <w:sz w:val="24"/>
          <w:szCs w:val="24"/>
        </w:rPr>
        <w:t xml:space="preserve">trial </w:t>
      </w:r>
      <w:r w:rsidRPr="00C55F4B">
        <w:rPr>
          <w:rFonts w:ascii="Arial" w:hAnsi="Arial" w:cs="Arial"/>
          <w:sz w:val="24"/>
          <w:szCs w:val="24"/>
        </w:rPr>
        <w:t>was an open-labelled, multicentre, randomised controlled trial at 28 sites in Europe and North America, which investigated the</w:t>
      </w:r>
      <w:r>
        <w:rPr>
          <w:rFonts w:ascii="Arial" w:hAnsi="Arial" w:cs="Arial"/>
          <w:sz w:val="24"/>
          <w:szCs w:val="24"/>
        </w:rPr>
        <w:t xml:space="preserve"> </w:t>
      </w:r>
      <w:r w:rsidRPr="00C55F4B">
        <w:rPr>
          <w:rFonts w:ascii="Arial" w:hAnsi="Arial" w:cs="Arial"/>
          <w:sz w:val="24"/>
          <w:szCs w:val="24"/>
        </w:rPr>
        <w:t xml:space="preserve">superiority of FFR-driven revascularisation (when FFR is ≤0.8) over medical therapy alone. The trial included 1220 patients with stable CAD who had a minimum of </w:t>
      </w:r>
      <w:r>
        <w:rPr>
          <w:rFonts w:ascii="Arial" w:hAnsi="Arial" w:cs="Arial"/>
          <w:sz w:val="24"/>
          <w:szCs w:val="24"/>
        </w:rPr>
        <w:t>one</w:t>
      </w:r>
      <w:r w:rsidRPr="00C55F4B">
        <w:rPr>
          <w:rFonts w:ascii="Arial" w:hAnsi="Arial" w:cs="Arial"/>
          <w:sz w:val="24"/>
          <w:szCs w:val="24"/>
        </w:rPr>
        <w:t xml:space="preserve"> hemodynamically significant vessel (FFR ≤0.8) and were randomised to either receive OMT or percutaneous coronary intervention (PCI). The trial had to be terminated prematurely due to primary endpoints (death, myocardial infarction, and urgent revascularisation) being remarkably significant in the PCI arm than the medical therapy cohort (4.3% PCI vs 12.7% in OMT, HR with PCI 0.32). The difference was driven primarily by urgent unplanned revascularisation in the OMT group (1.6% vs 11.1%, HR with PCI 0.13). (9</w:t>
      </w:r>
      <w:r>
        <w:rPr>
          <w:rFonts w:ascii="Arial" w:hAnsi="Arial" w:cs="Arial"/>
          <w:sz w:val="24"/>
          <w:szCs w:val="24"/>
        </w:rPr>
        <w:t>8</w:t>
      </w:r>
      <w:r w:rsidRPr="00C55F4B">
        <w:rPr>
          <w:rFonts w:ascii="Arial" w:hAnsi="Arial" w:cs="Arial"/>
          <w:sz w:val="24"/>
          <w:szCs w:val="24"/>
        </w:rPr>
        <w:t>)</w:t>
      </w:r>
    </w:p>
    <w:p w14:paraId="711DD274" w14:textId="77777777" w:rsidR="004942B6" w:rsidRPr="009222F3" w:rsidRDefault="004942B6" w:rsidP="004942B6">
      <w:pPr>
        <w:spacing w:line="360" w:lineRule="auto"/>
        <w:jc w:val="both"/>
        <w:rPr>
          <w:rFonts w:ascii="Arial" w:hAnsi="Arial" w:cs="Arial"/>
          <w:color w:val="000000" w:themeColor="text1"/>
          <w:sz w:val="24"/>
          <w:szCs w:val="24"/>
        </w:rPr>
      </w:pPr>
    </w:p>
    <w:p w14:paraId="201FA7C6" w14:textId="77777777" w:rsidR="004942B6" w:rsidRPr="009012C5" w:rsidRDefault="004942B6" w:rsidP="004942B6">
      <w:pPr>
        <w:pStyle w:val="Heading4"/>
        <w:spacing w:line="360" w:lineRule="auto"/>
        <w:rPr>
          <w:rFonts w:ascii="Arial" w:hAnsi="Arial" w:cs="Arial"/>
          <w:i w:val="0"/>
          <w:iCs w:val="0"/>
          <w:color w:val="4472C4" w:themeColor="accent1"/>
          <w:sz w:val="24"/>
          <w:szCs w:val="24"/>
        </w:rPr>
      </w:pPr>
      <w:bookmarkStart w:id="293" w:name="_Toc113975429"/>
      <w:r w:rsidRPr="009012C5">
        <w:rPr>
          <w:rFonts w:ascii="Arial" w:hAnsi="Arial" w:cs="Arial"/>
          <w:i w:val="0"/>
          <w:iCs w:val="0"/>
          <w:color w:val="4472C4" w:themeColor="accent1"/>
          <w:sz w:val="24"/>
          <w:szCs w:val="24"/>
        </w:rPr>
        <w:t>1.10.1.1.2 Evidence in acute coronary syndrome (ACS)</w:t>
      </w:r>
      <w:bookmarkEnd w:id="293"/>
    </w:p>
    <w:p w14:paraId="797425AD" w14:textId="77777777" w:rsidR="004942B6" w:rsidRPr="009222F3" w:rsidRDefault="004942B6" w:rsidP="004942B6">
      <w:pPr>
        <w:spacing w:line="360" w:lineRule="auto"/>
        <w:jc w:val="both"/>
        <w:rPr>
          <w:rFonts w:ascii="Arial" w:hAnsi="Arial" w:cs="Arial"/>
          <w:color w:val="000000" w:themeColor="text1"/>
          <w:sz w:val="24"/>
          <w:szCs w:val="24"/>
        </w:rPr>
      </w:pPr>
      <w:r w:rsidRPr="00CF7E43">
        <w:rPr>
          <w:rFonts w:ascii="Arial" w:hAnsi="Arial" w:cs="Arial"/>
          <w:sz w:val="24"/>
          <w:szCs w:val="24"/>
        </w:rPr>
        <w:t>The role of FFR is</w:t>
      </w:r>
      <w:r>
        <w:rPr>
          <w:rFonts w:ascii="Arial" w:hAnsi="Arial" w:cs="Arial"/>
          <w:sz w:val="24"/>
          <w:szCs w:val="24"/>
        </w:rPr>
        <w:t xml:space="preserve"> </w:t>
      </w:r>
      <w:r w:rsidRPr="00CF7E43">
        <w:rPr>
          <w:rFonts w:ascii="Arial" w:hAnsi="Arial" w:cs="Arial"/>
          <w:sz w:val="24"/>
          <w:szCs w:val="24"/>
        </w:rPr>
        <w:t>robust in</w:t>
      </w:r>
      <w:r>
        <w:rPr>
          <w:rFonts w:ascii="Arial" w:hAnsi="Arial" w:cs="Arial"/>
          <w:sz w:val="24"/>
          <w:szCs w:val="24"/>
        </w:rPr>
        <w:t xml:space="preserve"> assessing</w:t>
      </w:r>
      <w:r w:rsidRPr="00CF7E43">
        <w:rPr>
          <w:rFonts w:ascii="Arial" w:hAnsi="Arial" w:cs="Arial"/>
          <w:sz w:val="24"/>
          <w:szCs w:val="24"/>
        </w:rPr>
        <w:t xml:space="preserve"> intermediate severity in CCS</w:t>
      </w:r>
      <w:r>
        <w:rPr>
          <w:rFonts w:ascii="Arial" w:hAnsi="Arial" w:cs="Arial"/>
          <w:sz w:val="24"/>
          <w:szCs w:val="24"/>
        </w:rPr>
        <w:t>.</w:t>
      </w:r>
      <w:r w:rsidRPr="00CF7E43">
        <w:rPr>
          <w:rFonts w:ascii="Arial" w:hAnsi="Arial" w:cs="Arial"/>
          <w:sz w:val="24"/>
          <w:szCs w:val="24"/>
        </w:rPr>
        <w:t xml:space="preserve"> </w:t>
      </w:r>
      <w:r>
        <w:rPr>
          <w:rFonts w:ascii="Arial" w:hAnsi="Arial" w:cs="Arial"/>
          <w:sz w:val="24"/>
          <w:szCs w:val="24"/>
        </w:rPr>
        <w:t>H</w:t>
      </w:r>
      <w:r w:rsidRPr="00CF7E43">
        <w:rPr>
          <w:rFonts w:ascii="Arial" w:hAnsi="Arial" w:cs="Arial"/>
          <w:sz w:val="24"/>
          <w:szCs w:val="24"/>
        </w:rPr>
        <w:t>owever, its utility in ACS remains an area of debate. Routine use of FFR in ACS is not advocated due to concerns of pseudo-negative FFR related to the concomitant rise in microvascular</w:t>
      </w:r>
      <w:r w:rsidRPr="009222F3">
        <w:rPr>
          <w:rFonts w:ascii="Arial" w:hAnsi="Arial" w:cs="Arial"/>
          <w:color w:val="000000" w:themeColor="text1"/>
          <w:sz w:val="24"/>
          <w:szCs w:val="24"/>
        </w:rPr>
        <w:t xml:space="preserve"> resistance. </w:t>
      </w:r>
      <w:sdt>
        <w:sdtPr>
          <w:rPr>
            <w:rFonts w:ascii="Arial" w:hAnsi="Arial" w:cs="Arial"/>
            <w:color w:val="000000"/>
            <w:sz w:val="24"/>
            <w:szCs w:val="24"/>
          </w:rPr>
          <w:tag w:val="MENDELEY_CITATION_v3_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"/>
          <w:id w:val="-1567405210"/>
          <w:placeholder>
            <w:docPart w:val="DD08D936C1404BCB842B16EBCAA0FFFF"/>
          </w:placeholder>
        </w:sdtPr>
        <w:sdtEndPr/>
        <w:sdtContent>
          <w:r w:rsidRPr="00CB13E6">
            <w:rPr>
              <w:rFonts w:ascii="Arial" w:hAnsi="Arial" w:cs="Arial"/>
              <w:color w:val="000000"/>
              <w:sz w:val="24"/>
              <w:szCs w:val="24"/>
            </w:rPr>
            <w:t>(</w:t>
          </w:r>
          <w:r>
            <w:rPr>
              <w:rFonts w:ascii="Arial" w:hAnsi="Arial" w:cs="Arial"/>
              <w:color w:val="000000"/>
              <w:sz w:val="24"/>
              <w:szCs w:val="24"/>
            </w:rPr>
            <w:t>99</w:t>
          </w:r>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However, it holds its accuracy for the non-culprit lesion evaluation in multivessel disease (MVD). </w:t>
      </w:r>
      <w:sdt>
        <w:sdtPr>
          <w:rPr>
            <w:rFonts w:ascii="Arial" w:hAnsi="Arial" w:cs="Arial"/>
            <w:color w:val="000000"/>
            <w:sz w:val="24"/>
            <w:szCs w:val="24"/>
          </w:rPr>
          <w:tag w:val="MENDELEY_CITATION_v3_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"/>
          <w:id w:val="-252055470"/>
          <w:placeholder>
            <w:docPart w:val="DD08D936C1404BCB842B16EBCAA0FFFF"/>
          </w:placeholder>
        </w:sdtPr>
        <w:sdtEndPr/>
        <w:sdtContent>
          <w:r w:rsidRPr="00CB13E6">
            <w:rPr>
              <w:rFonts w:ascii="Arial" w:hAnsi="Arial" w:cs="Arial"/>
              <w:color w:val="000000"/>
              <w:sz w:val="24"/>
              <w:szCs w:val="24"/>
            </w:rPr>
            <w:t>(</w:t>
          </w:r>
          <w:r>
            <w:rPr>
              <w:rFonts w:ascii="Arial" w:hAnsi="Arial" w:cs="Arial"/>
              <w:color w:val="000000"/>
              <w:sz w:val="24"/>
              <w:szCs w:val="24"/>
            </w:rPr>
            <w:t>100</w:t>
          </w:r>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w:t>
      </w:r>
    </w:p>
    <w:p w14:paraId="77D65A60" w14:textId="77777777" w:rsidR="004942B6" w:rsidRPr="009222F3" w:rsidRDefault="004942B6" w:rsidP="004942B6">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Given the current emphasis on complete / near-complete revascularisation in the ESC guidelines, the COMPLETE, PRAMI, and CvLPRIT trials revealed a reduction in MACE when complete revascularisation was compared to the culprit-only approach in STEMI patients with MVD. However, in all these studies, the decisions were based on visual assessment</w:t>
      </w:r>
      <w:r>
        <w:rPr>
          <w:rFonts w:ascii="Arial" w:hAnsi="Arial" w:cs="Arial"/>
          <w:color w:val="000000" w:themeColor="text1"/>
          <w:sz w:val="24"/>
          <w:szCs w:val="24"/>
        </w:rPr>
        <w:t xml:space="preserve"> </w:t>
      </w:r>
      <w:r w:rsidRPr="009222F3">
        <w:rPr>
          <w:rFonts w:ascii="Arial" w:hAnsi="Arial" w:cs="Arial"/>
          <w:color w:val="000000" w:themeColor="text1"/>
          <w:sz w:val="24"/>
          <w:szCs w:val="24"/>
        </w:rPr>
        <w:t xml:space="preserve">instead of FFR guidance. </w:t>
      </w:r>
      <w:sdt>
        <w:sdtPr>
          <w:rPr>
            <w:rFonts w:ascii="Arial" w:hAnsi="Arial" w:cs="Arial"/>
            <w:color w:val="000000"/>
            <w:sz w:val="24"/>
            <w:szCs w:val="24"/>
          </w:rPr>
          <w:tag w:val="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"/>
          <w:id w:val="1800329291"/>
          <w:placeholder>
            <w:docPart w:val="DD08D936C1404BCB842B16EBCAA0FFFF"/>
          </w:placeholder>
        </w:sdtPr>
        <w:sdtEndPr/>
        <w:sdtContent>
          <w:r>
            <w:rPr>
              <w:rFonts w:ascii="Arial" w:hAnsi="Arial" w:cs="Arial"/>
              <w:color w:val="000000"/>
              <w:sz w:val="24"/>
              <w:szCs w:val="24"/>
            </w:rPr>
            <w:t>(102,103,104</w:t>
          </w:r>
        </w:sdtContent>
      </w:sdt>
      <w:sdt>
        <w:sdtPr>
          <w:rPr>
            <w:rFonts w:ascii="Arial" w:hAnsi="Arial" w:cs="Arial"/>
            <w:color w:val="000000"/>
            <w:sz w:val="24"/>
            <w:szCs w:val="24"/>
          </w:rPr>
          <w:tag w:val="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"/>
          <w:id w:val="1645237664"/>
          <w:placeholder>
            <w:docPart w:val="DD08D936C1404BCB842B16EBCAA0FFFF"/>
          </w:placeholder>
        </w:sdtPr>
        <w:sdtEndPr/>
        <w:sdtContent>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COMPARE-ACUTE, DANAMI-3-PRIMULTI, FAMOUS-NSTEMI and FLOWER-MI instead utilised an FFR-driven approach to guide decisions for bystander disease in the ACS cohort with MVD. COMPARE-ACUTE trial randomised 885 patients to PCI of infarct-related artery (IRA) only versus FFR-guided PCI of non-culprit lesions. This showed that the primary </w:t>
      </w:r>
      <w:r w:rsidRPr="009222F3">
        <w:rPr>
          <w:rFonts w:ascii="Arial" w:hAnsi="Arial" w:cs="Arial"/>
          <w:color w:val="000000" w:themeColor="text1"/>
          <w:sz w:val="24"/>
          <w:szCs w:val="24"/>
        </w:rPr>
        <w:lastRenderedPageBreak/>
        <w:t xml:space="preserve">outcome (all-cause deaths, MI, and urgent revascularisation) occurred in 20% of the culprit-only treated group vs 8% in the FFR-guided complete revascularisation group. </w:t>
      </w:r>
      <w:sdt>
        <w:sdtPr>
          <w:rPr>
            <w:rFonts w:ascii="Arial" w:hAnsi="Arial" w:cs="Arial"/>
            <w:color w:val="000000"/>
            <w:sz w:val="24"/>
            <w:szCs w:val="24"/>
          </w:rPr>
          <w:tag w:val="MENDELEY_CITATION_v3_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"/>
          <w:id w:val="-429653475"/>
          <w:placeholder>
            <w:docPart w:val="DD08D936C1404BCB842B16EBCAA0FFFF"/>
          </w:placeholder>
        </w:sdtPr>
        <w:sdtEndPr/>
        <w:sdtContent>
          <w:r w:rsidRPr="00CB13E6">
            <w:rPr>
              <w:rFonts w:ascii="Arial" w:hAnsi="Arial" w:cs="Arial"/>
              <w:color w:val="000000"/>
              <w:sz w:val="24"/>
              <w:szCs w:val="24"/>
            </w:rPr>
            <w:t>(</w:t>
          </w:r>
          <w:r>
            <w:rPr>
              <w:rFonts w:ascii="Arial" w:hAnsi="Arial" w:cs="Arial"/>
              <w:color w:val="000000"/>
              <w:sz w:val="24"/>
              <w:szCs w:val="24"/>
            </w:rPr>
            <w:t>105</w:t>
          </w:r>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DANAMI-3-PRIMULTI (627 patients) reinforced the results of COMPARE-ACUTE and showed the benefit of FFR-driven complete revascularisation in terms of MACE (13% in complete vs 22% in the culprit lesion-only strategy). </w:t>
      </w:r>
      <w:sdt>
        <w:sdtPr>
          <w:rPr>
            <w:rFonts w:ascii="Arial" w:hAnsi="Arial" w:cs="Arial"/>
            <w:color w:val="000000"/>
            <w:sz w:val="24"/>
            <w:szCs w:val="24"/>
          </w:rPr>
          <w:tag w:val="MENDELEY_CITATION_v3_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"/>
          <w:id w:val="-1901203775"/>
          <w:placeholder>
            <w:docPart w:val="DD08D936C1404BCB842B16EBCAA0FFFF"/>
          </w:placeholder>
        </w:sdtPr>
        <w:sdtEndPr/>
        <w:sdtContent>
          <w:r w:rsidRPr="00CB13E6">
            <w:rPr>
              <w:rFonts w:ascii="Arial" w:hAnsi="Arial" w:cs="Arial"/>
              <w:color w:val="000000"/>
              <w:sz w:val="24"/>
              <w:szCs w:val="24"/>
            </w:rPr>
            <w:t>(</w:t>
          </w:r>
          <w:r>
            <w:rPr>
              <w:rFonts w:ascii="Arial" w:hAnsi="Arial" w:cs="Arial"/>
              <w:color w:val="000000"/>
              <w:sz w:val="24"/>
              <w:szCs w:val="24"/>
            </w:rPr>
            <w:t>106</w:t>
          </w:r>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Similarly, the FAMOUS-NSTEMI trial (350 patients) showed a higher rate of revascularisation in NSTEMI patients who had CAG-guided vs FFR-guided treatment (22.7% vs 13.2%). In addition, it also showed an overall change in management in </w:t>
      </w:r>
      <w:r>
        <w:rPr>
          <w:rFonts w:ascii="Arial" w:hAnsi="Arial" w:cs="Arial"/>
          <w:color w:val="000000" w:themeColor="text1"/>
          <w:sz w:val="24"/>
          <w:szCs w:val="24"/>
        </w:rPr>
        <w:t>75/350 (</w:t>
      </w:r>
      <w:r w:rsidRPr="009222F3">
        <w:rPr>
          <w:rFonts w:ascii="Arial" w:hAnsi="Arial" w:cs="Arial"/>
          <w:color w:val="000000" w:themeColor="text1"/>
          <w:sz w:val="24"/>
          <w:szCs w:val="24"/>
        </w:rPr>
        <w:t>21.6%</w:t>
      </w:r>
      <w:r>
        <w:rPr>
          <w:rFonts w:ascii="Arial" w:hAnsi="Arial" w:cs="Arial"/>
          <w:color w:val="000000" w:themeColor="text1"/>
          <w:sz w:val="24"/>
          <w:szCs w:val="24"/>
        </w:rPr>
        <w:t>)</w:t>
      </w:r>
      <w:r w:rsidRPr="009222F3">
        <w:rPr>
          <w:rFonts w:ascii="Arial" w:hAnsi="Arial" w:cs="Arial"/>
          <w:color w:val="000000" w:themeColor="text1"/>
          <w:sz w:val="24"/>
          <w:szCs w:val="24"/>
        </w:rPr>
        <w:t xml:space="preserve"> of the patients after FFR disclosure, which was keeping in with the RIPCORD trial. </w:t>
      </w:r>
      <w:sdt>
        <w:sdtPr>
          <w:rPr>
            <w:rFonts w:ascii="Arial" w:hAnsi="Arial" w:cs="Arial"/>
            <w:color w:val="000000"/>
            <w:sz w:val="24"/>
            <w:szCs w:val="24"/>
          </w:rPr>
          <w:tag w:val="MENDELEY_CITATION_v3_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"/>
          <w:id w:val="1900473041"/>
          <w:placeholder>
            <w:docPart w:val="293B67E42BAA4868B946BCC23DDEBA99"/>
          </w:placeholder>
        </w:sdtPr>
        <w:sdtEndPr/>
        <w:sdtContent>
          <w:r w:rsidRPr="00CB13E6">
            <w:rPr>
              <w:rFonts w:ascii="Arial" w:hAnsi="Arial" w:cs="Arial"/>
              <w:color w:val="000000"/>
              <w:sz w:val="24"/>
              <w:szCs w:val="24"/>
            </w:rPr>
            <w:t>(</w:t>
          </w:r>
          <w:r>
            <w:rPr>
              <w:rFonts w:ascii="Arial" w:hAnsi="Arial" w:cs="Arial"/>
              <w:color w:val="000000"/>
              <w:sz w:val="24"/>
              <w:szCs w:val="24"/>
            </w:rPr>
            <w:t>107</w:t>
          </w:r>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In contrast, FLOWER-MI (1171 patients) found that FFR-guided revascularisation was not superior to CAG-guided strategy in STEMI in terms of MACE at </w:t>
      </w:r>
      <w:r>
        <w:rPr>
          <w:rFonts w:ascii="Arial" w:hAnsi="Arial" w:cs="Arial"/>
          <w:color w:val="000000" w:themeColor="text1"/>
          <w:sz w:val="24"/>
          <w:szCs w:val="24"/>
        </w:rPr>
        <w:t xml:space="preserve">one </w:t>
      </w:r>
      <w:r w:rsidRPr="009222F3">
        <w:rPr>
          <w:rFonts w:ascii="Arial" w:hAnsi="Arial" w:cs="Arial"/>
          <w:color w:val="000000" w:themeColor="text1"/>
          <w:sz w:val="24"/>
          <w:szCs w:val="24"/>
        </w:rPr>
        <w:t xml:space="preserve">year (5.5% in FFR vs 4.2% in angio-only). </w:t>
      </w:r>
      <w:sdt>
        <w:sdtPr>
          <w:rPr>
            <w:rFonts w:ascii="Arial" w:hAnsi="Arial" w:cs="Arial"/>
            <w:color w:val="000000"/>
            <w:sz w:val="24"/>
            <w:szCs w:val="24"/>
          </w:rPr>
          <w:tag w:val="MENDELEY_CITATION_v3_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"/>
          <w:id w:val="594215398"/>
          <w:placeholder>
            <w:docPart w:val="DD08D936C1404BCB842B16EBCAA0FFFF"/>
          </w:placeholder>
        </w:sdtPr>
        <w:sdtEndPr/>
        <w:sdtContent>
          <w:r w:rsidRPr="00CB13E6">
            <w:rPr>
              <w:rFonts w:ascii="Arial" w:hAnsi="Arial" w:cs="Arial"/>
              <w:color w:val="000000"/>
              <w:sz w:val="24"/>
              <w:szCs w:val="24"/>
            </w:rPr>
            <w:t>(</w:t>
          </w:r>
          <w:r>
            <w:rPr>
              <w:rFonts w:ascii="Arial" w:hAnsi="Arial" w:cs="Arial"/>
              <w:color w:val="000000"/>
              <w:sz w:val="24"/>
              <w:szCs w:val="24"/>
            </w:rPr>
            <w:t>108</w:t>
          </w:r>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w:t>
      </w:r>
    </w:p>
    <w:p w14:paraId="755610E1" w14:textId="77777777" w:rsidR="004942B6" w:rsidRPr="009222F3" w:rsidRDefault="004942B6" w:rsidP="004942B6">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A real-world observational study of over 7000 patients with ACS who were treated with FFR guidance for PCI as compared to angiography-guided PCI showed lower in-hospital mortality (1.1% vs 3.1%), shorter length of stay (4.6 days vs 5.3 days) and reduction in AKI (12.5% vs 14.6%). </w:t>
      </w:r>
      <w:sdt>
        <w:sdtPr>
          <w:rPr>
            <w:rFonts w:ascii="Arial" w:hAnsi="Arial" w:cs="Arial"/>
            <w:color w:val="000000"/>
            <w:sz w:val="24"/>
            <w:szCs w:val="24"/>
          </w:rPr>
          <w:tag w:val="MENDELEY_CITATION_v3_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"/>
          <w:id w:val="121885678"/>
          <w:placeholder>
            <w:docPart w:val="60586A23D4794876A55A282F8892D8F9"/>
          </w:placeholder>
        </w:sdtPr>
        <w:sdtEndPr/>
        <w:sdtContent>
          <w:r w:rsidRPr="00CB13E6">
            <w:rPr>
              <w:rFonts w:ascii="Arial" w:hAnsi="Arial" w:cs="Arial"/>
              <w:color w:val="000000"/>
              <w:sz w:val="24"/>
              <w:szCs w:val="24"/>
            </w:rPr>
            <w:t>(1</w:t>
          </w:r>
          <w:r>
            <w:rPr>
              <w:rFonts w:ascii="Arial" w:hAnsi="Arial" w:cs="Arial"/>
              <w:color w:val="000000"/>
              <w:sz w:val="24"/>
              <w:szCs w:val="24"/>
            </w:rPr>
            <w:t>09</w:t>
          </w:r>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Lee et al. studied the prognosis of deferred non-culprit coronary lesions with FFR for both ACS (n=301) and CCS (n=1295) over a 2-year follow-up period. They concluded that deferral of non-culprit lesions in ACS ha</w:t>
      </w:r>
      <w:r>
        <w:rPr>
          <w:rFonts w:ascii="Arial" w:hAnsi="Arial" w:cs="Arial"/>
          <w:color w:val="000000" w:themeColor="text1"/>
          <w:sz w:val="24"/>
          <w:szCs w:val="24"/>
        </w:rPr>
        <w:t>d</w:t>
      </w:r>
      <w:r w:rsidRPr="009222F3">
        <w:rPr>
          <w:rFonts w:ascii="Arial" w:hAnsi="Arial" w:cs="Arial"/>
          <w:color w:val="000000" w:themeColor="text1"/>
          <w:sz w:val="24"/>
          <w:szCs w:val="24"/>
        </w:rPr>
        <w:t xml:space="preserve"> a higher incidence of MACE in ACS as compared to CCS (3.8% ACS vs 1.6% CCS)</w:t>
      </w:r>
      <w:r>
        <w:rPr>
          <w:rFonts w:ascii="Arial" w:hAnsi="Arial" w:cs="Arial"/>
          <w:color w:val="000000" w:themeColor="text1"/>
          <w:sz w:val="24"/>
          <w:szCs w:val="24"/>
        </w:rPr>
        <w:t>,</w:t>
      </w:r>
      <w:r w:rsidRPr="009222F3">
        <w:rPr>
          <w:rFonts w:ascii="Arial" w:hAnsi="Arial" w:cs="Arial"/>
          <w:color w:val="000000" w:themeColor="text1"/>
          <w:sz w:val="24"/>
          <w:szCs w:val="24"/>
        </w:rPr>
        <w:t xml:space="preserve"> which was essentially due to higher rates of ischaemia-driven revascularisation (2.8% ACS vs 1.1% CCS). </w:t>
      </w:r>
      <w:sdt>
        <w:sdtPr>
          <w:rPr>
            <w:rFonts w:ascii="Arial" w:hAnsi="Arial" w:cs="Arial"/>
            <w:color w:val="000000"/>
            <w:sz w:val="24"/>
            <w:szCs w:val="24"/>
          </w:rPr>
          <w:tag w:val="MENDELEY_CITATION_v3_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"/>
          <w:id w:val="956912184"/>
          <w:placeholder>
            <w:docPart w:val="60586A23D4794876A55A282F8892D8F9"/>
          </w:placeholder>
        </w:sdtPr>
        <w:sdtEndPr/>
        <w:sdtContent>
          <w:r w:rsidRPr="00CB13E6">
            <w:rPr>
              <w:rFonts w:ascii="Arial" w:hAnsi="Arial" w:cs="Arial"/>
              <w:color w:val="000000"/>
              <w:sz w:val="24"/>
              <w:szCs w:val="24"/>
            </w:rPr>
            <w:t>(1</w:t>
          </w:r>
          <w:r>
            <w:rPr>
              <w:rFonts w:ascii="Arial" w:hAnsi="Arial" w:cs="Arial"/>
              <w:color w:val="000000"/>
              <w:sz w:val="24"/>
              <w:szCs w:val="24"/>
            </w:rPr>
            <w:t>10</w:t>
          </w:r>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A meta-analysis involving </w:t>
      </w:r>
      <w:r>
        <w:rPr>
          <w:rFonts w:ascii="Arial" w:hAnsi="Arial" w:cs="Arial"/>
          <w:color w:val="000000" w:themeColor="text1"/>
          <w:sz w:val="24"/>
          <w:szCs w:val="24"/>
        </w:rPr>
        <w:t>three</w:t>
      </w:r>
      <w:r w:rsidRPr="009222F3">
        <w:rPr>
          <w:rFonts w:ascii="Arial" w:hAnsi="Arial" w:cs="Arial"/>
          <w:color w:val="000000" w:themeColor="text1"/>
          <w:sz w:val="24"/>
          <w:szCs w:val="24"/>
        </w:rPr>
        <w:t xml:space="preserve"> studies, FAMOUS-NSTEMI, FAME and Leesar et al., revealed a modest reduction in the incidence of myocardial infarction in ACS patients (6.6% FFR-guided vs 10.4% CAG-guided), without any statistically significant reduction in all-cause mortality or target vessel revascularization. </w:t>
      </w:r>
      <w:sdt>
        <w:sdtPr>
          <w:rPr>
            <w:rFonts w:ascii="Arial" w:hAnsi="Arial" w:cs="Arial"/>
            <w:color w:val="000000"/>
            <w:sz w:val="24"/>
            <w:szCs w:val="24"/>
          </w:rPr>
          <w:tag w:val="MENDELEY_CITATION_v3_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"/>
          <w:id w:val="773053796"/>
          <w:placeholder>
            <w:docPart w:val="60586A23D4794876A55A282F8892D8F9"/>
          </w:placeholder>
        </w:sdtPr>
        <w:sdtEndPr/>
        <w:sdtContent>
          <w:r w:rsidRPr="00CB13E6">
            <w:rPr>
              <w:rFonts w:ascii="Arial" w:hAnsi="Arial" w:cs="Arial"/>
              <w:color w:val="000000"/>
              <w:sz w:val="24"/>
              <w:szCs w:val="24"/>
            </w:rPr>
            <w:t>(1</w:t>
          </w:r>
          <w:r>
            <w:rPr>
              <w:rFonts w:ascii="Arial" w:hAnsi="Arial" w:cs="Arial"/>
              <w:color w:val="000000"/>
              <w:sz w:val="24"/>
              <w:szCs w:val="24"/>
            </w:rPr>
            <w:t>11</w:t>
          </w:r>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Recently, another meta-analysis of 9 studies comprising 5457 patients compared the outcomes of FFR-guided revascularisation for both ACS and CCS patients, </w:t>
      </w:r>
      <w:r>
        <w:rPr>
          <w:rFonts w:ascii="Arial" w:hAnsi="Arial" w:cs="Arial"/>
          <w:color w:val="000000" w:themeColor="text1"/>
          <w:sz w:val="24"/>
          <w:szCs w:val="24"/>
        </w:rPr>
        <w:t>mainly</w:t>
      </w:r>
      <w:r w:rsidRPr="009222F3">
        <w:rPr>
          <w:rFonts w:ascii="Arial" w:hAnsi="Arial" w:cs="Arial"/>
          <w:color w:val="000000" w:themeColor="text1"/>
          <w:sz w:val="24"/>
          <w:szCs w:val="24"/>
        </w:rPr>
        <w:t xml:space="preserve"> focussing on those who had deferral of revascularisation after FFR. This showed that all the event rates were higher in ACS in comparison with CCS the cohort (MACE 17.6% vs 7.3%, recurrent MI 5.3% vs 1.5%, target vessel revascularisation 16.4% vs 5.6%) despite the use of FFR-driven revascularisation management. </w:t>
      </w:r>
      <w:sdt>
        <w:sdtPr>
          <w:rPr>
            <w:rFonts w:ascii="Arial" w:hAnsi="Arial" w:cs="Arial"/>
            <w:color w:val="000000"/>
            <w:sz w:val="24"/>
            <w:szCs w:val="24"/>
          </w:rPr>
          <w:tag w:val="MENDELEY_CITATION_v3_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"/>
          <w:id w:val="1226800800"/>
          <w:placeholder>
            <w:docPart w:val="60586A23D4794876A55A282F8892D8F9"/>
          </w:placeholder>
        </w:sdtPr>
        <w:sdtEndPr/>
        <w:sdtContent>
          <w:r w:rsidRPr="00CB13E6">
            <w:rPr>
              <w:rFonts w:ascii="Arial" w:hAnsi="Arial" w:cs="Arial"/>
              <w:color w:val="000000"/>
              <w:sz w:val="24"/>
              <w:szCs w:val="24"/>
            </w:rPr>
            <w:t>(1</w:t>
          </w:r>
          <w:r>
            <w:rPr>
              <w:rFonts w:ascii="Arial" w:hAnsi="Arial" w:cs="Arial"/>
              <w:color w:val="000000"/>
              <w:sz w:val="24"/>
              <w:szCs w:val="24"/>
            </w:rPr>
            <w:t>12</w:t>
          </w:r>
          <w:r w:rsidRPr="00CB13E6">
            <w:rPr>
              <w:rFonts w:ascii="Arial" w:hAnsi="Arial" w:cs="Arial"/>
              <w:color w:val="000000"/>
              <w:sz w:val="24"/>
              <w:szCs w:val="24"/>
            </w:rPr>
            <w:t>)</w:t>
          </w:r>
        </w:sdtContent>
      </w:sdt>
    </w:p>
    <w:p w14:paraId="01D27942" w14:textId="77777777" w:rsidR="004942B6" w:rsidRPr="009222F3" w:rsidRDefault="004942B6" w:rsidP="004942B6">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As the evidence for FFR in the ACS setting comes from sub-group analysis and small registries, larger randomised control trials (RCT) are required to support its liberal use </w:t>
      </w:r>
      <w:r w:rsidRPr="009222F3">
        <w:rPr>
          <w:rFonts w:ascii="Arial" w:hAnsi="Arial" w:cs="Arial"/>
          <w:color w:val="000000" w:themeColor="text1"/>
          <w:sz w:val="24"/>
          <w:szCs w:val="24"/>
        </w:rPr>
        <w:lastRenderedPageBreak/>
        <w:t xml:space="preserve">in such scenarios. Hence, the updated 2020 ESC guidelines on ACS have given a Class IIb </w:t>
      </w:r>
      <w:r>
        <w:rPr>
          <w:rFonts w:ascii="Arial" w:hAnsi="Arial" w:cs="Arial"/>
          <w:color w:val="000000" w:themeColor="text1"/>
          <w:sz w:val="24"/>
          <w:szCs w:val="24"/>
        </w:rPr>
        <w:t>(</w:t>
      </w:r>
      <w:r w:rsidRPr="009222F3">
        <w:rPr>
          <w:rFonts w:ascii="Arial" w:hAnsi="Arial" w:cs="Arial"/>
          <w:color w:val="000000" w:themeColor="text1"/>
          <w:sz w:val="24"/>
          <w:szCs w:val="24"/>
        </w:rPr>
        <w:t>level of evidence B)</w:t>
      </w:r>
      <w:r>
        <w:rPr>
          <w:rFonts w:ascii="Arial" w:hAnsi="Arial" w:cs="Arial"/>
          <w:color w:val="000000" w:themeColor="text1"/>
          <w:sz w:val="24"/>
          <w:szCs w:val="24"/>
        </w:rPr>
        <w:t xml:space="preserve"> </w:t>
      </w:r>
      <w:r w:rsidRPr="009222F3">
        <w:rPr>
          <w:rFonts w:ascii="Arial" w:hAnsi="Arial" w:cs="Arial"/>
          <w:color w:val="000000" w:themeColor="text1"/>
          <w:sz w:val="24"/>
          <w:szCs w:val="24"/>
        </w:rPr>
        <w:t>recommendation for performing FFR in the ACS setting</w:t>
      </w:r>
      <w:r>
        <w:rPr>
          <w:rFonts w:ascii="Arial" w:hAnsi="Arial" w:cs="Arial"/>
          <w:color w:val="000000" w:themeColor="text1"/>
          <w:sz w:val="24"/>
          <w:szCs w:val="24"/>
        </w:rPr>
        <w:t>s to treat</w:t>
      </w:r>
      <w:r w:rsidRPr="009222F3">
        <w:rPr>
          <w:rFonts w:ascii="Arial" w:hAnsi="Arial" w:cs="Arial"/>
          <w:color w:val="000000" w:themeColor="text1"/>
          <w:sz w:val="24"/>
          <w:szCs w:val="24"/>
        </w:rPr>
        <w:t xml:space="preserve"> a non-culprit artery. </w:t>
      </w:r>
      <w:sdt>
        <w:sdtPr>
          <w:rPr>
            <w:rFonts w:ascii="Arial" w:hAnsi="Arial" w:cs="Arial"/>
            <w:color w:val="000000"/>
            <w:sz w:val="24"/>
            <w:szCs w:val="24"/>
          </w:rPr>
          <w:tag w:val="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"/>
          <w:id w:val="222571687"/>
          <w:placeholder>
            <w:docPart w:val="F07A31BFFC46480AAF1F0F470054E1D7"/>
          </w:placeholder>
        </w:sdtPr>
        <w:sdtEndPr/>
        <w:sdtContent>
          <w:r w:rsidRPr="00CB13E6">
            <w:rPr>
              <w:rFonts w:ascii="Arial" w:hAnsi="Arial" w:cs="Arial"/>
              <w:color w:val="000000"/>
              <w:sz w:val="24"/>
              <w:szCs w:val="24"/>
            </w:rPr>
            <w:t>(1</w:t>
          </w:r>
          <w:r>
            <w:rPr>
              <w:rFonts w:ascii="Arial" w:hAnsi="Arial" w:cs="Arial"/>
              <w:color w:val="000000"/>
              <w:sz w:val="24"/>
              <w:szCs w:val="24"/>
            </w:rPr>
            <w:t>13</w:t>
          </w:r>
          <w:r w:rsidRPr="00CB13E6">
            <w:rPr>
              <w:rFonts w:ascii="Arial" w:hAnsi="Arial" w:cs="Arial"/>
              <w:color w:val="000000"/>
              <w:sz w:val="24"/>
              <w:szCs w:val="24"/>
            </w:rPr>
            <w:t>)</w:t>
          </w:r>
        </w:sdtContent>
      </w:sdt>
    </w:p>
    <w:p w14:paraId="028293A6" w14:textId="77777777" w:rsidR="004942B6" w:rsidRDefault="004942B6" w:rsidP="004942B6">
      <w:pPr>
        <w:pStyle w:val="Heading4"/>
        <w:spacing w:line="360" w:lineRule="auto"/>
        <w:rPr>
          <w:rFonts w:ascii="Arial" w:hAnsi="Arial" w:cs="Arial"/>
          <w:i w:val="0"/>
          <w:iCs w:val="0"/>
          <w:color w:val="auto"/>
          <w:sz w:val="24"/>
          <w:szCs w:val="24"/>
        </w:rPr>
      </w:pPr>
      <w:bookmarkStart w:id="294" w:name="_Toc113975430"/>
    </w:p>
    <w:p w14:paraId="66670366" w14:textId="77777777" w:rsidR="004942B6" w:rsidRPr="009012C5" w:rsidRDefault="004942B6" w:rsidP="004942B6">
      <w:pPr>
        <w:pStyle w:val="Heading4"/>
        <w:spacing w:line="360" w:lineRule="auto"/>
        <w:rPr>
          <w:rFonts w:ascii="Arial" w:hAnsi="Arial" w:cs="Arial"/>
          <w:i w:val="0"/>
          <w:iCs w:val="0"/>
          <w:color w:val="4472C4" w:themeColor="accent1"/>
          <w:sz w:val="24"/>
          <w:szCs w:val="24"/>
        </w:rPr>
      </w:pPr>
      <w:r w:rsidRPr="009012C5">
        <w:rPr>
          <w:rFonts w:ascii="Arial" w:hAnsi="Arial" w:cs="Arial"/>
          <w:i w:val="0"/>
          <w:iCs w:val="0"/>
          <w:color w:val="4472C4" w:themeColor="accent1"/>
          <w:sz w:val="24"/>
          <w:szCs w:val="24"/>
        </w:rPr>
        <w:t>1.10.1.1.3 Limitations of Invasive FFR</w:t>
      </w:r>
      <w:bookmarkEnd w:id="294"/>
    </w:p>
    <w:p w14:paraId="18FA4475" w14:textId="77777777" w:rsidR="004942B6" w:rsidRPr="00777334" w:rsidRDefault="004942B6" w:rsidP="004942B6">
      <w:pPr>
        <w:spacing w:line="360" w:lineRule="auto"/>
        <w:jc w:val="both"/>
        <w:rPr>
          <w:rFonts w:ascii="Arial" w:hAnsi="Arial" w:cs="Arial"/>
          <w:sz w:val="24"/>
          <w:szCs w:val="24"/>
        </w:rPr>
      </w:pPr>
      <w:r w:rsidRPr="00777334">
        <w:rPr>
          <w:rFonts w:ascii="Arial" w:hAnsi="Arial" w:cs="Arial"/>
          <w:sz w:val="24"/>
          <w:szCs w:val="24"/>
        </w:rPr>
        <w:t xml:space="preserve">Despite all the evidence in favour of FFR, it has its limitations. FFR values are calculated based on three significant assumptions which may not be universally applicable. </w:t>
      </w:r>
      <w:r>
        <w:rPr>
          <w:rFonts w:ascii="Arial" w:hAnsi="Arial" w:cs="Arial"/>
          <w:sz w:val="24"/>
          <w:szCs w:val="24"/>
        </w:rPr>
        <w:t>The f</w:t>
      </w:r>
      <w:r w:rsidRPr="00777334">
        <w:rPr>
          <w:rFonts w:ascii="Arial" w:hAnsi="Arial" w:cs="Arial"/>
          <w:sz w:val="24"/>
          <w:szCs w:val="24"/>
        </w:rPr>
        <w:t>irs</w:t>
      </w:r>
      <w:r>
        <w:rPr>
          <w:rFonts w:ascii="Arial" w:hAnsi="Arial" w:cs="Arial"/>
          <w:sz w:val="24"/>
          <w:szCs w:val="24"/>
        </w:rPr>
        <w:t>t is that</w:t>
      </w:r>
      <w:r w:rsidRPr="00777334">
        <w:rPr>
          <w:rFonts w:ascii="Arial" w:hAnsi="Arial" w:cs="Arial"/>
          <w:sz w:val="24"/>
          <w:szCs w:val="24"/>
        </w:rPr>
        <w:t xml:space="preserve"> coronary pressure and flow are directly proportional to each other. However, the relationship is curvilinear with a non-zero pressure intercept (113). </w:t>
      </w:r>
      <w:r>
        <w:rPr>
          <w:rFonts w:ascii="Arial" w:hAnsi="Arial" w:cs="Arial"/>
          <w:sz w:val="24"/>
          <w:szCs w:val="24"/>
        </w:rPr>
        <w:t>The s</w:t>
      </w:r>
      <w:r w:rsidRPr="00777334">
        <w:rPr>
          <w:rFonts w:ascii="Arial" w:hAnsi="Arial" w:cs="Arial"/>
          <w:sz w:val="24"/>
          <w:szCs w:val="24"/>
        </w:rPr>
        <w:t>econd</w:t>
      </w:r>
      <w:r>
        <w:rPr>
          <w:rFonts w:ascii="Arial" w:hAnsi="Arial" w:cs="Arial"/>
          <w:sz w:val="24"/>
          <w:szCs w:val="24"/>
        </w:rPr>
        <w:t xml:space="preserve"> assumption is that</w:t>
      </w:r>
      <w:r w:rsidRPr="00777334">
        <w:rPr>
          <w:rFonts w:ascii="Arial" w:hAnsi="Arial" w:cs="Arial"/>
          <w:sz w:val="24"/>
          <w:szCs w:val="24"/>
        </w:rPr>
        <w:t xml:space="preserve"> microvascular resistance (MVR) is minimal and constant during the period of maximal hyperaemia and is similar to what it would be in an undiseased coronary artery. However, this is not always the case as intrinsic (endothelial dysfunction, microvascular dysfunction with diabetes, hypertension, left ventricular hypertrophy, hypertrophic cardiomyopathy) and extrinsic factors (caffeine intake) can cause blunting of the microvascular responsiveness to vasodilate and hence can affect FFR. (114) </w:t>
      </w:r>
      <w:r>
        <w:rPr>
          <w:rFonts w:ascii="Arial" w:hAnsi="Arial" w:cs="Arial"/>
          <w:sz w:val="24"/>
          <w:szCs w:val="24"/>
        </w:rPr>
        <w:t>The t</w:t>
      </w:r>
      <w:r w:rsidRPr="00777334">
        <w:rPr>
          <w:rFonts w:ascii="Arial" w:hAnsi="Arial" w:cs="Arial"/>
          <w:sz w:val="24"/>
          <w:szCs w:val="24"/>
        </w:rPr>
        <w:t>hird assumption is that venous pressure can be ignored</w:t>
      </w:r>
      <w:r>
        <w:rPr>
          <w:rFonts w:ascii="Arial" w:hAnsi="Arial" w:cs="Arial"/>
          <w:sz w:val="24"/>
          <w:szCs w:val="24"/>
        </w:rPr>
        <w:t>. Indeed, it</w:t>
      </w:r>
      <w:r w:rsidRPr="00777334">
        <w:rPr>
          <w:rFonts w:ascii="Arial" w:hAnsi="Arial" w:cs="Arial"/>
          <w:sz w:val="24"/>
          <w:szCs w:val="24"/>
        </w:rPr>
        <w:t xml:space="preserve"> is rarely measured in day-to-day clinical practice due to time constraints and the need for additional venous access. However, in patients with left ventricular dysfunction, LVEDP (left ventricular end-diastolic pressure) is elevated, and so is the right atrial pressure (RAP), which in turn is suggestive of elevated microvenous pressure; it may impact the actual FFR values. (115,116)</w:t>
      </w:r>
    </w:p>
    <w:p w14:paraId="5420F79F" w14:textId="77777777" w:rsidR="004942B6" w:rsidRPr="00777334" w:rsidRDefault="004942B6" w:rsidP="004942B6">
      <w:pPr>
        <w:spacing w:line="360" w:lineRule="auto"/>
        <w:jc w:val="both"/>
        <w:rPr>
          <w:rFonts w:ascii="Arial" w:hAnsi="Arial" w:cs="Arial"/>
          <w:sz w:val="24"/>
          <w:szCs w:val="24"/>
        </w:rPr>
      </w:pPr>
      <w:r w:rsidRPr="00777334">
        <w:rPr>
          <w:rFonts w:ascii="Arial" w:hAnsi="Arial" w:cs="Arial"/>
          <w:sz w:val="24"/>
          <w:szCs w:val="24"/>
        </w:rPr>
        <w:t xml:space="preserve">Similarly, the evidence related to using FFR in </w:t>
      </w:r>
      <w:r>
        <w:rPr>
          <w:rFonts w:ascii="Arial" w:hAnsi="Arial" w:cs="Arial"/>
          <w:sz w:val="24"/>
          <w:szCs w:val="24"/>
        </w:rPr>
        <w:t xml:space="preserve">an </w:t>
      </w:r>
      <w:r w:rsidRPr="00777334">
        <w:rPr>
          <w:rFonts w:ascii="Arial" w:hAnsi="Arial" w:cs="Arial"/>
          <w:sz w:val="24"/>
          <w:szCs w:val="24"/>
        </w:rPr>
        <w:t xml:space="preserve">unprotected left main stem (LMS) is limited and comes from small observational studies, as most of the randomised trials of FFR excluded LMS patients. Of these studies, Hamilos et al. reported the 5-year clinical outcomes of 213 patients who had the revascularisation deferred if FFR was &gt;0.8. </w:t>
      </w:r>
      <w:r>
        <w:rPr>
          <w:rFonts w:ascii="Arial" w:hAnsi="Arial" w:cs="Arial"/>
          <w:sz w:val="24"/>
          <w:szCs w:val="24"/>
        </w:rPr>
        <w:t>It</w:t>
      </w:r>
      <w:r w:rsidRPr="00777334">
        <w:rPr>
          <w:rFonts w:ascii="Arial" w:hAnsi="Arial" w:cs="Arial"/>
          <w:sz w:val="24"/>
          <w:szCs w:val="24"/>
        </w:rPr>
        <w:t xml:space="preserve"> showed no statistically significant difference in event-free survival rates (89.8% revascularisation arm vs 74.2% deferral arm). (117) </w:t>
      </w:r>
    </w:p>
    <w:p w14:paraId="0FC874AB" w14:textId="77777777" w:rsidR="004942B6" w:rsidRDefault="004942B6" w:rsidP="004942B6">
      <w:pPr>
        <w:spacing w:line="360" w:lineRule="auto"/>
        <w:jc w:val="both"/>
        <w:rPr>
          <w:rFonts w:ascii="Arial" w:hAnsi="Arial" w:cs="Arial"/>
          <w:color w:val="000000" w:themeColor="text1"/>
          <w:sz w:val="24"/>
          <w:szCs w:val="24"/>
        </w:rPr>
      </w:pPr>
      <w:r w:rsidRPr="00777334">
        <w:rPr>
          <w:rFonts w:ascii="Arial" w:hAnsi="Arial" w:cs="Arial"/>
          <w:sz w:val="24"/>
          <w:szCs w:val="24"/>
        </w:rPr>
        <w:t xml:space="preserve">Overall, FFR is a reliable assessment tool; however, due to its invasive nature, need for pharmacological hyperaemia, adverse features with adenosine (hypotension, chest tightness, bronchospasm), additional time and cost in a busy catheter lab. and technical aspects such as drift and failure to equalise, may lead to misleading results. (118)  The use of FFR as a dichotomous variable may pose a predicament, especially </w:t>
      </w:r>
      <w:r w:rsidRPr="00777334">
        <w:rPr>
          <w:rFonts w:ascii="Arial" w:hAnsi="Arial" w:cs="Arial"/>
          <w:sz w:val="24"/>
          <w:szCs w:val="24"/>
        </w:rPr>
        <w:lastRenderedPageBreak/>
        <w:t>when it is in the grey zone (0.75-0.85) because, in this range, the diagnostic accuracy (correctly predicting ischaemia) drops to &lt;80%. In such cases, revascularisation decisions should be based on broader clinical judgement. (119)</w:t>
      </w:r>
    </w:p>
    <w:p w14:paraId="183078CC" w14:textId="77777777" w:rsidR="004942B6" w:rsidRDefault="004942B6" w:rsidP="004942B6">
      <w:pPr>
        <w:pStyle w:val="Heading4"/>
        <w:spacing w:line="360" w:lineRule="auto"/>
        <w:rPr>
          <w:rFonts w:ascii="Arial" w:hAnsi="Arial" w:cs="Arial"/>
          <w:i w:val="0"/>
          <w:iCs w:val="0"/>
          <w:color w:val="auto"/>
          <w:sz w:val="24"/>
          <w:szCs w:val="24"/>
        </w:rPr>
      </w:pPr>
      <w:bookmarkStart w:id="295" w:name="_Toc113975431"/>
    </w:p>
    <w:p w14:paraId="1696F830" w14:textId="77777777" w:rsidR="004942B6" w:rsidRPr="009012C5" w:rsidRDefault="004942B6" w:rsidP="004942B6">
      <w:pPr>
        <w:pStyle w:val="Heading4"/>
        <w:spacing w:line="360" w:lineRule="auto"/>
        <w:rPr>
          <w:rFonts w:ascii="Arial" w:hAnsi="Arial" w:cs="Arial"/>
          <w:i w:val="0"/>
          <w:iCs w:val="0"/>
          <w:color w:val="4472C4" w:themeColor="accent1"/>
          <w:sz w:val="24"/>
          <w:szCs w:val="24"/>
        </w:rPr>
      </w:pPr>
      <w:r w:rsidRPr="009012C5">
        <w:rPr>
          <w:rFonts w:ascii="Arial" w:hAnsi="Arial" w:cs="Arial"/>
          <w:i w:val="0"/>
          <w:iCs w:val="0"/>
          <w:color w:val="4472C4" w:themeColor="accent1"/>
          <w:sz w:val="24"/>
          <w:szCs w:val="24"/>
        </w:rPr>
        <w:t>1.10.1.1.3 Alternative non-hyperaemic clinical Indices</w:t>
      </w:r>
      <w:bookmarkEnd w:id="295"/>
    </w:p>
    <w:p w14:paraId="38BC0741" w14:textId="2DB0F748" w:rsidR="004942B6" w:rsidRDefault="004942B6" w:rsidP="004942B6">
      <w:pPr>
        <w:spacing w:line="360" w:lineRule="auto"/>
        <w:jc w:val="both"/>
        <w:rPr>
          <w:rFonts w:ascii="Arial" w:hAnsi="Arial" w:cs="Arial"/>
          <w:sz w:val="24"/>
          <w:szCs w:val="24"/>
        </w:rPr>
      </w:pPr>
      <w:r w:rsidRPr="008144B2">
        <w:rPr>
          <w:rFonts w:ascii="Arial" w:hAnsi="Arial" w:cs="Arial"/>
          <w:sz w:val="24"/>
          <w:szCs w:val="24"/>
        </w:rPr>
        <w:t>A few other auxiliary indices are also validated against FFR in clinical practice, essentially based on the principles of FFR but without the need for physiological hyperaemia. On</w:t>
      </w:r>
      <w:r w:rsidR="00086CC9">
        <w:rPr>
          <w:rFonts w:ascii="Arial" w:hAnsi="Arial" w:cs="Arial"/>
          <w:sz w:val="24"/>
          <w:szCs w:val="24"/>
        </w:rPr>
        <w:t>e</w:t>
      </w:r>
      <w:r w:rsidRPr="008144B2">
        <w:rPr>
          <w:rFonts w:ascii="Arial" w:hAnsi="Arial" w:cs="Arial"/>
          <w:sz w:val="24"/>
          <w:szCs w:val="24"/>
        </w:rPr>
        <w:t xml:space="preserve"> is the instantaneous wave-free ratio (iFR), a resting index measuring the Pd /Pa in the diastolic phase, representing the highest coronary flow period. (120) Both DEFINE-FLAIR (2492 patients) and iFR-SWEDEHEART (2037 patients) trials revealed non-inferiority of iFR to FFR for the primary endpoint of a composite of death, MI, or unplanned revascularization. (121,122) Other non-hyperaemic resting indices in clinical practice are </w:t>
      </w:r>
      <w:r>
        <w:rPr>
          <w:rFonts w:ascii="Arial" w:hAnsi="Arial" w:cs="Arial"/>
          <w:sz w:val="24"/>
          <w:szCs w:val="24"/>
        </w:rPr>
        <w:t>shown in Table 4</w:t>
      </w:r>
      <w:r w:rsidRPr="008144B2">
        <w:rPr>
          <w:rFonts w:ascii="Arial" w:hAnsi="Arial" w:cs="Arial"/>
          <w:sz w:val="24"/>
          <w:szCs w:val="24"/>
        </w:rPr>
        <w:t>. (123)</w:t>
      </w:r>
    </w:p>
    <w:p w14:paraId="206F1CD6" w14:textId="77777777" w:rsidR="004942B6" w:rsidRPr="009222F3" w:rsidRDefault="004942B6" w:rsidP="004942B6">
      <w:pPr>
        <w:spacing w:line="360" w:lineRule="auto"/>
        <w:jc w:val="both"/>
        <w:rPr>
          <w:rFonts w:ascii="Arial" w:hAnsi="Arial" w:cs="Arial"/>
          <w:color w:val="000000" w:themeColor="text1"/>
          <w:sz w:val="24"/>
          <w:szCs w:val="24"/>
        </w:rPr>
      </w:pPr>
    </w:p>
    <w:p w14:paraId="61B1F783" w14:textId="009243A1" w:rsidR="004942B6" w:rsidRPr="00507BF3" w:rsidRDefault="004942B6" w:rsidP="004942B6">
      <w:pPr>
        <w:pStyle w:val="Caption"/>
        <w:keepNext/>
        <w:rPr>
          <w:rFonts w:ascii="Arial" w:hAnsi="Arial" w:cs="Arial"/>
          <w:color w:val="000000" w:themeColor="text1"/>
          <w:sz w:val="20"/>
          <w:szCs w:val="20"/>
        </w:rPr>
      </w:pPr>
      <w:bookmarkStart w:id="296" w:name="_Toc135462259"/>
      <w:bookmarkStart w:id="297" w:name="_Toc136312353"/>
      <w:bookmarkStart w:id="298" w:name="_Toc136329089"/>
      <w:bookmarkStart w:id="299" w:name="_Toc151222932"/>
      <w:bookmarkStart w:id="300" w:name="_Toc151630615"/>
      <w:bookmarkStart w:id="301" w:name="_Toc152340575"/>
      <w:bookmarkStart w:id="302" w:name="_Toc152598051"/>
      <w:bookmarkStart w:id="303" w:name="_Toc153725837"/>
      <w:bookmarkStart w:id="304" w:name="_Toc159318279"/>
      <w:bookmarkStart w:id="305" w:name="_Toc159610314"/>
      <w:bookmarkStart w:id="306" w:name="_Toc164699071"/>
      <w:bookmarkStart w:id="307" w:name="_Toc171206717"/>
      <w:r w:rsidRPr="00507BF3">
        <w:rPr>
          <w:rFonts w:ascii="Arial" w:hAnsi="Arial" w:cs="Arial"/>
          <w:b/>
          <w:bCs/>
          <w:color w:val="000000" w:themeColor="text1"/>
          <w:sz w:val="20"/>
          <w:szCs w:val="20"/>
        </w:rPr>
        <w:t xml:space="preserve">Table </w:t>
      </w:r>
      <w:r w:rsidRPr="00507BF3">
        <w:rPr>
          <w:rFonts w:ascii="Arial" w:hAnsi="Arial" w:cs="Arial"/>
          <w:b/>
          <w:bCs/>
          <w:color w:val="000000" w:themeColor="text1"/>
          <w:sz w:val="20"/>
          <w:szCs w:val="20"/>
        </w:rPr>
        <w:fldChar w:fldCharType="begin"/>
      </w:r>
      <w:r w:rsidRPr="00507BF3">
        <w:rPr>
          <w:rFonts w:ascii="Arial" w:hAnsi="Arial" w:cs="Arial"/>
          <w:b/>
          <w:bCs/>
          <w:color w:val="000000" w:themeColor="text1"/>
          <w:sz w:val="20"/>
          <w:szCs w:val="20"/>
        </w:rPr>
        <w:instrText xml:space="preserve"> SEQ Table \* ARABIC </w:instrText>
      </w:r>
      <w:r w:rsidRPr="00507BF3">
        <w:rPr>
          <w:rFonts w:ascii="Arial" w:hAnsi="Arial" w:cs="Arial"/>
          <w:b/>
          <w:bCs/>
          <w:color w:val="000000" w:themeColor="text1"/>
          <w:sz w:val="20"/>
          <w:szCs w:val="20"/>
        </w:rPr>
        <w:fldChar w:fldCharType="separate"/>
      </w:r>
      <w:r w:rsidR="00822C3B">
        <w:rPr>
          <w:rFonts w:ascii="Arial" w:hAnsi="Arial" w:cs="Arial"/>
          <w:b/>
          <w:bCs/>
          <w:noProof/>
          <w:color w:val="000000" w:themeColor="text1"/>
          <w:sz w:val="20"/>
          <w:szCs w:val="20"/>
        </w:rPr>
        <w:t>4</w:t>
      </w:r>
      <w:r w:rsidRPr="00507BF3">
        <w:rPr>
          <w:rFonts w:ascii="Arial" w:hAnsi="Arial" w:cs="Arial"/>
          <w:b/>
          <w:bCs/>
          <w:color w:val="000000" w:themeColor="text1"/>
          <w:sz w:val="20"/>
          <w:szCs w:val="20"/>
        </w:rPr>
        <w:fldChar w:fldCharType="end"/>
      </w:r>
      <w:r w:rsidRPr="00507BF3">
        <w:rPr>
          <w:rFonts w:ascii="Arial" w:hAnsi="Arial" w:cs="Arial"/>
          <w:b/>
          <w:bCs/>
          <w:color w:val="000000" w:themeColor="text1"/>
          <w:sz w:val="20"/>
          <w:szCs w:val="20"/>
        </w:rPr>
        <w:t>:</w:t>
      </w:r>
      <w:r w:rsidRPr="00507BF3">
        <w:rPr>
          <w:rFonts w:ascii="Arial" w:hAnsi="Arial" w:cs="Arial"/>
          <w:color w:val="000000" w:themeColor="text1"/>
          <w:sz w:val="20"/>
          <w:szCs w:val="20"/>
        </w:rPr>
        <w:t xml:space="preserve"> Alternative non-hyperaemic pressure indices with description.</w:t>
      </w:r>
      <w:bookmarkEnd w:id="296"/>
      <w:bookmarkEnd w:id="297"/>
      <w:bookmarkEnd w:id="298"/>
      <w:bookmarkEnd w:id="299"/>
      <w:bookmarkEnd w:id="300"/>
      <w:bookmarkEnd w:id="301"/>
      <w:bookmarkEnd w:id="302"/>
      <w:bookmarkEnd w:id="303"/>
      <w:bookmarkEnd w:id="304"/>
      <w:bookmarkEnd w:id="305"/>
      <w:bookmarkEnd w:id="306"/>
      <w:bookmarkEnd w:id="307"/>
    </w:p>
    <w:tbl>
      <w:tblPr>
        <w:tblStyle w:val="TableGrid"/>
        <w:tblW w:w="0" w:type="auto"/>
        <w:tblLook w:val="04A0" w:firstRow="1" w:lastRow="0" w:firstColumn="1" w:lastColumn="0" w:noHBand="0" w:noVBand="1"/>
      </w:tblPr>
      <w:tblGrid>
        <w:gridCol w:w="1523"/>
        <w:gridCol w:w="1510"/>
        <w:gridCol w:w="1100"/>
        <w:gridCol w:w="4883"/>
      </w:tblGrid>
      <w:tr w:rsidR="004942B6" w:rsidRPr="009222F3" w14:paraId="69DB59FD" w14:textId="77777777" w:rsidTr="002C2525">
        <w:trPr>
          <w:trHeight w:val="1692"/>
        </w:trPr>
        <w:tc>
          <w:tcPr>
            <w:tcW w:w="1523" w:type="dxa"/>
          </w:tcPr>
          <w:p w14:paraId="03713828" w14:textId="77777777" w:rsidR="004942B6" w:rsidRPr="009222F3" w:rsidRDefault="004942B6" w:rsidP="002C2525">
            <w:pPr>
              <w:jc w:val="both"/>
              <w:rPr>
                <w:rFonts w:ascii="Arial" w:hAnsi="Arial" w:cs="Arial"/>
                <w:color w:val="000000" w:themeColor="text1"/>
                <w:sz w:val="24"/>
                <w:szCs w:val="24"/>
              </w:rPr>
            </w:pPr>
            <w:bookmarkStart w:id="308" w:name="_Toc113360095"/>
            <w:bookmarkStart w:id="309" w:name="_Toc113360784"/>
            <w:bookmarkStart w:id="310" w:name="_Toc113975432"/>
            <w:r w:rsidRPr="009222F3">
              <w:rPr>
                <w:rFonts w:ascii="Arial" w:hAnsi="Arial" w:cs="Arial"/>
                <w:color w:val="000000" w:themeColor="text1"/>
                <w:sz w:val="24"/>
                <w:szCs w:val="24"/>
              </w:rPr>
              <w:t>Pressure Index</w:t>
            </w:r>
            <w:bookmarkEnd w:id="308"/>
            <w:bookmarkEnd w:id="309"/>
            <w:bookmarkEnd w:id="310"/>
          </w:p>
        </w:tc>
        <w:tc>
          <w:tcPr>
            <w:tcW w:w="1510" w:type="dxa"/>
          </w:tcPr>
          <w:p w14:paraId="298408A9" w14:textId="77777777" w:rsidR="004942B6" w:rsidRPr="009222F3" w:rsidRDefault="004942B6" w:rsidP="002C2525">
            <w:pPr>
              <w:jc w:val="both"/>
              <w:rPr>
                <w:rFonts w:ascii="Arial" w:hAnsi="Arial" w:cs="Arial"/>
                <w:color w:val="000000" w:themeColor="text1"/>
                <w:sz w:val="24"/>
                <w:szCs w:val="24"/>
              </w:rPr>
            </w:pPr>
            <w:bookmarkStart w:id="311" w:name="_Toc113360096"/>
            <w:bookmarkStart w:id="312" w:name="_Toc113360785"/>
            <w:bookmarkStart w:id="313" w:name="_Toc113975433"/>
            <w:r w:rsidRPr="009222F3">
              <w:rPr>
                <w:rFonts w:ascii="Arial" w:hAnsi="Arial" w:cs="Arial"/>
                <w:color w:val="000000" w:themeColor="text1"/>
                <w:sz w:val="24"/>
                <w:szCs w:val="24"/>
              </w:rPr>
              <w:t>Hyperaemia required</w:t>
            </w:r>
            <w:bookmarkEnd w:id="311"/>
            <w:bookmarkEnd w:id="312"/>
            <w:bookmarkEnd w:id="313"/>
          </w:p>
        </w:tc>
        <w:tc>
          <w:tcPr>
            <w:tcW w:w="1100" w:type="dxa"/>
          </w:tcPr>
          <w:p w14:paraId="494D02BA" w14:textId="77777777" w:rsidR="004942B6" w:rsidRPr="009222F3" w:rsidRDefault="004942B6" w:rsidP="002C2525">
            <w:pPr>
              <w:jc w:val="both"/>
              <w:rPr>
                <w:rFonts w:ascii="Arial" w:hAnsi="Arial" w:cs="Arial"/>
                <w:color w:val="000000" w:themeColor="text1"/>
                <w:sz w:val="24"/>
                <w:szCs w:val="24"/>
              </w:rPr>
            </w:pPr>
            <w:bookmarkStart w:id="314" w:name="_Toc113360097"/>
            <w:bookmarkStart w:id="315" w:name="_Toc113360786"/>
            <w:bookmarkStart w:id="316" w:name="_Toc113975434"/>
            <w:r w:rsidRPr="009222F3">
              <w:rPr>
                <w:rFonts w:ascii="Arial" w:hAnsi="Arial" w:cs="Arial"/>
                <w:color w:val="000000" w:themeColor="text1"/>
                <w:sz w:val="24"/>
                <w:szCs w:val="24"/>
              </w:rPr>
              <w:t>Clinical cut-off value</w:t>
            </w:r>
            <w:bookmarkEnd w:id="314"/>
            <w:bookmarkEnd w:id="315"/>
            <w:bookmarkEnd w:id="316"/>
            <w:r w:rsidRPr="009222F3">
              <w:rPr>
                <w:rFonts w:ascii="Arial" w:hAnsi="Arial" w:cs="Arial"/>
                <w:color w:val="000000" w:themeColor="text1"/>
                <w:sz w:val="24"/>
                <w:szCs w:val="24"/>
              </w:rPr>
              <w:t xml:space="preserve"> </w:t>
            </w:r>
          </w:p>
        </w:tc>
        <w:tc>
          <w:tcPr>
            <w:tcW w:w="4883" w:type="dxa"/>
          </w:tcPr>
          <w:p w14:paraId="2A6E706A" w14:textId="77777777" w:rsidR="004942B6" w:rsidRPr="009222F3" w:rsidRDefault="004942B6" w:rsidP="002C2525">
            <w:pPr>
              <w:jc w:val="both"/>
              <w:rPr>
                <w:rFonts w:ascii="Arial" w:hAnsi="Arial" w:cs="Arial"/>
                <w:color w:val="000000" w:themeColor="text1"/>
                <w:sz w:val="24"/>
                <w:szCs w:val="24"/>
              </w:rPr>
            </w:pPr>
            <w:bookmarkStart w:id="317" w:name="_Toc113360098"/>
            <w:bookmarkStart w:id="318" w:name="_Toc113360787"/>
            <w:bookmarkStart w:id="319" w:name="_Toc113975435"/>
            <w:r w:rsidRPr="009222F3">
              <w:rPr>
                <w:rFonts w:ascii="Arial" w:hAnsi="Arial" w:cs="Arial"/>
                <w:color w:val="000000" w:themeColor="text1"/>
                <w:sz w:val="24"/>
                <w:szCs w:val="24"/>
              </w:rPr>
              <w:t>Calculation of the index</w:t>
            </w:r>
            <w:bookmarkEnd w:id="317"/>
            <w:bookmarkEnd w:id="318"/>
            <w:bookmarkEnd w:id="319"/>
          </w:p>
        </w:tc>
      </w:tr>
      <w:tr w:rsidR="004942B6" w:rsidRPr="009222F3" w14:paraId="74B37730" w14:textId="77777777" w:rsidTr="002C2525">
        <w:tc>
          <w:tcPr>
            <w:tcW w:w="1523" w:type="dxa"/>
          </w:tcPr>
          <w:p w14:paraId="1F1823B1"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FFR</w:t>
            </w:r>
          </w:p>
        </w:tc>
        <w:tc>
          <w:tcPr>
            <w:tcW w:w="1510" w:type="dxa"/>
          </w:tcPr>
          <w:p w14:paraId="7C1DFC89"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Yes </w:t>
            </w:r>
          </w:p>
        </w:tc>
        <w:tc>
          <w:tcPr>
            <w:tcW w:w="1100" w:type="dxa"/>
          </w:tcPr>
          <w:p w14:paraId="256E1FAA"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0.80</w:t>
            </w:r>
          </w:p>
        </w:tc>
        <w:tc>
          <w:tcPr>
            <w:tcW w:w="4883" w:type="dxa"/>
          </w:tcPr>
          <w:p w14:paraId="0CC17508"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P</w:t>
            </w:r>
            <w:r w:rsidRPr="009222F3">
              <w:rPr>
                <w:rFonts w:ascii="Arial" w:hAnsi="Arial" w:cs="Arial"/>
                <w:color w:val="000000" w:themeColor="text1"/>
                <w:sz w:val="24"/>
                <w:szCs w:val="24"/>
                <w:vertAlign w:val="subscript"/>
              </w:rPr>
              <w:t>d</w:t>
            </w:r>
            <w:r w:rsidRPr="009222F3">
              <w:rPr>
                <w:rFonts w:ascii="Arial" w:hAnsi="Arial" w:cs="Arial"/>
                <w:color w:val="000000" w:themeColor="text1"/>
                <w:sz w:val="24"/>
                <w:szCs w:val="24"/>
              </w:rPr>
              <w:t xml:space="preserve"> / P</w:t>
            </w:r>
            <w:r w:rsidRPr="009222F3">
              <w:rPr>
                <w:rFonts w:ascii="Arial" w:hAnsi="Arial" w:cs="Arial"/>
                <w:color w:val="000000" w:themeColor="text1"/>
                <w:sz w:val="24"/>
                <w:szCs w:val="24"/>
                <w:vertAlign w:val="subscript"/>
              </w:rPr>
              <w:t>a</w:t>
            </w:r>
            <w:r w:rsidRPr="009222F3">
              <w:rPr>
                <w:rFonts w:ascii="Arial" w:hAnsi="Arial" w:cs="Arial"/>
                <w:color w:val="000000" w:themeColor="text1"/>
                <w:sz w:val="24"/>
                <w:szCs w:val="24"/>
              </w:rPr>
              <w:t xml:space="preserve"> during the maximal hyperaemia with adenosine (over </w:t>
            </w:r>
            <w:r>
              <w:rPr>
                <w:rFonts w:ascii="Arial" w:hAnsi="Arial" w:cs="Arial"/>
                <w:color w:val="000000" w:themeColor="text1"/>
                <w:sz w:val="24"/>
                <w:szCs w:val="24"/>
              </w:rPr>
              <w:t>three</w:t>
            </w:r>
            <w:r w:rsidRPr="009222F3">
              <w:rPr>
                <w:rFonts w:ascii="Arial" w:hAnsi="Arial" w:cs="Arial"/>
                <w:color w:val="000000" w:themeColor="text1"/>
                <w:sz w:val="24"/>
                <w:szCs w:val="24"/>
              </w:rPr>
              <w:t xml:space="preserve"> beats)</w:t>
            </w:r>
          </w:p>
        </w:tc>
      </w:tr>
      <w:tr w:rsidR="004942B6" w:rsidRPr="009222F3" w14:paraId="7D901831" w14:textId="77777777" w:rsidTr="002C2525">
        <w:tc>
          <w:tcPr>
            <w:tcW w:w="1523" w:type="dxa"/>
          </w:tcPr>
          <w:p w14:paraId="23F070FD"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iFR</w:t>
            </w:r>
          </w:p>
        </w:tc>
        <w:tc>
          <w:tcPr>
            <w:tcW w:w="1510" w:type="dxa"/>
          </w:tcPr>
          <w:p w14:paraId="5A2B59D3"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No</w:t>
            </w:r>
          </w:p>
        </w:tc>
        <w:tc>
          <w:tcPr>
            <w:tcW w:w="1100" w:type="dxa"/>
          </w:tcPr>
          <w:p w14:paraId="4C21CB2B"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0.89</w:t>
            </w:r>
          </w:p>
        </w:tc>
        <w:tc>
          <w:tcPr>
            <w:tcW w:w="4883" w:type="dxa"/>
          </w:tcPr>
          <w:p w14:paraId="477C1074"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P</w:t>
            </w:r>
            <w:r w:rsidRPr="009222F3">
              <w:rPr>
                <w:rFonts w:ascii="Arial" w:hAnsi="Arial" w:cs="Arial"/>
                <w:color w:val="000000" w:themeColor="text1"/>
                <w:sz w:val="24"/>
                <w:szCs w:val="24"/>
                <w:vertAlign w:val="subscript"/>
              </w:rPr>
              <w:t>d</w:t>
            </w:r>
            <w:r w:rsidRPr="009222F3">
              <w:rPr>
                <w:rFonts w:ascii="Arial" w:hAnsi="Arial" w:cs="Arial"/>
                <w:color w:val="000000" w:themeColor="text1"/>
                <w:sz w:val="24"/>
                <w:szCs w:val="24"/>
              </w:rPr>
              <w:t xml:space="preserve"> / P</w:t>
            </w:r>
            <w:r w:rsidRPr="009222F3">
              <w:rPr>
                <w:rFonts w:ascii="Arial" w:hAnsi="Arial" w:cs="Arial"/>
                <w:color w:val="000000" w:themeColor="text1"/>
                <w:sz w:val="24"/>
                <w:szCs w:val="24"/>
                <w:vertAlign w:val="subscript"/>
              </w:rPr>
              <w:t>a</w:t>
            </w:r>
            <w:r w:rsidRPr="009222F3">
              <w:rPr>
                <w:rFonts w:ascii="Arial" w:hAnsi="Arial" w:cs="Arial"/>
                <w:color w:val="000000" w:themeColor="text1"/>
                <w:sz w:val="24"/>
                <w:szCs w:val="24"/>
              </w:rPr>
              <w:t xml:space="preserve"> during the wave-free period (over </w:t>
            </w:r>
            <w:r>
              <w:rPr>
                <w:rFonts w:ascii="Arial" w:hAnsi="Arial" w:cs="Arial"/>
                <w:color w:val="000000" w:themeColor="text1"/>
                <w:sz w:val="24"/>
                <w:szCs w:val="24"/>
              </w:rPr>
              <w:t>five</w:t>
            </w:r>
            <w:r w:rsidRPr="009222F3">
              <w:rPr>
                <w:rFonts w:ascii="Arial" w:hAnsi="Arial" w:cs="Arial"/>
                <w:color w:val="000000" w:themeColor="text1"/>
                <w:sz w:val="24"/>
                <w:szCs w:val="24"/>
              </w:rPr>
              <w:t xml:space="preserve"> beats)</w:t>
            </w:r>
          </w:p>
        </w:tc>
      </w:tr>
      <w:tr w:rsidR="004942B6" w:rsidRPr="009222F3" w14:paraId="60864A54" w14:textId="77777777" w:rsidTr="002C2525">
        <w:tc>
          <w:tcPr>
            <w:tcW w:w="1523" w:type="dxa"/>
          </w:tcPr>
          <w:p w14:paraId="1BFCF8C7"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RFR</w:t>
            </w:r>
          </w:p>
        </w:tc>
        <w:tc>
          <w:tcPr>
            <w:tcW w:w="1510" w:type="dxa"/>
          </w:tcPr>
          <w:p w14:paraId="52E0B033"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No</w:t>
            </w:r>
          </w:p>
        </w:tc>
        <w:tc>
          <w:tcPr>
            <w:tcW w:w="1100" w:type="dxa"/>
          </w:tcPr>
          <w:p w14:paraId="10D4806D"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0.89</w:t>
            </w:r>
          </w:p>
        </w:tc>
        <w:tc>
          <w:tcPr>
            <w:tcW w:w="4883" w:type="dxa"/>
          </w:tcPr>
          <w:p w14:paraId="434F9EA7"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Instant lowest P</w:t>
            </w:r>
            <w:r w:rsidRPr="009222F3">
              <w:rPr>
                <w:rFonts w:ascii="Arial" w:hAnsi="Arial" w:cs="Arial"/>
                <w:color w:val="000000" w:themeColor="text1"/>
                <w:sz w:val="24"/>
                <w:szCs w:val="24"/>
                <w:vertAlign w:val="subscript"/>
              </w:rPr>
              <w:t>d</w:t>
            </w:r>
            <w:r w:rsidRPr="009222F3">
              <w:rPr>
                <w:rFonts w:ascii="Arial" w:hAnsi="Arial" w:cs="Arial"/>
                <w:color w:val="000000" w:themeColor="text1"/>
                <w:sz w:val="24"/>
                <w:szCs w:val="24"/>
              </w:rPr>
              <w:t xml:space="preserve"> / P</w:t>
            </w:r>
            <w:r w:rsidRPr="009222F3">
              <w:rPr>
                <w:rFonts w:ascii="Arial" w:hAnsi="Arial" w:cs="Arial"/>
                <w:color w:val="000000" w:themeColor="text1"/>
                <w:sz w:val="24"/>
                <w:szCs w:val="24"/>
                <w:vertAlign w:val="subscript"/>
              </w:rPr>
              <w:t>a</w:t>
            </w:r>
            <w:r w:rsidRPr="009222F3">
              <w:rPr>
                <w:rFonts w:ascii="Arial" w:hAnsi="Arial" w:cs="Arial"/>
                <w:color w:val="000000" w:themeColor="text1"/>
                <w:sz w:val="24"/>
                <w:szCs w:val="24"/>
              </w:rPr>
              <w:t xml:space="preserve"> ratio over the entire cardiac cycle (over </w:t>
            </w:r>
            <w:r>
              <w:rPr>
                <w:rFonts w:ascii="Arial" w:hAnsi="Arial" w:cs="Arial"/>
                <w:color w:val="000000" w:themeColor="text1"/>
                <w:sz w:val="24"/>
                <w:szCs w:val="24"/>
              </w:rPr>
              <w:t>five</w:t>
            </w:r>
            <w:r w:rsidRPr="009222F3">
              <w:rPr>
                <w:rFonts w:ascii="Arial" w:hAnsi="Arial" w:cs="Arial"/>
                <w:color w:val="000000" w:themeColor="text1"/>
                <w:sz w:val="24"/>
                <w:szCs w:val="24"/>
              </w:rPr>
              <w:t xml:space="preserve"> beats)</w:t>
            </w:r>
          </w:p>
        </w:tc>
      </w:tr>
      <w:tr w:rsidR="004942B6" w:rsidRPr="009222F3" w14:paraId="70EB928F" w14:textId="77777777" w:rsidTr="002C2525">
        <w:trPr>
          <w:trHeight w:val="658"/>
        </w:trPr>
        <w:tc>
          <w:tcPr>
            <w:tcW w:w="1523" w:type="dxa"/>
          </w:tcPr>
          <w:p w14:paraId="1ADE544E" w14:textId="77777777" w:rsidR="004942B6"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Resting </w:t>
            </w:r>
          </w:p>
          <w:p w14:paraId="5E54FB5E" w14:textId="77777777" w:rsidR="004942B6" w:rsidRPr="009222F3" w:rsidRDefault="004942B6" w:rsidP="002C2525">
            <w:pPr>
              <w:spacing w:line="360" w:lineRule="auto"/>
              <w:jc w:val="both"/>
              <w:rPr>
                <w:rFonts w:ascii="Arial" w:hAnsi="Arial" w:cs="Arial"/>
                <w:color w:val="000000" w:themeColor="text1"/>
                <w:sz w:val="24"/>
                <w:szCs w:val="24"/>
                <w:vertAlign w:val="subscript"/>
              </w:rPr>
            </w:pPr>
            <w:r w:rsidRPr="009222F3">
              <w:rPr>
                <w:rFonts w:ascii="Arial" w:hAnsi="Arial" w:cs="Arial"/>
                <w:color w:val="000000" w:themeColor="text1"/>
                <w:sz w:val="24"/>
                <w:szCs w:val="24"/>
              </w:rPr>
              <w:t>P</w:t>
            </w:r>
            <w:r w:rsidRPr="009222F3">
              <w:rPr>
                <w:rFonts w:ascii="Arial" w:hAnsi="Arial" w:cs="Arial"/>
                <w:color w:val="000000" w:themeColor="text1"/>
                <w:sz w:val="24"/>
                <w:szCs w:val="24"/>
                <w:vertAlign w:val="subscript"/>
              </w:rPr>
              <w:t>d</w:t>
            </w:r>
            <w:r w:rsidRPr="009222F3">
              <w:rPr>
                <w:rFonts w:ascii="Arial" w:hAnsi="Arial" w:cs="Arial"/>
                <w:color w:val="000000" w:themeColor="text1"/>
                <w:sz w:val="24"/>
                <w:szCs w:val="24"/>
              </w:rPr>
              <w:t xml:space="preserve"> / P</w:t>
            </w:r>
            <w:r w:rsidRPr="009222F3">
              <w:rPr>
                <w:rFonts w:ascii="Arial" w:hAnsi="Arial" w:cs="Arial"/>
                <w:color w:val="000000" w:themeColor="text1"/>
                <w:sz w:val="24"/>
                <w:szCs w:val="24"/>
                <w:vertAlign w:val="subscript"/>
              </w:rPr>
              <w:t>a</w:t>
            </w:r>
          </w:p>
        </w:tc>
        <w:tc>
          <w:tcPr>
            <w:tcW w:w="1510" w:type="dxa"/>
          </w:tcPr>
          <w:p w14:paraId="7D3C267A"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No</w:t>
            </w:r>
          </w:p>
        </w:tc>
        <w:tc>
          <w:tcPr>
            <w:tcW w:w="1100" w:type="dxa"/>
          </w:tcPr>
          <w:p w14:paraId="079D14A7"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0.91</w:t>
            </w:r>
          </w:p>
        </w:tc>
        <w:tc>
          <w:tcPr>
            <w:tcW w:w="4883" w:type="dxa"/>
          </w:tcPr>
          <w:p w14:paraId="302E07BC"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P</w:t>
            </w:r>
            <w:r w:rsidRPr="009222F3">
              <w:rPr>
                <w:rFonts w:ascii="Arial" w:hAnsi="Arial" w:cs="Arial"/>
                <w:color w:val="000000" w:themeColor="text1"/>
                <w:sz w:val="24"/>
                <w:szCs w:val="24"/>
                <w:vertAlign w:val="subscript"/>
              </w:rPr>
              <w:t>d</w:t>
            </w:r>
            <w:r w:rsidRPr="009222F3">
              <w:rPr>
                <w:rFonts w:ascii="Arial" w:hAnsi="Arial" w:cs="Arial"/>
                <w:color w:val="000000" w:themeColor="text1"/>
                <w:sz w:val="24"/>
                <w:szCs w:val="24"/>
              </w:rPr>
              <w:t xml:space="preserve"> / P</w:t>
            </w:r>
            <w:r w:rsidRPr="009222F3">
              <w:rPr>
                <w:rFonts w:ascii="Arial" w:hAnsi="Arial" w:cs="Arial"/>
                <w:color w:val="000000" w:themeColor="text1"/>
                <w:sz w:val="24"/>
                <w:szCs w:val="24"/>
                <w:vertAlign w:val="subscript"/>
              </w:rPr>
              <w:t>a</w:t>
            </w:r>
            <w:r w:rsidRPr="009222F3">
              <w:rPr>
                <w:rFonts w:ascii="Arial" w:hAnsi="Arial" w:cs="Arial"/>
                <w:color w:val="000000" w:themeColor="text1"/>
                <w:sz w:val="24"/>
                <w:szCs w:val="24"/>
              </w:rPr>
              <w:t xml:space="preserve"> during the entire cardiac cycle (</w:t>
            </w:r>
            <w:r>
              <w:rPr>
                <w:rFonts w:ascii="Arial" w:hAnsi="Arial" w:cs="Arial"/>
                <w:color w:val="000000" w:themeColor="text1"/>
                <w:sz w:val="24"/>
                <w:szCs w:val="24"/>
              </w:rPr>
              <w:t>three</w:t>
            </w:r>
            <w:r w:rsidRPr="009222F3">
              <w:rPr>
                <w:rFonts w:ascii="Arial" w:hAnsi="Arial" w:cs="Arial"/>
                <w:color w:val="000000" w:themeColor="text1"/>
                <w:sz w:val="24"/>
                <w:szCs w:val="24"/>
              </w:rPr>
              <w:t xml:space="preserve"> beats) </w:t>
            </w:r>
          </w:p>
        </w:tc>
      </w:tr>
      <w:tr w:rsidR="004942B6" w:rsidRPr="009222F3" w14:paraId="51B44DD5" w14:textId="77777777" w:rsidTr="002C2525">
        <w:tc>
          <w:tcPr>
            <w:tcW w:w="1523" w:type="dxa"/>
          </w:tcPr>
          <w:p w14:paraId="18625AEF"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DFR</w:t>
            </w:r>
          </w:p>
        </w:tc>
        <w:tc>
          <w:tcPr>
            <w:tcW w:w="1510" w:type="dxa"/>
          </w:tcPr>
          <w:p w14:paraId="1047345B"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No</w:t>
            </w:r>
          </w:p>
        </w:tc>
        <w:tc>
          <w:tcPr>
            <w:tcW w:w="1100" w:type="dxa"/>
          </w:tcPr>
          <w:p w14:paraId="16B03D03"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0.89</w:t>
            </w:r>
          </w:p>
        </w:tc>
        <w:tc>
          <w:tcPr>
            <w:tcW w:w="4883" w:type="dxa"/>
          </w:tcPr>
          <w:p w14:paraId="0221472D"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P</w:t>
            </w:r>
            <w:r w:rsidRPr="009222F3">
              <w:rPr>
                <w:rFonts w:ascii="Arial" w:hAnsi="Arial" w:cs="Arial"/>
                <w:color w:val="000000" w:themeColor="text1"/>
                <w:sz w:val="24"/>
                <w:szCs w:val="24"/>
                <w:vertAlign w:val="subscript"/>
              </w:rPr>
              <w:t>d</w:t>
            </w:r>
            <w:r w:rsidRPr="009222F3">
              <w:rPr>
                <w:rFonts w:ascii="Arial" w:hAnsi="Arial" w:cs="Arial"/>
                <w:color w:val="000000" w:themeColor="text1"/>
                <w:sz w:val="24"/>
                <w:szCs w:val="24"/>
              </w:rPr>
              <w:t xml:space="preserve"> / P</w:t>
            </w:r>
            <w:r w:rsidRPr="009222F3">
              <w:rPr>
                <w:rFonts w:ascii="Arial" w:hAnsi="Arial" w:cs="Arial"/>
                <w:color w:val="000000" w:themeColor="text1"/>
                <w:sz w:val="24"/>
                <w:szCs w:val="24"/>
                <w:vertAlign w:val="subscript"/>
              </w:rPr>
              <w:t>a</w:t>
            </w:r>
            <w:r w:rsidRPr="009222F3">
              <w:rPr>
                <w:rFonts w:ascii="Arial" w:hAnsi="Arial" w:cs="Arial"/>
                <w:color w:val="000000" w:themeColor="text1"/>
                <w:sz w:val="24"/>
                <w:szCs w:val="24"/>
              </w:rPr>
              <w:t xml:space="preserve"> during the period between P</w:t>
            </w:r>
            <w:r w:rsidRPr="009222F3">
              <w:rPr>
                <w:rFonts w:ascii="Arial" w:hAnsi="Arial" w:cs="Arial"/>
                <w:color w:val="000000" w:themeColor="text1"/>
                <w:sz w:val="24"/>
                <w:szCs w:val="24"/>
                <w:vertAlign w:val="subscript"/>
              </w:rPr>
              <w:t>a</w:t>
            </w:r>
            <w:r w:rsidRPr="009222F3">
              <w:rPr>
                <w:rFonts w:ascii="Arial" w:hAnsi="Arial" w:cs="Arial"/>
                <w:color w:val="000000" w:themeColor="text1"/>
                <w:sz w:val="24"/>
                <w:szCs w:val="24"/>
              </w:rPr>
              <w:t xml:space="preserve"> &lt; mean P</w:t>
            </w:r>
            <w:r w:rsidRPr="009222F3">
              <w:rPr>
                <w:rFonts w:ascii="Arial" w:hAnsi="Arial" w:cs="Arial"/>
                <w:color w:val="000000" w:themeColor="text1"/>
                <w:sz w:val="24"/>
                <w:szCs w:val="24"/>
                <w:vertAlign w:val="subscript"/>
              </w:rPr>
              <w:t>a</w:t>
            </w:r>
            <w:r w:rsidRPr="009222F3">
              <w:rPr>
                <w:rFonts w:ascii="Arial" w:hAnsi="Arial" w:cs="Arial"/>
                <w:color w:val="000000" w:themeColor="text1"/>
                <w:sz w:val="24"/>
                <w:szCs w:val="24"/>
              </w:rPr>
              <w:t xml:space="preserve"> and down sloping (over </w:t>
            </w:r>
            <w:r>
              <w:rPr>
                <w:rFonts w:ascii="Arial" w:hAnsi="Arial" w:cs="Arial"/>
                <w:color w:val="000000" w:themeColor="text1"/>
                <w:sz w:val="24"/>
                <w:szCs w:val="24"/>
              </w:rPr>
              <w:t>five</w:t>
            </w:r>
            <w:r w:rsidRPr="009222F3">
              <w:rPr>
                <w:rFonts w:ascii="Arial" w:hAnsi="Arial" w:cs="Arial"/>
                <w:color w:val="000000" w:themeColor="text1"/>
                <w:sz w:val="24"/>
                <w:szCs w:val="24"/>
              </w:rPr>
              <w:t xml:space="preserve"> beats)</w:t>
            </w:r>
          </w:p>
        </w:tc>
      </w:tr>
      <w:tr w:rsidR="004942B6" w:rsidRPr="009222F3" w14:paraId="6F7EBA5A" w14:textId="77777777" w:rsidTr="002C2525">
        <w:tc>
          <w:tcPr>
            <w:tcW w:w="1523" w:type="dxa"/>
          </w:tcPr>
          <w:p w14:paraId="0D1ABEF9"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dPR</w:t>
            </w:r>
          </w:p>
        </w:tc>
        <w:tc>
          <w:tcPr>
            <w:tcW w:w="1510" w:type="dxa"/>
          </w:tcPr>
          <w:p w14:paraId="561D11B9"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No</w:t>
            </w:r>
          </w:p>
        </w:tc>
        <w:tc>
          <w:tcPr>
            <w:tcW w:w="1100" w:type="dxa"/>
          </w:tcPr>
          <w:p w14:paraId="343DDA0C"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0.89</w:t>
            </w:r>
          </w:p>
        </w:tc>
        <w:tc>
          <w:tcPr>
            <w:tcW w:w="4883" w:type="dxa"/>
          </w:tcPr>
          <w:p w14:paraId="43E2D128"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Averaged P</w:t>
            </w:r>
            <w:r w:rsidRPr="009222F3">
              <w:rPr>
                <w:rFonts w:ascii="Arial" w:hAnsi="Arial" w:cs="Arial"/>
                <w:color w:val="000000" w:themeColor="text1"/>
                <w:sz w:val="24"/>
                <w:szCs w:val="24"/>
                <w:vertAlign w:val="subscript"/>
              </w:rPr>
              <w:t>d</w:t>
            </w:r>
            <w:r w:rsidRPr="009222F3">
              <w:rPr>
                <w:rFonts w:ascii="Arial" w:hAnsi="Arial" w:cs="Arial"/>
                <w:color w:val="000000" w:themeColor="text1"/>
                <w:sz w:val="24"/>
                <w:szCs w:val="24"/>
              </w:rPr>
              <w:t xml:space="preserve"> / P</w:t>
            </w:r>
            <w:r w:rsidRPr="009222F3">
              <w:rPr>
                <w:rFonts w:ascii="Arial" w:hAnsi="Arial" w:cs="Arial"/>
                <w:color w:val="000000" w:themeColor="text1"/>
                <w:sz w:val="24"/>
                <w:szCs w:val="24"/>
                <w:vertAlign w:val="subscript"/>
              </w:rPr>
              <w:t>a</w:t>
            </w:r>
            <w:r w:rsidRPr="009222F3">
              <w:rPr>
                <w:rFonts w:ascii="Arial" w:hAnsi="Arial" w:cs="Arial"/>
                <w:color w:val="000000" w:themeColor="text1"/>
                <w:sz w:val="24"/>
                <w:szCs w:val="24"/>
              </w:rPr>
              <w:t xml:space="preserve"> over diastolic phase (over </w:t>
            </w:r>
            <w:r>
              <w:rPr>
                <w:rFonts w:ascii="Arial" w:hAnsi="Arial" w:cs="Arial"/>
                <w:color w:val="000000" w:themeColor="text1"/>
                <w:sz w:val="24"/>
                <w:szCs w:val="24"/>
              </w:rPr>
              <w:t>five</w:t>
            </w:r>
            <w:r w:rsidRPr="009222F3">
              <w:rPr>
                <w:rFonts w:ascii="Arial" w:hAnsi="Arial" w:cs="Arial"/>
                <w:color w:val="000000" w:themeColor="text1"/>
                <w:sz w:val="24"/>
                <w:szCs w:val="24"/>
              </w:rPr>
              <w:t xml:space="preserve"> beats)</w:t>
            </w:r>
          </w:p>
        </w:tc>
      </w:tr>
    </w:tbl>
    <w:p w14:paraId="6BC01231" w14:textId="77777777" w:rsidR="004942B6" w:rsidRDefault="004942B6" w:rsidP="004942B6">
      <w:pPr>
        <w:tabs>
          <w:tab w:val="left" w:pos="2700"/>
        </w:tabs>
        <w:rPr>
          <w:rFonts w:ascii="Arial" w:hAnsi="Arial" w:cs="Arial"/>
          <w:color w:val="4472C4" w:themeColor="accent1"/>
          <w:sz w:val="24"/>
          <w:szCs w:val="24"/>
        </w:rPr>
      </w:pPr>
      <w:bookmarkStart w:id="320" w:name="_Toc113975436"/>
    </w:p>
    <w:p w14:paraId="4A572098" w14:textId="77777777" w:rsidR="004942B6" w:rsidRDefault="004942B6" w:rsidP="004942B6">
      <w:pPr>
        <w:tabs>
          <w:tab w:val="left" w:pos="2700"/>
        </w:tabs>
        <w:spacing w:line="360" w:lineRule="auto"/>
        <w:rPr>
          <w:rFonts w:ascii="Arial" w:hAnsi="Arial" w:cs="Arial"/>
          <w:color w:val="4472C4" w:themeColor="accent1"/>
          <w:sz w:val="24"/>
          <w:szCs w:val="24"/>
        </w:rPr>
      </w:pPr>
      <w:r w:rsidRPr="009012C5">
        <w:rPr>
          <w:rFonts w:ascii="Arial" w:hAnsi="Arial" w:cs="Arial"/>
          <w:color w:val="4472C4" w:themeColor="accent1"/>
          <w:sz w:val="24"/>
          <w:szCs w:val="24"/>
        </w:rPr>
        <w:lastRenderedPageBreak/>
        <w:t xml:space="preserve">1.10.2 </w:t>
      </w:r>
      <w:bookmarkEnd w:id="320"/>
      <w:r w:rsidRPr="009012C5">
        <w:rPr>
          <w:rFonts w:ascii="Arial" w:hAnsi="Arial" w:cs="Arial"/>
          <w:color w:val="4472C4" w:themeColor="accent1"/>
          <w:sz w:val="24"/>
          <w:szCs w:val="24"/>
        </w:rPr>
        <w:t>Imaging-based virtual fractional flow reserve (vFFR)</w:t>
      </w:r>
    </w:p>
    <w:p w14:paraId="10F9638D" w14:textId="77777777" w:rsidR="007515E2" w:rsidRDefault="007515E2" w:rsidP="004942B6">
      <w:pPr>
        <w:tabs>
          <w:tab w:val="left" w:pos="2700"/>
        </w:tabs>
        <w:spacing w:line="360" w:lineRule="auto"/>
        <w:rPr>
          <w:rFonts w:ascii="Arial" w:hAnsi="Arial" w:cs="Arial"/>
          <w:color w:val="4472C4" w:themeColor="accent1"/>
          <w:sz w:val="24"/>
          <w:szCs w:val="24"/>
        </w:rPr>
      </w:pPr>
    </w:p>
    <w:p w14:paraId="0B8A48C7" w14:textId="445F6376" w:rsidR="004942B6" w:rsidRPr="009012C5" w:rsidRDefault="004942B6" w:rsidP="004942B6">
      <w:pPr>
        <w:pStyle w:val="Heading4"/>
        <w:spacing w:line="360" w:lineRule="auto"/>
        <w:rPr>
          <w:rFonts w:ascii="Arial" w:hAnsi="Arial" w:cs="Arial"/>
          <w:i w:val="0"/>
          <w:iCs w:val="0"/>
          <w:color w:val="4472C4" w:themeColor="accent1"/>
          <w:sz w:val="24"/>
          <w:szCs w:val="24"/>
        </w:rPr>
      </w:pPr>
      <w:r w:rsidRPr="009012C5">
        <w:rPr>
          <w:rFonts w:ascii="Arial" w:hAnsi="Arial" w:cs="Arial"/>
          <w:i w:val="0"/>
          <w:iCs w:val="0"/>
          <w:color w:val="4472C4" w:themeColor="accent1"/>
          <w:sz w:val="24"/>
          <w:szCs w:val="24"/>
        </w:rPr>
        <w:t>1.10.2.1 Computational fluid dynamics (CFD)</w:t>
      </w:r>
    </w:p>
    <w:p w14:paraId="2AEF4F64" w14:textId="44153EBE" w:rsidR="004942B6" w:rsidRPr="00DE3719" w:rsidRDefault="004942B6" w:rsidP="00D73399">
      <w:pPr>
        <w:spacing w:after="0" w:line="360" w:lineRule="auto"/>
        <w:jc w:val="both"/>
        <w:rPr>
          <w:rFonts w:ascii="Arial" w:eastAsia="Times New Roman" w:hAnsi="Arial" w:cs="Arial"/>
          <w:color w:val="0E101A"/>
          <w:sz w:val="24"/>
          <w:szCs w:val="24"/>
          <w:lang w:eastAsia="en-GB"/>
          <w14:ligatures w14:val="none"/>
        </w:rPr>
      </w:pPr>
      <w:r w:rsidRPr="00DE3719">
        <w:rPr>
          <w:rFonts w:ascii="Arial" w:eastAsia="Times New Roman" w:hAnsi="Arial" w:cs="Arial"/>
          <w:color w:val="0E101A"/>
          <w:sz w:val="24"/>
          <w:szCs w:val="24"/>
          <w:lang w:eastAsia="en-GB"/>
          <w14:ligatures w14:val="none"/>
        </w:rPr>
        <w:t xml:space="preserve">Computational fluid dynamics refers to a set of techniques that allows the computer to simulate flow numerically by conjunctural application of laws of physics, applied mathematics, and fluid mechanics. (124) It has been in operation for more than 50 years in the mechanical engineering field to study heat transfer, pressure, and fluid dynamics. CFD requires a multidisciplinary approach involving engineers, mathematicians, and computer experts collaborating to develop software </w:t>
      </w:r>
      <w:r w:rsidR="00DC62FD">
        <w:rPr>
          <w:rFonts w:ascii="Arial" w:eastAsia="Times New Roman" w:hAnsi="Arial" w:cs="Arial"/>
          <w:color w:val="0E101A"/>
          <w:sz w:val="24"/>
          <w:szCs w:val="24"/>
          <w:lang w:eastAsia="en-GB"/>
          <w14:ligatures w14:val="none"/>
        </w:rPr>
        <w:t>that</w:t>
      </w:r>
      <w:r w:rsidRPr="00DE3719">
        <w:rPr>
          <w:rFonts w:ascii="Arial" w:eastAsia="Times New Roman" w:hAnsi="Arial" w:cs="Arial"/>
          <w:color w:val="0E101A"/>
          <w:sz w:val="24"/>
          <w:szCs w:val="24"/>
          <w:lang w:eastAsia="en-GB"/>
          <w14:ligatures w14:val="none"/>
        </w:rPr>
        <w:t xml:space="preserve"> can swiftly solve</w:t>
      </w:r>
      <w:r w:rsidR="00DC62FD">
        <w:rPr>
          <w:rFonts w:ascii="Arial" w:eastAsia="Times New Roman" w:hAnsi="Arial" w:cs="Arial"/>
          <w:color w:val="0E101A"/>
          <w:sz w:val="24"/>
          <w:szCs w:val="24"/>
          <w:lang w:eastAsia="en-GB"/>
          <w14:ligatures w14:val="none"/>
        </w:rPr>
        <w:t xml:space="preserve"> </w:t>
      </w:r>
      <w:r w:rsidRPr="00DE3719">
        <w:rPr>
          <w:rFonts w:ascii="Arial" w:eastAsia="Times New Roman" w:hAnsi="Arial" w:cs="Arial"/>
          <w:color w:val="0E101A"/>
          <w:sz w:val="24"/>
          <w:szCs w:val="24"/>
          <w:lang w:eastAsia="en-GB"/>
          <w14:ligatures w14:val="none"/>
        </w:rPr>
        <w:t>algorithms. (125) CFD can provide both qualitative and quantitative predictions of flow and pressure following the laws of conservation of mass, energy, and momentum (the Navier-Stokes equation) using a computer-generated model (126)</w:t>
      </w:r>
      <w:r w:rsidR="00D73399">
        <w:rPr>
          <w:rFonts w:ascii="Arial" w:eastAsia="Times New Roman" w:hAnsi="Arial" w:cs="Arial"/>
          <w:color w:val="0E101A"/>
          <w:sz w:val="24"/>
          <w:szCs w:val="24"/>
          <w:lang w:eastAsia="en-GB"/>
          <w14:ligatures w14:val="none"/>
        </w:rPr>
        <w:t xml:space="preserve">. </w:t>
      </w:r>
      <w:r w:rsidRPr="00DE3719">
        <w:rPr>
          <w:rFonts w:ascii="Arial" w:eastAsia="Times New Roman" w:hAnsi="Arial" w:cs="Arial"/>
          <w:color w:val="0E101A"/>
          <w:sz w:val="24"/>
          <w:szCs w:val="24"/>
          <w:lang w:eastAsia="en-GB"/>
          <w14:ligatures w14:val="none"/>
        </w:rPr>
        <w:t>CFD has already been widely utilised in many safety-critical systems, including aerodynamics and hydrodynamics. Recently, there has been a steep rise in biomedical and healthcare research-related applications of CFD modelling directly to the cardiovascular system (CVS) for blood flow simulation. (127) Algorithms mark the physical boundaries on the clinical segmentation and divide the digital geometry into multiple volumetric cells or elements (discretisation) to prepare the constructed image for analysis within the permitted physiological boundaries. Hence, coronary blood flow can be simulated in a computed generated, post-processed 3-D model. (128)</w:t>
      </w:r>
    </w:p>
    <w:p w14:paraId="39C57DC7" w14:textId="77777777" w:rsidR="004942B6" w:rsidRDefault="004942B6" w:rsidP="004942B6">
      <w:pPr>
        <w:spacing w:after="0" w:line="360" w:lineRule="auto"/>
        <w:jc w:val="both"/>
        <w:rPr>
          <w:rFonts w:ascii="Arial" w:eastAsia="Times New Roman" w:hAnsi="Arial" w:cs="Arial"/>
          <w:color w:val="0E101A"/>
          <w:sz w:val="24"/>
          <w:szCs w:val="24"/>
          <w:lang w:eastAsia="en-GB"/>
          <w14:ligatures w14:val="none"/>
        </w:rPr>
      </w:pPr>
      <w:r w:rsidRPr="00DE3719">
        <w:rPr>
          <w:rFonts w:ascii="Arial" w:eastAsia="Times New Roman" w:hAnsi="Arial" w:cs="Arial"/>
          <w:color w:val="0E101A"/>
          <w:sz w:val="24"/>
          <w:szCs w:val="24"/>
          <w:lang w:eastAsia="en-GB"/>
          <w14:ligatures w14:val="none"/>
        </w:rPr>
        <w:t>The basic steps of CFD modelling can be divided into seven vital steps: (127)</w:t>
      </w:r>
    </w:p>
    <w:p w14:paraId="0A29CF1B" w14:textId="77777777" w:rsidR="00D73399" w:rsidRPr="00DE3719" w:rsidRDefault="00D73399" w:rsidP="004942B6">
      <w:pPr>
        <w:spacing w:after="0" w:line="360" w:lineRule="auto"/>
        <w:jc w:val="both"/>
        <w:rPr>
          <w:rFonts w:ascii="Arial" w:eastAsia="Times New Roman" w:hAnsi="Arial" w:cs="Arial"/>
          <w:color w:val="0E101A"/>
          <w:sz w:val="24"/>
          <w:szCs w:val="24"/>
          <w:lang w:eastAsia="en-GB"/>
          <w14:ligatures w14:val="none"/>
        </w:rPr>
      </w:pPr>
    </w:p>
    <w:p w14:paraId="68771BF3" w14:textId="77777777" w:rsidR="004942B6" w:rsidRPr="009012C5" w:rsidRDefault="004942B6" w:rsidP="0038772D">
      <w:pPr>
        <w:numPr>
          <w:ilvl w:val="0"/>
          <w:numId w:val="9"/>
        </w:numPr>
        <w:spacing w:after="0" w:line="360" w:lineRule="auto"/>
        <w:jc w:val="both"/>
        <w:rPr>
          <w:rFonts w:ascii="Arial" w:eastAsia="Times New Roman" w:hAnsi="Arial" w:cs="Arial"/>
          <w:color w:val="0E101A"/>
          <w:sz w:val="24"/>
          <w:szCs w:val="24"/>
          <w:lang w:eastAsia="en-GB"/>
          <w14:ligatures w14:val="none"/>
        </w:rPr>
      </w:pPr>
      <w:r w:rsidRPr="009012C5">
        <w:rPr>
          <w:rFonts w:ascii="Arial" w:eastAsia="Times New Roman" w:hAnsi="Arial" w:cs="Arial"/>
          <w:b/>
          <w:bCs/>
          <w:color w:val="0E101A"/>
          <w:sz w:val="24"/>
          <w:szCs w:val="24"/>
          <w:lang w:eastAsia="en-GB"/>
          <w14:ligatures w14:val="none"/>
        </w:rPr>
        <w:t>Clinical Imaging</w:t>
      </w:r>
      <w:r w:rsidRPr="009012C5">
        <w:rPr>
          <w:rFonts w:ascii="Arial" w:eastAsia="Times New Roman" w:hAnsi="Arial" w:cs="Arial"/>
          <w:color w:val="0E101A"/>
          <w:sz w:val="24"/>
          <w:szCs w:val="24"/>
          <w:lang w:eastAsia="en-GB"/>
          <w14:ligatures w14:val="none"/>
        </w:rPr>
        <w:t> – Imaging should provide good-quality anatomical pictures in an appropriately pre-agreed format to allow segmentation and data extraction. X-ray angiography, CT or MRI can all be used as imaging modalities. </w:t>
      </w:r>
    </w:p>
    <w:p w14:paraId="3C781F41" w14:textId="77777777" w:rsidR="004942B6" w:rsidRPr="009012C5" w:rsidRDefault="004942B6" w:rsidP="0038772D">
      <w:pPr>
        <w:numPr>
          <w:ilvl w:val="0"/>
          <w:numId w:val="9"/>
        </w:numPr>
        <w:spacing w:after="0" w:line="360" w:lineRule="auto"/>
        <w:jc w:val="both"/>
        <w:rPr>
          <w:rFonts w:ascii="Arial" w:eastAsia="Times New Roman" w:hAnsi="Arial" w:cs="Arial"/>
          <w:color w:val="0E101A"/>
          <w:sz w:val="24"/>
          <w:szCs w:val="24"/>
          <w:lang w:eastAsia="en-GB"/>
          <w14:ligatures w14:val="none"/>
        </w:rPr>
      </w:pPr>
      <w:r w:rsidRPr="009012C5">
        <w:rPr>
          <w:rFonts w:ascii="Arial" w:eastAsia="Times New Roman" w:hAnsi="Arial" w:cs="Arial"/>
          <w:b/>
          <w:bCs/>
          <w:color w:val="0E101A"/>
          <w:sz w:val="24"/>
          <w:szCs w:val="24"/>
          <w:lang w:eastAsia="en-GB"/>
          <w14:ligatures w14:val="none"/>
        </w:rPr>
        <w:t>Segmentation and reconstruction</w:t>
      </w:r>
      <w:r w:rsidRPr="009012C5">
        <w:rPr>
          <w:rFonts w:ascii="Arial" w:eastAsia="Times New Roman" w:hAnsi="Arial" w:cs="Arial"/>
          <w:color w:val="0E101A"/>
          <w:sz w:val="24"/>
          <w:szCs w:val="24"/>
          <w:lang w:eastAsia="en-GB"/>
          <w14:ligatures w14:val="none"/>
        </w:rPr>
        <w:t> – This process converts the acquired clinical images to </w:t>
      </w:r>
      <w:r w:rsidRPr="009012C5">
        <w:rPr>
          <w:rFonts w:ascii="Arial" w:eastAsia="Times New Roman" w:hAnsi="Arial" w:cs="Arial"/>
          <w:i/>
          <w:iCs/>
          <w:color w:val="0E101A"/>
          <w:sz w:val="24"/>
          <w:szCs w:val="24"/>
          <w:lang w:eastAsia="en-GB"/>
          <w14:ligatures w14:val="none"/>
        </w:rPr>
        <w:t>in-silico</w:t>
      </w:r>
      <w:r w:rsidRPr="009012C5">
        <w:rPr>
          <w:rFonts w:ascii="Arial" w:eastAsia="Times New Roman" w:hAnsi="Arial" w:cs="Arial"/>
          <w:color w:val="0E101A"/>
          <w:sz w:val="24"/>
          <w:szCs w:val="24"/>
          <w:lang w:eastAsia="en-GB"/>
          <w14:ligatures w14:val="none"/>
        </w:rPr>
        <w:t> geometries, which identify the physical boundaries of the area of interest. The segmented area's motion could be tracked if image acquisition is selected over a cardiac cycle period. </w:t>
      </w:r>
    </w:p>
    <w:p w14:paraId="6753E29E" w14:textId="77777777" w:rsidR="004942B6" w:rsidRPr="009012C5" w:rsidRDefault="004942B6" w:rsidP="0038772D">
      <w:pPr>
        <w:numPr>
          <w:ilvl w:val="0"/>
          <w:numId w:val="9"/>
        </w:numPr>
        <w:spacing w:after="0" w:line="360" w:lineRule="auto"/>
        <w:jc w:val="both"/>
        <w:rPr>
          <w:rFonts w:ascii="Arial" w:eastAsia="Times New Roman" w:hAnsi="Arial" w:cs="Arial"/>
          <w:color w:val="0E101A"/>
          <w:sz w:val="24"/>
          <w:szCs w:val="24"/>
          <w:lang w:eastAsia="en-GB"/>
          <w14:ligatures w14:val="none"/>
        </w:rPr>
      </w:pPr>
      <w:r w:rsidRPr="009012C5">
        <w:rPr>
          <w:rFonts w:ascii="Arial" w:eastAsia="Times New Roman" w:hAnsi="Arial" w:cs="Arial"/>
          <w:b/>
          <w:bCs/>
          <w:color w:val="0E101A"/>
          <w:sz w:val="24"/>
          <w:szCs w:val="24"/>
          <w:lang w:eastAsia="en-GB"/>
          <w14:ligatures w14:val="none"/>
        </w:rPr>
        <w:t>Discretisation</w:t>
      </w:r>
      <w:r w:rsidRPr="009012C5">
        <w:rPr>
          <w:rFonts w:ascii="Arial" w:eastAsia="Times New Roman" w:hAnsi="Arial" w:cs="Arial"/>
          <w:color w:val="0E101A"/>
          <w:sz w:val="24"/>
          <w:szCs w:val="24"/>
          <w:lang w:eastAsia="en-GB"/>
          <w14:ligatures w14:val="none"/>
        </w:rPr>
        <w:t> – Spatial discretisation, or meshing, divides the </w:t>
      </w:r>
      <w:r w:rsidRPr="009012C5">
        <w:rPr>
          <w:rFonts w:ascii="Arial" w:eastAsia="Times New Roman" w:hAnsi="Arial" w:cs="Arial"/>
          <w:i/>
          <w:iCs/>
          <w:color w:val="0E101A"/>
          <w:sz w:val="24"/>
          <w:szCs w:val="24"/>
          <w:lang w:eastAsia="en-GB"/>
          <w14:ligatures w14:val="none"/>
        </w:rPr>
        <w:t>in-silico</w:t>
      </w:r>
      <w:r w:rsidRPr="009012C5">
        <w:rPr>
          <w:rFonts w:ascii="Arial" w:eastAsia="Times New Roman" w:hAnsi="Arial" w:cs="Arial"/>
          <w:color w:val="0E101A"/>
          <w:sz w:val="24"/>
          <w:szCs w:val="24"/>
          <w:lang w:eastAsia="en-GB"/>
          <w14:ligatures w14:val="none"/>
        </w:rPr>
        <w:t xml:space="preserve"> geometries into a finite number of volumetric cells. Temporal discretisation causes division into specific time steps. A refined mesh and time </w:t>
      </w:r>
      <w:r w:rsidRPr="009012C5">
        <w:rPr>
          <w:rFonts w:ascii="Arial" w:eastAsia="Times New Roman" w:hAnsi="Arial" w:cs="Arial"/>
          <w:color w:val="0E101A"/>
          <w:sz w:val="24"/>
          <w:szCs w:val="24"/>
          <w:lang w:eastAsia="en-GB"/>
          <w14:ligatures w14:val="none"/>
        </w:rPr>
        <w:lastRenderedPageBreak/>
        <w:t>step (spatiotemporal discretisation) can reveal the hemodynamic behaviour of the intended modelled segment.  </w:t>
      </w:r>
    </w:p>
    <w:p w14:paraId="1829B7B8" w14:textId="77777777" w:rsidR="004942B6" w:rsidRPr="009012C5" w:rsidRDefault="004942B6" w:rsidP="0038772D">
      <w:pPr>
        <w:numPr>
          <w:ilvl w:val="0"/>
          <w:numId w:val="9"/>
        </w:numPr>
        <w:spacing w:after="0" w:line="360" w:lineRule="auto"/>
        <w:jc w:val="both"/>
        <w:rPr>
          <w:rFonts w:ascii="Arial" w:eastAsia="Times New Roman" w:hAnsi="Arial" w:cs="Arial"/>
          <w:color w:val="0E101A"/>
          <w:sz w:val="24"/>
          <w:szCs w:val="24"/>
          <w:lang w:eastAsia="en-GB"/>
          <w14:ligatures w14:val="none"/>
        </w:rPr>
      </w:pPr>
      <w:r w:rsidRPr="009012C5">
        <w:rPr>
          <w:rFonts w:ascii="Arial" w:eastAsia="Times New Roman" w:hAnsi="Arial" w:cs="Arial"/>
          <w:b/>
          <w:bCs/>
          <w:color w:val="0E101A"/>
          <w:sz w:val="24"/>
          <w:szCs w:val="24"/>
          <w:lang w:eastAsia="en-GB"/>
          <w14:ligatures w14:val="none"/>
        </w:rPr>
        <w:t>Boundary condition</w:t>
      </w:r>
      <w:r w:rsidRPr="009012C5">
        <w:rPr>
          <w:rFonts w:ascii="Arial" w:eastAsia="Times New Roman" w:hAnsi="Arial" w:cs="Arial"/>
          <w:color w:val="0E101A"/>
          <w:sz w:val="24"/>
          <w:szCs w:val="24"/>
          <w:lang w:eastAsia="en-GB"/>
          <w14:ligatures w14:val="none"/>
        </w:rPr>
        <w:t> – Specific physiological parameters (patient-specific or data from physical modulation) are applied at the region's inlet, outlet, and walls to be analysed (for example, the proximal and distal vessels).</w:t>
      </w:r>
    </w:p>
    <w:p w14:paraId="1379CC0A" w14:textId="77777777" w:rsidR="004942B6" w:rsidRPr="009012C5" w:rsidRDefault="004942B6" w:rsidP="0038772D">
      <w:pPr>
        <w:numPr>
          <w:ilvl w:val="0"/>
          <w:numId w:val="9"/>
        </w:numPr>
        <w:spacing w:after="0" w:line="360" w:lineRule="auto"/>
        <w:jc w:val="both"/>
        <w:rPr>
          <w:rFonts w:ascii="Arial" w:eastAsia="Times New Roman" w:hAnsi="Arial" w:cs="Arial"/>
          <w:color w:val="0E101A"/>
          <w:sz w:val="24"/>
          <w:szCs w:val="24"/>
          <w:lang w:eastAsia="en-GB"/>
          <w14:ligatures w14:val="none"/>
        </w:rPr>
      </w:pPr>
      <w:r w:rsidRPr="009012C5">
        <w:rPr>
          <w:rFonts w:ascii="Arial" w:eastAsia="Times New Roman" w:hAnsi="Arial" w:cs="Arial"/>
          <w:b/>
          <w:bCs/>
          <w:color w:val="0E101A"/>
          <w:sz w:val="24"/>
          <w:szCs w:val="24"/>
          <w:lang w:eastAsia="en-GB"/>
          <w14:ligatures w14:val="none"/>
        </w:rPr>
        <w:t>Simulation</w:t>
      </w:r>
      <w:r w:rsidRPr="009012C5">
        <w:rPr>
          <w:rFonts w:ascii="Arial" w:eastAsia="Times New Roman" w:hAnsi="Arial" w:cs="Arial"/>
          <w:color w:val="0E101A"/>
          <w:sz w:val="24"/>
          <w:szCs w:val="24"/>
          <w:lang w:eastAsia="en-GB"/>
          <w14:ligatures w14:val="none"/>
        </w:rPr>
        <w:t> – CFD solver to concurrently compute the Navier-Stokes and continuity equations for more than one million elements simultaneously, running over several cardiac cycles according to the pre-defined physiological parameters. </w:t>
      </w:r>
    </w:p>
    <w:p w14:paraId="429545F8" w14:textId="77777777" w:rsidR="004942B6" w:rsidRPr="009012C5" w:rsidRDefault="004942B6" w:rsidP="0038772D">
      <w:pPr>
        <w:numPr>
          <w:ilvl w:val="0"/>
          <w:numId w:val="9"/>
        </w:numPr>
        <w:spacing w:after="0" w:line="360" w:lineRule="auto"/>
        <w:jc w:val="both"/>
        <w:rPr>
          <w:rFonts w:ascii="Arial" w:eastAsia="Times New Roman" w:hAnsi="Arial" w:cs="Arial"/>
          <w:color w:val="0E101A"/>
          <w:sz w:val="24"/>
          <w:szCs w:val="24"/>
          <w:lang w:eastAsia="en-GB"/>
          <w14:ligatures w14:val="none"/>
        </w:rPr>
      </w:pPr>
      <w:r w:rsidRPr="009012C5">
        <w:rPr>
          <w:rFonts w:ascii="Arial" w:eastAsia="Times New Roman" w:hAnsi="Arial" w:cs="Arial"/>
          <w:b/>
          <w:bCs/>
          <w:color w:val="0E101A"/>
          <w:sz w:val="24"/>
          <w:szCs w:val="24"/>
          <w:lang w:eastAsia="en-GB"/>
          <w14:ligatures w14:val="none"/>
        </w:rPr>
        <w:t>Post-processing</w:t>
      </w:r>
      <w:r w:rsidRPr="009012C5">
        <w:rPr>
          <w:rFonts w:ascii="Arial" w:eastAsia="Times New Roman" w:hAnsi="Arial" w:cs="Arial"/>
          <w:color w:val="0E101A"/>
          <w:sz w:val="24"/>
          <w:szCs w:val="24"/>
          <w:lang w:eastAsia="en-GB"/>
          <w14:ligatures w14:val="none"/>
        </w:rPr>
        <w:t> – The relevant data between the flow and pressure relationship is extracted on a refined, constructed 3D model. </w:t>
      </w:r>
    </w:p>
    <w:p w14:paraId="73AA069E" w14:textId="77777777" w:rsidR="004942B6" w:rsidRPr="007515E2" w:rsidRDefault="004942B6" w:rsidP="007515E2">
      <w:pPr>
        <w:numPr>
          <w:ilvl w:val="0"/>
          <w:numId w:val="9"/>
        </w:numPr>
        <w:spacing w:after="0" w:line="360" w:lineRule="auto"/>
        <w:jc w:val="both"/>
        <w:rPr>
          <w:rFonts w:ascii="Arial" w:eastAsia="Times New Roman" w:hAnsi="Arial" w:cs="Arial"/>
          <w:color w:val="0E101A"/>
          <w:sz w:val="24"/>
          <w:szCs w:val="24"/>
          <w:lang w:eastAsia="en-GB"/>
          <w14:ligatures w14:val="none"/>
        </w:rPr>
      </w:pPr>
      <w:r w:rsidRPr="009012C5">
        <w:rPr>
          <w:rFonts w:ascii="Arial" w:eastAsia="Times New Roman" w:hAnsi="Arial" w:cs="Arial"/>
          <w:b/>
          <w:bCs/>
          <w:color w:val="0E101A"/>
          <w:sz w:val="24"/>
          <w:szCs w:val="24"/>
          <w:lang w:eastAsia="en-GB"/>
          <w14:ligatures w14:val="none"/>
        </w:rPr>
        <w:t>Validation</w:t>
      </w:r>
      <w:r w:rsidRPr="009012C5">
        <w:rPr>
          <w:rFonts w:ascii="Arial" w:eastAsia="Times New Roman" w:hAnsi="Arial" w:cs="Arial"/>
          <w:color w:val="0E101A"/>
          <w:sz w:val="24"/>
          <w:szCs w:val="24"/>
          <w:lang w:eastAsia="en-GB"/>
          <w14:ligatures w14:val="none"/>
        </w:rPr>
        <w:t xml:space="preserve"> – CFD-modelled results are then validated against a pre-specified standard (such as measured FFR) for diagnostic accuracy, reliability, and </w:t>
      </w:r>
      <w:r w:rsidRPr="007515E2">
        <w:rPr>
          <w:rFonts w:ascii="Arial" w:eastAsia="Times New Roman" w:hAnsi="Arial" w:cs="Arial"/>
          <w:color w:val="0E101A"/>
          <w:sz w:val="24"/>
          <w:szCs w:val="24"/>
          <w:lang w:eastAsia="en-GB"/>
          <w14:ligatures w14:val="none"/>
        </w:rPr>
        <w:t>reproducibility. </w:t>
      </w:r>
    </w:p>
    <w:p w14:paraId="5CCCDF32" w14:textId="77777777" w:rsidR="004942B6" w:rsidRPr="007515E2" w:rsidRDefault="004942B6" w:rsidP="007515E2">
      <w:pPr>
        <w:spacing w:after="0" w:line="360" w:lineRule="auto"/>
        <w:rPr>
          <w:rFonts w:ascii="Arial" w:hAnsi="Arial" w:cs="Arial"/>
          <w:b/>
          <w:color w:val="000000" w:themeColor="text1"/>
        </w:rPr>
      </w:pPr>
      <w:r w:rsidRPr="007515E2">
        <w:rPr>
          <w:rFonts w:ascii="Arial" w:eastAsia="Times New Roman" w:hAnsi="Arial" w:cs="Arial"/>
          <w:color w:val="0E101A"/>
          <w:sz w:val="24"/>
          <w:szCs w:val="24"/>
          <w:lang w:eastAsia="en-GB"/>
          <w14:ligatures w14:val="none"/>
        </w:rPr>
        <w:t> </w:t>
      </w:r>
    </w:p>
    <w:p w14:paraId="3A9B6E7C" w14:textId="77777777" w:rsidR="004942B6" w:rsidRPr="007515E2" w:rsidRDefault="004942B6" w:rsidP="007515E2">
      <w:pPr>
        <w:pStyle w:val="Heading4"/>
        <w:spacing w:line="360" w:lineRule="auto"/>
        <w:rPr>
          <w:rFonts w:ascii="Arial" w:hAnsi="Arial" w:cs="Arial"/>
          <w:i w:val="0"/>
          <w:iCs w:val="0"/>
          <w:color w:val="4472C4" w:themeColor="accent1"/>
          <w:sz w:val="24"/>
          <w:szCs w:val="24"/>
        </w:rPr>
      </w:pPr>
      <w:r w:rsidRPr="007515E2">
        <w:rPr>
          <w:rFonts w:ascii="Arial" w:hAnsi="Arial" w:cs="Arial"/>
          <w:i w:val="0"/>
          <w:iCs w:val="0"/>
          <w:color w:val="4472C4" w:themeColor="accent1"/>
          <w:sz w:val="24"/>
          <w:szCs w:val="24"/>
        </w:rPr>
        <w:t>1.10.2.1.2 Applications of CFD in clinical medicine</w:t>
      </w:r>
    </w:p>
    <w:p w14:paraId="77EA6568" w14:textId="17166004" w:rsidR="004942B6" w:rsidRDefault="004942B6" w:rsidP="00633EDB">
      <w:pPr>
        <w:spacing w:line="360" w:lineRule="auto"/>
        <w:jc w:val="both"/>
        <w:rPr>
          <w:rFonts w:ascii="Arial" w:hAnsi="Arial" w:cs="Arial"/>
          <w:sz w:val="24"/>
          <w:szCs w:val="24"/>
        </w:rPr>
      </w:pPr>
      <w:r w:rsidRPr="00606E7A">
        <w:rPr>
          <w:rFonts w:ascii="Arial" w:hAnsi="Arial" w:cs="Arial"/>
          <w:sz w:val="24"/>
          <w:szCs w:val="24"/>
        </w:rPr>
        <w:t>CFD can permit swift, low-risk prototyping</w:t>
      </w:r>
      <w:r w:rsidR="00CA432A">
        <w:rPr>
          <w:rFonts w:ascii="Arial" w:hAnsi="Arial" w:cs="Arial"/>
          <w:sz w:val="24"/>
          <w:szCs w:val="24"/>
        </w:rPr>
        <w:t>,</w:t>
      </w:r>
      <w:r w:rsidRPr="00606E7A">
        <w:rPr>
          <w:rFonts w:ascii="Arial" w:hAnsi="Arial" w:cs="Arial"/>
          <w:sz w:val="24"/>
          <w:szCs w:val="24"/>
        </w:rPr>
        <w:t xml:space="preserve"> </w:t>
      </w:r>
      <w:r>
        <w:rPr>
          <w:rFonts w:ascii="Arial" w:hAnsi="Arial" w:cs="Arial"/>
          <w:sz w:val="24"/>
          <w:szCs w:val="24"/>
        </w:rPr>
        <w:t>which may</w:t>
      </w:r>
      <w:r w:rsidRPr="00606E7A">
        <w:rPr>
          <w:rFonts w:ascii="Arial" w:hAnsi="Arial" w:cs="Arial"/>
          <w:sz w:val="24"/>
          <w:szCs w:val="24"/>
        </w:rPr>
        <w:t xml:space="preserve"> replace expensive in-vitro experimentation with the in-silica testing model, which has been a significant factor in the rapid uptake of CFD in the medical devices industry. Recent advancements in 3D imaging</w:t>
      </w:r>
      <w:r>
        <w:rPr>
          <w:rFonts w:ascii="Arial" w:hAnsi="Arial" w:cs="Arial"/>
          <w:sz w:val="24"/>
          <w:szCs w:val="24"/>
        </w:rPr>
        <w:t>-</w:t>
      </w:r>
      <w:r w:rsidRPr="00606E7A">
        <w:rPr>
          <w:rFonts w:ascii="Arial" w:hAnsi="Arial" w:cs="Arial"/>
          <w:sz w:val="24"/>
          <w:szCs w:val="24"/>
        </w:rPr>
        <w:t xml:space="preserve">based CFD modelling, using either computed tomography (CT) or coronary angiography (CAG), have enabled us to understand, assess and predict the pressures across the areas of stenoses non-invasively, of which vFFR is a prime example. In addition, there has been an emerging trend of CFD utility to model the complex hemodynamics in mechanical heart valves, evaluate the interaction of blood flow with prosthetic valves, and the aetiology of prosthetic valve failure and leaflet thrombosis. (129) Similarly, CFD can also help us understand the correlation between neointimal hyperplasia (NIH) and vessel wall shear stress, which may aid in improving stent strut design and predict post-intervention results. (130) (131) Furthermore, planning an intervention </w:t>
      </w:r>
      <w:r>
        <w:rPr>
          <w:rFonts w:ascii="Arial" w:hAnsi="Arial" w:cs="Arial"/>
          <w:sz w:val="24"/>
          <w:szCs w:val="24"/>
        </w:rPr>
        <w:t xml:space="preserve">for patients with aortic dissection </w:t>
      </w:r>
      <w:r w:rsidRPr="00606E7A">
        <w:rPr>
          <w:rFonts w:ascii="Arial" w:hAnsi="Arial" w:cs="Arial"/>
          <w:sz w:val="24"/>
          <w:szCs w:val="24"/>
        </w:rPr>
        <w:t>and pr</w:t>
      </w:r>
      <w:r>
        <w:rPr>
          <w:rFonts w:ascii="Arial" w:hAnsi="Arial" w:cs="Arial"/>
          <w:sz w:val="24"/>
          <w:szCs w:val="24"/>
        </w:rPr>
        <w:t xml:space="preserve">ognosticating their </w:t>
      </w:r>
      <w:r w:rsidRPr="00606E7A">
        <w:rPr>
          <w:rFonts w:ascii="Arial" w:hAnsi="Arial" w:cs="Arial"/>
          <w:sz w:val="24"/>
          <w:szCs w:val="24"/>
        </w:rPr>
        <w:t xml:space="preserve">long-term </w:t>
      </w:r>
      <w:r>
        <w:rPr>
          <w:rFonts w:ascii="Arial" w:hAnsi="Arial" w:cs="Arial"/>
          <w:sz w:val="24"/>
          <w:szCs w:val="24"/>
        </w:rPr>
        <w:t>outcomes</w:t>
      </w:r>
      <w:r w:rsidRPr="00606E7A">
        <w:rPr>
          <w:rFonts w:ascii="Arial" w:hAnsi="Arial" w:cs="Arial"/>
          <w:sz w:val="24"/>
          <w:szCs w:val="24"/>
        </w:rPr>
        <w:t>, optimisation of ventricular assist device (VAD) designs, modelling in complex congenital heart disease and shunt-flow</w:t>
      </w:r>
      <w:r w:rsidR="00E766FB">
        <w:rPr>
          <w:rFonts w:ascii="Arial" w:hAnsi="Arial" w:cs="Arial"/>
          <w:sz w:val="24"/>
          <w:szCs w:val="24"/>
        </w:rPr>
        <w:t xml:space="preserve"> </w:t>
      </w:r>
      <w:r w:rsidRPr="00606E7A">
        <w:rPr>
          <w:rFonts w:ascii="Arial" w:hAnsi="Arial" w:cs="Arial"/>
          <w:sz w:val="24"/>
          <w:szCs w:val="24"/>
        </w:rPr>
        <w:t xml:space="preserve">are a few </w:t>
      </w:r>
      <w:r>
        <w:rPr>
          <w:rFonts w:ascii="Arial" w:hAnsi="Arial" w:cs="Arial"/>
          <w:sz w:val="24"/>
          <w:szCs w:val="24"/>
        </w:rPr>
        <w:t>areas</w:t>
      </w:r>
      <w:r w:rsidRPr="00606E7A">
        <w:rPr>
          <w:rFonts w:ascii="Arial" w:hAnsi="Arial" w:cs="Arial"/>
          <w:sz w:val="24"/>
          <w:szCs w:val="24"/>
        </w:rPr>
        <w:t xml:space="preserve"> </w:t>
      </w:r>
      <w:r>
        <w:rPr>
          <w:rFonts w:ascii="Arial" w:hAnsi="Arial" w:cs="Arial"/>
          <w:sz w:val="24"/>
          <w:szCs w:val="24"/>
        </w:rPr>
        <w:t>where</w:t>
      </w:r>
      <w:r w:rsidRPr="00606E7A">
        <w:rPr>
          <w:rFonts w:ascii="Arial" w:hAnsi="Arial" w:cs="Arial"/>
          <w:sz w:val="24"/>
          <w:szCs w:val="24"/>
        </w:rPr>
        <w:t xml:space="preserve"> CFD has proven to be highly effective. (132</w:t>
      </w:r>
      <w:r>
        <w:rPr>
          <w:rFonts w:ascii="Arial" w:hAnsi="Arial" w:cs="Arial"/>
          <w:sz w:val="24"/>
          <w:szCs w:val="24"/>
        </w:rPr>
        <w:t>-</w:t>
      </w:r>
      <w:r w:rsidRPr="00606E7A">
        <w:rPr>
          <w:rFonts w:ascii="Arial" w:hAnsi="Arial" w:cs="Arial"/>
          <w:sz w:val="24"/>
          <w:szCs w:val="24"/>
        </w:rPr>
        <w:t xml:space="preserve">135) Due to innovation in artificial intelligence (AI), </w:t>
      </w:r>
      <w:r w:rsidRPr="00606E7A">
        <w:rPr>
          <w:rFonts w:ascii="Arial" w:hAnsi="Arial" w:cs="Arial"/>
          <w:sz w:val="24"/>
          <w:szCs w:val="24"/>
        </w:rPr>
        <w:lastRenderedPageBreak/>
        <w:t>the adoption of CFD and related technology has been on a steep rise in clinical practice.</w:t>
      </w:r>
    </w:p>
    <w:p w14:paraId="1901EDA1" w14:textId="77777777" w:rsidR="00766FBF" w:rsidRDefault="00766FBF" w:rsidP="004942B6">
      <w:pPr>
        <w:spacing w:line="360" w:lineRule="auto"/>
        <w:jc w:val="both"/>
        <w:rPr>
          <w:rFonts w:ascii="Arial" w:hAnsi="Arial" w:cs="Arial"/>
          <w:sz w:val="24"/>
          <w:szCs w:val="24"/>
        </w:rPr>
      </w:pPr>
    </w:p>
    <w:p w14:paraId="7641493A" w14:textId="77777777" w:rsidR="004942B6" w:rsidRPr="00FE2E78" w:rsidRDefault="004942B6" w:rsidP="004942B6">
      <w:pPr>
        <w:pStyle w:val="Heading4"/>
        <w:spacing w:line="360" w:lineRule="auto"/>
        <w:rPr>
          <w:rFonts w:ascii="Arial" w:hAnsi="Arial" w:cs="Arial"/>
          <w:i w:val="0"/>
          <w:iCs w:val="0"/>
          <w:color w:val="4472C4" w:themeColor="accent1"/>
          <w:sz w:val="24"/>
          <w:szCs w:val="24"/>
        </w:rPr>
      </w:pPr>
      <w:bookmarkStart w:id="321" w:name="_Toc113975437"/>
      <w:r w:rsidRPr="009012C5">
        <w:rPr>
          <w:rFonts w:ascii="Arial" w:hAnsi="Arial" w:cs="Arial"/>
          <w:i w:val="0"/>
          <w:iCs w:val="0"/>
          <w:color w:val="4472C4" w:themeColor="accent1"/>
          <w:sz w:val="24"/>
          <w:szCs w:val="24"/>
        </w:rPr>
        <w:t>1.10.2.2 CT-based fractional flow reserve (FFR</w:t>
      </w:r>
      <w:r w:rsidRPr="009012C5">
        <w:rPr>
          <w:rFonts w:ascii="Arial" w:hAnsi="Arial" w:cs="Arial"/>
          <w:i w:val="0"/>
          <w:iCs w:val="0"/>
          <w:color w:val="4472C4" w:themeColor="accent1"/>
          <w:sz w:val="24"/>
          <w:szCs w:val="24"/>
          <w:vertAlign w:val="subscript"/>
        </w:rPr>
        <w:t>CT</w:t>
      </w:r>
      <w:r w:rsidRPr="009012C5">
        <w:rPr>
          <w:rFonts w:ascii="Arial" w:hAnsi="Arial" w:cs="Arial"/>
          <w:i w:val="0"/>
          <w:iCs w:val="0"/>
          <w:color w:val="4472C4" w:themeColor="accent1"/>
          <w:sz w:val="24"/>
          <w:szCs w:val="24"/>
        </w:rPr>
        <w:t>)</w:t>
      </w:r>
      <w:bookmarkEnd w:id="321"/>
    </w:p>
    <w:p w14:paraId="41A33F6A" w14:textId="77777777" w:rsidR="004942B6" w:rsidRDefault="004942B6" w:rsidP="004942B6">
      <w:pPr>
        <w:spacing w:line="360" w:lineRule="auto"/>
        <w:jc w:val="both"/>
        <w:rPr>
          <w:rFonts w:ascii="Arial" w:hAnsi="Arial" w:cs="Arial"/>
          <w:color w:val="000000" w:themeColor="text1"/>
          <w:sz w:val="24"/>
          <w:szCs w:val="24"/>
        </w:rPr>
      </w:pPr>
      <w:r w:rsidRPr="00E56F7F">
        <w:rPr>
          <w:rFonts w:ascii="Arial" w:hAnsi="Arial" w:cs="Arial"/>
          <w:sz w:val="24"/>
          <w:szCs w:val="24"/>
        </w:rPr>
        <w:t>National Institute of Health and Care Excellence (NICE) guidelines CG95 (</w:t>
      </w:r>
      <w:r>
        <w:rPr>
          <w:rFonts w:ascii="Arial" w:hAnsi="Arial" w:cs="Arial"/>
          <w:sz w:val="24"/>
          <w:szCs w:val="24"/>
        </w:rPr>
        <w:t>‘R</w:t>
      </w:r>
      <w:r w:rsidRPr="00E56F7F">
        <w:rPr>
          <w:rFonts w:ascii="Arial" w:hAnsi="Arial" w:cs="Arial"/>
          <w:sz w:val="24"/>
          <w:szCs w:val="24"/>
        </w:rPr>
        <w:t>ecent-onset of chest pain of suspected cardiac origin</w:t>
      </w:r>
      <w:r>
        <w:rPr>
          <w:rFonts w:ascii="Arial" w:hAnsi="Arial" w:cs="Arial"/>
          <w:sz w:val="24"/>
          <w:szCs w:val="24"/>
        </w:rPr>
        <w:t>’</w:t>
      </w:r>
      <w:r w:rsidRPr="00E56F7F">
        <w:rPr>
          <w:rFonts w:ascii="Arial" w:hAnsi="Arial" w:cs="Arial"/>
          <w:sz w:val="24"/>
          <w:szCs w:val="24"/>
        </w:rPr>
        <w:t>) recommend performing a CT coronary angiogram (CTCA) as a first-line investigation due to its high negative predictive value for patients in whom the clinical assessment alone cannot reliably exclude CAD, based upon PROMISE and SCOT-HEART trials. (136) (137) (24,25) The incorporation of CFD into the CTCA images can be used to estimate FFR</w:t>
      </w:r>
      <w:r>
        <w:rPr>
          <w:rFonts w:ascii="Arial" w:hAnsi="Arial" w:cs="Arial"/>
          <w:sz w:val="24"/>
          <w:szCs w:val="24"/>
          <w:vertAlign w:val="subscript"/>
        </w:rPr>
        <w:t>CT</w:t>
      </w:r>
      <w:r w:rsidRPr="00E56F7F">
        <w:rPr>
          <w:rFonts w:ascii="Arial" w:hAnsi="Arial" w:cs="Arial"/>
          <w:sz w:val="24"/>
          <w:szCs w:val="24"/>
        </w:rPr>
        <w:t xml:space="preserve"> without the need for any additional contrast or radiation. (138,139) Of the </w:t>
      </w:r>
      <w:r>
        <w:rPr>
          <w:rFonts w:ascii="Arial" w:hAnsi="Arial" w:cs="Arial"/>
          <w:sz w:val="24"/>
          <w:szCs w:val="24"/>
        </w:rPr>
        <w:t xml:space="preserve">non-invasive </w:t>
      </w:r>
      <w:r w:rsidRPr="00E56F7F">
        <w:rPr>
          <w:rFonts w:ascii="Arial" w:hAnsi="Arial" w:cs="Arial"/>
          <w:sz w:val="24"/>
          <w:szCs w:val="24"/>
        </w:rPr>
        <w:t>vFFR entities, FFR</w:t>
      </w:r>
      <w:r>
        <w:rPr>
          <w:rFonts w:ascii="Arial" w:hAnsi="Arial" w:cs="Arial"/>
          <w:sz w:val="24"/>
          <w:szCs w:val="24"/>
          <w:vertAlign w:val="subscript"/>
        </w:rPr>
        <w:t>CT</w:t>
      </w:r>
      <w:r>
        <w:rPr>
          <w:rFonts w:ascii="Arial" w:hAnsi="Arial" w:cs="Arial"/>
          <w:sz w:val="24"/>
          <w:szCs w:val="24"/>
        </w:rPr>
        <w:t xml:space="preserve"> </w:t>
      </w:r>
      <w:r w:rsidRPr="00E56F7F">
        <w:rPr>
          <w:rFonts w:ascii="Arial" w:hAnsi="Arial" w:cs="Arial"/>
          <w:sz w:val="24"/>
          <w:szCs w:val="24"/>
        </w:rPr>
        <w:t>has demonstrated most of the clinical evidence in its favour. The DISCOVER-FLOW (103 patients) study was the first trial that demonstrated the ability of FFR</w:t>
      </w:r>
      <w:r>
        <w:rPr>
          <w:rFonts w:ascii="Arial" w:hAnsi="Arial" w:cs="Arial"/>
          <w:sz w:val="24"/>
          <w:szCs w:val="24"/>
          <w:vertAlign w:val="subscript"/>
        </w:rPr>
        <w:t>CT</w:t>
      </w:r>
      <w:r w:rsidRPr="00E56F7F">
        <w:rPr>
          <w:rFonts w:ascii="Arial" w:hAnsi="Arial" w:cs="Arial"/>
          <w:sz w:val="24"/>
          <w:szCs w:val="24"/>
        </w:rPr>
        <w:t xml:space="preserve"> to diagnose lesions of physiological significance with an accuracy of 87.4% (95% confidence Interval) when compared with invasive FFR. (126) The NXT trial (254 patients) confirmed a diagnostic accuracy of 81% with a negative predictive value of 93% for FFR</w:t>
      </w:r>
      <w:r>
        <w:rPr>
          <w:rFonts w:ascii="Arial" w:hAnsi="Arial" w:cs="Arial"/>
          <w:sz w:val="24"/>
          <w:szCs w:val="24"/>
          <w:vertAlign w:val="subscript"/>
        </w:rPr>
        <w:t>CT</w:t>
      </w:r>
      <w:r w:rsidRPr="00E56F7F">
        <w:rPr>
          <w:rFonts w:ascii="Arial" w:hAnsi="Arial" w:cs="Arial"/>
          <w:sz w:val="24"/>
          <w:szCs w:val="24"/>
        </w:rPr>
        <w:t>. (140) The PLATFORM trial (585 CCS patients) showed that invasive CAG could be avoided in 61% of patients when FFR</w:t>
      </w:r>
      <w:r>
        <w:rPr>
          <w:rFonts w:ascii="Arial" w:hAnsi="Arial" w:cs="Arial"/>
          <w:sz w:val="24"/>
          <w:szCs w:val="24"/>
          <w:vertAlign w:val="subscript"/>
        </w:rPr>
        <w:t>CT</w:t>
      </w:r>
      <w:r w:rsidRPr="00E56F7F">
        <w:rPr>
          <w:rFonts w:ascii="Arial" w:hAnsi="Arial" w:cs="Arial"/>
          <w:sz w:val="24"/>
          <w:szCs w:val="24"/>
        </w:rPr>
        <w:t xml:space="preserve"> was added to CTCA. (26) In a sub-study of the PACIFIC trial (208 patients), FFR</w:t>
      </w:r>
      <w:r>
        <w:rPr>
          <w:rFonts w:ascii="Arial" w:hAnsi="Arial" w:cs="Arial"/>
          <w:sz w:val="24"/>
          <w:szCs w:val="24"/>
          <w:vertAlign w:val="subscript"/>
        </w:rPr>
        <w:t>CT</w:t>
      </w:r>
      <w:r w:rsidRPr="00E56F7F">
        <w:rPr>
          <w:rFonts w:ascii="Arial" w:hAnsi="Arial" w:cs="Arial"/>
          <w:sz w:val="24"/>
          <w:szCs w:val="24"/>
        </w:rPr>
        <w:t>, SPECT and PET were compared to invasive FFR, and FFR</w:t>
      </w:r>
      <w:r>
        <w:rPr>
          <w:rFonts w:ascii="Arial" w:hAnsi="Arial" w:cs="Arial"/>
          <w:sz w:val="24"/>
          <w:szCs w:val="24"/>
          <w:vertAlign w:val="subscript"/>
        </w:rPr>
        <w:t>CT</w:t>
      </w:r>
      <w:r w:rsidRPr="00E56F7F">
        <w:rPr>
          <w:rFonts w:ascii="Arial" w:hAnsi="Arial" w:cs="Arial"/>
          <w:sz w:val="24"/>
          <w:szCs w:val="24"/>
        </w:rPr>
        <w:t xml:space="preserve"> showed a higher sensitivity (90%) in comparison to SPECT (42%) and PET (81%). (141) This evidence, in addition to the report from medical technology guidance (MTG) from NICE in 2017, enabled FFR</w:t>
      </w:r>
      <w:r>
        <w:rPr>
          <w:rFonts w:ascii="Arial" w:hAnsi="Arial" w:cs="Arial"/>
          <w:sz w:val="24"/>
          <w:szCs w:val="24"/>
          <w:vertAlign w:val="subscript"/>
        </w:rPr>
        <w:t>CT</w:t>
      </w:r>
      <w:r w:rsidRPr="00E56F7F">
        <w:rPr>
          <w:rFonts w:ascii="Arial" w:hAnsi="Arial" w:cs="Arial"/>
          <w:sz w:val="24"/>
          <w:szCs w:val="24"/>
        </w:rPr>
        <w:t xml:space="preserve"> to be included in NICE guidelines (CG95) (141)</w:t>
      </w:r>
    </w:p>
    <w:p w14:paraId="2EC49D66" w14:textId="77777777" w:rsidR="004942B6" w:rsidRDefault="004942B6" w:rsidP="004942B6">
      <w:pPr>
        <w:pStyle w:val="Heading4"/>
        <w:spacing w:line="360" w:lineRule="auto"/>
        <w:rPr>
          <w:rFonts w:ascii="Arial" w:hAnsi="Arial" w:cs="Arial"/>
          <w:i w:val="0"/>
          <w:iCs w:val="0"/>
          <w:color w:val="auto"/>
          <w:sz w:val="24"/>
          <w:szCs w:val="24"/>
        </w:rPr>
      </w:pPr>
    </w:p>
    <w:p w14:paraId="47D72E5E" w14:textId="77777777" w:rsidR="004942B6" w:rsidRPr="009012C5" w:rsidRDefault="004942B6" w:rsidP="004942B6">
      <w:pPr>
        <w:pStyle w:val="Heading4"/>
        <w:spacing w:line="360" w:lineRule="auto"/>
        <w:rPr>
          <w:rFonts w:ascii="Arial" w:hAnsi="Arial" w:cs="Arial"/>
          <w:i w:val="0"/>
          <w:iCs w:val="0"/>
          <w:color w:val="4472C4" w:themeColor="accent1"/>
          <w:sz w:val="24"/>
          <w:szCs w:val="24"/>
        </w:rPr>
      </w:pPr>
      <w:r w:rsidRPr="009012C5">
        <w:rPr>
          <w:rFonts w:ascii="Arial" w:hAnsi="Arial" w:cs="Arial"/>
          <w:i w:val="0"/>
          <w:iCs w:val="0"/>
          <w:color w:val="4472C4" w:themeColor="accent1"/>
          <w:sz w:val="24"/>
          <w:szCs w:val="24"/>
        </w:rPr>
        <w:t>1.10.2.2.1 Limitations of FFR</w:t>
      </w:r>
      <w:r w:rsidRPr="009012C5">
        <w:rPr>
          <w:rFonts w:ascii="Arial" w:hAnsi="Arial" w:cs="Arial"/>
          <w:i w:val="0"/>
          <w:iCs w:val="0"/>
          <w:color w:val="4472C4" w:themeColor="accent1"/>
          <w:sz w:val="24"/>
          <w:szCs w:val="24"/>
          <w:vertAlign w:val="subscript"/>
        </w:rPr>
        <w:t>CT</w:t>
      </w:r>
    </w:p>
    <w:p w14:paraId="091CBB12" w14:textId="1AB39869" w:rsidR="004942B6" w:rsidRDefault="004942B6" w:rsidP="004942B6">
      <w:pPr>
        <w:spacing w:line="360" w:lineRule="auto"/>
        <w:jc w:val="both"/>
        <w:rPr>
          <w:rFonts w:ascii="Arial" w:hAnsi="Arial" w:cs="Arial"/>
          <w:color w:val="000000" w:themeColor="text1"/>
          <w:sz w:val="24"/>
          <w:szCs w:val="24"/>
          <w:shd w:val="clear" w:color="auto" w:fill="FFFFFF"/>
        </w:rPr>
      </w:pPr>
      <w:r w:rsidRPr="004C5568">
        <w:rPr>
          <w:rFonts w:ascii="Arial" w:hAnsi="Arial" w:cs="Arial"/>
          <w:sz w:val="24"/>
          <w:szCs w:val="24"/>
        </w:rPr>
        <w:t xml:space="preserve">Despite its advantages as an excellent negative predictive test, CT may be significantly limited due to poor image quality, motion artefacts, tachyarrhythmias, and extensive calcification. All of these may hamper the coronary segmentation process, hence making </w:t>
      </w:r>
      <w:r w:rsidRPr="00E56F7F">
        <w:rPr>
          <w:rFonts w:ascii="Arial" w:hAnsi="Arial" w:cs="Arial"/>
          <w:sz w:val="24"/>
          <w:szCs w:val="24"/>
        </w:rPr>
        <w:t>FFR</w:t>
      </w:r>
      <w:r>
        <w:rPr>
          <w:rFonts w:ascii="Arial" w:hAnsi="Arial" w:cs="Arial"/>
          <w:sz w:val="24"/>
          <w:szCs w:val="24"/>
          <w:vertAlign w:val="subscript"/>
        </w:rPr>
        <w:t>CT</w:t>
      </w:r>
      <w:r w:rsidRPr="00E56F7F">
        <w:rPr>
          <w:rFonts w:ascii="Arial" w:hAnsi="Arial" w:cs="Arial"/>
          <w:sz w:val="24"/>
          <w:szCs w:val="24"/>
        </w:rPr>
        <w:t xml:space="preserve"> </w:t>
      </w:r>
      <w:r w:rsidRPr="004C5568">
        <w:rPr>
          <w:rFonts w:ascii="Arial" w:hAnsi="Arial" w:cs="Arial"/>
          <w:sz w:val="24"/>
          <w:szCs w:val="24"/>
        </w:rPr>
        <w:t>unanalysable, which was the case in 11%, 12% and 13% of the patients included in the DeFACTO (139) PLATFORM (26) and NXT (14</w:t>
      </w:r>
      <w:r>
        <w:rPr>
          <w:rFonts w:ascii="Arial" w:hAnsi="Arial" w:cs="Arial"/>
          <w:sz w:val="24"/>
          <w:szCs w:val="24"/>
        </w:rPr>
        <w:t>0</w:t>
      </w:r>
      <w:r w:rsidRPr="004C5568">
        <w:rPr>
          <w:rFonts w:ascii="Arial" w:hAnsi="Arial" w:cs="Arial"/>
          <w:sz w:val="24"/>
          <w:szCs w:val="24"/>
        </w:rPr>
        <w:t>) trials, respectively. Furthermore, off-site licensing (</w:t>
      </w:r>
      <w:r w:rsidRPr="00E56F7F">
        <w:rPr>
          <w:rFonts w:ascii="Arial" w:hAnsi="Arial" w:cs="Arial"/>
          <w:sz w:val="24"/>
          <w:szCs w:val="24"/>
        </w:rPr>
        <w:t>FFR</w:t>
      </w:r>
      <w:r>
        <w:rPr>
          <w:rFonts w:ascii="Arial" w:hAnsi="Arial" w:cs="Arial"/>
          <w:sz w:val="24"/>
          <w:szCs w:val="24"/>
          <w:vertAlign w:val="subscript"/>
        </w:rPr>
        <w:t>CT</w:t>
      </w:r>
      <w:r w:rsidRPr="00E56F7F">
        <w:rPr>
          <w:rFonts w:ascii="Arial" w:hAnsi="Arial" w:cs="Arial"/>
          <w:sz w:val="24"/>
          <w:szCs w:val="24"/>
        </w:rPr>
        <w:t xml:space="preserve"> </w:t>
      </w:r>
      <w:r w:rsidRPr="004C5568">
        <w:rPr>
          <w:rFonts w:ascii="Arial" w:hAnsi="Arial" w:cs="Arial"/>
          <w:sz w:val="24"/>
          <w:szCs w:val="24"/>
        </w:rPr>
        <w:t>is a product of HeartFlow®) and processing times of up to 24 hours are other factors of importance</w:t>
      </w:r>
      <w:r w:rsidR="00766FBF">
        <w:rPr>
          <w:rFonts w:ascii="Arial" w:hAnsi="Arial" w:cs="Arial"/>
          <w:sz w:val="24"/>
          <w:szCs w:val="24"/>
        </w:rPr>
        <w:t xml:space="preserve"> </w:t>
      </w:r>
      <w:r w:rsidR="00E90464">
        <w:rPr>
          <w:rFonts w:ascii="Arial" w:hAnsi="Arial" w:cs="Arial"/>
          <w:sz w:val="24"/>
          <w:szCs w:val="24"/>
        </w:rPr>
        <w:t>in</w:t>
      </w:r>
      <w:r w:rsidRPr="004C5568">
        <w:rPr>
          <w:rFonts w:ascii="Arial" w:hAnsi="Arial" w:cs="Arial"/>
          <w:sz w:val="24"/>
          <w:szCs w:val="24"/>
        </w:rPr>
        <w:t xml:space="preserve"> implement</w:t>
      </w:r>
      <w:r w:rsidR="00E90464">
        <w:rPr>
          <w:rFonts w:ascii="Arial" w:hAnsi="Arial" w:cs="Arial"/>
          <w:sz w:val="24"/>
          <w:szCs w:val="24"/>
        </w:rPr>
        <w:t>ing</w:t>
      </w:r>
      <w:r w:rsidRPr="004C5568">
        <w:rPr>
          <w:rFonts w:ascii="Arial" w:hAnsi="Arial" w:cs="Arial"/>
          <w:sz w:val="24"/>
          <w:szCs w:val="24"/>
        </w:rPr>
        <w:t xml:space="preserve"> the </w:t>
      </w:r>
      <w:r w:rsidRPr="004C5568">
        <w:rPr>
          <w:rFonts w:ascii="Arial" w:hAnsi="Arial" w:cs="Arial"/>
          <w:sz w:val="24"/>
          <w:szCs w:val="24"/>
        </w:rPr>
        <w:lastRenderedPageBreak/>
        <w:t xml:space="preserve">practicalities of </w:t>
      </w:r>
      <w:r w:rsidRPr="00E56F7F">
        <w:rPr>
          <w:rFonts w:ascii="Arial" w:hAnsi="Arial" w:cs="Arial"/>
          <w:sz w:val="24"/>
          <w:szCs w:val="24"/>
        </w:rPr>
        <w:t>FFR</w:t>
      </w:r>
      <w:r>
        <w:rPr>
          <w:rFonts w:ascii="Arial" w:hAnsi="Arial" w:cs="Arial"/>
          <w:sz w:val="24"/>
          <w:szCs w:val="24"/>
          <w:vertAlign w:val="subscript"/>
        </w:rPr>
        <w:t>CT</w:t>
      </w:r>
      <w:r w:rsidRPr="00E56F7F">
        <w:rPr>
          <w:rFonts w:ascii="Arial" w:hAnsi="Arial" w:cs="Arial"/>
          <w:sz w:val="24"/>
          <w:szCs w:val="24"/>
        </w:rPr>
        <w:t xml:space="preserve"> </w:t>
      </w:r>
      <w:r w:rsidRPr="004C5568">
        <w:rPr>
          <w:rFonts w:ascii="Arial" w:hAnsi="Arial" w:cs="Arial"/>
          <w:sz w:val="24"/>
          <w:szCs w:val="24"/>
        </w:rPr>
        <w:t xml:space="preserve">in the real world. (92) Although CTCA with an inclusive </w:t>
      </w:r>
      <w:r w:rsidRPr="00E56F7F">
        <w:rPr>
          <w:rFonts w:ascii="Arial" w:hAnsi="Arial" w:cs="Arial"/>
          <w:sz w:val="24"/>
          <w:szCs w:val="24"/>
        </w:rPr>
        <w:t>FFR</w:t>
      </w:r>
      <w:r>
        <w:rPr>
          <w:rFonts w:ascii="Arial" w:hAnsi="Arial" w:cs="Arial"/>
          <w:sz w:val="24"/>
          <w:szCs w:val="24"/>
          <w:vertAlign w:val="subscript"/>
        </w:rPr>
        <w:t>CT</w:t>
      </w:r>
      <w:r w:rsidRPr="00E56F7F">
        <w:rPr>
          <w:rFonts w:ascii="Arial" w:hAnsi="Arial" w:cs="Arial"/>
          <w:sz w:val="24"/>
          <w:szCs w:val="24"/>
        </w:rPr>
        <w:t xml:space="preserve"> </w:t>
      </w:r>
      <w:r w:rsidRPr="004C5568">
        <w:rPr>
          <w:rFonts w:ascii="Arial" w:hAnsi="Arial" w:cs="Arial"/>
          <w:sz w:val="24"/>
          <w:szCs w:val="24"/>
        </w:rPr>
        <w:t>can have a role in CCS patients, the latest ESC guidelines stressing early interventional strategy practically exclude its utility in the ACS cohort.</w:t>
      </w:r>
      <w:r w:rsidRPr="009222F3">
        <w:rPr>
          <w:rFonts w:ascii="Arial" w:hAnsi="Arial" w:cs="Arial"/>
          <w:color w:val="000000" w:themeColor="text1"/>
          <w:sz w:val="24"/>
          <w:szCs w:val="24"/>
          <w:shd w:val="clear" w:color="auto" w:fill="FFFFFF"/>
        </w:rPr>
        <w:t> </w:t>
      </w:r>
    </w:p>
    <w:p w14:paraId="70AD8968" w14:textId="77777777" w:rsidR="00BC7800" w:rsidRPr="00B849CA" w:rsidRDefault="00BC7800" w:rsidP="004942B6">
      <w:pPr>
        <w:spacing w:line="360" w:lineRule="auto"/>
        <w:jc w:val="both"/>
        <w:rPr>
          <w:rFonts w:ascii="Arial" w:hAnsi="Arial" w:cs="Arial"/>
          <w:color w:val="000000" w:themeColor="text1"/>
          <w:sz w:val="24"/>
          <w:szCs w:val="24"/>
          <w:shd w:val="clear" w:color="auto" w:fill="FFFFFF"/>
        </w:rPr>
      </w:pPr>
    </w:p>
    <w:p w14:paraId="2E4155C4" w14:textId="2C919F20" w:rsidR="004942B6" w:rsidRPr="001D6986" w:rsidRDefault="004942B6" w:rsidP="004942B6">
      <w:pPr>
        <w:pStyle w:val="Heading3"/>
        <w:spacing w:line="360" w:lineRule="auto"/>
        <w:rPr>
          <w:rFonts w:ascii="Arial" w:hAnsi="Arial" w:cs="Arial"/>
          <w:color w:val="4472C4" w:themeColor="accent1"/>
          <w:sz w:val="24"/>
          <w:szCs w:val="24"/>
        </w:rPr>
      </w:pPr>
      <w:bookmarkStart w:id="322" w:name="_Toc113975438"/>
      <w:bookmarkStart w:id="323" w:name="_Toc159613553"/>
      <w:bookmarkStart w:id="324" w:name="_Toc160981214"/>
      <w:bookmarkStart w:id="325" w:name="_Toc164670982"/>
      <w:bookmarkStart w:id="326" w:name="_Toc164676008"/>
      <w:bookmarkStart w:id="327" w:name="_Toc164680453"/>
      <w:bookmarkStart w:id="328" w:name="_Toc164681351"/>
      <w:bookmarkStart w:id="329" w:name="_Toc170075033"/>
      <w:bookmarkStart w:id="330" w:name="_Toc170076020"/>
      <w:bookmarkStart w:id="331" w:name="_Toc170577716"/>
      <w:bookmarkStart w:id="332" w:name="_Toc170579234"/>
      <w:bookmarkStart w:id="333" w:name="_Toc171203089"/>
      <w:bookmarkStart w:id="334" w:name="_Toc171203860"/>
      <w:r w:rsidRPr="001D6986">
        <w:rPr>
          <w:rFonts w:ascii="Arial" w:hAnsi="Arial" w:cs="Arial"/>
          <w:color w:val="4472C4" w:themeColor="accent1"/>
          <w:sz w:val="24"/>
          <w:szCs w:val="24"/>
        </w:rPr>
        <w:t>1.10.2.3 C</w:t>
      </w:r>
      <w:r w:rsidR="001F4EBA">
        <w:rPr>
          <w:rFonts w:ascii="Arial" w:hAnsi="Arial" w:cs="Arial"/>
          <w:color w:val="4472C4" w:themeColor="accent1"/>
          <w:sz w:val="24"/>
          <w:szCs w:val="24"/>
        </w:rPr>
        <w:t>AG</w:t>
      </w:r>
      <w:r w:rsidRPr="001D6986">
        <w:rPr>
          <w:rFonts w:ascii="Arial" w:hAnsi="Arial" w:cs="Arial"/>
          <w:color w:val="4472C4" w:themeColor="accent1"/>
          <w:sz w:val="24"/>
          <w:szCs w:val="24"/>
        </w:rPr>
        <w:t>-based fractional flow reserve (vFFR</w:t>
      </w:r>
      <w:r w:rsidRPr="001D6986">
        <w:rPr>
          <w:rFonts w:ascii="Arial" w:hAnsi="Arial" w:cs="Arial"/>
          <w:color w:val="4472C4" w:themeColor="accent1"/>
          <w:sz w:val="24"/>
          <w:szCs w:val="24"/>
          <w:vertAlign w:val="subscript"/>
        </w:rPr>
        <w:t>CAG</w:t>
      </w:r>
      <w:r w:rsidRPr="001D6986">
        <w:rPr>
          <w:rFonts w:ascii="Arial" w:hAnsi="Arial" w:cs="Arial"/>
          <w:color w:val="4472C4" w:themeColor="accent1"/>
          <w:sz w:val="24"/>
          <w:szCs w:val="24"/>
        </w:rPr>
        <w:t>)</w:t>
      </w:r>
      <w:bookmarkEnd w:id="322"/>
      <w:bookmarkEnd w:id="323"/>
      <w:bookmarkEnd w:id="324"/>
      <w:bookmarkEnd w:id="325"/>
      <w:bookmarkEnd w:id="326"/>
      <w:bookmarkEnd w:id="327"/>
      <w:bookmarkEnd w:id="328"/>
      <w:bookmarkEnd w:id="329"/>
      <w:bookmarkEnd w:id="330"/>
      <w:bookmarkEnd w:id="331"/>
      <w:bookmarkEnd w:id="332"/>
      <w:bookmarkEnd w:id="333"/>
      <w:bookmarkEnd w:id="334"/>
    </w:p>
    <w:p w14:paraId="1B840AD6" w14:textId="77777777" w:rsidR="004942B6" w:rsidRPr="006951A6" w:rsidRDefault="004942B6" w:rsidP="004942B6"/>
    <w:p w14:paraId="33A063EC" w14:textId="77777777" w:rsidR="004942B6" w:rsidRDefault="004942B6" w:rsidP="004942B6">
      <w:pPr>
        <w:pStyle w:val="Heading4"/>
        <w:spacing w:line="360" w:lineRule="auto"/>
        <w:rPr>
          <w:rFonts w:ascii="Arial" w:hAnsi="Arial" w:cs="Arial"/>
          <w:i w:val="0"/>
          <w:iCs w:val="0"/>
          <w:color w:val="4472C4" w:themeColor="accent1"/>
          <w:sz w:val="24"/>
          <w:szCs w:val="24"/>
          <w:vertAlign w:val="subscript"/>
        </w:rPr>
      </w:pPr>
      <w:r w:rsidRPr="009012C5">
        <w:rPr>
          <w:rFonts w:ascii="Arial" w:hAnsi="Arial" w:cs="Arial"/>
          <w:i w:val="0"/>
          <w:iCs w:val="0"/>
          <w:color w:val="4472C4" w:themeColor="accent1"/>
          <w:sz w:val="24"/>
          <w:szCs w:val="24"/>
        </w:rPr>
        <w:t>1.10.2.3.1 Commercially available systems available for vFFR</w:t>
      </w:r>
      <w:r w:rsidRPr="009012C5">
        <w:rPr>
          <w:rFonts w:ascii="Arial" w:hAnsi="Arial" w:cs="Arial"/>
          <w:i w:val="0"/>
          <w:iCs w:val="0"/>
          <w:color w:val="4472C4" w:themeColor="accent1"/>
          <w:sz w:val="24"/>
          <w:szCs w:val="24"/>
          <w:vertAlign w:val="subscript"/>
        </w:rPr>
        <w:t>CAG</w:t>
      </w:r>
    </w:p>
    <w:p w14:paraId="2B2626B5" w14:textId="1FB96CCD" w:rsidR="004942B6" w:rsidRDefault="004942B6" w:rsidP="004942B6">
      <w:pPr>
        <w:spacing w:line="360" w:lineRule="auto"/>
        <w:jc w:val="both"/>
        <w:rPr>
          <w:rFonts w:ascii="Arial" w:hAnsi="Arial" w:cs="Arial"/>
          <w:sz w:val="24"/>
          <w:szCs w:val="24"/>
        </w:rPr>
      </w:pPr>
      <w:r>
        <w:rPr>
          <w:rFonts w:ascii="Arial" w:hAnsi="Arial" w:cs="Arial"/>
          <w:sz w:val="24"/>
          <w:szCs w:val="24"/>
        </w:rPr>
        <w:t>S</w:t>
      </w:r>
      <w:r w:rsidRPr="00507BF3">
        <w:rPr>
          <w:rFonts w:ascii="Arial" w:hAnsi="Arial" w:cs="Arial"/>
          <w:sz w:val="24"/>
          <w:szCs w:val="24"/>
        </w:rPr>
        <w:t>everal systems</w:t>
      </w:r>
      <w:r w:rsidR="00E75485">
        <w:rPr>
          <w:rFonts w:ascii="Arial" w:hAnsi="Arial" w:cs="Arial"/>
          <w:sz w:val="24"/>
          <w:szCs w:val="24"/>
        </w:rPr>
        <w:t xml:space="preserve"> employing different methodologies</w:t>
      </w:r>
      <w:r w:rsidRPr="00507BF3">
        <w:rPr>
          <w:rFonts w:ascii="Arial" w:hAnsi="Arial" w:cs="Arial"/>
          <w:sz w:val="24"/>
          <w:szCs w:val="24"/>
        </w:rPr>
        <w:t xml:space="preserve"> </w:t>
      </w:r>
      <w:r>
        <w:rPr>
          <w:rFonts w:ascii="Arial" w:hAnsi="Arial" w:cs="Arial"/>
          <w:sz w:val="24"/>
          <w:szCs w:val="24"/>
        </w:rPr>
        <w:t xml:space="preserve">are </w:t>
      </w:r>
      <w:r w:rsidRPr="00507BF3">
        <w:rPr>
          <w:rFonts w:ascii="Arial" w:hAnsi="Arial" w:cs="Arial"/>
          <w:sz w:val="24"/>
          <w:szCs w:val="24"/>
        </w:rPr>
        <w:t>available to estimate vFFR via CAG, employing different methodologies. These include Quantitative Flow Ratio (QFR), Cardiovascular Analysis System for Vessel FFR (CAAS-vFFR) and FFR</w:t>
      </w:r>
      <w:r w:rsidRPr="00507BF3">
        <w:rPr>
          <w:rFonts w:ascii="Arial" w:hAnsi="Arial" w:cs="Arial"/>
          <w:sz w:val="24"/>
          <w:szCs w:val="24"/>
          <w:vertAlign w:val="subscript"/>
        </w:rPr>
        <w:t>angio</w:t>
      </w:r>
      <w:r w:rsidRPr="00507BF3">
        <w:rPr>
          <w:rFonts w:ascii="Arial" w:hAnsi="Arial" w:cs="Arial"/>
          <w:sz w:val="24"/>
          <w:szCs w:val="24"/>
        </w:rPr>
        <w:t xml:space="preserve">, all of which will be discussed </w:t>
      </w:r>
      <w:r w:rsidR="00210C6B">
        <w:rPr>
          <w:rFonts w:ascii="Arial" w:hAnsi="Arial" w:cs="Arial"/>
          <w:sz w:val="24"/>
          <w:szCs w:val="24"/>
        </w:rPr>
        <w:t>in</w:t>
      </w:r>
      <w:r w:rsidRPr="00507BF3">
        <w:rPr>
          <w:rFonts w:ascii="Arial" w:hAnsi="Arial" w:cs="Arial"/>
          <w:sz w:val="24"/>
          <w:szCs w:val="24"/>
        </w:rPr>
        <w:t xml:space="preserve"> detail</w:t>
      </w:r>
      <w:r w:rsidR="00210C6B">
        <w:rPr>
          <w:rFonts w:ascii="Arial" w:hAnsi="Arial" w:cs="Arial"/>
          <w:sz w:val="24"/>
          <w:szCs w:val="24"/>
        </w:rPr>
        <w:t xml:space="preserve"> below</w:t>
      </w:r>
      <w:r w:rsidRPr="00507BF3">
        <w:rPr>
          <w:rFonts w:ascii="Arial" w:hAnsi="Arial" w:cs="Arial"/>
          <w:sz w:val="24"/>
          <w:szCs w:val="24"/>
        </w:rPr>
        <w:t xml:space="preserve">. </w:t>
      </w:r>
    </w:p>
    <w:p w14:paraId="71A7BCA7" w14:textId="77777777" w:rsidR="004942B6" w:rsidRPr="00937E77" w:rsidRDefault="004942B6" w:rsidP="004942B6">
      <w:pPr>
        <w:spacing w:line="360" w:lineRule="auto"/>
        <w:jc w:val="both"/>
        <w:rPr>
          <w:rFonts w:ascii="Arial" w:hAnsi="Arial" w:cs="Arial"/>
          <w:sz w:val="24"/>
          <w:szCs w:val="24"/>
        </w:rPr>
      </w:pPr>
    </w:p>
    <w:p w14:paraId="4AFD36C6" w14:textId="77777777" w:rsidR="004942B6" w:rsidRPr="009012C5" w:rsidRDefault="004942B6" w:rsidP="004942B6">
      <w:pPr>
        <w:pStyle w:val="Heading5"/>
        <w:spacing w:line="360" w:lineRule="auto"/>
        <w:rPr>
          <w:rFonts w:ascii="Arial" w:hAnsi="Arial" w:cs="Arial"/>
          <w:color w:val="4472C4" w:themeColor="accent1"/>
          <w:sz w:val="24"/>
          <w:szCs w:val="24"/>
        </w:rPr>
      </w:pPr>
      <w:r w:rsidRPr="009012C5">
        <w:rPr>
          <w:rFonts w:ascii="Arial" w:hAnsi="Arial" w:cs="Arial"/>
          <w:color w:val="4472C4" w:themeColor="accent1"/>
          <w:sz w:val="24"/>
          <w:szCs w:val="24"/>
        </w:rPr>
        <w:t>1.10.2.3.1.1 Quantitative Flow Ratio (QFR)</w:t>
      </w:r>
    </w:p>
    <w:p w14:paraId="6F2B172E" w14:textId="77777777" w:rsidR="004942B6" w:rsidRPr="009222F3" w:rsidRDefault="004942B6" w:rsidP="004942B6">
      <w:pPr>
        <w:spacing w:line="360" w:lineRule="auto"/>
        <w:jc w:val="both"/>
        <w:rPr>
          <w:rFonts w:ascii="Arial" w:hAnsi="Arial" w:cs="Arial"/>
          <w:color w:val="000000" w:themeColor="text1"/>
          <w:sz w:val="24"/>
          <w:szCs w:val="24"/>
        </w:rPr>
      </w:pPr>
      <w:r w:rsidRPr="00507BF3">
        <w:rPr>
          <w:rFonts w:ascii="Arial" w:hAnsi="Arial" w:cs="Arial"/>
          <w:sz w:val="24"/>
          <w:szCs w:val="24"/>
        </w:rPr>
        <w:t>Quantitative Flow Ratio (QFR), developed by Medis (based in Leiden, Netherlands) and Pulse Medical Imaging (China), had the initial studies conducted via the CFD techniques, however later employed 3D reconstruction with faster QCA-based computation algorithms, using the coefficients derived</w:t>
      </w:r>
      <w:r w:rsidRPr="009222F3">
        <w:rPr>
          <w:rFonts w:ascii="Arial" w:hAnsi="Arial" w:cs="Arial"/>
          <w:color w:val="000000" w:themeColor="text1"/>
          <w:sz w:val="24"/>
          <w:szCs w:val="24"/>
        </w:rPr>
        <w:t xml:space="preserve"> from Poiseuille and Bernoulli law. In the FAVOR pilot study, the hyperaemic flow was computed using three distinct flow models </w:t>
      </w:r>
      <w:sdt>
        <w:sdtPr>
          <w:rPr>
            <w:rFonts w:ascii="Arial" w:hAnsi="Arial" w:cs="Arial"/>
            <w:color w:val="000000"/>
            <w:sz w:val="24"/>
            <w:szCs w:val="24"/>
          </w:rPr>
          <w:tag w:val="MENDELEY_CITATION_v3_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"/>
          <w:id w:val="1245295608"/>
          <w:placeholder>
            <w:docPart w:val="60586A23D4794876A55A282F8892D8F9"/>
          </w:placeholder>
        </w:sdtPr>
        <w:sdtEndPr/>
        <w:sdtContent>
          <w:r w:rsidRPr="00CB13E6">
            <w:rPr>
              <w:rFonts w:ascii="Arial" w:hAnsi="Arial" w:cs="Arial"/>
              <w:color w:val="000000"/>
              <w:sz w:val="24"/>
              <w:szCs w:val="24"/>
            </w:rPr>
            <w:t>(1</w:t>
          </w:r>
          <w:r>
            <w:rPr>
              <w:rFonts w:ascii="Arial" w:hAnsi="Arial" w:cs="Arial"/>
              <w:color w:val="000000"/>
              <w:sz w:val="24"/>
              <w:szCs w:val="24"/>
            </w:rPr>
            <w:t>43</w:t>
          </w:r>
          <w:r w:rsidRPr="00CB13E6">
            <w:rPr>
              <w:rFonts w:ascii="Arial" w:hAnsi="Arial" w:cs="Arial"/>
              <w:color w:val="000000"/>
              <w:sz w:val="24"/>
              <w:szCs w:val="24"/>
            </w:rPr>
            <w:t>)</w:t>
          </w:r>
        </w:sdtContent>
      </w:sdt>
      <w:r w:rsidRPr="009222F3">
        <w:rPr>
          <w:rFonts w:ascii="Arial" w:hAnsi="Arial" w:cs="Arial"/>
          <w:color w:val="000000" w:themeColor="text1"/>
          <w:sz w:val="24"/>
          <w:szCs w:val="24"/>
        </w:rPr>
        <w:t>:</w:t>
      </w:r>
    </w:p>
    <w:p w14:paraId="632523F7" w14:textId="77777777" w:rsidR="004942B6" w:rsidRPr="009222F3" w:rsidRDefault="004942B6" w:rsidP="0038772D">
      <w:pPr>
        <w:pStyle w:val="ListParagraph"/>
        <w:numPr>
          <w:ilvl w:val="0"/>
          <w:numId w:val="2"/>
        </w:num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The fixed hyperaemic flow velocity provided fixed flow-QFR (fQFR). </w:t>
      </w:r>
    </w:p>
    <w:p w14:paraId="22E19612" w14:textId="77777777" w:rsidR="004942B6" w:rsidRPr="009222F3" w:rsidRDefault="004942B6" w:rsidP="0038772D">
      <w:pPr>
        <w:pStyle w:val="ListParagraph"/>
        <w:numPr>
          <w:ilvl w:val="0"/>
          <w:numId w:val="2"/>
        </w:num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TIMI frame counting analysis estimated the contrast-QFR (cQFR) during the non-hyperaemic state. </w:t>
      </w:r>
      <w:sdt>
        <w:sdtPr>
          <w:rPr>
            <w:color w:val="000000"/>
          </w:rPr>
          <w:tag w:val="MENDELEY_CITATION_v3_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"/>
          <w:id w:val="1073009393"/>
          <w:placeholder>
            <w:docPart w:val="60586A23D4794876A55A282F8892D8F9"/>
          </w:placeholder>
        </w:sdtPr>
        <w:sdtEndPr/>
        <w:sdtContent>
          <w:r w:rsidRPr="00CB13E6">
            <w:rPr>
              <w:rFonts w:ascii="Arial" w:hAnsi="Arial" w:cs="Arial"/>
              <w:color w:val="000000"/>
              <w:sz w:val="24"/>
              <w:szCs w:val="24"/>
            </w:rPr>
            <w:t>(1</w:t>
          </w:r>
          <w:r>
            <w:rPr>
              <w:rFonts w:ascii="Arial" w:hAnsi="Arial" w:cs="Arial"/>
              <w:color w:val="000000"/>
              <w:sz w:val="24"/>
              <w:szCs w:val="24"/>
            </w:rPr>
            <w:t>43,144</w:t>
          </w:r>
          <w:r w:rsidRPr="00CB13E6">
            <w:rPr>
              <w:rFonts w:ascii="Arial" w:hAnsi="Arial" w:cs="Arial"/>
              <w:color w:val="000000"/>
              <w:sz w:val="24"/>
              <w:szCs w:val="24"/>
            </w:rPr>
            <w:t>)</w:t>
          </w:r>
        </w:sdtContent>
      </w:sdt>
      <w:r w:rsidRPr="009222F3">
        <w:rPr>
          <w:rFonts w:ascii="Arial" w:hAnsi="Arial" w:cs="Arial"/>
          <w:color w:val="000000" w:themeColor="text1"/>
          <w:sz w:val="24"/>
          <w:szCs w:val="24"/>
        </w:rPr>
        <w:t xml:space="preserve"> </w:t>
      </w:r>
    </w:p>
    <w:p w14:paraId="4346F420" w14:textId="77777777" w:rsidR="004942B6" w:rsidRPr="009222F3" w:rsidRDefault="004942B6" w:rsidP="0038772D">
      <w:pPr>
        <w:pStyle w:val="ListParagraph"/>
        <w:numPr>
          <w:ilvl w:val="0"/>
          <w:numId w:val="2"/>
        </w:num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Adenosine-induced hyperaemia is derived as adenosine-QFR (aQFR).</w:t>
      </w:r>
    </w:p>
    <w:p w14:paraId="4EF37682" w14:textId="60F0939E" w:rsidR="004942B6" w:rsidRPr="00461D06" w:rsidRDefault="004942B6" w:rsidP="00633EDB">
      <w:pPr>
        <w:spacing w:line="360" w:lineRule="auto"/>
        <w:jc w:val="both"/>
        <w:rPr>
          <w:rFonts w:ascii="Arial" w:hAnsi="Arial" w:cs="Arial"/>
          <w:color w:val="000000"/>
          <w:sz w:val="24"/>
          <w:szCs w:val="24"/>
        </w:rPr>
      </w:pPr>
      <w:r w:rsidRPr="009222F3">
        <w:rPr>
          <w:rFonts w:ascii="Arial" w:hAnsi="Arial" w:cs="Arial"/>
          <w:color w:val="000000" w:themeColor="text1"/>
          <w:sz w:val="24"/>
          <w:szCs w:val="24"/>
        </w:rPr>
        <w:t>The authors reported good overall diagnostic accuracy of all three flow models, with the highest diagnostic yield of cQFR</w:t>
      </w:r>
      <w:r>
        <w:rPr>
          <w:rFonts w:ascii="Arial" w:hAnsi="Arial" w:cs="Arial"/>
          <w:color w:val="000000" w:themeColor="text1"/>
          <w:sz w:val="24"/>
          <w:szCs w:val="24"/>
        </w:rPr>
        <w:t>. H</w:t>
      </w:r>
      <w:r w:rsidRPr="009222F3">
        <w:rPr>
          <w:rFonts w:ascii="Arial" w:hAnsi="Arial" w:cs="Arial"/>
          <w:color w:val="000000" w:themeColor="text1"/>
          <w:sz w:val="24"/>
          <w:szCs w:val="24"/>
        </w:rPr>
        <w:t>ence</w:t>
      </w:r>
      <w:r>
        <w:rPr>
          <w:rFonts w:ascii="Arial" w:hAnsi="Arial" w:cs="Arial"/>
          <w:color w:val="000000" w:themeColor="text1"/>
          <w:sz w:val="24"/>
          <w:szCs w:val="24"/>
        </w:rPr>
        <w:t>,</w:t>
      </w:r>
      <w:r w:rsidRPr="009222F3">
        <w:rPr>
          <w:rFonts w:ascii="Arial" w:hAnsi="Arial" w:cs="Arial"/>
          <w:color w:val="000000" w:themeColor="text1"/>
          <w:sz w:val="24"/>
          <w:szCs w:val="24"/>
        </w:rPr>
        <w:t xml:space="preserve"> cQQFR was adopted as the model of choice and is currently utilised in clinical practice. </w:t>
      </w:r>
      <w:sdt>
        <w:sdtPr>
          <w:rPr>
            <w:rFonts w:ascii="Arial" w:hAnsi="Arial" w:cs="Arial"/>
            <w:color w:val="000000"/>
            <w:sz w:val="24"/>
            <w:szCs w:val="24"/>
          </w:rPr>
          <w:tag w:val="MENDELEY_CITATION_v3_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"/>
          <w:id w:val="456374412"/>
          <w:placeholder>
            <w:docPart w:val="60586A23D4794876A55A282F8892D8F9"/>
          </w:placeholder>
        </w:sdtPr>
        <w:sdtEndPr/>
        <w:sdtContent>
          <w:r w:rsidRPr="00CB13E6">
            <w:rPr>
              <w:rFonts w:ascii="Arial" w:hAnsi="Arial" w:cs="Arial"/>
              <w:color w:val="000000"/>
              <w:sz w:val="24"/>
              <w:szCs w:val="24"/>
            </w:rPr>
            <w:t>(1</w:t>
          </w:r>
          <w:r>
            <w:rPr>
              <w:rFonts w:ascii="Arial" w:hAnsi="Arial" w:cs="Arial"/>
              <w:color w:val="000000"/>
              <w:sz w:val="24"/>
              <w:szCs w:val="24"/>
            </w:rPr>
            <w:t>43</w:t>
          </w:r>
          <w:r w:rsidRPr="00CB13E6">
            <w:rPr>
              <w:rFonts w:ascii="Arial" w:hAnsi="Arial" w:cs="Arial"/>
              <w:color w:val="000000"/>
              <w:sz w:val="24"/>
              <w:szCs w:val="24"/>
            </w:rPr>
            <w:t>)</w:t>
          </w:r>
        </w:sdtContent>
      </w:sdt>
    </w:p>
    <w:p w14:paraId="26BF674F" w14:textId="77777777" w:rsidR="00633EDB" w:rsidRDefault="00633EDB" w:rsidP="00633EDB">
      <w:pPr>
        <w:spacing w:line="360" w:lineRule="auto"/>
        <w:jc w:val="both"/>
        <w:rPr>
          <w:rFonts w:ascii="Arial" w:hAnsi="Arial" w:cs="Arial"/>
          <w:color w:val="4472C4" w:themeColor="accent1"/>
          <w:sz w:val="24"/>
          <w:szCs w:val="24"/>
        </w:rPr>
      </w:pPr>
    </w:p>
    <w:p w14:paraId="6D162B45" w14:textId="76EABF72" w:rsidR="004942B6" w:rsidRDefault="004942B6" w:rsidP="00633EDB">
      <w:pPr>
        <w:spacing w:line="360" w:lineRule="auto"/>
        <w:jc w:val="both"/>
        <w:rPr>
          <w:rFonts w:ascii="Arial" w:hAnsi="Arial" w:cs="Arial"/>
          <w:color w:val="4472C4" w:themeColor="accent1"/>
          <w:sz w:val="24"/>
          <w:szCs w:val="24"/>
        </w:rPr>
      </w:pPr>
      <w:r w:rsidRPr="009012C5">
        <w:rPr>
          <w:rFonts w:ascii="Arial" w:hAnsi="Arial" w:cs="Arial"/>
          <w:color w:val="4472C4" w:themeColor="accent1"/>
          <w:sz w:val="24"/>
          <w:szCs w:val="24"/>
        </w:rPr>
        <w:t>1.10.2.3.1.2 Cardiovascular Analysis System for Vessel FFR (CAAS-vFFR):</w:t>
      </w:r>
    </w:p>
    <w:p w14:paraId="0686F24D" w14:textId="77777777" w:rsidR="004942B6" w:rsidRPr="00937E77" w:rsidRDefault="004942B6" w:rsidP="004942B6">
      <w:pPr>
        <w:spacing w:line="360" w:lineRule="auto"/>
        <w:jc w:val="both"/>
        <w:rPr>
          <w:rFonts w:ascii="Arial" w:hAnsi="Arial" w:cs="Arial"/>
          <w:color w:val="000000" w:themeColor="text1"/>
          <w:sz w:val="24"/>
          <w:szCs w:val="24"/>
        </w:rPr>
      </w:pPr>
      <w:r w:rsidRPr="00286685">
        <w:rPr>
          <w:rFonts w:ascii="Arial" w:hAnsi="Arial" w:cs="Arial"/>
          <w:sz w:val="24"/>
          <w:szCs w:val="24"/>
        </w:rPr>
        <w:t xml:space="preserve">CAAS-vFFR by Pie Medical Imaging (Maastricht, Netherlands) utilises the simple analytical algorithms of viscous resistance and separation loss phenomenon, using </w:t>
      </w:r>
      <w:r w:rsidRPr="00286685">
        <w:rPr>
          <w:rFonts w:ascii="Arial" w:hAnsi="Arial" w:cs="Arial"/>
          <w:sz w:val="24"/>
          <w:szCs w:val="24"/>
        </w:rPr>
        <w:lastRenderedPageBreak/>
        <w:t>the Poiseuille and Bernoulli law, as elaborated by Gould and Kirkeeide et al. (145). The software uses patient-specific clinical data to estimate the maximal hyperaemic flow by using measured aortic pressure as the inlet boundary, assuming that flow velocity at the inlet is preserved. (92,144) The system automatically detects an optimal end-diastolic frame from two orthogonal views, at least 30</w:t>
      </w:r>
      <w:r>
        <w:rPr>
          <w:rFonts w:ascii="Arial" w:hAnsi="Arial" w:cs="Arial"/>
          <w:sz w:val="24"/>
          <w:szCs w:val="24"/>
          <w:vertAlign w:val="superscript"/>
        </w:rPr>
        <w:t>o</w:t>
      </w:r>
      <w:r w:rsidRPr="00286685">
        <w:rPr>
          <w:rFonts w:ascii="Arial" w:hAnsi="Arial" w:cs="Arial"/>
          <w:sz w:val="24"/>
          <w:szCs w:val="24"/>
        </w:rPr>
        <w:t xml:space="preserve"> apart, through ECG triggering, allowing the physiological assessment of the segment of interest.  </w:t>
      </w:r>
    </w:p>
    <w:p w14:paraId="020A2DBF" w14:textId="77777777" w:rsidR="004942B6" w:rsidRPr="00507BF3" w:rsidRDefault="004942B6" w:rsidP="004942B6">
      <w:pPr>
        <w:spacing w:line="360" w:lineRule="auto"/>
        <w:rPr>
          <w:rFonts w:ascii="Arial" w:hAnsi="Arial" w:cs="Arial"/>
          <w:sz w:val="24"/>
          <w:szCs w:val="24"/>
        </w:rPr>
      </w:pPr>
    </w:p>
    <w:p w14:paraId="5B89AD96" w14:textId="77777777" w:rsidR="004942B6" w:rsidRPr="009012C5" w:rsidRDefault="004942B6" w:rsidP="004942B6">
      <w:pPr>
        <w:pStyle w:val="Heading5"/>
        <w:spacing w:line="360" w:lineRule="auto"/>
        <w:rPr>
          <w:rFonts w:ascii="Arial" w:hAnsi="Arial" w:cs="Arial"/>
          <w:i/>
          <w:iCs/>
          <w:color w:val="4472C4" w:themeColor="accent1"/>
          <w:sz w:val="24"/>
          <w:szCs w:val="24"/>
        </w:rPr>
      </w:pPr>
      <w:r w:rsidRPr="009012C5">
        <w:rPr>
          <w:rFonts w:ascii="Arial" w:hAnsi="Arial" w:cs="Arial"/>
          <w:color w:val="4472C4" w:themeColor="accent1"/>
          <w:sz w:val="24"/>
          <w:szCs w:val="24"/>
        </w:rPr>
        <w:t>1.10.2.3.1.3 FFR</w:t>
      </w:r>
      <w:r w:rsidRPr="009012C5">
        <w:rPr>
          <w:rFonts w:ascii="Arial" w:hAnsi="Arial" w:cs="Arial"/>
          <w:color w:val="4472C4" w:themeColor="accent1"/>
          <w:sz w:val="24"/>
          <w:szCs w:val="24"/>
          <w:vertAlign w:val="subscript"/>
        </w:rPr>
        <w:t>angio</w:t>
      </w:r>
    </w:p>
    <w:p w14:paraId="4BD52BFC" w14:textId="77777777" w:rsidR="004942B6" w:rsidRPr="00F6332B" w:rsidRDefault="004942B6" w:rsidP="004942B6">
      <w:pPr>
        <w:spacing w:line="360" w:lineRule="auto"/>
        <w:jc w:val="both"/>
        <w:rPr>
          <w:rFonts w:ascii="Arial" w:hAnsi="Arial" w:cs="Arial"/>
          <w:sz w:val="24"/>
          <w:szCs w:val="24"/>
        </w:rPr>
      </w:pPr>
      <w:r w:rsidRPr="0014750F">
        <w:rPr>
          <w:rFonts w:ascii="Arial" w:hAnsi="Arial" w:cs="Arial"/>
          <w:sz w:val="24"/>
          <w:szCs w:val="24"/>
        </w:rPr>
        <w:t>FFRangio by Cathworks Ltd. (Kfar-Saba, Israel) is an adenosine-free system that employs the rapid flow analysis technique based on Poiseuille and Bernoulli law and the algorithms using epipolar ray tracings. (92) The entire coronary bed is modelled into a 3D reconstructed electric circuit, with every segment acting as a sequential resistor in the circuit. The resistance is, thus, exhibited according to the length and diameter of the segment with stenosis. The impact of each segment is estimated towards the overall resistance. Subsequently, two models are created by the software, a lumped model with stenosis and a second one without stenosis, to calculate the ratio of estimated maximal flow, both in the presence and absence of stenosis.</w:t>
      </w:r>
      <w:r>
        <w:rPr>
          <w:rFonts w:ascii="Arial" w:hAnsi="Arial" w:cs="Arial"/>
          <w:sz w:val="24"/>
          <w:szCs w:val="24"/>
        </w:rPr>
        <w:t xml:space="preserve"> </w:t>
      </w:r>
      <w:r w:rsidRPr="0014750F">
        <w:rPr>
          <w:rFonts w:ascii="Arial" w:hAnsi="Arial" w:cs="Arial"/>
          <w:sz w:val="24"/>
          <w:szCs w:val="24"/>
        </w:rPr>
        <w:t>The software requires user correction to rectify any movement artefact through correction of the axis. The final result is presented in the form of a colour-coded 3D-generated model of vFFR. (92)</w:t>
      </w:r>
    </w:p>
    <w:p w14:paraId="4C0540E2" w14:textId="77777777" w:rsidR="004942B6" w:rsidRDefault="004942B6" w:rsidP="004942B6">
      <w:pPr>
        <w:pStyle w:val="Heading5"/>
        <w:spacing w:line="360" w:lineRule="auto"/>
        <w:rPr>
          <w:rFonts w:ascii="Arial" w:hAnsi="Arial" w:cs="Arial"/>
          <w:color w:val="auto"/>
          <w:sz w:val="24"/>
          <w:szCs w:val="24"/>
        </w:rPr>
      </w:pPr>
    </w:p>
    <w:p w14:paraId="0096EBE2" w14:textId="018C5918" w:rsidR="004942B6" w:rsidRPr="009012C5" w:rsidRDefault="004942B6" w:rsidP="004942B6">
      <w:pPr>
        <w:pStyle w:val="Heading5"/>
        <w:spacing w:line="360" w:lineRule="auto"/>
        <w:rPr>
          <w:rFonts w:ascii="Arial" w:hAnsi="Arial" w:cs="Arial"/>
          <w:color w:val="4472C4" w:themeColor="accent1"/>
          <w:sz w:val="24"/>
          <w:szCs w:val="24"/>
        </w:rPr>
      </w:pPr>
      <w:r w:rsidRPr="009012C5">
        <w:rPr>
          <w:rFonts w:ascii="Arial" w:hAnsi="Arial" w:cs="Arial"/>
          <w:color w:val="4472C4" w:themeColor="accent1"/>
          <w:sz w:val="24"/>
          <w:szCs w:val="24"/>
        </w:rPr>
        <w:t xml:space="preserve">1.10.2.3.2 Clinical evidence for </w:t>
      </w:r>
      <w:r w:rsidR="0036391D">
        <w:rPr>
          <w:rFonts w:ascii="Arial" w:hAnsi="Arial" w:cs="Arial"/>
          <w:color w:val="4472C4" w:themeColor="accent1"/>
          <w:sz w:val="24"/>
          <w:szCs w:val="24"/>
        </w:rPr>
        <w:t>vFFR</w:t>
      </w:r>
    </w:p>
    <w:p w14:paraId="38E3DF0B" w14:textId="6549F5FF" w:rsidR="004942B6" w:rsidRPr="008B099B" w:rsidRDefault="004942B6" w:rsidP="004942B6">
      <w:pPr>
        <w:spacing w:line="360" w:lineRule="auto"/>
        <w:jc w:val="both"/>
        <w:rPr>
          <w:rFonts w:ascii="Arial" w:hAnsi="Arial" w:cs="Arial"/>
          <w:sz w:val="24"/>
          <w:szCs w:val="24"/>
        </w:rPr>
      </w:pPr>
      <w:r w:rsidRPr="008B099B">
        <w:rPr>
          <w:rFonts w:ascii="Arial" w:hAnsi="Arial" w:cs="Arial"/>
          <w:sz w:val="24"/>
          <w:szCs w:val="24"/>
        </w:rPr>
        <w:t>vFFR computed using angiogram-based images (</w:t>
      </w:r>
      <w:r w:rsidR="0036391D">
        <w:rPr>
          <w:rFonts w:ascii="Arial" w:hAnsi="Arial" w:cs="Arial"/>
          <w:sz w:val="24"/>
          <w:szCs w:val="24"/>
        </w:rPr>
        <w:t>vFFR</w:t>
      </w:r>
      <w:r w:rsidRPr="008B099B">
        <w:rPr>
          <w:rFonts w:ascii="Arial" w:hAnsi="Arial" w:cs="Arial"/>
          <w:sz w:val="24"/>
          <w:szCs w:val="24"/>
        </w:rPr>
        <w:t xml:space="preserve">) sparked a keen interest in interventional cardiology research. The first trial to evaluate </w:t>
      </w:r>
      <w:r w:rsidR="0036391D">
        <w:rPr>
          <w:rFonts w:ascii="Arial" w:hAnsi="Arial" w:cs="Arial"/>
          <w:sz w:val="24"/>
          <w:szCs w:val="24"/>
        </w:rPr>
        <w:t>vFFR</w:t>
      </w:r>
      <w:r w:rsidRPr="008B099B">
        <w:rPr>
          <w:rFonts w:ascii="Arial" w:hAnsi="Arial" w:cs="Arial"/>
          <w:sz w:val="24"/>
          <w:szCs w:val="24"/>
        </w:rPr>
        <w:t xml:space="preserve"> was VIRTU-1, which utilised </w:t>
      </w:r>
      <w:r w:rsidRPr="009D51B0">
        <w:rPr>
          <w:rFonts w:ascii="Arial" w:hAnsi="Arial" w:cs="Arial"/>
          <w:sz w:val="24"/>
          <w:szCs w:val="24"/>
        </w:rPr>
        <w:t>VIRTU</w:t>
      </w:r>
      <w:r>
        <w:rPr>
          <w:rFonts w:ascii="Arial" w:hAnsi="Arial" w:cs="Arial"/>
          <w:sz w:val="24"/>
          <w:szCs w:val="24"/>
        </w:rPr>
        <w:t>H</w:t>
      </w:r>
      <w:r w:rsidRPr="009D51B0">
        <w:rPr>
          <w:rFonts w:ascii="Arial" w:hAnsi="Arial" w:cs="Arial"/>
          <w:sz w:val="24"/>
          <w:szCs w:val="24"/>
        </w:rPr>
        <w:t>eart</w:t>
      </w:r>
      <w:r w:rsidRPr="009D51B0">
        <w:rPr>
          <w:rFonts w:ascii="Arial" w:hAnsi="Arial" w:cs="Arial"/>
          <w:sz w:val="24"/>
          <w:szCs w:val="24"/>
          <w:vertAlign w:val="superscript"/>
        </w:rPr>
        <w:t>TM</w:t>
      </w:r>
      <w:r w:rsidRPr="008B099B">
        <w:rPr>
          <w:rFonts w:ascii="Arial" w:hAnsi="Arial" w:cs="Arial"/>
          <w:sz w:val="24"/>
          <w:szCs w:val="24"/>
        </w:rPr>
        <w:t xml:space="preserve"> software. (146) In the VIRTU-1 trial (35 vessels studied in 19 patients), the diagnostic accuracy </w:t>
      </w:r>
      <w:r w:rsidR="0036391D">
        <w:rPr>
          <w:rFonts w:ascii="Arial" w:hAnsi="Arial" w:cs="Arial"/>
          <w:sz w:val="24"/>
          <w:szCs w:val="24"/>
        </w:rPr>
        <w:t>vFFR</w:t>
      </w:r>
      <w:r w:rsidRPr="008B099B">
        <w:rPr>
          <w:rFonts w:ascii="Arial" w:hAnsi="Arial" w:cs="Arial"/>
          <w:sz w:val="24"/>
          <w:szCs w:val="24"/>
        </w:rPr>
        <w:t xml:space="preserve"> of </w:t>
      </w:r>
      <w:r w:rsidRPr="009D51B0">
        <w:rPr>
          <w:rFonts w:ascii="Arial" w:hAnsi="Arial" w:cs="Arial"/>
          <w:sz w:val="24"/>
          <w:szCs w:val="24"/>
        </w:rPr>
        <w:t>VIRTU</w:t>
      </w:r>
      <w:r>
        <w:rPr>
          <w:rFonts w:ascii="Arial" w:hAnsi="Arial" w:cs="Arial"/>
          <w:sz w:val="24"/>
          <w:szCs w:val="24"/>
        </w:rPr>
        <w:t>H</w:t>
      </w:r>
      <w:r w:rsidRPr="009D51B0">
        <w:rPr>
          <w:rFonts w:ascii="Arial" w:hAnsi="Arial" w:cs="Arial"/>
          <w:sz w:val="24"/>
          <w:szCs w:val="24"/>
        </w:rPr>
        <w:t>eart</w:t>
      </w:r>
      <w:r w:rsidRPr="009D51B0">
        <w:rPr>
          <w:rFonts w:ascii="Arial" w:hAnsi="Arial" w:cs="Arial"/>
          <w:sz w:val="24"/>
          <w:szCs w:val="24"/>
          <w:vertAlign w:val="superscript"/>
        </w:rPr>
        <w:t>TM</w:t>
      </w:r>
      <w:r w:rsidRPr="008B099B">
        <w:rPr>
          <w:rFonts w:ascii="Arial" w:hAnsi="Arial" w:cs="Arial"/>
          <w:sz w:val="24"/>
          <w:szCs w:val="24"/>
        </w:rPr>
        <w:t xml:space="preserve"> was found to be 97%, with a mean deviation of 0.06 from the measured FFR, and a mean delta of 0.02, indicating a lack of bias. (147) Lately, a personalised vFFR (including the weight, height, heart rate, diastolic blood pressure and frailty score) has been shown to improve the diagnostic accuracy of the software for detection of any ischaemic lesion (FFR ≤0.8), with a computing time of fewer than four minutes. (147,148). </w:t>
      </w:r>
    </w:p>
    <w:p w14:paraId="18F08DB4" w14:textId="620CF773" w:rsidR="004942B6" w:rsidRPr="008B099B" w:rsidRDefault="004942B6" w:rsidP="004942B6">
      <w:pPr>
        <w:spacing w:line="360" w:lineRule="auto"/>
        <w:jc w:val="both"/>
        <w:rPr>
          <w:rFonts w:ascii="Arial" w:hAnsi="Arial" w:cs="Arial"/>
          <w:sz w:val="24"/>
          <w:szCs w:val="24"/>
        </w:rPr>
      </w:pPr>
      <w:r w:rsidRPr="008B099B">
        <w:rPr>
          <w:rFonts w:ascii="Arial" w:hAnsi="Arial" w:cs="Arial"/>
          <w:sz w:val="24"/>
          <w:szCs w:val="24"/>
        </w:rPr>
        <w:lastRenderedPageBreak/>
        <w:t xml:space="preserve">Of the available </w:t>
      </w:r>
      <w:r w:rsidR="0036391D">
        <w:rPr>
          <w:rFonts w:ascii="Arial" w:hAnsi="Arial" w:cs="Arial"/>
          <w:sz w:val="24"/>
          <w:szCs w:val="24"/>
        </w:rPr>
        <w:t>vFFR</w:t>
      </w:r>
      <w:r w:rsidRPr="008B099B">
        <w:rPr>
          <w:rFonts w:ascii="Arial" w:hAnsi="Arial" w:cs="Arial"/>
          <w:sz w:val="24"/>
          <w:szCs w:val="24"/>
        </w:rPr>
        <w:t xml:space="preserve"> commercial systems, QFR has gathered most of the evidence. FAVOR II Europe-Japan showed a diagnostic accuracy of QFR against the measured FFR to be 86.8%, whereas, in FAVOR II China, it was around 92.4%. (149,150) FAVOUR III trial (China) was the first multicentre, sham-controlled, randomised trial, comprised of 3847 patients, who were randomised to QFR-guided PCI (n=1913) and angiography-guided PCI (n=1912). It showed that the QFR-driven PCI strategy was superior in the composite endpoints of death, MI, and ischaemia-related revascularisation at one-year follow-up than the angiography-guided arm (5.8% QFR-guided vs 8.8% in angio-guided). (151) In addition, the QFR arm had a </w:t>
      </w:r>
      <w:r>
        <w:rPr>
          <w:rFonts w:ascii="Arial" w:hAnsi="Arial" w:cs="Arial"/>
          <w:sz w:val="24"/>
          <w:szCs w:val="24"/>
        </w:rPr>
        <w:t xml:space="preserve">slightly </w:t>
      </w:r>
      <w:r w:rsidRPr="008B099B">
        <w:rPr>
          <w:rFonts w:ascii="Arial" w:hAnsi="Arial" w:cs="Arial"/>
          <w:sz w:val="24"/>
          <w:szCs w:val="24"/>
        </w:rPr>
        <w:t xml:space="preserve">shorter procedural duration (53.7 min QFR-guided vs 59.4 min CAG-guided) and reduced use of contrast media. (151)    </w:t>
      </w:r>
    </w:p>
    <w:p w14:paraId="5F78F620" w14:textId="77777777" w:rsidR="004942B6" w:rsidRPr="008B099B" w:rsidRDefault="004942B6" w:rsidP="004942B6">
      <w:pPr>
        <w:spacing w:line="360" w:lineRule="auto"/>
        <w:jc w:val="both"/>
        <w:rPr>
          <w:rFonts w:ascii="Arial" w:hAnsi="Arial" w:cs="Arial"/>
          <w:sz w:val="24"/>
          <w:szCs w:val="24"/>
        </w:rPr>
      </w:pPr>
      <w:r w:rsidRPr="008B099B">
        <w:rPr>
          <w:rFonts w:ascii="Arial" w:hAnsi="Arial" w:cs="Arial"/>
          <w:sz w:val="24"/>
          <w:szCs w:val="24"/>
        </w:rPr>
        <w:t>The FAST study (n=100) showed a diagnostic accuracy of 89% for CAAS-FFR (152) and 96% in the FAST-EXTEND trial (294 patients) when compared with invasive FFR. (145) These positive results were further reinforced in FAST II,</w:t>
      </w:r>
      <w:r>
        <w:rPr>
          <w:rFonts w:ascii="Arial" w:hAnsi="Arial" w:cs="Arial"/>
          <w:sz w:val="24"/>
          <w:szCs w:val="24"/>
        </w:rPr>
        <w:t xml:space="preserve"> </w:t>
      </w:r>
      <w:r w:rsidRPr="008B099B">
        <w:rPr>
          <w:rFonts w:ascii="Arial" w:hAnsi="Arial" w:cs="Arial"/>
          <w:sz w:val="24"/>
          <w:szCs w:val="24"/>
        </w:rPr>
        <w:t xml:space="preserve">a multicentre, prospective trial of 334 patients, </w:t>
      </w:r>
      <w:r>
        <w:rPr>
          <w:rFonts w:ascii="Arial" w:hAnsi="Arial" w:cs="Arial"/>
          <w:sz w:val="24"/>
          <w:szCs w:val="24"/>
        </w:rPr>
        <w:t>which</w:t>
      </w:r>
      <w:r w:rsidRPr="008B099B">
        <w:rPr>
          <w:rFonts w:ascii="Arial" w:hAnsi="Arial" w:cs="Arial"/>
          <w:sz w:val="24"/>
          <w:szCs w:val="24"/>
        </w:rPr>
        <w:t xml:space="preserve"> even comprehended more complex lesions, including calcified, bifurcation and tortuous lesions. (153) FAST III is an ongoing multicentre, randomised trial </w:t>
      </w:r>
      <w:r>
        <w:rPr>
          <w:rFonts w:ascii="Arial" w:hAnsi="Arial" w:cs="Arial"/>
          <w:sz w:val="24"/>
          <w:szCs w:val="24"/>
        </w:rPr>
        <w:t>examining</w:t>
      </w:r>
      <w:r w:rsidRPr="008B099B">
        <w:rPr>
          <w:rFonts w:ascii="Arial" w:hAnsi="Arial" w:cs="Arial"/>
          <w:sz w:val="24"/>
          <w:szCs w:val="24"/>
        </w:rPr>
        <w:t xml:space="preserve"> the efficacy of vFFR vs FFR-guided treatment plans for revascularisation. (149)</w:t>
      </w:r>
    </w:p>
    <w:p w14:paraId="3E870B42" w14:textId="77777777" w:rsidR="004942B6" w:rsidRDefault="004942B6" w:rsidP="004942B6">
      <w:pPr>
        <w:spacing w:line="360" w:lineRule="auto"/>
        <w:jc w:val="both"/>
        <w:rPr>
          <w:rFonts w:ascii="Arial" w:hAnsi="Arial" w:cs="Arial"/>
          <w:sz w:val="24"/>
          <w:szCs w:val="24"/>
        </w:rPr>
      </w:pPr>
      <w:r w:rsidRPr="008B099B">
        <w:rPr>
          <w:rFonts w:ascii="Arial" w:hAnsi="Arial" w:cs="Arial"/>
          <w:sz w:val="24"/>
          <w:szCs w:val="24"/>
        </w:rPr>
        <w:t>The FAST-FFR study revealed an excellent diagnostic accuracy of FFRangio at around 92% while retaining its diagnostic accuracy at around 87% even when the FFR values were between 0.75 – 0.85. (154) In a pooled analysis of five studies, FFRangio showed a consistent diagnostic accuracy of around 93% across various patient factors (age, gender, diabetes, and BMI), including complex lesion types. (155) FFR affirmed a good diagnostic certainty when compared to FFR for reclassifying the extent of CAD, as per the SYNTAX scoring system. (156) In a recently published study (536 patients, 601 lesions), revascularisation decisions were evaluated using FFRangio. The revascularisation was “deferred” if the lesions were estimated as vFFR-negative (n=256, 52%) and intervention was “performed” in 236 patients (48%). It showed a lower incidence of MACE at one-year follow-up (2.5% deferred vs 4.1% performed arm). (157)</w:t>
      </w:r>
    </w:p>
    <w:p w14:paraId="5DC7B073" w14:textId="77777777" w:rsidR="004942B6" w:rsidRDefault="004942B6" w:rsidP="004942B6">
      <w:pPr>
        <w:spacing w:line="360" w:lineRule="auto"/>
        <w:jc w:val="both"/>
        <w:rPr>
          <w:rFonts w:ascii="Arial" w:hAnsi="Arial" w:cs="Arial"/>
          <w:sz w:val="24"/>
          <w:szCs w:val="24"/>
        </w:rPr>
      </w:pPr>
    </w:p>
    <w:p w14:paraId="50C924F0" w14:textId="77777777" w:rsidR="004942B6" w:rsidRPr="009012C5" w:rsidRDefault="004942B6" w:rsidP="004942B6">
      <w:pPr>
        <w:pStyle w:val="Heading4"/>
        <w:spacing w:line="360" w:lineRule="auto"/>
        <w:rPr>
          <w:rFonts w:ascii="Arial" w:hAnsi="Arial" w:cs="Arial"/>
          <w:i w:val="0"/>
          <w:iCs w:val="0"/>
          <w:color w:val="4472C4" w:themeColor="accent1"/>
          <w:sz w:val="24"/>
          <w:szCs w:val="24"/>
        </w:rPr>
      </w:pPr>
      <w:r w:rsidRPr="009012C5">
        <w:rPr>
          <w:rFonts w:ascii="Arial" w:hAnsi="Arial" w:cs="Arial"/>
          <w:i w:val="0"/>
          <w:iCs w:val="0"/>
          <w:color w:val="4472C4" w:themeColor="accent1"/>
          <w:sz w:val="24"/>
          <w:szCs w:val="24"/>
        </w:rPr>
        <w:lastRenderedPageBreak/>
        <w:t>1.10.2.3.3 The prototype: VIRTU</w:t>
      </w:r>
      <w:r>
        <w:rPr>
          <w:rFonts w:ascii="Arial" w:hAnsi="Arial" w:cs="Arial"/>
          <w:i w:val="0"/>
          <w:iCs w:val="0"/>
          <w:color w:val="4472C4" w:themeColor="accent1"/>
          <w:sz w:val="24"/>
          <w:szCs w:val="24"/>
        </w:rPr>
        <w:t>H</w:t>
      </w:r>
      <w:r w:rsidRPr="009012C5">
        <w:rPr>
          <w:rFonts w:ascii="Arial" w:hAnsi="Arial" w:cs="Arial"/>
          <w:i w:val="0"/>
          <w:iCs w:val="0"/>
          <w:color w:val="4472C4" w:themeColor="accent1"/>
          <w:sz w:val="24"/>
          <w:szCs w:val="24"/>
        </w:rPr>
        <w:t>eart</w:t>
      </w:r>
      <w:r w:rsidRPr="009012C5">
        <w:rPr>
          <w:rFonts w:ascii="Arial" w:hAnsi="Arial" w:cs="Arial"/>
          <w:i w:val="0"/>
          <w:iCs w:val="0"/>
          <w:color w:val="4472C4" w:themeColor="accent1"/>
          <w:sz w:val="24"/>
          <w:szCs w:val="24"/>
          <w:vertAlign w:val="superscript"/>
        </w:rPr>
        <w:t>TM</w:t>
      </w:r>
    </w:p>
    <w:p w14:paraId="4F9ADA03" w14:textId="77777777" w:rsidR="004942B6" w:rsidRPr="00E46F05" w:rsidRDefault="004942B6" w:rsidP="004942B6">
      <w:pPr>
        <w:spacing w:line="360" w:lineRule="auto"/>
        <w:jc w:val="both"/>
        <w:rPr>
          <w:rFonts w:ascii="Arial" w:hAnsi="Arial" w:cs="Arial"/>
          <w:sz w:val="24"/>
          <w:szCs w:val="24"/>
        </w:rPr>
      </w:pPr>
      <w:bookmarkStart w:id="335" w:name="_Toc113975439"/>
      <w:r w:rsidRPr="00E46F05">
        <w:rPr>
          <w:rFonts w:ascii="Arial" w:hAnsi="Arial" w:cs="Arial"/>
          <w:sz w:val="24"/>
          <w:szCs w:val="24"/>
        </w:rPr>
        <w:t>The University of Sheffield team was the first to develop a vFFR system (</w:t>
      </w:r>
      <w:r w:rsidRPr="009D51B0">
        <w:rPr>
          <w:rFonts w:ascii="Arial" w:hAnsi="Arial" w:cs="Arial"/>
          <w:sz w:val="24"/>
          <w:szCs w:val="24"/>
        </w:rPr>
        <w:t>VIRTU</w:t>
      </w:r>
      <w:r>
        <w:rPr>
          <w:rFonts w:ascii="Arial" w:hAnsi="Arial" w:cs="Arial"/>
          <w:sz w:val="24"/>
          <w:szCs w:val="24"/>
        </w:rPr>
        <w:t>H</w:t>
      </w:r>
      <w:r w:rsidRPr="009D51B0">
        <w:rPr>
          <w:rFonts w:ascii="Arial" w:hAnsi="Arial" w:cs="Arial"/>
          <w:sz w:val="24"/>
          <w:szCs w:val="24"/>
        </w:rPr>
        <w:t>eart</w:t>
      </w:r>
      <w:r w:rsidRPr="009D51B0">
        <w:rPr>
          <w:rFonts w:ascii="Arial" w:hAnsi="Arial" w:cs="Arial"/>
          <w:sz w:val="24"/>
          <w:szCs w:val="24"/>
          <w:vertAlign w:val="superscript"/>
        </w:rPr>
        <w:t>TM</w:t>
      </w:r>
      <w:r w:rsidRPr="00E46F05">
        <w:rPr>
          <w:rFonts w:ascii="Arial" w:hAnsi="Arial" w:cs="Arial"/>
          <w:sz w:val="24"/>
          <w:szCs w:val="24"/>
        </w:rPr>
        <w:t xml:space="preserve">), which operates on the fundamentals of CFD technology and provides a computed vFFR based on the invasive coronary angiogram (CAG). </w:t>
      </w:r>
      <w:r w:rsidRPr="009D51B0">
        <w:rPr>
          <w:rFonts w:ascii="Arial" w:hAnsi="Arial" w:cs="Arial"/>
          <w:sz w:val="24"/>
          <w:szCs w:val="24"/>
        </w:rPr>
        <w:t>VIRTU</w:t>
      </w:r>
      <w:r>
        <w:rPr>
          <w:rFonts w:ascii="Arial" w:hAnsi="Arial" w:cs="Arial"/>
          <w:sz w:val="24"/>
          <w:szCs w:val="24"/>
        </w:rPr>
        <w:t>H</w:t>
      </w:r>
      <w:r w:rsidRPr="009D51B0">
        <w:rPr>
          <w:rFonts w:ascii="Arial" w:hAnsi="Arial" w:cs="Arial"/>
          <w:sz w:val="24"/>
          <w:szCs w:val="24"/>
        </w:rPr>
        <w:t>eart</w:t>
      </w:r>
      <w:r w:rsidRPr="009D51B0">
        <w:rPr>
          <w:rFonts w:ascii="Arial" w:hAnsi="Arial" w:cs="Arial"/>
          <w:sz w:val="24"/>
          <w:szCs w:val="24"/>
          <w:vertAlign w:val="superscript"/>
        </w:rPr>
        <w:t>TM</w:t>
      </w:r>
      <w:r w:rsidRPr="00E46F05">
        <w:rPr>
          <w:rFonts w:ascii="Arial" w:hAnsi="Arial" w:cs="Arial"/>
          <w:sz w:val="24"/>
          <w:szCs w:val="24"/>
        </w:rPr>
        <w:t xml:space="preserve"> is not </w:t>
      </w:r>
      <w:r>
        <w:rPr>
          <w:rFonts w:ascii="Arial" w:hAnsi="Arial" w:cs="Arial"/>
          <w:sz w:val="24"/>
          <w:szCs w:val="24"/>
        </w:rPr>
        <w:t>licence</w:t>
      </w:r>
      <w:r w:rsidRPr="00E46F05">
        <w:rPr>
          <w:rFonts w:ascii="Arial" w:hAnsi="Arial" w:cs="Arial"/>
          <w:sz w:val="24"/>
          <w:szCs w:val="24"/>
        </w:rPr>
        <w:t xml:space="preserve">d for clinical use and is currently employed only as an academic research tool. </w:t>
      </w:r>
    </w:p>
    <w:p w14:paraId="02AA823B" w14:textId="5E5689E9" w:rsidR="004942B6" w:rsidRDefault="004942B6" w:rsidP="004942B6">
      <w:pPr>
        <w:spacing w:line="360" w:lineRule="auto"/>
        <w:jc w:val="both"/>
        <w:rPr>
          <w:rFonts w:ascii="Arial" w:hAnsi="Arial" w:cs="Arial"/>
          <w:sz w:val="24"/>
          <w:szCs w:val="24"/>
        </w:rPr>
      </w:pPr>
      <w:r w:rsidRPr="00E46F05">
        <w:rPr>
          <w:rFonts w:ascii="Arial" w:hAnsi="Arial" w:cs="Arial"/>
          <w:sz w:val="24"/>
          <w:szCs w:val="24"/>
        </w:rPr>
        <w:t xml:space="preserve">To calculate vFFR using </w:t>
      </w:r>
      <w:r w:rsidRPr="009D51B0">
        <w:rPr>
          <w:rFonts w:ascii="Arial" w:hAnsi="Arial" w:cs="Arial"/>
          <w:sz w:val="24"/>
          <w:szCs w:val="24"/>
        </w:rPr>
        <w:t>VIRTU</w:t>
      </w:r>
      <w:r>
        <w:rPr>
          <w:rFonts w:ascii="Arial" w:hAnsi="Arial" w:cs="Arial"/>
          <w:sz w:val="24"/>
          <w:szCs w:val="24"/>
        </w:rPr>
        <w:t>H</w:t>
      </w:r>
      <w:r w:rsidRPr="009D51B0">
        <w:rPr>
          <w:rFonts w:ascii="Arial" w:hAnsi="Arial" w:cs="Arial"/>
          <w:sz w:val="24"/>
          <w:szCs w:val="24"/>
        </w:rPr>
        <w:t>eart</w:t>
      </w:r>
      <w:r w:rsidRPr="009D51B0">
        <w:rPr>
          <w:rFonts w:ascii="Arial" w:hAnsi="Arial" w:cs="Arial"/>
          <w:sz w:val="24"/>
          <w:szCs w:val="24"/>
          <w:vertAlign w:val="superscript"/>
        </w:rPr>
        <w:t>TM</w:t>
      </w:r>
      <w:r w:rsidRPr="00E46F05">
        <w:rPr>
          <w:rFonts w:ascii="Arial" w:hAnsi="Arial" w:cs="Arial"/>
          <w:sz w:val="24"/>
          <w:szCs w:val="24"/>
        </w:rPr>
        <w:t>, the first and vital step is to obtain a good quality CAG. To identify the best end-diastolic frame, two orthogonal views are selected at least 30 degrees apart, with good contrast opacification, minimal magnification and without any panning (148). The 3D model is then subjected to boundary conditions after segmentation and discretisation. CFD solver software (ANSYS</w:t>
      </w:r>
      <w:r>
        <w:rPr>
          <w:rFonts w:ascii="Arial" w:hAnsi="Arial" w:cs="Arial"/>
          <w:sz w:val="24"/>
          <w:szCs w:val="24"/>
        </w:rPr>
        <w:t>-</w:t>
      </w:r>
      <w:r w:rsidRPr="00E46F05">
        <w:rPr>
          <w:rFonts w:ascii="Arial" w:hAnsi="Arial" w:cs="Arial"/>
          <w:sz w:val="24"/>
          <w:szCs w:val="24"/>
        </w:rPr>
        <w:t xml:space="preserve">CFX) then simulates the flow and pressure to provide a 3D reconstructed image with computed </w:t>
      </w:r>
      <w:r w:rsidR="0036391D">
        <w:rPr>
          <w:rFonts w:ascii="Arial" w:hAnsi="Arial" w:cs="Arial"/>
          <w:sz w:val="24"/>
          <w:szCs w:val="24"/>
        </w:rPr>
        <w:t>vFFR</w:t>
      </w:r>
      <w:r w:rsidRPr="00E46F05">
        <w:rPr>
          <w:rFonts w:ascii="Arial" w:hAnsi="Arial" w:cs="Arial"/>
          <w:sz w:val="24"/>
          <w:szCs w:val="24"/>
        </w:rPr>
        <w:t xml:space="preserve">. (148) </w:t>
      </w:r>
      <w:r>
        <w:rPr>
          <w:rFonts w:ascii="Arial" w:hAnsi="Arial" w:cs="Arial"/>
          <w:sz w:val="24"/>
          <w:szCs w:val="24"/>
        </w:rPr>
        <w:t xml:space="preserve">An example of RCA modelling to estimate the vFFR with </w:t>
      </w:r>
      <w:r w:rsidRPr="009D51B0">
        <w:rPr>
          <w:rFonts w:ascii="Arial" w:hAnsi="Arial" w:cs="Arial"/>
          <w:sz w:val="24"/>
          <w:szCs w:val="24"/>
        </w:rPr>
        <w:t>VIRTUheart</w:t>
      </w:r>
      <w:r w:rsidRPr="009D51B0">
        <w:rPr>
          <w:rFonts w:ascii="Arial" w:hAnsi="Arial" w:cs="Arial"/>
          <w:sz w:val="24"/>
          <w:szCs w:val="24"/>
          <w:vertAlign w:val="superscript"/>
        </w:rPr>
        <w:t>TM</w:t>
      </w:r>
      <w:r>
        <w:rPr>
          <w:rFonts w:ascii="Arial" w:hAnsi="Arial" w:cs="Arial"/>
          <w:sz w:val="24"/>
          <w:szCs w:val="24"/>
        </w:rPr>
        <w:t xml:space="preserve"> has been shown in Figure 9. </w:t>
      </w:r>
    </w:p>
    <w:p w14:paraId="6252BC71" w14:textId="77777777" w:rsidR="004942B6" w:rsidRDefault="004942B6" w:rsidP="004942B6">
      <w:pPr>
        <w:spacing w:line="360" w:lineRule="auto"/>
        <w:jc w:val="both"/>
        <w:rPr>
          <w:rFonts w:ascii="Arial" w:hAnsi="Arial" w:cs="Arial"/>
          <w:sz w:val="24"/>
          <w:szCs w:val="24"/>
        </w:rPr>
      </w:pPr>
    </w:p>
    <w:p w14:paraId="1B141EEF" w14:textId="77777777" w:rsidR="004942B6" w:rsidRDefault="004942B6" w:rsidP="004942B6">
      <w:pPr>
        <w:keepNext/>
        <w:spacing w:line="360" w:lineRule="auto"/>
        <w:jc w:val="both"/>
      </w:pPr>
      <w:r>
        <w:rPr>
          <w:noProof/>
          <w:lang w:eastAsia="en-GB"/>
        </w:rPr>
        <w:drawing>
          <wp:inline distT="0" distB="0" distL="0" distR="0" wp14:anchorId="059693B7" wp14:editId="7CAD781E">
            <wp:extent cx="5936594" cy="3296653"/>
            <wp:effectExtent l="0" t="0" r="7620" b="0"/>
            <wp:docPr id="1824320583" name="Picture 182432058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320583" name="Picture 34" descr="A screenshot of a computer&#10;&#10;Description automatically generated"/>
                    <pic:cNvPicPr/>
                  </pic:nvPicPr>
                  <pic:blipFill rotWithShape="1">
                    <a:blip r:embed="rId24" cstate="print">
                      <a:extLst>
                        <a:ext uri="{BEBA8EAE-BF5A-486C-A8C5-ECC9F3942E4B}">
                          <a14:imgProps xmlns:a14="http://schemas.microsoft.com/office/drawing/2010/main">
                            <a14:imgLayer r:embed="rId2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120" t="2401" r="7884" b="25409"/>
                    <a:stretch/>
                  </pic:blipFill>
                  <pic:spPr bwMode="auto">
                    <a:xfrm>
                      <a:off x="0" y="0"/>
                      <a:ext cx="5945457" cy="3301575"/>
                    </a:xfrm>
                    <a:prstGeom prst="rect">
                      <a:avLst/>
                    </a:prstGeom>
                    <a:ln>
                      <a:noFill/>
                    </a:ln>
                    <a:extLst>
                      <a:ext uri="{53640926-AAD7-44D8-BBD7-CCE9431645EC}">
                        <a14:shadowObscured xmlns:a14="http://schemas.microsoft.com/office/drawing/2010/main"/>
                      </a:ext>
                    </a:extLst>
                  </pic:spPr>
                </pic:pic>
              </a:graphicData>
            </a:graphic>
          </wp:inline>
        </w:drawing>
      </w:r>
    </w:p>
    <w:p w14:paraId="6DF3862C" w14:textId="52A9D310" w:rsidR="004942B6" w:rsidRPr="00811DEC" w:rsidRDefault="004942B6" w:rsidP="004942B6">
      <w:pPr>
        <w:pStyle w:val="Caption"/>
        <w:jc w:val="both"/>
        <w:rPr>
          <w:rFonts w:ascii="Arial" w:hAnsi="Arial" w:cs="Arial"/>
          <w:color w:val="auto"/>
          <w:sz w:val="20"/>
          <w:szCs w:val="20"/>
        </w:rPr>
      </w:pPr>
      <w:bookmarkStart w:id="336" w:name="_Toc153409658"/>
      <w:bookmarkStart w:id="337" w:name="_Toc153724905"/>
      <w:bookmarkStart w:id="338" w:name="_Toc159318491"/>
      <w:bookmarkStart w:id="339" w:name="_Toc159612017"/>
      <w:bookmarkStart w:id="340" w:name="_Toc160982663"/>
      <w:bookmarkStart w:id="341" w:name="_Toc164697488"/>
      <w:bookmarkStart w:id="342" w:name="_Toc170744570"/>
      <w:bookmarkStart w:id="343" w:name="_Toc196153201"/>
      <w:r w:rsidRPr="00811DEC">
        <w:rPr>
          <w:rFonts w:ascii="Arial" w:hAnsi="Arial" w:cs="Arial"/>
          <w:b/>
          <w:bCs/>
          <w:color w:val="auto"/>
          <w:sz w:val="20"/>
          <w:szCs w:val="20"/>
        </w:rPr>
        <w:t xml:space="preserve">Figure </w:t>
      </w:r>
      <w:r w:rsidRPr="00811DEC">
        <w:rPr>
          <w:rFonts w:ascii="Arial" w:hAnsi="Arial" w:cs="Arial"/>
          <w:b/>
          <w:bCs/>
          <w:color w:val="auto"/>
          <w:sz w:val="20"/>
          <w:szCs w:val="20"/>
        </w:rPr>
        <w:fldChar w:fldCharType="begin"/>
      </w:r>
      <w:r w:rsidRPr="00811DEC">
        <w:rPr>
          <w:rFonts w:ascii="Arial" w:hAnsi="Arial" w:cs="Arial"/>
          <w:b/>
          <w:bCs/>
          <w:color w:val="auto"/>
          <w:sz w:val="20"/>
          <w:szCs w:val="20"/>
        </w:rPr>
        <w:instrText xml:space="preserve"> SEQ Figure \* ARABIC </w:instrText>
      </w:r>
      <w:r w:rsidRPr="00811DEC">
        <w:rPr>
          <w:rFonts w:ascii="Arial" w:hAnsi="Arial" w:cs="Arial"/>
          <w:b/>
          <w:bCs/>
          <w:color w:val="auto"/>
          <w:sz w:val="20"/>
          <w:szCs w:val="20"/>
        </w:rPr>
        <w:fldChar w:fldCharType="separate"/>
      </w:r>
      <w:r w:rsidR="001823B4">
        <w:rPr>
          <w:rFonts w:ascii="Arial" w:hAnsi="Arial" w:cs="Arial"/>
          <w:b/>
          <w:bCs/>
          <w:noProof/>
          <w:color w:val="auto"/>
          <w:sz w:val="20"/>
          <w:szCs w:val="20"/>
        </w:rPr>
        <w:t>9</w:t>
      </w:r>
      <w:r w:rsidRPr="00811DEC">
        <w:rPr>
          <w:rFonts w:ascii="Arial" w:hAnsi="Arial" w:cs="Arial"/>
          <w:b/>
          <w:bCs/>
          <w:color w:val="auto"/>
          <w:sz w:val="20"/>
          <w:szCs w:val="20"/>
        </w:rPr>
        <w:fldChar w:fldCharType="end"/>
      </w:r>
      <w:r w:rsidRPr="00811DEC">
        <w:rPr>
          <w:rFonts w:ascii="Arial" w:hAnsi="Arial" w:cs="Arial"/>
          <w:b/>
          <w:bCs/>
          <w:color w:val="auto"/>
          <w:sz w:val="20"/>
          <w:szCs w:val="20"/>
        </w:rPr>
        <w:t>:</w:t>
      </w:r>
      <w:r w:rsidRPr="00811DEC">
        <w:rPr>
          <w:rFonts w:ascii="Arial" w:hAnsi="Arial" w:cs="Arial"/>
          <w:color w:val="auto"/>
          <w:sz w:val="20"/>
          <w:szCs w:val="20"/>
        </w:rPr>
        <w:t xml:space="preserve"> An example of RC</w:t>
      </w:r>
      <w:r>
        <w:rPr>
          <w:rFonts w:ascii="Arial" w:hAnsi="Arial" w:cs="Arial"/>
          <w:color w:val="auto"/>
          <w:sz w:val="20"/>
          <w:szCs w:val="20"/>
        </w:rPr>
        <w:t>A vFFR computation</w:t>
      </w:r>
      <w:r w:rsidRPr="00811DEC">
        <w:rPr>
          <w:rFonts w:ascii="Arial" w:hAnsi="Arial" w:cs="Arial"/>
          <w:color w:val="auto"/>
          <w:sz w:val="20"/>
          <w:szCs w:val="20"/>
        </w:rPr>
        <w:t xml:space="preserve"> with VIRTUheart</w:t>
      </w:r>
      <w:r w:rsidRPr="00811DEC">
        <w:rPr>
          <w:rFonts w:ascii="Arial" w:hAnsi="Arial" w:cs="Arial"/>
          <w:color w:val="auto"/>
          <w:sz w:val="20"/>
          <w:szCs w:val="20"/>
          <w:vertAlign w:val="superscript"/>
        </w:rPr>
        <w:t>TM</w:t>
      </w:r>
      <w:r w:rsidRPr="00811DEC">
        <w:rPr>
          <w:rFonts w:ascii="Arial" w:hAnsi="Arial" w:cs="Arial"/>
          <w:color w:val="auto"/>
          <w:sz w:val="20"/>
          <w:szCs w:val="20"/>
        </w:rPr>
        <w:t>. Panel A shows a moderate lesion in the mid</w:t>
      </w:r>
      <w:r w:rsidR="0076466D">
        <w:rPr>
          <w:rFonts w:ascii="Arial" w:hAnsi="Arial" w:cs="Arial"/>
          <w:color w:val="auto"/>
          <w:sz w:val="20"/>
          <w:szCs w:val="20"/>
        </w:rPr>
        <w:t>-</w:t>
      </w:r>
      <w:r w:rsidRPr="00811DEC">
        <w:rPr>
          <w:rFonts w:ascii="Arial" w:hAnsi="Arial" w:cs="Arial"/>
          <w:color w:val="auto"/>
          <w:sz w:val="20"/>
          <w:szCs w:val="20"/>
        </w:rPr>
        <w:t>RCA</w:t>
      </w:r>
      <w:r>
        <w:rPr>
          <w:rFonts w:ascii="Arial" w:hAnsi="Arial" w:cs="Arial"/>
          <w:color w:val="auto"/>
          <w:sz w:val="20"/>
          <w:szCs w:val="20"/>
        </w:rPr>
        <w:t xml:space="preserve"> (marked with arrows)</w:t>
      </w:r>
      <w:r w:rsidRPr="00811DEC">
        <w:rPr>
          <w:rFonts w:ascii="Arial" w:hAnsi="Arial" w:cs="Arial"/>
          <w:color w:val="auto"/>
          <w:sz w:val="20"/>
          <w:szCs w:val="20"/>
        </w:rPr>
        <w:t xml:space="preserve">. Panel B </w:t>
      </w:r>
      <w:r>
        <w:rPr>
          <w:rFonts w:ascii="Arial" w:hAnsi="Arial" w:cs="Arial"/>
          <w:color w:val="auto"/>
          <w:sz w:val="20"/>
          <w:szCs w:val="20"/>
        </w:rPr>
        <w:t xml:space="preserve">shows the </w:t>
      </w:r>
      <w:r w:rsidRPr="00811DEC">
        <w:rPr>
          <w:rFonts w:ascii="Arial" w:hAnsi="Arial" w:cs="Arial"/>
          <w:color w:val="auto"/>
          <w:sz w:val="20"/>
          <w:szCs w:val="20"/>
        </w:rPr>
        <w:t>outlined segment of RCA after segmentation and</w:t>
      </w:r>
      <w:r>
        <w:rPr>
          <w:rFonts w:ascii="Arial" w:hAnsi="Arial" w:cs="Arial"/>
          <w:color w:val="auto"/>
          <w:sz w:val="20"/>
          <w:szCs w:val="20"/>
        </w:rPr>
        <w:t xml:space="preserve"> application of</w:t>
      </w:r>
      <w:r w:rsidRPr="00811DEC">
        <w:rPr>
          <w:rFonts w:ascii="Arial" w:hAnsi="Arial" w:cs="Arial"/>
          <w:color w:val="auto"/>
          <w:sz w:val="20"/>
          <w:szCs w:val="20"/>
        </w:rPr>
        <w:t xml:space="preserve"> boundary condition</w:t>
      </w:r>
      <w:r>
        <w:rPr>
          <w:rFonts w:ascii="Arial" w:hAnsi="Arial" w:cs="Arial"/>
          <w:color w:val="auto"/>
          <w:sz w:val="20"/>
          <w:szCs w:val="20"/>
        </w:rPr>
        <w:t>s</w:t>
      </w:r>
      <w:r w:rsidR="009A773C">
        <w:rPr>
          <w:rFonts w:ascii="Arial" w:hAnsi="Arial" w:cs="Arial"/>
          <w:color w:val="auto"/>
          <w:sz w:val="20"/>
          <w:szCs w:val="20"/>
        </w:rPr>
        <w:t>,</w:t>
      </w:r>
      <w:r>
        <w:rPr>
          <w:rFonts w:ascii="Arial" w:hAnsi="Arial" w:cs="Arial"/>
          <w:color w:val="auto"/>
          <w:sz w:val="20"/>
          <w:szCs w:val="20"/>
        </w:rPr>
        <w:t xml:space="preserve"> ready to be transferred to the CFD simulator</w:t>
      </w:r>
      <w:r w:rsidRPr="00811DEC">
        <w:rPr>
          <w:rFonts w:ascii="Arial" w:hAnsi="Arial" w:cs="Arial"/>
          <w:color w:val="auto"/>
          <w:sz w:val="20"/>
          <w:szCs w:val="20"/>
        </w:rPr>
        <w:t>. Panel C shows</w:t>
      </w:r>
      <w:r>
        <w:rPr>
          <w:rFonts w:ascii="Arial" w:hAnsi="Arial" w:cs="Arial"/>
          <w:color w:val="auto"/>
          <w:sz w:val="20"/>
          <w:szCs w:val="20"/>
        </w:rPr>
        <w:t xml:space="preserve"> the post</w:t>
      </w:r>
      <w:r w:rsidR="00AD499E">
        <w:rPr>
          <w:rFonts w:ascii="Arial" w:hAnsi="Arial" w:cs="Arial"/>
          <w:color w:val="auto"/>
          <w:sz w:val="20"/>
          <w:szCs w:val="20"/>
        </w:rPr>
        <w:t>-</w:t>
      </w:r>
      <w:r>
        <w:rPr>
          <w:rFonts w:ascii="Arial" w:hAnsi="Arial" w:cs="Arial"/>
          <w:color w:val="auto"/>
          <w:sz w:val="20"/>
          <w:szCs w:val="20"/>
        </w:rPr>
        <w:t>CFD simulation vFFR results in RCA</w:t>
      </w:r>
      <w:r w:rsidRPr="00811DEC">
        <w:rPr>
          <w:rFonts w:ascii="Arial" w:hAnsi="Arial" w:cs="Arial"/>
          <w:color w:val="auto"/>
          <w:sz w:val="20"/>
          <w:szCs w:val="20"/>
        </w:rPr>
        <w:t xml:space="preserve"> demonstrating non-significance</w:t>
      </w:r>
      <w:bookmarkEnd w:id="336"/>
      <w:r>
        <w:rPr>
          <w:rFonts w:ascii="Arial" w:hAnsi="Arial" w:cs="Arial"/>
          <w:color w:val="auto"/>
          <w:sz w:val="20"/>
          <w:szCs w:val="20"/>
        </w:rPr>
        <w:t xml:space="preserve"> (vFFR 0.94).</w:t>
      </w:r>
      <w:bookmarkEnd w:id="337"/>
      <w:bookmarkEnd w:id="338"/>
      <w:bookmarkEnd w:id="339"/>
      <w:bookmarkEnd w:id="340"/>
      <w:bookmarkEnd w:id="341"/>
      <w:bookmarkEnd w:id="342"/>
      <w:bookmarkEnd w:id="343"/>
    </w:p>
    <w:p w14:paraId="326F2D89" w14:textId="77777777" w:rsidR="004942B6" w:rsidRDefault="004942B6" w:rsidP="004942B6">
      <w:pPr>
        <w:spacing w:line="360" w:lineRule="auto"/>
        <w:jc w:val="both"/>
        <w:rPr>
          <w:rFonts w:ascii="Arial" w:hAnsi="Arial" w:cs="Arial"/>
          <w:sz w:val="24"/>
          <w:szCs w:val="24"/>
        </w:rPr>
      </w:pPr>
    </w:p>
    <w:p w14:paraId="6E32BBCE" w14:textId="566396E2" w:rsidR="004942B6" w:rsidRPr="009012C5" w:rsidRDefault="004942B6" w:rsidP="004942B6">
      <w:pPr>
        <w:spacing w:line="360" w:lineRule="auto"/>
        <w:jc w:val="both"/>
        <w:rPr>
          <w:rStyle w:val="Heading3Char"/>
          <w:rFonts w:eastAsiaTheme="minorHAnsi" w:cstheme="minorBidi"/>
          <w:color w:val="auto"/>
          <w:sz w:val="22"/>
          <w:szCs w:val="22"/>
        </w:rPr>
      </w:pPr>
      <w:r w:rsidRPr="00E46F05">
        <w:rPr>
          <w:rFonts w:ascii="Arial" w:hAnsi="Arial" w:cs="Arial"/>
          <w:sz w:val="24"/>
          <w:szCs w:val="24"/>
        </w:rPr>
        <w:lastRenderedPageBreak/>
        <w:t xml:space="preserve">The recently conducted VIRTU-4 trial used </w:t>
      </w:r>
      <w:r w:rsidRPr="009D51B0">
        <w:rPr>
          <w:rFonts w:ascii="Arial" w:hAnsi="Arial" w:cs="Arial"/>
          <w:sz w:val="24"/>
          <w:szCs w:val="24"/>
        </w:rPr>
        <w:t>VIRTUheart</w:t>
      </w:r>
      <w:r w:rsidRPr="009D51B0">
        <w:rPr>
          <w:rFonts w:ascii="Arial" w:hAnsi="Arial" w:cs="Arial"/>
          <w:sz w:val="24"/>
          <w:szCs w:val="24"/>
          <w:vertAlign w:val="superscript"/>
        </w:rPr>
        <w:t>TM</w:t>
      </w:r>
      <w:r w:rsidRPr="00E46F05">
        <w:rPr>
          <w:rFonts w:ascii="Arial" w:hAnsi="Arial" w:cs="Arial"/>
          <w:sz w:val="24"/>
          <w:szCs w:val="24"/>
        </w:rPr>
        <w:t xml:space="preserve"> software and showed a hypothetical change in the management plans of 20.5% of the patients in both ACS and CCS cohorts. Details of this study, which form the basis for my work, </w:t>
      </w:r>
      <w:r w:rsidR="00E87ADE">
        <w:rPr>
          <w:rFonts w:ascii="Arial" w:hAnsi="Arial" w:cs="Arial"/>
          <w:sz w:val="24"/>
          <w:szCs w:val="24"/>
        </w:rPr>
        <w:t>have been provided in section 1.1</w:t>
      </w:r>
      <w:r w:rsidR="000E2777">
        <w:rPr>
          <w:rFonts w:ascii="Arial" w:hAnsi="Arial" w:cs="Arial"/>
          <w:sz w:val="24"/>
          <w:szCs w:val="24"/>
        </w:rPr>
        <w:t>3</w:t>
      </w:r>
      <w:r w:rsidRPr="00E46F05">
        <w:rPr>
          <w:rFonts w:ascii="Arial" w:hAnsi="Arial" w:cs="Arial"/>
          <w:sz w:val="24"/>
          <w:szCs w:val="24"/>
        </w:rPr>
        <w:t xml:space="preserve">. Another novel application of the Sheffield </w:t>
      </w:r>
      <w:r w:rsidRPr="009D51B0">
        <w:rPr>
          <w:rFonts w:ascii="Arial" w:hAnsi="Arial" w:cs="Arial"/>
          <w:sz w:val="24"/>
          <w:szCs w:val="24"/>
        </w:rPr>
        <w:t>VIRTU</w:t>
      </w:r>
      <w:r>
        <w:rPr>
          <w:rFonts w:ascii="Arial" w:hAnsi="Arial" w:cs="Arial"/>
          <w:sz w:val="24"/>
          <w:szCs w:val="24"/>
        </w:rPr>
        <w:t>H</w:t>
      </w:r>
      <w:r w:rsidRPr="009D51B0">
        <w:rPr>
          <w:rFonts w:ascii="Arial" w:hAnsi="Arial" w:cs="Arial"/>
          <w:sz w:val="24"/>
          <w:szCs w:val="24"/>
        </w:rPr>
        <w:t>eart</w:t>
      </w:r>
      <w:r w:rsidRPr="009D51B0">
        <w:rPr>
          <w:rFonts w:ascii="Arial" w:hAnsi="Arial" w:cs="Arial"/>
          <w:sz w:val="24"/>
          <w:szCs w:val="24"/>
          <w:vertAlign w:val="superscript"/>
        </w:rPr>
        <w:t>TM</w:t>
      </w:r>
      <w:r>
        <w:rPr>
          <w:rFonts w:ascii="Arial" w:hAnsi="Arial" w:cs="Arial"/>
          <w:sz w:val="24"/>
          <w:szCs w:val="24"/>
        </w:rPr>
        <w:t xml:space="preserve"> </w:t>
      </w:r>
      <w:r w:rsidRPr="00E46F05">
        <w:rPr>
          <w:rFonts w:ascii="Arial" w:hAnsi="Arial" w:cs="Arial"/>
          <w:sz w:val="24"/>
          <w:szCs w:val="24"/>
        </w:rPr>
        <w:t>system is the development of a virtual coronary intervention (VCI) tool that can predict the physiological outcomes after stent deployment using CFD with a radius correction tool. (148) VCI predicted the functional significance after angioplasty with a diagnostic accuracy of 93% in 101 patients, assessed against measured FFR after stent deployment and only required 95 seconds to perform a simulation in the study. (148)</w:t>
      </w:r>
    </w:p>
    <w:p w14:paraId="2B5BC247" w14:textId="77777777" w:rsidR="004942B6" w:rsidRPr="00511D02" w:rsidRDefault="004942B6" w:rsidP="004942B6">
      <w:pPr>
        <w:spacing w:line="360" w:lineRule="auto"/>
      </w:pPr>
    </w:p>
    <w:p w14:paraId="7A38DBC1" w14:textId="7A24062C" w:rsidR="004942B6" w:rsidRPr="001D6986" w:rsidRDefault="004942B6" w:rsidP="004942B6">
      <w:pPr>
        <w:pStyle w:val="Heading4"/>
        <w:spacing w:line="360" w:lineRule="auto"/>
        <w:rPr>
          <w:rStyle w:val="Heading3Char"/>
          <w:rFonts w:ascii="Arial" w:hAnsi="Arial" w:cs="Arial"/>
          <w:i w:val="0"/>
          <w:iCs w:val="0"/>
          <w:color w:val="4472C4" w:themeColor="accent1"/>
          <w:sz w:val="24"/>
          <w:szCs w:val="24"/>
        </w:rPr>
      </w:pPr>
      <w:bookmarkStart w:id="344" w:name="_Toc159613554"/>
      <w:bookmarkStart w:id="345" w:name="_Toc160981215"/>
      <w:bookmarkStart w:id="346" w:name="_Toc164670983"/>
      <w:bookmarkStart w:id="347" w:name="_Toc164676009"/>
      <w:bookmarkStart w:id="348" w:name="_Toc164680454"/>
      <w:bookmarkStart w:id="349" w:name="_Toc164681352"/>
      <w:bookmarkStart w:id="350" w:name="_Toc170075034"/>
      <w:bookmarkStart w:id="351" w:name="_Toc170076021"/>
      <w:bookmarkStart w:id="352" w:name="_Toc170577717"/>
      <w:bookmarkStart w:id="353" w:name="_Toc170579235"/>
      <w:bookmarkStart w:id="354" w:name="_Toc171203090"/>
      <w:bookmarkStart w:id="355" w:name="_Toc171203861"/>
      <w:r w:rsidRPr="001D6986">
        <w:rPr>
          <w:rStyle w:val="Heading3Char"/>
          <w:rFonts w:ascii="Arial" w:hAnsi="Arial" w:cs="Arial"/>
          <w:i w:val="0"/>
          <w:iCs w:val="0"/>
          <w:color w:val="4472C4" w:themeColor="accent1"/>
          <w:sz w:val="24"/>
          <w:szCs w:val="24"/>
        </w:rPr>
        <w:t xml:space="preserve">1.10.2.4 Pros and cons of </w:t>
      </w:r>
      <w:r w:rsidR="0036391D">
        <w:rPr>
          <w:rStyle w:val="Heading3Char"/>
          <w:rFonts w:ascii="Arial" w:hAnsi="Arial" w:cs="Arial"/>
          <w:i w:val="0"/>
          <w:iCs w:val="0"/>
          <w:color w:val="4472C4" w:themeColor="accent1"/>
          <w:sz w:val="24"/>
          <w:szCs w:val="24"/>
        </w:rPr>
        <w:t>vFFR</w:t>
      </w:r>
      <w:bookmarkEnd w:id="335"/>
      <w:bookmarkEnd w:id="344"/>
      <w:bookmarkEnd w:id="345"/>
      <w:bookmarkEnd w:id="346"/>
      <w:bookmarkEnd w:id="347"/>
      <w:bookmarkEnd w:id="348"/>
      <w:bookmarkEnd w:id="349"/>
      <w:bookmarkEnd w:id="350"/>
      <w:bookmarkEnd w:id="351"/>
      <w:bookmarkEnd w:id="352"/>
      <w:bookmarkEnd w:id="353"/>
      <w:bookmarkEnd w:id="354"/>
      <w:bookmarkEnd w:id="355"/>
    </w:p>
    <w:p w14:paraId="725383A1" w14:textId="0C34BC65" w:rsidR="004942B6" w:rsidRPr="007B5B0C" w:rsidRDefault="0036391D" w:rsidP="004942B6">
      <w:pPr>
        <w:spacing w:line="360" w:lineRule="auto"/>
        <w:jc w:val="both"/>
        <w:rPr>
          <w:rFonts w:ascii="Arial" w:hAnsi="Arial" w:cs="Arial"/>
          <w:color w:val="000000" w:themeColor="text1"/>
          <w:sz w:val="24"/>
          <w:szCs w:val="24"/>
        </w:rPr>
      </w:pPr>
      <w:r>
        <w:rPr>
          <w:rFonts w:ascii="Arial" w:hAnsi="Arial" w:cs="Arial"/>
          <w:sz w:val="24"/>
          <w:szCs w:val="24"/>
        </w:rPr>
        <w:t>vFFR</w:t>
      </w:r>
      <w:r w:rsidR="004942B6" w:rsidRPr="002A7726">
        <w:rPr>
          <w:rFonts w:ascii="Arial" w:hAnsi="Arial" w:cs="Arial"/>
          <w:sz w:val="24"/>
          <w:szCs w:val="24"/>
        </w:rPr>
        <w:t xml:space="preserve"> </w:t>
      </w:r>
      <w:r w:rsidR="004942B6" w:rsidRPr="007B5B0C">
        <w:rPr>
          <w:rFonts w:ascii="Arial" w:hAnsi="Arial" w:cs="Arial"/>
          <w:color w:val="000000" w:themeColor="text1"/>
          <w:sz w:val="24"/>
          <w:szCs w:val="24"/>
        </w:rPr>
        <w:t>has the advantages of being fast (only requiring 4-15 minutes per vessel), non-invasive, and can be performed in real</w:t>
      </w:r>
      <w:r w:rsidR="004115A1">
        <w:rPr>
          <w:rFonts w:ascii="Arial" w:hAnsi="Arial" w:cs="Arial"/>
          <w:color w:val="000000" w:themeColor="text1"/>
          <w:sz w:val="24"/>
          <w:szCs w:val="24"/>
        </w:rPr>
        <w:t xml:space="preserve"> </w:t>
      </w:r>
      <w:r w:rsidR="004942B6" w:rsidRPr="007B5B0C">
        <w:rPr>
          <w:rFonts w:ascii="Arial" w:hAnsi="Arial" w:cs="Arial"/>
          <w:color w:val="000000" w:themeColor="text1"/>
          <w:sz w:val="24"/>
          <w:szCs w:val="24"/>
        </w:rPr>
        <w:t xml:space="preserve">time. (126) It can analyse several vessels simultaneously without needing a pharmacological agent for hyperaemia induction. It can also predict a virtual pullback and post-intervention vFFR results. (126) It can nullify the risk of pressure wire-related dissections and be incorporated into any cardiac catheter lab, even without interventional capabilities. (126,158) </w:t>
      </w:r>
    </w:p>
    <w:p w14:paraId="08EDB5E5" w14:textId="121A371B" w:rsidR="004942B6" w:rsidRDefault="004942B6" w:rsidP="004942B6">
      <w:pPr>
        <w:spacing w:line="360" w:lineRule="auto"/>
        <w:jc w:val="both"/>
        <w:rPr>
          <w:rFonts w:ascii="Arial" w:hAnsi="Arial" w:cs="Arial"/>
          <w:color w:val="000000" w:themeColor="text1"/>
          <w:sz w:val="24"/>
          <w:szCs w:val="24"/>
        </w:rPr>
      </w:pPr>
      <w:r w:rsidRPr="007B5B0C">
        <w:rPr>
          <w:rFonts w:ascii="Arial" w:hAnsi="Arial" w:cs="Arial"/>
          <w:color w:val="000000" w:themeColor="text1"/>
          <w:sz w:val="24"/>
          <w:szCs w:val="24"/>
        </w:rPr>
        <w:t xml:space="preserve">Although the final 3D colour-coded constructed model is visually appealing, </w:t>
      </w:r>
      <w:r w:rsidR="0036391D">
        <w:rPr>
          <w:rFonts w:ascii="Arial" w:hAnsi="Arial" w:cs="Arial"/>
          <w:sz w:val="24"/>
          <w:szCs w:val="24"/>
        </w:rPr>
        <w:t>vFFR</w:t>
      </w:r>
      <w:r w:rsidRPr="002A7726">
        <w:rPr>
          <w:rFonts w:ascii="Arial" w:hAnsi="Arial" w:cs="Arial"/>
          <w:sz w:val="24"/>
          <w:szCs w:val="24"/>
        </w:rPr>
        <w:t xml:space="preserve"> </w:t>
      </w:r>
      <w:r w:rsidRPr="007B5B0C">
        <w:rPr>
          <w:rFonts w:ascii="Arial" w:hAnsi="Arial" w:cs="Arial"/>
          <w:color w:val="000000" w:themeColor="text1"/>
          <w:sz w:val="24"/>
          <w:szCs w:val="24"/>
        </w:rPr>
        <w:t>has a few limitations.</w:t>
      </w:r>
      <w:r w:rsidR="004115A1">
        <w:rPr>
          <w:rFonts w:ascii="Arial" w:hAnsi="Arial" w:cs="Arial"/>
          <w:color w:val="000000" w:themeColor="text1"/>
          <w:sz w:val="24"/>
          <w:szCs w:val="24"/>
        </w:rPr>
        <w:t xml:space="preserve"> A</w:t>
      </w:r>
      <w:r>
        <w:rPr>
          <w:rFonts w:ascii="Arial" w:hAnsi="Arial" w:cs="Arial"/>
          <w:color w:val="000000" w:themeColor="text1"/>
          <w:sz w:val="24"/>
          <w:szCs w:val="24"/>
        </w:rPr>
        <w:t xml:space="preserve"> good-quality</w:t>
      </w:r>
      <w:r w:rsidRPr="007B5B0C">
        <w:rPr>
          <w:rFonts w:ascii="Arial" w:hAnsi="Arial" w:cs="Arial"/>
          <w:color w:val="000000" w:themeColor="text1"/>
          <w:sz w:val="24"/>
          <w:szCs w:val="24"/>
        </w:rPr>
        <w:t xml:space="preserve"> angiographic image</w:t>
      </w:r>
      <w:r w:rsidR="004115A1">
        <w:rPr>
          <w:rFonts w:ascii="Arial" w:hAnsi="Arial" w:cs="Arial"/>
          <w:color w:val="000000" w:themeColor="text1"/>
          <w:sz w:val="24"/>
          <w:szCs w:val="24"/>
        </w:rPr>
        <w:t xml:space="preserve"> is necessary</w:t>
      </w:r>
      <w:r w:rsidRPr="007B5B0C">
        <w:rPr>
          <w:rFonts w:ascii="Arial" w:hAnsi="Arial" w:cs="Arial"/>
          <w:color w:val="000000" w:themeColor="text1"/>
          <w:sz w:val="24"/>
          <w:szCs w:val="24"/>
        </w:rPr>
        <w:t xml:space="preserve"> to provide an accurate vFFR value. Aorto-ostial, branch ostial and left main stem (LMS) lesions are challenging to model. </w:t>
      </w:r>
      <w:r>
        <w:rPr>
          <w:rFonts w:ascii="Arial" w:hAnsi="Arial" w:cs="Arial"/>
          <w:color w:val="000000" w:themeColor="text1"/>
          <w:sz w:val="24"/>
          <w:szCs w:val="24"/>
        </w:rPr>
        <w:t xml:space="preserve">The </w:t>
      </w:r>
      <w:r w:rsidRPr="007B5B0C">
        <w:rPr>
          <w:rFonts w:ascii="Arial" w:hAnsi="Arial" w:cs="Arial"/>
          <w:color w:val="000000" w:themeColor="text1"/>
          <w:sz w:val="24"/>
          <w:szCs w:val="24"/>
        </w:rPr>
        <w:t>software</w:t>
      </w:r>
      <w:r w:rsidR="000D5771">
        <w:rPr>
          <w:rFonts w:ascii="Arial" w:hAnsi="Arial" w:cs="Arial"/>
          <w:color w:val="000000" w:themeColor="text1"/>
          <w:sz w:val="24"/>
          <w:szCs w:val="24"/>
        </w:rPr>
        <w:t xml:space="preserve"> </w:t>
      </w:r>
      <w:r w:rsidRPr="007B5B0C">
        <w:rPr>
          <w:rFonts w:ascii="Arial" w:hAnsi="Arial" w:cs="Arial"/>
          <w:color w:val="000000" w:themeColor="text1"/>
          <w:sz w:val="24"/>
          <w:szCs w:val="24"/>
        </w:rPr>
        <w:t>requires meticulous training</w:t>
      </w:r>
      <w:r>
        <w:rPr>
          <w:rFonts w:ascii="Arial" w:hAnsi="Arial" w:cs="Arial"/>
          <w:color w:val="000000" w:themeColor="text1"/>
          <w:sz w:val="24"/>
          <w:szCs w:val="24"/>
        </w:rPr>
        <w:t xml:space="preserve"> </w:t>
      </w:r>
      <w:r w:rsidRPr="007B5B0C">
        <w:rPr>
          <w:rFonts w:ascii="Arial" w:hAnsi="Arial" w:cs="Arial"/>
          <w:color w:val="000000" w:themeColor="text1"/>
          <w:sz w:val="24"/>
          <w:szCs w:val="24"/>
        </w:rPr>
        <w:t>to reduce the</w:t>
      </w:r>
      <w:r>
        <w:rPr>
          <w:rFonts w:ascii="Arial" w:hAnsi="Arial" w:cs="Arial"/>
          <w:color w:val="000000" w:themeColor="text1"/>
          <w:sz w:val="24"/>
          <w:szCs w:val="24"/>
        </w:rPr>
        <w:t xml:space="preserve"> interobserver</w:t>
      </w:r>
      <w:r w:rsidRPr="007B5B0C">
        <w:rPr>
          <w:rFonts w:ascii="Arial" w:hAnsi="Arial" w:cs="Arial"/>
          <w:color w:val="000000" w:themeColor="text1"/>
          <w:sz w:val="24"/>
          <w:szCs w:val="24"/>
        </w:rPr>
        <w:t xml:space="preserve"> bias, as in a study, expert re-analysis of the results led to a change in vFFR values, altering the management plan in 37% of cases. (159) Moreover,</w:t>
      </w:r>
      <w:r>
        <w:rPr>
          <w:rFonts w:ascii="Arial" w:hAnsi="Arial" w:cs="Arial"/>
          <w:color w:val="000000" w:themeColor="text1"/>
          <w:sz w:val="24"/>
          <w:szCs w:val="24"/>
        </w:rPr>
        <w:t xml:space="preserve"> there is</w:t>
      </w:r>
      <w:r w:rsidRPr="007B5B0C">
        <w:rPr>
          <w:rFonts w:ascii="Arial" w:hAnsi="Arial" w:cs="Arial"/>
          <w:color w:val="000000" w:themeColor="text1"/>
          <w:sz w:val="24"/>
          <w:szCs w:val="24"/>
        </w:rPr>
        <w:t xml:space="preserve"> </w:t>
      </w:r>
      <w:r w:rsidR="00C61BE4">
        <w:rPr>
          <w:rFonts w:ascii="Arial" w:hAnsi="Arial" w:cs="Arial"/>
          <w:color w:val="000000" w:themeColor="text1"/>
          <w:sz w:val="24"/>
          <w:szCs w:val="24"/>
        </w:rPr>
        <w:t xml:space="preserve">a </w:t>
      </w:r>
      <w:r w:rsidRPr="007B5B0C">
        <w:rPr>
          <w:rFonts w:ascii="Arial" w:hAnsi="Arial" w:cs="Arial"/>
          <w:color w:val="000000" w:themeColor="text1"/>
          <w:sz w:val="24"/>
          <w:szCs w:val="24"/>
        </w:rPr>
        <w:t xml:space="preserve">theoretical assumption </w:t>
      </w:r>
      <w:r>
        <w:rPr>
          <w:rFonts w:ascii="Arial" w:hAnsi="Arial" w:cs="Arial"/>
          <w:color w:val="000000" w:themeColor="text1"/>
          <w:sz w:val="24"/>
          <w:szCs w:val="24"/>
        </w:rPr>
        <w:t>that the</w:t>
      </w:r>
      <w:r w:rsidRPr="007B5B0C">
        <w:rPr>
          <w:rFonts w:ascii="Arial" w:hAnsi="Arial" w:cs="Arial"/>
          <w:color w:val="000000" w:themeColor="text1"/>
          <w:sz w:val="24"/>
          <w:szCs w:val="24"/>
        </w:rPr>
        <w:t xml:space="preserve"> microvascular resistance remain</w:t>
      </w:r>
      <w:r>
        <w:rPr>
          <w:rFonts w:ascii="Arial" w:hAnsi="Arial" w:cs="Arial"/>
          <w:color w:val="000000" w:themeColor="text1"/>
          <w:sz w:val="24"/>
          <w:szCs w:val="24"/>
        </w:rPr>
        <w:t>s</w:t>
      </w:r>
      <w:r w:rsidRPr="007B5B0C">
        <w:rPr>
          <w:rFonts w:ascii="Arial" w:hAnsi="Arial" w:cs="Arial"/>
          <w:color w:val="000000" w:themeColor="text1"/>
          <w:sz w:val="24"/>
          <w:szCs w:val="24"/>
        </w:rPr>
        <w:t xml:space="preserve"> constant. However, the microvascular response is patient-specific and may be affected by fluid status, blood pressure, and heart rate. (92) There is a limitation to modelling very severe lesions closer to a pixel width; however, there is no question that such tight lesions will be physiologically significant. (92</w:t>
      </w:r>
      <w:r>
        <w:rPr>
          <w:rFonts w:ascii="Arial" w:hAnsi="Arial" w:cs="Arial"/>
          <w:color w:val="000000" w:themeColor="text1"/>
          <w:sz w:val="24"/>
          <w:szCs w:val="24"/>
        </w:rPr>
        <w:t xml:space="preserve">, </w:t>
      </w:r>
      <w:r w:rsidRPr="007B5B0C">
        <w:rPr>
          <w:rFonts w:ascii="Arial" w:hAnsi="Arial" w:cs="Arial"/>
          <w:color w:val="000000" w:themeColor="text1"/>
          <w:sz w:val="24"/>
          <w:szCs w:val="24"/>
        </w:rPr>
        <w:t>146) In addition, if the offer is in the grey zone (between 0.75 and 0.85), there remains</w:t>
      </w:r>
      <w:r w:rsidR="00C61BE4">
        <w:rPr>
          <w:rFonts w:ascii="Arial" w:hAnsi="Arial" w:cs="Arial"/>
          <w:color w:val="000000" w:themeColor="text1"/>
          <w:sz w:val="24"/>
          <w:szCs w:val="24"/>
        </w:rPr>
        <w:t xml:space="preserve"> to be</w:t>
      </w:r>
      <w:r w:rsidRPr="007B5B0C">
        <w:rPr>
          <w:rFonts w:ascii="Arial" w:hAnsi="Arial" w:cs="Arial"/>
          <w:color w:val="000000" w:themeColor="text1"/>
          <w:sz w:val="24"/>
          <w:szCs w:val="24"/>
        </w:rPr>
        <w:t xml:space="preserve"> some doubt in the reliability of the results, and invasive FFR may be required. (92) In summary, vFFR has the potential to be an excellent tool for guiding revascularisation strategies as well as being a gatekeeper to invasive FFR, with further research underway to improve the method.</w:t>
      </w:r>
    </w:p>
    <w:p w14:paraId="048F6658" w14:textId="77777777" w:rsidR="004942B6" w:rsidRPr="00BC7800" w:rsidRDefault="004942B6" w:rsidP="004942B6">
      <w:pPr>
        <w:pStyle w:val="Heading2"/>
        <w:spacing w:line="360" w:lineRule="auto"/>
        <w:rPr>
          <w:rFonts w:ascii="Arial" w:hAnsi="Arial" w:cs="Arial"/>
          <w:color w:val="4472C4" w:themeColor="accent1"/>
          <w:sz w:val="28"/>
          <w:szCs w:val="28"/>
        </w:rPr>
      </w:pPr>
      <w:bookmarkStart w:id="356" w:name="_Toc171203862"/>
      <w:r w:rsidRPr="00BC7800">
        <w:rPr>
          <w:rFonts w:ascii="Arial" w:hAnsi="Arial" w:cs="Arial"/>
          <w:color w:val="4472C4" w:themeColor="accent1"/>
          <w:sz w:val="28"/>
          <w:szCs w:val="28"/>
        </w:rPr>
        <w:lastRenderedPageBreak/>
        <w:t>1.11 Health economics: why is it important for healthcare systems?</w:t>
      </w:r>
      <w:bookmarkEnd w:id="356"/>
    </w:p>
    <w:p w14:paraId="0C55FF16" w14:textId="3444F9AB" w:rsidR="004942B6" w:rsidRDefault="004942B6">
      <w:pPr>
        <w:spacing w:line="360" w:lineRule="auto"/>
        <w:jc w:val="both"/>
        <w:rPr>
          <w:rFonts w:ascii="Arial" w:hAnsi="Arial" w:cs="Arial"/>
          <w:sz w:val="24"/>
          <w:szCs w:val="24"/>
        </w:rPr>
      </w:pPr>
      <w:r w:rsidRPr="00404D6C">
        <w:rPr>
          <w:rFonts w:ascii="Arial" w:hAnsi="Arial" w:cs="Arial"/>
          <w:sz w:val="24"/>
          <w:szCs w:val="24"/>
        </w:rPr>
        <w:t xml:space="preserve">Health economics emerged as a sub-discipline of economics in the 1960s and is a tool to facilitate decision-making and provide a framework </w:t>
      </w:r>
      <w:r>
        <w:rPr>
          <w:rFonts w:ascii="Arial" w:hAnsi="Arial" w:cs="Arial"/>
          <w:sz w:val="24"/>
          <w:szCs w:val="24"/>
        </w:rPr>
        <w:t>for</w:t>
      </w:r>
      <w:r w:rsidRPr="00404D6C">
        <w:rPr>
          <w:rFonts w:ascii="Arial" w:hAnsi="Arial" w:cs="Arial"/>
          <w:sz w:val="24"/>
          <w:szCs w:val="24"/>
        </w:rPr>
        <w:t xml:space="preserve"> how finite public health resources could be allocated to provide the best possible healthcare whilst keeping the cost to the minimum. (160</w:t>
      </w:r>
      <w:r>
        <w:rPr>
          <w:rFonts w:ascii="Arial" w:hAnsi="Arial" w:cs="Arial"/>
          <w:sz w:val="24"/>
          <w:szCs w:val="24"/>
        </w:rPr>
        <w:t xml:space="preserve">, </w:t>
      </w:r>
      <w:r w:rsidRPr="00404D6C">
        <w:rPr>
          <w:rFonts w:ascii="Arial" w:hAnsi="Arial" w:cs="Arial"/>
          <w:sz w:val="24"/>
          <w:szCs w:val="24"/>
        </w:rPr>
        <w:t xml:space="preserve">161) Health economics is utilised to analyse the cost-effectiveness of any intervention or programme. (162) Owing to technological advancement and innovation, novel treatments must be frequently gauged against the current standards of care to assess if </w:t>
      </w:r>
      <w:r w:rsidR="00637060">
        <w:rPr>
          <w:rFonts w:ascii="Arial" w:hAnsi="Arial" w:cs="Arial"/>
          <w:sz w:val="24"/>
          <w:szCs w:val="24"/>
        </w:rPr>
        <w:t>the incremental benefits</w:t>
      </w:r>
      <w:r w:rsidR="00E32739">
        <w:rPr>
          <w:rFonts w:ascii="Arial" w:hAnsi="Arial" w:cs="Arial"/>
          <w:sz w:val="24"/>
          <w:szCs w:val="24"/>
        </w:rPr>
        <w:t xml:space="preserve"> </w:t>
      </w:r>
      <w:r w:rsidRPr="00404D6C">
        <w:rPr>
          <w:rFonts w:ascii="Arial" w:hAnsi="Arial" w:cs="Arial"/>
          <w:sz w:val="24"/>
          <w:szCs w:val="24"/>
        </w:rPr>
        <w:t xml:space="preserve">re worth the additional cost. A personalised and patient-centred approach has given importance to a standard measure, the quality-adjusted life year (QALY), universally used by health economists (see </w:t>
      </w:r>
      <w:r w:rsidR="00B30ECC">
        <w:rPr>
          <w:rFonts w:ascii="Arial" w:hAnsi="Arial" w:cs="Arial"/>
          <w:sz w:val="24"/>
          <w:szCs w:val="24"/>
        </w:rPr>
        <w:t>section 1.11.3)</w:t>
      </w:r>
      <w:r w:rsidRPr="00404D6C">
        <w:rPr>
          <w:rFonts w:ascii="Arial" w:hAnsi="Arial" w:cs="Arial"/>
          <w:sz w:val="24"/>
          <w:szCs w:val="24"/>
        </w:rPr>
        <w:t>. (161) Nevertheless, models for health economics evaluation have their weaknesses and hence require continuous analytical review for assessing the impact of society and reducing the ambiguity of the predicted outcome. (161)</w:t>
      </w:r>
    </w:p>
    <w:p w14:paraId="5A279C8C" w14:textId="77777777" w:rsidR="004942B6" w:rsidRPr="001D6986" w:rsidRDefault="004942B6" w:rsidP="00633EDB">
      <w:pPr>
        <w:pStyle w:val="Heading3"/>
        <w:spacing w:line="360" w:lineRule="auto"/>
        <w:rPr>
          <w:rFonts w:ascii="Arial" w:hAnsi="Arial" w:cs="Arial"/>
          <w:color w:val="4472C4" w:themeColor="accent1"/>
          <w:sz w:val="24"/>
          <w:szCs w:val="24"/>
        </w:rPr>
      </w:pPr>
    </w:p>
    <w:p w14:paraId="3CAD917C" w14:textId="77777777" w:rsidR="004942B6" w:rsidRPr="001D6986" w:rsidRDefault="004942B6" w:rsidP="00633EDB">
      <w:pPr>
        <w:pStyle w:val="Heading3"/>
        <w:spacing w:line="360" w:lineRule="auto"/>
        <w:rPr>
          <w:rFonts w:ascii="Arial" w:hAnsi="Arial" w:cs="Arial"/>
          <w:color w:val="4472C4" w:themeColor="accent1"/>
          <w:sz w:val="24"/>
          <w:szCs w:val="24"/>
        </w:rPr>
      </w:pPr>
      <w:bookmarkStart w:id="357" w:name="_Toc159613556"/>
      <w:bookmarkStart w:id="358" w:name="_Toc160981217"/>
      <w:bookmarkStart w:id="359" w:name="_Toc164676011"/>
      <w:bookmarkStart w:id="360" w:name="_Toc164680456"/>
      <w:bookmarkStart w:id="361" w:name="_Toc164681354"/>
      <w:bookmarkStart w:id="362" w:name="_Toc170075036"/>
      <w:bookmarkStart w:id="363" w:name="_Toc170076023"/>
      <w:bookmarkStart w:id="364" w:name="_Toc170577719"/>
      <w:bookmarkStart w:id="365" w:name="_Toc170579237"/>
      <w:bookmarkStart w:id="366" w:name="_Toc171203092"/>
      <w:bookmarkStart w:id="367" w:name="_Toc171203863"/>
      <w:r w:rsidRPr="001D6986">
        <w:rPr>
          <w:rFonts w:ascii="Arial" w:hAnsi="Arial" w:cs="Arial"/>
          <w:color w:val="4472C4" w:themeColor="accent1"/>
          <w:sz w:val="24"/>
          <w:szCs w:val="24"/>
        </w:rPr>
        <w:t>1.11.1 Why is health economics important?</w:t>
      </w:r>
      <w:bookmarkEnd w:id="357"/>
      <w:bookmarkEnd w:id="358"/>
      <w:bookmarkEnd w:id="359"/>
      <w:bookmarkEnd w:id="360"/>
      <w:bookmarkEnd w:id="361"/>
      <w:bookmarkEnd w:id="362"/>
      <w:bookmarkEnd w:id="363"/>
      <w:bookmarkEnd w:id="364"/>
      <w:bookmarkEnd w:id="365"/>
      <w:bookmarkEnd w:id="366"/>
      <w:bookmarkEnd w:id="367"/>
    </w:p>
    <w:p w14:paraId="69B307BA" w14:textId="38CCA745" w:rsidR="004942B6" w:rsidRPr="00A23AD9" w:rsidRDefault="004942B6" w:rsidP="00633EDB">
      <w:pPr>
        <w:spacing w:after="0" w:line="360" w:lineRule="auto"/>
        <w:jc w:val="both"/>
        <w:rPr>
          <w:rFonts w:ascii="Arial" w:eastAsia="Times New Roman" w:hAnsi="Arial" w:cs="Arial"/>
          <w:color w:val="0E101A"/>
          <w:sz w:val="24"/>
          <w:szCs w:val="24"/>
          <w:lang w:eastAsia="en-GB"/>
          <w14:ligatures w14:val="none"/>
        </w:rPr>
      </w:pPr>
      <w:r w:rsidRPr="00A23AD9">
        <w:rPr>
          <w:rFonts w:ascii="Arial" w:eastAsia="Times New Roman" w:hAnsi="Arial" w:cs="Arial"/>
          <w:color w:val="0E101A"/>
          <w:sz w:val="24"/>
          <w:szCs w:val="24"/>
          <w:lang w:eastAsia="en-GB"/>
          <w14:ligatures w14:val="none"/>
        </w:rPr>
        <w:t xml:space="preserve">In an era of rising healthcare expenditure costs, there is an ever-growing concern about the endurance of healthcare delivery systems worldwide. Consequently, governments around the world have placed a high priority on the healthcare budget, as well as economic considerations, when planning and evaluating their health systems. The United States (US) spent about $7960 per capita on healthcare in 2009, corresponding to 17.4% of its GDP (gross domestic product), and it is estimated to rise to 4% annually. (163) Health economic evaluation is </w:t>
      </w:r>
      <w:r>
        <w:rPr>
          <w:rFonts w:ascii="Arial" w:eastAsia="Times New Roman" w:hAnsi="Arial" w:cs="Arial"/>
          <w:color w:val="0E101A"/>
          <w:sz w:val="24"/>
          <w:szCs w:val="24"/>
          <w:lang w:eastAsia="en-GB"/>
          <w14:ligatures w14:val="none"/>
        </w:rPr>
        <w:t>necessary</w:t>
      </w:r>
      <w:r w:rsidRPr="00A23AD9">
        <w:rPr>
          <w:rFonts w:ascii="Arial" w:eastAsia="Times New Roman" w:hAnsi="Arial" w:cs="Arial"/>
          <w:color w:val="0E101A"/>
          <w:sz w:val="24"/>
          <w:szCs w:val="24"/>
          <w:lang w:eastAsia="en-GB"/>
          <w14:ligatures w14:val="none"/>
        </w:rPr>
        <w:t xml:space="preserve"> to appraise critically the available therapeutic interventions and treatment options and to ensure that the most cost-effective management protocols are implemented. The goal of health economics is to determine the benefit received from the resources utilised to execute a healthcare programme or any intervention. It also aids in evaluating the “opportunity cost”, which refers to the evaluation of benefits reaped from taking an alternative utility of those resources. </w:t>
      </w:r>
    </w:p>
    <w:p w14:paraId="1FF23944" w14:textId="49943EF8" w:rsidR="00A47A47" w:rsidRDefault="004942B6" w:rsidP="00A47A47">
      <w:pPr>
        <w:spacing w:after="0" w:line="360" w:lineRule="auto"/>
        <w:jc w:val="both"/>
        <w:rPr>
          <w:rFonts w:ascii="Arial" w:eastAsia="Times New Roman" w:hAnsi="Arial" w:cs="Arial"/>
          <w:color w:val="0E101A"/>
          <w:sz w:val="24"/>
          <w:szCs w:val="24"/>
          <w:lang w:eastAsia="en-GB"/>
          <w14:ligatures w14:val="none"/>
        </w:rPr>
      </w:pPr>
      <w:r w:rsidRPr="00A23AD9">
        <w:rPr>
          <w:rFonts w:ascii="Arial" w:eastAsia="Times New Roman" w:hAnsi="Arial" w:cs="Arial"/>
          <w:color w:val="0E101A"/>
          <w:sz w:val="24"/>
          <w:szCs w:val="24"/>
          <w:lang w:eastAsia="en-GB"/>
          <w14:ligatures w14:val="none"/>
        </w:rPr>
        <w:t>In summary, health economic evaluation results in</w:t>
      </w:r>
      <w:r w:rsidR="00A47A47">
        <w:rPr>
          <w:rFonts w:ascii="Arial" w:eastAsia="Times New Roman" w:hAnsi="Arial" w:cs="Arial"/>
          <w:color w:val="0E101A"/>
          <w:sz w:val="24"/>
          <w:szCs w:val="24"/>
          <w:lang w:eastAsia="en-GB"/>
          <w14:ligatures w14:val="none"/>
        </w:rPr>
        <w:t>:</w:t>
      </w:r>
    </w:p>
    <w:p w14:paraId="6C6BC483" w14:textId="3D667DBB" w:rsidR="004942B6" w:rsidRPr="00A47A47" w:rsidRDefault="004942B6" w:rsidP="00E50651">
      <w:pPr>
        <w:pStyle w:val="ListParagraph"/>
        <w:numPr>
          <w:ilvl w:val="0"/>
          <w:numId w:val="31"/>
        </w:numPr>
        <w:spacing w:after="0" w:line="360" w:lineRule="auto"/>
        <w:jc w:val="both"/>
        <w:rPr>
          <w:rFonts w:ascii="Arial" w:eastAsia="Times New Roman" w:hAnsi="Arial" w:cs="Arial"/>
          <w:color w:val="0E101A"/>
          <w:sz w:val="24"/>
          <w:szCs w:val="24"/>
          <w:lang w:eastAsia="en-GB"/>
          <w14:ligatures w14:val="none"/>
        </w:rPr>
      </w:pPr>
      <w:r w:rsidRPr="00A47A47">
        <w:rPr>
          <w:rFonts w:ascii="Arial" w:eastAsia="Times New Roman" w:hAnsi="Arial" w:cs="Arial"/>
          <w:color w:val="0E101A"/>
          <w:sz w:val="24"/>
          <w:szCs w:val="24"/>
          <w:lang w:eastAsia="en-GB"/>
          <w14:ligatures w14:val="none"/>
        </w:rPr>
        <w:t>Assessment of the available financial resources. </w:t>
      </w:r>
    </w:p>
    <w:p w14:paraId="7D5ED87C" w14:textId="5C93BA9C" w:rsidR="004942B6" w:rsidRPr="00A23AD9" w:rsidRDefault="004942B6" w:rsidP="00C03BCF">
      <w:pPr>
        <w:numPr>
          <w:ilvl w:val="0"/>
          <w:numId w:val="10"/>
        </w:numPr>
        <w:spacing w:after="0" w:line="360" w:lineRule="auto"/>
        <w:jc w:val="both"/>
        <w:rPr>
          <w:rFonts w:ascii="Arial" w:eastAsia="Times New Roman" w:hAnsi="Arial" w:cs="Arial"/>
          <w:color w:val="0E101A"/>
          <w:sz w:val="24"/>
          <w:szCs w:val="24"/>
          <w:lang w:eastAsia="en-GB"/>
          <w14:ligatures w14:val="none"/>
        </w:rPr>
      </w:pPr>
      <w:r w:rsidRPr="00A23AD9">
        <w:rPr>
          <w:rFonts w:ascii="Arial" w:eastAsia="Times New Roman" w:hAnsi="Arial" w:cs="Arial"/>
          <w:color w:val="0E101A"/>
          <w:sz w:val="24"/>
          <w:szCs w:val="24"/>
          <w:lang w:eastAsia="en-GB"/>
          <w14:ligatures w14:val="none"/>
        </w:rPr>
        <w:t>Estimating total QALYs gained with a particular intervention.</w:t>
      </w:r>
    </w:p>
    <w:p w14:paraId="3AA419D6" w14:textId="77777777" w:rsidR="004942B6" w:rsidRPr="00A23AD9" w:rsidRDefault="004942B6" w:rsidP="00C03BCF">
      <w:pPr>
        <w:numPr>
          <w:ilvl w:val="0"/>
          <w:numId w:val="10"/>
        </w:numPr>
        <w:spacing w:after="0" w:line="360" w:lineRule="auto"/>
        <w:jc w:val="both"/>
        <w:rPr>
          <w:rFonts w:ascii="Arial" w:eastAsia="Times New Roman" w:hAnsi="Arial" w:cs="Arial"/>
          <w:color w:val="0E101A"/>
          <w:sz w:val="24"/>
          <w:szCs w:val="24"/>
          <w:lang w:eastAsia="en-GB"/>
          <w14:ligatures w14:val="none"/>
        </w:rPr>
      </w:pPr>
      <w:r w:rsidRPr="00A23AD9">
        <w:rPr>
          <w:rFonts w:ascii="Arial" w:eastAsia="Times New Roman" w:hAnsi="Arial" w:cs="Arial"/>
          <w:color w:val="0E101A"/>
          <w:sz w:val="24"/>
          <w:szCs w:val="24"/>
          <w:lang w:eastAsia="en-GB"/>
          <w14:ligatures w14:val="none"/>
        </w:rPr>
        <w:t>Efficacy of the achieved benefits of the resources utilised.</w:t>
      </w:r>
    </w:p>
    <w:p w14:paraId="44800C45" w14:textId="77777777" w:rsidR="004942B6" w:rsidRPr="00A23AD9" w:rsidRDefault="004942B6" w:rsidP="00C03BCF">
      <w:pPr>
        <w:numPr>
          <w:ilvl w:val="0"/>
          <w:numId w:val="10"/>
        </w:numPr>
        <w:spacing w:after="0" w:line="360" w:lineRule="auto"/>
        <w:jc w:val="both"/>
        <w:rPr>
          <w:rFonts w:ascii="Arial" w:eastAsia="Times New Roman" w:hAnsi="Arial" w:cs="Arial"/>
          <w:color w:val="0E101A"/>
          <w:sz w:val="24"/>
          <w:szCs w:val="24"/>
          <w:lang w:eastAsia="en-GB"/>
          <w14:ligatures w14:val="none"/>
        </w:rPr>
      </w:pPr>
      <w:r w:rsidRPr="00A23AD9">
        <w:rPr>
          <w:rFonts w:ascii="Arial" w:eastAsia="Times New Roman" w:hAnsi="Arial" w:cs="Arial"/>
          <w:color w:val="0E101A"/>
          <w:sz w:val="24"/>
          <w:szCs w:val="24"/>
          <w:lang w:eastAsia="en-GB"/>
          <w14:ligatures w14:val="none"/>
        </w:rPr>
        <w:lastRenderedPageBreak/>
        <w:t>Develop unequivocal methodologies for policymaking and strategise priorities.</w:t>
      </w:r>
    </w:p>
    <w:p w14:paraId="7F63919F" w14:textId="77777777" w:rsidR="004942B6" w:rsidRPr="00A23AD9" w:rsidRDefault="004942B6" w:rsidP="00C03BCF">
      <w:pPr>
        <w:numPr>
          <w:ilvl w:val="0"/>
          <w:numId w:val="10"/>
        </w:numPr>
        <w:spacing w:after="0" w:line="360" w:lineRule="auto"/>
        <w:jc w:val="both"/>
        <w:rPr>
          <w:rFonts w:ascii="Arial" w:eastAsia="Times New Roman" w:hAnsi="Arial" w:cs="Arial"/>
          <w:color w:val="0E101A"/>
          <w:sz w:val="24"/>
          <w:szCs w:val="24"/>
          <w:lang w:eastAsia="en-GB"/>
          <w14:ligatures w14:val="none"/>
        </w:rPr>
      </w:pPr>
      <w:r w:rsidRPr="00A23AD9">
        <w:rPr>
          <w:rFonts w:ascii="Arial" w:eastAsia="Times New Roman" w:hAnsi="Arial" w:cs="Arial"/>
          <w:color w:val="0E101A"/>
          <w:sz w:val="24"/>
          <w:szCs w:val="24"/>
          <w:lang w:eastAsia="en-GB"/>
          <w14:ligatures w14:val="none"/>
        </w:rPr>
        <w:t>Financial appraisal on the impacts of the intended healthcare policy.</w:t>
      </w:r>
    </w:p>
    <w:p w14:paraId="29D689CF" w14:textId="77777777" w:rsidR="004942B6" w:rsidRPr="00A23AD9" w:rsidRDefault="004942B6" w:rsidP="00C03BCF">
      <w:pPr>
        <w:numPr>
          <w:ilvl w:val="0"/>
          <w:numId w:val="10"/>
        </w:numPr>
        <w:spacing w:after="0" w:line="360" w:lineRule="auto"/>
        <w:jc w:val="both"/>
        <w:rPr>
          <w:rFonts w:ascii="Arial" w:eastAsia="Times New Roman" w:hAnsi="Arial" w:cs="Arial"/>
          <w:color w:val="0E101A"/>
          <w:sz w:val="24"/>
          <w:szCs w:val="24"/>
          <w:lang w:eastAsia="en-GB"/>
          <w14:ligatures w14:val="none"/>
        </w:rPr>
      </w:pPr>
      <w:r w:rsidRPr="00A23AD9">
        <w:rPr>
          <w:rFonts w:ascii="Arial" w:eastAsia="Times New Roman" w:hAnsi="Arial" w:cs="Arial"/>
          <w:color w:val="0E101A"/>
          <w:sz w:val="24"/>
          <w:szCs w:val="24"/>
          <w:lang w:eastAsia="en-GB"/>
          <w14:ligatures w14:val="none"/>
        </w:rPr>
        <w:t>Comparing those policies or programmes to other initiatives.</w:t>
      </w:r>
    </w:p>
    <w:p w14:paraId="26718638" w14:textId="77777777" w:rsidR="004942B6" w:rsidRPr="00A23AD9" w:rsidRDefault="004942B6" w:rsidP="00C03BCF">
      <w:pPr>
        <w:numPr>
          <w:ilvl w:val="0"/>
          <w:numId w:val="10"/>
        </w:numPr>
        <w:spacing w:after="0" w:line="360" w:lineRule="auto"/>
        <w:jc w:val="both"/>
        <w:rPr>
          <w:rFonts w:ascii="Arial" w:eastAsia="Times New Roman" w:hAnsi="Arial" w:cs="Arial"/>
          <w:color w:val="0E101A"/>
          <w:sz w:val="24"/>
          <w:szCs w:val="24"/>
          <w:lang w:eastAsia="en-GB"/>
          <w14:ligatures w14:val="none"/>
        </w:rPr>
      </w:pPr>
      <w:r w:rsidRPr="00A23AD9">
        <w:rPr>
          <w:rFonts w:ascii="Arial" w:eastAsia="Times New Roman" w:hAnsi="Arial" w:cs="Arial"/>
          <w:color w:val="0E101A"/>
          <w:sz w:val="24"/>
          <w:szCs w:val="24"/>
          <w:lang w:eastAsia="en-GB"/>
          <w14:ligatures w14:val="none"/>
        </w:rPr>
        <w:t>Ensuring that the current spending is in alignment with the proposed government policies.</w:t>
      </w:r>
    </w:p>
    <w:p w14:paraId="6C36D8C6" w14:textId="57FB7926" w:rsidR="004942B6" w:rsidRPr="00A23AD9" w:rsidRDefault="004942B6" w:rsidP="00C03BCF">
      <w:pPr>
        <w:numPr>
          <w:ilvl w:val="0"/>
          <w:numId w:val="10"/>
        </w:numPr>
        <w:spacing w:after="0" w:line="360" w:lineRule="auto"/>
        <w:jc w:val="both"/>
        <w:rPr>
          <w:rFonts w:ascii="Arial" w:eastAsia="Times New Roman" w:hAnsi="Arial" w:cs="Arial"/>
          <w:color w:val="0E101A"/>
          <w:sz w:val="24"/>
          <w:szCs w:val="24"/>
          <w:lang w:eastAsia="en-GB"/>
          <w14:ligatures w14:val="none"/>
        </w:rPr>
      </w:pPr>
      <w:r w:rsidRPr="00A23AD9">
        <w:rPr>
          <w:rFonts w:ascii="Arial" w:eastAsia="Times New Roman" w:hAnsi="Arial" w:cs="Arial"/>
          <w:color w:val="0E101A"/>
          <w:sz w:val="24"/>
          <w:szCs w:val="24"/>
          <w:lang w:eastAsia="en-GB"/>
          <w14:ligatures w14:val="none"/>
        </w:rPr>
        <w:t>Identifying additional strategical tactics which may lead to comparable outcomes.</w:t>
      </w:r>
      <w:r w:rsidR="00A47A47">
        <w:rPr>
          <w:rFonts w:ascii="Arial" w:eastAsia="Times New Roman" w:hAnsi="Arial" w:cs="Arial"/>
          <w:color w:val="0E101A"/>
          <w:sz w:val="24"/>
          <w:szCs w:val="24"/>
          <w:lang w:eastAsia="en-GB"/>
          <w14:ligatures w14:val="none"/>
        </w:rPr>
        <w:t xml:space="preserve"> (164)</w:t>
      </w:r>
    </w:p>
    <w:p w14:paraId="0F271A3F" w14:textId="77777777" w:rsidR="004942B6" w:rsidRDefault="004942B6" w:rsidP="004942B6">
      <w:pPr>
        <w:spacing w:line="360" w:lineRule="auto"/>
        <w:jc w:val="both"/>
        <w:rPr>
          <w:rFonts w:ascii="Arial" w:hAnsi="Arial" w:cs="Arial"/>
          <w:color w:val="000000" w:themeColor="text1"/>
          <w:sz w:val="24"/>
          <w:szCs w:val="24"/>
          <w:shd w:val="clear" w:color="auto" w:fill="FFFFFF"/>
        </w:rPr>
      </w:pPr>
    </w:p>
    <w:p w14:paraId="6A268F2B" w14:textId="77777777" w:rsidR="004942B6" w:rsidRPr="001D6986" w:rsidRDefault="004942B6" w:rsidP="004942B6">
      <w:pPr>
        <w:pStyle w:val="Heading3"/>
        <w:spacing w:line="360" w:lineRule="auto"/>
        <w:rPr>
          <w:rFonts w:ascii="Arial" w:hAnsi="Arial" w:cs="Arial"/>
          <w:color w:val="4472C4" w:themeColor="accent1"/>
          <w:sz w:val="24"/>
          <w:szCs w:val="24"/>
        </w:rPr>
      </w:pPr>
      <w:bookmarkStart w:id="368" w:name="_Toc159613557"/>
      <w:bookmarkStart w:id="369" w:name="_Toc160981218"/>
      <w:bookmarkStart w:id="370" w:name="_Toc164676012"/>
      <w:bookmarkStart w:id="371" w:name="_Toc164680457"/>
      <w:bookmarkStart w:id="372" w:name="_Toc164681355"/>
      <w:bookmarkStart w:id="373" w:name="_Toc170075037"/>
      <w:bookmarkStart w:id="374" w:name="_Toc170076024"/>
      <w:bookmarkStart w:id="375" w:name="_Toc170577720"/>
      <w:bookmarkStart w:id="376" w:name="_Toc170579238"/>
      <w:bookmarkStart w:id="377" w:name="_Toc171203093"/>
      <w:bookmarkStart w:id="378" w:name="_Toc171203864"/>
      <w:r w:rsidRPr="001D6986">
        <w:rPr>
          <w:rFonts w:ascii="Arial" w:hAnsi="Arial" w:cs="Arial"/>
          <w:color w:val="4472C4" w:themeColor="accent1"/>
          <w:sz w:val="24"/>
          <w:szCs w:val="24"/>
        </w:rPr>
        <w:t>1.11.2 Methods of health economics evaluation</w:t>
      </w:r>
      <w:bookmarkEnd w:id="368"/>
      <w:bookmarkEnd w:id="369"/>
      <w:bookmarkEnd w:id="370"/>
      <w:bookmarkEnd w:id="371"/>
      <w:bookmarkEnd w:id="372"/>
      <w:bookmarkEnd w:id="373"/>
      <w:bookmarkEnd w:id="374"/>
      <w:bookmarkEnd w:id="375"/>
      <w:bookmarkEnd w:id="376"/>
      <w:bookmarkEnd w:id="377"/>
      <w:bookmarkEnd w:id="378"/>
    </w:p>
    <w:p w14:paraId="644F4BDF" w14:textId="77777777" w:rsidR="004942B6" w:rsidRPr="00C74A14" w:rsidRDefault="004942B6" w:rsidP="004942B6">
      <w:pPr>
        <w:spacing w:after="0" w:line="360" w:lineRule="auto"/>
        <w:jc w:val="both"/>
        <w:rPr>
          <w:rFonts w:ascii="Arial" w:eastAsia="Times New Roman" w:hAnsi="Arial" w:cs="Arial"/>
          <w:color w:val="0E101A"/>
          <w:sz w:val="24"/>
          <w:szCs w:val="24"/>
          <w:lang w:eastAsia="en-GB"/>
          <w14:ligatures w14:val="none"/>
        </w:rPr>
      </w:pPr>
      <w:r w:rsidRPr="00C74A14">
        <w:rPr>
          <w:rFonts w:ascii="Arial" w:eastAsia="Times New Roman" w:hAnsi="Arial" w:cs="Arial"/>
          <w:color w:val="0E101A"/>
          <w:sz w:val="24"/>
          <w:szCs w:val="24"/>
          <w:lang w:eastAsia="en-GB"/>
          <w14:ligatures w14:val="none"/>
        </w:rPr>
        <w:t>Health economics evaluation is performed using various economic tools, which include:</w:t>
      </w:r>
    </w:p>
    <w:p w14:paraId="511E8F64" w14:textId="77777777" w:rsidR="004942B6" w:rsidRPr="00C74A14" w:rsidRDefault="004942B6" w:rsidP="00C03BCF">
      <w:pPr>
        <w:numPr>
          <w:ilvl w:val="0"/>
          <w:numId w:val="11"/>
        </w:numPr>
        <w:spacing w:after="0" w:line="360" w:lineRule="auto"/>
        <w:jc w:val="both"/>
        <w:rPr>
          <w:rFonts w:ascii="Arial" w:eastAsia="Times New Roman" w:hAnsi="Arial" w:cs="Arial"/>
          <w:color w:val="0E101A"/>
          <w:sz w:val="24"/>
          <w:szCs w:val="24"/>
          <w:lang w:eastAsia="en-GB"/>
          <w14:ligatures w14:val="none"/>
        </w:rPr>
      </w:pPr>
      <w:r w:rsidRPr="00C74A14">
        <w:rPr>
          <w:rFonts w:ascii="Arial" w:eastAsia="Times New Roman" w:hAnsi="Arial" w:cs="Arial"/>
          <w:b/>
          <w:bCs/>
          <w:color w:val="0E101A"/>
          <w:sz w:val="24"/>
          <w:szCs w:val="24"/>
          <w:lang w:eastAsia="en-GB"/>
          <w14:ligatures w14:val="none"/>
        </w:rPr>
        <w:t>Cost-minimisation analysis (CMA)</w:t>
      </w:r>
      <w:r w:rsidRPr="00C74A14">
        <w:rPr>
          <w:rFonts w:ascii="Arial" w:eastAsia="Times New Roman" w:hAnsi="Arial" w:cs="Arial"/>
          <w:color w:val="0E101A"/>
          <w:sz w:val="24"/>
          <w:szCs w:val="24"/>
          <w:lang w:eastAsia="en-GB"/>
          <w14:ligatures w14:val="none"/>
        </w:rPr>
        <w:t> – evaluates the cost difference between two interventions for a similar outcome.</w:t>
      </w:r>
    </w:p>
    <w:p w14:paraId="1C6FBFF4" w14:textId="77777777" w:rsidR="004942B6" w:rsidRPr="00C74A14" w:rsidRDefault="004942B6" w:rsidP="00C03BCF">
      <w:pPr>
        <w:numPr>
          <w:ilvl w:val="0"/>
          <w:numId w:val="11"/>
        </w:numPr>
        <w:spacing w:after="0" w:line="360" w:lineRule="auto"/>
        <w:jc w:val="both"/>
        <w:rPr>
          <w:rFonts w:ascii="Arial" w:eastAsia="Times New Roman" w:hAnsi="Arial" w:cs="Arial"/>
          <w:color w:val="0E101A"/>
          <w:sz w:val="24"/>
          <w:szCs w:val="24"/>
          <w:lang w:eastAsia="en-GB"/>
          <w14:ligatures w14:val="none"/>
        </w:rPr>
      </w:pPr>
      <w:r w:rsidRPr="00C74A14">
        <w:rPr>
          <w:rFonts w:ascii="Arial" w:eastAsia="Times New Roman" w:hAnsi="Arial" w:cs="Arial"/>
          <w:b/>
          <w:bCs/>
          <w:color w:val="0E101A"/>
          <w:sz w:val="24"/>
          <w:szCs w:val="24"/>
          <w:lang w:eastAsia="en-GB"/>
          <w14:ligatures w14:val="none"/>
        </w:rPr>
        <w:t>Cost-effectiveness analysis (CEA)</w:t>
      </w:r>
      <w:r w:rsidRPr="00C74A14">
        <w:rPr>
          <w:rFonts w:ascii="Arial" w:eastAsia="Times New Roman" w:hAnsi="Arial" w:cs="Arial"/>
          <w:color w:val="0E101A"/>
          <w:sz w:val="24"/>
          <w:szCs w:val="24"/>
          <w:lang w:eastAsia="en-GB"/>
          <w14:ligatures w14:val="none"/>
        </w:rPr>
        <w:t> estimates the costs and outcomes of alternative interventions using outcomes in “natural units, " including life-years gained, complications avoided, symptom-free days or cases diagnosed. </w:t>
      </w:r>
    </w:p>
    <w:p w14:paraId="0623B834" w14:textId="77777777" w:rsidR="004942B6" w:rsidRPr="00C74A14" w:rsidRDefault="004942B6" w:rsidP="00C03BCF">
      <w:pPr>
        <w:numPr>
          <w:ilvl w:val="0"/>
          <w:numId w:val="11"/>
        </w:numPr>
        <w:spacing w:after="0" w:line="360" w:lineRule="auto"/>
        <w:jc w:val="both"/>
        <w:rPr>
          <w:rFonts w:ascii="Arial" w:eastAsia="Times New Roman" w:hAnsi="Arial" w:cs="Arial"/>
          <w:color w:val="0E101A"/>
          <w:sz w:val="24"/>
          <w:szCs w:val="24"/>
          <w:lang w:eastAsia="en-GB"/>
          <w14:ligatures w14:val="none"/>
        </w:rPr>
      </w:pPr>
      <w:r w:rsidRPr="00C74A14">
        <w:rPr>
          <w:rFonts w:ascii="Arial" w:eastAsia="Times New Roman" w:hAnsi="Arial" w:cs="Arial"/>
          <w:b/>
          <w:bCs/>
          <w:color w:val="0E101A"/>
          <w:sz w:val="24"/>
          <w:szCs w:val="24"/>
          <w:lang w:eastAsia="en-GB"/>
          <w14:ligatures w14:val="none"/>
        </w:rPr>
        <w:t>Cost-utility analysis (CUA)</w:t>
      </w:r>
      <w:r w:rsidRPr="00C74A14">
        <w:rPr>
          <w:rFonts w:ascii="Arial" w:eastAsia="Times New Roman" w:hAnsi="Arial" w:cs="Arial"/>
          <w:color w:val="0E101A"/>
          <w:sz w:val="24"/>
          <w:szCs w:val="24"/>
          <w:lang w:eastAsia="en-GB"/>
          <w14:ligatures w14:val="none"/>
        </w:rPr>
        <w:t> – focuses on the estimation of patients’ preference for being in a particular health state, referred to as utility score (between 0-1), with the outcome reported as quality-adjusted life years (QALY)</w:t>
      </w:r>
    </w:p>
    <w:p w14:paraId="235E5E16" w14:textId="77777777" w:rsidR="004942B6" w:rsidRPr="009B301E" w:rsidRDefault="004942B6" w:rsidP="00C03BCF">
      <w:pPr>
        <w:numPr>
          <w:ilvl w:val="0"/>
          <w:numId w:val="11"/>
        </w:numPr>
        <w:spacing w:after="0" w:line="360" w:lineRule="auto"/>
        <w:jc w:val="both"/>
        <w:rPr>
          <w:rFonts w:ascii="Arial" w:eastAsia="Times New Roman" w:hAnsi="Arial" w:cs="Arial"/>
          <w:color w:val="0E101A"/>
          <w:sz w:val="24"/>
          <w:szCs w:val="24"/>
          <w:lang w:eastAsia="en-GB"/>
          <w14:ligatures w14:val="none"/>
        </w:rPr>
      </w:pPr>
      <w:r w:rsidRPr="00C74A14">
        <w:rPr>
          <w:rFonts w:ascii="Arial" w:eastAsia="Times New Roman" w:hAnsi="Arial" w:cs="Arial"/>
          <w:b/>
          <w:bCs/>
          <w:color w:val="0E101A"/>
          <w:sz w:val="24"/>
          <w:szCs w:val="24"/>
          <w:lang w:eastAsia="en-GB"/>
          <w14:ligatures w14:val="none"/>
        </w:rPr>
        <w:t>Cost-benefit analysis (CBA)</w:t>
      </w:r>
      <w:r w:rsidRPr="00C74A14">
        <w:rPr>
          <w:rFonts w:ascii="Arial" w:eastAsia="Times New Roman" w:hAnsi="Arial" w:cs="Arial"/>
          <w:color w:val="0E101A"/>
          <w:sz w:val="24"/>
          <w:szCs w:val="24"/>
          <w:lang w:eastAsia="en-GB"/>
          <w14:ligatures w14:val="none"/>
        </w:rPr>
        <w:t> – evaluates the outcomes of an intervention, which are estimated from a financial perspective.</w:t>
      </w:r>
    </w:p>
    <w:p w14:paraId="764C387F" w14:textId="77777777" w:rsidR="004942B6" w:rsidRDefault="004942B6" w:rsidP="00633EDB">
      <w:pPr>
        <w:pStyle w:val="Heading3"/>
        <w:spacing w:line="360" w:lineRule="auto"/>
        <w:rPr>
          <w:rFonts w:ascii="Arial" w:hAnsi="Arial" w:cs="Arial"/>
          <w:color w:val="auto"/>
        </w:rPr>
      </w:pPr>
    </w:p>
    <w:p w14:paraId="65205D6A" w14:textId="77777777" w:rsidR="004942B6" w:rsidRPr="001D6986" w:rsidRDefault="004942B6" w:rsidP="00633EDB">
      <w:pPr>
        <w:pStyle w:val="Heading3"/>
        <w:spacing w:line="360" w:lineRule="auto"/>
        <w:rPr>
          <w:rFonts w:ascii="Arial" w:hAnsi="Arial" w:cs="Arial"/>
          <w:color w:val="4472C4" w:themeColor="accent1"/>
          <w:sz w:val="24"/>
          <w:szCs w:val="24"/>
        </w:rPr>
      </w:pPr>
      <w:bookmarkStart w:id="379" w:name="_Toc159613558"/>
      <w:bookmarkStart w:id="380" w:name="_Toc160981219"/>
      <w:bookmarkStart w:id="381" w:name="_Toc164676013"/>
      <w:bookmarkStart w:id="382" w:name="_Toc164680458"/>
      <w:bookmarkStart w:id="383" w:name="_Toc164681356"/>
      <w:bookmarkStart w:id="384" w:name="_Toc170075038"/>
      <w:bookmarkStart w:id="385" w:name="_Toc170076025"/>
      <w:bookmarkStart w:id="386" w:name="_Toc170577721"/>
      <w:bookmarkStart w:id="387" w:name="_Toc170579239"/>
      <w:bookmarkStart w:id="388" w:name="_Toc171203094"/>
      <w:bookmarkStart w:id="389" w:name="_Toc171203865"/>
      <w:r w:rsidRPr="001D6986">
        <w:rPr>
          <w:rFonts w:ascii="Arial" w:hAnsi="Arial" w:cs="Arial"/>
          <w:color w:val="4472C4" w:themeColor="accent1"/>
          <w:sz w:val="24"/>
          <w:szCs w:val="24"/>
        </w:rPr>
        <w:t>1.11.3 Quality-adjusted life years (QALY)</w:t>
      </w:r>
      <w:bookmarkEnd w:id="379"/>
      <w:bookmarkEnd w:id="380"/>
      <w:bookmarkEnd w:id="381"/>
      <w:bookmarkEnd w:id="382"/>
      <w:bookmarkEnd w:id="383"/>
      <w:bookmarkEnd w:id="384"/>
      <w:bookmarkEnd w:id="385"/>
      <w:bookmarkEnd w:id="386"/>
      <w:bookmarkEnd w:id="387"/>
      <w:bookmarkEnd w:id="388"/>
      <w:bookmarkEnd w:id="389"/>
    </w:p>
    <w:p w14:paraId="25ACA053" w14:textId="77777777" w:rsidR="004942B6" w:rsidRDefault="004942B6" w:rsidP="00633EDB">
      <w:pPr>
        <w:spacing w:after="0" w:line="360" w:lineRule="auto"/>
        <w:jc w:val="both"/>
        <w:rPr>
          <w:rFonts w:ascii="Arial" w:eastAsia="Times New Roman" w:hAnsi="Arial" w:cs="Arial"/>
          <w:color w:val="0E101A"/>
          <w:sz w:val="24"/>
          <w:szCs w:val="24"/>
          <w:lang w:eastAsia="en-GB"/>
          <w14:ligatures w14:val="none"/>
        </w:rPr>
      </w:pPr>
      <w:r>
        <w:rPr>
          <w:rFonts w:ascii="Arial" w:eastAsia="Times New Roman" w:hAnsi="Arial" w:cs="Arial"/>
          <w:color w:val="0E101A"/>
          <w:sz w:val="24"/>
          <w:szCs w:val="24"/>
          <w:lang w:eastAsia="en-GB"/>
          <w14:ligatures w14:val="none"/>
        </w:rPr>
        <w:t>A</w:t>
      </w:r>
      <w:r w:rsidRPr="00BA1E2F">
        <w:rPr>
          <w:rFonts w:ascii="Arial" w:eastAsia="Times New Roman" w:hAnsi="Arial" w:cs="Arial"/>
          <w:color w:val="0E101A"/>
          <w:sz w:val="24"/>
          <w:szCs w:val="24"/>
          <w:lang w:eastAsia="en-GB"/>
          <w14:ligatures w14:val="none"/>
        </w:rPr>
        <w:t xml:space="preserve"> QALY is defined as the product of quality of life and life expectancy and has now emerged as the key outcome in the CEA and CUA evaluations. (163)</w:t>
      </w:r>
    </w:p>
    <w:p w14:paraId="6A8F4A72" w14:textId="77777777" w:rsidR="004942B6" w:rsidRPr="004115E1" w:rsidRDefault="004942B6" w:rsidP="004942B6">
      <w:pPr>
        <w:spacing w:after="0" w:line="360" w:lineRule="auto"/>
        <w:jc w:val="both"/>
        <w:rPr>
          <w:rFonts w:ascii="Arial" w:eastAsia="Times New Roman" w:hAnsi="Arial" w:cs="Arial"/>
          <w:i/>
          <w:iCs/>
          <w:color w:val="0E101A"/>
          <w:sz w:val="24"/>
          <w:szCs w:val="24"/>
          <w:lang w:eastAsia="en-GB"/>
          <w14:ligatures w14:val="none"/>
        </w:rPr>
      </w:pPr>
      <w:r w:rsidRPr="00BA1E2F">
        <w:rPr>
          <w:rFonts w:ascii="Arial" w:eastAsia="Times New Roman" w:hAnsi="Arial" w:cs="Arial"/>
          <w:i/>
          <w:iCs/>
          <w:color w:val="0E101A"/>
          <w:sz w:val="24"/>
          <w:szCs w:val="24"/>
          <w:lang w:eastAsia="en-GB"/>
          <w14:ligatures w14:val="none"/>
        </w:rPr>
        <w:t>QALY = Number of life years gained x quality of life in those years</w:t>
      </w:r>
    </w:p>
    <w:p w14:paraId="23DA4B19" w14:textId="2A4C2F69" w:rsidR="00633EDB" w:rsidRDefault="004942B6" w:rsidP="009720AD">
      <w:pPr>
        <w:spacing w:after="0" w:line="360" w:lineRule="auto"/>
        <w:jc w:val="both"/>
        <w:rPr>
          <w:rFonts w:ascii="Arial" w:eastAsia="Times New Roman" w:hAnsi="Arial" w:cs="Arial"/>
          <w:color w:val="0E101A"/>
          <w:sz w:val="24"/>
          <w:szCs w:val="24"/>
          <w:lang w:eastAsia="en-GB"/>
          <w14:ligatures w14:val="none"/>
        </w:rPr>
      </w:pPr>
      <w:r w:rsidRPr="00BA1E2F">
        <w:rPr>
          <w:rFonts w:ascii="Arial" w:eastAsia="Times New Roman" w:hAnsi="Arial" w:cs="Arial"/>
          <w:color w:val="0E101A"/>
          <w:sz w:val="24"/>
          <w:szCs w:val="24"/>
          <w:lang w:eastAsia="en-GB"/>
          <w14:ligatures w14:val="none"/>
        </w:rPr>
        <w:t>By incorporating it into a single metric, QALY can concurrently yield the benefits from a reduction in morbidity (quality gains) and mortality (</w:t>
      </w:r>
      <w:r w:rsidR="009720AD">
        <w:rPr>
          <w:rFonts w:ascii="Arial" w:eastAsia="Times New Roman" w:hAnsi="Arial" w:cs="Arial"/>
          <w:color w:val="0E101A"/>
          <w:sz w:val="24"/>
          <w:szCs w:val="24"/>
          <w:lang w:eastAsia="en-GB"/>
          <w14:ligatures w14:val="none"/>
        </w:rPr>
        <w:t>life year</w:t>
      </w:r>
      <w:r w:rsidR="009720AD" w:rsidRPr="00BA1E2F">
        <w:rPr>
          <w:rFonts w:ascii="Arial" w:eastAsia="Times New Roman" w:hAnsi="Arial" w:cs="Arial"/>
          <w:color w:val="0E101A"/>
          <w:sz w:val="24"/>
          <w:szCs w:val="24"/>
          <w:lang w:eastAsia="en-GB"/>
          <w14:ligatures w14:val="none"/>
        </w:rPr>
        <w:t xml:space="preserve"> </w:t>
      </w:r>
      <w:r w:rsidRPr="00BA1E2F">
        <w:rPr>
          <w:rFonts w:ascii="Arial" w:eastAsia="Times New Roman" w:hAnsi="Arial" w:cs="Arial"/>
          <w:color w:val="0E101A"/>
          <w:sz w:val="24"/>
          <w:szCs w:val="24"/>
          <w:lang w:eastAsia="en-GB"/>
          <w14:ligatures w14:val="none"/>
        </w:rPr>
        <w:t xml:space="preserve">gains). (163) It aids in estimating the value of health states relative to one another and, hence, can furnish meaningful information to policymakers about the technical and allocative efficiency of resources. Despite being an important marker, QALY has some limitations, especially </w:t>
      </w:r>
      <w:r w:rsidRPr="00BA1E2F">
        <w:rPr>
          <w:rFonts w:ascii="Arial" w:eastAsia="Times New Roman" w:hAnsi="Arial" w:cs="Arial"/>
          <w:color w:val="0E101A"/>
          <w:sz w:val="24"/>
          <w:szCs w:val="24"/>
          <w:lang w:eastAsia="en-GB"/>
          <w14:ligatures w14:val="none"/>
        </w:rPr>
        <w:lastRenderedPageBreak/>
        <w:t>in chronic disorders, as the patient’s adaptability to the disease may skew the values. (163) </w:t>
      </w:r>
      <w:bookmarkStart w:id="390" w:name="_Toc159613559"/>
      <w:bookmarkStart w:id="391" w:name="_Toc160981220"/>
      <w:bookmarkStart w:id="392" w:name="_Toc164676014"/>
      <w:bookmarkStart w:id="393" w:name="_Toc164680459"/>
      <w:bookmarkStart w:id="394" w:name="_Toc164681357"/>
    </w:p>
    <w:p w14:paraId="3747C334" w14:textId="77777777" w:rsidR="00633EDB" w:rsidRPr="00633EDB" w:rsidRDefault="00633EDB" w:rsidP="00633EDB">
      <w:pPr>
        <w:spacing w:after="0" w:line="360" w:lineRule="auto"/>
        <w:jc w:val="both"/>
        <w:rPr>
          <w:rFonts w:ascii="Arial" w:eastAsia="Times New Roman" w:hAnsi="Arial" w:cs="Arial"/>
          <w:color w:val="0E101A"/>
          <w:sz w:val="24"/>
          <w:szCs w:val="24"/>
          <w:lang w:eastAsia="en-GB"/>
          <w14:ligatures w14:val="none"/>
        </w:rPr>
      </w:pPr>
    </w:p>
    <w:p w14:paraId="4DA2D832" w14:textId="44F5C6D9" w:rsidR="004942B6" w:rsidRPr="001D6986" w:rsidRDefault="004942B6" w:rsidP="004942B6">
      <w:pPr>
        <w:pStyle w:val="Heading3"/>
        <w:spacing w:line="360" w:lineRule="auto"/>
        <w:rPr>
          <w:rFonts w:ascii="Arial" w:hAnsi="Arial" w:cs="Arial"/>
          <w:color w:val="4472C4" w:themeColor="accent1"/>
          <w:sz w:val="24"/>
          <w:szCs w:val="24"/>
        </w:rPr>
      </w:pPr>
      <w:bookmarkStart w:id="395" w:name="_Toc170075039"/>
      <w:bookmarkStart w:id="396" w:name="_Toc170076026"/>
      <w:bookmarkStart w:id="397" w:name="_Toc170577722"/>
      <w:bookmarkStart w:id="398" w:name="_Toc170579240"/>
      <w:bookmarkStart w:id="399" w:name="_Toc171203095"/>
      <w:bookmarkStart w:id="400" w:name="_Toc171203866"/>
      <w:r w:rsidRPr="001D6986">
        <w:rPr>
          <w:rFonts w:ascii="Arial" w:hAnsi="Arial" w:cs="Arial"/>
          <w:color w:val="4472C4" w:themeColor="accent1"/>
          <w:sz w:val="24"/>
          <w:szCs w:val="24"/>
        </w:rPr>
        <w:t>1.11.4 Incremental cost-effectiveness ratio (ICER)</w:t>
      </w:r>
      <w:bookmarkEnd w:id="390"/>
      <w:bookmarkEnd w:id="391"/>
      <w:bookmarkEnd w:id="392"/>
      <w:bookmarkEnd w:id="393"/>
      <w:bookmarkEnd w:id="394"/>
      <w:bookmarkEnd w:id="395"/>
      <w:bookmarkEnd w:id="396"/>
      <w:bookmarkEnd w:id="397"/>
      <w:bookmarkEnd w:id="398"/>
      <w:bookmarkEnd w:id="399"/>
      <w:bookmarkEnd w:id="400"/>
    </w:p>
    <w:p w14:paraId="7B4CDAB7" w14:textId="77777777" w:rsidR="004942B6" w:rsidRPr="009B301E" w:rsidRDefault="004942B6" w:rsidP="004942B6">
      <w:pPr>
        <w:spacing w:line="360" w:lineRule="auto"/>
        <w:jc w:val="both"/>
        <w:rPr>
          <w:rFonts w:ascii="Arial" w:hAnsi="Arial" w:cs="Arial"/>
          <w:sz w:val="24"/>
          <w:szCs w:val="24"/>
        </w:rPr>
      </w:pPr>
      <w:r w:rsidRPr="00B6354A">
        <w:rPr>
          <w:rFonts w:ascii="Arial" w:hAnsi="Arial" w:cs="Arial"/>
          <w:sz w:val="24"/>
          <w:szCs w:val="24"/>
        </w:rPr>
        <w:t xml:space="preserve">ICER is the main result of CEA and CUA economic analysis. It is determined by dividing the cost difference between the two available treatment options by the difference in the unit health outcomes. The typical examples of ICER include costs per life-years gained, costs per QALY gained or costs per event avoided. (165) This can be simplified as (166) </w:t>
      </w:r>
    </w:p>
    <w:p w14:paraId="4E6F958A" w14:textId="77777777" w:rsidR="004942B6" w:rsidRPr="009B301E" w:rsidRDefault="004942B6" w:rsidP="004942B6">
      <w:pPr>
        <w:spacing w:line="360" w:lineRule="auto"/>
        <w:jc w:val="both"/>
        <w:rPr>
          <w:rFonts w:ascii="Arial" w:hAnsi="Arial" w:cs="Arial"/>
          <w:i/>
          <w:iCs/>
          <w:color w:val="000000" w:themeColor="text1"/>
          <w:sz w:val="24"/>
          <w:szCs w:val="24"/>
          <w:vertAlign w:val="subscript"/>
        </w:rPr>
      </w:pPr>
      <w:r w:rsidRPr="009222F3">
        <w:rPr>
          <w:rFonts w:ascii="Arial" w:hAnsi="Arial" w:cs="Arial"/>
          <w:i/>
          <w:iCs/>
          <w:color w:val="000000" w:themeColor="text1"/>
          <w:sz w:val="24"/>
          <w:szCs w:val="24"/>
        </w:rPr>
        <w:t>ICER = Cost</w:t>
      </w:r>
      <w:r w:rsidRPr="009222F3">
        <w:rPr>
          <w:rFonts w:ascii="Arial" w:hAnsi="Arial" w:cs="Arial"/>
          <w:i/>
          <w:iCs/>
          <w:color w:val="000000" w:themeColor="text1"/>
          <w:sz w:val="24"/>
          <w:szCs w:val="24"/>
          <w:vertAlign w:val="subscript"/>
        </w:rPr>
        <w:t>(a)</w:t>
      </w:r>
      <w:r w:rsidRPr="009222F3">
        <w:rPr>
          <w:rFonts w:ascii="Arial" w:hAnsi="Arial" w:cs="Arial"/>
          <w:i/>
          <w:iCs/>
          <w:color w:val="000000" w:themeColor="text1"/>
          <w:sz w:val="24"/>
          <w:szCs w:val="24"/>
        </w:rPr>
        <w:t xml:space="preserve"> – Cost</w:t>
      </w:r>
      <w:r w:rsidRPr="009222F3">
        <w:rPr>
          <w:rFonts w:ascii="Arial" w:hAnsi="Arial" w:cs="Arial"/>
          <w:i/>
          <w:iCs/>
          <w:color w:val="000000" w:themeColor="text1"/>
          <w:sz w:val="24"/>
          <w:szCs w:val="24"/>
          <w:vertAlign w:val="subscript"/>
        </w:rPr>
        <w:t>(b)</w:t>
      </w:r>
      <w:r w:rsidRPr="009222F3">
        <w:rPr>
          <w:rFonts w:ascii="Arial" w:hAnsi="Arial" w:cs="Arial"/>
          <w:i/>
          <w:iCs/>
          <w:color w:val="000000" w:themeColor="text1"/>
          <w:sz w:val="24"/>
          <w:szCs w:val="24"/>
        </w:rPr>
        <w:t xml:space="preserve"> / Outcome</w:t>
      </w:r>
      <w:r w:rsidRPr="009222F3">
        <w:rPr>
          <w:rFonts w:ascii="Arial" w:hAnsi="Arial" w:cs="Arial"/>
          <w:i/>
          <w:iCs/>
          <w:color w:val="000000" w:themeColor="text1"/>
          <w:sz w:val="24"/>
          <w:szCs w:val="24"/>
          <w:vertAlign w:val="subscript"/>
        </w:rPr>
        <w:t>(a)</w:t>
      </w:r>
      <w:r w:rsidRPr="009222F3">
        <w:rPr>
          <w:rFonts w:ascii="Arial" w:hAnsi="Arial" w:cs="Arial"/>
          <w:i/>
          <w:iCs/>
          <w:color w:val="000000" w:themeColor="text1"/>
          <w:sz w:val="24"/>
          <w:szCs w:val="24"/>
        </w:rPr>
        <w:t xml:space="preserve"> – Outcome</w:t>
      </w:r>
      <w:r w:rsidRPr="009222F3">
        <w:rPr>
          <w:rFonts w:ascii="Arial" w:hAnsi="Arial" w:cs="Arial"/>
          <w:i/>
          <w:iCs/>
          <w:color w:val="000000" w:themeColor="text1"/>
          <w:sz w:val="24"/>
          <w:szCs w:val="24"/>
          <w:vertAlign w:val="subscript"/>
        </w:rPr>
        <w:t>(b)</w:t>
      </w:r>
    </w:p>
    <w:p w14:paraId="29C8C11A" w14:textId="08FB2733" w:rsidR="004942B6" w:rsidRDefault="004942B6" w:rsidP="004942B6">
      <w:pPr>
        <w:spacing w:line="360" w:lineRule="auto"/>
        <w:jc w:val="both"/>
        <w:rPr>
          <w:rFonts w:ascii="Arial" w:hAnsi="Arial" w:cs="Arial"/>
          <w:color w:val="000000" w:themeColor="text1"/>
          <w:sz w:val="24"/>
          <w:szCs w:val="24"/>
        </w:rPr>
      </w:pPr>
      <w:r w:rsidRPr="00F20D08">
        <w:rPr>
          <w:rFonts w:ascii="Arial" w:hAnsi="Arial" w:cs="Arial"/>
          <w:color w:val="000000" w:themeColor="text1"/>
          <w:sz w:val="24"/>
          <w:szCs w:val="24"/>
        </w:rPr>
        <w:t>“Willingness to pay” refers to the maximum amount a customer is willing to pay for the service. ICER can be used for resource allocation if the willingness to pay could be established as a threshold for the outcome of interest. Hence, if the ICER exceeds this threshold, the intervention is perceived as too expensive and vice versa. There is no universal ICER threshold to guide a resource allocation decision; hence, it can vary geographically. UK has adopted an ICER threshold of £20,000 - £30,000/ QALY, while the US has a $50,000 – $1</w:t>
      </w:r>
      <w:r w:rsidR="00B30ECC">
        <w:rPr>
          <w:rFonts w:ascii="Arial" w:hAnsi="Arial" w:cs="Arial"/>
          <w:color w:val="000000" w:themeColor="text1"/>
          <w:sz w:val="24"/>
          <w:szCs w:val="24"/>
        </w:rPr>
        <w:t>50</w:t>
      </w:r>
      <w:r w:rsidRPr="00F20D08">
        <w:rPr>
          <w:rFonts w:ascii="Arial" w:hAnsi="Arial" w:cs="Arial"/>
          <w:color w:val="000000" w:themeColor="text1"/>
          <w:sz w:val="24"/>
          <w:szCs w:val="24"/>
        </w:rPr>
        <w:t>,000 / QALY for resource allocation. (163)</w:t>
      </w:r>
    </w:p>
    <w:p w14:paraId="15A4C07D" w14:textId="77777777" w:rsidR="004942B6" w:rsidRPr="009222F3" w:rsidRDefault="004942B6" w:rsidP="004942B6">
      <w:pPr>
        <w:spacing w:line="360" w:lineRule="auto"/>
        <w:jc w:val="both"/>
        <w:rPr>
          <w:rFonts w:ascii="Arial" w:hAnsi="Arial" w:cs="Arial"/>
          <w:color w:val="000000" w:themeColor="text1"/>
          <w:sz w:val="24"/>
          <w:szCs w:val="24"/>
        </w:rPr>
      </w:pPr>
    </w:p>
    <w:p w14:paraId="6C793E2B" w14:textId="77777777" w:rsidR="004942B6" w:rsidRPr="001D6986" w:rsidRDefault="004942B6" w:rsidP="004942B6">
      <w:pPr>
        <w:pStyle w:val="Heading3"/>
        <w:spacing w:line="360" w:lineRule="auto"/>
        <w:rPr>
          <w:rFonts w:ascii="Arial" w:hAnsi="Arial" w:cs="Arial"/>
          <w:color w:val="4472C4" w:themeColor="accent1"/>
          <w:sz w:val="24"/>
          <w:szCs w:val="24"/>
        </w:rPr>
      </w:pPr>
      <w:bookmarkStart w:id="401" w:name="_Toc159613560"/>
      <w:bookmarkStart w:id="402" w:name="_Toc160981221"/>
      <w:bookmarkStart w:id="403" w:name="_Toc164676015"/>
      <w:bookmarkStart w:id="404" w:name="_Toc164680460"/>
      <w:bookmarkStart w:id="405" w:name="_Toc164681358"/>
      <w:bookmarkStart w:id="406" w:name="_Toc170075040"/>
      <w:bookmarkStart w:id="407" w:name="_Toc170076027"/>
      <w:bookmarkStart w:id="408" w:name="_Toc170577723"/>
      <w:bookmarkStart w:id="409" w:name="_Toc170579241"/>
      <w:bookmarkStart w:id="410" w:name="_Toc171203096"/>
      <w:bookmarkStart w:id="411" w:name="_Toc171203867"/>
      <w:r w:rsidRPr="001D6986">
        <w:rPr>
          <w:rFonts w:ascii="Arial" w:hAnsi="Arial" w:cs="Arial"/>
          <w:color w:val="4472C4" w:themeColor="accent1"/>
          <w:sz w:val="24"/>
          <w:szCs w:val="24"/>
        </w:rPr>
        <w:t>1.11.5 EQ-5D-5L scores (EuroQOL assessment questionnaire)</w:t>
      </w:r>
      <w:bookmarkEnd w:id="401"/>
      <w:bookmarkEnd w:id="402"/>
      <w:bookmarkEnd w:id="403"/>
      <w:bookmarkEnd w:id="404"/>
      <w:bookmarkEnd w:id="405"/>
      <w:bookmarkEnd w:id="406"/>
      <w:bookmarkEnd w:id="407"/>
      <w:bookmarkEnd w:id="408"/>
      <w:bookmarkEnd w:id="409"/>
      <w:bookmarkEnd w:id="410"/>
      <w:bookmarkEnd w:id="411"/>
      <w:r w:rsidRPr="001D6986">
        <w:rPr>
          <w:rFonts w:ascii="Arial" w:hAnsi="Arial" w:cs="Arial"/>
          <w:color w:val="4472C4" w:themeColor="accent1"/>
          <w:sz w:val="24"/>
          <w:szCs w:val="24"/>
        </w:rPr>
        <w:t xml:space="preserve"> </w:t>
      </w:r>
    </w:p>
    <w:p w14:paraId="0252F1C2" w14:textId="77777777" w:rsidR="004942B6" w:rsidRPr="00A525D6" w:rsidRDefault="004942B6" w:rsidP="004942B6">
      <w:pPr>
        <w:spacing w:after="0" w:line="360" w:lineRule="auto"/>
        <w:jc w:val="both"/>
        <w:rPr>
          <w:rFonts w:ascii="Arial" w:eastAsia="Times New Roman" w:hAnsi="Arial" w:cs="Arial"/>
          <w:color w:val="0E101A"/>
          <w:sz w:val="24"/>
          <w:szCs w:val="24"/>
          <w:lang w:eastAsia="en-GB"/>
          <w14:ligatures w14:val="none"/>
        </w:rPr>
      </w:pPr>
      <w:r w:rsidRPr="00A525D6">
        <w:rPr>
          <w:rFonts w:ascii="Arial" w:eastAsia="Times New Roman" w:hAnsi="Arial" w:cs="Arial"/>
          <w:color w:val="0E101A"/>
          <w:sz w:val="24"/>
          <w:szCs w:val="24"/>
          <w:lang w:eastAsia="en-GB"/>
          <w14:ligatures w14:val="none"/>
        </w:rPr>
        <w:t xml:space="preserve">In the last two decades, researchers have </w:t>
      </w:r>
      <w:r>
        <w:rPr>
          <w:rFonts w:ascii="Arial" w:eastAsia="Times New Roman" w:hAnsi="Arial" w:cs="Arial"/>
          <w:color w:val="0E101A"/>
          <w:sz w:val="24"/>
          <w:szCs w:val="24"/>
          <w:lang w:eastAsia="en-GB"/>
          <w14:ligatures w14:val="none"/>
        </w:rPr>
        <w:t>developed</w:t>
      </w:r>
      <w:r w:rsidRPr="00A525D6">
        <w:rPr>
          <w:rFonts w:ascii="Arial" w:eastAsia="Times New Roman" w:hAnsi="Arial" w:cs="Arial"/>
          <w:color w:val="0E101A"/>
          <w:sz w:val="24"/>
          <w:szCs w:val="24"/>
          <w:lang w:eastAsia="en-GB"/>
          <w14:ligatures w14:val="none"/>
        </w:rPr>
        <w:t xml:space="preserve"> a</w:t>
      </w:r>
      <w:r>
        <w:rPr>
          <w:rFonts w:ascii="Arial" w:eastAsia="Times New Roman" w:hAnsi="Arial" w:cs="Arial"/>
          <w:color w:val="0E101A"/>
          <w:sz w:val="24"/>
          <w:szCs w:val="24"/>
          <w:lang w:eastAsia="en-GB"/>
          <w14:ligatures w14:val="none"/>
        </w:rPr>
        <w:t xml:space="preserve"> keen</w:t>
      </w:r>
      <w:r w:rsidRPr="00A525D6">
        <w:rPr>
          <w:rFonts w:ascii="Arial" w:eastAsia="Times New Roman" w:hAnsi="Arial" w:cs="Arial"/>
          <w:color w:val="0E101A"/>
          <w:sz w:val="24"/>
          <w:szCs w:val="24"/>
          <w:lang w:eastAsia="en-GB"/>
          <w14:ligatures w14:val="none"/>
        </w:rPr>
        <w:t xml:space="preserve"> interest in patient-reported outcomes (PRO</w:t>
      </w:r>
      <w:r>
        <w:rPr>
          <w:rFonts w:ascii="Arial" w:eastAsia="Times New Roman" w:hAnsi="Arial" w:cs="Arial"/>
          <w:color w:val="0E101A"/>
          <w:sz w:val="24"/>
          <w:szCs w:val="24"/>
          <w:lang w:eastAsia="en-GB"/>
          <w14:ligatures w14:val="none"/>
        </w:rPr>
        <w:t>s</w:t>
      </w:r>
      <w:r w:rsidRPr="00A525D6">
        <w:rPr>
          <w:rFonts w:ascii="Arial" w:eastAsia="Times New Roman" w:hAnsi="Arial" w:cs="Arial"/>
          <w:color w:val="0E101A"/>
          <w:sz w:val="24"/>
          <w:szCs w:val="24"/>
          <w:lang w:eastAsia="en-GB"/>
          <w14:ligatures w14:val="none"/>
        </w:rPr>
        <w:t xml:space="preserve">); several questionnaires </w:t>
      </w:r>
      <w:r>
        <w:rPr>
          <w:rFonts w:ascii="Arial" w:eastAsia="Times New Roman" w:hAnsi="Arial" w:cs="Arial"/>
          <w:color w:val="0E101A"/>
          <w:sz w:val="24"/>
          <w:szCs w:val="24"/>
          <w:lang w:eastAsia="en-GB"/>
          <w14:ligatures w14:val="none"/>
        </w:rPr>
        <w:t xml:space="preserve">such as </w:t>
      </w:r>
      <w:r w:rsidRPr="00A525D6">
        <w:rPr>
          <w:rFonts w:ascii="Arial" w:eastAsia="Times New Roman" w:hAnsi="Arial" w:cs="Arial"/>
          <w:color w:val="0E101A"/>
          <w:sz w:val="24"/>
          <w:szCs w:val="24"/>
          <w:lang w:eastAsia="en-GB"/>
          <w14:ligatures w14:val="none"/>
        </w:rPr>
        <w:t xml:space="preserve">EQ-5D, Short Form health survey </w:t>
      </w:r>
      <w:r>
        <w:rPr>
          <w:rFonts w:ascii="Arial" w:eastAsia="Times New Roman" w:hAnsi="Arial" w:cs="Arial"/>
          <w:color w:val="0E101A"/>
          <w:sz w:val="24"/>
          <w:szCs w:val="24"/>
          <w:lang w:eastAsia="en-GB"/>
          <w14:ligatures w14:val="none"/>
        </w:rPr>
        <w:t>(</w:t>
      </w:r>
      <w:r w:rsidRPr="00A525D6">
        <w:rPr>
          <w:rFonts w:ascii="Arial" w:eastAsia="Times New Roman" w:hAnsi="Arial" w:cs="Arial"/>
          <w:color w:val="0E101A"/>
          <w:sz w:val="24"/>
          <w:szCs w:val="24"/>
          <w:lang w:eastAsia="en-GB"/>
          <w14:ligatures w14:val="none"/>
        </w:rPr>
        <w:t>SF-36/12</w:t>
      </w:r>
      <w:r>
        <w:rPr>
          <w:rFonts w:ascii="Arial" w:eastAsia="Times New Roman" w:hAnsi="Arial" w:cs="Arial"/>
          <w:color w:val="0E101A"/>
          <w:sz w:val="24"/>
          <w:szCs w:val="24"/>
          <w:lang w:eastAsia="en-GB"/>
          <w14:ligatures w14:val="none"/>
        </w:rPr>
        <w:t>)</w:t>
      </w:r>
      <w:r w:rsidRPr="00A525D6">
        <w:rPr>
          <w:rFonts w:ascii="Arial" w:eastAsia="Times New Roman" w:hAnsi="Arial" w:cs="Arial"/>
          <w:color w:val="0E101A"/>
          <w:sz w:val="24"/>
          <w:szCs w:val="24"/>
          <w:lang w:eastAsia="en-GB"/>
          <w14:ligatures w14:val="none"/>
        </w:rPr>
        <w:t xml:space="preserve"> and Seattle Angina Questionnaire </w:t>
      </w:r>
      <w:r>
        <w:rPr>
          <w:rFonts w:ascii="Arial" w:eastAsia="Times New Roman" w:hAnsi="Arial" w:cs="Arial"/>
          <w:color w:val="0E101A"/>
          <w:sz w:val="24"/>
          <w:szCs w:val="24"/>
          <w:lang w:eastAsia="en-GB"/>
          <w14:ligatures w14:val="none"/>
        </w:rPr>
        <w:t>(</w:t>
      </w:r>
      <w:r w:rsidRPr="00A525D6">
        <w:rPr>
          <w:rFonts w:ascii="Arial" w:eastAsia="Times New Roman" w:hAnsi="Arial" w:cs="Arial"/>
          <w:color w:val="0E101A"/>
          <w:sz w:val="24"/>
          <w:szCs w:val="24"/>
          <w:lang w:eastAsia="en-GB"/>
          <w14:ligatures w14:val="none"/>
        </w:rPr>
        <w:t>SAQ) have been developed to focus on how patients feel and report objectively after an intervention. EQ-5D, developed by the EuroQOL group in 1987, has gained the most acceptance worldwide to aid clinician decision-making (medications, devices</w:t>
      </w:r>
      <w:r>
        <w:rPr>
          <w:rFonts w:ascii="Arial" w:eastAsia="Times New Roman" w:hAnsi="Arial" w:cs="Arial"/>
          <w:color w:val="0E101A"/>
          <w:sz w:val="24"/>
          <w:szCs w:val="24"/>
          <w:lang w:eastAsia="en-GB"/>
          <w14:ligatures w14:val="none"/>
        </w:rPr>
        <w:t xml:space="preserve">, and </w:t>
      </w:r>
      <w:r w:rsidRPr="00A525D6">
        <w:rPr>
          <w:rFonts w:ascii="Arial" w:eastAsia="Times New Roman" w:hAnsi="Arial" w:cs="Arial"/>
          <w:color w:val="0E101A"/>
          <w:sz w:val="24"/>
          <w:szCs w:val="24"/>
          <w:lang w:eastAsia="en-GB"/>
          <w14:ligatures w14:val="none"/>
        </w:rPr>
        <w:t>intervention) by health-related quality of life, supported by the patient's self-reported health outcomes. (167) EQ-5D is well-known for simplicity in its scoring system and interpretation and is comprised of EQ-indexed and EQ-VAS (visual analogue scale) scores. The EQ-5D was initiated as a three-level version of EQ-5D-3L, but the EuroQOL task force later upgraded it to a five-level version (EQ-5D-5L). The EQ-5D indexed questionnaire determines the well-being of the patient in the following five dimensions: (167)</w:t>
      </w:r>
    </w:p>
    <w:p w14:paraId="431155F3" w14:textId="77777777" w:rsidR="004942B6" w:rsidRPr="00A525D6" w:rsidRDefault="004942B6" w:rsidP="00C03BCF">
      <w:pPr>
        <w:numPr>
          <w:ilvl w:val="0"/>
          <w:numId w:val="12"/>
        </w:numPr>
        <w:spacing w:after="0" w:line="360" w:lineRule="auto"/>
        <w:jc w:val="both"/>
        <w:rPr>
          <w:rFonts w:ascii="Arial" w:eastAsia="Times New Roman" w:hAnsi="Arial" w:cs="Arial"/>
          <w:color w:val="0E101A"/>
          <w:sz w:val="24"/>
          <w:szCs w:val="24"/>
          <w:lang w:eastAsia="en-GB"/>
          <w14:ligatures w14:val="none"/>
        </w:rPr>
      </w:pPr>
      <w:r w:rsidRPr="00A525D6">
        <w:rPr>
          <w:rFonts w:ascii="Arial" w:eastAsia="Times New Roman" w:hAnsi="Arial" w:cs="Arial"/>
          <w:color w:val="0E101A"/>
          <w:sz w:val="24"/>
          <w:szCs w:val="24"/>
          <w:lang w:eastAsia="en-GB"/>
          <w14:ligatures w14:val="none"/>
        </w:rPr>
        <w:lastRenderedPageBreak/>
        <w:t>Mobility</w:t>
      </w:r>
    </w:p>
    <w:p w14:paraId="0B1B2725" w14:textId="77777777" w:rsidR="004942B6" w:rsidRPr="00A525D6" w:rsidRDefault="004942B6" w:rsidP="00C03BCF">
      <w:pPr>
        <w:numPr>
          <w:ilvl w:val="0"/>
          <w:numId w:val="12"/>
        </w:numPr>
        <w:spacing w:after="0" w:line="360" w:lineRule="auto"/>
        <w:jc w:val="both"/>
        <w:rPr>
          <w:rFonts w:ascii="Arial" w:eastAsia="Times New Roman" w:hAnsi="Arial" w:cs="Arial"/>
          <w:color w:val="0E101A"/>
          <w:sz w:val="24"/>
          <w:szCs w:val="24"/>
          <w:lang w:eastAsia="en-GB"/>
          <w14:ligatures w14:val="none"/>
        </w:rPr>
      </w:pPr>
      <w:r w:rsidRPr="00A525D6">
        <w:rPr>
          <w:rFonts w:ascii="Arial" w:eastAsia="Times New Roman" w:hAnsi="Arial" w:cs="Arial"/>
          <w:color w:val="0E101A"/>
          <w:sz w:val="24"/>
          <w:szCs w:val="24"/>
          <w:lang w:eastAsia="en-GB"/>
          <w14:ligatures w14:val="none"/>
        </w:rPr>
        <w:t>Self-care</w:t>
      </w:r>
    </w:p>
    <w:p w14:paraId="2BB97515" w14:textId="77777777" w:rsidR="004942B6" w:rsidRPr="00A525D6" w:rsidRDefault="004942B6" w:rsidP="00C03BCF">
      <w:pPr>
        <w:numPr>
          <w:ilvl w:val="0"/>
          <w:numId w:val="12"/>
        </w:numPr>
        <w:spacing w:after="0" w:line="360" w:lineRule="auto"/>
        <w:jc w:val="both"/>
        <w:rPr>
          <w:rFonts w:ascii="Arial" w:eastAsia="Times New Roman" w:hAnsi="Arial" w:cs="Arial"/>
          <w:color w:val="0E101A"/>
          <w:sz w:val="24"/>
          <w:szCs w:val="24"/>
          <w:lang w:eastAsia="en-GB"/>
          <w14:ligatures w14:val="none"/>
        </w:rPr>
      </w:pPr>
      <w:r w:rsidRPr="00A525D6">
        <w:rPr>
          <w:rFonts w:ascii="Arial" w:eastAsia="Times New Roman" w:hAnsi="Arial" w:cs="Arial"/>
          <w:color w:val="0E101A"/>
          <w:sz w:val="24"/>
          <w:szCs w:val="24"/>
          <w:lang w:eastAsia="en-GB"/>
          <w14:ligatures w14:val="none"/>
        </w:rPr>
        <w:t>Usual activity</w:t>
      </w:r>
    </w:p>
    <w:p w14:paraId="04CD7AC7" w14:textId="77777777" w:rsidR="004942B6" w:rsidRPr="00A525D6" w:rsidRDefault="004942B6" w:rsidP="00C03BCF">
      <w:pPr>
        <w:numPr>
          <w:ilvl w:val="0"/>
          <w:numId w:val="12"/>
        </w:numPr>
        <w:spacing w:after="0" w:line="360" w:lineRule="auto"/>
        <w:jc w:val="both"/>
        <w:rPr>
          <w:rFonts w:ascii="Arial" w:eastAsia="Times New Roman" w:hAnsi="Arial" w:cs="Arial"/>
          <w:color w:val="0E101A"/>
          <w:sz w:val="24"/>
          <w:szCs w:val="24"/>
          <w:lang w:eastAsia="en-GB"/>
          <w14:ligatures w14:val="none"/>
        </w:rPr>
      </w:pPr>
      <w:r w:rsidRPr="00A525D6">
        <w:rPr>
          <w:rFonts w:ascii="Arial" w:eastAsia="Times New Roman" w:hAnsi="Arial" w:cs="Arial"/>
          <w:color w:val="0E101A"/>
          <w:sz w:val="24"/>
          <w:szCs w:val="24"/>
          <w:lang w:eastAsia="en-GB"/>
          <w14:ligatures w14:val="none"/>
        </w:rPr>
        <w:t>Pain and discomfort</w:t>
      </w:r>
    </w:p>
    <w:p w14:paraId="4C6DCFB8" w14:textId="25CA97C7" w:rsidR="001F4EBA" w:rsidRDefault="004942B6" w:rsidP="00F605C6">
      <w:pPr>
        <w:numPr>
          <w:ilvl w:val="0"/>
          <w:numId w:val="12"/>
        </w:numPr>
        <w:spacing w:after="0" w:line="360" w:lineRule="auto"/>
        <w:jc w:val="both"/>
        <w:rPr>
          <w:rFonts w:ascii="Arial" w:eastAsia="Times New Roman" w:hAnsi="Arial" w:cs="Arial"/>
          <w:color w:val="0E101A"/>
          <w:sz w:val="24"/>
          <w:szCs w:val="24"/>
          <w:lang w:eastAsia="en-GB"/>
          <w14:ligatures w14:val="none"/>
        </w:rPr>
      </w:pPr>
      <w:r w:rsidRPr="00A525D6">
        <w:rPr>
          <w:rFonts w:ascii="Arial" w:eastAsia="Times New Roman" w:hAnsi="Arial" w:cs="Arial"/>
          <w:color w:val="0E101A"/>
          <w:sz w:val="24"/>
          <w:szCs w:val="24"/>
          <w:lang w:eastAsia="en-GB"/>
          <w14:ligatures w14:val="none"/>
        </w:rPr>
        <w:t>Anxiety and depression</w:t>
      </w:r>
    </w:p>
    <w:p w14:paraId="33C8D8E1" w14:textId="77777777" w:rsidR="00F605C6" w:rsidRPr="00F605C6" w:rsidRDefault="00F605C6" w:rsidP="00F605C6">
      <w:pPr>
        <w:spacing w:after="0" w:line="360" w:lineRule="auto"/>
        <w:ind w:left="720"/>
        <w:jc w:val="both"/>
        <w:rPr>
          <w:rFonts w:ascii="Arial" w:eastAsia="Times New Roman" w:hAnsi="Arial" w:cs="Arial"/>
          <w:color w:val="0E101A"/>
          <w:sz w:val="24"/>
          <w:szCs w:val="24"/>
          <w:lang w:eastAsia="en-GB"/>
          <w14:ligatures w14:val="none"/>
        </w:rPr>
      </w:pPr>
    </w:p>
    <w:p w14:paraId="47A79367" w14:textId="77777777" w:rsidR="004942B6" w:rsidRPr="004115E1" w:rsidRDefault="004942B6" w:rsidP="004942B6">
      <w:pPr>
        <w:spacing w:after="0" w:line="360" w:lineRule="auto"/>
        <w:jc w:val="both"/>
        <w:rPr>
          <w:rFonts w:ascii="Arial" w:eastAsia="Times New Roman" w:hAnsi="Arial" w:cs="Arial"/>
          <w:color w:val="0E101A"/>
          <w:sz w:val="24"/>
          <w:szCs w:val="24"/>
          <w:lang w:eastAsia="en-GB"/>
          <w14:ligatures w14:val="none"/>
        </w:rPr>
      </w:pPr>
      <w:r w:rsidRPr="004115E1">
        <w:rPr>
          <w:rFonts w:ascii="Arial" w:eastAsia="Times New Roman" w:hAnsi="Arial" w:cs="Arial"/>
          <w:color w:val="0E101A"/>
          <w:sz w:val="24"/>
          <w:szCs w:val="24"/>
          <w:lang w:eastAsia="en-GB"/>
          <w14:ligatures w14:val="none"/>
        </w:rPr>
        <w:t>The scores from each dimension assessed in the EQ-5D-5L indexed score represent a five-digit code (ranging from 11111 being the best to 55555 the worst). There are 3125 possible health states from the EQ-5D indexed scores. All these individualised five-digit values from the EQ-indexed scores are then mapped into a solitary value, also called the "utility"</w:t>
      </w:r>
      <w:r>
        <w:rPr>
          <w:rFonts w:ascii="Arial" w:eastAsia="Times New Roman" w:hAnsi="Arial" w:cs="Arial"/>
          <w:color w:val="0E101A"/>
          <w:sz w:val="24"/>
          <w:szCs w:val="24"/>
          <w:lang w:eastAsia="en-GB"/>
          <w14:ligatures w14:val="none"/>
        </w:rPr>
        <w:t>. The utility has been sorted</w:t>
      </w:r>
      <w:r w:rsidRPr="004115E1">
        <w:rPr>
          <w:rFonts w:ascii="Arial" w:eastAsia="Times New Roman" w:hAnsi="Arial" w:cs="Arial"/>
          <w:color w:val="0E101A"/>
          <w:sz w:val="24"/>
          <w:szCs w:val="24"/>
          <w:lang w:eastAsia="en-GB"/>
          <w14:ligatures w14:val="none"/>
        </w:rPr>
        <w:t xml:space="preserve"> according to the country-specific data set from the EuroQOL. This utility value ranges between 0 and 1 and is used for QALY estimation, a vital tool in health economics evaluation. In contrast, the EQ-VAS score is a simpler version of assessing QOL. It represents the self-reported impression of the patient's functionality and general health status. The scores are between 0-100 (0 being the worst and 100 being the best health the patients could imagine for themselves). Both the EQ-5D-5L indexed and EQ-VAS are shown in Figure </w:t>
      </w:r>
      <w:r>
        <w:rPr>
          <w:rFonts w:ascii="Arial" w:eastAsia="Times New Roman" w:hAnsi="Arial" w:cs="Arial"/>
          <w:color w:val="0E101A"/>
          <w:sz w:val="24"/>
          <w:szCs w:val="24"/>
          <w:lang w:eastAsia="en-GB"/>
          <w14:ligatures w14:val="none"/>
        </w:rPr>
        <w:t>10</w:t>
      </w:r>
      <w:r w:rsidRPr="004115E1">
        <w:rPr>
          <w:rFonts w:ascii="Arial" w:eastAsia="Times New Roman" w:hAnsi="Arial" w:cs="Arial"/>
          <w:color w:val="0E101A"/>
          <w:sz w:val="24"/>
          <w:szCs w:val="24"/>
          <w:lang w:eastAsia="en-GB"/>
          <w14:ligatures w14:val="none"/>
        </w:rPr>
        <w:t>.</w:t>
      </w:r>
    </w:p>
    <w:p w14:paraId="02CEAE8A" w14:textId="77777777" w:rsidR="004942B6" w:rsidRDefault="004942B6" w:rsidP="004942B6">
      <w:pPr>
        <w:spacing w:after="0" w:line="360" w:lineRule="auto"/>
        <w:jc w:val="both"/>
        <w:rPr>
          <w:rFonts w:ascii="Times New Roman" w:eastAsia="Times New Roman" w:hAnsi="Times New Roman" w:cs="Times New Roman"/>
          <w:color w:val="0E101A"/>
          <w:sz w:val="24"/>
          <w:szCs w:val="24"/>
          <w:lang w:eastAsia="en-GB"/>
          <w14:ligatures w14:val="none"/>
        </w:rPr>
      </w:pPr>
    </w:p>
    <w:p w14:paraId="4E0A889F" w14:textId="77777777" w:rsidR="004942B6" w:rsidRPr="00A525D6" w:rsidRDefault="004942B6" w:rsidP="004942B6">
      <w:pPr>
        <w:spacing w:after="0" w:line="240" w:lineRule="auto"/>
        <w:rPr>
          <w:rFonts w:ascii="Times New Roman" w:eastAsia="Times New Roman" w:hAnsi="Times New Roman" w:cs="Times New Roman"/>
          <w:color w:val="0E101A"/>
          <w:sz w:val="24"/>
          <w:szCs w:val="24"/>
          <w:lang w:eastAsia="en-GB"/>
          <w14:ligatures w14:val="none"/>
        </w:rPr>
      </w:pPr>
    </w:p>
    <w:p w14:paraId="05282737" w14:textId="77777777" w:rsidR="004942B6" w:rsidRDefault="004942B6" w:rsidP="004942B6">
      <w:pPr>
        <w:keepNext/>
        <w:spacing w:line="360" w:lineRule="auto"/>
        <w:jc w:val="both"/>
      </w:pPr>
      <w:r>
        <w:rPr>
          <w:noProof/>
          <w:lang w:eastAsia="en-GB"/>
        </w:rPr>
        <w:lastRenderedPageBreak/>
        <w:drawing>
          <wp:inline distT="0" distB="0" distL="0" distR="0" wp14:anchorId="25E61049" wp14:editId="060B7DE4">
            <wp:extent cx="6065520" cy="4549140"/>
            <wp:effectExtent l="0" t="0" r="0" b="0"/>
            <wp:docPr id="765414458" name="Picture 765414458" descr="A screenshot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414458" name="Picture 52" descr="A screenshot of a computer screen"/>
                    <pic:cNvPicPr/>
                  </pic:nvPicPr>
                  <pic:blipFill rotWithShape="1">
                    <a:blip r:embed="rId26" cstate="print">
                      <a:extLst>
                        <a:ext uri="{BEBA8EAE-BF5A-486C-A8C5-ECC9F3942E4B}">
                          <a14:imgProps xmlns:a14="http://schemas.microsoft.com/office/drawing/2010/main">
                            <a14:imgLayer r:embed="rId27">
                              <a14:imgEffect>
                                <a14:sharpenSoften amount="25000"/>
                              </a14:imgEffect>
                              <a14:imgEffect>
                                <a14:brightnessContrast bright="3000" contrast="25000"/>
                              </a14:imgEffect>
                            </a14:imgLayer>
                          </a14:imgProps>
                        </a:ext>
                        <a:ext uri="{28A0092B-C50C-407E-A947-70E740481C1C}">
                          <a14:useLocalDpi xmlns:a14="http://schemas.microsoft.com/office/drawing/2010/main" val="0"/>
                        </a:ext>
                      </a:extLst>
                    </a:blip>
                    <a:srcRect l="5983" t="1330" r="3612" b="1805"/>
                    <a:stretch/>
                  </pic:blipFill>
                  <pic:spPr bwMode="auto">
                    <a:xfrm>
                      <a:off x="0" y="0"/>
                      <a:ext cx="6065520" cy="4549140"/>
                    </a:xfrm>
                    <a:prstGeom prst="rect">
                      <a:avLst/>
                    </a:prstGeom>
                    <a:ln>
                      <a:noFill/>
                    </a:ln>
                    <a:extLst>
                      <a:ext uri="{53640926-AAD7-44D8-BBD7-CCE9431645EC}">
                        <a14:shadowObscured xmlns:a14="http://schemas.microsoft.com/office/drawing/2010/main"/>
                      </a:ext>
                    </a:extLst>
                  </pic:spPr>
                </pic:pic>
              </a:graphicData>
            </a:graphic>
          </wp:inline>
        </w:drawing>
      </w:r>
    </w:p>
    <w:p w14:paraId="70751F3A" w14:textId="08E638F0" w:rsidR="004942B6" w:rsidRPr="009D51B0" w:rsidRDefault="004942B6" w:rsidP="004942B6">
      <w:pPr>
        <w:pStyle w:val="Caption"/>
        <w:jc w:val="both"/>
        <w:rPr>
          <w:rFonts w:ascii="Arial" w:hAnsi="Arial" w:cs="Arial"/>
          <w:color w:val="auto"/>
          <w:sz w:val="20"/>
          <w:szCs w:val="20"/>
        </w:rPr>
      </w:pPr>
      <w:bookmarkStart w:id="412" w:name="_Toc151626678"/>
      <w:bookmarkStart w:id="413" w:name="_Toc152340472"/>
      <w:bookmarkStart w:id="414" w:name="_Toc152492265"/>
      <w:bookmarkStart w:id="415" w:name="_Toc152596952"/>
      <w:bookmarkStart w:id="416" w:name="_Toc153409659"/>
      <w:bookmarkStart w:id="417" w:name="_Toc153724906"/>
      <w:bookmarkStart w:id="418" w:name="_Toc159318492"/>
      <w:bookmarkStart w:id="419" w:name="_Toc159612018"/>
      <w:bookmarkStart w:id="420" w:name="_Toc160982664"/>
      <w:bookmarkStart w:id="421" w:name="_Toc164697489"/>
      <w:bookmarkStart w:id="422" w:name="_Toc170744571"/>
      <w:bookmarkStart w:id="423" w:name="_Toc196153202"/>
      <w:r w:rsidRPr="001600E6">
        <w:rPr>
          <w:rFonts w:ascii="Arial" w:hAnsi="Arial" w:cs="Arial"/>
          <w:b/>
          <w:bCs/>
          <w:color w:val="auto"/>
          <w:sz w:val="20"/>
          <w:szCs w:val="20"/>
        </w:rPr>
        <w:t xml:space="preserve">Figure </w:t>
      </w:r>
      <w:r w:rsidRPr="001600E6">
        <w:rPr>
          <w:rFonts w:ascii="Arial" w:hAnsi="Arial" w:cs="Arial"/>
          <w:b/>
          <w:bCs/>
          <w:color w:val="auto"/>
          <w:sz w:val="20"/>
          <w:szCs w:val="20"/>
        </w:rPr>
        <w:fldChar w:fldCharType="begin"/>
      </w:r>
      <w:r w:rsidRPr="001600E6">
        <w:rPr>
          <w:rFonts w:ascii="Arial" w:hAnsi="Arial" w:cs="Arial"/>
          <w:b/>
          <w:bCs/>
          <w:color w:val="auto"/>
          <w:sz w:val="20"/>
          <w:szCs w:val="20"/>
        </w:rPr>
        <w:instrText xml:space="preserve"> SEQ Figure \* ARABIC </w:instrText>
      </w:r>
      <w:r w:rsidRPr="001600E6">
        <w:rPr>
          <w:rFonts w:ascii="Arial" w:hAnsi="Arial" w:cs="Arial"/>
          <w:b/>
          <w:bCs/>
          <w:color w:val="auto"/>
          <w:sz w:val="20"/>
          <w:szCs w:val="20"/>
        </w:rPr>
        <w:fldChar w:fldCharType="separate"/>
      </w:r>
      <w:r w:rsidR="001823B4">
        <w:rPr>
          <w:rFonts w:ascii="Arial" w:hAnsi="Arial" w:cs="Arial"/>
          <w:b/>
          <w:bCs/>
          <w:noProof/>
          <w:color w:val="auto"/>
          <w:sz w:val="20"/>
          <w:szCs w:val="20"/>
        </w:rPr>
        <w:t>10</w:t>
      </w:r>
      <w:r w:rsidRPr="001600E6">
        <w:rPr>
          <w:rFonts w:ascii="Arial" w:hAnsi="Arial" w:cs="Arial"/>
          <w:b/>
          <w:bCs/>
          <w:color w:val="auto"/>
          <w:sz w:val="20"/>
          <w:szCs w:val="20"/>
        </w:rPr>
        <w:fldChar w:fldCharType="end"/>
      </w:r>
      <w:r w:rsidRPr="009D51B0">
        <w:rPr>
          <w:rFonts w:ascii="Arial" w:hAnsi="Arial" w:cs="Arial"/>
          <w:color w:val="auto"/>
          <w:sz w:val="20"/>
          <w:szCs w:val="20"/>
        </w:rPr>
        <w:t xml:space="preserve">: </w:t>
      </w:r>
      <w:r>
        <w:rPr>
          <w:rFonts w:ascii="Arial" w:hAnsi="Arial" w:cs="Arial"/>
          <w:color w:val="auto"/>
          <w:sz w:val="20"/>
          <w:szCs w:val="20"/>
        </w:rPr>
        <w:t>EQ-5D-5L indexed questionnaire and EQ-VAS scale according to EuroQOL</w:t>
      </w:r>
      <w:bookmarkEnd w:id="412"/>
      <w:bookmarkEnd w:id="413"/>
      <w:bookmarkEnd w:id="414"/>
      <w:bookmarkEnd w:id="415"/>
      <w:bookmarkEnd w:id="416"/>
      <w:bookmarkEnd w:id="417"/>
      <w:bookmarkEnd w:id="418"/>
      <w:bookmarkEnd w:id="419"/>
      <w:bookmarkEnd w:id="420"/>
      <w:bookmarkEnd w:id="421"/>
      <w:bookmarkEnd w:id="422"/>
      <w:bookmarkEnd w:id="423"/>
      <w:r>
        <w:rPr>
          <w:rFonts w:ascii="Arial" w:hAnsi="Arial" w:cs="Arial"/>
          <w:color w:val="auto"/>
          <w:sz w:val="20"/>
          <w:szCs w:val="20"/>
        </w:rPr>
        <w:t xml:space="preserve"> </w:t>
      </w:r>
    </w:p>
    <w:p w14:paraId="583BE164" w14:textId="77777777" w:rsidR="004942B6" w:rsidRDefault="004942B6" w:rsidP="004942B6">
      <w:pPr>
        <w:spacing w:line="360" w:lineRule="auto"/>
        <w:jc w:val="both"/>
        <w:rPr>
          <w:rFonts w:ascii="Arial" w:hAnsi="Arial" w:cs="Arial"/>
          <w:color w:val="000000" w:themeColor="text1"/>
          <w:sz w:val="24"/>
          <w:szCs w:val="24"/>
        </w:rPr>
      </w:pPr>
    </w:p>
    <w:p w14:paraId="0C4293C5" w14:textId="77777777" w:rsidR="004942B6" w:rsidRPr="00BC7800" w:rsidRDefault="004942B6" w:rsidP="004942B6">
      <w:pPr>
        <w:pStyle w:val="Heading2"/>
        <w:spacing w:line="360" w:lineRule="auto"/>
        <w:rPr>
          <w:rFonts w:ascii="Arial" w:hAnsi="Arial" w:cs="Arial"/>
          <w:color w:val="4472C4" w:themeColor="accent1"/>
          <w:sz w:val="28"/>
          <w:szCs w:val="28"/>
        </w:rPr>
      </w:pPr>
      <w:bookmarkStart w:id="424" w:name="_Toc171203868"/>
      <w:r w:rsidRPr="00BC7800">
        <w:rPr>
          <w:rFonts w:ascii="Arial" w:hAnsi="Arial" w:cs="Arial"/>
          <w:color w:val="4472C4" w:themeColor="accent1"/>
          <w:sz w:val="28"/>
          <w:szCs w:val="28"/>
        </w:rPr>
        <w:t>1.12 Health economics of coronary artery disease (CAD)</w:t>
      </w:r>
      <w:bookmarkEnd w:id="424"/>
    </w:p>
    <w:p w14:paraId="712BA941" w14:textId="77777777" w:rsidR="004942B6" w:rsidRPr="00B6318A" w:rsidRDefault="004942B6" w:rsidP="004942B6">
      <w:pPr>
        <w:spacing w:line="360" w:lineRule="auto"/>
        <w:jc w:val="both"/>
        <w:rPr>
          <w:rFonts w:ascii="Arial" w:hAnsi="Arial" w:cs="Arial"/>
          <w:sz w:val="24"/>
          <w:szCs w:val="24"/>
        </w:rPr>
      </w:pPr>
      <w:r w:rsidRPr="00B6318A">
        <w:rPr>
          <w:rFonts w:ascii="Arial" w:hAnsi="Arial" w:cs="Arial"/>
          <w:sz w:val="24"/>
          <w:szCs w:val="24"/>
        </w:rPr>
        <w:t xml:space="preserve">CAD is amongst the </w:t>
      </w:r>
      <w:r>
        <w:rPr>
          <w:rFonts w:ascii="Arial" w:hAnsi="Arial" w:cs="Arial"/>
          <w:sz w:val="24"/>
          <w:szCs w:val="24"/>
        </w:rPr>
        <w:t>most important</w:t>
      </w:r>
      <w:r w:rsidRPr="00B6318A">
        <w:rPr>
          <w:rFonts w:ascii="Arial" w:hAnsi="Arial" w:cs="Arial"/>
          <w:sz w:val="24"/>
          <w:szCs w:val="24"/>
        </w:rPr>
        <w:t xml:space="preserve"> public health problems in the United Kingdom as measured by the economic burden of the disease. CAD represents a significant financial burden on the National Health Service (NHS), estimated at around £9bn annually. The growing financial burden is not only due to direct costs associated with treating CAD but also due to indirect costs associated with productivity loss and work disability after the index coronary event. </w:t>
      </w:r>
    </w:p>
    <w:p w14:paraId="330927C3" w14:textId="77777777" w:rsidR="004942B6" w:rsidRPr="00B6318A" w:rsidRDefault="004942B6" w:rsidP="004942B6">
      <w:pPr>
        <w:spacing w:line="360" w:lineRule="auto"/>
        <w:jc w:val="both"/>
        <w:rPr>
          <w:rFonts w:ascii="Arial" w:hAnsi="Arial" w:cs="Arial"/>
          <w:sz w:val="24"/>
          <w:szCs w:val="24"/>
        </w:rPr>
      </w:pPr>
      <w:r w:rsidRPr="00B6318A">
        <w:rPr>
          <w:rFonts w:ascii="Arial" w:hAnsi="Arial" w:cs="Arial"/>
          <w:sz w:val="24"/>
          <w:szCs w:val="24"/>
        </w:rPr>
        <w:t xml:space="preserve">In the UK, between 2012 and 2018, approximately 1,792,655 non-invasive imaging investigations were performed for suspected CAD or as a non-invasive test to guide definitive revascularisation, with an annualised growth rate of 4%. (168) According to the NHS tariffs 2022-2023, the costs related to these non-invasive investigations were CTCA (£322), stress echo (£186), MPS (£282), cardiac MRI (£577), and invasive </w:t>
      </w:r>
      <w:r w:rsidRPr="00B6318A">
        <w:rPr>
          <w:rFonts w:ascii="Arial" w:hAnsi="Arial" w:cs="Arial"/>
          <w:sz w:val="24"/>
          <w:szCs w:val="24"/>
        </w:rPr>
        <w:lastRenderedPageBreak/>
        <w:t xml:space="preserve">coronary angiogram (£1685 - £2369). (169) (170) The average annual direct cost of treatment for CAD in the UK varies from OMT (£2412) to PCI (£1923 - £6923) and CABG (£8427 - £17,712) depending on the complexity of the procedure, according to the NHS tariffs 2022-2023, representing a major financial strain on the economy. (169-171)  </w:t>
      </w:r>
    </w:p>
    <w:p w14:paraId="01473524" w14:textId="77777777" w:rsidR="004942B6" w:rsidRDefault="004942B6" w:rsidP="004942B6">
      <w:pPr>
        <w:spacing w:line="360" w:lineRule="auto"/>
        <w:jc w:val="both"/>
        <w:rPr>
          <w:rFonts w:ascii="Arial" w:hAnsi="Arial" w:cs="Arial"/>
          <w:color w:val="000000" w:themeColor="text1"/>
          <w:sz w:val="24"/>
          <w:szCs w:val="24"/>
          <w:shd w:val="clear" w:color="auto" w:fill="FFFFFF"/>
        </w:rPr>
      </w:pPr>
      <w:r w:rsidRPr="00B6318A">
        <w:rPr>
          <w:rFonts w:ascii="Arial" w:hAnsi="Arial" w:cs="Arial"/>
          <w:sz w:val="24"/>
          <w:szCs w:val="24"/>
        </w:rPr>
        <w:t>CAD is a global problem</w:t>
      </w:r>
      <w:r>
        <w:rPr>
          <w:rFonts w:ascii="Arial" w:hAnsi="Arial" w:cs="Arial"/>
          <w:sz w:val="24"/>
          <w:szCs w:val="24"/>
        </w:rPr>
        <w:t>, and</w:t>
      </w:r>
      <w:r w:rsidRPr="00B6318A">
        <w:rPr>
          <w:rFonts w:ascii="Arial" w:hAnsi="Arial" w:cs="Arial"/>
          <w:sz w:val="24"/>
          <w:szCs w:val="24"/>
        </w:rPr>
        <w:t xml:space="preserve"> the health economic cost of CAD management is rising rapidly. CAD is estimated to cost the European Union (EU) approximately €169M annually, of which 62% is related to direct healthcare costs. (172) The remainder of expenditure reflect</w:t>
      </w:r>
      <w:r>
        <w:rPr>
          <w:rFonts w:ascii="Arial" w:hAnsi="Arial" w:cs="Arial"/>
          <w:sz w:val="24"/>
          <w:szCs w:val="24"/>
        </w:rPr>
        <w:t>s</w:t>
      </w:r>
      <w:r w:rsidRPr="00B6318A">
        <w:rPr>
          <w:rFonts w:ascii="Arial" w:hAnsi="Arial" w:cs="Arial"/>
          <w:sz w:val="24"/>
          <w:szCs w:val="24"/>
        </w:rPr>
        <w:t xml:space="preserve"> productivity losses (21%) and informal care costs (17%) post-event. (172) In Canada, the cost of per-patient absenteeism from work after a heart attack ranged from C$6974 for one year to C$10,702 for four years. (173) Similarly, in the US, an annual cost of $43.3bn was estimated for the loss of work related to health disabilities post-coronary events. (173)  According to one American Heart Association (AHA) report, the medical billing costs for cardiovascular disease will rise from $555 billion to $1.1 trillion in 2035. (174) Health economics plays a vital role in strategising the health care policy in an era of steep inflation with finite resources.</w:t>
      </w:r>
      <w:r w:rsidRPr="009222F3">
        <w:rPr>
          <w:rFonts w:ascii="Arial" w:hAnsi="Arial" w:cs="Arial"/>
          <w:color w:val="000000" w:themeColor="text1"/>
          <w:sz w:val="24"/>
          <w:szCs w:val="24"/>
          <w:shd w:val="clear" w:color="auto" w:fill="FFFFFF"/>
        </w:rPr>
        <w:t> </w:t>
      </w:r>
    </w:p>
    <w:p w14:paraId="23CE5CA1" w14:textId="77777777" w:rsidR="004942B6" w:rsidRDefault="004942B6" w:rsidP="004942B6">
      <w:pPr>
        <w:spacing w:line="360" w:lineRule="auto"/>
        <w:jc w:val="both"/>
        <w:rPr>
          <w:rFonts w:ascii="Arial" w:hAnsi="Arial" w:cs="Arial"/>
        </w:rPr>
      </w:pPr>
    </w:p>
    <w:p w14:paraId="3EC448F5" w14:textId="77777777" w:rsidR="004942B6" w:rsidRDefault="004942B6" w:rsidP="004942B6">
      <w:pPr>
        <w:spacing w:line="360" w:lineRule="auto"/>
        <w:jc w:val="both"/>
        <w:rPr>
          <w:rFonts w:ascii="Arial" w:hAnsi="Arial" w:cs="Arial"/>
          <w:color w:val="4472C4" w:themeColor="accent1"/>
          <w:sz w:val="24"/>
          <w:szCs w:val="24"/>
        </w:rPr>
      </w:pPr>
      <w:r w:rsidRPr="004115E1">
        <w:rPr>
          <w:rFonts w:ascii="Arial" w:hAnsi="Arial" w:cs="Arial"/>
          <w:color w:val="4472C4" w:themeColor="accent1"/>
          <w:sz w:val="24"/>
          <w:szCs w:val="24"/>
        </w:rPr>
        <w:t>1.12.1 Health economics of PCI</w:t>
      </w:r>
      <w:bookmarkStart w:id="425" w:name="_Toc113975440"/>
    </w:p>
    <w:p w14:paraId="0B2FB463" w14:textId="329DE734" w:rsidR="004942B6" w:rsidRPr="009E33E4" w:rsidRDefault="004942B6" w:rsidP="004942B6">
      <w:pPr>
        <w:spacing w:after="0" w:line="360" w:lineRule="auto"/>
        <w:jc w:val="both"/>
        <w:rPr>
          <w:rFonts w:ascii="Arial" w:eastAsia="Times New Roman" w:hAnsi="Arial" w:cs="Arial"/>
          <w:color w:val="0E101A"/>
          <w:sz w:val="24"/>
          <w:szCs w:val="24"/>
          <w:lang w:eastAsia="en-GB"/>
          <w14:ligatures w14:val="none"/>
        </w:rPr>
      </w:pPr>
      <w:r w:rsidRPr="009E33E4">
        <w:rPr>
          <w:rFonts w:ascii="Arial" w:eastAsia="Times New Roman" w:hAnsi="Arial" w:cs="Arial"/>
          <w:color w:val="0E101A"/>
          <w:sz w:val="24"/>
          <w:szCs w:val="24"/>
          <w:lang w:eastAsia="en-GB"/>
          <w14:ligatures w14:val="none"/>
        </w:rPr>
        <w:t>PCI has been the cornerstone of CAD treatment</w:t>
      </w:r>
      <w:r w:rsidR="00C30EF8">
        <w:rPr>
          <w:rFonts w:ascii="Arial" w:eastAsia="Times New Roman" w:hAnsi="Arial" w:cs="Arial"/>
          <w:color w:val="0E101A"/>
          <w:sz w:val="24"/>
          <w:szCs w:val="24"/>
          <w:lang w:eastAsia="en-GB"/>
          <w14:ligatures w14:val="none"/>
        </w:rPr>
        <w:t>,</w:t>
      </w:r>
      <w:r w:rsidRPr="009E33E4">
        <w:rPr>
          <w:rFonts w:ascii="Arial" w:eastAsia="Times New Roman" w:hAnsi="Arial" w:cs="Arial"/>
          <w:color w:val="0E101A"/>
          <w:sz w:val="24"/>
          <w:szCs w:val="24"/>
          <w:lang w:eastAsia="en-GB"/>
          <w14:ligatures w14:val="none"/>
        </w:rPr>
        <w:t xml:space="preserve"> with considerable progress and ongoing research in</w:t>
      </w:r>
      <w:r w:rsidR="00E43B78">
        <w:rPr>
          <w:rFonts w:ascii="Arial" w:eastAsia="Times New Roman" w:hAnsi="Arial" w:cs="Arial"/>
          <w:color w:val="0E101A"/>
          <w:sz w:val="24"/>
          <w:szCs w:val="24"/>
          <w:lang w:eastAsia="en-GB"/>
          <w14:ligatures w14:val="none"/>
        </w:rPr>
        <w:t>to</w:t>
      </w:r>
      <w:r w:rsidRPr="009E33E4">
        <w:rPr>
          <w:rFonts w:ascii="Arial" w:eastAsia="Times New Roman" w:hAnsi="Arial" w:cs="Arial"/>
          <w:color w:val="0E101A"/>
          <w:sz w:val="24"/>
          <w:szCs w:val="24"/>
          <w:lang w:eastAsia="en-GB"/>
          <w14:ligatures w14:val="none"/>
        </w:rPr>
        <w:t xml:space="preserve"> the available technology. In the UK, PCI costs vary from simple procedures requiring a single stent for focal lesions (£1879) to complex cases where the cost may amount to £6198, according to the NHS tariffs 2022-2023. (170) In addition to the complexity of the procedure and the number of stents deployed, the access site also plays a vital role in the overall cost burden. As revealed in the RIVAL trial (7021 patients), performing PCI via a trans-radial rather than a trans-femoral approach improved clinical outcomes and significantly impacted the financial cost. (175) In a health economic evaluation meta-analysis of 323,656 patients, the trans-radial approach was found to offer savings of £250.59 per procedure (a 22% reduction) mainly driven by shorter hospital admission duration (£190.43) and escalated rates of same-day discharge (from 23.5% to 57.2%). (176) In the real-world analysis, adopting the radial approach is estimated to provide annual savings of £33.40 million to the UK health economy. (176) </w:t>
      </w:r>
    </w:p>
    <w:p w14:paraId="4027FFCC" w14:textId="77777777" w:rsidR="004942B6" w:rsidRDefault="004942B6" w:rsidP="004942B6">
      <w:pPr>
        <w:spacing w:after="0" w:line="360" w:lineRule="auto"/>
        <w:jc w:val="both"/>
        <w:rPr>
          <w:rFonts w:ascii="Arial" w:eastAsia="Times New Roman" w:hAnsi="Arial" w:cs="Arial"/>
          <w:color w:val="0E101A"/>
          <w:sz w:val="24"/>
          <w:szCs w:val="24"/>
          <w:lang w:eastAsia="en-GB"/>
          <w14:ligatures w14:val="none"/>
        </w:rPr>
      </w:pPr>
      <w:r w:rsidRPr="009E33E4">
        <w:rPr>
          <w:rFonts w:ascii="Arial" w:eastAsia="Times New Roman" w:hAnsi="Arial" w:cs="Arial"/>
          <w:color w:val="0E101A"/>
          <w:sz w:val="24"/>
          <w:szCs w:val="24"/>
          <w:lang w:eastAsia="en-GB"/>
          <w14:ligatures w14:val="none"/>
        </w:rPr>
        <w:lastRenderedPageBreak/>
        <w:t>PCI is a cost-effective revascularisation treatment after optim</w:t>
      </w:r>
      <w:r>
        <w:rPr>
          <w:rFonts w:ascii="Arial" w:eastAsia="Times New Roman" w:hAnsi="Arial" w:cs="Arial"/>
          <w:color w:val="0E101A"/>
          <w:sz w:val="24"/>
          <w:szCs w:val="24"/>
          <w:lang w:eastAsia="en-GB"/>
          <w14:ligatures w14:val="none"/>
        </w:rPr>
        <w:t>al</w:t>
      </w:r>
      <w:r w:rsidRPr="009E33E4">
        <w:rPr>
          <w:rFonts w:ascii="Arial" w:eastAsia="Times New Roman" w:hAnsi="Arial" w:cs="Arial"/>
          <w:color w:val="0E101A"/>
          <w:sz w:val="24"/>
          <w:szCs w:val="24"/>
          <w:lang w:eastAsia="en-GB"/>
          <w14:ligatures w14:val="none"/>
        </w:rPr>
        <w:t xml:space="preserve"> medical therapy in one or two-vessel CAD. However, PCI has historically been considered in conjunction with CABG in complex triple-vessel or LMS CAD. The economic evaluation of the SYNTAX trial (n=1800) with complex 3-vessel disease, LMS disease or higher SYNTAX score &gt;33 revealed that the total initial index costs were approximately $10,000 higher in the CABG arm ($33,190) than the PCI arm ($23,154). However, during five years of follow-up, costs levelled between the two groups due to more frequent hospital admissions, repeat revascularisation procedures and incremental medication expenses in the PCI group. (177) CABG was associated with an improved ICER of $10,695 at one year with a sustained benefit of $27,485 at five years. (177) However, the sub-</w:t>
      </w:r>
      <w:r>
        <w:rPr>
          <w:rFonts w:ascii="Arial" w:eastAsia="Times New Roman" w:hAnsi="Arial" w:cs="Arial"/>
          <w:color w:val="0E101A"/>
          <w:sz w:val="24"/>
          <w:szCs w:val="24"/>
          <w:lang w:eastAsia="en-GB"/>
          <w14:ligatures w14:val="none"/>
        </w:rPr>
        <w:t xml:space="preserve">group </w:t>
      </w:r>
      <w:r w:rsidRPr="009E33E4">
        <w:rPr>
          <w:rFonts w:ascii="Arial" w:eastAsia="Times New Roman" w:hAnsi="Arial" w:cs="Arial"/>
          <w:color w:val="0E101A"/>
          <w:sz w:val="24"/>
          <w:szCs w:val="24"/>
          <w:lang w:eastAsia="en-GB"/>
          <w14:ligatures w14:val="none"/>
        </w:rPr>
        <w:t>analysis of low Syntax score patients (Syntax &lt;22) revealed that PCI was a more viable economic mode of revascularisation with an ICER of $15012 in favour of PCI. (177) Similarly, the economic appraisal of the FREEDOM trial (1900 patients with diabetes and MVD) revealed that although CABG was overall $8622 more costly than PCI for the index admission</w:t>
      </w:r>
      <w:r>
        <w:rPr>
          <w:rFonts w:ascii="Arial" w:eastAsia="Times New Roman" w:hAnsi="Arial" w:cs="Arial"/>
          <w:color w:val="0E101A"/>
          <w:sz w:val="24"/>
          <w:szCs w:val="24"/>
          <w:lang w:eastAsia="en-GB"/>
          <w14:ligatures w14:val="none"/>
        </w:rPr>
        <w:t>;</w:t>
      </w:r>
      <w:r w:rsidRPr="009E33E4">
        <w:rPr>
          <w:rFonts w:ascii="Arial" w:eastAsia="Times New Roman" w:hAnsi="Arial" w:cs="Arial"/>
          <w:color w:val="0E101A"/>
          <w:sz w:val="24"/>
          <w:szCs w:val="24"/>
          <w:lang w:eastAsia="en-GB"/>
          <w14:ligatures w14:val="none"/>
        </w:rPr>
        <w:t xml:space="preserve"> at a five-year follow-up, the cost difference reduced to only $3641 per patient. (178) The expected QALY gained by CABG was 0.86 with an associated ICER of $8064 at one year, with a sustained ICER favourability for CABG at $27,022 at five years. (178). Despite the trials clinically favouring one form of revascularisation or the other, decision-making in the 'real world' remains multifactorial. Therefore, a multidisciplinary approach by the "heart team" is encouraged in complex cases so that a consensus decision can be made in the best interest of the patients.</w:t>
      </w:r>
    </w:p>
    <w:p w14:paraId="06D762D3" w14:textId="77777777" w:rsidR="002B14DE" w:rsidRPr="009E33E4" w:rsidRDefault="002B14DE" w:rsidP="004942B6">
      <w:pPr>
        <w:spacing w:after="0" w:line="360" w:lineRule="auto"/>
        <w:jc w:val="both"/>
        <w:rPr>
          <w:rFonts w:ascii="Arial" w:eastAsia="Times New Roman" w:hAnsi="Arial" w:cs="Arial"/>
          <w:color w:val="0E101A"/>
          <w:sz w:val="24"/>
          <w:szCs w:val="24"/>
          <w:lang w:eastAsia="en-GB"/>
          <w14:ligatures w14:val="none"/>
        </w:rPr>
      </w:pPr>
    </w:p>
    <w:p w14:paraId="70A0E87B" w14:textId="77777777" w:rsidR="004942B6" w:rsidRPr="00893341" w:rsidRDefault="004942B6" w:rsidP="004942B6">
      <w:pPr>
        <w:spacing w:line="360" w:lineRule="auto"/>
        <w:jc w:val="both"/>
        <w:rPr>
          <w:rFonts w:ascii="Arial" w:hAnsi="Arial" w:cs="Arial"/>
          <w:color w:val="4472C4" w:themeColor="accent1"/>
          <w:sz w:val="24"/>
          <w:szCs w:val="24"/>
        </w:rPr>
      </w:pPr>
      <w:r w:rsidRPr="00893341">
        <w:rPr>
          <w:rFonts w:ascii="Arial" w:hAnsi="Arial" w:cs="Arial"/>
          <w:color w:val="4472C4" w:themeColor="accent1"/>
          <w:sz w:val="24"/>
          <w:szCs w:val="24"/>
        </w:rPr>
        <w:t xml:space="preserve">1.12.2 Health economics of invasive FFR </w:t>
      </w:r>
      <w:bookmarkEnd w:id="425"/>
    </w:p>
    <w:p w14:paraId="6803BC5B" w14:textId="6F376891" w:rsidR="004942B6" w:rsidRPr="00893341" w:rsidRDefault="004942B6" w:rsidP="002700E0">
      <w:pPr>
        <w:spacing w:line="360" w:lineRule="auto"/>
        <w:jc w:val="both"/>
        <w:rPr>
          <w:rFonts w:ascii="Arial" w:hAnsi="Arial" w:cs="Arial"/>
          <w:color w:val="4472C4" w:themeColor="accent1"/>
          <w:sz w:val="24"/>
          <w:szCs w:val="24"/>
        </w:rPr>
      </w:pPr>
      <w:r w:rsidRPr="00893341">
        <w:rPr>
          <w:rFonts w:ascii="Arial" w:hAnsi="Arial" w:cs="Arial"/>
          <w:sz w:val="24"/>
          <w:szCs w:val="24"/>
        </w:rPr>
        <w:t>FFR has proved its effectiveness in clinical settings, not only by improving patient outcomes but also by cost-effectiveness in the long run. A one-year cost-utility analysis of FAME showed improved costs ($14,315 FFR-guided vs $16,700 angiogram-guided arm). (179) A three-year follow-up of FAME-2 revealed that the mean initial cost was higher in the PCI versus the OMT group ($9944 vs $4440), but at three years, the values were similar in both groups ($16,792 vs $16,737)</w:t>
      </w:r>
      <w:r>
        <w:rPr>
          <w:rFonts w:ascii="Arial" w:hAnsi="Arial" w:cs="Arial"/>
          <w:sz w:val="24"/>
          <w:szCs w:val="24"/>
        </w:rPr>
        <w:t>.</w:t>
      </w:r>
      <w:r w:rsidRPr="00893341">
        <w:rPr>
          <w:rFonts w:ascii="Arial" w:hAnsi="Arial" w:cs="Arial"/>
          <w:sz w:val="24"/>
          <w:szCs w:val="24"/>
        </w:rPr>
        <w:t xml:space="preserve"> </w:t>
      </w:r>
      <w:r>
        <w:rPr>
          <w:rFonts w:ascii="Arial" w:hAnsi="Arial" w:cs="Arial"/>
          <w:sz w:val="24"/>
          <w:szCs w:val="24"/>
        </w:rPr>
        <w:t>T</w:t>
      </w:r>
      <w:r w:rsidRPr="00893341">
        <w:rPr>
          <w:rFonts w:ascii="Arial" w:hAnsi="Arial" w:cs="Arial"/>
          <w:sz w:val="24"/>
          <w:szCs w:val="24"/>
        </w:rPr>
        <w:t>he</w:t>
      </w:r>
      <w:r w:rsidR="00282E34">
        <w:rPr>
          <w:rFonts w:ascii="Arial" w:hAnsi="Arial" w:cs="Arial"/>
          <w:sz w:val="24"/>
          <w:szCs w:val="24"/>
        </w:rPr>
        <w:t xml:space="preserve"> cost </w:t>
      </w:r>
      <w:r w:rsidRPr="00893341">
        <w:rPr>
          <w:rFonts w:ascii="Arial" w:hAnsi="Arial" w:cs="Arial"/>
          <w:sz w:val="24"/>
          <w:szCs w:val="24"/>
        </w:rPr>
        <w:t xml:space="preserve">equalisation </w:t>
      </w:r>
      <w:r>
        <w:rPr>
          <w:rFonts w:ascii="Arial" w:hAnsi="Arial" w:cs="Arial"/>
          <w:sz w:val="24"/>
          <w:szCs w:val="24"/>
        </w:rPr>
        <w:t>was due to</w:t>
      </w:r>
      <w:r w:rsidRPr="00893341">
        <w:rPr>
          <w:rFonts w:ascii="Arial" w:hAnsi="Arial" w:cs="Arial"/>
          <w:sz w:val="24"/>
          <w:szCs w:val="24"/>
        </w:rPr>
        <w:t xml:space="preserve"> more revascularisations performed in the OMT cohort. (179) An ICER was estimated to be $17,300 per QALY at two years and $1600 at three years when comparing the FFR-guided PCI to OMT alone. (179) Similarly, in the RIPCORD study </w:t>
      </w:r>
      <w:r w:rsidRPr="00893341">
        <w:rPr>
          <w:rFonts w:ascii="Arial" w:hAnsi="Arial" w:cs="Arial"/>
          <w:sz w:val="24"/>
          <w:szCs w:val="24"/>
        </w:rPr>
        <w:lastRenderedPageBreak/>
        <w:t xml:space="preserve">(200 patients), the management plan was changed in 26% (52/200) of the patients with FFR, of which 28% (25 out of 89 patients) initially planned for PCI were converted to an OMT plan, and 13% (9 out of 72 patients) originally planned for OMT were converted to a PCI plan, resulting in a 9% net reduction of unnecessary revascularisations, which had an impact on the costs related to PCI and related complications. (180) </w:t>
      </w:r>
      <w:r>
        <w:rPr>
          <w:rFonts w:ascii="Arial" w:hAnsi="Arial" w:cs="Arial"/>
          <w:sz w:val="24"/>
          <w:szCs w:val="24"/>
        </w:rPr>
        <w:t>T</w:t>
      </w:r>
      <w:r w:rsidRPr="00893341">
        <w:rPr>
          <w:rFonts w:ascii="Arial" w:hAnsi="Arial" w:cs="Arial"/>
          <w:sz w:val="24"/>
          <w:szCs w:val="24"/>
        </w:rPr>
        <w:t>he RIPCORD-2 trial (</w:t>
      </w:r>
      <w:r>
        <w:rPr>
          <w:rFonts w:ascii="Arial" w:hAnsi="Arial" w:cs="Arial"/>
          <w:sz w:val="24"/>
          <w:szCs w:val="24"/>
        </w:rPr>
        <w:t>n=</w:t>
      </w:r>
      <w:r w:rsidRPr="00893341">
        <w:rPr>
          <w:rFonts w:ascii="Arial" w:hAnsi="Arial" w:cs="Arial"/>
          <w:sz w:val="24"/>
          <w:szCs w:val="24"/>
        </w:rPr>
        <w:t>1100) revealed that adding systematic FFR in all the vessels neither improves the cost (£4510 in the FFR group vs £4130 Angio group, p=0.137) nor makes any difference in the quality of life (75 in FFR vs 75 in Angio, p=0.88) at 12 months follow-up. (171) In the COMPARE-ACUTE trial (885 patients), the economic analysis showed that FFR-guided complete revascularisation was beneficial in comparison to IRA intervention-only, at both one year (€8150 vs €10,319) and three years (€8653 vs €11,100). (181)</w:t>
      </w:r>
      <w:r>
        <w:rPr>
          <w:rFonts w:ascii="Arial" w:hAnsi="Arial" w:cs="Arial"/>
          <w:sz w:val="24"/>
          <w:szCs w:val="24"/>
        </w:rPr>
        <w:t xml:space="preserve"> </w:t>
      </w:r>
      <w:r w:rsidR="00715BDD">
        <w:rPr>
          <w:rFonts w:ascii="Arial" w:hAnsi="Arial" w:cs="Arial"/>
          <w:sz w:val="24"/>
          <w:szCs w:val="24"/>
        </w:rPr>
        <w:t xml:space="preserve">Overall, </w:t>
      </w:r>
      <w:r w:rsidR="00715BDD" w:rsidRPr="00715BDD">
        <w:rPr>
          <w:rFonts w:ascii="Arial" w:hAnsi="Arial" w:cs="Arial"/>
          <w:sz w:val="24"/>
          <w:szCs w:val="24"/>
        </w:rPr>
        <w:t>the available literature supports the clinical and economic benefits of FFR-guided revascularisation.</w:t>
      </w:r>
    </w:p>
    <w:p w14:paraId="725DCAB1" w14:textId="77777777" w:rsidR="004942B6" w:rsidRPr="00893341" w:rsidRDefault="004942B6" w:rsidP="004942B6">
      <w:pPr>
        <w:spacing w:line="360" w:lineRule="auto"/>
      </w:pPr>
    </w:p>
    <w:p w14:paraId="1335EE20" w14:textId="77777777" w:rsidR="004942B6" w:rsidRPr="002A0D5D" w:rsidRDefault="004942B6" w:rsidP="004942B6">
      <w:pPr>
        <w:pStyle w:val="Heading3"/>
        <w:spacing w:line="360" w:lineRule="auto"/>
        <w:rPr>
          <w:rFonts w:ascii="Arial" w:hAnsi="Arial" w:cs="Arial"/>
          <w:color w:val="4472C4" w:themeColor="accent1"/>
          <w:sz w:val="24"/>
          <w:szCs w:val="24"/>
          <w:shd w:val="clear" w:color="auto" w:fill="FFFFFF"/>
        </w:rPr>
      </w:pPr>
      <w:bookmarkStart w:id="426" w:name="_Toc159613562"/>
      <w:bookmarkStart w:id="427" w:name="_Toc160981223"/>
      <w:bookmarkStart w:id="428" w:name="_Toc164676017"/>
      <w:bookmarkStart w:id="429" w:name="_Toc164680462"/>
      <w:bookmarkStart w:id="430" w:name="_Toc164681360"/>
      <w:bookmarkStart w:id="431" w:name="_Toc170075042"/>
      <w:bookmarkStart w:id="432" w:name="_Toc170076029"/>
      <w:bookmarkStart w:id="433" w:name="_Toc170577725"/>
      <w:bookmarkStart w:id="434" w:name="_Toc170579243"/>
      <w:bookmarkStart w:id="435" w:name="_Toc171203098"/>
      <w:bookmarkStart w:id="436" w:name="_Toc171203869"/>
      <w:r w:rsidRPr="002A0D5D">
        <w:rPr>
          <w:rFonts w:ascii="Arial" w:hAnsi="Arial" w:cs="Arial"/>
          <w:color w:val="4472C4" w:themeColor="accent1"/>
          <w:sz w:val="24"/>
          <w:szCs w:val="24"/>
          <w:shd w:val="clear" w:color="auto" w:fill="FFFFFF"/>
        </w:rPr>
        <w:t>1.12.3 Health economics of vFFR</w:t>
      </w:r>
      <w:bookmarkEnd w:id="426"/>
      <w:bookmarkEnd w:id="427"/>
      <w:bookmarkEnd w:id="428"/>
      <w:bookmarkEnd w:id="429"/>
      <w:bookmarkEnd w:id="430"/>
      <w:bookmarkEnd w:id="431"/>
      <w:bookmarkEnd w:id="432"/>
      <w:bookmarkEnd w:id="433"/>
      <w:bookmarkEnd w:id="434"/>
      <w:bookmarkEnd w:id="435"/>
      <w:bookmarkEnd w:id="436"/>
    </w:p>
    <w:p w14:paraId="16FD04FD" w14:textId="77777777" w:rsidR="004942B6" w:rsidRDefault="004942B6" w:rsidP="004942B6">
      <w:pPr>
        <w:spacing w:line="360" w:lineRule="auto"/>
        <w:jc w:val="both"/>
        <w:rPr>
          <w:rFonts w:ascii="Arial" w:hAnsi="Arial" w:cs="Arial"/>
          <w:color w:val="000000" w:themeColor="text1"/>
          <w:sz w:val="24"/>
          <w:szCs w:val="24"/>
        </w:rPr>
      </w:pPr>
      <w:r w:rsidRPr="0008193C">
        <w:rPr>
          <w:rFonts w:ascii="Arial" w:hAnsi="Arial" w:cs="Arial"/>
          <w:sz w:val="24"/>
          <w:szCs w:val="24"/>
          <w:shd w:val="clear" w:color="auto" w:fill="FFFFFF"/>
        </w:rPr>
        <w:t>The data related to the cost-effectiveness of vFFR is limited and mainly comes from the studies of FFR</w:t>
      </w:r>
      <w:r>
        <w:rPr>
          <w:rFonts w:ascii="Arial" w:hAnsi="Arial" w:cs="Arial"/>
          <w:sz w:val="24"/>
          <w:szCs w:val="24"/>
          <w:shd w:val="clear" w:color="auto" w:fill="FFFFFF"/>
          <w:vertAlign w:val="subscript"/>
        </w:rPr>
        <w:t>CT</w:t>
      </w:r>
      <w:r w:rsidRPr="0008193C">
        <w:rPr>
          <w:rFonts w:ascii="Arial" w:hAnsi="Arial" w:cs="Arial"/>
          <w:sz w:val="24"/>
          <w:szCs w:val="24"/>
          <w:shd w:val="clear" w:color="auto" w:fill="FFFFFF"/>
        </w:rPr>
        <w:t>. The PLATFORM trial (584 patients) demonstrated cost efficiency in FFR</w:t>
      </w:r>
      <w:r>
        <w:rPr>
          <w:rFonts w:ascii="Arial" w:hAnsi="Arial" w:cs="Arial"/>
          <w:sz w:val="24"/>
          <w:szCs w:val="24"/>
          <w:shd w:val="clear" w:color="auto" w:fill="FFFFFF"/>
          <w:vertAlign w:val="subscript"/>
        </w:rPr>
        <w:t>CT</w:t>
      </w:r>
      <w:r w:rsidRPr="0008193C">
        <w:rPr>
          <w:rFonts w:ascii="Arial" w:hAnsi="Arial" w:cs="Arial"/>
          <w:sz w:val="24"/>
          <w:szCs w:val="24"/>
          <w:shd w:val="clear" w:color="auto" w:fill="FFFFFF"/>
        </w:rPr>
        <w:t xml:space="preserve"> versus planned-invasive CAG in CCS patients ($8127 vs $12,145) at one-year follow-up. (26)  A single-centred UK study (251 patients) showed that the average time in a chest pain diagnostic pathway for definitive investigations for CAD could be reduced from 44 to 28 days if CTCA + FFR</w:t>
      </w:r>
      <w:r>
        <w:rPr>
          <w:rFonts w:ascii="Arial" w:hAnsi="Arial" w:cs="Arial"/>
          <w:sz w:val="24"/>
          <w:szCs w:val="24"/>
          <w:shd w:val="clear" w:color="auto" w:fill="FFFFFF"/>
          <w:vertAlign w:val="subscript"/>
        </w:rPr>
        <w:t>CT</w:t>
      </w:r>
      <w:r w:rsidRPr="0008193C">
        <w:rPr>
          <w:rFonts w:ascii="Arial" w:hAnsi="Arial" w:cs="Arial"/>
          <w:sz w:val="24"/>
          <w:szCs w:val="24"/>
          <w:shd w:val="clear" w:color="auto" w:fill="FFFFFF"/>
        </w:rPr>
        <w:t xml:space="preserve"> </w:t>
      </w:r>
      <w:r>
        <w:rPr>
          <w:rFonts w:ascii="Arial" w:hAnsi="Arial" w:cs="Arial"/>
          <w:sz w:val="24"/>
          <w:szCs w:val="24"/>
          <w:shd w:val="clear" w:color="auto" w:fill="FFFFFF"/>
        </w:rPr>
        <w:t xml:space="preserve">conjunctural </w:t>
      </w:r>
      <w:r w:rsidRPr="0008193C">
        <w:rPr>
          <w:rFonts w:ascii="Arial" w:hAnsi="Arial" w:cs="Arial"/>
          <w:sz w:val="24"/>
          <w:szCs w:val="24"/>
          <w:shd w:val="clear" w:color="auto" w:fill="FFFFFF"/>
        </w:rPr>
        <w:t>approach is used in comparison to CTCA-alone</w:t>
      </w:r>
      <w:r>
        <w:rPr>
          <w:rFonts w:ascii="Arial" w:hAnsi="Arial" w:cs="Arial"/>
          <w:sz w:val="24"/>
          <w:szCs w:val="24"/>
          <w:shd w:val="clear" w:color="auto" w:fill="FFFFFF"/>
        </w:rPr>
        <w:t>,</w:t>
      </w:r>
      <w:r w:rsidRPr="0008193C">
        <w:rPr>
          <w:rFonts w:ascii="Arial" w:hAnsi="Arial" w:cs="Arial"/>
          <w:sz w:val="24"/>
          <w:szCs w:val="24"/>
          <w:shd w:val="clear" w:color="auto" w:fill="FFFFFF"/>
        </w:rPr>
        <w:t xml:space="preserve"> </w:t>
      </w:r>
      <w:r>
        <w:rPr>
          <w:rFonts w:ascii="Arial" w:hAnsi="Arial" w:cs="Arial"/>
          <w:sz w:val="24"/>
          <w:szCs w:val="24"/>
          <w:shd w:val="clear" w:color="auto" w:fill="FFFFFF"/>
        </w:rPr>
        <w:t>at</w:t>
      </w:r>
      <w:r w:rsidRPr="0008193C">
        <w:rPr>
          <w:rFonts w:ascii="Arial" w:hAnsi="Arial" w:cs="Arial"/>
          <w:sz w:val="24"/>
          <w:szCs w:val="24"/>
          <w:shd w:val="clear" w:color="auto" w:fill="FFFFFF"/>
        </w:rPr>
        <w:t xml:space="preserve"> a </w:t>
      </w:r>
      <w:r>
        <w:rPr>
          <w:rFonts w:ascii="Arial" w:hAnsi="Arial" w:cs="Arial"/>
          <w:sz w:val="24"/>
          <w:szCs w:val="24"/>
          <w:shd w:val="clear" w:color="auto" w:fill="FFFFFF"/>
        </w:rPr>
        <w:t>minor</w:t>
      </w:r>
      <w:r w:rsidRPr="0008193C">
        <w:rPr>
          <w:rFonts w:ascii="Arial" w:hAnsi="Arial" w:cs="Arial"/>
          <w:sz w:val="24"/>
          <w:szCs w:val="24"/>
          <w:shd w:val="clear" w:color="auto" w:fill="FFFFFF"/>
        </w:rPr>
        <w:t xml:space="preserve"> increase</w:t>
      </w:r>
      <w:r>
        <w:rPr>
          <w:rFonts w:ascii="Arial" w:hAnsi="Arial" w:cs="Arial"/>
          <w:sz w:val="24"/>
          <w:szCs w:val="24"/>
          <w:shd w:val="clear" w:color="auto" w:fill="FFFFFF"/>
        </w:rPr>
        <w:t xml:space="preserve"> in</w:t>
      </w:r>
      <w:r w:rsidRPr="0008193C">
        <w:rPr>
          <w:rFonts w:ascii="Arial" w:hAnsi="Arial" w:cs="Arial"/>
          <w:sz w:val="24"/>
          <w:szCs w:val="24"/>
          <w:shd w:val="clear" w:color="auto" w:fill="FFFFFF"/>
        </w:rPr>
        <w:t xml:space="preserve"> cost of £45 per patient. (182) In 2017, medical technology guidance (MTG32) released by NICE stated that FFR</w:t>
      </w:r>
      <w:r>
        <w:rPr>
          <w:rFonts w:ascii="Arial" w:hAnsi="Arial" w:cs="Arial"/>
          <w:sz w:val="24"/>
          <w:szCs w:val="24"/>
          <w:shd w:val="clear" w:color="auto" w:fill="FFFFFF"/>
          <w:vertAlign w:val="subscript"/>
        </w:rPr>
        <w:t>CT</w:t>
      </w:r>
      <w:r w:rsidRPr="0008193C">
        <w:rPr>
          <w:rFonts w:ascii="Arial" w:hAnsi="Arial" w:cs="Arial"/>
          <w:sz w:val="24"/>
          <w:szCs w:val="24"/>
          <w:shd w:val="clear" w:color="auto" w:fill="FFFFFF"/>
        </w:rPr>
        <w:t xml:space="preserve"> is cost-effective and predicted that it may save up to £214 per patient. (141) NICE also stated that adopting the FFR</w:t>
      </w:r>
      <w:r>
        <w:rPr>
          <w:rFonts w:ascii="Arial" w:hAnsi="Arial" w:cs="Arial"/>
          <w:sz w:val="24"/>
          <w:szCs w:val="24"/>
          <w:shd w:val="clear" w:color="auto" w:fill="FFFFFF"/>
          <w:vertAlign w:val="subscript"/>
        </w:rPr>
        <w:t>CT</w:t>
      </w:r>
      <w:r w:rsidRPr="0008193C">
        <w:rPr>
          <w:rFonts w:ascii="Arial" w:hAnsi="Arial" w:cs="Arial"/>
          <w:sz w:val="24"/>
          <w:szCs w:val="24"/>
          <w:shd w:val="clear" w:color="auto" w:fill="FFFFFF"/>
        </w:rPr>
        <w:t xml:space="preserve"> approach could lead to savings of up to £9.1</w:t>
      </w:r>
      <w:r>
        <w:rPr>
          <w:rFonts w:ascii="Arial" w:hAnsi="Arial" w:cs="Arial"/>
          <w:sz w:val="24"/>
          <w:szCs w:val="24"/>
          <w:shd w:val="clear" w:color="auto" w:fill="FFFFFF"/>
        </w:rPr>
        <w:t>m</w:t>
      </w:r>
      <w:r w:rsidRPr="0008193C">
        <w:rPr>
          <w:rFonts w:ascii="Arial" w:hAnsi="Arial" w:cs="Arial"/>
          <w:sz w:val="24"/>
          <w:szCs w:val="24"/>
          <w:shd w:val="clear" w:color="auto" w:fill="FFFFFF"/>
        </w:rPr>
        <w:t xml:space="preserve"> by 2022, which led to the inclusion of FFR</w:t>
      </w:r>
      <w:r>
        <w:rPr>
          <w:rFonts w:ascii="Arial" w:hAnsi="Arial" w:cs="Arial"/>
          <w:sz w:val="24"/>
          <w:szCs w:val="24"/>
          <w:shd w:val="clear" w:color="auto" w:fill="FFFFFF"/>
          <w:vertAlign w:val="subscript"/>
        </w:rPr>
        <w:t>CT</w:t>
      </w:r>
      <w:r w:rsidRPr="0008193C">
        <w:rPr>
          <w:rFonts w:ascii="Arial" w:hAnsi="Arial" w:cs="Arial"/>
          <w:sz w:val="24"/>
          <w:szCs w:val="24"/>
          <w:shd w:val="clear" w:color="auto" w:fill="FFFFFF"/>
        </w:rPr>
        <w:t xml:space="preserve"> in the CG95 guidelines. (141)</w:t>
      </w:r>
    </w:p>
    <w:p w14:paraId="03B51CB4" w14:textId="77777777" w:rsidR="004942B6" w:rsidRDefault="004942B6" w:rsidP="004942B6">
      <w:pPr>
        <w:spacing w:line="360" w:lineRule="auto"/>
        <w:jc w:val="both"/>
        <w:rPr>
          <w:rFonts w:ascii="Arial" w:hAnsi="Arial" w:cs="Arial"/>
          <w:color w:val="000000" w:themeColor="text1"/>
          <w:sz w:val="24"/>
          <w:szCs w:val="24"/>
        </w:rPr>
      </w:pPr>
    </w:p>
    <w:p w14:paraId="561AE11C" w14:textId="77777777" w:rsidR="004942B6" w:rsidRPr="002A0D5D" w:rsidRDefault="004942B6" w:rsidP="004942B6">
      <w:pPr>
        <w:pStyle w:val="Heading3"/>
        <w:spacing w:line="360" w:lineRule="auto"/>
        <w:rPr>
          <w:rFonts w:ascii="Arial" w:hAnsi="Arial" w:cs="Arial"/>
          <w:color w:val="4472C4" w:themeColor="accent1"/>
          <w:sz w:val="24"/>
          <w:szCs w:val="24"/>
        </w:rPr>
      </w:pPr>
      <w:bookmarkStart w:id="437" w:name="_Toc159613563"/>
      <w:bookmarkStart w:id="438" w:name="_Toc160981224"/>
      <w:bookmarkStart w:id="439" w:name="_Toc164676018"/>
      <w:bookmarkStart w:id="440" w:name="_Toc164680463"/>
      <w:bookmarkStart w:id="441" w:name="_Toc164681361"/>
      <w:bookmarkStart w:id="442" w:name="_Toc170075043"/>
      <w:bookmarkStart w:id="443" w:name="_Toc170076030"/>
      <w:bookmarkStart w:id="444" w:name="_Toc170577726"/>
      <w:bookmarkStart w:id="445" w:name="_Toc170579244"/>
      <w:bookmarkStart w:id="446" w:name="_Toc171203099"/>
      <w:bookmarkStart w:id="447" w:name="_Toc171203870"/>
      <w:r w:rsidRPr="002A0D5D">
        <w:rPr>
          <w:rFonts w:ascii="Arial" w:hAnsi="Arial" w:cs="Arial"/>
          <w:color w:val="4472C4" w:themeColor="accent1"/>
          <w:sz w:val="24"/>
          <w:szCs w:val="24"/>
        </w:rPr>
        <w:t>1.12.4 NICE appraisal of vFFR softwares (QFR and CAAS vFFR)</w:t>
      </w:r>
      <w:bookmarkEnd w:id="437"/>
      <w:bookmarkEnd w:id="438"/>
      <w:bookmarkEnd w:id="439"/>
      <w:bookmarkEnd w:id="440"/>
      <w:bookmarkEnd w:id="441"/>
      <w:bookmarkEnd w:id="442"/>
      <w:bookmarkEnd w:id="443"/>
      <w:bookmarkEnd w:id="444"/>
      <w:bookmarkEnd w:id="445"/>
      <w:bookmarkEnd w:id="446"/>
      <w:bookmarkEnd w:id="447"/>
    </w:p>
    <w:p w14:paraId="603AC018" w14:textId="278C17F0" w:rsidR="004942B6" w:rsidRPr="000475FC" w:rsidRDefault="0036391D" w:rsidP="004942B6">
      <w:pPr>
        <w:spacing w:after="0" w:line="360" w:lineRule="auto"/>
        <w:jc w:val="both"/>
        <w:rPr>
          <w:rFonts w:ascii="Arial" w:eastAsia="Times New Roman" w:hAnsi="Arial" w:cs="Arial"/>
          <w:color w:val="0E101A"/>
          <w:sz w:val="24"/>
          <w:szCs w:val="24"/>
          <w:lang w:eastAsia="en-GB"/>
          <w14:ligatures w14:val="none"/>
        </w:rPr>
      </w:pPr>
      <w:r>
        <w:rPr>
          <w:rFonts w:ascii="Arial" w:hAnsi="Arial" w:cs="Arial"/>
          <w:sz w:val="24"/>
          <w:szCs w:val="24"/>
        </w:rPr>
        <w:t>vFFR</w:t>
      </w:r>
      <w:r w:rsidR="004942B6" w:rsidRPr="000475FC">
        <w:rPr>
          <w:rFonts w:ascii="Arial" w:eastAsia="Times New Roman" w:hAnsi="Arial" w:cs="Arial"/>
          <w:color w:val="0E101A"/>
          <w:sz w:val="24"/>
          <w:szCs w:val="24"/>
          <w:lang w:eastAsia="en-GB"/>
          <w14:ligatures w14:val="none"/>
        </w:rPr>
        <w:t>, in contrast to invasive FFR and FFR</w:t>
      </w:r>
      <w:r w:rsidR="004942B6" w:rsidRPr="00E42491">
        <w:rPr>
          <w:rFonts w:ascii="Arial" w:eastAsia="Times New Roman" w:hAnsi="Arial" w:cs="Arial"/>
          <w:color w:val="0E101A"/>
          <w:sz w:val="24"/>
          <w:szCs w:val="24"/>
          <w:vertAlign w:val="subscript"/>
          <w:lang w:eastAsia="en-GB"/>
          <w14:ligatures w14:val="none"/>
        </w:rPr>
        <w:t>CT</w:t>
      </w:r>
      <w:r w:rsidR="004942B6" w:rsidRPr="000475FC">
        <w:rPr>
          <w:rFonts w:ascii="Arial" w:eastAsia="Times New Roman" w:hAnsi="Arial" w:cs="Arial"/>
          <w:color w:val="0E101A"/>
          <w:sz w:val="24"/>
          <w:szCs w:val="24"/>
          <w:lang w:eastAsia="en-GB"/>
          <w14:ligatures w14:val="none"/>
        </w:rPr>
        <w:t>, is a relatively new technology; hence, minimal data</w:t>
      </w:r>
      <w:r w:rsidR="00821BF2">
        <w:rPr>
          <w:rFonts w:ascii="Arial" w:eastAsia="Times New Roman" w:hAnsi="Arial" w:cs="Arial"/>
          <w:color w:val="0E101A"/>
          <w:sz w:val="24"/>
          <w:szCs w:val="24"/>
          <w:lang w:eastAsia="en-GB"/>
          <w14:ligatures w14:val="none"/>
        </w:rPr>
        <w:t xml:space="preserve"> </w:t>
      </w:r>
      <w:r w:rsidR="004942B6" w:rsidRPr="000475FC">
        <w:rPr>
          <w:rFonts w:ascii="Arial" w:eastAsia="Times New Roman" w:hAnsi="Arial" w:cs="Arial"/>
          <w:color w:val="0E101A"/>
          <w:sz w:val="24"/>
          <w:szCs w:val="24"/>
          <w:lang w:eastAsia="en-GB"/>
          <w14:ligatures w14:val="none"/>
        </w:rPr>
        <w:t>on the cost-effectiveness of vFFR</w:t>
      </w:r>
      <w:r w:rsidR="00F238C4">
        <w:rPr>
          <w:rFonts w:ascii="Arial" w:eastAsia="Times New Roman" w:hAnsi="Arial" w:cs="Arial"/>
          <w:color w:val="0E101A"/>
          <w:sz w:val="24"/>
          <w:szCs w:val="24"/>
          <w:lang w:eastAsia="en-GB"/>
          <w14:ligatures w14:val="none"/>
        </w:rPr>
        <w:t xml:space="preserve"> are available</w:t>
      </w:r>
      <w:r w:rsidR="004942B6" w:rsidRPr="000475FC">
        <w:rPr>
          <w:rFonts w:ascii="Arial" w:eastAsia="Times New Roman" w:hAnsi="Arial" w:cs="Arial"/>
          <w:color w:val="0E101A"/>
          <w:sz w:val="24"/>
          <w:szCs w:val="24"/>
          <w:lang w:eastAsia="en-GB"/>
          <w14:ligatures w14:val="none"/>
        </w:rPr>
        <w:t>. NICE published a diagnostic guidance (DG43) related to the clinical and cost-effectiveness of the imaging software (QAngio XA 3D QFR and CAAS</w:t>
      </w:r>
      <w:r w:rsidR="004942B6">
        <w:rPr>
          <w:rFonts w:ascii="Arial" w:eastAsia="Times New Roman" w:hAnsi="Arial" w:cs="Arial"/>
          <w:color w:val="0E101A"/>
          <w:sz w:val="24"/>
          <w:szCs w:val="24"/>
          <w:lang w:eastAsia="en-GB"/>
          <w14:ligatures w14:val="none"/>
        </w:rPr>
        <w:t>-</w:t>
      </w:r>
      <w:r w:rsidR="004942B6" w:rsidRPr="000475FC">
        <w:rPr>
          <w:rFonts w:ascii="Arial" w:eastAsia="Times New Roman" w:hAnsi="Arial" w:cs="Arial"/>
          <w:color w:val="0E101A"/>
          <w:sz w:val="24"/>
          <w:szCs w:val="24"/>
          <w:lang w:eastAsia="en-GB"/>
          <w14:ligatures w14:val="none"/>
        </w:rPr>
        <w:t xml:space="preserve">vFFR) during CAG. </w:t>
      </w:r>
      <w:r w:rsidR="004942B6">
        <w:rPr>
          <w:rFonts w:ascii="Arial" w:eastAsia="Times New Roman" w:hAnsi="Arial" w:cs="Arial"/>
          <w:color w:val="0E101A"/>
          <w:sz w:val="24"/>
          <w:szCs w:val="24"/>
          <w:lang w:eastAsia="en-GB"/>
          <w14:ligatures w14:val="none"/>
        </w:rPr>
        <w:t>C</w:t>
      </w:r>
      <w:r w:rsidR="004942B6" w:rsidRPr="000475FC">
        <w:rPr>
          <w:rFonts w:ascii="Arial" w:eastAsia="Times New Roman" w:hAnsi="Arial" w:cs="Arial"/>
          <w:color w:val="0E101A"/>
          <w:sz w:val="24"/>
          <w:szCs w:val="24"/>
          <w:lang w:eastAsia="en-GB"/>
          <w14:ligatures w14:val="none"/>
        </w:rPr>
        <w:t xml:space="preserve">linical </w:t>
      </w:r>
      <w:r w:rsidR="004942B6" w:rsidRPr="000475FC">
        <w:rPr>
          <w:rFonts w:ascii="Arial" w:eastAsia="Times New Roman" w:hAnsi="Arial" w:cs="Arial"/>
          <w:color w:val="0E101A"/>
          <w:sz w:val="24"/>
          <w:szCs w:val="24"/>
          <w:lang w:eastAsia="en-GB"/>
          <w14:ligatures w14:val="none"/>
        </w:rPr>
        <w:lastRenderedPageBreak/>
        <w:t xml:space="preserve">effectiveness was </w:t>
      </w:r>
      <w:r w:rsidR="004942B6">
        <w:rPr>
          <w:rFonts w:ascii="Arial" w:eastAsia="Times New Roman" w:hAnsi="Arial" w:cs="Arial"/>
          <w:color w:val="0E101A"/>
          <w:sz w:val="24"/>
          <w:szCs w:val="24"/>
          <w:lang w:eastAsia="en-GB"/>
          <w14:ligatures w14:val="none"/>
        </w:rPr>
        <w:t>assessed using</w:t>
      </w:r>
      <w:r w:rsidR="004942B6" w:rsidRPr="000475FC">
        <w:rPr>
          <w:rFonts w:ascii="Arial" w:eastAsia="Times New Roman" w:hAnsi="Arial" w:cs="Arial"/>
          <w:color w:val="0E101A"/>
          <w:sz w:val="24"/>
          <w:szCs w:val="24"/>
          <w:lang w:eastAsia="en-GB"/>
          <w14:ligatures w14:val="none"/>
        </w:rPr>
        <w:t xml:space="preserve"> a simulation study to estimate the probable impact of vFFR on coronary outcomes compared to invasive FFR evaluation. The sample population was taken predominantly from 39 studies of QFR and three studies of CAAS</w:t>
      </w:r>
      <w:r w:rsidR="004942B6">
        <w:rPr>
          <w:rFonts w:ascii="Arial" w:eastAsia="Times New Roman" w:hAnsi="Arial" w:cs="Arial"/>
          <w:color w:val="0E101A"/>
          <w:sz w:val="24"/>
          <w:szCs w:val="24"/>
          <w:lang w:eastAsia="en-GB"/>
          <w14:ligatures w14:val="none"/>
        </w:rPr>
        <w:t>-</w:t>
      </w:r>
      <w:r w:rsidR="004942B6" w:rsidRPr="000475FC">
        <w:rPr>
          <w:rFonts w:ascii="Arial" w:eastAsia="Times New Roman" w:hAnsi="Arial" w:cs="Arial"/>
          <w:color w:val="0E101A"/>
          <w:sz w:val="24"/>
          <w:szCs w:val="24"/>
          <w:lang w:eastAsia="en-GB"/>
          <w14:ligatures w14:val="none"/>
        </w:rPr>
        <w:t>vFFR, and the predictive MACE data were extracted from the IRIS-FFR registry as the primary outcome of the simulation analysis.</w:t>
      </w:r>
      <w:r w:rsidR="004942B6">
        <w:rPr>
          <w:rFonts w:ascii="Arial" w:eastAsia="Times New Roman" w:hAnsi="Arial" w:cs="Arial"/>
          <w:color w:val="0E101A"/>
          <w:sz w:val="24"/>
          <w:szCs w:val="24"/>
          <w:lang w:eastAsia="en-GB"/>
          <w14:ligatures w14:val="none"/>
        </w:rPr>
        <w:t xml:space="preserve"> </w:t>
      </w:r>
      <w:r w:rsidR="004942B6" w:rsidRPr="000475FC">
        <w:rPr>
          <w:rFonts w:ascii="Arial" w:eastAsia="Times New Roman" w:hAnsi="Arial" w:cs="Arial"/>
          <w:color w:val="0E101A"/>
          <w:sz w:val="24"/>
          <w:szCs w:val="24"/>
          <w:lang w:eastAsia="en-GB"/>
          <w14:ligatures w14:val="none"/>
        </w:rPr>
        <w:t>For clinical effectiveness analysis, three treatment strategies for revascularisation decisions were analysed.</w:t>
      </w:r>
    </w:p>
    <w:p w14:paraId="48E83927" w14:textId="77777777" w:rsidR="004942B6" w:rsidRPr="000475FC" w:rsidRDefault="004942B6" w:rsidP="00C03BCF">
      <w:pPr>
        <w:numPr>
          <w:ilvl w:val="0"/>
          <w:numId w:val="13"/>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Invasive FFR-guided strategy – Perform FFR for all vessels and revascularise if FFR is ≤0.8</w:t>
      </w:r>
      <w:r>
        <w:rPr>
          <w:rFonts w:ascii="Arial" w:eastAsia="Times New Roman" w:hAnsi="Arial" w:cs="Arial"/>
          <w:color w:val="0E101A"/>
          <w:sz w:val="24"/>
          <w:szCs w:val="24"/>
          <w:lang w:eastAsia="en-GB"/>
          <w14:ligatures w14:val="none"/>
        </w:rPr>
        <w:t>0</w:t>
      </w:r>
      <w:r w:rsidRPr="000475FC">
        <w:rPr>
          <w:rFonts w:ascii="Arial" w:eastAsia="Times New Roman" w:hAnsi="Arial" w:cs="Arial"/>
          <w:color w:val="0E101A"/>
          <w:sz w:val="24"/>
          <w:szCs w:val="24"/>
          <w:lang w:eastAsia="en-GB"/>
          <w14:ligatures w14:val="none"/>
        </w:rPr>
        <w:t>.</w:t>
      </w:r>
    </w:p>
    <w:p w14:paraId="0FE55E3E" w14:textId="77777777" w:rsidR="004942B6" w:rsidRPr="000475FC" w:rsidRDefault="004942B6" w:rsidP="00C03BCF">
      <w:pPr>
        <w:numPr>
          <w:ilvl w:val="0"/>
          <w:numId w:val="13"/>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vFFR-guided strategy – Perform QFR for all vessels and revascularise if QFR is ≤0.8</w:t>
      </w:r>
      <w:r>
        <w:rPr>
          <w:rFonts w:ascii="Arial" w:eastAsia="Times New Roman" w:hAnsi="Arial" w:cs="Arial"/>
          <w:color w:val="0E101A"/>
          <w:sz w:val="24"/>
          <w:szCs w:val="24"/>
          <w:lang w:eastAsia="en-GB"/>
          <w14:ligatures w14:val="none"/>
        </w:rPr>
        <w:t>0</w:t>
      </w:r>
      <w:r w:rsidRPr="000475FC">
        <w:rPr>
          <w:rFonts w:ascii="Arial" w:eastAsia="Times New Roman" w:hAnsi="Arial" w:cs="Arial"/>
          <w:color w:val="0E101A"/>
          <w:sz w:val="24"/>
          <w:szCs w:val="24"/>
          <w:lang w:eastAsia="en-GB"/>
          <w14:ligatures w14:val="none"/>
        </w:rPr>
        <w:t>, without invasive FFR assessment.</w:t>
      </w:r>
    </w:p>
    <w:p w14:paraId="6D5D3887" w14:textId="77777777" w:rsidR="004942B6" w:rsidRPr="000475FC" w:rsidRDefault="004942B6" w:rsidP="00C03BCF">
      <w:pPr>
        <w:numPr>
          <w:ilvl w:val="0"/>
          <w:numId w:val="13"/>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For grey zone patients:</w:t>
      </w:r>
    </w:p>
    <w:p w14:paraId="2C4E823D" w14:textId="77777777" w:rsidR="004942B6" w:rsidRPr="000475FC" w:rsidRDefault="004942B6" w:rsidP="00E50651">
      <w:pPr>
        <w:numPr>
          <w:ilvl w:val="1"/>
          <w:numId w:val="21"/>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If vFFR is less than 0.78, revascularisation should be performed.</w:t>
      </w:r>
    </w:p>
    <w:p w14:paraId="5AE726EA" w14:textId="77777777" w:rsidR="004942B6" w:rsidRPr="000475FC" w:rsidRDefault="004942B6" w:rsidP="00E50651">
      <w:pPr>
        <w:numPr>
          <w:ilvl w:val="1"/>
          <w:numId w:val="21"/>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If vFFR is more than 0.84, there is no need for revascularisation.</w:t>
      </w:r>
    </w:p>
    <w:p w14:paraId="70CCC728" w14:textId="77777777" w:rsidR="004942B6" w:rsidRDefault="004942B6" w:rsidP="00E50651">
      <w:pPr>
        <w:numPr>
          <w:ilvl w:val="1"/>
          <w:numId w:val="21"/>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 xml:space="preserve">If vFFR is 0.78 – 0.84, invasive FFR-guided revascularisation </w:t>
      </w:r>
      <w:r>
        <w:rPr>
          <w:rFonts w:ascii="Arial" w:eastAsia="Times New Roman" w:hAnsi="Arial" w:cs="Arial"/>
          <w:color w:val="0E101A"/>
          <w:sz w:val="24"/>
          <w:szCs w:val="24"/>
          <w:lang w:eastAsia="en-GB"/>
          <w14:ligatures w14:val="none"/>
        </w:rPr>
        <w:t xml:space="preserve">should </w:t>
      </w:r>
      <w:r w:rsidRPr="000475FC">
        <w:rPr>
          <w:rFonts w:ascii="Arial" w:eastAsia="Times New Roman" w:hAnsi="Arial" w:cs="Arial"/>
          <w:color w:val="0E101A"/>
          <w:sz w:val="24"/>
          <w:szCs w:val="24"/>
          <w:lang w:eastAsia="en-GB"/>
          <w14:ligatures w14:val="none"/>
        </w:rPr>
        <w:t>be performed at ≤0.8</w:t>
      </w:r>
      <w:r>
        <w:rPr>
          <w:rFonts w:ascii="Arial" w:eastAsia="Times New Roman" w:hAnsi="Arial" w:cs="Arial"/>
          <w:color w:val="0E101A"/>
          <w:sz w:val="24"/>
          <w:szCs w:val="24"/>
          <w:lang w:eastAsia="en-GB"/>
          <w14:ligatures w14:val="none"/>
        </w:rPr>
        <w:t>0</w:t>
      </w:r>
      <w:r w:rsidRPr="000475FC">
        <w:rPr>
          <w:rFonts w:ascii="Arial" w:eastAsia="Times New Roman" w:hAnsi="Arial" w:cs="Arial"/>
          <w:color w:val="0E101A"/>
          <w:sz w:val="24"/>
          <w:szCs w:val="24"/>
          <w:lang w:eastAsia="en-GB"/>
          <w14:ligatures w14:val="none"/>
        </w:rPr>
        <w:t xml:space="preserve"> threshold.</w:t>
      </w:r>
    </w:p>
    <w:p w14:paraId="7B0135CD" w14:textId="77777777" w:rsidR="004942B6" w:rsidRDefault="004942B6" w:rsidP="004942B6">
      <w:pPr>
        <w:spacing w:after="0" w:line="360" w:lineRule="auto"/>
        <w:jc w:val="both"/>
        <w:rPr>
          <w:rFonts w:ascii="Arial" w:eastAsia="Times New Roman" w:hAnsi="Arial" w:cs="Arial"/>
          <w:color w:val="0E101A"/>
          <w:sz w:val="24"/>
          <w:szCs w:val="24"/>
          <w:lang w:eastAsia="en-GB"/>
          <w14:ligatures w14:val="none"/>
        </w:rPr>
      </w:pPr>
      <w:r w:rsidRPr="00024BB4">
        <w:rPr>
          <w:rFonts w:ascii="Arial" w:eastAsia="Times New Roman" w:hAnsi="Arial" w:cs="Arial"/>
          <w:color w:val="0E101A"/>
          <w:sz w:val="24"/>
          <w:szCs w:val="24"/>
          <w:lang w:eastAsia="en-GB"/>
          <w14:ligatures w14:val="none"/>
        </w:rPr>
        <w:t xml:space="preserve">The outcome of this simulation analysis </w:t>
      </w:r>
      <w:r>
        <w:rPr>
          <w:rFonts w:ascii="Arial" w:eastAsia="Times New Roman" w:hAnsi="Arial" w:cs="Arial"/>
          <w:color w:val="0E101A"/>
          <w:sz w:val="24"/>
          <w:szCs w:val="24"/>
          <w:lang w:eastAsia="en-GB"/>
          <w14:ligatures w14:val="none"/>
        </w:rPr>
        <w:t xml:space="preserve">revealed </w:t>
      </w:r>
      <w:r w:rsidRPr="00024BB4">
        <w:rPr>
          <w:rFonts w:ascii="Arial" w:eastAsia="Times New Roman" w:hAnsi="Arial" w:cs="Arial"/>
          <w:color w:val="0E101A"/>
          <w:sz w:val="24"/>
          <w:szCs w:val="24"/>
          <w:lang w:eastAsia="en-GB"/>
          <w14:ligatures w14:val="none"/>
        </w:rPr>
        <w:t xml:space="preserve">that the FFR-guided strategy would have led to a revascularisation </w:t>
      </w:r>
      <w:r>
        <w:rPr>
          <w:rFonts w:ascii="Arial" w:eastAsia="Times New Roman" w:hAnsi="Arial" w:cs="Arial"/>
          <w:color w:val="0E101A"/>
          <w:sz w:val="24"/>
          <w:szCs w:val="24"/>
          <w:lang w:eastAsia="en-GB"/>
          <w14:ligatures w14:val="none"/>
        </w:rPr>
        <w:t xml:space="preserve">rate </w:t>
      </w:r>
      <w:r w:rsidRPr="00024BB4">
        <w:rPr>
          <w:rFonts w:ascii="Arial" w:eastAsia="Times New Roman" w:hAnsi="Arial" w:cs="Arial"/>
          <w:color w:val="0E101A"/>
          <w:sz w:val="24"/>
          <w:szCs w:val="24"/>
          <w:lang w:eastAsia="en-GB"/>
          <w14:ligatures w14:val="none"/>
        </w:rPr>
        <w:t>of 40.2%</w:t>
      </w:r>
      <w:r>
        <w:rPr>
          <w:rFonts w:ascii="Arial" w:eastAsia="Times New Roman" w:hAnsi="Arial" w:cs="Arial"/>
          <w:color w:val="0E101A"/>
          <w:sz w:val="24"/>
          <w:szCs w:val="24"/>
          <w:lang w:eastAsia="en-GB"/>
          <w14:ligatures w14:val="none"/>
        </w:rPr>
        <w:t>, and</w:t>
      </w:r>
      <w:r w:rsidRPr="00024BB4">
        <w:rPr>
          <w:rFonts w:ascii="Arial" w:eastAsia="Times New Roman" w:hAnsi="Arial" w:cs="Arial"/>
          <w:color w:val="0E101A"/>
          <w:sz w:val="24"/>
          <w:szCs w:val="24"/>
          <w:lang w:eastAsia="en-GB"/>
          <w14:ligatures w14:val="none"/>
        </w:rPr>
        <w:t xml:space="preserve"> the vFFR-guided and grey zone strateg</w:t>
      </w:r>
      <w:r>
        <w:rPr>
          <w:rFonts w:ascii="Arial" w:eastAsia="Times New Roman" w:hAnsi="Arial" w:cs="Arial"/>
          <w:color w:val="0E101A"/>
          <w:sz w:val="24"/>
          <w:szCs w:val="24"/>
          <w:lang w:eastAsia="en-GB"/>
          <w14:ligatures w14:val="none"/>
        </w:rPr>
        <w:t>ies</w:t>
      </w:r>
      <w:r w:rsidRPr="00024BB4">
        <w:rPr>
          <w:rFonts w:ascii="Arial" w:eastAsia="Times New Roman" w:hAnsi="Arial" w:cs="Arial"/>
          <w:color w:val="0E101A"/>
          <w:sz w:val="24"/>
          <w:szCs w:val="24"/>
          <w:lang w:eastAsia="en-GB"/>
          <w14:ligatures w14:val="none"/>
        </w:rPr>
        <w:t xml:space="preserve"> would have led to </w:t>
      </w:r>
      <w:r>
        <w:rPr>
          <w:rFonts w:ascii="Arial" w:eastAsia="Times New Roman" w:hAnsi="Arial" w:cs="Arial"/>
          <w:color w:val="0E101A"/>
          <w:sz w:val="24"/>
          <w:szCs w:val="24"/>
          <w:lang w:eastAsia="en-GB"/>
          <w14:ligatures w14:val="none"/>
        </w:rPr>
        <w:t xml:space="preserve">rates of </w:t>
      </w:r>
      <w:r w:rsidRPr="00024BB4">
        <w:rPr>
          <w:rFonts w:ascii="Arial" w:eastAsia="Times New Roman" w:hAnsi="Arial" w:cs="Arial"/>
          <w:color w:val="0E101A"/>
          <w:sz w:val="24"/>
          <w:szCs w:val="24"/>
          <w:lang w:eastAsia="en-GB"/>
          <w14:ligatures w14:val="none"/>
        </w:rPr>
        <w:t>42</w:t>
      </w:r>
      <w:r>
        <w:rPr>
          <w:rFonts w:ascii="Arial" w:eastAsia="Times New Roman" w:hAnsi="Arial" w:cs="Arial"/>
          <w:color w:val="0E101A"/>
          <w:sz w:val="24"/>
          <w:szCs w:val="24"/>
          <w:lang w:eastAsia="en-GB"/>
          <w14:ligatures w14:val="none"/>
        </w:rPr>
        <w:t>.0</w:t>
      </w:r>
      <w:r w:rsidRPr="00024BB4">
        <w:rPr>
          <w:rFonts w:ascii="Arial" w:eastAsia="Times New Roman" w:hAnsi="Arial" w:cs="Arial"/>
          <w:color w:val="0E101A"/>
          <w:sz w:val="24"/>
          <w:szCs w:val="24"/>
          <w:lang w:eastAsia="en-GB"/>
          <w14:ligatures w14:val="none"/>
        </w:rPr>
        <w:t>% and 43.2%</w:t>
      </w:r>
      <w:r>
        <w:rPr>
          <w:rFonts w:ascii="Arial" w:eastAsia="Times New Roman" w:hAnsi="Arial" w:cs="Arial"/>
          <w:color w:val="0E101A"/>
          <w:sz w:val="24"/>
          <w:szCs w:val="24"/>
          <w:lang w:eastAsia="en-GB"/>
          <w14:ligatures w14:val="none"/>
        </w:rPr>
        <w:t>, respectively</w:t>
      </w:r>
      <w:r w:rsidRPr="00024BB4">
        <w:rPr>
          <w:rFonts w:ascii="Arial" w:eastAsia="Times New Roman" w:hAnsi="Arial" w:cs="Arial"/>
          <w:color w:val="0E101A"/>
          <w:sz w:val="24"/>
          <w:szCs w:val="24"/>
          <w:lang w:eastAsia="en-GB"/>
          <w14:ligatures w14:val="none"/>
        </w:rPr>
        <w:t xml:space="preserve">. Overall, the difference in the clinical evidence slightly favoured invasive FFR over vFFR to guide revascularisation decisions following CAG. It is </w:t>
      </w:r>
      <w:r>
        <w:rPr>
          <w:rFonts w:ascii="Arial" w:eastAsia="Times New Roman" w:hAnsi="Arial" w:cs="Arial"/>
          <w:color w:val="0E101A"/>
          <w:sz w:val="24"/>
          <w:szCs w:val="24"/>
          <w:lang w:eastAsia="en-GB"/>
          <w14:ligatures w14:val="none"/>
        </w:rPr>
        <w:t>important</w:t>
      </w:r>
      <w:r w:rsidRPr="00024BB4">
        <w:rPr>
          <w:rFonts w:ascii="Arial" w:eastAsia="Times New Roman" w:hAnsi="Arial" w:cs="Arial"/>
          <w:color w:val="0E101A"/>
          <w:sz w:val="24"/>
          <w:szCs w:val="24"/>
          <w:lang w:eastAsia="en-GB"/>
          <w14:ligatures w14:val="none"/>
        </w:rPr>
        <w:t xml:space="preserve"> to note that this analysis was only performed for stable anginal patients (CCS). As per the outcomes from the ISCHAEMIA and COURAGE trials, revascularisation only improved the quality of life by enhancing anginal symptoms without affecting the MACE outcomes</w:t>
      </w:r>
      <w:r>
        <w:rPr>
          <w:rFonts w:ascii="Arial" w:eastAsia="Times New Roman" w:hAnsi="Arial" w:cs="Arial"/>
          <w:color w:val="0E101A"/>
          <w:sz w:val="24"/>
          <w:szCs w:val="24"/>
          <w:lang w:eastAsia="en-GB"/>
          <w14:ligatures w14:val="none"/>
        </w:rPr>
        <w:t xml:space="preserve"> in CCS settings</w:t>
      </w:r>
      <w:r w:rsidRPr="00024BB4">
        <w:rPr>
          <w:rFonts w:ascii="Arial" w:eastAsia="Times New Roman" w:hAnsi="Arial" w:cs="Arial"/>
          <w:color w:val="0E101A"/>
          <w:sz w:val="24"/>
          <w:szCs w:val="24"/>
          <w:lang w:eastAsia="en-GB"/>
          <w14:ligatures w14:val="none"/>
        </w:rPr>
        <w:t>. (183-184)</w:t>
      </w:r>
    </w:p>
    <w:p w14:paraId="76AFE9A5" w14:textId="77777777" w:rsidR="001F4EBA" w:rsidRPr="00024BB4" w:rsidRDefault="001F4EBA" w:rsidP="004942B6">
      <w:pPr>
        <w:spacing w:after="0" w:line="360" w:lineRule="auto"/>
        <w:jc w:val="both"/>
        <w:rPr>
          <w:rFonts w:ascii="Arial" w:eastAsia="Times New Roman" w:hAnsi="Arial" w:cs="Arial"/>
          <w:color w:val="0E101A"/>
          <w:sz w:val="24"/>
          <w:szCs w:val="24"/>
          <w:lang w:eastAsia="en-GB"/>
          <w14:ligatures w14:val="none"/>
        </w:rPr>
      </w:pPr>
    </w:p>
    <w:p w14:paraId="7879E571" w14:textId="77777777" w:rsidR="004942B6" w:rsidRPr="000475FC" w:rsidRDefault="004942B6" w:rsidP="004942B6">
      <w:p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 xml:space="preserve">The cost-effectiveness analysis was also performed </w:t>
      </w:r>
      <w:r>
        <w:rPr>
          <w:rFonts w:ascii="Arial" w:eastAsia="Times New Roman" w:hAnsi="Arial" w:cs="Arial"/>
          <w:color w:val="0E101A"/>
          <w:sz w:val="24"/>
          <w:szCs w:val="24"/>
          <w:lang w:eastAsia="en-GB"/>
          <w14:ligatures w14:val="none"/>
        </w:rPr>
        <w:t>using</w:t>
      </w:r>
      <w:r w:rsidRPr="000475FC">
        <w:rPr>
          <w:rFonts w:ascii="Arial" w:eastAsia="Times New Roman" w:hAnsi="Arial" w:cs="Arial"/>
          <w:color w:val="0E101A"/>
          <w:sz w:val="24"/>
          <w:szCs w:val="24"/>
          <w:lang w:eastAsia="en-GB"/>
          <w14:ligatures w14:val="none"/>
        </w:rPr>
        <w:t xml:space="preserve"> the economic model with a diagnostic and prognostic part. Five strategies were considered:</w:t>
      </w:r>
    </w:p>
    <w:p w14:paraId="77641682" w14:textId="77777777" w:rsidR="004942B6" w:rsidRPr="000475FC" w:rsidRDefault="004942B6" w:rsidP="00C03BCF">
      <w:pPr>
        <w:numPr>
          <w:ilvl w:val="0"/>
          <w:numId w:val="14"/>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Invasive coronary angiogram</w:t>
      </w:r>
    </w:p>
    <w:p w14:paraId="55C0802C" w14:textId="77777777" w:rsidR="004942B6" w:rsidRPr="000475FC" w:rsidRDefault="004942B6" w:rsidP="00C03BCF">
      <w:pPr>
        <w:numPr>
          <w:ilvl w:val="0"/>
          <w:numId w:val="14"/>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Invasive coronary angiogram + FFR / iFR</w:t>
      </w:r>
    </w:p>
    <w:p w14:paraId="5501F711" w14:textId="77777777" w:rsidR="004942B6" w:rsidRPr="000475FC" w:rsidRDefault="004942B6" w:rsidP="00C03BCF">
      <w:pPr>
        <w:numPr>
          <w:ilvl w:val="0"/>
          <w:numId w:val="14"/>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Invasive coronary angiogram + QFR</w:t>
      </w:r>
    </w:p>
    <w:p w14:paraId="47703445" w14:textId="77777777" w:rsidR="004942B6" w:rsidRPr="000475FC" w:rsidRDefault="004942B6" w:rsidP="00C03BCF">
      <w:pPr>
        <w:numPr>
          <w:ilvl w:val="0"/>
          <w:numId w:val="14"/>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Invasive coronary angiogram + QFR, followed by invasive FFR if QFR is in the inconclusive zone (0.78 – 0.84)</w:t>
      </w:r>
    </w:p>
    <w:p w14:paraId="369226E4" w14:textId="77777777" w:rsidR="004942B6" w:rsidRDefault="004942B6" w:rsidP="00C03BCF">
      <w:pPr>
        <w:numPr>
          <w:ilvl w:val="0"/>
          <w:numId w:val="14"/>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Invasive coronary angiogram + CAAS</w:t>
      </w:r>
      <w:r>
        <w:rPr>
          <w:rFonts w:ascii="Arial" w:eastAsia="Times New Roman" w:hAnsi="Arial" w:cs="Arial"/>
          <w:color w:val="0E101A"/>
          <w:sz w:val="24"/>
          <w:szCs w:val="24"/>
          <w:lang w:eastAsia="en-GB"/>
          <w14:ligatures w14:val="none"/>
        </w:rPr>
        <w:t>-</w:t>
      </w:r>
      <w:r w:rsidRPr="000475FC">
        <w:rPr>
          <w:rFonts w:ascii="Arial" w:eastAsia="Times New Roman" w:hAnsi="Arial" w:cs="Arial"/>
          <w:color w:val="0E101A"/>
          <w:sz w:val="24"/>
          <w:szCs w:val="24"/>
          <w:lang w:eastAsia="en-GB"/>
          <w14:ligatures w14:val="none"/>
        </w:rPr>
        <w:t>vFFR</w:t>
      </w:r>
    </w:p>
    <w:p w14:paraId="1FEABAEB" w14:textId="4A526D86" w:rsidR="004942B6" w:rsidRPr="000475FC" w:rsidRDefault="004942B6" w:rsidP="004942B6">
      <w:p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lastRenderedPageBreak/>
        <w:t>The base case cost submission for QFR for 200 people per year was £223.50, and for CAAS</w:t>
      </w:r>
      <w:r>
        <w:rPr>
          <w:rFonts w:ascii="Arial" w:eastAsia="Times New Roman" w:hAnsi="Arial" w:cs="Arial"/>
          <w:color w:val="0E101A"/>
          <w:sz w:val="24"/>
          <w:szCs w:val="24"/>
          <w:lang w:eastAsia="en-GB"/>
          <w14:ligatures w14:val="none"/>
        </w:rPr>
        <w:t>-</w:t>
      </w:r>
      <w:r w:rsidRPr="000475FC">
        <w:rPr>
          <w:rFonts w:ascii="Arial" w:eastAsia="Times New Roman" w:hAnsi="Arial" w:cs="Arial"/>
          <w:color w:val="0E101A"/>
          <w:sz w:val="24"/>
          <w:szCs w:val="24"/>
          <w:lang w:eastAsia="en-GB"/>
          <w14:ligatures w14:val="none"/>
        </w:rPr>
        <w:t>vFFR, it was £172.18. The unit cost of invasive FFR / iFR was estimated to be £436.80. Both deterministic and probabilistic models were used for cost-effectiveness analysis, expressed in terms of net health benefit (NHB) at a willingness-to-pay (WTP) threshold of £20000 per QALY gained. Although CAG with FFR was marginally cost-effective at the economic evaluation, the overall net difference</w:t>
      </w:r>
      <w:r w:rsidR="00715BDD">
        <w:rPr>
          <w:rFonts w:ascii="Arial" w:eastAsia="Times New Roman" w:hAnsi="Arial" w:cs="Arial"/>
          <w:color w:val="0E101A"/>
          <w:sz w:val="24"/>
          <w:szCs w:val="24"/>
          <w:lang w:eastAsia="en-GB"/>
          <w14:ligatures w14:val="none"/>
        </w:rPr>
        <w:t xml:space="preserve"> in the benefit</w:t>
      </w:r>
      <w:r w:rsidRPr="000475FC">
        <w:rPr>
          <w:rFonts w:ascii="Arial" w:eastAsia="Times New Roman" w:hAnsi="Arial" w:cs="Arial"/>
          <w:color w:val="0E101A"/>
          <w:sz w:val="24"/>
          <w:szCs w:val="24"/>
          <w:lang w:eastAsia="en-GB"/>
          <w14:ligatures w14:val="none"/>
        </w:rPr>
        <w:t xml:space="preserve"> was minimal</w:t>
      </w:r>
      <w:r w:rsidR="00715BDD">
        <w:rPr>
          <w:rFonts w:ascii="Arial" w:eastAsia="Times New Roman" w:hAnsi="Arial" w:cs="Arial"/>
          <w:color w:val="0E101A"/>
          <w:sz w:val="24"/>
          <w:szCs w:val="24"/>
          <w:lang w:eastAsia="en-GB"/>
          <w14:ligatures w14:val="none"/>
        </w:rPr>
        <w:t xml:space="preserve">. </w:t>
      </w:r>
      <w:r w:rsidR="0050628D" w:rsidRPr="0050628D">
        <w:rPr>
          <w:rFonts w:ascii="Arial" w:eastAsia="Times New Roman" w:hAnsi="Arial" w:cs="Arial"/>
          <w:color w:val="0E101A"/>
          <w:sz w:val="24"/>
          <w:szCs w:val="24"/>
          <w:lang w:eastAsia="en-GB"/>
          <w14:ligatures w14:val="none"/>
        </w:rPr>
        <w:t xml:space="preserve">For QFR, the incremental cost was £140 </w:t>
      </w:r>
      <w:r w:rsidR="000E2777">
        <w:rPr>
          <w:rFonts w:ascii="Arial" w:eastAsia="Times New Roman" w:hAnsi="Arial" w:cs="Arial"/>
          <w:color w:val="0E101A"/>
          <w:sz w:val="24"/>
          <w:szCs w:val="24"/>
          <w:lang w:eastAsia="en-GB"/>
          <w14:ligatures w14:val="none"/>
        </w:rPr>
        <w:t>for</w:t>
      </w:r>
      <w:r w:rsidR="0050628D" w:rsidRPr="0050628D">
        <w:rPr>
          <w:rFonts w:ascii="Arial" w:eastAsia="Times New Roman" w:hAnsi="Arial" w:cs="Arial"/>
          <w:color w:val="0E101A"/>
          <w:sz w:val="24"/>
          <w:szCs w:val="24"/>
          <w:lang w:eastAsia="en-GB"/>
          <w14:ligatures w14:val="none"/>
        </w:rPr>
        <w:t xml:space="preserve"> QALY gain of 0.007</w:t>
      </w:r>
      <w:r w:rsidR="0050628D">
        <w:rPr>
          <w:rFonts w:ascii="Arial" w:eastAsia="Times New Roman" w:hAnsi="Arial" w:cs="Arial"/>
          <w:color w:val="0E101A"/>
          <w:sz w:val="24"/>
          <w:szCs w:val="24"/>
          <w:lang w:eastAsia="en-GB"/>
          <w14:ligatures w14:val="none"/>
        </w:rPr>
        <w:t>, whereas f</w:t>
      </w:r>
      <w:r w:rsidR="0050628D" w:rsidRPr="0050628D">
        <w:rPr>
          <w:rFonts w:ascii="Arial" w:eastAsia="Times New Roman" w:hAnsi="Arial" w:cs="Arial"/>
          <w:color w:val="0E101A"/>
          <w:sz w:val="24"/>
          <w:szCs w:val="24"/>
          <w:lang w:eastAsia="en-GB"/>
          <w14:ligatures w14:val="none"/>
        </w:rPr>
        <w:t xml:space="preserve">or </w:t>
      </w:r>
      <w:r w:rsidR="0050628D">
        <w:rPr>
          <w:rFonts w:ascii="Arial" w:eastAsia="Times New Roman" w:hAnsi="Arial" w:cs="Arial"/>
          <w:color w:val="0E101A"/>
          <w:sz w:val="24"/>
          <w:szCs w:val="24"/>
          <w:lang w:eastAsia="en-GB"/>
          <w14:ligatures w14:val="none"/>
        </w:rPr>
        <w:t xml:space="preserve">the </w:t>
      </w:r>
      <w:r w:rsidR="0050628D" w:rsidRPr="0050628D">
        <w:rPr>
          <w:rFonts w:ascii="Arial" w:eastAsia="Times New Roman" w:hAnsi="Arial" w:cs="Arial"/>
          <w:color w:val="0E101A"/>
          <w:sz w:val="24"/>
          <w:szCs w:val="24"/>
          <w:lang w:eastAsia="en-GB"/>
          <w14:ligatures w14:val="none"/>
        </w:rPr>
        <w:t xml:space="preserve">CAAS-vFFR, the incremental cost was £240 </w:t>
      </w:r>
      <w:r w:rsidR="000E2777">
        <w:rPr>
          <w:rFonts w:ascii="Arial" w:eastAsia="Times New Roman" w:hAnsi="Arial" w:cs="Arial"/>
          <w:color w:val="0E101A"/>
          <w:sz w:val="24"/>
          <w:szCs w:val="24"/>
          <w:lang w:eastAsia="en-GB"/>
          <w14:ligatures w14:val="none"/>
        </w:rPr>
        <w:t>for</w:t>
      </w:r>
      <w:r w:rsidR="0050628D" w:rsidRPr="0050628D">
        <w:rPr>
          <w:rFonts w:ascii="Arial" w:eastAsia="Times New Roman" w:hAnsi="Arial" w:cs="Arial"/>
          <w:color w:val="0E101A"/>
          <w:sz w:val="24"/>
          <w:szCs w:val="24"/>
          <w:lang w:eastAsia="en-GB"/>
          <w14:ligatures w14:val="none"/>
        </w:rPr>
        <w:t xml:space="preserve"> QALY gain of 0.012.</w:t>
      </w:r>
      <w:r w:rsidRPr="000475FC">
        <w:rPr>
          <w:rFonts w:ascii="Arial" w:eastAsia="Times New Roman" w:hAnsi="Arial" w:cs="Arial"/>
          <w:color w:val="0E101A"/>
          <w:sz w:val="24"/>
          <w:szCs w:val="24"/>
          <w:lang w:eastAsia="en-GB"/>
          <w14:ligatures w14:val="none"/>
        </w:rPr>
        <w:t xml:space="preserve"> (185)</w:t>
      </w:r>
    </w:p>
    <w:p w14:paraId="5E3DAEE1" w14:textId="77777777" w:rsidR="001F4EBA" w:rsidRDefault="001F4EBA" w:rsidP="004942B6">
      <w:pPr>
        <w:spacing w:after="0" w:line="360" w:lineRule="auto"/>
        <w:jc w:val="both"/>
        <w:rPr>
          <w:rFonts w:ascii="Arial" w:eastAsia="Times New Roman" w:hAnsi="Arial" w:cs="Arial"/>
          <w:color w:val="0E101A"/>
          <w:sz w:val="24"/>
          <w:szCs w:val="24"/>
          <w:lang w:eastAsia="en-GB"/>
          <w14:ligatures w14:val="none"/>
        </w:rPr>
      </w:pPr>
    </w:p>
    <w:p w14:paraId="0B1184CB" w14:textId="5D2E8F56" w:rsidR="004942B6" w:rsidRPr="000475FC" w:rsidRDefault="004942B6" w:rsidP="004942B6">
      <w:p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The conclusions from th</w:t>
      </w:r>
      <w:r w:rsidR="0050628D">
        <w:rPr>
          <w:rFonts w:ascii="Arial" w:eastAsia="Times New Roman" w:hAnsi="Arial" w:cs="Arial"/>
          <w:color w:val="0E101A"/>
          <w:sz w:val="24"/>
          <w:szCs w:val="24"/>
          <w:lang w:eastAsia="en-GB"/>
          <w14:ligatures w14:val="none"/>
        </w:rPr>
        <w:t>is</w:t>
      </w:r>
      <w:r w:rsidRPr="000475FC">
        <w:rPr>
          <w:rFonts w:ascii="Arial" w:eastAsia="Times New Roman" w:hAnsi="Arial" w:cs="Arial"/>
          <w:color w:val="0E101A"/>
          <w:sz w:val="24"/>
          <w:szCs w:val="24"/>
          <w:lang w:eastAsia="en-GB"/>
          <w14:ligatures w14:val="none"/>
        </w:rPr>
        <w:t xml:space="preserve"> appraisal were:</w:t>
      </w:r>
    </w:p>
    <w:p w14:paraId="3A2014CC" w14:textId="77777777" w:rsidR="004942B6" w:rsidRPr="000475FC" w:rsidRDefault="004942B6" w:rsidP="00C03BCF">
      <w:pPr>
        <w:numPr>
          <w:ilvl w:val="0"/>
          <w:numId w:val="15"/>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vFFR can provide helpful information in some cases without requiring an invasive FFR and mitigate the risks associated with invasive FFR.</w:t>
      </w:r>
    </w:p>
    <w:p w14:paraId="7BCAA0A9" w14:textId="77777777" w:rsidR="004942B6" w:rsidRPr="000475FC" w:rsidRDefault="004942B6" w:rsidP="00C03BCF">
      <w:pPr>
        <w:numPr>
          <w:ilvl w:val="0"/>
          <w:numId w:val="15"/>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The diagnostic accuracy of QF</w:t>
      </w:r>
      <w:r>
        <w:rPr>
          <w:rFonts w:ascii="Arial" w:eastAsia="Times New Roman" w:hAnsi="Arial" w:cs="Arial"/>
          <w:color w:val="0E101A"/>
          <w:sz w:val="24"/>
          <w:szCs w:val="24"/>
          <w:lang w:eastAsia="en-GB"/>
          <w14:ligatures w14:val="none"/>
        </w:rPr>
        <w:t>R</w:t>
      </w:r>
      <w:r w:rsidRPr="000475FC">
        <w:rPr>
          <w:rFonts w:ascii="Arial" w:eastAsia="Times New Roman" w:hAnsi="Arial" w:cs="Arial"/>
          <w:color w:val="0E101A"/>
          <w:sz w:val="24"/>
          <w:szCs w:val="24"/>
          <w:lang w:eastAsia="en-GB"/>
          <w14:ligatures w14:val="none"/>
        </w:rPr>
        <w:t xml:space="preserve"> was more robust and better correlated with invasive FFR; however, the diagnostic accuracy of CAAS</w:t>
      </w:r>
      <w:r>
        <w:rPr>
          <w:rFonts w:ascii="Arial" w:eastAsia="Times New Roman" w:hAnsi="Arial" w:cs="Arial"/>
          <w:color w:val="0E101A"/>
          <w:sz w:val="24"/>
          <w:szCs w:val="24"/>
          <w:lang w:eastAsia="en-GB"/>
          <w14:ligatures w14:val="none"/>
        </w:rPr>
        <w:t>-</w:t>
      </w:r>
      <w:r w:rsidRPr="000475FC">
        <w:rPr>
          <w:rFonts w:ascii="Arial" w:eastAsia="Times New Roman" w:hAnsi="Arial" w:cs="Arial"/>
          <w:color w:val="0E101A"/>
          <w:sz w:val="24"/>
          <w:szCs w:val="24"/>
          <w:lang w:eastAsia="en-GB"/>
          <w14:ligatures w14:val="none"/>
        </w:rPr>
        <w:t>vFFR was uncertain and required more studies.</w:t>
      </w:r>
    </w:p>
    <w:p w14:paraId="27826955" w14:textId="77777777" w:rsidR="004942B6" w:rsidRPr="000475FC" w:rsidRDefault="004942B6" w:rsidP="00C03BCF">
      <w:pPr>
        <w:numPr>
          <w:ilvl w:val="0"/>
          <w:numId w:val="15"/>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 xml:space="preserve">More data </w:t>
      </w:r>
      <w:r>
        <w:rPr>
          <w:rFonts w:ascii="Arial" w:eastAsia="Times New Roman" w:hAnsi="Arial" w:cs="Arial"/>
          <w:color w:val="0E101A"/>
          <w:sz w:val="24"/>
          <w:szCs w:val="24"/>
          <w:lang w:eastAsia="en-GB"/>
          <w14:ligatures w14:val="none"/>
        </w:rPr>
        <w:t>are</w:t>
      </w:r>
      <w:r w:rsidRPr="000475FC">
        <w:rPr>
          <w:rFonts w:ascii="Arial" w:eastAsia="Times New Roman" w:hAnsi="Arial" w:cs="Arial"/>
          <w:color w:val="0E101A"/>
          <w:sz w:val="24"/>
          <w:szCs w:val="24"/>
          <w:lang w:eastAsia="en-GB"/>
          <w14:ligatures w14:val="none"/>
        </w:rPr>
        <w:t xml:space="preserve"> required to evaluate the cost-effectiveness of vFFR compared to traditional CAG alone.</w:t>
      </w:r>
    </w:p>
    <w:p w14:paraId="510FB81F" w14:textId="77777777" w:rsidR="004942B6" w:rsidRPr="00024BB4" w:rsidRDefault="004942B6" w:rsidP="00C03BCF">
      <w:pPr>
        <w:numPr>
          <w:ilvl w:val="0"/>
          <w:numId w:val="15"/>
        </w:numPr>
        <w:spacing w:after="0" w:line="360" w:lineRule="auto"/>
        <w:jc w:val="both"/>
        <w:rPr>
          <w:rFonts w:ascii="Arial" w:eastAsia="Times New Roman" w:hAnsi="Arial" w:cs="Arial"/>
          <w:color w:val="0E101A"/>
          <w:sz w:val="24"/>
          <w:szCs w:val="24"/>
          <w:lang w:eastAsia="en-GB"/>
          <w14:ligatures w14:val="none"/>
        </w:rPr>
      </w:pPr>
      <w:r w:rsidRPr="000475FC">
        <w:rPr>
          <w:rFonts w:ascii="Arial" w:eastAsia="Times New Roman" w:hAnsi="Arial" w:cs="Arial"/>
          <w:color w:val="0E101A"/>
          <w:sz w:val="24"/>
          <w:szCs w:val="24"/>
          <w:lang w:eastAsia="en-GB"/>
          <w14:ligatures w14:val="none"/>
        </w:rPr>
        <w:t>vFFR is not currently recommended for routine use until more data on patient outcomes is available. </w:t>
      </w:r>
    </w:p>
    <w:p w14:paraId="11D9ED98" w14:textId="226F8D61" w:rsidR="004942B6" w:rsidRDefault="0050628D" w:rsidP="004942B6">
      <w:pPr>
        <w:spacing w:after="0" w:line="360" w:lineRule="auto"/>
        <w:jc w:val="both"/>
        <w:rPr>
          <w:rFonts w:ascii="Arial" w:eastAsia="Times New Roman" w:hAnsi="Arial" w:cs="Arial"/>
          <w:color w:val="0E101A"/>
          <w:sz w:val="24"/>
          <w:szCs w:val="24"/>
          <w:lang w:eastAsia="en-GB"/>
          <w14:ligatures w14:val="none"/>
        </w:rPr>
      </w:pPr>
      <w:r w:rsidRPr="0050628D">
        <w:rPr>
          <w:rFonts w:ascii="Arial" w:eastAsia="Times New Roman" w:hAnsi="Arial" w:cs="Arial"/>
          <w:color w:val="0E101A"/>
          <w:sz w:val="24"/>
          <w:szCs w:val="24"/>
          <w:lang w:eastAsia="en-GB"/>
          <w14:ligatures w14:val="none"/>
        </w:rPr>
        <w:t xml:space="preserve">These conclusions suggest that the available data are insufficient to support the widespread use of vFFR in clinical settings. Larger </w:t>
      </w:r>
      <w:r w:rsidR="00A47A47">
        <w:rPr>
          <w:rFonts w:ascii="Arial" w:eastAsia="Times New Roman" w:hAnsi="Arial" w:cs="Arial"/>
          <w:color w:val="0E101A"/>
          <w:sz w:val="24"/>
          <w:szCs w:val="24"/>
          <w:lang w:eastAsia="en-GB"/>
          <w14:ligatures w14:val="none"/>
        </w:rPr>
        <w:t>randomised</w:t>
      </w:r>
      <w:r w:rsidRPr="0050628D">
        <w:rPr>
          <w:rFonts w:ascii="Arial" w:eastAsia="Times New Roman" w:hAnsi="Arial" w:cs="Arial"/>
          <w:color w:val="0E101A"/>
          <w:sz w:val="24"/>
          <w:szCs w:val="24"/>
          <w:lang w:eastAsia="en-GB"/>
          <w14:ligatures w14:val="none"/>
        </w:rPr>
        <w:t xml:space="preserve"> trials may be required to provide more robust evidence</w:t>
      </w:r>
      <w:r>
        <w:rPr>
          <w:rFonts w:ascii="Arial" w:eastAsia="Times New Roman" w:hAnsi="Arial" w:cs="Arial"/>
          <w:color w:val="0E101A"/>
          <w:sz w:val="24"/>
          <w:szCs w:val="24"/>
          <w:lang w:eastAsia="en-GB"/>
          <w14:ligatures w14:val="none"/>
        </w:rPr>
        <w:t xml:space="preserve"> to substantiate the efficacy and cost-effectiveness of vFFR.</w:t>
      </w:r>
    </w:p>
    <w:p w14:paraId="2C052991" w14:textId="77777777" w:rsidR="001B55BF" w:rsidRDefault="001B55BF" w:rsidP="004942B6">
      <w:pPr>
        <w:spacing w:after="0" w:line="360" w:lineRule="auto"/>
        <w:jc w:val="both"/>
        <w:rPr>
          <w:rFonts w:ascii="Arial" w:eastAsia="Times New Roman" w:hAnsi="Arial" w:cs="Arial"/>
          <w:color w:val="0E101A"/>
          <w:sz w:val="24"/>
          <w:szCs w:val="24"/>
          <w:lang w:eastAsia="en-GB"/>
          <w14:ligatures w14:val="none"/>
        </w:rPr>
      </w:pPr>
    </w:p>
    <w:p w14:paraId="207F104E" w14:textId="266AE53C" w:rsidR="001B55BF" w:rsidRPr="002B14DE" w:rsidRDefault="004942B6" w:rsidP="000E2777">
      <w:pPr>
        <w:pStyle w:val="Heading2"/>
        <w:rPr>
          <w:rFonts w:ascii="Arial" w:hAnsi="Arial" w:cs="Arial"/>
          <w:color w:val="4472C4" w:themeColor="accent1"/>
          <w:sz w:val="28"/>
          <w:szCs w:val="28"/>
        </w:rPr>
      </w:pPr>
      <w:bookmarkStart w:id="448" w:name="_Toc171203871"/>
      <w:r w:rsidRPr="002B14DE">
        <w:rPr>
          <w:rFonts w:ascii="Arial" w:hAnsi="Arial" w:cs="Arial"/>
          <w:color w:val="4472C4" w:themeColor="accent1"/>
          <w:sz w:val="28"/>
          <w:szCs w:val="28"/>
        </w:rPr>
        <w:t xml:space="preserve">1.13 </w:t>
      </w:r>
      <w:r w:rsidR="00364F91" w:rsidRPr="002B14DE">
        <w:rPr>
          <w:rFonts w:ascii="Arial" w:hAnsi="Arial" w:cs="Arial"/>
          <w:color w:val="4472C4" w:themeColor="accent1"/>
          <w:sz w:val="28"/>
          <w:szCs w:val="28"/>
        </w:rPr>
        <w:t xml:space="preserve">The </w:t>
      </w:r>
      <w:r w:rsidRPr="002B14DE">
        <w:rPr>
          <w:rFonts w:ascii="Arial" w:hAnsi="Arial" w:cs="Arial"/>
          <w:color w:val="4472C4" w:themeColor="accent1"/>
          <w:sz w:val="28"/>
          <w:szCs w:val="28"/>
        </w:rPr>
        <w:t>VIRTU-4</w:t>
      </w:r>
      <w:r w:rsidR="00364F91" w:rsidRPr="002B14DE">
        <w:rPr>
          <w:rFonts w:ascii="Arial" w:hAnsi="Arial" w:cs="Arial"/>
          <w:color w:val="4472C4" w:themeColor="accent1"/>
          <w:sz w:val="28"/>
          <w:szCs w:val="28"/>
        </w:rPr>
        <w:t xml:space="preserve"> study</w:t>
      </w:r>
      <w:bookmarkEnd w:id="448"/>
    </w:p>
    <w:p w14:paraId="1C70CFC2" w14:textId="77777777" w:rsidR="000E2777" w:rsidRPr="000E2777" w:rsidRDefault="000E2777" w:rsidP="000E2777"/>
    <w:p w14:paraId="778B3634" w14:textId="77777777" w:rsidR="004942B6" w:rsidRPr="001B55BF" w:rsidRDefault="004942B6" w:rsidP="00364F91">
      <w:pPr>
        <w:pStyle w:val="Heading3"/>
        <w:spacing w:line="360" w:lineRule="auto"/>
        <w:rPr>
          <w:rFonts w:ascii="Arial" w:hAnsi="Arial" w:cs="Arial"/>
          <w:color w:val="4472C4" w:themeColor="accent1"/>
          <w:sz w:val="24"/>
          <w:szCs w:val="24"/>
        </w:rPr>
      </w:pPr>
      <w:bookmarkStart w:id="449" w:name="_Toc164681363"/>
      <w:bookmarkStart w:id="450" w:name="_Toc170075045"/>
      <w:bookmarkStart w:id="451" w:name="_Toc170076032"/>
      <w:bookmarkStart w:id="452" w:name="_Toc170577728"/>
      <w:bookmarkStart w:id="453" w:name="_Toc170579246"/>
      <w:bookmarkStart w:id="454" w:name="_Toc171203101"/>
      <w:bookmarkStart w:id="455" w:name="_Toc171203872"/>
      <w:r w:rsidRPr="001B55BF">
        <w:rPr>
          <w:rFonts w:ascii="Arial" w:hAnsi="Arial" w:cs="Arial"/>
          <w:color w:val="4472C4" w:themeColor="accent1"/>
          <w:sz w:val="24"/>
          <w:szCs w:val="24"/>
        </w:rPr>
        <w:t>1.13.1 Background</w:t>
      </w:r>
      <w:bookmarkEnd w:id="449"/>
      <w:bookmarkEnd w:id="450"/>
      <w:bookmarkEnd w:id="451"/>
      <w:bookmarkEnd w:id="452"/>
      <w:bookmarkEnd w:id="453"/>
      <w:bookmarkEnd w:id="454"/>
      <w:bookmarkEnd w:id="455"/>
    </w:p>
    <w:p w14:paraId="32AB52EA" w14:textId="20B2712B" w:rsidR="004942B6" w:rsidRDefault="004942B6" w:rsidP="00D41271">
      <w:pPr>
        <w:spacing w:after="0" w:line="360" w:lineRule="auto"/>
        <w:jc w:val="both"/>
        <w:rPr>
          <w:rFonts w:ascii="Arial" w:hAnsi="Arial" w:cs="Arial"/>
          <w:sz w:val="24"/>
          <w:szCs w:val="24"/>
          <w:shd w:val="clear" w:color="auto" w:fill="FFFFFF"/>
        </w:rPr>
      </w:pPr>
      <w:r w:rsidRPr="00C63DE2">
        <w:rPr>
          <w:rFonts w:ascii="Arial" w:hAnsi="Arial" w:cs="Arial"/>
          <w:sz w:val="24"/>
          <w:szCs w:val="24"/>
          <w:shd w:val="clear" w:color="auto" w:fill="FFFFFF"/>
        </w:rPr>
        <w:t>VIRTU-4 was performed to evaluate the impact of virtual FFR (</w:t>
      </w:r>
      <w:r w:rsidR="0036391D">
        <w:rPr>
          <w:rFonts w:ascii="Arial" w:hAnsi="Arial" w:cs="Arial"/>
          <w:sz w:val="24"/>
          <w:szCs w:val="24"/>
        </w:rPr>
        <w:t>vFFR</w:t>
      </w:r>
      <w:r w:rsidRPr="00C63DE2">
        <w:rPr>
          <w:rFonts w:ascii="Arial" w:hAnsi="Arial" w:cs="Arial"/>
          <w:sz w:val="24"/>
          <w:szCs w:val="24"/>
        </w:rPr>
        <w:t xml:space="preserve"> </w:t>
      </w:r>
      <w:r w:rsidRPr="00C63DE2">
        <w:rPr>
          <w:rFonts w:ascii="Arial" w:hAnsi="Arial" w:cs="Arial"/>
          <w:sz w:val="24"/>
          <w:szCs w:val="24"/>
          <w:shd w:val="clear" w:color="auto" w:fill="FFFFFF"/>
        </w:rPr>
        <w:t xml:space="preserve">computed from the CAG) upon the management of CAD. </w:t>
      </w:r>
      <w:r w:rsidR="0050628D">
        <w:rPr>
          <w:rFonts w:ascii="Arial" w:hAnsi="Arial" w:cs="Arial"/>
          <w:sz w:val="24"/>
          <w:szCs w:val="24"/>
          <w:shd w:val="clear" w:color="auto" w:fill="FFFFFF"/>
        </w:rPr>
        <w:t>The approach to use</w:t>
      </w:r>
      <w:r w:rsidRPr="00C63DE2">
        <w:rPr>
          <w:rFonts w:ascii="Arial" w:hAnsi="Arial" w:cs="Arial"/>
          <w:sz w:val="24"/>
          <w:szCs w:val="24"/>
          <w:shd w:val="clear" w:color="auto" w:fill="FFFFFF"/>
        </w:rPr>
        <w:t xml:space="preserve"> </w:t>
      </w:r>
      <w:r w:rsidR="0050628D">
        <w:rPr>
          <w:rFonts w:ascii="Arial" w:hAnsi="Arial" w:cs="Arial"/>
          <w:sz w:val="24"/>
          <w:szCs w:val="24"/>
          <w:shd w:val="clear" w:color="auto" w:fill="FFFFFF"/>
        </w:rPr>
        <w:t xml:space="preserve">visual </w:t>
      </w:r>
      <w:r w:rsidR="00307FF4">
        <w:rPr>
          <w:rFonts w:ascii="Arial" w:hAnsi="Arial" w:cs="Arial"/>
          <w:sz w:val="24"/>
          <w:szCs w:val="24"/>
          <w:shd w:val="clear" w:color="auto" w:fill="FFFFFF"/>
        </w:rPr>
        <w:t xml:space="preserve">assessment of </w:t>
      </w:r>
      <w:r w:rsidRPr="00C63DE2">
        <w:rPr>
          <w:rFonts w:ascii="Arial" w:hAnsi="Arial" w:cs="Arial"/>
          <w:sz w:val="24"/>
          <w:szCs w:val="24"/>
          <w:shd w:val="clear" w:color="auto" w:fill="FFFFFF"/>
        </w:rPr>
        <w:t xml:space="preserve">CAG to identify physiologically significant coronary lesions may be </w:t>
      </w:r>
      <w:r w:rsidR="00D41271">
        <w:rPr>
          <w:rFonts w:ascii="Arial" w:hAnsi="Arial" w:cs="Arial"/>
          <w:sz w:val="24"/>
          <w:szCs w:val="24"/>
          <w:shd w:val="clear" w:color="auto" w:fill="FFFFFF"/>
        </w:rPr>
        <w:t>suboptimal</w:t>
      </w:r>
      <w:r w:rsidRPr="00C63DE2">
        <w:rPr>
          <w:rFonts w:ascii="Arial" w:hAnsi="Arial" w:cs="Arial"/>
          <w:sz w:val="24"/>
          <w:szCs w:val="24"/>
          <w:shd w:val="clear" w:color="auto" w:fill="FFFFFF"/>
        </w:rPr>
        <w:t xml:space="preserve">, resulting in unnecessary or missed lesions requiring revascularisation. </w:t>
      </w:r>
      <w:r w:rsidR="008F61CB">
        <w:rPr>
          <w:rFonts w:ascii="Arial" w:hAnsi="Arial" w:cs="Arial"/>
          <w:sz w:val="24"/>
          <w:szCs w:val="24"/>
          <w:shd w:val="clear" w:color="auto" w:fill="FFFFFF"/>
        </w:rPr>
        <w:t>P</w:t>
      </w:r>
      <w:r w:rsidRPr="00C63DE2">
        <w:rPr>
          <w:rFonts w:ascii="Arial" w:hAnsi="Arial" w:cs="Arial"/>
          <w:sz w:val="24"/>
          <w:szCs w:val="24"/>
          <w:shd w:val="clear" w:color="auto" w:fill="FFFFFF"/>
        </w:rPr>
        <w:t>hysiological</w:t>
      </w:r>
      <w:r w:rsidR="008F61CB">
        <w:rPr>
          <w:rFonts w:ascii="Arial" w:hAnsi="Arial" w:cs="Arial"/>
          <w:sz w:val="24"/>
          <w:szCs w:val="24"/>
          <w:shd w:val="clear" w:color="auto" w:fill="FFFFFF"/>
        </w:rPr>
        <w:t xml:space="preserve"> guidance</w:t>
      </w:r>
      <w:r w:rsidRPr="00C63DE2">
        <w:rPr>
          <w:rFonts w:ascii="Arial" w:hAnsi="Arial" w:cs="Arial"/>
          <w:sz w:val="24"/>
          <w:szCs w:val="24"/>
          <w:shd w:val="clear" w:color="auto" w:fill="FFFFFF"/>
        </w:rPr>
        <w:t xml:space="preserve"> using </w:t>
      </w:r>
      <w:r w:rsidR="008F61CB">
        <w:rPr>
          <w:rFonts w:ascii="Arial" w:hAnsi="Arial" w:cs="Arial"/>
          <w:sz w:val="24"/>
          <w:szCs w:val="24"/>
          <w:shd w:val="clear" w:color="auto" w:fill="FFFFFF"/>
        </w:rPr>
        <w:t xml:space="preserve">invasive </w:t>
      </w:r>
      <w:r w:rsidRPr="00C63DE2">
        <w:rPr>
          <w:rFonts w:ascii="Arial" w:hAnsi="Arial" w:cs="Arial"/>
          <w:sz w:val="24"/>
          <w:szCs w:val="24"/>
          <w:shd w:val="clear" w:color="auto" w:fill="FFFFFF"/>
        </w:rPr>
        <w:t xml:space="preserve">FFR </w:t>
      </w:r>
      <w:r w:rsidR="008F61CB">
        <w:rPr>
          <w:rFonts w:ascii="Arial" w:hAnsi="Arial" w:cs="Arial"/>
          <w:sz w:val="24"/>
          <w:szCs w:val="24"/>
          <w:shd w:val="clear" w:color="auto" w:fill="FFFFFF"/>
        </w:rPr>
        <w:t>has shown to</w:t>
      </w:r>
      <w:r w:rsidRPr="00C63DE2">
        <w:rPr>
          <w:rFonts w:ascii="Arial" w:hAnsi="Arial" w:cs="Arial"/>
          <w:sz w:val="24"/>
          <w:szCs w:val="24"/>
          <w:shd w:val="clear" w:color="auto" w:fill="FFFFFF"/>
        </w:rPr>
        <w:t xml:space="preserve"> change the management plans </w:t>
      </w:r>
      <w:r w:rsidR="009E6351">
        <w:rPr>
          <w:rFonts w:ascii="Arial" w:hAnsi="Arial" w:cs="Arial"/>
          <w:sz w:val="24"/>
          <w:szCs w:val="24"/>
          <w:shd w:val="clear" w:color="auto" w:fill="FFFFFF"/>
        </w:rPr>
        <w:t>in</w:t>
      </w:r>
      <w:r w:rsidRPr="00C63DE2">
        <w:rPr>
          <w:rFonts w:ascii="Arial" w:hAnsi="Arial" w:cs="Arial"/>
          <w:sz w:val="24"/>
          <w:szCs w:val="24"/>
          <w:shd w:val="clear" w:color="auto" w:fill="FFFFFF"/>
        </w:rPr>
        <w:t xml:space="preserve"> 25</w:t>
      </w:r>
      <w:r w:rsidR="008F61CB">
        <w:rPr>
          <w:rFonts w:ascii="Arial" w:hAnsi="Arial" w:cs="Arial"/>
          <w:sz w:val="24"/>
          <w:szCs w:val="24"/>
          <w:shd w:val="clear" w:color="auto" w:fill="FFFFFF"/>
        </w:rPr>
        <w:t>-38</w:t>
      </w:r>
      <w:r w:rsidRPr="00C63DE2">
        <w:rPr>
          <w:rFonts w:ascii="Arial" w:hAnsi="Arial" w:cs="Arial"/>
          <w:sz w:val="24"/>
          <w:szCs w:val="24"/>
          <w:shd w:val="clear" w:color="auto" w:fill="FFFFFF"/>
        </w:rPr>
        <w:t>%</w:t>
      </w:r>
      <w:r w:rsidR="009E6351">
        <w:rPr>
          <w:rFonts w:ascii="Arial" w:hAnsi="Arial" w:cs="Arial"/>
          <w:sz w:val="24"/>
          <w:szCs w:val="24"/>
          <w:shd w:val="clear" w:color="auto" w:fill="FFFFFF"/>
        </w:rPr>
        <w:t xml:space="preserve"> patients</w:t>
      </w:r>
      <w:r w:rsidR="008F61CB">
        <w:rPr>
          <w:rFonts w:ascii="Arial" w:hAnsi="Arial" w:cs="Arial"/>
          <w:sz w:val="24"/>
          <w:szCs w:val="24"/>
          <w:shd w:val="clear" w:color="auto" w:fill="FFFFFF"/>
        </w:rPr>
        <w:t xml:space="preserve"> in several studies</w:t>
      </w:r>
      <w:r w:rsidRPr="00C63DE2">
        <w:rPr>
          <w:rFonts w:ascii="Arial" w:hAnsi="Arial" w:cs="Arial"/>
          <w:sz w:val="24"/>
          <w:szCs w:val="24"/>
          <w:shd w:val="clear" w:color="auto" w:fill="FFFFFF"/>
        </w:rPr>
        <w:t>. (89) Similar to</w:t>
      </w:r>
      <w:r w:rsidR="008F61CB">
        <w:rPr>
          <w:rFonts w:ascii="Arial" w:hAnsi="Arial" w:cs="Arial"/>
          <w:sz w:val="24"/>
          <w:szCs w:val="24"/>
          <w:shd w:val="clear" w:color="auto" w:fill="FFFFFF"/>
        </w:rPr>
        <w:t xml:space="preserve"> invasive</w:t>
      </w:r>
      <w:r w:rsidRPr="00C63DE2">
        <w:rPr>
          <w:rFonts w:ascii="Arial" w:hAnsi="Arial" w:cs="Arial"/>
          <w:sz w:val="24"/>
          <w:szCs w:val="24"/>
          <w:shd w:val="clear" w:color="auto" w:fill="FFFFFF"/>
        </w:rPr>
        <w:t xml:space="preserve"> FFR, computed vFFR from the CAG </w:t>
      </w:r>
      <w:r w:rsidRPr="00C63DE2">
        <w:rPr>
          <w:rFonts w:ascii="Arial" w:hAnsi="Arial" w:cs="Arial"/>
          <w:sz w:val="24"/>
          <w:szCs w:val="24"/>
          <w:shd w:val="clear" w:color="auto" w:fill="FFFFFF"/>
        </w:rPr>
        <w:lastRenderedPageBreak/>
        <w:t>(</w:t>
      </w:r>
      <w:r w:rsidR="0036391D">
        <w:rPr>
          <w:rFonts w:ascii="Arial" w:hAnsi="Arial" w:cs="Arial"/>
          <w:sz w:val="24"/>
          <w:szCs w:val="24"/>
        </w:rPr>
        <w:t>vFFR</w:t>
      </w:r>
      <w:r w:rsidRPr="00C63DE2">
        <w:rPr>
          <w:rFonts w:ascii="Arial" w:hAnsi="Arial" w:cs="Arial"/>
          <w:sz w:val="24"/>
          <w:szCs w:val="24"/>
          <w:shd w:val="clear" w:color="auto" w:fill="FFFFFF"/>
        </w:rPr>
        <w:t xml:space="preserve">) has also demonstrated good diagnostic accuracy when compared to invasive FFR in several studies (145,147,153), </w:t>
      </w:r>
      <w:r>
        <w:rPr>
          <w:rFonts w:ascii="Arial" w:hAnsi="Arial" w:cs="Arial"/>
          <w:sz w:val="24"/>
          <w:szCs w:val="24"/>
          <w:shd w:val="clear" w:color="auto" w:fill="FFFFFF"/>
        </w:rPr>
        <w:t xml:space="preserve">hence </w:t>
      </w:r>
      <w:r w:rsidRPr="00C63DE2">
        <w:rPr>
          <w:rFonts w:ascii="Arial" w:hAnsi="Arial" w:cs="Arial"/>
          <w:sz w:val="24"/>
          <w:szCs w:val="24"/>
          <w:shd w:val="clear" w:color="auto" w:fill="FFFFFF"/>
        </w:rPr>
        <w:t>reflecting a broader potential to be ut</w:t>
      </w:r>
      <w:r w:rsidR="009E6351">
        <w:rPr>
          <w:rFonts w:ascii="Arial" w:hAnsi="Arial" w:cs="Arial"/>
          <w:sz w:val="24"/>
          <w:szCs w:val="24"/>
          <w:shd w:val="clear" w:color="auto" w:fill="FFFFFF"/>
        </w:rPr>
        <w:t>ilised</w:t>
      </w:r>
      <w:r w:rsidRPr="00C63DE2">
        <w:rPr>
          <w:rFonts w:ascii="Arial" w:hAnsi="Arial" w:cs="Arial"/>
          <w:sz w:val="24"/>
          <w:szCs w:val="24"/>
          <w:shd w:val="clear" w:color="auto" w:fill="FFFFFF"/>
        </w:rPr>
        <w:t xml:space="preserve"> in clinical settings without exposing the risks associated with invasive FFR.</w:t>
      </w:r>
    </w:p>
    <w:p w14:paraId="7AFCD89C" w14:textId="77777777" w:rsidR="00F605C6" w:rsidRPr="00307FF4" w:rsidRDefault="00F605C6" w:rsidP="00D41271">
      <w:pPr>
        <w:spacing w:after="0" w:line="360" w:lineRule="auto"/>
        <w:jc w:val="both"/>
        <w:rPr>
          <w:rFonts w:ascii="Arial" w:hAnsi="Arial" w:cs="Arial"/>
          <w:sz w:val="24"/>
          <w:szCs w:val="24"/>
          <w:shd w:val="clear" w:color="auto" w:fill="FFFFFF"/>
        </w:rPr>
      </w:pPr>
    </w:p>
    <w:p w14:paraId="0A8138F5" w14:textId="3D8ABB99" w:rsidR="004942B6" w:rsidRPr="001B55BF" w:rsidRDefault="004942B6" w:rsidP="000E2777">
      <w:pPr>
        <w:pStyle w:val="Heading3"/>
        <w:spacing w:line="360" w:lineRule="auto"/>
        <w:rPr>
          <w:rFonts w:ascii="Arial" w:hAnsi="Arial" w:cs="Arial"/>
          <w:color w:val="4472C4" w:themeColor="accent1"/>
          <w:sz w:val="24"/>
          <w:szCs w:val="24"/>
          <w:shd w:val="clear" w:color="auto" w:fill="FFFFFF"/>
        </w:rPr>
      </w:pPr>
      <w:bookmarkStart w:id="456" w:name="_Toc164681364"/>
      <w:bookmarkStart w:id="457" w:name="_Toc170075046"/>
      <w:bookmarkStart w:id="458" w:name="_Toc170076033"/>
      <w:bookmarkStart w:id="459" w:name="_Toc170577729"/>
      <w:bookmarkStart w:id="460" w:name="_Toc170579247"/>
      <w:bookmarkStart w:id="461" w:name="_Toc171203102"/>
      <w:bookmarkStart w:id="462" w:name="_Toc171203873"/>
      <w:r w:rsidRPr="001B55BF">
        <w:rPr>
          <w:rFonts w:ascii="Arial" w:hAnsi="Arial" w:cs="Arial"/>
          <w:color w:val="4472C4" w:themeColor="accent1"/>
          <w:sz w:val="24"/>
          <w:szCs w:val="24"/>
          <w:shd w:val="clear" w:color="auto" w:fill="FFFFFF"/>
        </w:rPr>
        <w:t>1.13.2 VIRTU-4 design</w:t>
      </w:r>
      <w:bookmarkEnd w:id="456"/>
      <w:bookmarkEnd w:id="457"/>
      <w:bookmarkEnd w:id="458"/>
      <w:bookmarkEnd w:id="459"/>
      <w:bookmarkEnd w:id="460"/>
      <w:bookmarkEnd w:id="461"/>
      <w:bookmarkEnd w:id="462"/>
    </w:p>
    <w:p w14:paraId="600321E5" w14:textId="77777777" w:rsidR="004B7D68" w:rsidRDefault="004942B6" w:rsidP="000E2777">
      <w:pPr>
        <w:pStyle w:val="NormalWeb"/>
        <w:jc w:val="both"/>
        <w:rPr>
          <w:rFonts w:ascii="Arial" w:hAnsi="Arial" w:cs="Arial"/>
          <w14:ligatures w14:val="none"/>
        </w:rPr>
      </w:pPr>
      <w:r w:rsidRPr="00C63DE2">
        <w:rPr>
          <w:rFonts w:ascii="Arial" w:hAnsi="Arial" w:cs="Arial"/>
          <w:shd w:val="clear" w:color="auto" w:fill="FFFFFF"/>
        </w:rPr>
        <w:t>VIRTU-4 was a prospective, virtual, observational study, including both ACS and CCS patients. A total of 517 patients were screened, of whom 308 (208 ACS and 100 CCS) were recruited. The ACS patients were recruited from Northern General Hospital (NGH), part of Sheffield Teaching Hospital NHS Foundation Trust. The CCS patients</w:t>
      </w:r>
      <w:r w:rsidRPr="00430BFB">
        <w:rPr>
          <w:rFonts w:ascii="Arial" w:hAnsi="Arial" w:cs="Arial"/>
          <w:shd w:val="clear" w:color="auto" w:fill="FFFFFF"/>
        </w:rPr>
        <w:t xml:space="preserve"> were recruited from four district general hospitals (DGH) across South Yorkshire: Doncaster Royal Infirmary (DRI), Rotherham General Hospital (RGH), Barnsley Hospital and Chesterfield Royal Hospital (CRH). </w:t>
      </w:r>
      <w:r w:rsidR="008E28CA" w:rsidRPr="00314B4C">
        <w:rPr>
          <w:rFonts w:ascii="Arial" w:hAnsi="Arial" w:cs="Arial"/>
          <w14:ligatures w14:val="none"/>
        </w:rPr>
        <w:t>It's noteworthy that CCS patient recruitment was significantly impacted by COVID-19, as elective pathways were suspended to prioriti</w:t>
      </w:r>
      <w:r w:rsidR="0025014D">
        <w:rPr>
          <w:rFonts w:ascii="Arial" w:hAnsi="Arial" w:cs="Arial"/>
          <w14:ligatures w14:val="none"/>
        </w:rPr>
        <w:t>s</w:t>
      </w:r>
      <w:r w:rsidR="008E28CA" w:rsidRPr="00314B4C">
        <w:rPr>
          <w:rFonts w:ascii="Arial" w:hAnsi="Arial" w:cs="Arial"/>
          <w14:ligatures w14:val="none"/>
        </w:rPr>
        <w:t>e care for COVID-affected patients. As a result, the originally planned number of CCS patients (208) was reduced to 100. Conversely, there was minimal disruption to the ACS pathway in Sheffield.</w:t>
      </w:r>
    </w:p>
    <w:p w14:paraId="4BBDDA34" w14:textId="0F1627D7" w:rsidR="00CE3E1C" w:rsidRPr="004B7D68" w:rsidRDefault="004B7D68" w:rsidP="004B7D68">
      <w:pPr>
        <w:pStyle w:val="NormalWeb"/>
        <w:jc w:val="both"/>
        <w:rPr>
          <w:rFonts w:ascii="Arial" w:hAnsi="Arial" w:cs="Arial"/>
          <w14:ligatures w14:val="none"/>
        </w:rPr>
      </w:pPr>
      <w:r w:rsidRPr="00430BFB">
        <w:rPr>
          <w:rFonts w:ascii="Arial" w:hAnsi="Arial" w:cs="Arial"/>
          <w:shd w:val="clear" w:color="auto" w:fill="FFFFFF"/>
        </w:rPr>
        <w:t xml:space="preserve">The recruited patients underwent an invasive coronary angiogram </w:t>
      </w:r>
      <w:r>
        <w:rPr>
          <w:rFonts w:ascii="Arial" w:hAnsi="Arial" w:cs="Arial"/>
          <w:shd w:val="clear" w:color="auto" w:fill="FFFFFF"/>
        </w:rPr>
        <w:t xml:space="preserve">with a pre-specified protocol </w:t>
      </w:r>
      <w:r w:rsidRPr="00430BFB">
        <w:rPr>
          <w:rFonts w:ascii="Arial" w:hAnsi="Arial" w:cs="Arial"/>
          <w:shd w:val="clear" w:color="auto" w:fill="FFFFFF"/>
        </w:rPr>
        <w:t xml:space="preserve">(good catheter engagement and contrast opacification, </w:t>
      </w:r>
      <w:r>
        <w:rPr>
          <w:rFonts w:ascii="Arial" w:hAnsi="Arial" w:cs="Arial"/>
          <w:shd w:val="clear" w:color="auto" w:fill="FFFFFF"/>
        </w:rPr>
        <w:t>no</w:t>
      </w:r>
      <w:r w:rsidRPr="00430BFB">
        <w:rPr>
          <w:rFonts w:ascii="Arial" w:hAnsi="Arial" w:cs="Arial"/>
          <w:shd w:val="clear" w:color="auto" w:fill="FFFFFF"/>
        </w:rPr>
        <w:t xml:space="preserve"> magnification</w:t>
      </w:r>
      <w:r>
        <w:rPr>
          <w:rFonts w:ascii="Arial" w:hAnsi="Arial" w:cs="Arial"/>
          <w:shd w:val="clear" w:color="auto" w:fill="FFFFFF"/>
        </w:rPr>
        <w:t>,</w:t>
      </w:r>
      <w:r w:rsidRPr="00430BFB">
        <w:rPr>
          <w:rFonts w:ascii="Arial" w:hAnsi="Arial" w:cs="Arial"/>
          <w:shd w:val="clear" w:color="auto" w:fill="FFFFFF"/>
        </w:rPr>
        <w:t xml:space="preserve"> and at least two cine images 30 degrees apart, recorded over four cardiac cycles). Based upon the</w:t>
      </w:r>
      <w:r>
        <w:rPr>
          <w:rFonts w:ascii="Arial" w:hAnsi="Arial" w:cs="Arial"/>
          <w:shd w:val="clear" w:color="auto" w:fill="FFFFFF"/>
        </w:rPr>
        <w:t xml:space="preserve"> visual assessment of</w:t>
      </w:r>
      <w:r w:rsidRPr="00430BFB">
        <w:rPr>
          <w:rFonts w:ascii="Arial" w:hAnsi="Arial" w:cs="Arial"/>
          <w:shd w:val="clear" w:color="auto" w:fill="FFFFFF"/>
        </w:rPr>
        <w:t xml:space="preserve"> coronary angiogram, the initial management plan</w:t>
      </w:r>
      <w:r>
        <w:rPr>
          <w:rFonts w:ascii="Arial" w:hAnsi="Arial" w:cs="Arial"/>
          <w:shd w:val="clear" w:color="auto" w:fill="FFFFFF"/>
        </w:rPr>
        <w:t xml:space="preserve"> </w:t>
      </w:r>
      <w:r w:rsidRPr="00430BFB">
        <w:rPr>
          <w:rFonts w:ascii="Arial" w:hAnsi="Arial" w:cs="Arial"/>
          <w:shd w:val="clear" w:color="auto" w:fill="FFFFFF"/>
        </w:rPr>
        <w:t xml:space="preserve">from the </w:t>
      </w:r>
      <w:r>
        <w:rPr>
          <w:rFonts w:ascii="Arial" w:hAnsi="Arial" w:cs="Arial"/>
          <w:shd w:val="clear" w:color="auto" w:fill="FFFFFF"/>
        </w:rPr>
        <w:t>parent</w:t>
      </w:r>
      <w:r w:rsidRPr="00430BFB">
        <w:rPr>
          <w:rFonts w:ascii="Arial" w:hAnsi="Arial" w:cs="Arial"/>
          <w:shd w:val="clear" w:color="auto" w:fill="FFFFFF"/>
        </w:rPr>
        <w:t xml:space="preserve"> cardiologist</w:t>
      </w:r>
      <w:r>
        <w:rPr>
          <w:rFonts w:ascii="Arial" w:hAnsi="Arial" w:cs="Arial"/>
          <w:shd w:val="clear" w:color="auto" w:fill="FFFFFF"/>
        </w:rPr>
        <w:t>s</w:t>
      </w:r>
      <w:r w:rsidRPr="00430BFB">
        <w:rPr>
          <w:rFonts w:ascii="Arial" w:hAnsi="Arial" w:cs="Arial"/>
          <w:shd w:val="clear" w:color="auto" w:fill="FFFFFF"/>
        </w:rPr>
        <w:t xml:space="preserve"> was recorded</w:t>
      </w:r>
      <w:r>
        <w:rPr>
          <w:rFonts w:ascii="Arial" w:hAnsi="Arial" w:cs="Arial"/>
          <w:shd w:val="clear" w:color="auto" w:fill="FFFFFF"/>
        </w:rPr>
        <w:t xml:space="preserve"> (pre-vFFR plan)</w:t>
      </w:r>
      <w:r w:rsidRPr="00430BFB">
        <w:rPr>
          <w:rFonts w:ascii="Arial" w:hAnsi="Arial" w:cs="Arial"/>
          <w:shd w:val="clear" w:color="auto" w:fill="FFFFFF"/>
        </w:rPr>
        <w:t>, in addition to the confidence level in their treatment plans</w:t>
      </w:r>
      <w:r>
        <w:rPr>
          <w:rFonts w:ascii="Arial" w:hAnsi="Arial" w:cs="Arial"/>
          <w:shd w:val="clear" w:color="auto" w:fill="FFFFFF"/>
        </w:rPr>
        <w:t xml:space="preserve">. </w:t>
      </w:r>
      <w:r w:rsidR="00CE3E1C" w:rsidRPr="00EF28A5">
        <w:rPr>
          <w:rFonts w:ascii="Arial" w:hAnsi="Arial" w:cs="Arial"/>
          <w:color w:val="0E101A"/>
          <w14:ligatures w14:val="none"/>
        </w:rPr>
        <w:t xml:space="preserve">The </w:t>
      </w:r>
      <w:r>
        <w:rPr>
          <w:rFonts w:ascii="Arial" w:hAnsi="Arial" w:cs="Arial"/>
          <w:color w:val="0E101A"/>
          <w14:ligatures w14:val="none"/>
        </w:rPr>
        <w:t xml:space="preserve">management </w:t>
      </w:r>
      <w:r w:rsidR="00CE3E1C" w:rsidRPr="00EF28A5">
        <w:rPr>
          <w:rFonts w:ascii="Arial" w:hAnsi="Arial" w:cs="Arial"/>
          <w:color w:val="0E101A"/>
          <w14:ligatures w14:val="none"/>
        </w:rPr>
        <w:t xml:space="preserve">plans from the </w:t>
      </w:r>
      <w:r w:rsidR="00CE3E1C">
        <w:rPr>
          <w:rFonts w:ascii="Arial" w:hAnsi="Arial" w:cs="Arial"/>
          <w:color w:val="0E101A"/>
          <w14:ligatures w14:val="none"/>
        </w:rPr>
        <w:t xml:space="preserve">parent </w:t>
      </w:r>
      <w:r w:rsidR="00CE3E1C" w:rsidRPr="00EF28A5">
        <w:rPr>
          <w:rFonts w:ascii="Arial" w:hAnsi="Arial" w:cs="Arial"/>
          <w:color w:val="0E101A"/>
          <w14:ligatures w14:val="none"/>
        </w:rPr>
        <w:t>cardiologist</w:t>
      </w:r>
      <w:r w:rsidR="00CE3E1C">
        <w:rPr>
          <w:rFonts w:ascii="Arial" w:hAnsi="Arial" w:cs="Arial"/>
          <w:color w:val="0E101A"/>
          <w14:ligatures w14:val="none"/>
        </w:rPr>
        <w:t>s</w:t>
      </w:r>
      <w:r w:rsidR="00CE3E1C" w:rsidRPr="00EF28A5">
        <w:rPr>
          <w:rFonts w:ascii="Arial" w:hAnsi="Arial" w:cs="Arial"/>
          <w:color w:val="0E101A"/>
          <w14:ligatures w14:val="none"/>
        </w:rPr>
        <w:t xml:space="preserve"> could include one of the following </w:t>
      </w:r>
      <w:r w:rsidR="00CE3E1C">
        <w:rPr>
          <w:rFonts w:ascii="Arial" w:hAnsi="Arial" w:cs="Arial"/>
          <w:color w:val="0E101A"/>
          <w14:ligatures w14:val="none"/>
        </w:rPr>
        <w:t>three</w:t>
      </w:r>
      <w:r w:rsidR="00CE3E1C" w:rsidRPr="00EF28A5">
        <w:rPr>
          <w:rFonts w:ascii="Arial" w:hAnsi="Arial" w:cs="Arial"/>
          <w:color w:val="0E101A"/>
          <w14:ligatures w14:val="none"/>
        </w:rPr>
        <w:t xml:space="preserve"> strategies:</w:t>
      </w:r>
    </w:p>
    <w:p w14:paraId="4D68CDF6" w14:textId="77777777" w:rsidR="00CE3E1C" w:rsidRPr="00EF28A5" w:rsidRDefault="00CE3E1C" w:rsidP="00CE3E1C">
      <w:pPr>
        <w:numPr>
          <w:ilvl w:val="0"/>
          <w:numId w:val="19"/>
        </w:numPr>
        <w:spacing w:after="0" w:line="360" w:lineRule="auto"/>
        <w:jc w:val="both"/>
        <w:rPr>
          <w:rFonts w:ascii="Arial" w:eastAsia="Times New Roman" w:hAnsi="Arial" w:cs="Arial"/>
          <w:color w:val="0E101A"/>
          <w:sz w:val="24"/>
          <w:szCs w:val="24"/>
          <w:lang w:eastAsia="en-GB"/>
          <w14:ligatures w14:val="none"/>
        </w:rPr>
      </w:pPr>
      <w:r w:rsidRPr="00EF28A5">
        <w:rPr>
          <w:rFonts w:ascii="Arial" w:eastAsia="Times New Roman" w:hAnsi="Arial" w:cs="Arial"/>
          <w:color w:val="0E101A"/>
          <w:sz w:val="24"/>
          <w:szCs w:val="24"/>
          <w:lang w:eastAsia="en-GB"/>
          <w14:ligatures w14:val="none"/>
        </w:rPr>
        <w:t>Optimal medical therapy (OMT)</w:t>
      </w:r>
      <w:r>
        <w:rPr>
          <w:rFonts w:ascii="Arial" w:eastAsia="Times New Roman" w:hAnsi="Arial" w:cs="Arial"/>
          <w:color w:val="0E101A"/>
          <w:sz w:val="24"/>
          <w:szCs w:val="24"/>
          <w:lang w:eastAsia="en-GB"/>
          <w14:ligatures w14:val="none"/>
        </w:rPr>
        <w:t xml:space="preserve"> - </w:t>
      </w:r>
      <w:r w:rsidRPr="00EF28A5">
        <w:rPr>
          <w:rFonts w:ascii="Arial" w:eastAsia="Times New Roman" w:hAnsi="Arial" w:cs="Arial"/>
          <w:color w:val="0E101A"/>
          <w:sz w:val="24"/>
          <w:szCs w:val="24"/>
          <w:lang w:eastAsia="en-GB"/>
          <w14:ligatures w14:val="none"/>
        </w:rPr>
        <w:t>This included either initiating anti-anginal medications de-novo (if not on any medications before) or uptitrating the current doses to maximum tolerated levels.</w:t>
      </w:r>
    </w:p>
    <w:p w14:paraId="48B244BD" w14:textId="77777777" w:rsidR="00CE3E1C" w:rsidRPr="00EF28A5" w:rsidRDefault="00CE3E1C" w:rsidP="00CE3E1C">
      <w:pPr>
        <w:numPr>
          <w:ilvl w:val="0"/>
          <w:numId w:val="19"/>
        </w:numPr>
        <w:spacing w:after="0" w:line="360" w:lineRule="auto"/>
        <w:jc w:val="both"/>
        <w:rPr>
          <w:rFonts w:ascii="Arial" w:eastAsia="Times New Roman" w:hAnsi="Arial" w:cs="Arial"/>
          <w:color w:val="0E101A"/>
          <w:sz w:val="24"/>
          <w:szCs w:val="24"/>
          <w:lang w:eastAsia="en-GB"/>
          <w14:ligatures w14:val="none"/>
        </w:rPr>
      </w:pPr>
      <w:r w:rsidRPr="00EF28A5">
        <w:rPr>
          <w:rFonts w:ascii="Arial" w:eastAsia="Times New Roman" w:hAnsi="Arial" w:cs="Arial"/>
          <w:color w:val="0E101A"/>
          <w:sz w:val="24"/>
          <w:szCs w:val="24"/>
          <w:lang w:eastAsia="en-GB"/>
          <w14:ligatures w14:val="none"/>
        </w:rPr>
        <w:t>Percutaneous coronary intervention (PCI)</w:t>
      </w:r>
      <w:r>
        <w:rPr>
          <w:rFonts w:ascii="Arial" w:eastAsia="Times New Roman" w:hAnsi="Arial" w:cs="Arial"/>
          <w:color w:val="0E101A"/>
          <w:sz w:val="24"/>
          <w:szCs w:val="24"/>
          <w:lang w:eastAsia="en-GB"/>
          <w14:ligatures w14:val="none"/>
        </w:rPr>
        <w:t xml:space="preserve"> - </w:t>
      </w:r>
      <w:r w:rsidRPr="00EF28A5">
        <w:rPr>
          <w:rFonts w:ascii="Arial" w:eastAsia="Times New Roman" w:hAnsi="Arial" w:cs="Arial"/>
          <w:color w:val="0E101A"/>
          <w:sz w:val="24"/>
          <w:szCs w:val="24"/>
          <w:lang w:eastAsia="en-GB"/>
          <w14:ligatures w14:val="none"/>
        </w:rPr>
        <w:t>This included visual assessment-guided PCI and an invasive FFR-guided PCI strategy if indicated.</w:t>
      </w:r>
    </w:p>
    <w:p w14:paraId="7A03CF7D" w14:textId="77777777" w:rsidR="00CE3E1C" w:rsidRDefault="00CE3E1C" w:rsidP="00CE3E1C">
      <w:pPr>
        <w:numPr>
          <w:ilvl w:val="0"/>
          <w:numId w:val="19"/>
        </w:numPr>
        <w:spacing w:after="0" w:line="360" w:lineRule="auto"/>
        <w:jc w:val="both"/>
        <w:rPr>
          <w:rFonts w:ascii="Arial" w:eastAsia="Times New Roman" w:hAnsi="Arial" w:cs="Arial"/>
          <w:color w:val="0E101A"/>
          <w:sz w:val="24"/>
          <w:szCs w:val="24"/>
          <w:lang w:eastAsia="en-GB"/>
          <w14:ligatures w14:val="none"/>
        </w:rPr>
      </w:pPr>
      <w:r w:rsidRPr="00EF28A5">
        <w:rPr>
          <w:rFonts w:ascii="Arial" w:eastAsia="Times New Roman" w:hAnsi="Arial" w:cs="Arial"/>
          <w:color w:val="0E101A"/>
          <w:sz w:val="24"/>
          <w:szCs w:val="24"/>
          <w:lang w:eastAsia="en-GB"/>
          <w14:ligatures w14:val="none"/>
        </w:rPr>
        <w:t>Coronary artery bypass grafting (CABG)</w:t>
      </w:r>
      <w:r>
        <w:rPr>
          <w:rFonts w:ascii="Arial" w:eastAsia="Times New Roman" w:hAnsi="Arial" w:cs="Arial"/>
          <w:color w:val="0E101A"/>
          <w:sz w:val="24"/>
          <w:szCs w:val="24"/>
          <w:lang w:eastAsia="en-GB"/>
          <w14:ligatures w14:val="none"/>
        </w:rPr>
        <w:t xml:space="preserve"> - </w:t>
      </w:r>
      <w:r w:rsidRPr="00EF28A5">
        <w:rPr>
          <w:rFonts w:ascii="Arial" w:eastAsia="Times New Roman" w:hAnsi="Arial" w:cs="Arial"/>
          <w:color w:val="0E101A"/>
          <w:sz w:val="24"/>
          <w:szCs w:val="24"/>
          <w:lang w:eastAsia="en-GB"/>
          <w14:ligatures w14:val="none"/>
        </w:rPr>
        <w:t>This included the number of grafts proposed by the cardiologist after the visual evaluation of CAG.</w:t>
      </w:r>
    </w:p>
    <w:p w14:paraId="78A3BA96" w14:textId="77777777" w:rsidR="004B7D68" w:rsidRPr="00EF28A5" w:rsidRDefault="004B7D68" w:rsidP="004B7D68">
      <w:pPr>
        <w:spacing w:after="0" w:line="360" w:lineRule="auto"/>
        <w:ind w:left="720"/>
        <w:jc w:val="both"/>
        <w:rPr>
          <w:rFonts w:ascii="Arial" w:eastAsia="Times New Roman" w:hAnsi="Arial" w:cs="Arial"/>
          <w:color w:val="0E101A"/>
          <w:sz w:val="24"/>
          <w:szCs w:val="24"/>
          <w:lang w:eastAsia="en-GB"/>
          <w14:ligatures w14:val="none"/>
        </w:rPr>
      </w:pPr>
    </w:p>
    <w:p w14:paraId="0292AA57" w14:textId="2A90BEFF" w:rsidR="004B7D68" w:rsidRDefault="004B7D68" w:rsidP="004B7D68">
      <w:pPr>
        <w:spacing w:after="0" w:line="360" w:lineRule="auto"/>
        <w:jc w:val="both"/>
        <w:rPr>
          <w:rFonts w:ascii="Arial" w:hAnsi="Arial" w:cs="Arial"/>
          <w:sz w:val="24"/>
          <w:szCs w:val="24"/>
          <w:shd w:val="clear" w:color="auto" w:fill="FFFFFF"/>
        </w:rPr>
      </w:pPr>
      <w:r w:rsidRPr="009E6351">
        <w:rPr>
          <w:rFonts w:ascii="Arial" w:hAnsi="Arial" w:cs="Arial"/>
          <w:sz w:val="24"/>
          <w:szCs w:val="24"/>
          <w:shd w:val="clear" w:color="auto" w:fill="FFFFFF"/>
        </w:rPr>
        <w:lastRenderedPageBreak/>
        <w:t>VIRTUHeart</w:t>
      </w:r>
      <w:r>
        <w:rPr>
          <w:rFonts w:ascii="Arial" w:hAnsi="Arial" w:cs="Arial"/>
          <w:sz w:val="24"/>
          <w:szCs w:val="24"/>
          <w:shd w:val="clear" w:color="auto" w:fill="FFFFFF"/>
          <w:vertAlign w:val="superscript"/>
        </w:rPr>
        <w:t>TM</w:t>
      </w:r>
      <w:r w:rsidRPr="009E6351">
        <w:rPr>
          <w:rFonts w:ascii="Arial" w:hAnsi="Arial" w:cs="Arial"/>
          <w:sz w:val="24"/>
          <w:szCs w:val="24"/>
          <w:shd w:val="clear" w:color="auto" w:fill="FFFFFF"/>
        </w:rPr>
        <w:t xml:space="preserve"> software was subsequently applied to vessels exhibiting visually apparent lesions with 30-90% stenosis.</w:t>
      </w:r>
      <w:r>
        <w:rPr>
          <w:rFonts w:ascii="Arial" w:hAnsi="Arial" w:cs="Arial"/>
          <w:sz w:val="24"/>
          <w:szCs w:val="24"/>
          <w:shd w:val="clear" w:color="auto" w:fill="FFFFFF"/>
        </w:rPr>
        <w:t xml:space="preserve"> </w:t>
      </w:r>
      <w:r w:rsidR="00CE3E1C" w:rsidRPr="00EF28A5">
        <w:rPr>
          <w:rFonts w:ascii="Arial" w:eastAsia="Times New Roman" w:hAnsi="Arial" w:cs="Arial"/>
          <w:color w:val="0E101A"/>
          <w:sz w:val="24"/>
          <w:szCs w:val="24"/>
          <w:lang w:eastAsia="en-GB"/>
          <w14:ligatures w14:val="none"/>
        </w:rPr>
        <w:t xml:space="preserve">The </w:t>
      </w:r>
      <w:r w:rsidR="00CE3E1C">
        <w:rPr>
          <w:rFonts w:ascii="Arial" w:eastAsia="Times New Roman" w:hAnsi="Arial" w:cs="Arial"/>
          <w:color w:val="0E101A"/>
          <w:sz w:val="24"/>
          <w:szCs w:val="24"/>
          <w:lang w:eastAsia="en-GB"/>
          <w14:ligatures w14:val="none"/>
        </w:rPr>
        <w:t>vFFR</w:t>
      </w:r>
      <w:r w:rsidR="00CE3E1C" w:rsidRPr="00EF28A5">
        <w:rPr>
          <w:rFonts w:ascii="Arial" w:eastAsia="Times New Roman" w:hAnsi="Arial" w:cs="Arial"/>
          <w:color w:val="0E101A"/>
          <w:sz w:val="24"/>
          <w:szCs w:val="24"/>
          <w:lang w:eastAsia="en-GB"/>
          <w14:ligatures w14:val="none"/>
        </w:rPr>
        <w:t xml:space="preserve"> values were disclosed to the </w:t>
      </w:r>
      <w:r>
        <w:rPr>
          <w:rFonts w:ascii="Arial" w:eastAsia="Times New Roman" w:hAnsi="Arial" w:cs="Arial"/>
          <w:color w:val="0E101A"/>
          <w:sz w:val="24"/>
          <w:szCs w:val="24"/>
          <w:lang w:eastAsia="en-GB"/>
          <w14:ligatures w14:val="none"/>
        </w:rPr>
        <w:t xml:space="preserve">parent </w:t>
      </w:r>
      <w:r w:rsidR="00CE3E1C" w:rsidRPr="00EF28A5">
        <w:rPr>
          <w:rFonts w:ascii="Arial" w:eastAsia="Times New Roman" w:hAnsi="Arial" w:cs="Arial"/>
          <w:color w:val="0E101A"/>
          <w:sz w:val="24"/>
          <w:szCs w:val="24"/>
          <w:lang w:eastAsia="en-GB"/>
          <w14:ligatures w14:val="none"/>
        </w:rPr>
        <w:t>cardiologist</w:t>
      </w:r>
      <w:r>
        <w:rPr>
          <w:rFonts w:ascii="Arial" w:eastAsia="Times New Roman" w:hAnsi="Arial" w:cs="Arial"/>
          <w:color w:val="0E101A"/>
          <w:sz w:val="24"/>
          <w:szCs w:val="24"/>
          <w:lang w:eastAsia="en-GB"/>
          <w14:ligatures w14:val="none"/>
        </w:rPr>
        <w:t>s</w:t>
      </w:r>
      <w:r w:rsidR="00CE3E1C" w:rsidRPr="00EF28A5">
        <w:rPr>
          <w:rFonts w:ascii="Arial" w:eastAsia="Times New Roman" w:hAnsi="Arial" w:cs="Arial"/>
          <w:color w:val="0E101A"/>
          <w:sz w:val="24"/>
          <w:szCs w:val="24"/>
          <w:lang w:eastAsia="en-GB"/>
          <w14:ligatures w14:val="none"/>
        </w:rPr>
        <w:t xml:space="preserve"> as computed via VIRTU</w:t>
      </w:r>
      <w:r w:rsidR="00CE3E1C">
        <w:rPr>
          <w:rFonts w:ascii="Arial" w:eastAsia="Times New Roman" w:hAnsi="Arial" w:cs="Arial"/>
          <w:color w:val="0E101A"/>
          <w:sz w:val="24"/>
          <w:szCs w:val="24"/>
          <w:lang w:eastAsia="en-GB"/>
          <w14:ligatures w14:val="none"/>
        </w:rPr>
        <w:t>H</w:t>
      </w:r>
      <w:r w:rsidR="00CE3E1C" w:rsidRPr="00EF28A5">
        <w:rPr>
          <w:rFonts w:ascii="Arial" w:eastAsia="Times New Roman" w:hAnsi="Arial" w:cs="Arial"/>
          <w:color w:val="0E101A"/>
          <w:sz w:val="24"/>
          <w:szCs w:val="24"/>
          <w:lang w:eastAsia="en-GB"/>
          <w14:ligatures w14:val="none"/>
        </w:rPr>
        <w:t>eart</w:t>
      </w:r>
      <w:r w:rsidR="00CE3E1C">
        <w:rPr>
          <w:rFonts w:ascii="Arial" w:eastAsia="Times New Roman" w:hAnsi="Arial" w:cs="Arial"/>
          <w:color w:val="0E101A"/>
          <w:sz w:val="24"/>
          <w:szCs w:val="24"/>
          <w:vertAlign w:val="superscript"/>
          <w:lang w:eastAsia="en-GB"/>
          <w14:ligatures w14:val="none"/>
        </w:rPr>
        <w:t>TM</w:t>
      </w:r>
      <w:r w:rsidR="00CE3E1C" w:rsidRPr="00EF28A5">
        <w:rPr>
          <w:rFonts w:ascii="Arial" w:eastAsia="Times New Roman" w:hAnsi="Arial" w:cs="Arial"/>
          <w:color w:val="0E101A"/>
          <w:sz w:val="24"/>
          <w:szCs w:val="24"/>
          <w:lang w:eastAsia="en-GB"/>
          <w14:ligatures w14:val="none"/>
        </w:rPr>
        <w:t xml:space="preserve"> software, and the notional change in the management plan was documented. The change in the plans was virtual because VIRTUheart</w:t>
      </w:r>
      <w:r w:rsidR="00CE3E1C">
        <w:rPr>
          <w:rFonts w:ascii="Arial" w:eastAsia="Times New Roman" w:hAnsi="Arial" w:cs="Arial"/>
          <w:color w:val="0E101A"/>
          <w:sz w:val="24"/>
          <w:szCs w:val="24"/>
          <w:vertAlign w:val="superscript"/>
          <w:lang w:eastAsia="en-GB"/>
          <w14:ligatures w14:val="none"/>
        </w:rPr>
        <w:t>TM</w:t>
      </w:r>
      <w:r w:rsidR="00CE3E1C" w:rsidRPr="00EF28A5">
        <w:rPr>
          <w:rFonts w:ascii="Arial" w:eastAsia="Times New Roman" w:hAnsi="Arial" w:cs="Arial"/>
          <w:color w:val="0E101A"/>
          <w:sz w:val="24"/>
          <w:szCs w:val="24"/>
          <w:lang w:eastAsia="en-GB"/>
          <w14:ligatures w14:val="none"/>
        </w:rPr>
        <w:t xml:space="preserve"> is currently a research-based tool only and is not yet </w:t>
      </w:r>
      <w:r w:rsidR="00CE3E1C">
        <w:rPr>
          <w:rFonts w:ascii="Arial" w:eastAsia="Times New Roman" w:hAnsi="Arial" w:cs="Arial"/>
          <w:color w:val="0E101A"/>
          <w:sz w:val="24"/>
          <w:szCs w:val="24"/>
          <w:lang w:eastAsia="en-GB"/>
          <w14:ligatures w14:val="none"/>
        </w:rPr>
        <w:t>licence</w:t>
      </w:r>
      <w:r w:rsidR="00CE3E1C" w:rsidRPr="00EF28A5">
        <w:rPr>
          <w:rFonts w:ascii="Arial" w:eastAsia="Times New Roman" w:hAnsi="Arial" w:cs="Arial"/>
          <w:color w:val="0E101A"/>
          <w:sz w:val="24"/>
          <w:szCs w:val="24"/>
          <w:lang w:eastAsia="en-GB"/>
          <w14:ligatures w14:val="none"/>
        </w:rPr>
        <w:t>d by the Medicines and Healthcare Products Regulatory Authority (MHRA) as a clinical decision-making tool</w:t>
      </w:r>
      <w:r w:rsidR="00C6214B" w:rsidRPr="00C6214B">
        <w:rPr>
          <w:rFonts w:ascii="Arial" w:hAnsi="Arial" w:cs="Arial"/>
          <w:sz w:val="24"/>
          <w:szCs w:val="24"/>
          <w:shd w:val="clear" w:color="auto" w:fill="FFFFFF"/>
        </w:rPr>
        <w:t>.</w:t>
      </w:r>
      <w:r>
        <w:rPr>
          <w:rFonts w:ascii="Arial" w:hAnsi="Arial" w:cs="Arial"/>
          <w:sz w:val="24"/>
          <w:szCs w:val="24"/>
          <w:shd w:val="clear" w:color="auto" w:fill="FFFFFF"/>
        </w:rPr>
        <w:t xml:space="preserve"> </w:t>
      </w:r>
      <w:r w:rsidR="00C6214B" w:rsidRPr="00C6214B">
        <w:rPr>
          <w:rFonts w:ascii="Arial" w:hAnsi="Arial" w:cs="Arial"/>
          <w:sz w:val="24"/>
          <w:szCs w:val="24"/>
          <w:shd w:val="clear" w:color="auto" w:fill="FFFFFF"/>
        </w:rPr>
        <w:t xml:space="preserve">Patients were </w:t>
      </w:r>
      <w:r w:rsidR="00C6214B" w:rsidRPr="00430BFB">
        <w:rPr>
          <w:rFonts w:ascii="Arial" w:hAnsi="Arial" w:cs="Arial"/>
          <w:sz w:val="24"/>
          <w:szCs w:val="24"/>
          <w:shd w:val="clear" w:color="auto" w:fill="FFFFFF"/>
        </w:rPr>
        <w:t xml:space="preserve">followed up six months </w:t>
      </w:r>
      <w:r w:rsidR="00C6214B" w:rsidRPr="00C6214B">
        <w:rPr>
          <w:rFonts w:ascii="Arial" w:hAnsi="Arial" w:cs="Arial"/>
          <w:sz w:val="24"/>
          <w:szCs w:val="24"/>
          <w:shd w:val="clear" w:color="auto" w:fill="FFFFFF"/>
        </w:rPr>
        <w:t>later via telephone to collect data on major adverse cardiovascular events (MACE), including cardiovascular death, myocardial infarction, repeat revasculari</w:t>
      </w:r>
      <w:r>
        <w:rPr>
          <w:rFonts w:ascii="Arial" w:hAnsi="Arial" w:cs="Arial"/>
          <w:sz w:val="24"/>
          <w:szCs w:val="24"/>
          <w:shd w:val="clear" w:color="auto" w:fill="FFFFFF"/>
        </w:rPr>
        <w:t>s</w:t>
      </w:r>
      <w:r w:rsidR="00C6214B" w:rsidRPr="00C6214B">
        <w:rPr>
          <w:rFonts w:ascii="Arial" w:hAnsi="Arial" w:cs="Arial"/>
          <w:sz w:val="24"/>
          <w:szCs w:val="24"/>
          <w:shd w:val="clear" w:color="auto" w:fill="FFFFFF"/>
        </w:rPr>
        <w:t xml:space="preserve">ation (performed or planned), symptoms, hospital admissions, and any outpatient investigations performed. </w:t>
      </w:r>
      <w:r>
        <w:rPr>
          <w:rFonts w:ascii="Arial" w:hAnsi="Arial" w:cs="Arial"/>
          <w:sz w:val="24"/>
          <w:szCs w:val="24"/>
          <w:shd w:val="clear" w:color="auto" w:fill="FFFFFF"/>
        </w:rPr>
        <w:t>QOL data were also collected using t</w:t>
      </w:r>
      <w:r w:rsidR="00C6214B" w:rsidRPr="00C6214B">
        <w:rPr>
          <w:rFonts w:ascii="Arial" w:hAnsi="Arial" w:cs="Arial"/>
          <w:sz w:val="24"/>
          <w:szCs w:val="24"/>
          <w:shd w:val="clear" w:color="auto" w:fill="FFFFFF"/>
        </w:rPr>
        <w:t>he EQ-5D</w:t>
      </w:r>
      <w:r>
        <w:rPr>
          <w:rFonts w:ascii="Arial" w:hAnsi="Arial" w:cs="Arial"/>
          <w:sz w:val="24"/>
          <w:szCs w:val="24"/>
          <w:shd w:val="clear" w:color="auto" w:fill="FFFFFF"/>
        </w:rPr>
        <w:t>-5L</w:t>
      </w:r>
      <w:r w:rsidR="00C6214B" w:rsidRPr="00C6214B">
        <w:rPr>
          <w:rFonts w:ascii="Arial" w:hAnsi="Arial" w:cs="Arial"/>
          <w:sz w:val="24"/>
          <w:szCs w:val="24"/>
          <w:shd w:val="clear" w:color="auto" w:fill="FFFFFF"/>
        </w:rPr>
        <w:t xml:space="preserve"> questionnaire</w:t>
      </w:r>
      <w:r>
        <w:rPr>
          <w:rFonts w:ascii="Arial" w:hAnsi="Arial" w:cs="Arial"/>
          <w:sz w:val="24"/>
          <w:szCs w:val="24"/>
          <w:shd w:val="clear" w:color="auto" w:fill="FFFFFF"/>
        </w:rPr>
        <w:t xml:space="preserve"> at</w:t>
      </w:r>
      <w:r w:rsidR="00C6214B" w:rsidRPr="00C6214B">
        <w:rPr>
          <w:rFonts w:ascii="Arial" w:hAnsi="Arial" w:cs="Arial"/>
          <w:sz w:val="24"/>
          <w:szCs w:val="24"/>
          <w:shd w:val="clear" w:color="auto" w:fill="FFFFFF"/>
        </w:rPr>
        <w:t xml:space="preserve"> six-month follow-up.</w:t>
      </w:r>
      <w:r w:rsidRPr="00430BFB">
        <w:rPr>
          <w:rFonts w:ascii="Arial" w:hAnsi="Arial" w:cs="Arial"/>
          <w:sz w:val="24"/>
          <w:szCs w:val="24"/>
          <w:shd w:val="clear" w:color="auto" w:fill="FFFFFF"/>
        </w:rPr>
        <w:t xml:space="preserve"> </w:t>
      </w:r>
    </w:p>
    <w:p w14:paraId="3DE6CE03" w14:textId="77777777" w:rsidR="004942B6" w:rsidRPr="00C63DE2" w:rsidRDefault="004942B6" w:rsidP="004942B6">
      <w:pPr>
        <w:spacing w:after="0" w:line="360" w:lineRule="auto"/>
        <w:jc w:val="both"/>
        <w:rPr>
          <w:rFonts w:ascii="Arial" w:eastAsia="Times New Roman" w:hAnsi="Arial" w:cs="Arial"/>
          <w:sz w:val="24"/>
          <w:szCs w:val="24"/>
          <w:lang w:eastAsia="en-GB"/>
          <w14:ligatures w14:val="none"/>
        </w:rPr>
      </w:pPr>
    </w:p>
    <w:p w14:paraId="5A7A2F11" w14:textId="77777777" w:rsidR="004942B6" w:rsidRPr="00903C49" w:rsidRDefault="004942B6" w:rsidP="004942B6">
      <w:pPr>
        <w:pStyle w:val="Heading3"/>
        <w:spacing w:line="360" w:lineRule="auto"/>
        <w:rPr>
          <w:rFonts w:ascii="Arial" w:hAnsi="Arial" w:cs="Arial"/>
          <w:color w:val="4472C4" w:themeColor="accent1"/>
          <w:sz w:val="24"/>
          <w:szCs w:val="24"/>
          <w:shd w:val="clear" w:color="auto" w:fill="FFFFFF"/>
        </w:rPr>
      </w:pPr>
      <w:bookmarkStart w:id="463" w:name="_Toc159613564"/>
      <w:bookmarkStart w:id="464" w:name="_Toc160981225"/>
      <w:bookmarkStart w:id="465" w:name="_Toc164681365"/>
      <w:bookmarkStart w:id="466" w:name="_Toc170075047"/>
      <w:bookmarkStart w:id="467" w:name="_Toc170076034"/>
      <w:bookmarkStart w:id="468" w:name="_Toc170577730"/>
      <w:bookmarkStart w:id="469" w:name="_Toc170579248"/>
      <w:bookmarkStart w:id="470" w:name="_Toc171203103"/>
      <w:bookmarkStart w:id="471" w:name="_Toc171203874"/>
      <w:r w:rsidRPr="00903C49">
        <w:rPr>
          <w:rFonts w:ascii="Arial" w:hAnsi="Arial" w:cs="Arial"/>
          <w:color w:val="4472C4" w:themeColor="accent1"/>
          <w:sz w:val="24"/>
          <w:szCs w:val="24"/>
          <w:shd w:val="clear" w:color="auto" w:fill="FFFFFF"/>
        </w:rPr>
        <w:t>1.13.3 Primary and secondary endpoints of VIRTU-4</w:t>
      </w:r>
      <w:bookmarkEnd w:id="463"/>
      <w:bookmarkEnd w:id="464"/>
      <w:bookmarkEnd w:id="465"/>
      <w:bookmarkEnd w:id="466"/>
      <w:bookmarkEnd w:id="467"/>
      <w:bookmarkEnd w:id="468"/>
      <w:bookmarkEnd w:id="469"/>
      <w:bookmarkEnd w:id="470"/>
      <w:bookmarkEnd w:id="471"/>
    </w:p>
    <w:p w14:paraId="1C6C812F" w14:textId="77777777" w:rsidR="004942B6" w:rsidRPr="00903C49" w:rsidRDefault="004942B6" w:rsidP="004942B6">
      <w:pPr>
        <w:spacing w:after="0" w:line="360" w:lineRule="auto"/>
        <w:jc w:val="both"/>
        <w:rPr>
          <w:rFonts w:ascii="Arial" w:eastAsia="Times New Roman" w:hAnsi="Arial" w:cs="Arial"/>
          <w:color w:val="0E101A"/>
          <w:sz w:val="24"/>
          <w:szCs w:val="24"/>
          <w:lang w:eastAsia="en-GB"/>
          <w14:ligatures w14:val="none"/>
        </w:rPr>
      </w:pPr>
      <w:r w:rsidRPr="00903C49">
        <w:rPr>
          <w:rFonts w:ascii="Arial" w:eastAsia="Times New Roman" w:hAnsi="Arial" w:cs="Arial"/>
          <w:color w:val="0E101A"/>
          <w:sz w:val="24"/>
          <w:szCs w:val="24"/>
          <w:lang w:eastAsia="en-GB"/>
          <w14:ligatures w14:val="none"/>
        </w:rPr>
        <w:t xml:space="preserve">The primary endpoints included: </w:t>
      </w:r>
    </w:p>
    <w:p w14:paraId="09A4B208" w14:textId="1B375330" w:rsidR="004942B6" w:rsidRPr="00903C49" w:rsidRDefault="004942B6" w:rsidP="00C03BCF">
      <w:pPr>
        <w:pStyle w:val="ListParagraph"/>
        <w:numPr>
          <w:ilvl w:val="0"/>
          <w:numId w:val="17"/>
        </w:numPr>
        <w:spacing w:after="0" w:line="360" w:lineRule="auto"/>
        <w:jc w:val="both"/>
        <w:rPr>
          <w:rFonts w:ascii="Arial" w:eastAsia="Times New Roman" w:hAnsi="Arial" w:cs="Arial"/>
          <w:color w:val="0E101A"/>
          <w:sz w:val="24"/>
          <w:szCs w:val="24"/>
          <w:lang w:eastAsia="en-GB"/>
          <w14:ligatures w14:val="none"/>
        </w:rPr>
      </w:pPr>
      <w:r w:rsidRPr="00903C49">
        <w:rPr>
          <w:rFonts w:ascii="Arial" w:eastAsia="Times New Roman" w:hAnsi="Arial" w:cs="Arial"/>
          <w:color w:val="0E101A"/>
          <w:sz w:val="24"/>
          <w:szCs w:val="24"/>
          <w:lang w:eastAsia="en-GB"/>
          <w14:ligatures w14:val="none"/>
        </w:rPr>
        <w:t xml:space="preserve">Evaluate the proportion of patients for </w:t>
      </w:r>
      <w:r w:rsidR="00774ADD" w:rsidRPr="00903C49">
        <w:rPr>
          <w:rFonts w:ascii="Arial" w:eastAsia="Times New Roman" w:hAnsi="Arial" w:cs="Arial"/>
          <w:color w:val="0E101A"/>
          <w:sz w:val="24"/>
          <w:szCs w:val="24"/>
          <w:lang w:eastAsia="en-GB"/>
          <w14:ligatures w14:val="none"/>
        </w:rPr>
        <w:t xml:space="preserve">whom </w:t>
      </w:r>
      <w:r w:rsidRPr="00903C49">
        <w:rPr>
          <w:rFonts w:ascii="Arial" w:eastAsia="Times New Roman" w:hAnsi="Arial" w:cs="Arial"/>
          <w:color w:val="0E101A"/>
          <w:sz w:val="24"/>
          <w:szCs w:val="24"/>
          <w:lang w:eastAsia="en-GB"/>
          <w14:ligatures w14:val="none"/>
        </w:rPr>
        <w:t xml:space="preserve">treatment plan </w:t>
      </w:r>
      <w:r w:rsidR="00774ADD" w:rsidRPr="00903C49">
        <w:rPr>
          <w:rFonts w:ascii="Arial" w:eastAsia="Times New Roman" w:hAnsi="Arial" w:cs="Arial"/>
          <w:color w:val="0E101A"/>
          <w:sz w:val="24"/>
          <w:szCs w:val="24"/>
          <w:lang w:eastAsia="en-GB"/>
          <w14:ligatures w14:val="none"/>
        </w:rPr>
        <w:t xml:space="preserve">virtually changed </w:t>
      </w:r>
      <w:r w:rsidRPr="00903C49">
        <w:rPr>
          <w:rFonts w:ascii="Arial" w:eastAsia="Times New Roman" w:hAnsi="Arial" w:cs="Arial"/>
          <w:color w:val="0E101A"/>
          <w:sz w:val="24"/>
          <w:szCs w:val="24"/>
          <w:lang w:eastAsia="en-GB"/>
          <w14:ligatures w14:val="none"/>
        </w:rPr>
        <w:t xml:space="preserve">after vFFR disclosure between OMT, PCI, </w:t>
      </w:r>
      <w:r w:rsidR="008C72FD" w:rsidRPr="00903C49">
        <w:rPr>
          <w:rFonts w:ascii="Arial" w:eastAsia="Times New Roman" w:hAnsi="Arial" w:cs="Arial"/>
          <w:color w:val="0E101A"/>
          <w:sz w:val="24"/>
          <w:szCs w:val="24"/>
          <w:lang w:eastAsia="en-GB"/>
          <w14:ligatures w14:val="none"/>
        </w:rPr>
        <w:t xml:space="preserve">or </w:t>
      </w:r>
      <w:r w:rsidRPr="00903C49">
        <w:rPr>
          <w:rFonts w:ascii="Arial" w:eastAsia="Times New Roman" w:hAnsi="Arial" w:cs="Arial"/>
          <w:color w:val="0E101A"/>
          <w:sz w:val="24"/>
          <w:szCs w:val="24"/>
          <w:lang w:eastAsia="en-GB"/>
          <w14:ligatures w14:val="none"/>
        </w:rPr>
        <w:t>CABG.</w:t>
      </w:r>
    </w:p>
    <w:p w14:paraId="0E4E9B1A" w14:textId="77777777" w:rsidR="004942B6" w:rsidRPr="00903C49" w:rsidRDefault="004942B6" w:rsidP="004942B6">
      <w:pPr>
        <w:spacing w:after="0" w:line="360" w:lineRule="auto"/>
        <w:jc w:val="both"/>
        <w:rPr>
          <w:rFonts w:ascii="Arial" w:eastAsia="Times New Roman" w:hAnsi="Arial" w:cs="Arial"/>
          <w:color w:val="0E101A"/>
          <w:sz w:val="24"/>
          <w:szCs w:val="24"/>
          <w:lang w:eastAsia="en-GB"/>
          <w14:ligatures w14:val="none"/>
        </w:rPr>
      </w:pPr>
      <w:r w:rsidRPr="00903C49">
        <w:rPr>
          <w:rFonts w:ascii="Arial" w:eastAsia="Times New Roman" w:hAnsi="Arial" w:cs="Arial"/>
          <w:color w:val="0E101A"/>
          <w:sz w:val="24"/>
          <w:szCs w:val="24"/>
          <w:lang w:eastAsia="en-GB"/>
          <w14:ligatures w14:val="none"/>
        </w:rPr>
        <w:t>The secondary endpoints included:</w:t>
      </w:r>
    </w:p>
    <w:p w14:paraId="78A0DEC7" w14:textId="77777777" w:rsidR="004942B6" w:rsidRPr="00903C49" w:rsidRDefault="004942B6" w:rsidP="00C03BCF">
      <w:pPr>
        <w:numPr>
          <w:ilvl w:val="0"/>
          <w:numId w:val="16"/>
        </w:numPr>
        <w:spacing w:after="0" w:line="360" w:lineRule="auto"/>
        <w:jc w:val="both"/>
        <w:rPr>
          <w:rFonts w:ascii="Arial" w:eastAsia="Times New Roman" w:hAnsi="Arial" w:cs="Arial"/>
          <w:color w:val="0E101A"/>
          <w:sz w:val="24"/>
          <w:szCs w:val="24"/>
          <w:lang w:eastAsia="en-GB"/>
          <w14:ligatures w14:val="none"/>
        </w:rPr>
      </w:pPr>
      <w:r w:rsidRPr="00903C49">
        <w:rPr>
          <w:rFonts w:ascii="Arial" w:eastAsia="Times New Roman" w:hAnsi="Arial" w:cs="Arial"/>
          <w:color w:val="0E101A"/>
          <w:sz w:val="24"/>
          <w:szCs w:val="24"/>
          <w:lang w:eastAsia="en-GB"/>
          <w14:ligatures w14:val="none"/>
        </w:rPr>
        <w:t>MACE at one year (cardiovascular death, MI, re-revascularisation).</w:t>
      </w:r>
    </w:p>
    <w:p w14:paraId="6EE96A82" w14:textId="77777777" w:rsidR="004942B6" w:rsidRPr="00903C49" w:rsidRDefault="004942B6" w:rsidP="00C03BCF">
      <w:pPr>
        <w:numPr>
          <w:ilvl w:val="0"/>
          <w:numId w:val="16"/>
        </w:numPr>
        <w:spacing w:after="0" w:line="360" w:lineRule="auto"/>
        <w:jc w:val="both"/>
        <w:rPr>
          <w:rFonts w:ascii="Arial" w:eastAsia="Times New Roman" w:hAnsi="Arial" w:cs="Arial"/>
          <w:color w:val="0E101A"/>
          <w:sz w:val="24"/>
          <w:szCs w:val="24"/>
          <w:lang w:eastAsia="en-GB"/>
          <w14:ligatures w14:val="none"/>
        </w:rPr>
      </w:pPr>
      <w:r w:rsidRPr="00903C49">
        <w:rPr>
          <w:rFonts w:ascii="Arial" w:eastAsia="Times New Roman" w:hAnsi="Arial" w:cs="Arial"/>
          <w:color w:val="0E101A"/>
          <w:sz w:val="24"/>
          <w:szCs w:val="24"/>
          <w:lang w:eastAsia="en-GB"/>
          <w14:ligatures w14:val="none"/>
        </w:rPr>
        <w:t>Evaluation and correlation of intra-observer and inter-observer variability of vFFR values.</w:t>
      </w:r>
    </w:p>
    <w:p w14:paraId="0BA7EA7A" w14:textId="77777777" w:rsidR="004942B6" w:rsidRPr="00903C49" w:rsidRDefault="004942B6" w:rsidP="00C03BCF">
      <w:pPr>
        <w:numPr>
          <w:ilvl w:val="0"/>
          <w:numId w:val="16"/>
        </w:numPr>
        <w:spacing w:after="0" w:line="360" w:lineRule="auto"/>
        <w:jc w:val="both"/>
        <w:rPr>
          <w:rFonts w:ascii="Arial" w:eastAsia="Times New Roman" w:hAnsi="Arial" w:cs="Arial"/>
          <w:color w:val="0E101A"/>
          <w:sz w:val="24"/>
          <w:szCs w:val="24"/>
          <w:lang w:eastAsia="en-GB"/>
          <w14:ligatures w14:val="none"/>
        </w:rPr>
      </w:pPr>
      <w:r w:rsidRPr="00903C49">
        <w:rPr>
          <w:rFonts w:ascii="Arial" w:eastAsia="Times New Roman" w:hAnsi="Arial" w:cs="Arial"/>
          <w:color w:val="0E101A"/>
          <w:sz w:val="24"/>
          <w:szCs w:val="24"/>
          <w:lang w:eastAsia="en-GB"/>
          <w14:ligatures w14:val="none"/>
        </w:rPr>
        <w:t xml:space="preserve">Comparison of </w:t>
      </w:r>
      <w:r w:rsidRPr="00903C49">
        <w:rPr>
          <w:rFonts w:ascii="Arial" w:hAnsi="Arial" w:cs="Arial"/>
          <w:sz w:val="24"/>
          <w:szCs w:val="24"/>
        </w:rPr>
        <w:t>VIRTUHeart</w:t>
      </w:r>
      <w:r w:rsidRPr="00903C49">
        <w:rPr>
          <w:rFonts w:ascii="Arial" w:hAnsi="Arial" w:cs="Arial"/>
          <w:sz w:val="24"/>
          <w:szCs w:val="24"/>
          <w:vertAlign w:val="superscript"/>
        </w:rPr>
        <w:t>TM</w:t>
      </w:r>
      <w:r w:rsidRPr="00903C49">
        <w:rPr>
          <w:rFonts w:ascii="Arial" w:hAnsi="Arial" w:cs="Arial"/>
          <w:sz w:val="24"/>
          <w:szCs w:val="24"/>
        </w:rPr>
        <w:t xml:space="preserve"> </w:t>
      </w:r>
      <w:r w:rsidRPr="00903C49">
        <w:rPr>
          <w:rFonts w:ascii="Arial" w:eastAsia="Times New Roman" w:hAnsi="Arial" w:cs="Arial"/>
          <w:color w:val="0E101A"/>
          <w:sz w:val="24"/>
          <w:szCs w:val="24"/>
          <w:lang w:eastAsia="en-GB"/>
          <w14:ligatures w14:val="none"/>
        </w:rPr>
        <w:t>against commercially available alternative software, including CAAS-vFFR (Pie Medical Imaging) and QFR (Medis Medical Imaging).</w:t>
      </w:r>
    </w:p>
    <w:p w14:paraId="43DAF781" w14:textId="77777777" w:rsidR="004942B6" w:rsidRPr="00903C49" w:rsidRDefault="004942B6" w:rsidP="00C03BCF">
      <w:pPr>
        <w:numPr>
          <w:ilvl w:val="0"/>
          <w:numId w:val="16"/>
        </w:numPr>
        <w:spacing w:after="0" w:line="360" w:lineRule="auto"/>
        <w:jc w:val="both"/>
        <w:rPr>
          <w:rFonts w:ascii="Arial" w:eastAsia="Times New Roman" w:hAnsi="Arial" w:cs="Arial"/>
          <w:color w:val="0E101A"/>
          <w:sz w:val="24"/>
          <w:szCs w:val="24"/>
          <w:lang w:eastAsia="en-GB"/>
          <w14:ligatures w14:val="none"/>
        </w:rPr>
      </w:pPr>
      <w:r w:rsidRPr="00903C49">
        <w:rPr>
          <w:rFonts w:ascii="Arial" w:eastAsia="Times New Roman" w:hAnsi="Arial" w:cs="Arial"/>
          <w:color w:val="0E101A"/>
          <w:sz w:val="24"/>
          <w:szCs w:val="24"/>
          <w:lang w:eastAsia="en-GB"/>
          <w14:ligatures w14:val="none"/>
        </w:rPr>
        <w:t>Evaluation of the effect of vFFR upon the cardiologists' confidence levels.</w:t>
      </w:r>
    </w:p>
    <w:p w14:paraId="723EAF3A" w14:textId="77777777" w:rsidR="004942B6" w:rsidRPr="00903C49" w:rsidRDefault="004942B6" w:rsidP="004942B6">
      <w:pPr>
        <w:spacing w:line="360" w:lineRule="auto"/>
        <w:jc w:val="both"/>
        <w:rPr>
          <w:rFonts w:ascii="Arial" w:hAnsi="Arial" w:cs="Arial"/>
          <w:color w:val="000000" w:themeColor="text1"/>
          <w:sz w:val="24"/>
          <w:szCs w:val="24"/>
        </w:rPr>
      </w:pPr>
    </w:p>
    <w:p w14:paraId="69D53F8D" w14:textId="7E1937DB" w:rsidR="004942B6" w:rsidRPr="00903C49" w:rsidRDefault="004942B6" w:rsidP="004942B6">
      <w:pPr>
        <w:pStyle w:val="Heading3"/>
        <w:spacing w:line="360" w:lineRule="auto"/>
        <w:rPr>
          <w:rFonts w:ascii="Arial" w:hAnsi="Arial" w:cs="Arial"/>
          <w:color w:val="4472C4" w:themeColor="accent1"/>
          <w:sz w:val="24"/>
          <w:szCs w:val="24"/>
        </w:rPr>
      </w:pPr>
      <w:bookmarkStart w:id="472" w:name="_Toc159613565"/>
      <w:bookmarkStart w:id="473" w:name="_Toc160981226"/>
      <w:bookmarkStart w:id="474" w:name="_Toc164681366"/>
      <w:bookmarkStart w:id="475" w:name="_Toc170075048"/>
      <w:bookmarkStart w:id="476" w:name="_Toc170076035"/>
      <w:bookmarkStart w:id="477" w:name="_Toc170577731"/>
      <w:bookmarkStart w:id="478" w:name="_Toc170579249"/>
      <w:bookmarkStart w:id="479" w:name="_Toc171203104"/>
      <w:bookmarkStart w:id="480" w:name="_Toc171203875"/>
      <w:r w:rsidRPr="00903C49">
        <w:rPr>
          <w:rFonts w:ascii="Arial" w:hAnsi="Arial" w:cs="Arial"/>
          <w:color w:val="4472C4" w:themeColor="accent1"/>
          <w:sz w:val="24"/>
          <w:szCs w:val="24"/>
        </w:rPr>
        <w:t xml:space="preserve">1.13.4 Outcomes </w:t>
      </w:r>
      <w:r w:rsidR="00AB5CB7">
        <w:rPr>
          <w:rFonts w:ascii="Arial" w:hAnsi="Arial" w:cs="Arial"/>
          <w:color w:val="4472C4" w:themeColor="accent1"/>
          <w:sz w:val="24"/>
          <w:szCs w:val="24"/>
        </w:rPr>
        <w:t xml:space="preserve">summary </w:t>
      </w:r>
      <w:r w:rsidRPr="00903C49">
        <w:rPr>
          <w:rFonts w:ascii="Arial" w:hAnsi="Arial" w:cs="Arial"/>
          <w:color w:val="4472C4" w:themeColor="accent1"/>
          <w:sz w:val="24"/>
          <w:szCs w:val="24"/>
        </w:rPr>
        <w:t>from VIRTU-4</w:t>
      </w:r>
      <w:bookmarkEnd w:id="472"/>
      <w:bookmarkEnd w:id="473"/>
      <w:bookmarkEnd w:id="474"/>
      <w:bookmarkEnd w:id="475"/>
      <w:bookmarkEnd w:id="476"/>
      <w:bookmarkEnd w:id="477"/>
      <w:bookmarkEnd w:id="478"/>
      <w:bookmarkEnd w:id="479"/>
      <w:bookmarkEnd w:id="480"/>
    </w:p>
    <w:p w14:paraId="34F3EB40" w14:textId="0D7BD111" w:rsidR="004942B6" w:rsidRDefault="00986739" w:rsidP="004942B6">
      <w:pPr>
        <w:spacing w:line="360" w:lineRule="auto"/>
        <w:jc w:val="both"/>
        <w:rPr>
          <w:rFonts w:ascii="Arial" w:hAnsi="Arial" w:cs="Arial"/>
          <w:sz w:val="24"/>
          <w:szCs w:val="24"/>
        </w:rPr>
      </w:pPr>
      <w:r>
        <w:rPr>
          <w:rFonts w:ascii="Arial" w:hAnsi="Arial" w:cs="Arial"/>
          <w:sz w:val="24"/>
          <w:szCs w:val="24"/>
        </w:rPr>
        <w:t xml:space="preserve">In the ACS cohort, </w:t>
      </w:r>
      <w:r w:rsidRPr="00307BDD">
        <w:rPr>
          <w:rFonts w:ascii="Arial" w:hAnsi="Arial" w:cs="Arial"/>
          <w:sz w:val="24"/>
          <w:szCs w:val="24"/>
        </w:rPr>
        <w:t>there</w:t>
      </w:r>
      <w:r>
        <w:rPr>
          <w:rFonts w:ascii="Arial" w:hAnsi="Arial" w:cs="Arial"/>
          <w:sz w:val="24"/>
          <w:szCs w:val="24"/>
        </w:rPr>
        <w:t xml:space="preserve"> were </w:t>
      </w:r>
      <w:r w:rsidRPr="00307BDD">
        <w:rPr>
          <w:rFonts w:ascii="Arial" w:hAnsi="Arial" w:cs="Arial"/>
          <w:sz w:val="24"/>
          <w:szCs w:val="24"/>
        </w:rPr>
        <w:t>six MACE event</w:t>
      </w:r>
      <w:r>
        <w:rPr>
          <w:rFonts w:ascii="Arial" w:hAnsi="Arial" w:cs="Arial"/>
          <w:sz w:val="24"/>
          <w:szCs w:val="24"/>
        </w:rPr>
        <w:t>s</w:t>
      </w:r>
      <w:r w:rsidRPr="00307BDD">
        <w:rPr>
          <w:rFonts w:ascii="Arial" w:hAnsi="Arial" w:cs="Arial"/>
          <w:sz w:val="24"/>
          <w:szCs w:val="24"/>
        </w:rPr>
        <w:t xml:space="preserve"> </w:t>
      </w:r>
      <w:r>
        <w:rPr>
          <w:rFonts w:ascii="Arial" w:hAnsi="Arial" w:cs="Arial"/>
          <w:sz w:val="24"/>
          <w:szCs w:val="24"/>
        </w:rPr>
        <w:t>(</w:t>
      </w:r>
      <w:r w:rsidRPr="00307BDD">
        <w:rPr>
          <w:rFonts w:ascii="Arial" w:hAnsi="Arial" w:cs="Arial"/>
          <w:sz w:val="24"/>
          <w:szCs w:val="24"/>
        </w:rPr>
        <w:t>one death, two MIs, two unplanned revascularisations and one intracranial bleed</w:t>
      </w:r>
      <w:r>
        <w:rPr>
          <w:rFonts w:ascii="Arial" w:hAnsi="Arial" w:cs="Arial"/>
          <w:sz w:val="24"/>
          <w:szCs w:val="24"/>
        </w:rPr>
        <w:t>)</w:t>
      </w:r>
      <w:r w:rsidRPr="00307BDD">
        <w:rPr>
          <w:rFonts w:ascii="Arial" w:hAnsi="Arial" w:cs="Arial"/>
          <w:sz w:val="24"/>
          <w:szCs w:val="24"/>
        </w:rPr>
        <w:t xml:space="preserve">. In the CCS </w:t>
      </w:r>
      <w:r>
        <w:rPr>
          <w:rFonts w:ascii="Arial" w:hAnsi="Arial" w:cs="Arial"/>
          <w:sz w:val="24"/>
          <w:szCs w:val="24"/>
        </w:rPr>
        <w:t>cohort</w:t>
      </w:r>
      <w:r w:rsidRPr="00307BDD">
        <w:rPr>
          <w:rFonts w:ascii="Arial" w:hAnsi="Arial" w:cs="Arial"/>
          <w:sz w:val="24"/>
          <w:szCs w:val="24"/>
        </w:rPr>
        <w:t>, there was on</w:t>
      </w:r>
      <w:r>
        <w:rPr>
          <w:rFonts w:ascii="Arial" w:hAnsi="Arial" w:cs="Arial"/>
          <w:sz w:val="24"/>
          <w:szCs w:val="24"/>
        </w:rPr>
        <w:t>e MI,</w:t>
      </w:r>
      <w:r w:rsidRPr="00307BDD">
        <w:rPr>
          <w:rFonts w:ascii="Arial" w:hAnsi="Arial" w:cs="Arial"/>
          <w:sz w:val="24"/>
          <w:szCs w:val="24"/>
        </w:rPr>
        <w:t xml:space="preserve"> </w:t>
      </w:r>
      <w:r>
        <w:rPr>
          <w:rFonts w:ascii="Arial" w:hAnsi="Arial" w:cs="Arial"/>
          <w:sz w:val="24"/>
          <w:szCs w:val="24"/>
        </w:rPr>
        <w:t>but</w:t>
      </w:r>
      <w:r w:rsidRPr="00307BDD">
        <w:rPr>
          <w:rFonts w:ascii="Arial" w:hAnsi="Arial" w:cs="Arial"/>
          <w:sz w:val="24"/>
          <w:szCs w:val="24"/>
        </w:rPr>
        <w:t xml:space="preserve"> no mortality was reported.</w:t>
      </w:r>
      <w:r>
        <w:rPr>
          <w:rFonts w:ascii="Arial" w:hAnsi="Arial" w:cs="Arial"/>
          <w:sz w:val="24"/>
          <w:szCs w:val="24"/>
        </w:rPr>
        <w:t xml:space="preserve"> </w:t>
      </w:r>
      <w:r w:rsidRPr="00307BDD">
        <w:rPr>
          <w:rFonts w:ascii="Arial" w:hAnsi="Arial" w:cs="Arial"/>
          <w:sz w:val="24"/>
          <w:szCs w:val="24"/>
        </w:rPr>
        <w:t>There were 33</w:t>
      </w:r>
      <w:r>
        <w:rPr>
          <w:rFonts w:ascii="Arial" w:hAnsi="Arial" w:cs="Arial"/>
          <w:sz w:val="24"/>
          <w:szCs w:val="24"/>
        </w:rPr>
        <w:t xml:space="preserve"> </w:t>
      </w:r>
      <w:r w:rsidRPr="00307BDD">
        <w:rPr>
          <w:rFonts w:ascii="Arial" w:hAnsi="Arial" w:cs="Arial"/>
          <w:sz w:val="24"/>
          <w:szCs w:val="24"/>
        </w:rPr>
        <w:t>(23%) unplanned hospitalisations in the ACS cohort and 10 (</w:t>
      </w:r>
      <w:r>
        <w:rPr>
          <w:rFonts w:ascii="Arial" w:hAnsi="Arial" w:cs="Arial"/>
          <w:sz w:val="24"/>
          <w:szCs w:val="24"/>
        </w:rPr>
        <w:t>10</w:t>
      </w:r>
      <w:r w:rsidRPr="00307BDD">
        <w:rPr>
          <w:rFonts w:ascii="Arial" w:hAnsi="Arial" w:cs="Arial"/>
          <w:sz w:val="24"/>
          <w:szCs w:val="24"/>
        </w:rPr>
        <w:t>%) in the CCS cohort at six months. There was an increase in the confidence level of treatment plans made by the cardiologists in 34.8% in the CCS group and 61% in the ACS group</w:t>
      </w:r>
      <w:r>
        <w:rPr>
          <w:rFonts w:ascii="Arial" w:hAnsi="Arial" w:cs="Arial"/>
          <w:sz w:val="24"/>
          <w:szCs w:val="24"/>
        </w:rPr>
        <w:t xml:space="preserve">. Addition of </w:t>
      </w:r>
      <w:r w:rsidR="004942B6" w:rsidRPr="00307BDD">
        <w:rPr>
          <w:rFonts w:ascii="Arial" w:hAnsi="Arial" w:cs="Arial"/>
          <w:sz w:val="24"/>
          <w:szCs w:val="24"/>
        </w:rPr>
        <w:t xml:space="preserve">vFFR led to </w:t>
      </w:r>
      <w:r w:rsidR="009B42AA">
        <w:rPr>
          <w:rFonts w:ascii="Arial" w:hAnsi="Arial" w:cs="Arial"/>
          <w:sz w:val="24"/>
          <w:szCs w:val="24"/>
        </w:rPr>
        <w:t>a virtual</w:t>
      </w:r>
      <w:r w:rsidR="004942B6" w:rsidRPr="00307BDD">
        <w:rPr>
          <w:rFonts w:ascii="Arial" w:hAnsi="Arial" w:cs="Arial"/>
          <w:sz w:val="24"/>
          <w:szCs w:val="24"/>
        </w:rPr>
        <w:t xml:space="preserve"> change in the </w:t>
      </w:r>
      <w:r w:rsidR="004942B6" w:rsidRPr="00307BDD">
        <w:rPr>
          <w:rFonts w:ascii="Arial" w:hAnsi="Arial" w:cs="Arial"/>
          <w:sz w:val="24"/>
          <w:szCs w:val="24"/>
        </w:rPr>
        <w:lastRenderedPageBreak/>
        <w:t>management plan in 65 of 208 (31%) patients in the ACS and 25 of 100 (25%) CCS patients.</w:t>
      </w:r>
      <w:r w:rsidR="009B42AA" w:rsidRPr="009B42AA">
        <w:rPr>
          <w:rFonts w:ascii="Arial" w:hAnsi="Arial" w:cs="Arial"/>
          <w:sz w:val="24"/>
          <w:szCs w:val="24"/>
        </w:rPr>
        <w:t xml:space="preserve"> 52</w:t>
      </w:r>
      <w:r w:rsidR="00AB5CB7">
        <w:rPr>
          <w:rFonts w:ascii="Arial" w:hAnsi="Arial" w:cs="Arial"/>
          <w:sz w:val="24"/>
          <w:szCs w:val="24"/>
        </w:rPr>
        <w:t xml:space="preserve"> out of </w:t>
      </w:r>
      <w:r w:rsidR="009B42AA" w:rsidRPr="009B42AA">
        <w:rPr>
          <w:rFonts w:ascii="Arial" w:hAnsi="Arial" w:cs="Arial"/>
          <w:sz w:val="24"/>
          <w:szCs w:val="24"/>
        </w:rPr>
        <w:t xml:space="preserve">208 patients (25%) in the ACS </w:t>
      </w:r>
      <w:r>
        <w:rPr>
          <w:rFonts w:ascii="Arial" w:hAnsi="Arial" w:cs="Arial"/>
          <w:sz w:val="24"/>
          <w:szCs w:val="24"/>
        </w:rPr>
        <w:t>cohort</w:t>
      </w:r>
      <w:r w:rsidR="009B42AA" w:rsidRPr="009B42AA">
        <w:rPr>
          <w:rFonts w:ascii="Arial" w:hAnsi="Arial" w:cs="Arial"/>
          <w:sz w:val="24"/>
          <w:szCs w:val="24"/>
        </w:rPr>
        <w:t xml:space="preserve"> were </w:t>
      </w:r>
      <w:r w:rsidR="00AB5CB7">
        <w:rPr>
          <w:rFonts w:ascii="Arial" w:hAnsi="Arial" w:cs="Arial"/>
          <w:sz w:val="24"/>
          <w:szCs w:val="24"/>
        </w:rPr>
        <w:t xml:space="preserve">virtually changed </w:t>
      </w:r>
      <w:r w:rsidR="009B42AA" w:rsidRPr="009B42AA">
        <w:rPr>
          <w:rFonts w:ascii="Arial" w:hAnsi="Arial" w:cs="Arial"/>
          <w:sz w:val="24"/>
          <w:szCs w:val="24"/>
        </w:rPr>
        <w:t>to receive medical therapy instead of invasive treatment</w:t>
      </w:r>
      <w:r>
        <w:rPr>
          <w:rFonts w:ascii="Arial" w:hAnsi="Arial" w:cs="Arial"/>
          <w:sz w:val="24"/>
          <w:szCs w:val="24"/>
        </w:rPr>
        <w:t xml:space="preserve"> with PCI</w:t>
      </w:r>
      <w:r w:rsidR="009B42AA" w:rsidRPr="009B42AA">
        <w:rPr>
          <w:rFonts w:ascii="Arial" w:hAnsi="Arial" w:cs="Arial"/>
          <w:sz w:val="24"/>
          <w:szCs w:val="24"/>
        </w:rPr>
        <w:t>. In contrast, 39 out of 100</w:t>
      </w:r>
      <w:r>
        <w:rPr>
          <w:rFonts w:ascii="Arial" w:hAnsi="Arial" w:cs="Arial"/>
          <w:sz w:val="24"/>
          <w:szCs w:val="24"/>
        </w:rPr>
        <w:t xml:space="preserve"> </w:t>
      </w:r>
      <w:r w:rsidR="009B42AA" w:rsidRPr="009B42AA">
        <w:rPr>
          <w:rFonts w:ascii="Arial" w:hAnsi="Arial" w:cs="Arial"/>
          <w:sz w:val="24"/>
          <w:szCs w:val="24"/>
        </w:rPr>
        <w:t xml:space="preserve">patients (39%) </w:t>
      </w:r>
      <w:r>
        <w:rPr>
          <w:rFonts w:ascii="Arial" w:hAnsi="Arial" w:cs="Arial"/>
          <w:sz w:val="24"/>
          <w:szCs w:val="24"/>
        </w:rPr>
        <w:t xml:space="preserve">in the CCS cohort </w:t>
      </w:r>
      <w:r w:rsidR="009B42AA" w:rsidRPr="009B42AA">
        <w:rPr>
          <w:rFonts w:ascii="Arial" w:hAnsi="Arial" w:cs="Arial"/>
          <w:sz w:val="24"/>
          <w:szCs w:val="24"/>
        </w:rPr>
        <w:t xml:space="preserve">were virtually switched from medical treatment to </w:t>
      </w:r>
      <w:r w:rsidR="009B42AA">
        <w:rPr>
          <w:rFonts w:ascii="Arial" w:hAnsi="Arial" w:cs="Arial"/>
          <w:sz w:val="24"/>
          <w:szCs w:val="24"/>
        </w:rPr>
        <w:t>invasive treat</w:t>
      </w:r>
      <w:r w:rsidR="00AB5CB7">
        <w:rPr>
          <w:rFonts w:ascii="Arial" w:hAnsi="Arial" w:cs="Arial"/>
          <w:sz w:val="24"/>
          <w:szCs w:val="24"/>
        </w:rPr>
        <w:t>ment</w:t>
      </w:r>
      <w:r w:rsidR="009B42AA" w:rsidRPr="009B42AA">
        <w:rPr>
          <w:rFonts w:ascii="Arial" w:hAnsi="Arial" w:cs="Arial"/>
          <w:sz w:val="24"/>
          <w:szCs w:val="24"/>
        </w:rPr>
        <w:t>.</w:t>
      </w:r>
      <w:r w:rsidR="004942B6" w:rsidRPr="00307BDD">
        <w:rPr>
          <w:rFonts w:ascii="Arial" w:hAnsi="Arial" w:cs="Arial"/>
          <w:sz w:val="24"/>
          <w:szCs w:val="24"/>
        </w:rPr>
        <w:t xml:space="preserve"> The study also demonstrated</w:t>
      </w:r>
      <w:r>
        <w:rPr>
          <w:rFonts w:ascii="Arial" w:hAnsi="Arial" w:cs="Arial"/>
          <w:sz w:val="24"/>
          <w:szCs w:val="24"/>
        </w:rPr>
        <w:t xml:space="preserve"> an</w:t>
      </w:r>
      <w:r w:rsidR="004942B6" w:rsidRPr="00307BDD">
        <w:rPr>
          <w:rFonts w:ascii="Arial" w:hAnsi="Arial" w:cs="Arial"/>
          <w:sz w:val="24"/>
          <w:szCs w:val="24"/>
        </w:rPr>
        <w:t xml:space="preserve"> invasive FFR could be </w:t>
      </w:r>
      <w:r>
        <w:rPr>
          <w:rFonts w:ascii="Arial" w:hAnsi="Arial" w:cs="Arial"/>
          <w:sz w:val="24"/>
          <w:szCs w:val="24"/>
        </w:rPr>
        <w:t xml:space="preserve">potentially </w:t>
      </w:r>
      <w:r w:rsidR="004942B6" w:rsidRPr="00307BDD">
        <w:rPr>
          <w:rFonts w:ascii="Arial" w:hAnsi="Arial" w:cs="Arial"/>
          <w:sz w:val="24"/>
          <w:szCs w:val="24"/>
        </w:rPr>
        <w:t>avoid</w:t>
      </w:r>
      <w:r>
        <w:rPr>
          <w:rFonts w:ascii="Arial" w:hAnsi="Arial" w:cs="Arial"/>
          <w:sz w:val="24"/>
          <w:szCs w:val="24"/>
        </w:rPr>
        <w:t>ed</w:t>
      </w:r>
      <w:r w:rsidR="004942B6" w:rsidRPr="00307BDD">
        <w:rPr>
          <w:rFonts w:ascii="Arial" w:hAnsi="Arial" w:cs="Arial"/>
          <w:sz w:val="24"/>
          <w:szCs w:val="24"/>
        </w:rPr>
        <w:t xml:space="preserve"> in 14% (29/208) of ACS patients. </w:t>
      </w:r>
    </w:p>
    <w:p w14:paraId="0C94C6BA" w14:textId="77777777" w:rsidR="004942B6" w:rsidRPr="007175C7" w:rsidRDefault="004942B6" w:rsidP="004942B6">
      <w:pPr>
        <w:spacing w:line="360" w:lineRule="auto"/>
        <w:jc w:val="both"/>
        <w:rPr>
          <w:rFonts w:ascii="Arial" w:hAnsi="Arial" w:cs="Arial"/>
          <w:color w:val="000000" w:themeColor="text1"/>
          <w:sz w:val="24"/>
          <w:szCs w:val="24"/>
        </w:rPr>
      </w:pPr>
    </w:p>
    <w:p w14:paraId="42988431" w14:textId="77FA66E7" w:rsidR="004942B6" w:rsidRPr="00903C49" w:rsidRDefault="004942B6" w:rsidP="00E50651">
      <w:pPr>
        <w:pStyle w:val="Heading3"/>
        <w:numPr>
          <w:ilvl w:val="2"/>
          <w:numId w:val="29"/>
        </w:numPr>
        <w:spacing w:line="360" w:lineRule="auto"/>
        <w:rPr>
          <w:rFonts w:ascii="Arial" w:hAnsi="Arial" w:cs="Arial"/>
          <w:color w:val="4472C4" w:themeColor="accent1"/>
          <w:sz w:val="24"/>
          <w:szCs w:val="24"/>
        </w:rPr>
      </w:pPr>
      <w:bookmarkStart w:id="481" w:name="_Toc159613566"/>
      <w:bookmarkStart w:id="482" w:name="_Toc160981227"/>
      <w:bookmarkStart w:id="483" w:name="_Toc164681367"/>
      <w:bookmarkStart w:id="484" w:name="_Toc170075049"/>
      <w:bookmarkStart w:id="485" w:name="_Toc170076036"/>
      <w:bookmarkStart w:id="486" w:name="_Toc170577732"/>
      <w:bookmarkStart w:id="487" w:name="_Toc170579250"/>
      <w:bookmarkStart w:id="488" w:name="_Toc171203105"/>
      <w:bookmarkStart w:id="489" w:name="_Toc171203876"/>
      <w:r w:rsidRPr="00903C49">
        <w:rPr>
          <w:rFonts w:ascii="Arial" w:hAnsi="Arial" w:cs="Arial"/>
          <w:color w:val="4472C4" w:themeColor="accent1"/>
          <w:sz w:val="24"/>
          <w:szCs w:val="24"/>
        </w:rPr>
        <w:t>What has VIRTU-4 taught us?</w:t>
      </w:r>
      <w:bookmarkEnd w:id="481"/>
      <w:bookmarkEnd w:id="482"/>
      <w:bookmarkEnd w:id="483"/>
      <w:bookmarkEnd w:id="484"/>
      <w:bookmarkEnd w:id="485"/>
      <w:bookmarkEnd w:id="486"/>
      <w:bookmarkEnd w:id="487"/>
      <w:bookmarkEnd w:id="488"/>
      <w:bookmarkEnd w:id="489"/>
    </w:p>
    <w:p w14:paraId="618BE153" w14:textId="582F1003" w:rsidR="003A0461" w:rsidRDefault="004942B6" w:rsidP="003A0461">
      <w:pPr>
        <w:spacing w:line="360" w:lineRule="auto"/>
        <w:jc w:val="both"/>
        <w:rPr>
          <w:rFonts w:ascii="Arial" w:hAnsi="Arial" w:cs="Arial"/>
          <w:sz w:val="24"/>
          <w:szCs w:val="24"/>
        </w:rPr>
      </w:pPr>
      <w:r>
        <w:rPr>
          <w:rFonts w:ascii="Arial" w:hAnsi="Arial" w:cs="Arial"/>
          <w:sz w:val="24"/>
          <w:szCs w:val="24"/>
        </w:rPr>
        <w:t xml:space="preserve">The </w:t>
      </w:r>
      <w:r w:rsidRPr="00C16184">
        <w:rPr>
          <w:rFonts w:ascii="Arial" w:hAnsi="Arial" w:cs="Arial"/>
          <w:sz w:val="24"/>
          <w:szCs w:val="24"/>
        </w:rPr>
        <w:t>VIRTU-4 findings are in line with other studies, such as RIPCORD and FAMOUS-NSTEMI, de</w:t>
      </w:r>
      <w:r>
        <w:rPr>
          <w:rFonts w:ascii="Arial" w:hAnsi="Arial" w:cs="Arial"/>
          <w:sz w:val="24"/>
          <w:szCs w:val="24"/>
        </w:rPr>
        <w:t>monstrating</w:t>
      </w:r>
      <w:r w:rsidRPr="00C16184">
        <w:rPr>
          <w:rFonts w:ascii="Arial" w:hAnsi="Arial" w:cs="Arial"/>
          <w:sz w:val="24"/>
          <w:szCs w:val="24"/>
        </w:rPr>
        <w:t xml:space="preserve"> the discrepancy between the visual</w:t>
      </w:r>
      <w:r>
        <w:rPr>
          <w:rFonts w:ascii="Arial" w:hAnsi="Arial" w:cs="Arial"/>
          <w:sz w:val="24"/>
          <w:szCs w:val="24"/>
        </w:rPr>
        <w:t xml:space="preserve">ly assessed </w:t>
      </w:r>
      <w:r w:rsidRPr="00C16184">
        <w:rPr>
          <w:rFonts w:ascii="Arial" w:hAnsi="Arial" w:cs="Arial"/>
          <w:sz w:val="24"/>
          <w:szCs w:val="24"/>
        </w:rPr>
        <w:t>function</w:t>
      </w:r>
      <w:r>
        <w:rPr>
          <w:rFonts w:ascii="Arial" w:hAnsi="Arial" w:cs="Arial"/>
          <w:sz w:val="24"/>
          <w:szCs w:val="24"/>
        </w:rPr>
        <w:t>al</w:t>
      </w:r>
      <w:r w:rsidRPr="00C16184">
        <w:rPr>
          <w:rFonts w:ascii="Arial" w:hAnsi="Arial" w:cs="Arial"/>
          <w:sz w:val="24"/>
          <w:szCs w:val="24"/>
        </w:rPr>
        <w:t xml:space="preserve"> significance of a coronary lesion and an FFR-guided approach, in this case, achieved with </w:t>
      </w:r>
      <w:r w:rsidR="0036391D">
        <w:rPr>
          <w:rFonts w:ascii="Arial" w:hAnsi="Arial" w:cs="Arial"/>
          <w:sz w:val="24"/>
          <w:szCs w:val="24"/>
        </w:rPr>
        <w:t>vFFR</w:t>
      </w:r>
      <w:r w:rsidRPr="00C16184">
        <w:rPr>
          <w:rFonts w:ascii="Arial" w:hAnsi="Arial" w:cs="Arial"/>
          <w:sz w:val="24"/>
          <w:szCs w:val="24"/>
        </w:rPr>
        <w:t>.</w:t>
      </w:r>
      <w:r>
        <w:rPr>
          <w:rFonts w:ascii="Arial" w:hAnsi="Arial" w:cs="Arial"/>
          <w:sz w:val="24"/>
          <w:szCs w:val="24"/>
        </w:rPr>
        <w:t xml:space="preserve"> </w:t>
      </w:r>
      <w:r w:rsidRPr="00C16184">
        <w:rPr>
          <w:rFonts w:ascii="Arial" w:hAnsi="Arial" w:cs="Arial"/>
          <w:sz w:val="24"/>
          <w:szCs w:val="24"/>
        </w:rPr>
        <w:t xml:space="preserve">(89) (107) </w:t>
      </w:r>
      <w:r w:rsidR="003C3582">
        <w:rPr>
          <w:rFonts w:ascii="Arial" w:hAnsi="Arial" w:cs="Arial"/>
          <w:sz w:val="24"/>
          <w:szCs w:val="24"/>
        </w:rPr>
        <w:t xml:space="preserve">Above results demonstrated </w:t>
      </w:r>
      <w:r w:rsidRPr="00C16184">
        <w:rPr>
          <w:rFonts w:ascii="Arial" w:hAnsi="Arial" w:cs="Arial"/>
          <w:sz w:val="24"/>
          <w:szCs w:val="24"/>
        </w:rPr>
        <w:t>that performing vFFR can influence the decision-making in approximately one</w:t>
      </w:r>
      <w:r>
        <w:rPr>
          <w:rFonts w:ascii="Arial" w:hAnsi="Arial" w:cs="Arial"/>
          <w:sz w:val="24"/>
          <w:szCs w:val="24"/>
        </w:rPr>
        <w:t>-quarter</w:t>
      </w:r>
      <w:r w:rsidRPr="00C16184">
        <w:rPr>
          <w:rFonts w:ascii="Arial" w:hAnsi="Arial" w:cs="Arial"/>
          <w:sz w:val="24"/>
          <w:szCs w:val="24"/>
        </w:rPr>
        <w:t xml:space="preserve"> of the patients.</w:t>
      </w:r>
      <w:r>
        <w:rPr>
          <w:rFonts w:ascii="Arial" w:hAnsi="Arial" w:cs="Arial"/>
          <w:sz w:val="24"/>
          <w:szCs w:val="24"/>
        </w:rPr>
        <w:t xml:space="preserve"> However, t</w:t>
      </w:r>
      <w:r w:rsidRPr="00C16184">
        <w:rPr>
          <w:rFonts w:ascii="Arial" w:hAnsi="Arial" w:cs="Arial"/>
          <w:sz w:val="24"/>
          <w:szCs w:val="24"/>
        </w:rPr>
        <w:t xml:space="preserve">he long-term implications </w:t>
      </w:r>
      <w:r w:rsidR="003C3582">
        <w:rPr>
          <w:rFonts w:ascii="Arial" w:hAnsi="Arial" w:cs="Arial"/>
          <w:sz w:val="24"/>
          <w:szCs w:val="24"/>
        </w:rPr>
        <w:t xml:space="preserve">of these changes </w:t>
      </w:r>
      <w:r w:rsidR="007258C7">
        <w:rPr>
          <w:rFonts w:ascii="Arial" w:hAnsi="Arial" w:cs="Arial"/>
          <w:sz w:val="24"/>
          <w:szCs w:val="24"/>
        </w:rPr>
        <w:t xml:space="preserve">have yet to be </w:t>
      </w:r>
      <w:r w:rsidR="00C94283">
        <w:rPr>
          <w:rFonts w:ascii="Arial" w:hAnsi="Arial" w:cs="Arial"/>
          <w:sz w:val="24"/>
          <w:szCs w:val="24"/>
        </w:rPr>
        <w:t>understood</w:t>
      </w:r>
      <w:r w:rsidR="007258C7">
        <w:rPr>
          <w:rFonts w:ascii="Arial" w:hAnsi="Arial" w:cs="Arial"/>
          <w:sz w:val="24"/>
          <w:szCs w:val="24"/>
        </w:rPr>
        <w:t>.</w:t>
      </w:r>
      <w:r>
        <w:rPr>
          <w:rFonts w:ascii="Arial" w:hAnsi="Arial" w:cs="Arial"/>
          <w:sz w:val="24"/>
          <w:szCs w:val="24"/>
        </w:rPr>
        <w:t xml:space="preserve"> </w:t>
      </w:r>
      <w:r w:rsidR="003C3582" w:rsidRPr="003C3582">
        <w:rPr>
          <w:rFonts w:ascii="Arial" w:hAnsi="Arial" w:cs="Arial"/>
          <w:sz w:val="24"/>
          <w:szCs w:val="24"/>
        </w:rPr>
        <w:t>vFFR could be particularly beneficial in cases of multivessel CAD, as it may downgrade the perceived severity and extent of the disease, thereby potentially avoiding unnecessary multivessel PCI or CABG surgery</w:t>
      </w:r>
      <w:r w:rsidR="003A0461">
        <w:rPr>
          <w:rFonts w:ascii="Arial" w:hAnsi="Arial" w:cs="Arial"/>
          <w:sz w:val="24"/>
          <w:szCs w:val="24"/>
        </w:rPr>
        <w:t xml:space="preserve">. </w:t>
      </w:r>
      <w:r w:rsidR="003A0461" w:rsidRPr="003A0461">
        <w:rPr>
          <w:rFonts w:ascii="Arial" w:hAnsi="Arial" w:cs="Arial"/>
          <w:sz w:val="24"/>
          <w:szCs w:val="24"/>
        </w:rPr>
        <w:t>vFFR can also guide the management of bystander disease in acute settings, promoting a trend towards optimal medical therapy (OMT). This approach can help avoid unnecessary stent placement or invasive FFR evaluation, potentially reducing the overall cost of the index procedure.</w:t>
      </w:r>
      <w:r w:rsidRPr="00C16184">
        <w:rPr>
          <w:rFonts w:ascii="Arial" w:hAnsi="Arial" w:cs="Arial"/>
          <w:sz w:val="24"/>
          <w:szCs w:val="24"/>
        </w:rPr>
        <w:t xml:space="preserve"> </w:t>
      </w:r>
    </w:p>
    <w:p w14:paraId="2C15C68A" w14:textId="77777777" w:rsidR="002B14DE" w:rsidRDefault="002B14DE" w:rsidP="003A0461">
      <w:pPr>
        <w:spacing w:line="360" w:lineRule="auto"/>
        <w:jc w:val="both"/>
        <w:rPr>
          <w:rFonts w:ascii="Arial" w:hAnsi="Arial" w:cs="Arial"/>
          <w:sz w:val="24"/>
          <w:szCs w:val="24"/>
        </w:rPr>
      </w:pPr>
    </w:p>
    <w:p w14:paraId="303FC186" w14:textId="77777777" w:rsidR="002B14DE" w:rsidRDefault="002B14DE" w:rsidP="003A0461">
      <w:pPr>
        <w:spacing w:line="360" w:lineRule="auto"/>
        <w:jc w:val="both"/>
        <w:rPr>
          <w:rFonts w:ascii="Arial" w:hAnsi="Arial" w:cs="Arial"/>
          <w:sz w:val="24"/>
          <w:szCs w:val="24"/>
        </w:rPr>
      </w:pPr>
    </w:p>
    <w:p w14:paraId="4C905931" w14:textId="77777777" w:rsidR="002B14DE" w:rsidRDefault="002B14DE" w:rsidP="003A0461">
      <w:pPr>
        <w:spacing w:line="360" w:lineRule="auto"/>
        <w:jc w:val="both"/>
        <w:rPr>
          <w:rFonts w:ascii="Arial" w:hAnsi="Arial" w:cs="Arial"/>
          <w:sz w:val="24"/>
          <w:szCs w:val="24"/>
        </w:rPr>
      </w:pPr>
    </w:p>
    <w:p w14:paraId="5720846E" w14:textId="77777777" w:rsidR="002B14DE" w:rsidRDefault="002B14DE" w:rsidP="003A0461">
      <w:pPr>
        <w:spacing w:line="360" w:lineRule="auto"/>
        <w:jc w:val="both"/>
        <w:rPr>
          <w:rFonts w:ascii="Arial" w:hAnsi="Arial" w:cs="Arial"/>
          <w:sz w:val="24"/>
          <w:szCs w:val="24"/>
        </w:rPr>
      </w:pPr>
    </w:p>
    <w:p w14:paraId="595CEDA5" w14:textId="77777777" w:rsidR="002B14DE" w:rsidRDefault="002B14DE" w:rsidP="003A0461">
      <w:pPr>
        <w:spacing w:line="360" w:lineRule="auto"/>
        <w:jc w:val="both"/>
        <w:rPr>
          <w:rFonts w:ascii="Arial" w:hAnsi="Arial" w:cs="Arial"/>
          <w:sz w:val="24"/>
          <w:szCs w:val="24"/>
        </w:rPr>
      </w:pPr>
    </w:p>
    <w:p w14:paraId="7996AD19" w14:textId="77777777" w:rsidR="002B14DE" w:rsidRDefault="002B14DE" w:rsidP="003A0461">
      <w:pPr>
        <w:spacing w:line="360" w:lineRule="auto"/>
        <w:jc w:val="both"/>
        <w:rPr>
          <w:rFonts w:ascii="Arial" w:hAnsi="Arial" w:cs="Arial"/>
          <w:sz w:val="24"/>
          <w:szCs w:val="24"/>
        </w:rPr>
      </w:pPr>
    </w:p>
    <w:p w14:paraId="5BA6ECEE" w14:textId="77777777" w:rsidR="002B14DE" w:rsidRDefault="002B14DE" w:rsidP="003A0461">
      <w:pPr>
        <w:spacing w:line="360" w:lineRule="auto"/>
        <w:jc w:val="both"/>
        <w:rPr>
          <w:rFonts w:ascii="Arial" w:hAnsi="Arial" w:cs="Arial"/>
          <w:sz w:val="24"/>
          <w:szCs w:val="24"/>
        </w:rPr>
      </w:pPr>
    </w:p>
    <w:p w14:paraId="5494483B" w14:textId="77777777" w:rsidR="002B14DE" w:rsidRDefault="002B14DE" w:rsidP="003A0461">
      <w:pPr>
        <w:spacing w:line="360" w:lineRule="auto"/>
        <w:jc w:val="both"/>
        <w:rPr>
          <w:rFonts w:ascii="Arial" w:hAnsi="Arial" w:cs="Arial"/>
          <w:sz w:val="24"/>
          <w:szCs w:val="24"/>
        </w:rPr>
      </w:pPr>
    </w:p>
    <w:p w14:paraId="5E0F1DF5" w14:textId="2755BAD2" w:rsidR="002B14DE" w:rsidRPr="00F605C6" w:rsidRDefault="002B14DE" w:rsidP="004942B6">
      <w:pPr>
        <w:pStyle w:val="Heading1"/>
        <w:numPr>
          <w:ilvl w:val="0"/>
          <w:numId w:val="17"/>
        </w:numPr>
        <w:spacing w:line="360" w:lineRule="auto"/>
        <w:rPr>
          <w:rFonts w:ascii="Arial" w:hAnsi="Arial" w:cs="Arial"/>
          <w:b/>
          <w:bCs/>
          <w:color w:val="4472C4" w:themeColor="accent1"/>
        </w:rPr>
      </w:pPr>
      <w:r w:rsidRPr="00F605C6">
        <w:rPr>
          <w:rFonts w:ascii="Arial" w:hAnsi="Arial" w:cs="Arial"/>
          <w:b/>
          <w:bCs/>
          <w:color w:val="4472C4" w:themeColor="accent1"/>
        </w:rPr>
        <w:lastRenderedPageBreak/>
        <w:t xml:space="preserve"> </w:t>
      </w:r>
      <w:bookmarkStart w:id="490" w:name="_Toc171203877"/>
      <w:r w:rsidR="004942B6" w:rsidRPr="00F605C6">
        <w:rPr>
          <w:rFonts w:ascii="Arial" w:hAnsi="Arial" w:cs="Arial"/>
          <w:b/>
          <w:bCs/>
          <w:color w:val="4472C4" w:themeColor="accent1"/>
        </w:rPr>
        <w:t>Methods</w:t>
      </w:r>
      <w:bookmarkEnd w:id="490"/>
    </w:p>
    <w:p w14:paraId="726D52B4" w14:textId="3D576D76" w:rsidR="004942B6" w:rsidRPr="002A3406" w:rsidRDefault="004942B6" w:rsidP="004942B6">
      <w:pPr>
        <w:pStyle w:val="Heading2"/>
        <w:spacing w:line="360" w:lineRule="auto"/>
        <w:rPr>
          <w:rFonts w:ascii="Arial" w:hAnsi="Arial" w:cs="Arial"/>
          <w:color w:val="4472C4" w:themeColor="accent1"/>
          <w:sz w:val="28"/>
          <w:szCs w:val="28"/>
        </w:rPr>
      </w:pPr>
      <w:bookmarkStart w:id="491" w:name="_Toc171203878"/>
      <w:r w:rsidRPr="002A3406">
        <w:rPr>
          <w:rFonts w:ascii="Arial" w:hAnsi="Arial" w:cs="Arial"/>
          <w:color w:val="4472C4" w:themeColor="accent1"/>
          <w:sz w:val="28"/>
          <w:szCs w:val="28"/>
        </w:rPr>
        <w:t xml:space="preserve">2.1 </w:t>
      </w:r>
      <w:r w:rsidR="008C50D0" w:rsidRPr="002A3406">
        <w:rPr>
          <w:rFonts w:ascii="Arial" w:hAnsi="Arial" w:cs="Arial"/>
          <w:color w:val="4472C4" w:themeColor="accent1"/>
          <w:sz w:val="28"/>
          <w:szCs w:val="28"/>
        </w:rPr>
        <w:t>VIRTU-4 HE</w:t>
      </w:r>
      <w:r w:rsidRPr="002A3406">
        <w:rPr>
          <w:rFonts w:ascii="Arial" w:hAnsi="Arial" w:cs="Arial"/>
          <w:color w:val="4472C4" w:themeColor="accent1"/>
          <w:sz w:val="28"/>
          <w:szCs w:val="28"/>
        </w:rPr>
        <w:t xml:space="preserve"> overview</w:t>
      </w:r>
      <w:bookmarkEnd w:id="491"/>
    </w:p>
    <w:p w14:paraId="061574B1" w14:textId="6F06F11B" w:rsidR="004942B6" w:rsidRDefault="003222DA" w:rsidP="0036391D">
      <w:pPr>
        <w:pStyle w:val="NormalWeb"/>
        <w:jc w:val="both"/>
        <w:rPr>
          <w:rFonts w:ascii="Arial" w:hAnsi="Arial" w:cs="Arial"/>
          <w14:ligatures w14:val="none"/>
        </w:rPr>
      </w:pPr>
      <w:bookmarkStart w:id="492" w:name="_Toc152252923"/>
      <w:bookmarkStart w:id="493" w:name="_Toc152337489"/>
      <w:bookmarkStart w:id="494" w:name="_Toc152340323"/>
      <w:bookmarkStart w:id="495" w:name="_Toc152341307"/>
      <w:bookmarkStart w:id="496" w:name="_Toc152490713"/>
      <w:bookmarkStart w:id="497" w:name="_Toc152596834"/>
      <w:bookmarkStart w:id="498" w:name="_Toc153727043"/>
      <w:bookmarkStart w:id="499" w:name="_Toc153740245"/>
      <w:bookmarkStart w:id="500" w:name="_Toc159320125"/>
      <w:bookmarkStart w:id="501" w:name="_Toc159613571"/>
      <w:bookmarkStart w:id="502" w:name="_Toc160981232"/>
      <w:bookmarkStart w:id="503" w:name="_Toc164676029"/>
      <w:bookmarkStart w:id="504" w:name="_Toc164680474"/>
      <w:bookmarkStart w:id="505" w:name="_Toc164681372"/>
      <w:r w:rsidRPr="00314B4C">
        <w:rPr>
          <w:rFonts w:ascii="Arial" w:eastAsiaTheme="minorHAnsi" w:hAnsi="Arial" w:cs="Arial"/>
        </w:rPr>
        <w:t>The VIRTU-4 HE study is the extended follow-up of data derived from the VIRTU-4 trial, focusing primarily on the impact of vFFR on costs and QOL</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r w:rsidRPr="00314B4C">
        <w:rPr>
          <w:rFonts w:ascii="Arial" w:eastAsiaTheme="minorHAnsi" w:hAnsi="Arial" w:cs="Arial"/>
        </w:rPr>
        <w:t>.</w:t>
      </w:r>
      <w:r w:rsidR="00361134" w:rsidRPr="00314B4C">
        <w:rPr>
          <w:rFonts w:ascii="Arial" w:eastAsiaTheme="minorHAnsi" w:hAnsi="Arial" w:cs="Arial"/>
        </w:rPr>
        <w:t xml:space="preserve"> All the </w:t>
      </w:r>
      <w:r w:rsidR="004942B6" w:rsidRPr="00314B4C">
        <w:rPr>
          <w:rFonts w:ascii="Arial" w:hAnsi="Arial" w:cs="Arial"/>
        </w:rPr>
        <w:t xml:space="preserve">patients in the VIRTU-4 were eligible to be included in the VIRTU-4 HE. </w:t>
      </w:r>
      <w:r w:rsidR="009B6BA5" w:rsidRPr="00314B4C">
        <w:rPr>
          <w:rFonts w:ascii="Arial" w:hAnsi="Arial" w:cs="Arial"/>
        </w:rPr>
        <w:t>The ACS cohort from the VIRTU-4 included patients with NSTEMI and unstable angina, excluding those with STEMI. In contrast, the CCS cohort consisted of patients experiencing angina symptoms despite being on two anti-anginal medications.</w:t>
      </w:r>
      <w:r w:rsidR="004942B6" w:rsidRPr="00314B4C">
        <w:rPr>
          <w:rFonts w:ascii="Arial" w:hAnsi="Arial" w:cs="Arial"/>
        </w:rPr>
        <w:t xml:space="preserve"> </w:t>
      </w:r>
      <w:r w:rsidR="00314B4C" w:rsidRPr="00314B4C">
        <w:rPr>
          <w:rFonts w:ascii="Arial" w:hAnsi="Arial" w:cs="Arial"/>
          <w14:ligatures w14:val="none"/>
        </w:rPr>
        <w:t>The ACS patients were recruited from Northern General Hospital (NGH) in Sheffield, whereas CCS patients were recruited from four district general hospitals (DGHs) in South Yorkshire: Rotherham General Hospital, Chesterfield Royal Hospital, Doncaster Royal Infirmary, and Barnsley District General Hospital. This distribution reflects the practice at the time, where ACS patients underwent CAG/PCI in Sheffield, while CCS patients underwent CAG in their respective DGHs.</w:t>
      </w:r>
    </w:p>
    <w:p w14:paraId="4DB94B59" w14:textId="77777777" w:rsidR="007023C6" w:rsidRDefault="007023C6" w:rsidP="008E28CA">
      <w:pPr>
        <w:pStyle w:val="Heading2"/>
        <w:spacing w:line="360" w:lineRule="auto"/>
        <w:rPr>
          <w:rFonts w:ascii="Arial" w:hAnsi="Arial" w:cs="Arial"/>
          <w:color w:val="4472C4" w:themeColor="accent1"/>
          <w:sz w:val="24"/>
          <w:szCs w:val="24"/>
        </w:rPr>
      </w:pPr>
    </w:p>
    <w:p w14:paraId="002A662C" w14:textId="749D1084" w:rsidR="004942B6" w:rsidRPr="00C63DE2" w:rsidRDefault="003C2470" w:rsidP="008E28CA">
      <w:pPr>
        <w:pStyle w:val="Heading2"/>
        <w:spacing w:line="360" w:lineRule="auto"/>
        <w:rPr>
          <w:rFonts w:ascii="Arial" w:hAnsi="Arial" w:cs="Arial"/>
          <w:color w:val="4472C4" w:themeColor="accent1"/>
          <w:sz w:val="24"/>
          <w:szCs w:val="24"/>
        </w:rPr>
      </w:pPr>
      <w:bookmarkStart w:id="506" w:name="_Toc170075052"/>
      <w:bookmarkStart w:id="507" w:name="_Toc170076039"/>
      <w:bookmarkStart w:id="508" w:name="_Toc170577735"/>
      <w:bookmarkStart w:id="509" w:name="_Toc170579253"/>
      <w:bookmarkStart w:id="510" w:name="_Toc171203108"/>
      <w:bookmarkStart w:id="511" w:name="_Toc171203879"/>
      <w:r>
        <w:rPr>
          <w:rFonts w:ascii="Arial" w:hAnsi="Arial" w:cs="Arial"/>
          <w:color w:val="4472C4" w:themeColor="accent1"/>
          <w:sz w:val="24"/>
          <w:szCs w:val="24"/>
        </w:rPr>
        <w:t xml:space="preserve">2.1.1 </w:t>
      </w:r>
      <w:r w:rsidR="004942B6" w:rsidRPr="004A753D">
        <w:rPr>
          <w:rFonts w:ascii="Arial" w:hAnsi="Arial" w:cs="Arial"/>
          <w:color w:val="4472C4" w:themeColor="accent1"/>
          <w:sz w:val="24"/>
          <w:szCs w:val="24"/>
        </w:rPr>
        <w:t>Inclusion and exclusion criteria</w:t>
      </w:r>
      <w:bookmarkEnd w:id="506"/>
      <w:bookmarkEnd w:id="507"/>
      <w:bookmarkEnd w:id="508"/>
      <w:bookmarkEnd w:id="509"/>
      <w:bookmarkEnd w:id="510"/>
      <w:bookmarkEnd w:id="511"/>
    </w:p>
    <w:p w14:paraId="759E5E7A" w14:textId="77777777" w:rsidR="004942B6" w:rsidRPr="002C2EA4" w:rsidRDefault="004942B6" w:rsidP="004942B6">
      <w:pPr>
        <w:spacing w:line="360" w:lineRule="auto"/>
        <w:jc w:val="both"/>
        <w:rPr>
          <w:rFonts w:ascii="Arial" w:hAnsi="Arial" w:cs="Arial"/>
          <w:sz w:val="24"/>
          <w:szCs w:val="24"/>
        </w:rPr>
      </w:pPr>
      <w:r w:rsidRPr="002C2EA4">
        <w:rPr>
          <w:rFonts w:ascii="Arial" w:hAnsi="Arial" w:cs="Arial"/>
          <w:sz w:val="24"/>
          <w:szCs w:val="24"/>
        </w:rPr>
        <w:t>Inclusion criteria:</w:t>
      </w:r>
    </w:p>
    <w:p w14:paraId="579B6CE0" w14:textId="77777777" w:rsidR="004942B6" w:rsidRPr="00C63DE2" w:rsidRDefault="004942B6" w:rsidP="004942B6">
      <w:pPr>
        <w:spacing w:line="360" w:lineRule="auto"/>
        <w:jc w:val="both"/>
        <w:rPr>
          <w:rFonts w:ascii="Arial" w:hAnsi="Arial" w:cs="Arial"/>
          <w:sz w:val="24"/>
          <w:szCs w:val="24"/>
        </w:rPr>
      </w:pPr>
      <w:r w:rsidRPr="002C2EA4">
        <w:rPr>
          <w:rFonts w:ascii="Arial" w:hAnsi="Arial" w:cs="Arial"/>
          <w:sz w:val="24"/>
          <w:szCs w:val="24"/>
        </w:rPr>
        <w:t>All patients from VIRTU-4 ACS (n=208) and CCS (n=100) cohorts were eligible to be included in the study.</w:t>
      </w:r>
    </w:p>
    <w:p w14:paraId="00ACADA9" w14:textId="77777777" w:rsidR="004942B6" w:rsidRPr="009222F3" w:rsidRDefault="004942B6" w:rsidP="004942B6">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Exclusion criteria:</w:t>
      </w:r>
    </w:p>
    <w:p w14:paraId="7B8EEF87" w14:textId="72C0DCD5" w:rsidR="004942B6" w:rsidRPr="009222F3" w:rsidRDefault="004942B6" w:rsidP="004942B6">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1. Patients who remained uncontactable after five attempts to contact on different occasions.</w:t>
      </w:r>
    </w:p>
    <w:p w14:paraId="358804A8" w14:textId="77777777" w:rsidR="004942B6" w:rsidRPr="009222F3" w:rsidRDefault="004942B6" w:rsidP="004942B6">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2. Patients who </w:t>
      </w:r>
      <w:r>
        <w:rPr>
          <w:rFonts w:ascii="Arial" w:hAnsi="Arial" w:cs="Arial"/>
          <w:color w:val="000000" w:themeColor="text1"/>
          <w:sz w:val="24"/>
          <w:szCs w:val="24"/>
        </w:rPr>
        <w:t>could not</w:t>
      </w:r>
      <w:r w:rsidRPr="009222F3">
        <w:rPr>
          <w:rFonts w:ascii="Arial" w:hAnsi="Arial" w:cs="Arial"/>
          <w:color w:val="000000" w:themeColor="text1"/>
          <w:sz w:val="24"/>
          <w:szCs w:val="24"/>
        </w:rPr>
        <w:t xml:space="preserve"> participate in questionnaire completion due to health reasons, such as dementia.</w:t>
      </w:r>
    </w:p>
    <w:p w14:paraId="0AB5D94B" w14:textId="1DC72E28" w:rsidR="004942B6" w:rsidRDefault="004942B6" w:rsidP="00364F91">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3. Patients who did not wish to continue participation in the trial.</w:t>
      </w:r>
    </w:p>
    <w:p w14:paraId="0DD76EFF" w14:textId="77777777" w:rsidR="007023C6" w:rsidRDefault="007023C6" w:rsidP="00364F91">
      <w:pPr>
        <w:spacing w:line="360" w:lineRule="auto"/>
        <w:jc w:val="both"/>
        <w:rPr>
          <w:rFonts w:ascii="Arial" w:hAnsi="Arial" w:cs="Arial"/>
          <w:color w:val="000000" w:themeColor="text1"/>
          <w:sz w:val="24"/>
          <w:szCs w:val="24"/>
        </w:rPr>
      </w:pPr>
    </w:p>
    <w:p w14:paraId="75A69CE6" w14:textId="7A718486" w:rsidR="007023C6" w:rsidRPr="003266F8" w:rsidRDefault="003C2470" w:rsidP="007023C6">
      <w:pPr>
        <w:pStyle w:val="Heading2"/>
        <w:spacing w:line="360" w:lineRule="auto"/>
        <w:rPr>
          <w:rFonts w:ascii="Arial" w:hAnsi="Arial" w:cs="Arial"/>
          <w:color w:val="4472C4" w:themeColor="accent1"/>
          <w:sz w:val="24"/>
          <w:szCs w:val="24"/>
          <w:shd w:val="clear" w:color="auto" w:fill="FFFFFF"/>
        </w:rPr>
      </w:pPr>
      <w:bookmarkStart w:id="512" w:name="_Toc170075053"/>
      <w:bookmarkStart w:id="513" w:name="_Toc170076040"/>
      <w:bookmarkStart w:id="514" w:name="_Toc170577736"/>
      <w:bookmarkStart w:id="515" w:name="_Toc170579254"/>
      <w:bookmarkStart w:id="516" w:name="_Toc171203109"/>
      <w:bookmarkStart w:id="517" w:name="_Toc171203880"/>
      <w:r>
        <w:rPr>
          <w:rFonts w:ascii="Arial" w:hAnsi="Arial" w:cs="Arial"/>
          <w:color w:val="4472C4" w:themeColor="accent1"/>
          <w:sz w:val="24"/>
          <w:szCs w:val="24"/>
        </w:rPr>
        <w:lastRenderedPageBreak/>
        <w:t xml:space="preserve">2.1.2 </w:t>
      </w:r>
      <w:r w:rsidR="007023C6" w:rsidRPr="003266F8">
        <w:rPr>
          <w:rFonts w:ascii="Arial" w:hAnsi="Arial" w:cs="Arial"/>
          <w:color w:val="4472C4" w:themeColor="accent1"/>
          <w:sz w:val="24"/>
          <w:szCs w:val="24"/>
        </w:rPr>
        <w:t>Hypothesis</w:t>
      </w:r>
      <w:bookmarkEnd w:id="512"/>
      <w:bookmarkEnd w:id="513"/>
      <w:bookmarkEnd w:id="514"/>
      <w:bookmarkEnd w:id="515"/>
      <w:bookmarkEnd w:id="516"/>
      <w:bookmarkEnd w:id="517"/>
      <w:r w:rsidR="007023C6">
        <w:rPr>
          <w:rFonts w:ascii="Arial" w:hAnsi="Arial" w:cs="Arial"/>
          <w:color w:val="4472C4" w:themeColor="accent1"/>
          <w:sz w:val="24"/>
          <w:szCs w:val="24"/>
        </w:rPr>
        <w:t xml:space="preserve"> </w:t>
      </w:r>
    </w:p>
    <w:p w14:paraId="13DE2CD4" w14:textId="77777777" w:rsidR="007023C6" w:rsidRDefault="007023C6" w:rsidP="007023C6">
      <w:pPr>
        <w:spacing w:line="360" w:lineRule="auto"/>
        <w:jc w:val="both"/>
        <w:rPr>
          <w:rFonts w:ascii="Arial" w:hAnsi="Arial" w:cs="Arial"/>
          <w:sz w:val="24"/>
          <w:szCs w:val="24"/>
          <w:shd w:val="clear" w:color="auto" w:fill="FFFFFF"/>
        </w:rPr>
      </w:pPr>
      <w:r w:rsidRPr="00703307">
        <w:rPr>
          <w:rFonts w:ascii="Arial" w:hAnsi="Arial" w:cs="Arial"/>
          <w:sz w:val="24"/>
          <w:szCs w:val="24"/>
          <w:shd w:val="clear" w:color="auto" w:fill="FFFFFF"/>
        </w:rPr>
        <w:t>Virtual FFR-based (</w:t>
      </w:r>
      <w:r>
        <w:rPr>
          <w:rFonts w:ascii="Arial" w:hAnsi="Arial" w:cs="Arial"/>
          <w:sz w:val="24"/>
          <w:szCs w:val="24"/>
        </w:rPr>
        <w:t>vFFR</w:t>
      </w:r>
      <w:r w:rsidRPr="00703307">
        <w:rPr>
          <w:rFonts w:ascii="Arial" w:hAnsi="Arial" w:cs="Arial"/>
          <w:sz w:val="24"/>
          <w:szCs w:val="24"/>
          <w:shd w:val="clear" w:color="auto" w:fill="FFFFFF"/>
        </w:rPr>
        <w:t xml:space="preserve">) </w:t>
      </w:r>
      <w:r>
        <w:rPr>
          <w:rFonts w:ascii="Arial" w:hAnsi="Arial" w:cs="Arial"/>
          <w:sz w:val="24"/>
          <w:szCs w:val="24"/>
          <w:shd w:val="clear" w:color="auto" w:fill="FFFFFF"/>
        </w:rPr>
        <w:t xml:space="preserve">based </w:t>
      </w:r>
      <w:r w:rsidRPr="00703307">
        <w:rPr>
          <w:rFonts w:ascii="Arial" w:hAnsi="Arial" w:cs="Arial"/>
          <w:sz w:val="24"/>
          <w:szCs w:val="24"/>
          <w:shd w:val="clear" w:color="auto" w:fill="FFFFFF"/>
        </w:rPr>
        <w:t>management plans</w:t>
      </w:r>
      <w:r>
        <w:rPr>
          <w:rFonts w:ascii="Arial" w:hAnsi="Arial" w:cs="Arial"/>
          <w:sz w:val="24"/>
          <w:szCs w:val="24"/>
          <w:shd w:val="clear" w:color="auto" w:fill="FFFFFF"/>
        </w:rPr>
        <w:t xml:space="preserve"> can result in important potential changes in cost-effectiveness and QOL compared to the treatment plans based on conventional coronary angiography at 12 months.</w:t>
      </w:r>
    </w:p>
    <w:p w14:paraId="4D6A6B80" w14:textId="77777777" w:rsidR="007023C6" w:rsidRPr="00364F91" w:rsidRDefault="007023C6" w:rsidP="007023C6">
      <w:pPr>
        <w:spacing w:line="360" w:lineRule="auto"/>
        <w:jc w:val="both"/>
        <w:rPr>
          <w:rFonts w:ascii="Arial" w:eastAsia="Times New Roman" w:hAnsi="Arial" w:cs="Arial"/>
          <w:color w:val="0E101A"/>
          <w:sz w:val="24"/>
          <w:szCs w:val="24"/>
          <w:lang w:eastAsia="en-GB"/>
          <w14:ligatures w14:val="none"/>
        </w:rPr>
      </w:pPr>
    </w:p>
    <w:p w14:paraId="06AAE6F8" w14:textId="26F1001B" w:rsidR="007023C6" w:rsidRPr="003266F8" w:rsidRDefault="003C2470" w:rsidP="007023C6">
      <w:pPr>
        <w:pStyle w:val="Heading2"/>
        <w:spacing w:line="360" w:lineRule="auto"/>
        <w:rPr>
          <w:rFonts w:ascii="Arial" w:hAnsi="Arial" w:cs="Arial"/>
          <w:color w:val="4472C4" w:themeColor="accent1"/>
          <w:sz w:val="24"/>
          <w:szCs w:val="24"/>
        </w:rPr>
      </w:pPr>
      <w:bookmarkStart w:id="518" w:name="_Toc170075054"/>
      <w:bookmarkStart w:id="519" w:name="_Toc170076041"/>
      <w:bookmarkStart w:id="520" w:name="_Toc170577737"/>
      <w:bookmarkStart w:id="521" w:name="_Toc170579255"/>
      <w:bookmarkStart w:id="522" w:name="_Toc171203110"/>
      <w:bookmarkStart w:id="523" w:name="_Toc171203881"/>
      <w:r>
        <w:rPr>
          <w:rFonts w:ascii="Arial" w:hAnsi="Arial" w:cs="Arial"/>
          <w:color w:val="4472C4" w:themeColor="accent1"/>
          <w:sz w:val="24"/>
          <w:szCs w:val="24"/>
        </w:rPr>
        <w:t xml:space="preserve">2.1.3 </w:t>
      </w:r>
      <w:r w:rsidR="007023C6" w:rsidRPr="003266F8">
        <w:rPr>
          <w:rFonts w:ascii="Arial" w:hAnsi="Arial" w:cs="Arial"/>
          <w:color w:val="4472C4" w:themeColor="accent1"/>
          <w:sz w:val="24"/>
          <w:szCs w:val="24"/>
        </w:rPr>
        <w:t>Aims and practical objectives</w:t>
      </w:r>
      <w:bookmarkEnd w:id="518"/>
      <w:bookmarkEnd w:id="519"/>
      <w:bookmarkEnd w:id="520"/>
      <w:bookmarkEnd w:id="521"/>
      <w:bookmarkEnd w:id="522"/>
      <w:bookmarkEnd w:id="523"/>
    </w:p>
    <w:p w14:paraId="656B66EC" w14:textId="753762F2" w:rsidR="007023C6" w:rsidRPr="00492FD4" w:rsidRDefault="007023C6" w:rsidP="007023C6">
      <w:p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 xml:space="preserve">In this project, I aim to analyse </w:t>
      </w:r>
      <w:r>
        <w:rPr>
          <w:rFonts w:ascii="Arial" w:eastAsia="Times New Roman" w:hAnsi="Arial" w:cs="Arial"/>
          <w:color w:val="0E101A"/>
          <w:sz w:val="24"/>
          <w:szCs w:val="24"/>
          <w:lang w:eastAsia="en-GB"/>
          <w14:ligatures w14:val="none"/>
        </w:rPr>
        <w:t xml:space="preserve">the </w:t>
      </w:r>
      <w:r w:rsidRPr="00492FD4">
        <w:rPr>
          <w:rFonts w:ascii="Arial" w:eastAsia="Times New Roman" w:hAnsi="Arial" w:cs="Arial"/>
          <w:color w:val="0E101A"/>
          <w:sz w:val="24"/>
          <w:szCs w:val="24"/>
          <w:lang w:eastAsia="en-GB"/>
          <w14:ligatures w14:val="none"/>
        </w:rPr>
        <w:t xml:space="preserve">data </w:t>
      </w:r>
      <w:r w:rsidR="004B7D68">
        <w:rPr>
          <w:rFonts w:ascii="Arial" w:eastAsia="Times New Roman" w:hAnsi="Arial" w:cs="Arial"/>
          <w:color w:val="0E101A"/>
          <w:sz w:val="24"/>
          <w:szCs w:val="24"/>
          <w:lang w:eastAsia="en-GB"/>
          <w14:ligatures w14:val="none"/>
        </w:rPr>
        <w:t xml:space="preserve">derived </w:t>
      </w:r>
      <w:r w:rsidRPr="00492FD4">
        <w:rPr>
          <w:rFonts w:ascii="Arial" w:eastAsia="Times New Roman" w:hAnsi="Arial" w:cs="Arial"/>
          <w:color w:val="0E101A"/>
          <w:sz w:val="24"/>
          <w:szCs w:val="24"/>
          <w:lang w:eastAsia="en-GB"/>
          <w14:ligatures w14:val="none"/>
        </w:rPr>
        <w:t>from VIRTU-4 to:</w:t>
      </w:r>
    </w:p>
    <w:p w14:paraId="645859BA" w14:textId="77777777" w:rsidR="007023C6" w:rsidRPr="00492FD4" w:rsidRDefault="007023C6" w:rsidP="00E50651">
      <w:pPr>
        <w:numPr>
          <w:ilvl w:val="0"/>
          <w:numId w:val="23"/>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Determine the clinical outcomes (MACE, interval change in NYHA and CCS class) at 12 months.</w:t>
      </w:r>
    </w:p>
    <w:p w14:paraId="2C772749" w14:textId="77777777" w:rsidR="007023C6" w:rsidRDefault="007023C6" w:rsidP="00E50651">
      <w:pPr>
        <w:numPr>
          <w:ilvl w:val="0"/>
          <w:numId w:val="23"/>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 xml:space="preserve">Assess the interval change in quality of life (QOL) one year after </w:t>
      </w:r>
      <w:r>
        <w:rPr>
          <w:rFonts w:ascii="Arial" w:eastAsia="Times New Roman" w:hAnsi="Arial" w:cs="Arial"/>
          <w:color w:val="0E101A"/>
          <w:sz w:val="24"/>
          <w:szCs w:val="24"/>
          <w:lang w:eastAsia="en-GB"/>
          <w14:ligatures w14:val="none"/>
        </w:rPr>
        <w:t xml:space="preserve">the enacted </w:t>
      </w:r>
      <w:r w:rsidRPr="00492FD4">
        <w:rPr>
          <w:rFonts w:ascii="Arial" w:eastAsia="Times New Roman" w:hAnsi="Arial" w:cs="Arial"/>
          <w:color w:val="0E101A"/>
          <w:sz w:val="24"/>
          <w:szCs w:val="24"/>
          <w:lang w:eastAsia="en-GB"/>
          <w14:ligatures w14:val="none"/>
        </w:rPr>
        <w:t>treatment</w:t>
      </w:r>
      <w:r>
        <w:rPr>
          <w:rFonts w:ascii="Arial" w:eastAsia="Times New Roman" w:hAnsi="Arial" w:cs="Arial"/>
          <w:color w:val="0E101A"/>
          <w:sz w:val="24"/>
          <w:szCs w:val="24"/>
          <w:lang w:eastAsia="en-GB"/>
          <w14:ligatures w14:val="none"/>
        </w:rPr>
        <w:t xml:space="preserve"> plan</w:t>
      </w:r>
      <w:r w:rsidRPr="00492FD4">
        <w:rPr>
          <w:rFonts w:ascii="Arial" w:eastAsia="Times New Roman" w:hAnsi="Arial" w:cs="Arial"/>
          <w:color w:val="0E101A"/>
          <w:sz w:val="24"/>
          <w:szCs w:val="24"/>
          <w:lang w:eastAsia="en-GB"/>
          <w14:ligatures w14:val="none"/>
        </w:rPr>
        <w:t xml:space="preserve"> (OMT, PCI,</w:t>
      </w:r>
      <w:r>
        <w:rPr>
          <w:rFonts w:ascii="Arial" w:eastAsia="Times New Roman" w:hAnsi="Arial" w:cs="Arial"/>
          <w:color w:val="0E101A"/>
          <w:sz w:val="24"/>
          <w:szCs w:val="24"/>
          <w:lang w:eastAsia="en-GB"/>
          <w14:ligatures w14:val="none"/>
        </w:rPr>
        <w:t xml:space="preserve"> or</w:t>
      </w:r>
      <w:r w:rsidRPr="00492FD4">
        <w:rPr>
          <w:rFonts w:ascii="Arial" w:eastAsia="Times New Roman" w:hAnsi="Arial" w:cs="Arial"/>
          <w:color w:val="0E101A"/>
          <w:sz w:val="24"/>
          <w:szCs w:val="24"/>
          <w:lang w:eastAsia="en-GB"/>
          <w14:ligatures w14:val="none"/>
        </w:rPr>
        <w:t xml:space="preserve"> CABG).</w:t>
      </w:r>
    </w:p>
    <w:p w14:paraId="485E19B6" w14:textId="452B261A" w:rsidR="007023C6" w:rsidRPr="00492FD4" w:rsidRDefault="007023C6" w:rsidP="00E50651">
      <w:pPr>
        <w:numPr>
          <w:ilvl w:val="0"/>
          <w:numId w:val="23"/>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Perform a total cost analysis of all the patients at one year in VIRTU-4. </w:t>
      </w:r>
    </w:p>
    <w:p w14:paraId="759AB603" w14:textId="26BD7C60" w:rsidR="007023C6" w:rsidRPr="007023C6" w:rsidRDefault="007023C6" w:rsidP="00E50651">
      <w:pPr>
        <w:numPr>
          <w:ilvl w:val="0"/>
          <w:numId w:val="23"/>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Report the actual and virtual outcomes of the</w:t>
      </w:r>
      <w:r>
        <w:rPr>
          <w:rFonts w:ascii="Arial" w:eastAsia="Times New Roman" w:hAnsi="Arial" w:cs="Arial"/>
          <w:color w:val="0E101A"/>
          <w:sz w:val="24"/>
          <w:szCs w:val="24"/>
          <w:lang w:eastAsia="en-GB"/>
          <w14:ligatures w14:val="none"/>
        </w:rPr>
        <w:t xml:space="preserve"> virtual change subset patients.</w:t>
      </w:r>
    </w:p>
    <w:p w14:paraId="4B458F0B" w14:textId="77777777" w:rsidR="007023C6" w:rsidRPr="00492FD4" w:rsidRDefault="007023C6" w:rsidP="00E50651">
      <w:pPr>
        <w:numPr>
          <w:ilvl w:val="0"/>
          <w:numId w:val="23"/>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Compare the costs of the treatment decisions based upon a visual assessment of CAG</w:t>
      </w:r>
      <w:r>
        <w:rPr>
          <w:rFonts w:ascii="Arial" w:eastAsia="Times New Roman" w:hAnsi="Arial" w:cs="Arial"/>
          <w:color w:val="0E101A"/>
          <w:sz w:val="24"/>
          <w:szCs w:val="24"/>
          <w:lang w:eastAsia="en-GB"/>
          <w14:ligatures w14:val="none"/>
        </w:rPr>
        <w:t>-</w:t>
      </w:r>
      <w:r w:rsidRPr="00492FD4">
        <w:rPr>
          <w:rFonts w:ascii="Arial" w:eastAsia="Times New Roman" w:hAnsi="Arial" w:cs="Arial"/>
          <w:color w:val="0E101A"/>
          <w:sz w:val="24"/>
          <w:szCs w:val="24"/>
          <w:lang w:eastAsia="en-GB"/>
          <w14:ligatures w14:val="none"/>
        </w:rPr>
        <w:t xml:space="preserve">alone vs those of the notional changes when </w:t>
      </w:r>
      <w:r w:rsidRPr="002A7726">
        <w:rPr>
          <w:rFonts w:ascii="Arial" w:hAnsi="Arial" w:cs="Arial"/>
          <w:sz w:val="24"/>
          <w:szCs w:val="24"/>
        </w:rPr>
        <w:t>vFFR</w:t>
      </w:r>
      <w:r w:rsidRPr="00492FD4">
        <w:rPr>
          <w:rFonts w:ascii="Arial" w:eastAsia="Times New Roman" w:hAnsi="Arial" w:cs="Arial"/>
          <w:color w:val="0E101A"/>
          <w:sz w:val="24"/>
          <w:szCs w:val="24"/>
          <w:lang w:eastAsia="en-GB"/>
          <w14:ligatures w14:val="none"/>
        </w:rPr>
        <w:t xml:space="preserve"> was added to CAG. </w:t>
      </w:r>
    </w:p>
    <w:p w14:paraId="468D7FDF" w14:textId="77777777" w:rsidR="007023C6" w:rsidRPr="00492FD4" w:rsidRDefault="007023C6" w:rsidP="00E50651">
      <w:pPr>
        <w:numPr>
          <w:ilvl w:val="0"/>
          <w:numId w:val="23"/>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 xml:space="preserve">Link the potential impact of cost and clinical outcomes with vFFR-driven notional change in the management plans in </w:t>
      </w:r>
      <w:r>
        <w:rPr>
          <w:rFonts w:ascii="Arial" w:eastAsia="Times New Roman" w:hAnsi="Arial" w:cs="Arial"/>
          <w:color w:val="0E101A"/>
          <w:sz w:val="24"/>
          <w:szCs w:val="24"/>
          <w:lang w:eastAsia="en-GB"/>
          <w14:ligatures w14:val="none"/>
        </w:rPr>
        <w:t>accordance</w:t>
      </w:r>
      <w:r w:rsidRPr="00492FD4">
        <w:rPr>
          <w:rFonts w:ascii="Arial" w:eastAsia="Times New Roman" w:hAnsi="Arial" w:cs="Arial"/>
          <w:color w:val="0E101A"/>
          <w:sz w:val="24"/>
          <w:szCs w:val="24"/>
          <w:lang w:eastAsia="en-GB"/>
          <w14:ligatures w14:val="none"/>
        </w:rPr>
        <w:t xml:space="preserve"> with published literature.</w:t>
      </w:r>
    </w:p>
    <w:p w14:paraId="3D6F76E9" w14:textId="2B301818" w:rsidR="007023C6" w:rsidRDefault="007023C6" w:rsidP="00E50651">
      <w:pPr>
        <w:numPr>
          <w:ilvl w:val="0"/>
          <w:numId w:val="23"/>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 xml:space="preserve">Perform an analysis of concordance between the vFFR-suggested and the expert </w:t>
      </w:r>
      <w:r w:rsidR="0012399F">
        <w:rPr>
          <w:rFonts w:ascii="Arial" w:eastAsia="Times New Roman" w:hAnsi="Arial" w:cs="Arial"/>
          <w:color w:val="0E101A"/>
          <w:sz w:val="24"/>
          <w:szCs w:val="24"/>
          <w:lang w:eastAsia="en-GB"/>
          <w14:ligatures w14:val="none"/>
        </w:rPr>
        <w:t>MDT</w:t>
      </w:r>
      <w:r w:rsidRPr="00492FD4">
        <w:rPr>
          <w:rFonts w:ascii="Arial" w:eastAsia="Times New Roman" w:hAnsi="Arial" w:cs="Arial"/>
          <w:color w:val="0E101A"/>
          <w:sz w:val="24"/>
          <w:szCs w:val="24"/>
          <w:lang w:eastAsia="en-GB"/>
          <w14:ligatures w14:val="none"/>
        </w:rPr>
        <w:t xml:space="preserve"> plans.</w:t>
      </w:r>
    </w:p>
    <w:p w14:paraId="6E8370E2" w14:textId="77777777" w:rsidR="003C2470" w:rsidRPr="00492FD4" w:rsidRDefault="003C2470" w:rsidP="003C2470">
      <w:pPr>
        <w:spacing w:after="0" w:line="360" w:lineRule="auto"/>
        <w:ind w:left="360"/>
        <w:jc w:val="both"/>
        <w:rPr>
          <w:rFonts w:ascii="Arial" w:eastAsia="Times New Roman" w:hAnsi="Arial" w:cs="Arial"/>
          <w:color w:val="0E101A"/>
          <w:sz w:val="24"/>
          <w:szCs w:val="24"/>
          <w:lang w:eastAsia="en-GB"/>
          <w14:ligatures w14:val="none"/>
        </w:rPr>
      </w:pPr>
    </w:p>
    <w:p w14:paraId="7831ADDF" w14:textId="6E58E66E" w:rsidR="007023C6" w:rsidRPr="00492FD4" w:rsidRDefault="007023C6" w:rsidP="007023C6">
      <w:p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The practical objectives include:</w:t>
      </w:r>
    </w:p>
    <w:p w14:paraId="24E82D10" w14:textId="77777777" w:rsidR="007023C6" w:rsidRPr="00492FD4" w:rsidRDefault="007023C6" w:rsidP="00E50651">
      <w:pPr>
        <w:numPr>
          <w:ilvl w:val="0"/>
          <w:numId w:val="24"/>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Collate the data from the VIRTU-4 trial. </w:t>
      </w:r>
    </w:p>
    <w:p w14:paraId="7A158BC3" w14:textId="77777777" w:rsidR="007023C6" w:rsidRPr="00492FD4" w:rsidRDefault="007023C6" w:rsidP="00E50651">
      <w:pPr>
        <w:numPr>
          <w:ilvl w:val="0"/>
          <w:numId w:val="24"/>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Perform a telephone follow-up consultation to collect the data regarding three-point MACE (death, MI, stroke), ischemia-driven revascularisation, hospital re-admissions, outpatient attendance and investigations.</w:t>
      </w:r>
    </w:p>
    <w:p w14:paraId="279FA696" w14:textId="77777777" w:rsidR="007023C6" w:rsidRPr="00492FD4" w:rsidRDefault="007023C6" w:rsidP="00E50651">
      <w:pPr>
        <w:numPr>
          <w:ilvl w:val="0"/>
          <w:numId w:val="24"/>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Evaluate the interval change in NYHA and CCS classes.</w:t>
      </w:r>
    </w:p>
    <w:p w14:paraId="32C68DF4" w14:textId="77777777" w:rsidR="007023C6" w:rsidRPr="00492FD4" w:rsidRDefault="007023C6" w:rsidP="00E50651">
      <w:pPr>
        <w:numPr>
          <w:ilvl w:val="0"/>
          <w:numId w:val="24"/>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Assess the effect of revascularisation on patient-reported quality-of-life scores.</w:t>
      </w:r>
    </w:p>
    <w:p w14:paraId="06408BBB" w14:textId="77777777" w:rsidR="007023C6" w:rsidRPr="00492FD4" w:rsidRDefault="007023C6" w:rsidP="00E50651">
      <w:pPr>
        <w:numPr>
          <w:ilvl w:val="0"/>
          <w:numId w:val="24"/>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Compare</w:t>
      </w:r>
      <w:r>
        <w:rPr>
          <w:rFonts w:ascii="Arial" w:eastAsia="Times New Roman" w:hAnsi="Arial" w:cs="Arial"/>
          <w:color w:val="0E101A"/>
          <w:sz w:val="24"/>
          <w:szCs w:val="24"/>
          <w:lang w:eastAsia="en-GB"/>
          <w14:ligatures w14:val="none"/>
        </w:rPr>
        <w:t xml:space="preserve"> the</w:t>
      </w:r>
      <w:r w:rsidRPr="00492FD4">
        <w:rPr>
          <w:rFonts w:ascii="Arial" w:eastAsia="Times New Roman" w:hAnsi="Arial" w:cs="Arial"/>
          <w:color w:val="0E101A"/>
          <w:sz w:val="24"/>
          <w:szCs w:val="24"/>
          <w:lang w:eastAsia="en-GB"/>
          <w14:ligatures w14:val="none"/>
        </w:rPr>
        <w:t xml:space="preserve"> vFFR-driven virtual change in QOL with actual QOL scores.</w:t>
      </w:r>
    </w:p>
    <w:p w14:paraId="753D4059" w14:textId="77777777" w:rsidR="007023C6" w:rsidRPr="00492FD4" w:rsidRDefault="007023C6" w:rsidP="00E50651">
      <w:pPr>
        <w:numPr>
          <w:ilvl w:val="0"/>
          <w:numId w:val="24"/>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Calculate the costs of the treatment plans from the NHS financial perspective.</w:t>
      </w:r>
    </w:p>
    <w:p w14:paraId="49DA981C" w14:textId="77777777" w:rsidR="007023C6" w:rsidRPr="00492FD4" w:rsidRDefault="007023C6" w:rsidP="00E50651">
      <w:pPr>
        <w:numPr>
          <w:ilvl w:val="0"/>
          <w:numId w:val="24"/>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t xml:space="preserve">Evaluate the </w:t>
      </w:r>
      <w:r>
        <w:rPr>
          <w:rFonts w:ascii="Arial" w:eastAsia="Times New Roman" w:hAnsi="Arial" w:cs="Arial"/>
          <w:color w:val="0E101A"/>
          <w:sz w:val="24"/>
          <w:szCs w:val="24"/>
          <w:lang w:eastAsia="en-GB"/>
          <w14:ligatures w14:val="none"/>
        </w:rPr>
        <w:t xml:space="preserve">impact </w:t>
      </w:r>
      <w:r w:rsidRPr="00492FD4">
        <w:rPr>
          <w:rFonts w:ascii="Arial" w:eastAsia="Times New Roman" w:hAnsi="Arial" w:cs="Arial"/>
          <w:color w:val="0E101A"/>
          <w:sz w:val="24"/>
          <w:szCs w:val="24"/>
          <w:lang w:eastAsia="en-GB"/>
          <w14:ligatures w14:val="none"/>
        </w:rPr>
        <w:t xml:space="preserve">of </w:t>
      </w:r>
      <w:r w:rsidRPr="002A7726">
        <w:rPr>
          <w:rFonts w:ascii="Arial" w:hAnsi="Arial" w:cs="Arial"/>
          <w:sz w:val="24"/>
          <w:szCs w:val="24"/>
        </w:rPr>
        <w:t>vFFR</w:t>
      </w:r>
      <w:r>
        <w:rPr>
          <w:rFonts w:ascii="Arial" w:eastAsia="Times New Roman" w:hAnsi="Arial" w:cs="Arial"/>
          <w:color w:val="0E101A"/>
          <w:sz w:val="24"/>
          <w:szCs w:val="24"/>
          <w:lang w:eastAsia="en-GB"/>
          <w14:ligatures w14:val="none"/>
        </w:rPr>
        <w:t xml:space="preserve"> </w:t>
      </w:r>
      <w:r w:rsidRPr="00492FD4">
        <w:rPr>
          <w:rFonts w:ascii="Arial" w:eastAsia="Times New Roman" w:hAnsi="Arial" w:cs="Arial"/>
          <w:color w:val="0E101A"/>
          <w:sz w:val="24"/>
          <w:szCs w:val="24"/>
          <w:lang w:eastAsia="en-GB"/>
          <w14:ligatures w14:val="none"/>
        </w:rPr>
        <w:t xml:space="preserve">addition to CAG </w:t>
      </w:r>
      <w:r>
        <w:rPr>
          <w:rFonts w:ascii="Arial" w:eastAsia="Times New Roman" w:hAnsi="Arial" w:cs="Arial"/>
          <w:color w:val="0E101A"/>
          <w:sz w:val="24"/>
          <w:szCs w:val="24"/>
          <w:lang w:eastAsia="en-GB"/>
          <w14:ligatures w14:val="none"/>
        </w:rPr>
        <w:t xml:space="preserve">on the costs </w:t>
      </w:r>
      <w:r w:rsidRPr="00492FD4">
        <w:rPr>
          <w:rFonts w:ascii="Arial" w:eastAsia="Times New Roman" w:hAnsi="Arial" w:cs="Arial"/>
          <w:color w:val="0E101A"/>
          <w:sz w:val="24"/>
          <w:szCs w:val="24"/>
          <w:lang w:eastAsia="en-GB"/>
          <w14:ligatures w14:val="none"/>
        </w:rPr>
        <w:t>against the traditional CAG-alone approach.</w:t>
      </w:r>
    </w:p>
    <w:p w14:paraId="08B8AC4B" w14:textId="54AA0B87" w:rsidR="007023C6" w:rsidRPr="00C8110A" w:rsidRDefault="007023C6" w:rsidP="00E50651">
      <w:pPr>
        <w:numPr>
          <w:ilvl w:val="0"/>
          <w:numId w:val="24"/>
        </w:numPr>
        <w:spacing w:after="0" w:line="360" w:lineRule="auto"/>
        <w:jc w:val="both"/>
        <w:rPr>
          <w:rFonts w:ascii="Arial" w:eastAsia="Times New Roman" w:hAnsi="Arial" w:cs="Arial"/>
          <w:color w:val="0E101A"/>
          <w:sz w:val="24"/>
          <w:szCs w:val="24"/>
          <w:lang w:eastAsia="en-GB"/>
          <w14:ligatures w14:val="none"/>
        </w:rPr>
      </w:pPr>
      <w:r w:rsidRPr="00492FD4">
        <w:rPr>
          <w:rFonts w:ascii="Arial" w:eastAsia="Times New Roman" w:hAnsi="Arial" w:cs="Arial"/>
          <w:color w:val="0E101A"/>
          <w:sz w:val="24"/>
          <w:szCs w:val="24"/>
          <w:lang w:eastAsia="en-GB"/>
          <w14:ligatures w14:val="none"/>
        </w:rPr>
        <w:lastRenderedPageBreak/>
        <w:t xml:space="preserve">Compare how the </w:t>
      </w:r>
      <w:r>
        <w:rPr>
          <w:rFonts w:ascii="Arial" w:eastAsia="Times New Roman" w:hAnsi="Arial" w:cs="Arial"/>
          <w:color w:val="0E101A"/>
          <w:sz w:val="24"/>
          <w:szCs w:val="24"/>
          <w:lang w:eastAsia="en-GB"/>
          <w14:ligatures w14:val="none"/>
        </w:rPr>
        <w:t>virtual</w:t>
      </w:r>
      <w:r w:rsidRPr="00492FD4">
        <w:rPr>
          <w:rFonts w:ascii="Arial" w:eastAsia="Times New Roman" w:hAnsi="Arial" w:cs="Arial"/>
          <w:color w:val="0E101A"/>
          <w:sz w:val="24"/>
          <w:szCs w:val="24"/>
          <w:lang w:eastAsia="en-GB"/>
          <w14:ligatures w14:val="none"/>
        </w:rPr>
        <w:t xml:space="preserve"> change in the management strategies</w:t>
      </w:r>
      <w:r>
        <w:rPr>
          <w:rFonts w:ascii="Arial" w:eastAsia="Times New Roman" w:hAnsi="Arial" w:cs="Arial"/>
          <w:color w:val="0E101A"/>
          <w:sz w:val="24"/>
          <w:szCs w:val="24"/>
          <w:lang w:eastAsia="en-GB"/>
          <w14:ligatures w14:val="none"/>
        </w:rPr>
        <w:t xml:space="preserve"> post-</w:t>
      </w:r>
      <w:r w:rsidRPr="00986739">
        <w:rPr>
          <w:rFonts w:ascii="Arial" w:eastAsia="Times New Roman" w:hAnsi="Arial" w:cs="Arial"/>
          <w:color w:val="0E101A"/>
          <w:sz w:val="24"/>
          <w:szCs w:val="24"/>
          <w:vertAlign w:val="subscript"/>
          <w:lang w:eastAsia="en-GB"/>
          <w14:ligatures w14:val="none"/>
        </w:rPr>
        <w:t>vFFR</w:t>
      </w:r>
      <w:r w:rsidRPr="00492FD4">
        <w:rPr>
          <w:rFonts w:ascii="Arial" w:eastAsia="Times New Roman" w:hAnsi="Arial" w:cs="Arial"/>
          <w:color w:val="0E101A"/>
          <w:sz w:val="24"/>
          <w:szCs w:val="24"/>
          <w:lang w:eastAsia="en-GB"/>
          <w14:ligatures w14:val="none"/>
        </w:rPr>
        <w:t xml:space="preserve"> would </w:t>
      </w:r>
      <w:r>
        <w:rPr>
          <w:rFonts w:ascii="Arial" w:eastAsia="Times New Roman" w:hAnsi="Arial" w:cs="Arial"/>
          <w:color w:val="0E101A"/>
          <w:sz w:val="24"/>
          <w:szCs w:val="24"/>
          <w:lang w:eastAsia="en-GB"/>
          <w14:ligatures w14:val="none"/>
        </w:rPr>
        <w:t>affect</w:t>
      </w:r>
      <w:r w:rsidRPr="00492FD4">
        <w:rPr>
          <w:rFonts w:ascii="Arial" w:eastAsia="Times New Roman" w:hAnsi="Arial" w:cs="Arial"/>
          <w:color w:val="0E101A"/>
          <w:sz w:val="24"/>
          <w:szCs w:val="24"/>
          <w:lang w:eastAsia="en-GB"/>
          <w14:ligatures w14:val="none"/>
        </w:rPr>
        <w:t xml:space="preserve"> the short- and long-term costs and the clinical outcomes.</w:t>
      </w:r>
    </w:p>
    <w:p w14:paraId="21719B8D" w14:textId="77777777" w:rsidR="007023C6" w:rsidRDefault="007023C6" w:rsidP="00364F91">
      <w:pPr>
        <w:pStyle w:val="Heading2"/>
        <w:spacing w:line="360" w:lineRule="auto"/>
        <w:rPr>
          <w:rFonts w:ascii="Arial" w:hAnsi="Arial" w:cs="Arial"/>
          <w:color w:val="4472C4" w:themeColor="accent1"/>
          <w:sz w:val="24"/>
          <w:szCs w:val="24"/>
        </w:rPr>
      </w:pPr>
    </w:p>
    <w:p w14:paraId="104C2955" w14:textId="3389BEF3" w:rsidR="004942B6" w:rsidRPr="002B14DE" w:rsidRDefault="004942B6" w:rsidP="00364F91">
      <w:pPr>
        <w:pStyle w:val="Heading2"/>
        <w:spacing w:line="360" w:lineRule="auto"/>
        <w:rPr>
          <w:rFonts w:ascii="Arial" w:hAnsi="Arial" w:cs="Arial"/>
          <w:color w:val="4472C4" w:themeColor="accent1"/>
          <w:sz w:val="24"/>
          <w:szCs w:val="24"/>
        </w:rPr>
      </w:pPr>
      <w:bookmarkStart w:id="524" w:name="_Toc170075055"/>
      <w:bookmarkStart w:id="525" w:name="_Toc170076042"/>
      <w:bookmarkStart w:id="526" w:name="_Toc170577738"/>
      <w:bookmarkStart w:id="527" w:name="_Toc170579256"/>
      <w:bookmarkStart w:id="528" w:name="_Toc171203111"/>
      <w:bookmarkStart w:id="529" w:name="_Toc171203882"/>
      <w:r w:rsidRPr="002B14DE">
        <w:rPr>
          <w:rFonts w:ascii="Arial" w:hAnsi="Arial" w:cs="Arial"/>
          <w:color w:val="4472C4" w:themeColor="accent1"/>
          <w:sz w:val="24"/>
          <w:szCs w:val="24"/>
        </w:rPr>
        <w:t>2.</w:t>
      </w:r>
      <w:r w:rsidR="002A3406" w:rsidRPr="002B14DE">
        <w:rPr>
          <w:rFonts w:ascii="Arial" w:hAnsi="Arial" w:cs="Arial"/>
          <w:color w:val="4472C4" w:themeColor="accent1"/>
          <w:sz w:val="24"/>
          <w:szCs w:val="24"/>
        </w:rPr>
        <w:t>1.4</w:t>
      </w:r>
      <w:r w:rsidRPr="002B14DE">
        <w:rPr>
          <w:rFonts w:ascii="Arial" w:hAnsi="Arial" w:cs="Arial"/>
          <w:color w:val="4472C4" w:themeColor="accent1"/>
          <w:sz w:val="24"/>
          <w:szCs w:val="24"/>
        </w:rPr>
        <w:t xml:space="preserve"> </w:t>
      </w:r>
      <w:r w:rsidR="008C50D0" w:rsidRPr="002B14DE">
        <w:rPr>
          <w:rFonts w:ascii="Arial" w:hAnsi="Arial" w:cs="Arial"/>
          <w:color w:val="4472C4" w:themeColor="accent1"/>
          <w:sz w:val="24"/>
          <w:szCs w:val="24"/>
        </w:rPr>
        <w:t>VIRTU-4 HE</w:t>
      </w:r>
      <w:r w:rsidRPr="002B14DE">
        <w:rPr>
          <w:rFonts w:ascii="Arial" w:hAnsi="Arial" w:cs="Arial"/>
          <w:color w:val="4472C4" w:themeColor="accent1"/>
          <w:sz w:val="24"/>
          <w:szCs w:val="24"/>
        </w:rPr>
        <w:t xml:space="preserve"> </w:t>
      </w:r>
      <w:r w:rsidR="008C50D0" w:rsidRPr="002B14DE">
        <w:rPr>
          <w:rFonts w:ascii="Arial" w:hAnsi="Arial" w:cs="Arial"/>
          <w:color w:val="4472C4" w:themeColor="accent1"/>
          <w:sz w:val="24"/>
          <w:szCs w:val="24"/>
        </w:rPr>
        <w:t>endpoints</w:t>
      </w:r>
      <w:bookmarkEnd w:id="524"/>
      <w:bookmarkEnd w:id="525"/>
      <w:bookmarkEnd w:id="526"/>
      <w:bookmarkEnd w:id="527"/>
      <w:bookmarkEnd w:id="528"/>
      <w:bookmarkEnd w:id="529"/>
    </w:p>
    <w:p w14:paraId="7E1B8720" w14:textId="77777777" w:rsidR="00855ED4" w:rsidRPr="00855ED4" w:rsidRDefault="00855ED4" w:rsidP="00855ED4"/>
    <w:p w14:paraId="54DA5BA6" w14:textId="35AF1C0E" w:rsidR="004942B6" w:rsidRPr="009A40D3" w:rsidRDefault="004942B6" w:rsidP="00364F91">
      <w:pPr>
        <w:pStyle w:val="Heading3"/>
        <w:spacing w:line="360" w:lineRule="auto"/>
        <w:rPr>
          <w:rFonts w:ascii="Arial" w:hAnsi="Arial" w:cs="Arial"/>
          <w:color w:val="4472C4" w:themeColor="accent1"/>
          <w:sz w:val="24"/>
          <w:szCs w:val="24"/>
        </w:rPr>
      </w:pPr>
      <w:bookmarkStart w:id="530" w:name="_Toc159613575"/>
      <w:bookmarkStart w:id="531" w:name="_Toc160981236"/>
      <w:bookmarkStart w:id="532" w:name="_Toc164681376"/>
      <w:bookmarkStart w:id="533" w:name="_Toc170075056"/>
      <w:bookmarkStart w:id="534" w:name="_Toc170076043"/>
      <w:bookmarkStart w:id="535" w:name="_Toc170577739"/>
      <w:bookmarkStart w:id="536" w:name="_Toc170579257"/>
      <w:bookmarkStart w:id="537" w:name="_Toc171203112"/>
      <w:bookmarkStart w:id="538" w:name="_Toc171203883"/>
      <w:r w:rsidRPr="009A40D3">
        <w:rPr>
          <w:rFonts w:ascii="Arial" w:hAnsi="Arial" w:cs="Arial"/>
          <w:color w:val="4472C4" w:themeColor="accent1"/>
          <w:sz w:val="24"/>
          <w:szCs w:val="24"/>
        </w:rPr>
        <w:t>2.1</w:t>
      </w:r>
      <w:r w:rsidR="002A3406">
        <w:rPr>
          <w:rFonts w:ascii="Arial" w:hAnsi="Arial" w:cs="Arial"/>
          <w:color w:val="4472C4" w:themeColor="accent1"/>
          <w:sz w:val="24"/>
          <w:szCs w:val="24"/>
        </w:rPr>
        <w:t>.4.1</w:t>
      </w:r>
      <w:r w:rsidRPr="009A40D3">
        <w:rPr>
          <w:rFonts w:ascii="Arial" w:hAnsi="Arial" w:cs="Arial"/>
          <w:color w:val="4472C4" w:themeColor="accent1"/>
          <w:sz w:val="24"/>
          <w:szCs w:val="24"/>
        </w:rPr>
        <w:t xml:space="preserve"> Clinical endpoints</w:t>
      </w:r>
      <w:bookmarkEnd w:id="530"/>
      <w:bookmarkEnd w:id="531"/>
      <w:bookmarkEnd w:id="532"/>
      <w:bookmarkEnd w:id="533"/>
      <w:bookmarkEnd w:id="534"/>
      <w:bookmarkEnd w:id="535"/>
      <w:bookmarkEnd w:id="536"/>
      <w:bookmarkEnd w:id="537"/>
      <w:bookmarkEnd w:id="538"/>
    </w:p>
    <w:p w14:paraId="57FACADE" w14:textId="77777777" w:rsidR="004942B6" w:rsidRPr="00902402" w:rsidRDefault="004942B6" w:rsidP="004942B6">
      <w:pPr>
        <w:spacing w:line="360" w:lineRule="auto"/>
        <w:jc w:val="both"/>
        <w:rPr>
          <w:rFonts w:ascii="Arial" w:hAnsi="Arial" w:cs="Arial"/>
          <w:sz w:val="24"/>
          <w:szCs w:val="24"/>
        </w:rPr>
      </w:pPr>
      <w:r w:rsidRPr="00902402">
        <w:rPr>
          <w:rFonts w:ascii="Arial" w:hAnsi="Arial" w:cs="Arial"/>
          <w:sz w:val="24"/>
          <w:szCs w:val="24"/>
        </w:rPr>
        <w:t xml:space="preserve">The clinical endpoints at </w:t>
      </w:r>
      <w:r>
        <w:rPr>
          <w:rFonts w:ascii="Arial" w:hAnsi="Arial" w:cs="Arial"/>
          <w:sz w:val="24"/>
          <w:szCs w:val="24"/>
        </w:rPr>
        <w:t>the one</w:t>
      </w:r>
      <w:r w:rsidRPr="00902402">
        <w:rPr>
          <w:rFonts w:ascii="Arial" w:hAnsi="Arial" w:cs="Arial"/>
          <w:sz w:val="24"/>
          <w:szCs w:val="24"/>
        </w:rPr>
        <w:t>-year follow-up were:</w:t>
      </w:r>
    </w:p>
    <w:p w14:paraId="4B457F23" w14:textId="77777777" w:rsidR="004942B6" w:rsidRPr="009222F3" w:rsidRDefault="004942B6" w:rsidP="00C03BCF">
      <w:pPr>
        <w:pStyle w:val="ListParagraph"/>
        <w:numPr>
          <w:ilvl w:val="0"/>
          <w:numId w:val="4"/>
        </w:numPr>
        <w:spacing w:line="360" w:lineRule="auto"/>
        <w:jc w:val="both"/>
        <w:rPr>
          <w:rFonts w:ascii="Arial" w:hAnsi="Arial" w:cs="Arial"/>
          <w:color w:val="000000" w:themeColor="text1"/>
          <w:sz w:val="24"/>
          <w:szCs w:val="24"/>
        </w:rPr>
      </w:pPr>
      <w:r w:rsidRPr="00902402">
        <w:rPr>
          <w:rFonts w:ascii="Arial" w:hAnsi="Arial" w:cs="Arial"/>
          <w:sz w:val="24"/>
          <w:szCs w:val="24"/>
        </w:rPr>
        <w:t>MACE (death</w:t>
      </w:r>
      <w:r w:rsidRPr="009222F3">
        <w:rPr>
          <w:rFonts w:ascii="Arial" w:hAnsi="Arial" w:cs="Arial"/>
          <w:color w:val="000000" w:themeColor="text1"/>
          <w:sz w:val="24"/>
          <w:szCs w:val="24"/>
        </w:rPr>
        <w:t>, MI, stroke)</w:t>
      </w:r>
      <w:r>
        <w:rPr>
          <w:rFonts w:ascii="Arial" w:hAnsi="Arial" w:cs="Arial"/>
          <w:color w:val="000000" w:themeColor="text1"/>
          <w:sz w:val="24"/>
          <w:szCs w:val="24"/>
        </w:rPr>
        <w:t>.</w:t>
      </w:r>
    </w:p>
    <w:p w14:paraId="442B4F69" w14:textId="77777777" w:rsidR="004942B6" w:rsidRDefault="004942B6" w:rsidP="00C03BCF">
      <w:pPr>
        <w:pStyle w:val="ListParagraph"/>
        <w:numPr>
          <w:ilvl w:val="0"/>
          <w:numId w:val="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Hospital re-admissions.</w:t>
      </w:r>
    </w:p>
    <w:p w14:paraId="4C9245FC" w14:textId="77777777" w:rsidR="004942B6" w:rsidRDefault="004942B6" w:rsidP="00C03BCF">
      <w:pPr>
        <w:pStyle w:val="ListParagraph"/>
        <w:numPr>
          <w:ilvl w:val="0"/>
          <w:numId w:val="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Acute or elective repeat revascularisations.</w:t>
      </w:r>
    </w:p>
    <w:p w14:paraId="2293C265" w14:textId="77777777" w:rsidR="004942B6" w:rsidRDefault="004942B6" w:rsidP="00C03BCF">
      <w:pPr>
        <w:pStyle w:val="ListParagraph"/>
        <w:numPr>
          <w:ilvl w:val="0"/>
          <w:numId w:val="3"/>
        </w:num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Service-related consequences (outpatient investigations or any pending investigations)</w:t>
      </w:r>
      <w:r>
        <w:rPr>
          <w:rFonts w:ascii="Arial" w:hAnsi="Arial" w:cs="Arial"/>
          <w:color w:val="000000" w:themeColor="text1"/>
          <w:sz w:val="24"/>
          <w:szCs w:val="24"/>
        </w:rPr>
        <w:t>.</w:t>
      </w:r>
      <w:r w:rsidRPr="009222F3">
        <w:rPr>
          <w:rFonts w:ascii="Arial" w:hAnsi="Arial" w:cs="Arial"/>
          <w:color w:val="000000" w:themeColor="text1"/>
          <w:sz w:val="24"/>
          <w:szCs w:val="24"/>
        </w:rPr>
        <w:t xml:space="preserve"> </w:t>
      </w:r>
    </w:p>
    <w:p w14:paraId="19955B1C" w14:textId="0D5D7ECE" w:rsidR="004942B6" w:rsidRPr="00DF5BEF" w:rsidRDefault="004942B6" w:rsidP="00C03BCF">
      <w:pPr>
        <w:pStyle w:val="ListParagraph"/>
        <w:numPr>
          <w:ilvl w:val="0"/>
          <w:numId w:val="3"/>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Probable i</w:t>
      </w:r>
      <w:r w:rsidRPr="00DF5BEF">
        <w:rPr>
          <w:rFonts w:ascii="Arial" w:hAnsi="Arial" w:cs="Arial"/>
          <w:color w:val="000000" w:themeColor="text1"/>
          <w:sz w:val="24"/>
          <w:szCs w:val="24"/>
        </w:rPr>
        <w:t xml:space="preserve">mpact of </w:t>
      </w:r>
      <w:r w:rsidR="0036391D">
        <w:rPr>
          <w:rFonts w:ascii="Arial" w:hAnsi="Arial" w:cs="Arial"/>
          <w:color w:val="000000" w:themeColor="text1"/>
          <w:sz w:val="24"/>
          <w:szCs w:val="24"/>
        </w:rPr>
        <w:t>vFFR</w:t>
      </w:r>
      <w:r w:rsidRPr="00DF5BEF">
        <w:rPr>
          <w:rFonts w:ascii="Arial" w:hAnsi="Arial" w:cs="Arial"/>
          <w:color w:val="000000" w:themeColor="text1"/>
          <w:sz w:val="24"/>
          <w:szCs w:val="24"/>
        </w:rPr>
        <w:t xml:space="preserve"> upon </w:t>
      </w:r>
      <w:r>
        <w:rPr>
          <w:rFonts w:ascii="Arial" w:hAnsi="Arial" w:cs="Arial"/>
          <w:color w:val="000000" w:themeColor="text1"/>
          <w:sz w:val="24"/>
          <w:szCs w:val="24"/>
        </w:rPr>
        <w:t xml:space="preserve">the </w:t>
      </w:r>
      <w:r w:rsidRPr="00DF5BEF">
        <w:rPr>
          <w:rFonts w:ascii="Arial" w:hAnsi="Arial" w:cs="Arial"/>
          <w:color w:val="000000" w:themeColor="text1"/>
          <w:sz w:val="24"/>
          <w:szCs w:val="24"/>
        </w:rPr>
        <w:t>quality of life (QOL)</w:t>
      </w:r>
      <w:r>
        <w:rPr>
          <w:rFonts w:ascii="Arial" w:hAnsi="Arial" w:cs="Arial"/>
          <w:color w:val="000000" w:themeColor="text1"/>
          <w:sz w:val="24"/>
          <w:szCs w:val="24"/>
        </w:rPr>
        <w:t>.</w:t>
      </w:r>
      <w:r w:rsidRPr="00DF5BEF">
        <w:rPr>
          <w:rFonts w:ascii="Arial" w:hAnsi="Arial" w:cs="Arial"/>
          <w:color w:val="000000" w:themeColor="text1"/>
          <w:sz w:val="24"/>
          <w:szCs w:val="24"/>
        </w:rPr>
        <w:t xml:space="preserve">  </w:t>
      </w:r>
    </w:p>
    <w:p w14:paraId="11D5006A" w14:textId="77777777" w:rsidR="004942B6" w:rsidRPr="004A753D" w:rsidRDefault="004942B6" w:rsidP="004942B6">
      <w:pPr>
        <w:spacing w:line="360" w:lineRule="auto"/>
        <w:jc w:val="both"/>
        <w:rPr>
          <w:rFonts w:ascii="Arial" w:hAnsi="Arial" w:cs="Arial"/>
          <w:color w:val="000000" w:themeColor="text1"/>
          <w:sz w:val="24"/>
          <w:szCs w:val="24"/>
        </w:rPr>
      </w:pPr>
    </w:p>
    <w:p w14:paraId="337DA1AC" w14:textId="5FCE1AAC" w:rsidR="004942B6" w:rsidRPr="009A40D3" w:rsidRDefault="004942B6" w:rsidP="004942B6">
      <w:pPr>
        <w:pStyle w:val="Heading3"/>
        <w:spacing w:line="360" w:lineRule="auto"/>
        <w:rPr>
          <w:rFonts w:ascii="Arial" w:hAnsi="Arial" w:cs="Arial"/>
          <w:color w:val="4472C4" w:themeColor="accent1"/>
          <w:sz w:val="24"/>
          <w:szCs w:val="24"/>
        </w:rPr>
      </w:pPr>
      <w:bookmarkStart w:id="539" w:name="_Toc159613576"/>
      <w:bookmarkStart w:id="540" w:name="_Toc160981237"/>
      <w:bookmarkStart w:id="541" w:name="_Toc164681377"/>
      <w:bookmarkStart w:id="542" w:name="_Toc170075057"/>
      <w:bookmarkStart w:id="543" w:name="_Toc170076044"/>
      <w:bookmarkStart w:id="544" w:name="_Toc170577740"/>
      <w:bookmarkStart w:id="545" w:name="_Toc170579258"/>
      <w:bookmarkStart w:id="546" w:name="_Toc171203113"/>
      <w:bookmarkStart w:id="547" w:name="_Toc171203884"/>
      <w:r w:rsidRPr="009A40D3">
        <w:rPr>
          <w:rFonts w:ascii="Arial" w:hAnsi="Arial" w:cs="Arial"/>
          <w:color w:val="4472C4" w:themeColor="accent1"/>
          <w:sz w:val="24"/>
          <w:szCs w:val="24"/>
        </w:rPr>
        <w:t>2.</w:t>
      </w:r>
      <w:r w:rsidR="002A3406">
        <w:rPr>
          <w:rFonts w:ascii="Arial" w:hAnsi="Arial" w:cs="Arial"/>
          <w:color w:val="4472C4" w:themeColor="accent1"/>
          <w:sz w:val="24"/>
          <w:szCs w:val="24"/>
        </w:rPr>
        <w:t>1</w:t>
      </w:r>
      <w:r w:rsidRPr="009A40D3">
        <w:rPr>
          <w:rFonts w:ascii="Arial" w:hAnsi="Arial" w:cs="Arial"/>
          <w:color w:val="4472C4" w:themeColor="accent1"/>
          <w:sz w:val="24"/>
          <w:szCs w:val="24"/>
        </w:rPr>
        <w:t>.</w:t>
      </w:r>
      <w:r w:rsidR="002A3406">
        <w:rPr>
          <w:rFonts w:ascii="Arial" w:hAnsi="Arial" w:cs="Arial"/>
          <w:color w:val="4472C4" w:themeColor="accent1"/>
          <w:sz w:val="24"/>
          <w:szCs w:val="24"/>
        </w:rPr>
        <w:t>4.</w:t>
      </w:r>
      <w:r w:rsidRPr="009A40D3">
        <w:rPr>
          <w:rFonts w:ascii="Arial" w:hAnsi="Arial" w:cs="Arial"/>
          <w:color w:val="4472C4" w:themeColor="accent1"/>
          <w:sz w:val="24"/>
          <w:szCs w:val="24"/>
        </w:rPr>
        <w:t>2 Health economics endpoints</w:t>
      </w:r>
      <w:bookmarkEnd w:id="539"/>
      <w:bookmarkEnd w:id="540"/>
      <w:bookmarkEnd w:id="541"/>
      <w:bookmarkEnd w:id="542"/>
      <w:bookmarkEnd w:id="543"/>
      <w:bookmarkEnd w:id="544"/>
      <w:bookmarkEnd w:id="545"/>
      <w:bookmarkEnd w:id="546"/>
      <w:bookmarkEnd w:id="547"/>
    </w:p>
    <w:p w14:paraId="75B0220A" w14:textId="77777777" w:rsidR="004942B6" w:rsidRPr="00B1603C" w:rsidRDefault="004942B6" w:rsidP="004942B6">
      <w:pPr>
        <w:spacing w:after="0" w:line="360" w:lineRule="auto"/>
        <w:jc w:val="both"/>
        <w:rPr>
          <w:rFonts w:ascii="Arial" w:eastAsia="Times New Roman" w:hAnsi="Arial" w:cs="Arial"/>
          <w:color w:val="0E101A"/>
          <w:sz w:val="24"/>
          <w:szCs w:val="24"/>
          <w:lang w:eastAsia="en-GB"/>
          <w14:ligatures w14:val="none"/>
        </w:rPr>
      </w:pPr>
      <w:r w:rsidRPr="00B1603C">
        <w:rPr>
          <w:rFonts w:ascii="Arial" w:eastAsia="Times New Roman" w:hAnsi="Arial" w:cs="Arial"/>
          <w:color w:val="0E101A"/>
          <w:sz w:val="24"/>
          <w:szCs w:val="24"/>
          <w:lang w:eastAsia="en-GB"/>
          <w14:ligatures w14:val="none"/>
        </w:rPr>
        <w:t>The health economics endpoints were:</w:t>
      </w:r>
    </w:p>
    <w:p w14:paraId="0116E2AE" w14:textId="661953DC" w:rsidR="004942B6" w:rsidRDefault="00483630" w:rsidP="00C03BCF">
      <w:pPr>
        <w:numPr>
          <w:ilvl w:val="0"/>
          <w:numId w:val="18"/>
        </w:numPr>
        <w:spacing w:after="0" w:line="360" w:lineRule="auto"/>
        <w:jc w:val="both"/>
        <w:rPr>
          <w:rFonts w:ascii="Arial" w:eastAsia="Times New Roman" w:hAnsi="Arial" w:cs="Arial"/>
          <w:color w:val="0E101A"/>
          <w:sz w:val="24"/>
          <w:szCs w:val="24"/>
          <w:lang w:eastAsia="en-GB"/>
          <w14:ligatures w14:val="none"/>
        </w:rPr>
      </w:pPr>
      <w:r>
        <w:rPr>
          <w:rFonts w:ascii="Arial" w:eastAsia="Times New Roman" w:hAnsi="Arial" w:cs="Arial"/>
          <w:color w:val="0E101A"/>
          <w:sz w:val="24"/>
          <w:szCs w:val="24"/>
          <w:lang w:eastAsia="en-GB"/>
          <w14:ligatures w14:val="none"/>
        </w:rPr>
        <w:t>A</w:t>
      </w:r>
      <w:r w:rsidR="004942B6">
        <w:rPr>
          <w:rFonts w:ascii="Arial" w:eastAsia="Times New Roman" w:hAnsi="Arial" w:cs="Arial"/>
          <w:color w:val="0E101A"/>
          <w:sz w:val="24"/>
          <w:szCs w:val="24"/>
          <w:lang w:eastAsia="en-GB"/>
          <w14:ligatures w14:val="none"/>
        </w:rPr>
        <w:t xml:space="preserve">ctual </w:t>
      </w:r>
      <w:r w:rsidR="004942B6" w:rsidRPr="00B1603C">
        <w:rPr>
          <w:rFonts w:ascii="Arial" w:eastAsia="Times New Roman" w:hAnsi="Arial" w:cs="Arial"/>
          <w:color w:val="0E101A"/>
          <w:sz w:val="24"/>
          <w:szCs w:val="24"/>
          <w:lang w:eastAsia="en-GB"/>
          <w14:ligatures w14:val="none"/>
        </w:rPr>
        <w:t xml:space="preserve">cost of </w:t>
      </w:r>
      <w:r>
        <w:rPr>
          <w:rFonts w:ascii="Arial" w:eastAsia="Times New Roman" w:hAnsi="Arial" w:cs="Arial"/>
          <w:color w:val="0E101A"/>
          <w:sz w:val="24"/>
          <w:szCs w:val="24"/>
          <w:lang w:eastAsia="en-GB"/>
          <w14:ligatures w14:val="none"/>
        </w:rPr>
        <w:t xml:space="preserve">entire </w:t>
      </w:r>
      <w:r w:rsidR="004942B6" w:rsidRPr="00B1603C">
        <w:rPr>
          <w:rFonts w:ascii="Arial" w:eastAsia="Times New Roman" w:hAnsi="Arial" w:cs="Arial"/>
          <w:color w:val="0E101A"/>
          <w:sz w:val="24"/>
          <w:szCs w:val="24"/>
          <w:lang w:eastAsia="en-GB"/>
          <w14:ligatures w14:val="none"/>
        </w:rPr>
        <w:t xml:space="preserve">VIRTU-4, </w:t>
      </w:r>
      <w:r w:rsidR="006D0C6C">
        <w:rPr>
          <w:rFonts w:ascii="Arial" w:eastAsia="Times New Roman" w:hAnsi="Arial" w:cs="Arial"/>
          <w:color w:val="0E101A"/>
          <w:sz w:val="24"/>
          <w:szCs w:val="24"/>
          <w:lang w:eastAsia="en-GB"/>
          <w14:ligatures w14:val="none"/>
        </w:rPr>
        <w:t xml:space="preserve">which </w:t>
      </w:r>
      <w:r w:rsidR="00D3145B">
        <w:rPr>
          <w:rFonts w:ascii="Arial" w:eastAsia="Times New Roman" w:hAnsi="Arial" w:cs="Arial"/>
          <w:color w:val="0E101A"/>
          <w:sz w:val="24"/>
          <w:szCs w:val="24"/>
          <w:lang w:eastAsia="en-GB"/>
          <w14:ligatures w14:val="none"/>
        </w:rPr>
        <w:t>includes</w:t>
      </w:r>
      <w:r w:rsidR="004942B6" w:rsidRPr="00B1603C">
        <w:rPr>
          <w:rFonts w:ascii="Arial" w:eastAsia="Times New Roman" w:hAnsi="Arial" w:cs="Arial"/>
          <w:color w:val="0E101A"/>
          <w:sz w:val="24"/>
          <w:szCs w:val="24"/>
          <w:lang w:eastAsia="en-GB"/>
          <w14:ligatures w14:val="none"/>
        </w:rPr>
        <w:t xml:space="preserve"> </w:t>
      </w:r>
      <w:r w:rsidR="004942B6">
        <w:rPr>
          <w:rFonts w:ascii="Arial" w:eastAsia="Times New Roman" w:hAnsi="Arial" w:cs="Arial"/>
          <w:color w:val="0E101A"/>
          <w:sz w:val="24"/>
          <w:szCs w:val="24"/>
          <w:lang w:eastAsia="en-GB"/>
          <w14:ligatures w14:val="none"/>
        </w:rPr>
        <w:t xml:space="preserve">the </w:t>
      </w:r>
      <w:r w:rsidR="004942B6" w:rsidRPr="00B1603C">
        <w:rPr>
          <w:rFonts w:ascii="Arial" w:eastAsia="Times New Roman" w:hAnsi="Arial" w:cs="Arial"/>
          <w:color w:val="0E101A"/>
          <w:sz w:val="24"/>
          <w:szCs w:val="24"/>
          <w:lang w:eastAsia="en-GB"/>
          <w14:ligatures w14:val="none"/>
        </w:rPr>
        <w:t>costs of index procedure, hospital re-admissions, revascularisations, outpatient visits and investigations, and cardiac rehabilitation</w:t>
      </w:r>
      <w:r w:rsidR="004942B6">
        <w:rPr>
          <w:rFonts w:ascii="Arial" w:eastAsia="Times New Roman" w:hAnsi="Arial" w:cs="Arial"/>
          <w:color w:val="0E101A"/>
          <w:sz w:val="24"/>
          <w:szCs w:val="24"/>
          <w:lang w:eastAsia="en-GB"/>
          <w14:ligatures w14:val="none"/>
        </w:rPr>
        <w:t>.</w:t>
      </w:r>
      <w:r w:rsidR="004942B6" w:rsidRPr="00B1603C">
        <w:rPr>
          <w:rFonts w:ascii="Arial" w:eastAsia="Times New Roman" w:hAnsi="Arial" w:cs="Arial"/>
          <w:color w:val="0E101A"/>
          <w:sz w:val="24"/>
          <w:szCs w:val="24"/>
          <w:lang w:eastAsia="en-GB"/>
          <w14:ligatures w14:val="none"/>
        </w:rPr>
        <w:t> </w:t>
      </w:r>
    </w:p>
    <w:p w14:paraId="6602E93A" w14:textId="24128C32" w:rsidR="004942B6" w:rsidRPr="0096143E" w:rsidRDefault="004942B6" w:rsidP="00C03BCF">
      <w:pPr>
        <w:numPr>
          <w:ilvl w:val="0"/>
          <w:numId w:val="18"/>
        </w:numPr>
        <w:spacing w:after="0" w:line="360" w:lineRule="auto"/>
        <w:jc w:val="both"/>
        <w:rPr>
          <w:rFonts w:ascii="Arial" w:eastAsia="Times New Roman" w:hAnsi="Arial" w:cs="Arial"/>
          <w:color w:val="0E101A"/>
          <w:sz w:val="24"/>
          <w:szCs w:val="24"/>
          <w:lang w:eastAsia="en-GB"/>
          <w14:ligatures w14:val="none"/>
        </w:rPr>
      </w:pPr>
      <w:r>
        <w:rPr>
          <w:rFonts w:ascii="Arial" w:eastAsia="Times New Roman" w:hAnsi="Arial" w:cs="Arial"/>
          <w:color w:val="0E101A"/>
          <w:sz w:val="24"/>
          <w:szCs w:val="24"/>
          <w:lang w:eastAsia="en-GB"/>
          <w14:ligatures w14:val="none"/>
        </w:rPr>
        <w:t>The</w:t>
      </w:r>
      <w:r w:rsidRPr="00B1603C">
        <w:rPr>
          <w:rFonts w:ascii="Arial" w:eastAsia="Times New Roman" w:hAnsi="Arial" w:cs="Arial"/>
          <w:color w:val="0E101A"/>
          <w:sz w:val="24"/>
          <w:szCs w:val="24"/>
          <w:lang w:eastAsia="en-GB"/>
          <w14:ligatures w14:val="none"/>
        </w:rPr>
        <w:t xml:space="preserve"> </w:t>
      </w:r>
      <w:r>
        <w:rPr>
          <w:rFonts w:ascii="Arial" w:eastAsia="Times New Roman" w:hAnsi="Arial" w:cs="Arial"/>
          <w:color w:val="0E101A"/>
          <w:sz w:val="24"/>
          <w:szCs w:val="24"/>
          <w:lang w:eastAsia="en-GB"/>
          <w14:ligatures w14:val="none"/>
        </w:rPr>
        <w:t xml:space="preserve">(virtual) </w:t>
      </w:r>
      <w:r w:rsidRPr="00B1603C">
        <w:rPr>
          <w:rFonts w:ascii="Arial" w:eastAsia="Times New Roman" w:hAnsi="Arial" w:cs="Arial"/>
          <w:color w:val="0E101A"/>
          <w:sz w:val="24"/>
          <w:szCs w:val="24"/>
          <w:lang w:eastAsia="en-GB"/>
          <w14:ligatures w14:val="none"/>
        </w:rPr>
        <w:t xml:space="preserve">cost of the subset with a virtual change in the plan after </w:t>
      </w:r>
      <w:r w:rsidR="0036391D">
        <w:rPr>
          <w:rFonts w:ascii="Arial" w:hAnsi="Arial" w:cs="Arial"/>
          <w:sz w:val="24"/>
          <w:szCs w:val="24"/>
        </w:rPr>
        <w:t>vFFR</w:t>
      </w:r>
      <w:r>
        <w:rPr>
          <w:rFonts w:ascii="Arial" w:hAnsi="Arial" w:cs="Arial"/>
          <w:sz w:val="24"/>
          <w:szCs w:val="24"/>
        </w:rPr>
        <w:t>.</w:t>
      </w:r>
    </w:p>
    <w:p w14:paraId="18BA42DF" w14:textId="450F2B40" w:rsidR="004942B6" w:rsidRDefault="004942B6" w:rsidP="00C03BCF">
      <w:pPr>
        <w:numPr>
          <w:ilvl w:val="0"/>
          <w:numId w:val="18"/>
        </w:numPr>
        <w:spacing w:after="0" w:line="360" w:lineRule="auto"/>
        <w:jc w:val="both"/>
        <w:rPr>
          <w:rFonts w:ascii="Arial" w:eastAsia="Times New Roman" w:hAnsi="Arial" w:cs="Arial"/>
          <w:color w:val="0E101A"/>
          <w:sz w:val="24"/>
          <w:szCs w:val="24"/>
          <w:lang w:eastAsia="en-GB"/>
          <w14:ligatures w14:val="none"/>
        </w:rPr>
      </w:pPr>
      <w:r>
        <w:rPr>
          <w:rFonts w:ascii="Arial" w:eastAsia="Times New Roman" w:hAnsi="Arial" w:cs="Arial"/>
          <w:color w:val="0E101A"/>
          <w:sz w:val="24"/>
          <w:szCs w:val="24"/>
          <w:lang w:eastAsia="en-GB"/>
          <w14:ligatures w14:val="none"/>
        </w:rPr>
        <w:t>T</w:t>
      </w:r>
      <w:r w:rsidRPr="00B1603C">
        <w:rPr>
          <w:rFonts w:ascii="Arial" w:eastAsia="Times New Roman" w:hAnsi="Arial" w:cs="Arial"/>
          <w:color w:val="0E101A"/>
          <w:sz w:val="24"/>
          <w:szCs w:val="24"/>
          <w:lang w:eastAsia="en-GB"/>
          <w14:ligatures w14:val="none"/>
        </w:rPr>
        <w:t xml:space="preserve">he cost of the subset with no change in the plan after </w:t>
      </w:r>
      <w:r w:rsidR="0036391D">
        <w:rPr>
          <w:rFonts w:ascii="Arial" w:hAnsi="Arial" w:cs="Arial"/>
          <w:sz w:val="24"/>
          <w:szCs w:val="24"/>
        </w:rPr>
        <w:t>vFFR</w:t>
      </w:r>
      <w:r>
        <w:rPr>
          <w:rFonts w:ascii="Arial" w:hAnsi="Arial" w:cs="Arial"/>
          <w:sz w:val="24"/>
          <w:szCs w:val="24"/>
        </w:rPr>
        <w:t>.</w:t>
      </w:r>
    </w:p>
    <w:p w14:paraId="158E4299" w14:textId="77777777" w:rsidR="0036391D" w:rsidRPr="0096143E" w:rsidRDefault="0036391D" w:rsidP="0036391D">
      <w:pPr>
        <w:spacing w:after="0" w:line="360" w:lineRule="auto"/>
        <w:jc w:val="both"/>
        <w:rPr>
          <w:rFonts w:ascii="Arial" w:eastAsia="Times New Roman" w:hAnsi="Arial" w:cs="Arial"/>
          <w:color w:val="0E101A"/>
          <w:sz w:val="24"/>
          <w:szCs w:val="24"/>
          <w:lang w:eastAsia="en-GB"/>
          <w14:ligatures w14:val="none"/>
        </w:rPr>
      </w:pPr>
    </w:p>
    <w:p w14:paraId="7E88A25D" w14:textId="7E38D10D" w:rsidR="004942B6" w:rsidRPr="002A3406" w:rsidRDefault="004942B6" w:rsidP="004942B6">
      <w:pPr>
        <w:pStyle w:val="Heading2"/>
        <w:spacing w:line="360" w:lineRule="auto"/>
        <w:rPr>
          <w:rFonts w:ascii="Arial" w:hAnsi="Arial" w:cs="Arial"/>
          <w:color w:val="4472C4" w:themeColor="accent1"/>
          <w:sz w:val="28"/>
          <w:szCs w:val="28"/>
        </w:rPr>
      </w:pPr>
      <w:bookmarkStart w:id="548" w:name="_Toc171203885"/>
      <w:r w:rsidRPr="002A3406">
        <w:rPr>
          <w:rFonts w:ascii="Arial" w:hAnsi="Arial" w:cs="Arial"/>
          <w:color w:val="4472C4" w:themeColor="accent1"/>
          <w:sz w:val="28"/>
          <w:szCs w:val="28"/>
        </w:rPr>
        <w:t>2.</w:t>
      </w:r>
      <w:r w:rsidR="002A3406" w:rsidRPr="002A3406">
        <w:rPr>
          <w:rFonts w:ascii="Arial" w:hAnsi="Arial" w:cs="Arial"/>
          <w:color w:val="4472C4" w:themeColor="accent1"/>
          <w:sz w:val="28"/>
          <w:szCs w:val="28"/>
        </w:rPr>
        <w:t>2</w:t>
      </w:r>
      <w:r w:rsidRPr="002A3406">
        <w:rPr>
          <w:rFonts w:ascii="Arial" w:hAnsi="Arial" w:cs="Arial"/>
          <w:color w:val="4472C4" w:themeColor="accent1"/>
          <w:sz w:val="28"/>
          <w:szCs w:val="28"/>
        </w:rPr>
        <w:t xml:space="preserve"> Research ethics and integrity</w:t>
      </w:r>
      <w:bookmarkEnd w:id="548"/>
    </w:p>
    <w:p w14:paraId="755015EE" w14:textId="692A8DFD" w:rsidR="008C50D0" w:rsidRDefault="004942B6" w:rsidP="008C50D0">
      <w:pPr>
        <w:spacing w:line="360" w:lineRule="auto"/>
        <w:jc w:val="both"/>
        <w:rPr>
          <w:rFonts w:ascii="Arial" w:hAnsi="Arial" w:cs="Arial"/>
          <w:sz w:val="24"/>
          <w:szCs w:val="24"/>
        </w:rPr>
      </w:pPr>
      <w:r w:rsidRPr="00902402">
        <w:rPr>
          <w:rFonts w:ascii="Arial" w:hAnsi="Arial" w:cs="Arial"/>
          <w:sz w:val="24"/>
          <w:szCs w:val="24"/>
        </w:rPr>
        <w:t xml:space="preserve">Ethical approval was granted </w:t>
      </w:r>
      <w:r>
        <w:rPr>
          <w:rFonts w:ascii="Arial" w:hAnsi="Arial" w:cs="Arial"/>
          <w:sz w:val="24"/>
          <w:szCs w:val="24"/>
        </w:rPr>
        <w:t>for</w:t>
      </w:r>
      <w:r w:rsidRPr="00902402">
        <w:rPr>
          <w:rFonts w:ascii="Arial" w:hAnsi="Arial" w:cs="Arial"/>
          <w:sz w:val="24"/>
          <w:szCs w:val="24"/>
        </w:rPr>
        <w:t xml:space="preserve"> the VIRTU-4 trial (VIRTU-4 Integrated Research Application System {IRAS} ID - 270127, REC reference</w:t>
      </w:r>
      <w:r>
        <w:rPr>
          <w:rFonts w:ascii="Arial" w:hAnsi="Arial" w:cs="Arial"/>
          <w:sz w:val="24"/>
          <w:szCs w:val="24"/>
        </w:rPr>
        <w:t>:</w:t>
      </w:r>
      <w:r w:rsidRPr="00902402">
        <w:rPr>
          <w:rFonts w:ascii="Arial" w:hAnsi="Arial" w:cs="Arial"/>
          <w:sz w:val="24"/>
          <w:szCs w:val="24"/>
        </w:rPr>
        <w:t xml:space="preserve"> 19/NW/0580</w:t>
      </w:r>
      <w:r w:rsidRPr="00902402">
        <w:rPr>
          <w:rFonts w:ascii="Arial" w:hAnsi="Arial" w:cs="Arial"/>
          <w:i/>
          <w:iCs/>
          <w:sz w:val="24"/>
          <w:szCs w:val="24"/>
        </w:rPr>
        <w:t>)</w:t>
      </w:r>
      <w:r w:rsidRPr="00902402">
        <w:rPr>
          <w:rFonts w:ascii="Arial" w:hAnsi="Arial" w:cs="Arial"/>
          <w:sz w:val="24"/>
          <w:szCs w:val="24"/>
        </w:rPr>
        <w:t>. The sponsor for this study was the University of Sheffield</w:t>
      </w:r>
      <w:r>
        <w:rPr>
          <w:rFonts w:ascii="Arial" w:hAnsi="Arial" w:cs="Arial"/>
          <w:sz w:val="24"/>
          <w:szCs w:val="24"/>
        </w:rPr>
        <w:t>,</w:t>
      </w:r>
      <w:r w:rsidRPr="00902402">
        <w:rPr>
          <w:rFonts w:ascii="Arial" w:hAnsi="Arial" w:cs="Arial"/>
          <w:sz w:val="24"/>
          <w:szCs w:val="24"/>
        </w:rPr>
        <w:t xml:space="preserve"> and ethical approval was granted for long-term follow-up of VIRTU-4 patients</w:t>
      </w:r>
      <w:r>
        <w:rPr>
          <w:rFonts w:ascii="Arial" w:hAnsi="Arial" w:cs="Arial"/>
          <w:sz w:val="24"/>
          <w:szCs w:val="24"/>
        </w:rPr>
        <w:t>,</w:t>
      </w:r>
      <w:r w:rsidRPr="00902402">
        <w:rPr>
          <w:rFonts w:ascii="Arial" w:hAnsi="Arial" w:cs="Arial"/>
          <w:sz w:val="24"/>
          <w:szCs w:val="24"/>
        </w:rPr>
        <w:t xml:space="preserve"> </w:t>
      </w:r>
      <w:r>
        <w:rPr>
          <w:rFonts w:ascii="Arial" w:hAnsi="Arial" w:cs="Arial"/>
          <w:sz w:val="24"/>
          <w:szCs w:val="24"/>
        </w:rPr>
        <w:t xml:space="preserve">covering the </w:t>
      </w:r>
      <w:r w:rsidRPr="00902402">
        <w:rPr>
          <w:rFonts w:ascii="Arial" w:hAnsi="Arial" w:cs="Arial"/>
          <w:sz w:val="24"/>
          <w:szCs w:val="24"/>
        </w:rPr>
        <w:t xml:space="preserve">VIRTU-4 HE </w:t>
      </w:r>
      <w:r>
        <w:rPr>
          <w:rFonts w:ascii="Arial" w:hAnsi="Arial" w:cs="Arial"/>
          <w:sz w:val="24"/>
          <w:szCs w:val="24"/>
        </w:rPr>
        <w:t>study as well</w:t>
      </w:r>
      <w:r w:rsidRPr="00902402">
        <w:rPr>
          <w:rFonts w:ascii="Arial" w:hAnsi="Arial" w:cs="Arial"/>
          <w:sz w:val="24"/>
          <w:szCs w:val="24"/>
        </w:rPr>
        <w:t>.</w:t>
      </w:r>
    </w:p>
    <w:p w14:paraId="7F24DBD7" w14:textId="77777777" w:rsidR="008C50D0" w:rsidRDefault="008C50D0" w:rsidP="008C50D0">
      <w:pPr>
        <w:spacing w:line="360" w:lineRule="auto"/>
        <w:jc w:val="both"/>
        <w:rPr>
          <w:rFonts w:ascii="Arial" w:hAnsi="Arial" w:cs="Arial"/>
          <w:sz w:val="24"/>
          <w:szCs w:val="24"/>
        </w:rPr>
      </w:pPr>
    </w:p>
    <w:p w14:paraId="586FAC4D" w14:textId="77777777" w:rsidR="008C50D0" w:rsidRDefault="008C50D0" w:rsidP="008C50D0">
      <w:pPr>
        <w:spacing w:line="360" w:lineRule="auto"/>
        <w:jc w:val="both"/>
        <w:rPr>
          <w:rFonts w:ascii="Arial" w:hAnsi="Arial" w:cs="Arial"/>
          <w:sz w:val="24"/>
          <w:szCs w:val="24"/>
        </w:rPr>
      </w:pPr>
    </w:p>
    <w:p w14:paraId="1894CBE5" w14:textId="40657A30" w:rsidR="008C50D0" w:rsidRPr="003F7F7E" w:rsidRDefault="004942B6" w:rsidP="00AD4AF3">
      <w:pPr>
        <w:pStyle w:val="Heading2"/>
        <w:rPr>
          <w:rFonts w:ascii="Arial" w:hAnsi="Arial" w:cs="Arial"/>
          <w:color w:val="4472C4" w:themeColor="accent1"/>
          <w:sz w:val="28"/>
          <w:szCs w:val="28"/>
        </w:rPr>
      </w:pPr>
      <w:bookmarkStart w:id="549" w:name="_Toc171203886"/>
      <w:r w:rsidRPr="003F7F7E">
        <w:rPr>
          <w:rFonts w:ascii="Arial" w:hAnsi="Arial" w:cs="Arial"/>
          <w:color w:val="4472C4" w:themeColor="accent1"/>
          <w:sz w:val="28"/>
          <w:szCs w:val="28"/>
        </w:rPr>
        <w:lastRenderedPageBreak/>
        <w:t>2.</w:t>
      </w:r>
      <w:r w:rsidR="002A3406" w:rsidRPr="003F7F7E">
        <w:rPr>
          <w:rFonts w:ascii="Arial" w:hAnsi="Arial" w:cs="Arial"/>
          <w:color w:val="4472C4" w:themeColor="accent1"/>
          <w:sz w:val="28"/>
          <w:szCs w:val="28"/>
        </w:rPr>
        <w:t>3</w:t>
      </w:r>
      <w:r w:rsidRPr="003F7F7E">
        <w:rPr>
          <w:rFonts w:ascii="Arial" w:hAnsi="Arial" w:cs="Arial"/>
          <w:color w:val="4472C4" w:themeColor="accent1"/>
          <w:sz w:val="28"/>
          <w:szCs w:val="28"/>
        </w:rPr>
        <w:t xml:space="preserve"> Data</w:t>
      </w:r>
      <w:r w:rsidR="00C8110A" w:rsidRPr="003F7F7E">
        <w:rPr>
          <w:rFonts w:ascii="Arial" w:hAnsi="Arial" w:cs="Arial"/>
          <w:color w:val="4472C4" w:themeColor="accent1"/>
          <w:sz w:val="28"/>
          <w:szCs w:val="28"/>
        </w:rPr>
        <w:t xml:space="preserve"> collection</w:t>
      </w:r>
      <w:bookmarkEnd w:id="549"/>
      <w:r w:rsidR="00C8110A" w:rsidRPr="003F7F7E">
        <w:rPr>
          <w:rFonts w:ascii="Arial" w:hAnsi="Arial" w:cs="Arial"/>
          <w:color w:val="4472C4" w:themeColor="accent1"/>
          <w:sz w:val="28"/>
          <w:szCs w:val="28"/>
        </w:rPr>
        <w:t xml:space="preserve"> </w:t>
      </w:r>
    </w:p>
    <w:p w14:paraId="4861C985" w14:textId="1F0EDF2F" w:rsidR="00C8110A" w:rsidRPr="008C50D0" w:rsidRDefault="00C8110A" w:rsidP="004942B6">
      <w:pPr>
        <w:spacing w:line="360" w:lineRule="auto"/>
        <w:jc w:val="both"/>
        <w:rPr>
          <w:rFonts w:ascii="Arial" w:hAnsi="Arial" w:cs="Arial"/>
          <w:sz w:val="24"/>
          <w:szCs w:val="24"/>
        </w:rPr>
      </w:pPr>
      <w:r w:rsidRPr="0096143E">
        <w:rPr>
          <w:rFonts w:ascii="Arial" w:hAnsi="Arial" w:cs="Arial"/>
          <w:color w:val="0E101A"/>
          <w:sz w:val="24"/>
          <w:szCs w:val="24"/>
        </w:rPr>
        <w:t xml:space="preserve">Data for the VIRTU-4 HE study were collected through telephone consultations. The patients were contacted using the preferred contact details </w:t>
      </w:r>
      <w:r>
        <w:rPr>
          <w:rFonts w:ascii="Arial" w:hAnsi="Arial" w:cs="Arial"/>
          <w:color w:val="0E101A"/>
          <w:sz w:val="24"/>
          <w:szCs w:val="24"/>
        </w:rPr>
        <w:t xml:space="preserve">as per noted </w:t>
      </w:r>
      <w:r w:rsidRPr="0096143E">
        <w:rPr>
          <w:rFonts w:ascii="Arial" w:hAnsi="Arial" w:cs="Arial"/>
          <w:color w:val="0E101A"/>
          <w:sz w:val="24"/>
          <w:szCs w:val="24"/>
        </w:rPr>
        <w:t>during</w:t>
      </w:r>
      <w:r>
        <w:rPr>
          <w:rFonts w:ascii="Arial" w:hAnsi="Arial" w:cs="Arial"/>
          <w:color w:val="0E101A"/>
          <w:sz w:val="24"/>
          <w:szCs w:val="24"/>
        </w:rPr>
        <w:t xml:space="preserve"> the </w:t>
      </w:r>
      <w:r w:rsidRPr="0096143E">
        <w:rPr>
          <w:rFonts w:ascii="Arial" w:hAnsi="Arial" w:cs="Arial"/>
          <w:color w:val="0E101A"/>
          <w:sz w:val="24"/>
          <w:szCs w:val="24"/>
        </w:rPr>
        <w:t>recruitment. The contact details were further matched with the NHS Electronic Health Records (EHR). Our team contacted primary care services and the local DGH hospital team</w:t>
      </w:r>
      <w:r>
        <w:rPr>
          <w:rFonts w:ascii="Arial" w:hAnsi="Arial" w:cs="Arial"/>
          <w:color w:val="0E101A"/>
          <w:sz w:val="24"/>
          <w:szCs w:val="24"/>
        </w:rPr>
        <w:t>s</w:t>
      </w:r>
      <w:r w:rsidRPr="0096143E">
        <w:rPr>
          <w:rFonts w:ascii="Arial" w:hAnsi="Arial" w:cs="Arial"/>
          <w:color w:val="0E101A"/>
          <w:sz w:val="24"/>
          <w:szCs w:val="24"/>
        </w:rPr>
        <w:t xml:space="preserve"> for those who could not be reached to ensure no alternative contact details were available</w:t>
      </w:r>
      <w:r>
        <w:rPr>
          <w:rFonts w:ascii="Arial" w:hAnsi="Arial" w:cs="Arial"/>
          <w:color w:val="0E101A"/>
          <w:sz w:val="24"/>
          <w:szCs w:val="24"/>
        </w:rPr>
        <w:t>.</w:t>
      </w:r>
      <w:r w:rsidRPr="0096143E">
        <w:rPr>
          <w:rFonts w:ascii="Arial" w:hAnsi="Arial" w:cs="Arial"/>
          <w:color w:val="0E101A"/>
          <w:sz w:val="24"/>
          <w:szCs w:val="24"/>
        </w:rPr>
        <w:t xml:space="preserve"> </w:t>
      </w:r>
      <w:r>
        <w:rPr>
          <w:rFonts w:ascii="Arial" w:hAnsi="Arial" w:cs="Arial"/>
          <w:color w:val="0E101A"/>
          <w:sz w:val="24"/>
          <w:szCs w:val="24"/>
        </w:rPr>
        <w:t>T</w:t>
      </w:r>
      <w:r w:rsidRPr="0096143E">
        <w:rPr>
          <w:rFonts w:ascii="Arial" w:hAnsi="Arial" w:cs="Arial"/>
          <w:color w:val="0E101A"/>
          <w:sz w:val="24"/>
          <w:szCs w:val="24"/>
        </w:rPr>
        <w:t xml:space="preserve">hose who remained uncontactable after at least five attempts </w:t>
      </w:r>
      <w:r>
        <w:rPr>
          <w:rFonts w:ascii="Arial" w:hAnsi="Arial" w:cs="Arial"/>
          <w:color w:val="0E101A"/>
          <w:sz w:val="24"/>
          <w:szCs w:val="24"/>
        </w:rPr>
        <w:t xml:space="preserve">on different occasions </w:t>
      </w:r>
      <w:r w:rsidRPr="0096143E">
        <w:rPr>
          <w:rFonts w:ascii="Arial" w:hAnsi="Arial" w:cs="Arial"/>
          <w:color w:val="0E101A"/>
          <w:sz w:val="24"/>
          <w:szCs w:val="24"/>
        </w:rPr>
        <w:t xml:space="preserve">were excluded from the </w:t>
      </w:r>
      <w:r>
        <w:rPr>
          <w:rFonts w:ascii="Arial" w:hAnsi="Arial" w:cs="Arial"/>
          <w:color w:val="0E101A"/>
          <w:sz w:val="24"/>
          <w:szCs w:val="24"/>
        </w:rPr>
        <w:t>analysis</w:t>
      </w:r>
      <w:r w:rsidRPr="0096143E">
        <w:rPr>
          <w:rFonts w:ascii="Arial" w:hAnsi="Arial" w:cs="Arial"/>
          <w:color w:val="0E101A"/>
          <w:sz w:val="24"/>
          <w:szCs w:val="24"/>
        </w:rPr>
        <w:t>. The data were transcribed to password protected Excel</w:t>
      </w:r>
      <w:r>
        <w:rPr>
          <w:rFonts w:ascii="Arial" w:hAnsi="Arial" w:cs="Arial"/>
          <w:color w:val="0E101A"/>
          <w:sz w:val="24"/>
          <w:szCs w:val="24"/>
          <w:vertAlign w:val="superscript"/>
        </w:rPr>
        <w:t>TM</w:t>
      </w:r>
      <w:r w:rsidRPr="0096143E">
        <w:rPr>
          <w:rFonts w:ascii="Arial" w:hAnsi="Arial" w:cs="Arial"/>
          <w:color w:val="0E101A"/>
          <w:sz w:val="24"/>
          <w:szCs w:val="24"/>
        </w:rPr>
        <w:t xml:space="preserve"> sheets separately for ACS and CCS patients.</w:t>
      </w:r>
    </w:p>
    <w:p w14:paraId="61266F9E" w14:textId="77777777" w:rsidR="00C8110A" w:rsidRDefault="00C8110A" w:rsidP="004942B6">
      <w:pPr>
        <w:spacing w:line="360" w:lineRule="auto"/>
        <w:jc w:val="both"/>
        <w:rPr>
          <w:rFonts w:ascii="Arial" w:hAnsi="Arial" w:cs="Arial"/>
          <w:color w:val="0E101A"/>
          <w:sz w:val="24"/>
          <w:szCs w:val="24"/>
        </w:rPr>
      </w:pPr>
    </w:p>
    <w:p w14:paraId="3DB0C59E" w14:textId="25FD66AB" w:rsidR="00C8110A" w:rsidRPr="00AD4AF3" w:rsidRDefault="00C8110A" w:rsidP="00AD4AF3">
      <w:pPr>
        <w:pStyle w:val="Heading3"/>
        <w:rPr>
          <w:rFonts w:ascii="Arial" w:hAnsi="Arial" w:cs="Arial"/>
          <w:color w:val="4472C4" w:themeColor="accent1"/>
          <w:sz w:val="24"/>
          <w:szCs w:val="24"/>
        </w:rPr>
      </w:pPr>
      <w:bookmarkStart w:id="550" w:name="_Toc170577743"/>
      <w:bookmarkStart w:id="551" w:name="_Toc170579261"/>
      <w:bookmarkStart w:id="552" w:name="_Toc171203116"/>
      <w:bookmarkStart w:id="553" w:name="_Toc171203887"/>
      <w:r w:rsidRPr="00AD4AF3">
        <w:rPr>
          <w:rFonts w:ascii="Arial" w:hAnsi="Arial" w:cs="Arial"/>
          <w:color w:val="4472C4" w:themeColor="accent1"/>
          <w:sz w:val="24"/>
          <w:szCs w:val="24"/>
        </w:rPr>
        <w:t>2.</w:t>
      </w:r>
      <w:r w:rsidR="002A3406" w:rsidRPr="00AD4AF3">
        <w:rPr>
          <w:rFonts w:ascii="Arial" w:hAnsi="Arial" w:cs="Arial"/>
          <w:color w:val="4472C4" w:themeColor="accent1"/>
          <w:sz w:val="24"/>
          <w:szCs w:val="24"/>
        </w:rPr>
        <w:t>3</w:t>
      </w:r>
      <w:r w:rsidRPr="00AD4AF3">
        <w:rPr>
          <w:rFonts w:ascii="Arial" w:hAnsi="Arial" w:cs="Arial"/>
          <w:color w:val="4472C4" w:themeColor="accent1"/>
          <w:sz w:val="24"/>
          <w:szCs w:val="24"/>
        </w:rPr>
        <w:t>.1 Standardised questionnaire</w:t>
      </w:r>
      <w:bookmarkEnd w:id="550"/>
      <w:bookmarkEnd w:id="551"/>
      <w:bookmarkEnd w:id="552"/>
      <w:bookmarkEnd w:id="553"/>
    </w:p>
    <w:p w14:paraId="0FCE1484" w14:textId="77777777" w:rsidR="002E435A" w:rsidRDefault="00C8110A" w:rsidP="00C8110A">
      <w:pPr>
        <w:spacing w:line="360" w:lineRule="auto"/>
        <w:jc w:val="both"/>
        <w:rPr>
          <w:rFonts w:ascii="Arial" w:hAnsi="Arial" w:cs="Arial"/>
        </w:rPr>
      </w:pPr>
      <w:r w:rsidRPr="0096143E">
        <w:rPr>
          <w:rFonts w:ascii="Arial" w:hAnsi="Arial" w:cs="Arial"/>
          <w:sz w:val="24"/>
          <w:szCs w:val="24"/>
        </w:rPr>
        <w:t xml:space="preserve">A questionnaire was designed to ensure the standardisation of the data collection. We regained consent from the patients to ascertain that they were happy to proceed. The questionnaire included specific questions related to health outcomes, including MACE events (death, MI, stroke). Information was also gathered regarding any repeat acute or elective revascularisation procedures (both percutaneous and surgical) after the initial treatment within 12 months. Only cardiac cause-driven </w:t>
      </w:r>
      <w:r>
        <w:rPr>
          <w:rFonts w:ascii="Arial" w:hAnsi="Arial" w:cs="Arial"/>
          <w:sz w:val="24"/>
          <w:szCs w:val="24"/>
        </w:rPr>
        <w:t xml:space="preserve">hospital </w:t>
      </w:r>
      <w:r w:rsidRPr="0096143E">
        <w:rPr>
          <w:rFonts w:ascii="Arial" w:hAnsi="Arial" w:cs="Arial"/>
          <w:sz w:val="24"/>
          <w:szCs w:val="24"/>
        </w:rPr>
        <w:t>admissions (both acute and elective) were included</w:t>
      </w:r>
      <w:r>
        <w:rPr>
          <w:rFonts w:ascii="Arial" w:hAnsi="Arial" w:cs="Arial"/>
          <w:sz w:val="24"/>
          <w:szCs w:val="24"/>
        </w:rPr>
        <w:t xml:space="preserve">; </w:t>
      </w:r>
      <w:r w:rsidRPr="002E435A">
        <w:rPr>
          <w:rFonts w:ascii="Arial" w:hAnsi="Arial" w:cs="Arial"/>
          <w:sz w:val="24"/>
          <w:szCs w:val="24"/>
        </w:rPr>
        <w:t>any attendance in emergency department (ED) or GP appointments were excluded. Data related to outpatient (OP) attendance, investigations performed in the outpatient settings, and the total number of OP attendances for each patient were also collated.</w:t>
      </w:r>
      <w:r w:rsidRPr="0096143E">
        <w:rPr>
          <w:rFonts w:ascii="Arial" w:hAnsi="Arial" w:cs="Arial"/>
        </w:rPr>
        <w:t xml:space="preserve"> </w:t>
      </w:r>
    </w:p>
    <w:p w14:paraId="4C1456B3" w14:textId="2EC2FB86" w:rsidR="00C8110A" w:rsidRDefault="00C8110A" w:rsidP="00C8110A">
      <w:pPr>
        <w:spacing w:line="360" w:lineRule="auto"/>
        <w:jc w:val="both"/>
        <w:rPr>
          <w:rFonts w:ascii="Arial" w:hAnsi="Arial" w:cs="Arial"/>
          <w:sz w:val="24"/>
          <w:szCs w:val="24"/>
        </w:rPr>
      </w:pPr>
      <w:r w:rsidRPr="002E435A">
        <w:rPr>
          <w:rFonts w:ascii="Arial" w:hAnsi="Arial" w:cs="Arial"/>
          <w:color w:val="0E101A"/>
          <w:sz w:val="24"/>
          <w:szCs w:val="24"/>
          <w:shd w:val="clear" w:color="auto" w:fill="FFFFFF"/>
          <w14:ligatures w14:val="none"/>
        </w:rPr>
        <w:t>Patients were also asked about their occupation, how long they had abstained from work, and if their work nature had changed significantly after the procedure.</w:t>
      </w:r>
      <w:r w:rsidR="002E435A">
        <w:rPr>
          <w:rFonts w:ascii="Arial" w:hAnsi="Arial" w:cs="Arial"/>
          <w:sz w:val="24"/>
          <w:szCs w:val="24"/>
        </w:rPr>
        <w:t xml:space="preserve"> The </w:t>
      </w:r>
      <w:r w:rsidRPr="0096143E">
        <w:rPr>
          <w:rFonts w:ascii="Arial" w:hAnsi="Arial" w:cs="Arial"/>
          <w:sz w:val="24"/>
          <w:szCs w:val="24"/>
        </w:rPr>
        <w:t xml:space="preserve">impact of the procedure on patients and their families, regarding mental and financial stress, was </w:t>
      </w:r>
      <w:r w:rsidR="002E435A">
        <w:rPr>
          <w:rFonts w:ascii="Arial" w:hAnsi="Arial" w:cs="Arial"/>
          <w:sz w:val="24"/>
          <w:szCs w:val="24"/>
        </w:rPr>
        <w:t xml:space="preserve">also </w:t>
      </w:r>
      <w:r>
        <w:rPr>
          <w:rFonts w:ascii="Arial" w:hAnsi="Arial" w:cs="Arial"/>
          <w:sz w:val="24"/>
          <w:szCs w:val="24"/>
        </w:rPr>
        <w:t>questioned</w:t>
      </w:r>
      <w:r w:rsidRPr="0096143E">
        <w:rPr>
          <w:rFonts w:ascii="Arial" w:hAnsi="Arial" w:cs="Arial"/>
          <w:sz w:val="24"/>
          <w:szCs w:val="24"/>
        </w:rPr>
        <w:t>, a</w:t>
      </w:r>
      <w:r>
        <w:rPr>
          <w:rFonts w:ascii="Arial" w:hAnsi="Arial" w:cs="Arial"/>
          <w:sz w:val="24"/>
          <w:szCs w:val="24"/>
        </w:rPr>
        <w:t xml:space="preserve">long with need of any </w:t>
      </w:r>
      <w:r w:rsidRPr="0096143E">
        <w:rPr>
          <w:rFonts w:ascii="Arial" w:hAnsi="Arial" w:cs="Arial"/>
          <w:sz w:val="24"/>
          <w:szCs w:val="24"/>
        </w:rPr>
        <w:t>social care. Although ACS patients are routinely referred to cardiac rehabilitation</w:t>
      </w:r>
      <w:r>
        <w:rPr>
          <w:rFonts w:ascii="Arial" w:hAnsi="Arial" w:cs="Arial"/>
          <w:sz w:val="24"/>
          <w:szCs w:val="24"/>
        </w:rPr>
        <w:t>; however,</w:t>
      </w:r>
      <w:r w:rsidRPr="0096143E">
        <w:rPr>
          <w:rFonts w:ascii="Arial" w:hAnsi="Arial" w:cs="Arial"/>
          <w:sz w:val="24"/>
          <w:szCs w:val="24"/>
        </w:rPr>
        <w:t xml:space="preserve"> due to the COVID-19 pandemic, most of the appointments were either cancelled or switched to virtual ones. The data related to attendance in cardiac rehab were also gathered to assess the opportunity loss of rehab due to COVID-19. The detailed questionnaire can be viewed in the Appendix section.   </w:t>
      </w:r>
    </w:p>
    <w:p w14:paraId="434EE852" w14:textId="77777777" w:rsidR="00C8110A" w:rsidRPr="00AD4AF3" w:rsidRDefault="00C8110A" w:rsidP="00C8110A">
      <w:pPr>
        <w:spacing w:line="360" w:lineRule="auto"/>
        <w:jc w:val="both"/>
        <w:rPr>
          <w:rFonts w:ascii="Arial" w:hAnsi="Arial" w:cs="Arial"/>
          <w:color w:val="4472C4" w:themeColor="accent1"/>
          <w:sz w:val="24"/>
          <w:szCs w:val="24"/>
        </w:rPr>
      </w:pPr>
    </w:p>
    <w:p w14:paraId="45335CB8" w14:textId="2C7C670C" w:rsidR="00C8110A" w:rsidRPr="00AD4AF3" w:rsidRDefault="00C8110A" w:rsidP="00AD4AF3">
      <w:pPr>
        <w:pStyle w:val="Heading3"/>
        <w:rPr>
          <w:rFonts w:ascii="Arial" w:hAnsi="Arial" w:cs="Arial"/>
          <w:color w:val="4472C4" w:themeColor="accent1"/>
          <w:sz w:val="24"/>
          <w:szCs w:val="24"/>
        </w:rPr>
      </w:pPr>
      <w:bookmarkStart w:id="554" w:name="_Toc170075060"/>
      <w:bookmarkStart w:id="555" w:name="_Toc170076047"/>
      <w:bookmarkStart w:id="556" w:name="_Toc170577744"/>
      <w:bookmarkStart w:id="557" w:name="_Toc170579262"/>
      <w:bookmarkStart w:id="558" w:name="_Toc171203117"/>
      <w:bookmarkStart w:id="559" w:name="_Toc171203888"/>
      <w:r w:rsidRPr="00AD4AF3">
        <w:rPr>
          <w:rFonts w:ascii="Arial" w:hAnsi="Arial" w:cs="Arial"/>
          <w:color w:val="4472C4" w:themeColor="accent1"/>
          <w:sz w:val="24"/>
          <w:szCs w:val="24"/>
        </w:rPr>
        <w:lastRenderedPageBreak/>
        <w:t>2.</w:t>
      </w:r>
      <w:r w:rsidR="002A3406" w:rsidRPr="00AD4AF3">
        <w:rPr>
          <w:rFonts w:ascii="Arial" w:hAnsi="Arial" w:cs="Arial"/>
          <w:color w:val="4472C4" w:themeColor="accent1"/>
          <w:sz w:val="24"/>
          <w:szCs w:val="24"/>
        </w:rPr>
        <w:t>3</w:t>
      </w:r>
      <w:r w:rsidRPr="00AD4AF3">
        <w:rPr>
          <w:rFonts w:ascii="Arial" w:hAnsi="Arial" w:cs="Arial"/>
          <w:color w:val="4472C4" w:themeColor="accent1"/>
          <w:sz w:val="24"/>
          <w:szCs w:val="24"/>
        </w:rPr>
        <w:t>.2 Quality of life (QOL) scores</w:t>
      </w:r>
      <w:bookmarkEnd w:id="554"/>
      <w:bookmarkEnd w:id="555"/>
      <w:bookmarkEnd w:id="556"/>
      <w:bookmarkEnd w:id="557"/>
      <w:bookmarkEnd w:id="558"/>
      <w:bookmarkEnd w:id="559"/>
    </w:p>
    <w:p w14:paraId="5E78CAE5" w14:textId="6172B10C" w:rsidR="00C8110A" w:rsidRDefault="00C8110A" w:rsidP="00C8110A">
      <w:pPr>
        <w:spacing w:line="360" w:lineRule="auto"/>
        <w:jc w:val="both"/>
        <w:rPr>
          <w:rFonts w:ascii="Arial" w:hAnsi="Arial" w:cs="Arial"/>
          <w:color w:val="0E101A"/>
          <w:sz w:val="24"/>
          <w:szCs w:val="24"/>
          <w:shd w:val="clear" w:color="auto" w:fill="FFFFFF"/>
        </w:rPr>
      </w:pPr>
      <w:r w:rsidRPr="00DA56C0">
        <w:rPr>
          <w:rFonts w:ascii="Arial" w:hAnsi="Arial" w:cs="Arial"/>
          <w:sz w:val="24"/>
          <w:szCs w:val="24"/>
        </w:rPr>
        <w:t xml:space="preserve">The QOL data were collected using the EQ-5D questionnaire during the telephone consultation. The EQ-5D-5L version of the EuroQOL group was utilised, and both the EQ-indexed and EQ-VAS scores were gathered at a 12-month follow-up to be compared from the baseline (at the time of recruitment). </w:t>
      </w:r>
      <w:r w:rsidRPr="00597F07">
        <w:rPr>
          <w:rFonts w:ascii="Arial" w:hAnsi="Arial" w:cs="Arial"/>
          <w:color w:val="0E101A"/>
          <w:sz w:val="24"/>
          <w:szCs w:val="24"/>
          <w:shd w:val="clear" w:color="auto" w:fill="FFFFFF"/>
        </w:rPr>
        <w:t>Additionally, the QOL scores were compared after excluding potential non-cardiac reasons for the reduction and predicted virtual</w:t>
      </w:r>
      <w:r>
        <w:rPr>
          <w:rFonts w:ascii="Arial" w:hAnsi="Arial" w:cs="Arial"/>
          <w:color w:val="0E101A"/>
          <w:sz w:val="24"/>
          <w:szCs w:val="24"/>
          <w:shd w:val="clear" w:color="auto" w:fill="FFFFFF"/>
        </w:rPr>
        <w:t xml:space="preserve"> QOL</w:t>
      </w:r>
      <w:r w:rsidRPr="00597F07">
        <w:rPr>
          <w:rFonts w:ascii="Arial" w:hAnsi="Arial" w:cs="Arial"/>
          <w:color w:val="0E101A"/>
          <w:sz w:val="24"/>
          <w:szCs w:val="24"/>
          <w:shd w:val="clear" w:color="auto" w:fill="FFFFFF"/>
        </w:rPr>
        <w:t xml:space="preserve"> score</w:t>
      </w:r>
      <w:r>
        <w:rPr>
          <w:rFonts w:ascii="Arial" w:hAnsi="Arial" w:cs="Arial"/>
          <w:color w:val="0E101A"/>
          <w:sz w:val="24"/>
          <w:szCs w:val="24"/>
          <w:shd w:val="clear" w:color="auto" w:fill="FFFFFF"/>
        </w:rPr>
        <w:t>s</w:t>
      </w:r>
      <w:r w:rsidRPr="00597F07">
        <w:rPr>
          <w:rFonts w:ascii="Arial" w:hAnsi="Arial" w:cs="Arial"/>
          <w:color w:val="0E101A"/>
          <w:sz w:val="24"/>
          <w:szCs w:val="24"/>
          <w:shd w:val="clear" w:color="auto" w:fill="FFFFFF"/>
        </w:rPr>
        <w:t xml:space="preserve"> (based on the expert </w:t>
      </w:r>
      <w:r w:rsidR="00EF5EE4">
        <w:rPr>
          <w:rFonts w:ascii="Arial" w:hAnsi="Arial" w:cs="Arial"/>
          <w:color w:val="0E101A"/>
          <w:sz w:val="24"/>
          <w:szCs w:val="24"/>
          <w:shd w:val="clear" w:color="auto" w:fill="FFFFFF"/>
        </w:rPr>
        <w:t>MDT</w:t>
      </w:r>
      <w:r w:rsidRPr="00597F07">
        <w:rPr>
          <w:rFonts w:ascii="Arial" w:hAnsi="Arial" w:cs="Arial"/>
          <w:color w:val="0E101A"/>
          <w:sz w:val="24"/>
          <w:szCs w:val="24"/>
          <w:shd w:val="clear" w:color="auto" w:fill="FFFFFF"/>
        </w:rPr>
        <w:t xml:space="preserve"> and literature).</w:t>
      </w:r>
    </w:p>
    <w:p w14:paraId="5B0C9B0A" w14:textId="77777777" w:rsidR="00C8110A" w:rsidRDefault="00C8110A" w:rsidP="00C8110A">
      <w:pPr>
        <w:spacing w:line="360" w:lineRule="auto"/>
        <w:jc w:val="both"/>
        <w:rPr>
          <w:rFonts w:ascii="Arial" w:hAnsi="Arial" w:cs="Arial"/>
          <w:color w:val="0E101A"/>
          <w:sz w:val="24"/>
          <w:szCs w:val="24"/>
          <w:shd w:val="clear" w:color="auto" w:fill="FFFFFF"/>
        </w:rPr>
      </w:pPr>
    </w:p>
    <w:p w14:paraId="0DA4C566" w14:textId="485B884E" w:rsidR="00C8110A" w:rsidRPr="002E435A" w:rsidRDefault="00C8110A" w:rsidP="00AD4AF3">
      <w:pPr>
        <w:pStyle w:val="Heading3"/>
        <w:rPr>
          <w:rFonts w:ascii="Arial" w:hAnsi="Arial" w:cs="Arial"/>
          <w:color w:val="4472C4" w:themeColor="accent1"/>
          <w:sz w:val="24"/>
          <w:szCs w:val="24"/>
          <w:shd w:val="clear" w:color="auto" w:fill="FFFFFF"/>
        </w:rPr>
      </w:pPr>
      <w:bookmarkStart w:id="560" w:name="_Toc170577745"/>
      <w:bookmarkStart w:id="561" w:name="_Toc170579263"/>
      <w:bookmarkStart w:id="562" w:name="_Toc171203118"/>
      <w:bookmarkStart w:id="563" w:name="_Toc171203889"/>
      <w:r w:rsidRPr="002E435A">
        <w:rPr>
          <w:rFonts w:ascii="Arial" w:hAnsi="Arial" w:cs="Arial"/>
          <w:color w:val="4472C4" w:themeColor="accent1"/>
          <w:sz w:val="24"/>
          <w:szCs w:val="24"/>
        </w:rPr>
        <w:t>2.3</w:t>
      </w:r>
      <w:r w:rsidR="002A3406" w:rsidRPr="002E435A">
        <w:rPr>
          <w:rFonts w:ascii="Arial" w:hAnsi="Arial" w:cs="Arial"/>
          <w:color w:val="4472C4" w:themeColor="accent1"/>
          <w:sz w:val="24"/>
          <w:szCs w:val="24"/>
        </w:rPr>
        <w:t>.3</w:t>
      </w:r>
      <w:r w:rsidRPr="002E435A">
        <w:rPr>
          <w:rFonts w:ascii="Arial" w:hAnsi="Arial" w:cs="Arial"/>
          <w:color w:val="4472C4" w:themeColor="accent1"/>
          <w:sz w:val="24"/>
          <w:szCs w:val="24"/>
        </w:rPr>
        <w:t xml:space="preserve"> Clinical classifications (NYHA and CCS class) used in data collection</w:t>
      </w:r>
      <w:bookmarkEnd w:id="560"/>
      <w:bookmarkEnd w:id="561"/>
      <w:bookmarkEnd w:id="562"/>
      <w:bookmarkEnd w:id="563"/>
    </w:p>
    <w:p w14:paraId="053589B7" w14:textId="5FE3823A" w:rsidR="00C8110A" w:rsidRPr="00903C49" w:rsidRDefault="00C8110A" w:rsidP="00C8110A">
      <w:pPr>
        <w:spacing w:line="360" w:lineRule="auto"/>
        <w:jc w:val="both"/>
        <w:rPr>
          <w:rFonts w:ascii="Arial" w:hAnsi="Arial" w:cs="Arial"/>
          <w:color w:val="0E101A"/>
          <w:sz w:val="24"/>
          <w:szCs w:val="24"/>
          <w:shd w:val="clear" w:color="auto" w:fill="FFFFFF"/>
        </w:rPr>
      </w:pPr>
      <w:r w:rsidRPr="00D31B5A">
        <w:rPr>
          <w:rFonts w:ascii="Arial" w:hAnsi="Arial" w:cs="Arial"/>
          <w:sz w:val="24"/>
          <w:szCs w:val="24"/>
        </w:rPr>
        <w:t>The data relat</w:t>
      </w:r>
      <w:r>
        <w:rPr>
          <w:rFonts w:ascii="Arial" w:hAnsi="Arial" w:cs="Arial"/>
          <w:sz w:val="24"/>
          <w:szCs w:val="24"/>
        </w:rPr>
        <w:t>ing</w:t>
      </w:r>
      <w:r w:rsidRPr="00D31B5A">
        <w:rPr>
          <w:rFonts w:ascii="Arial" w:hAnsi="Arial" w:cs="Arial"/>
          <w:sz w:val="24"/>
          <w:szCs w:val="24"/>
        </w:rPr>
        <w:t xml:space="preserve"> to NYHA and CCS classes at the time of recruitment in the VIRTU-4 were documented, which served as a baseline. The symptoms were re-evaluated at 12 months via telephone consultation to assess the interval change in the NYHA and CCS classes. The expert review </w:t>
      </w:r>
      <w:r w:rsidR="00EF5EE4">
        <w:rPr>
          <w:rFonts w:ascii="Arial" w:hAnsi="Arial" w:cs="Arial"/>
          <w:sz w:val="24"/>
          <w:szCs w:val="24"/>
        </w:rPr>
        <w:t>MDT</w:t>
      </w:r>
      <w:r w:rsidRPr="00D31B5A">
        <w:rPr>
          <w:rFonts w:ascii="Arial" w:hAnsi="Arial" w:cs="Arial"/>
          <w:sz w:val="24"/>
          <w:szCs w:val="24"/>
        </w:rPr>
        <w:t xml:space="preserve">s also predicted the virtual change in the NYHA and CCS classes (in addition to the actual outcomes) for those who had a virtual change in their treatment plans. </w:t>
      </w:r>
      <w:r>
        <w:rPr>
          <w:rFonts w:ascii="Arial" w:hAnsi="Arial" w:cs="Arial"/>
          <w:color w:val="000000" w:themeColor="text1"/>
          <w:sz w:val="24"/>
          <w:szCs w:val="24"/>
        </w:rPr>
        <w:t xml:space="preserve"> </w:t>
      </w:r>
    </w:p>
    <w:p w14:paraId="02739593" w14:textId="77777777" w:rsidR="009A40D3" w:rsidRDefault="009A40D3" w:rsidP="004942B6">
      <w:pPr>
        <w:spacing w:line="360" w:lineRule="auto"/>
        <w:jc w:val="both"/>
        <w:rPr>
          <w:rFonts w:ascii="Arial" w:hAnsi="Arial" w:cs="Arial"/>
          <w:sz w:val="24"/>
          <w:szCs w:val="24"/>
        </w:rPr>
      </w:pPr>
    </w:p>
    <w:p w14:paraId="5FFC601A" w14:textId="73D92D58" w:rsidR="004942B6" w:rsidRPr="00AD4AF3" w:rsidRDefault="004942B6" w:rsidP="00AD4AF3">
      <w:pPr>
        <w:pStyle w:val="Heading3"/>
        <w:rPr>
          <w:rFonts w:ascii="Arial" w:hAnsi="Arial" w:cs="Arial"/>
          <w:color w:val="4472C4" w:themeColor="accent1"/>
          <w:sz w:val="24"/>
          <w:szCs w:val="24"/>
        </w:rPr>
      </w:pPr>
      <w:bookmarkStart w:id="564" w:name="_Toc170075061"/>
      <w:bookmarkStart w:id="565" w:name="_Toc170076048"/>
      <w:bookmarkStart w:id="566" w:name="_Toc170577746"/>
      <w:bookmarkStart w:id="567" w:name="_Toc170579264"/>
      <w:bookmarkStart w:id="568" w:name="_Toc171203119"/>
      <w:bookmarkStart w:id="569" w:name="_Toc171203890"/>
      <w:r w:rsidRPr="00AD4AF3">
        <w:rPr>
          <w:rFonts w:ascii="Arial" w:hAnsi="Arial" w:cs="Arial"/>
          <w:color w:val="4472C4" w:themeColor="accent1"/>
          <w:sz w:val="24"/>
          <w:szCs w:val="24"/>
        </w:rPr>
        <w:t>2.</w:t>
      </w:r>
      <w:r w:rsidR="002A3406" w:rsidRPr="00AD4AF3">
        <w:rPr>
          <w:rFonts w:ascii="Arial" w:hAnsi="Arial" w:cs="Arial"/>
          <w:color w:val="4472C4" w:themeColor="accent1"/>
          <w:sz w:val="24"/>
          <w:szCs w:val="24"/>
        </w:rPr>
        <w:t>3</w:t>
      </w:r>
      <w:r w:rsidR="00CE3E1C" w:rsidRPr="00AD4AF3">
        <w:rPr>
          <w:rFonts w:ascii="Arial" w:hAnsi="Arial" w:cs="Arial"/>
          <w:color w:val="4472C4" w:themeColor="accent1"/>
          <w:sz w:val="24"/>
          <w:szCs w:val="24"/>
        </w:rPr>
        <w:t>.4</w:t>
      </w:r>
      <w:r w:rsidRPr="00AD4AF3">
        <w:rPr>
          <w:rFonts w:ascii="Arial" w:hAnsi="Arial" w:cs="Arial"/>
          <w:color w:val="4472C4" w:themeColor="accent1"/>
          <w:sz w:val="24"/>
          <w:szCs w:val="24"/>
        </w:rPr>
        <w:t xml:space="preserve"> Data </w:t>
      </w:r>
      <w:bookmarkStart w:id="570" w:name="_Toc159320134"/>
      <w:r w:rsidR="00C8110A" w:rsidRPr="00AD4AF3">
        <w:rPr>
          <w:rFonts w:ascii="Arial" w:hAnsi="Arial" w:cs="Arial"/>
          <w:color w:val="4472C4" w:themeColor="accent1"/>
          <w:sz w:val="24"/>
          <w:szCs w:val="24"/>
        </w:rPr>
        <w:t>protection and storage</w:t>
      </w:r>
      <w:bookmarkEnd w:id="564"/>
      <w:bookmarkEnd w:id="565"/>
      <w:bookmarkEnd w:id="566"/>
      <w:bookmarkEnd w:id="567"/>
      <w:bookmarkEnd w:id="568"/>
      <w:bookmarkEnd w:id="569"/>
    </w:p>
    <w:bookmarkEnd w:id="570"/>
    <w:p w14:paraId="3B6487DE" w14:textId="218F7F0E" w:rsidR="00C8110A" w:rsidRDefault="00C8110A" w:rsidP="00C8110A">
      <w:pPr>
        <w:spacing w:line="360" w:lineRule="auto"/>
        <w:jc w:val="both"/>
        <w:rPr>
          <w:rFonts w:ascii="Arial" w:hAnsi="Arial" w:cs="Arial"/>
          <w:sz w:val="24"/>
          <w:szCs w:val="24"/>
        </w:rPr>
      </w:pPr>
      <w:r>
        <w:rPr>
          <w:rFonts w:ascii="Arial" w:hAnsi="Arial" w:cs="Arial"/>
          <w:sz w:val="24"/>
          <w:szCs w:val="24"/>
        </w:rPr>
        <w:t xml:space="preserve">The General Data Protection Regulations (GDPR) were strictly followed throughout the length of study, and all the patient data were anonymously collected and utilised transparently, confidentially, and lawfully. </w:t>
      </w:r>
      <w:r w:rsidRPr="008863ED">
        <w:rPr>
          <w:rFonts w:ascii="Arial" w:hAnsi="Arial" w:cs="Arial"/>
          <w:sz w:val="24"/>
          <w:szCs w:val="24"/>
        </w:rPr>
        <w:t>The data w</w:t>
      </w:r>
      <w:r>
        <w:rPr>
          <w:rFonts w:ascii="Arial" w:hAnsi="Arial" w:cs="Arial"/>
          <w:sz w:val="24"/>
          <w:szCs w:val="24"/>
        </w:rPr>
        <w:t>ere</w:t>
      </w:r>
      <w:r w:rsidRPr="008863ED">
        <w:rPr>
          <w:rFonts w:ascii="Arial" w:hAnsi="Arial" w:cs="Arial"/>
          <w:sz w:val="24"/>
          <w:szCs w:val="24"/>
        </w:rPr>
        <w:t xml:space="preserve"> collected </w:t>
      </w:r>
      <w:r>
        <w:rPr>
          <w:rFonts w:ascii="Arial" w:hAnsi="Arial" w:cs="Arial"/>
          <w:sz w:val="24"/>
          <w:szCs w:val="24"/>
        </w:rPr>
        <w:t>in</w:t>
      </w:r>
      <w:r w:rsidRPr="008863ED">
        <w:rPr>
          <w:rFonts w:ascii="Arial" w:hAnsi="Arial" w:cs="Arial"/>
          <w:sz w:val="24"/>
          <w:szCs w:val="24"/>
        </w:rPr>
        <w:t xml:space="preserve"> paper questionnaire form during telephone consultation and then transcribed to </w:t>
      </w:r>
      <w:r>
        <w:rPr>
          <w:rFonts w:ascii="Arial" w:hAnsi="Arial" w:cs="Arial"/>
          <w:sz w:val="24"/>
          <w:szCs w:val="24"/>
        </w:rPr>
        <w:t xml:space="preserve">an encrypted, password-protected laptop ensuring confidentiality. The data were stored in </w:t>
      </w:r>
      <w:r w:rsidRPr="008863ED">
        <w:rPr>
          <w:rFonts w:ascii="Arial" w:hAnsi="Arial" w:cs="Arial"/>
          <w:sz w:val="24"/>
          <w:szCs w:val="24"/>
        </w:rPr>
        <w:t xml:space="preserve">password-protected </w:t>
      </w:r>
      <w:r>
        <w:rPr>
          <w:rFonts w:ascii="Arial" w:hAnsi="Arial" w:cs="Arial"/>
          <w:sz w:val="24"/>
          <w:szCs w:val="24"/>
        </w:rPr>
        <w:t>Excel™</w:t>
      </w:r>
      <w:r w:rsidRPr="008863ED">
        <w:rPr>
          <w:rFonts w:ascii="Arial" w:hAnsi="Arial" w:cs="Arial"/>
          <w:sz w:val="24"/>
          <w:szCs w:val="24"/>
        </w:rPr>
        <w:t xml:space="preserve"> sheets separately for both ACS and CCS patients. Access to the data was shared only with our research team members through a password-protected Google Sheets</w:t>
      </w:r>
      <w:r>
        <w:rPr>
          <w:rFonts w:ascii="Arial" w:hAnsi="Arial" w:cs="Arial"/>
          <w:sz w:val="24"/>
          <w:szCs w:val="24"/>
          <w:vertAlign w:val="superscript"/>
        </w:rPr>
        <w:t>TM</w:t>
      </w:r>
      <w:r w:rsidRPr="008863ED">
        <w:rPr>
          <w:rFonts w:ascii="Arial" w:hAnsi="Arial" w:cs="Arial"/>
          <w:sz w:val="24"/>
          <w:szCs w:val="24"/>
        </w:rPr>
        <w:t xml:space="preserve"> document.</w:t>
      </w:r>
      <w:r>
        <w:rPr>
          <w:rFonts w:ascii="Arial" w:hAnsi="Arial" w:cs="Arial"/>
          <w:sz w:val="24"/>
          <w:szCs w:val="24"/>
        </w:rPr>
        <w:t xml:space="preserve"> </w:t>
      </w:r>
      <w:r w:rsidR="00502ADF">
        <w:rPr>
          <w:rFonts w:ascii="Arial" w:hAnsi="Arial" w:cs="Arial"/>
          <w:sz w:val="24"/>
          <w:szCs w:val="24"/>
        </w:rPr>
        <w:t>After transcription, all the paper questionnaires</w:t>
      </w:r>
      <w:r w:rsidRPr="008863ED">
        <w:rPr>
          <w:rFonts w:ascii="Arial" w:hAnsi="Arial" w:cs="Arial"/>
          <w:sz w:val="24"/>
          <w:szCs w:val="24"/>
        </w:rPr>
        <w:t xml:space="preserve"> were securely kept in the research academic office in the Chesterman wing, D-floor, Northern General Hospital (NGH). Data collection and analysis were </w:t>
      </w:r>
      <w:r>
        <w:rPr>
          <w:rFonts w:ascii="Arial" w:hAnsi="Arial" w:cs="Arial"/>
          <w:sz w:val="24"/>
          <w:szCs w:val="24"/>
        </w:rPr>
        <w:t xml:space="preserve">strictly </w:t>
      </w:r>
      <w:r w:rsidRPr="008863ED">
        <w:rPr>
          <w:rFonts w:ascii="Arial" w:hAnsi="Arial" w:cs="Arial"/>
          <w:sz w:val="24"/>
          <w:szCs w:val="24"/>
        </w:rPr>
        <w:t>conducted in accordance with the General Data Protection Regulation (GDPR).</w:t>
      </w:r>
      <w:r>
        <w:rPr>
          <w:rFonts w:ascii="Arial" w:hAnsi="Arial" w:cs="Arial"/>
          <w:sz w:val="24"/>
          <w:szCs w:val="24"/>
        </w:rPr>
        <w:t xml:space="preserve"> </w:t>
      </w:r>
    </w:p>
    <w:p w14:paraId="3CC8029B" w14:textId="77777777" w:rsidR="004942B6" w:rsidRPr="00F34306" w:rsidRDefault="004942B6" w:rsidP="004942B6">
      <w:pPr>
        <w:spacing w:line="360" w:lineRule="auto"/>
      </w:pPr>
    </w:p>
    <w:p w14:paraId="23021A15" w14:textId="77777777" w:rsidR="004942B6" w:rsidRDefault="004942B6" w:rsidP="004942B6">
      <w:pPr>
        <w:spacing w:line="360" w:lineRule="auto"/>
        <w:jc w:val="both"/>
        <w:rPr>
          <w:rFonts w:ascii="Arial" w:hAnsi="Arial" w:cs="Arial"/>
          <w:color w:val="000000" w:themeColor="text1"/>
          <w:sz w:val="24"/>
          <w:szCs w:val="24"/>
        </w:rPr>
      </w:pPr>
    </w:p>
    <w:p w14:paraId="5069878B" w14:textId="6BA22D64" w:rsidR="004942B6" w:rsidRPr="002A3406" w:rsidRDefault="004942B6" w:rsidP="004942B6">
      <w:pPr>
        <w:pStyle w:val="Heading2"/>
        <w:spacing w:line="360" w:lineRule="auto"/>
        <w:rPr>
          <w:sz w:val="28"/>
          <w:szCs w:val="28"/>
        </w:rPr>
      </w:pPr>
      <w:bookmarkStart w:id="571" w:name="_Toc171203891"/>
      <w:r w:rsidRPr="002A3406">
        <w:rPr>
          <w:rFonts w:ascii="Arial" w:hAnsi="Arial" w:cs="Arial"/>
          <w:color w:val="4472C4" w:themeColor="accent1"/>
          <w:sz w:val="28"/>
          <w:szCs w:val="28"/>
        </w:rPr>
        <w:lastRenderedPageBreak/>
        <w:t>2.</w:t>
      </w:r>
      <w:r w:rsidR="002A3406" w:rsidRPr="002A3406">
        <w:rPr>
          <w:rFonts w:ascii="Arial" w:hAnsi="Arial" w:cs="Arial"/>
          <w:color w:val="4472C4" w:themeColor="accent1"/>
          <w:sz w:val="28"/>
          <w:szCs w:val="28"/>
        </w:rPr>
        <w:t>4</w:t>
      </w:r>
      <w:r w:rsidRPr="002A3406">
        <w:rPr>
          <w:rFonts w:ascii="Arial" w:hAnsi="Arial" w:cs="Arial"/>
          <w:color w:val="4472C4" w:themeColor="accent1"/>
          <w:sz w:val="28"/>
          <w:szCs w:val="28"/>
        </w:rPr>
        <w:t xml:space="preserve"> Summary of VIRTU-4 </w:t>
      </w:r>
      <w:r w:rsidR="008C50D0" w:rsidRPr="002A3406">
        <w:rPr>
          <w:rFonts w:ascii="Arial" w:hAnsi="Arial" w:cs="Arial"/>
          <w:color w:val="4472C4" w:themeColor="accent1"/>
          <w:sz w:val="28"/>
          <w:szCs w:val="28"/>
        </w:rPr>
        <w:t>HE</w:t>
      </w:r>
      <w:r w:rsidR="002A3406" w:rsidRPr="002A3406">
        <w:rPr>
          <w:rFonts w:ascii="Arial" w:hAnsi="Arial" w:cs="Arial"/>
          <w:color w:val="4472C4" w:themeColor="accent1"/>
          <w:sz w:val="28"/>
          <w:szCs w:val="28"/>
        </w:rPr>
        <w:t xml:space="preserve"> design</w:t>
      </w:r>
      <w:bookmarkEnd w:id="571"/>
    </w:p>
    <w:p w14:paraId="50F92A4D" w14:textId="5F1122EE" w:rsidR="002926D2" w:rsidRDefault="008C50D0" w:rsidP="004942B6">
      <w:pPr>
        <w:spacing w:after="0" w:line="360" w:lineRule="auto"/>
        <w:jc w:val="both"/>
        <w:rPr>
          <w:rFonts w:ascii="Arial" w:eastAsia="Times New Roman" w:hAnsi="Arial" w:cs="Arial"/>
          <w:color w:val="0E101A"/>
          <w:sz w:val="24"/>
          <w:szCs w:val="24"/>
          <w:lang w:eastAsia="en-GB"/>
          <w14:ligatures w14:val="none"/>
        </w:rPr>
      </w:pPr>
      <w:r>
        <w:rPr>
          <w:rFonts w:ascii="Arial" w:eastAsia="Times New Roman" w:hAnsi="Arial" w:cs="Arial"/>
          <w:color w:val="0E101A"/>
          <w:sz w:val="24"/>
          <w:szCs w:val="24"/>
          <w:lang w:eastAsia="en-GB"/>
          <w14:ligatures w14:val="none"/>
        </w:rPr>
        <w:t>All</w:t>
      </w:r>
      <w:r w:rsidR="004942B6" w:rsidRPr="00A06E78">
        <w:rPr>
          <w:rFonts w:ascii="Arial" w:eastAsia="Times New Roman" w:hAnsi="Arial" w:cs="Arial"/>
          <w:color w:val="0E101A"/>
          <w:sz w:val="24"/>
          <w:szCs w:val="24"/>
          <w:lang w:eastAsia="en-GB"/>
          <w14:ligatures w14:val="none"/>
        </w:rPr>
        <w:t xml:space="preserve"> patients in</w:t>
      </w:r>
      <w:r>
        <w:rPr>
          <w:rFonts w:ascii="Arial" w:eastAsia="Times New Roman" w:hAnsi="Arial" w:cs="Arial"/>
          <w:color w:val="0E101A"/>
          <w:sz w:val="24"/>
          <w:szCs w:val="24"/>
          <w:lang w:eastAsia="en-GB"/>
          <w14:ligatures w14:val="none"/>
        </w:rPr>
        <w:t>cluded in</w:t>
      </w:r>
      <w:r w:rsidR="004942B6" w:rsidRPr="00A06E78">
        <w:rPr>
          <w:rFonts w:ascii="Arial" w:eastAsia="Times New Roman" w:hAnsi="Arial" w:cs="Arial"/>
          <w:color w:val="0E101A"/>
          <w:sz w:val="24"/>
          <w:szCs w:val="24"/>
          <w:lang w:eastAsia="en-GB"/>
          <w14:ligatures w14:val="none"/>
        </w:rPr>
        <w:t xml:space="preserve"> the VIRTU-4 were contacted via telephone consultation and data were collected related to clinical outcomes (MACE, hospital re-admissions, repeat revascularisations, CCS and NYHA classes). Those who remained uncontactable after at least five attempts on different occasions were excluded from the analysis (28 excluded from ACS and 14 from the CCS group). The clinical and health economics endpoints were evalua</w:t>
      </w:r>
      <w:r w:rsidR="0017039A">
        <w:rPr>
          <w:rFonts w:ascii="Arial" w:eastAsia="Times New Roman" w:hAnsi="Arial" w:cs="Arial"/>
          <w:color w:val="0E101A"/>
          <w:sz w:val="24"/>
          <w:szCs w:val="24"/>
          <w:lang w:eastAsia="en-GB"/>
          <w14:ligatures w14:val="none"/>
        </w:rPr>
        <w:t xml:space="preserve">ted </w:t>
      </w:r>
      <w:r w:rsidR="004942B6" w:rsidRPr="00A06E78">
        <w:rPr>
          <w:rFonts w:ascii="Arial" w:eastAsia="Times New Roman" w:hAnsi="Arial" w:cs="Arial"/>
          <w:color w:val="0E101A"/>
          <w:sz w:val="24"/>
          <w:szCs w:val="24"/>
          <w:lang w:eastAsia="en-GB"/>
          <w14:ligatures w14:val="none"/>
        </w:rPr>
        <w:t>in the</w:t>
      </w:r>
      <w:r w:rsidR="004942B6">
        <w:rPr>
          <w:rFonts w:ascii="Arial" w:eastAsia="Times New Roman" w:hAnsi="Arial" w:cs="Arial"/>
          <w:color w:val="0E101A"/>
          <w:sz w:val="24"/>
          <w:szCs w:val="24"/>
          <w:lang w:eastAsia="en-GB"/>
          <w14:ligatures w14:val="none"/>
        </w:rPr>
        <w:t xml:space="preserve"> contactable</w:t>
      </w:r>
      <w:r w:rsidR="004942B6" w:rsidRPr="00A06E78">
        <w:rPr>
          <w:rFonts w:ascii="Arial" w:eastAsia="Times New Roman" w:hAnsi="Arial" w:cs="Arial"/>
          <w:color w:val="0E101A"/>
          <w:sz w:val="24"/>
          <w:szCs w:val="24"/>
          <w:lang w:eastAsia="en-GB"/>
          <w14:ligatures w14:val="none"/>
        </w:rPr>
        <w:t xml:space="preserve"> patients of VIRTU-4 (n=266)</w:t>
      </w:r>
      <w:r w:rsidR="00DA114D">
        <w:rPr>
          <w:rFonts w:ascii="Arial" w:eastAsia="Times New Roman" w:hAnsi="Arial" w:cs="Arial"/>
          <w:color w:val="0E101A"/>
          <w:sz w:val="24"/>
          <w:szCs w:val="24"/>
          <w:lang w:eastAsia="en-GB"/>
          <w14:ligatures w14:val="none"/>
        </w:rPr>
        <w:t xml:space="preserve"> and is shown in Figure 11.</w:t>
      </w:r>
    </w:p>
    <w:p w14:paraId="0A315D8B" w14:textId="77777777" w:rsidR="004942B6" w:rsidRDefault="004942B6" w:rsidP="004942B6">
      <w:pPr>
        <w:spacing w:after="0" w:line="360" w:lineRule="auto"/>
        <w:jc w:val="both"/>
        <w:rPr>
          <w:rFonts w:ascii="Arial" w:eastAsia="Times New Roman" w:hAnsi="Arial" w:cs="Arial"/>
          <w:color w:val="0E101A"/>
          <w:sz w:val="24"/>
          <w:szCs w:val="24"/>
          <w:lang w:eastAsia="en-GB"/>
          <w14:ligatures w14:val="none"/>
        </w:rPr>
      </w:pPr>
    </w:p>
    <w:p w14:paraId="22DE425D" w14:textId="18BBFD01" w:rsidR="004942B6" w:rsidRDefault="004942B6" w:rsidP="004942B6">
      <w:pPr>
        <w:keepNext/>
        <w:spacing w:after="0" w:line="360" w:lineRule="auto"/>
        <w:jc w:val="both"/>
      </w:pPr>
      <w:r>
        <w:rPr>
          <w:noProof/>
          <w:lang w:eastAsia="en-GB"/>
        </w:rPr>
        <w:drawing>
          <wp:inline distT="0" distB="0" distL="0" distR="0" wp14:anchorId="01E93E3E" wp14:editId="6C057CA7">
            <wp:extent cx="6070247" cy="3733170"/>
            <wp:effectExtent l="0" t="0" r="6985" b="0"/>
            <wp:docPr id="673578046" name="Picture 2" descr="A diagram of a patient's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78046" name="Picture 2" descr="A diagram of a patient's flowchart"/>
                    <pic:cNvPicPr/>
                  </pic:nvPicPr>
                  <pic:blipFill rotWithShape="1">
                    <a:blip r:embed="rId28" cstate="print">
                      <a:extLst>
                        <a:ext uri="{28A0092B-C50C-407E-A947-70E740481C1C}">
                          <a14:useLocalDpi xmlns:a14="http://schemas.microsoft.com/office/drawing/2010/main" val="0"/>
                        </a:ext>
                      </a:extLst>
                    </a:blip>
                    <a:srcRect l="1714" r="6517" b="19374"/>
                    <a:stretch/>
                  </pic:blipFill>
                  <pic:spPr bwMode="auto">
                    <a:xfrm>
                      <a:off x="0" y="0"/>
                      <a:ext cx="6075207" cy="3736221"/>
                    </a:xfrm>
                    <a:prstGeom prst="rect">
                      <a:avLst/>
                    </a:prstGeom>
                    <a:ln>
                      <a:noFill/>
                    </a:ln>
                    <a:extLst>
                      <a:ext uri="{53640926-AAD7-44D8-BBD7-CCE9431645EC}">
                        <a14:shadowObscured xmlns:a14="http://schemas.microsoft.com/office/drawing/2010/main"/>
                      </a:ext>
                    </a:extLst>
                  </pic:spPr>
                </pic:pic>
              </a:graphicData>
            </a:graphic>
          </wp:inline>
        </w:drawing>
      </w:r>
    </w:p>
    <w:p w14:paraId="43A4AB59" w14:textId="0586E8B4" w:rsidR="004942B6" w:rsidRPr="0015233F" w:rsidRDefault="004942B6" w:rsidP="004942B6">
      <w:pPr>
        <w:pStyle w:val="Caption"/>
        <w:jc w:val="both"/>
        <w:rPr>
          <w:rFonts w:ascii="Arial" w:eastAsia="Times New Roman" w:hAnsi="Arial" w:cs="Arial"/>
          <w:color w:val="auto"/>
          <w:sz w:val="20"/>
          <w:szCs w:val="20"/>
          <w:lang w:eastAsia="en-GB"/>
          <w14:ligatures w14:val="none"/>
        </w:rPr>
      </w:pPr>
      <w:bookmarkStart w:id="572" w:name="_Toc164697490"/>
      <w:bookmarkStart w:id="573" w:name="_Toc170744572"/>
      <w:bookmarkStart w:id="574" w:name="_Toc196153203"/>
      <w:r w:rsidRPr="0015233F">
        <w:rPr>
          <w:rFonts w:ascii="Arial" w:hAnsi="Arial" w:cs="Arial"/>
          <w:b/>
          <w:bCs/>
          <w:color w:val="auto"/>
          <w:sz w:val="20"/>
          <w:szCs w:val="20"/>
        </w:rPr>
        <w:t xml:space="preserve">Figure </w:t>
      </w:r>
      <w:r w:rsidRPr="0015233F">
        <w:rPr>
          <w:rFonts w:ascii="Arial" w:hAnsi="Arial" w:cs="Arial"/>
          <w:b/>
          <w:bCs/>
          <w:color w:val="auto"/>
          <w:sz w:val="20"/>
          <w:szCs w:val="20"/>
        </w:rPr>
        <w:fldChar w:fldCharType="begin"/>
      </w:r>
      <w:r w:rsidRPr="0015233F">
        <w:rPr>
          <w:rFonts w:ascii="Arial" w:hAnsi="Arial" w:cs="Arial"/>
          <w:b/>
          <w:bCs/>
          <w:color w:val="auto"/>
          <w:sz w:val="20"/>
          <w:szCs w:val="20"/>
        </w:rPr>
        <w:instrText xml:space="preserve"> SEQ Figure \* ARABIC </w:instrText>
      </w:r>
      <w:r w:rsidRPr="0015233F">
        <w:rPr>
          <w:rFonts w:ascii="Arial" w:hAnsi="Arial" w:cs="Arial"/>
          <w:b/>
          <w:bCs/>
          <w:color w:val="auto"/>
          <w:sz w:val="20"/>
          <w:szCs w:val="20"/>
        </w:rPr>
        <w:fldChar w:fldCharType="separate"/>
      </w:r>
      <w:r w:rsidR="001823B4">
        <w:rPr>
          <w:rFonts w:ascii="Arial" w:hAnsi="Arial" w:cs="Arial"/>
          <w:b/>
          <w:bCs/>
          <w:noProof/>
          <w:color w:val="auto"/>
          <w:sz w:val="20"/>
          <w:szCs w:val="20"/>
        </w:rPr>
        <w:t>11</w:t>
      </w:r>
      <w:r w:rsidRPr="0015233F">
        <w:rPr>
          <w:rFonts w:ascii="Arial" w:hAnsi="Arial" w:cs="Arial"/>
          <w:b/>
          <w:bCs/>
          <w:color w:val="auto"/>
          <w:sz w:val="20"/>
          <w:szCs w:val="20"/>
        </w:rPr>
        <w:fldChar w:fldCharType="end"/>
      </w:r>
      <w:r w:rsidRPr="0015233F">
        <w:rPr>
          <w:rFonts w:ascii="Arial" w:hAnsi="Arial" w:cs="Arial"/>
          <w:b/>
          <w:bCs/>
          <w:color w:val="auto"/>
          <w:sz w:val="20"/>
          <w:szCs w:val="20"/>
        </w:rPr>
        <w:t>:</w:t>
      </w:r>
      <w:r w:rsidRPr="0015233F">
        <w:rPr>
          <w:rFonts w:ascii="Arial" w:hAnsi="Arial" w:cs="Arial"/>
          <w:color w:val="auto"/>
          <w:sz w:val="20"/>
          <w:szCs w:val="20"/>
        </w:rPr>
        <w:t xml:space="preserve"> </w:t>
      </w:r>
      <w:r w:rsidR="0055581F">
        <w:rPr>
          <w:rFonts w:ascii="Arial" w:hAnsi="Arial" w:cs="Arial"/>
          <w:color w:val="auto"/>
          <w:sz w:val="20"/>
          <w:szCs w:val="20"/>
        </w:rPr>
        <w:t xml:space="preserve">Consort diagram for inclusion and exclusion in the </w:t>
      </w:r>
      <w:r w:rsidRPr="0015233F">
        <w:rPr>
          <w:rFonts w:ascii="Arial" w:hAnsi="Arial" w:cs="Arial"/>
          <w:color w:val="auto"/>
          <w:sz w:val="20"/>
          <w:szCs w:val="20"/>
        </w:rPr>
        <w:t>VIRTU-4 HE</w:t>
      </w:r>
      <w:bookmarkEnd w:id="572"/>
      <w:r w:rsidR="0055581F">
        <w:rPr>
          <w:rFonts w:ascii="Arial" w:hAnsi="Arial" w:cs="Arial"/>
          <w:color w:val="auto"/>
          <w:sz w:val="20"/>
          <w:szCs w:val="20"/>
        </w:rPr>
        <w:t xml:space="preserve"> study</w:t>
      </w:r>
      <w:bookmarkEnd w:id="573"/>
      <w:bookmarkEnd w:id="574"/>
    </w:p>
    <w:p w14:paraId="1F4E4CB3" w14:textId="77777777" w:rsidR="004942B6" w:rsidRDefault="004942B6" w:rsidP="004942B6">
      <w:pPr>
        <w:spacing w:line="360" w:lineRule="auto"/>
        <w:jc w:val="both"/>
        <w:rPr>
          <w:rFonts w:ascii="Arial" w:eastAsia="Times New Roman" w:hAnsi="Arial" w:cs="Arial"/>
          <w:color w:val="0E101A"/>
          <w:sz w:val="24"/>
          <w:szCs w:val="24"/>
          <w:lang w:eastAsia="en-GB"/>
          <w14:ligatures w14:val="none"/>
        </w:rPr>
      </w:pPr>
    </w:p>
    <w:p w14:paraId="4E34AD2F" w14:textId="34CDBC8F" w:rsidR="00DA114D" w:rsidRDefault="00DA114D" w:rsidP="00DA114D">
      <w:pPr>
        <w:spacing w:after="0" w:line="360" w:lineRule="auto"/>
        <w:jc w:val="both"/>
        <w:rPr>
          <w:rFonts w:ascii="Arial" w:eastAsia="Times New Roman" w:hAnsi="Arial" w:cs="Arial"/>
          <w:color w:val="0E101A"/>
          <w:sz w:val="24"/>
          <w:szCs w:val="24"/>
          <w:lang w:eastAsia="en-GB"/>
          <w14:ligatures w14:val="none"/>
        </w:rPr>
      </w:pPr>
      <w:r w:rsidRPr="008C0D65">
        <w:rPr>
          <w:rFonts w:ascii="Arial" w:eastAsia="Times New Roman" w:hAnsi="Arial" w:cs="Arial"/>
          <w:color w:val="0E101A"/>
          <w:sz w:val="24"/>
          <w:szCs w:val="24"/>
          <w:lang w:eastAsia="en-GB"/>
          <w14:ligatures w14:val="none"/>
        </w:rPr>
        <w:t xml:space="preserve">In addition, </w:t>
      </w:r>
      <w:r>
        <w:rPr>
          <w:rFonts w:ascii="Arial" w:eastAsia="Times New Roman" w:hAnsi="Arial" w:cs="Arial"/>
          <w:color w:val="0E101A"/>
          <w:sz w:val="24"/>
          <w:szCs w:val="24"/>
          <w:lang w:eastAsia="en-GB"/>
          <w14:ligatures w14:val="none"/>
        </w:rPr>
        <w:t xml:space="preserve">a </w:t>
      </w:r>
      <w:r w:rsidRPr="008C0D65">
        <w:rPr>
          <w:rFonts w:ascii="Arial" w:eastAsia="Times New Roman" w:hAnsi="Arial" w:cs="Arial"/>
          <w:color w:val="0E101A"/>
          <w:sz w:val="24"/>
          <w:szCs w:val="24"/>
          <w:lang w:eastAsia="en-GB"/>
          <w14:ligatures w14:val="none"/>
        </w:rPr>
        <w:t>particular emphasis was placed on patients whose management plans were virtually altered by their p</w:t>
      </w:r>
      <w:r>
        <w:rPr>
          <w:rFonts w:ascii="Arial" w:eastAsia="Times New Roman" w:hAnsi="Arial" w:cs="Arial"/>
          <w:color w:val="0E101A"/>
          <w:sz w:val="24"/>
          <w:szCs w:val="24"/>
          <w:lang w:eastAsia="en-GB"/>
          <w14:ligatures w14:val="none"/>
        </w:rPr>
        <w:t>arent</w:t>
      </w:r>
      <w:r w:rsidRPr="008C0D65">
        <w:rPr>
          <w:rFonts w:ascii="Arial" w:eastAsia="Times New Roman" w:hAnsi="Arial" w:cs="Arial"/>
          <w:color w:val="0E101A"/>
          <w:sz w:val="24"/>
          <w:szCs w:val="24"/>
          <w:lang w:eastAsia="en-GB"/>
          <w14:ligatures w14:val="none"/>
        </w:rPr>
        <w:t xml:space="preserve"> cardiologists after vFFR disclosure</w:t>
      </w:r>
      <w:r>
        <w:rPr>
          <w:rFonts w:ascii="Arial" w:eastAsia="Times New Roman" w:hAnsi="Arial" w:cs="Arial"/>
          <w:color w:val="0E101A"/>
          <w:sz w:val="24"/>
          <w:szCs w:val="24"/>
          <w:lang w:eastAsia="en-GB"/>
          <w14:ligatures w14:val="none"/>
        </w:rPr>
        <w:t xml:space="preserve"> (n=65), referred to as ‘virtual change subset’.</w:t>
      </w:r>
      <w:r w:rsidRPr="008C0D65">
        <w:rPr>
          <w:rFonts w:ascii="Arial" w:eastAsia="Times New Roman" w:hAnsi="Arial" w:cs="Arial"/>
          <w:color w:val="0E101A"/>
          <w:sz w:val="24"/>
          <w:szCs w:val="24"/>
          <w:lang w:eastAsia="en-GB"/>
          <w14:ligatures w14:val="none"/>
        </w:rPr>
        <w:t xml:space="preserve"> </w:t>
      </w:r>
      <w:r>
        <w:rPr>
          <w:rFonts w:ascii="Arial" w:eastAsia="Times New Roman" w:hAnsi="Arial" w:cs="Arial"/>
          <w:color w:val="0E101A"/>
          <w:sz w:val="24"/>
          <w:szCs w:val="24"/>
          <w:lang w:eastAsia="en-GB"/>
          <w14:ligatures w14:val="none"/>
        </w:rPr>
        <w:t>It was aimed t</w:t>
      </w:r>
      <w:r w:rsidRPr="008C0D65">
        <w:rPr>
          <w:rFonts w:ascii="Arial" w:eastAsia="Times New Roman" w:hAnsi="Arial" w:cs="Arial"/>
          <w:color w:val="0E101A"/>
          <w:sz w:val="24"/>
          <w:szCs w:val="24"/>
          <w:lang w:eastAsia="en-GB"/>
          <w14:ligatures w14:val="none"/>
        </w:rPr>
        <w:t>o evaluate the potential impact of vFFR on total costs and</w:t>
      </w:r>
      <w:r>
        <w:rPr>
          <w:rFonts w:ascii="Arial" w:eastAsia="Times New Roman" w:hAnsi="Arial" w:cs="Arial"/>
          <w:color w:val="0E101A"/>
          <w:sz w:val="24"/>
          <w:szCs w:val="24"/>
          <w:lang w:eastAsia="en-GB"/>
          <w14:ligatures w14:val="none"/>
        </w:rPr>
        <w:t xml:space="preserve"> QOL</w:t>
      </w:r>
      <w:r w:rsidRPr="008C0D65">
        <w:rPr>
          <w:rFonts w:ascii="Arial" w:eastAsia="Times New Roman" w:hAnsi="Arial" w:cs="Arial"/>
          <w:color w:val="0E101A"/>
          <w:sz w:val="24"/>
          <w:szCs w:val="24"/>
          <w:lang w:eastAsia="en-GB"/>
          <w14:ligatures w14:val="none"/>
        </w:rPr>
        <w:t xml:space="preserve"> result</w:t>
      </w:r>
      <w:r>
        <w:rPr>
          <w:rFonts w:ascii="Arial" w:eastAsia="Times New Roman" w:hAnsi="Arial" w:cs="Arial"/>
          <w:color w:val="0E101A"/>
          <w:sz w:val="24"/>
          <w:szCs w:val="24"/>
          <w:lang w:eastAsia="en-GB"/>
          <w14:ligatures w14:val="none"/>
        </w:rPr>
        <w:t>ing</w:t>
      </w:r>
      <w:r w:rsidRPr="008C0D65">
        <w:rPr>
          <w:rFonts w:ascii="Arial" w:eastAsia="Times New Roman" w:hAnsi="Arial" w:cs="Arial"/>
          <w:color w:val="0E101A"/>
          <w:sz w:val="24"/>
          <w:szCs w:val="24"/>
          <w:lang w:eastAsia="en-GB"/>
          <w14:ligatures w14:val="none"/>
        </w:rPr>
        <w:t xml:space="preserve"> from changes in treatment decisions.</w:t>
      </w:r>
      <w:r>
        <w:rPr>
          <w:rFonts w:ascii="Arial" w:eastAsia="Times New Roman" w:hAnsi="Arial" w:cs="Arial"/>
          <w:color w:val="0E101A"/>
          <w:sz w:val="24"/>
          <w:szCs w:val="24"/>
          <w:lang w:eastAsia="en-GB"/>
          <w14:ligatures w14:val="none"/>
        </w:rPr>
        <w:t xml:space="preserve"> The patients in the </w:t>
      </w:r>
      <w:r w:rsidRPr="00A06E78">
        <w:rPr>
          <w:rFonts w:ascii="Arial" w:eastAsia="Times New Roman" w:hAnsi="Arial" w:cs="Arial"/>
          <w:color w:val="0E101A"/>
          <w:sz w:val="24"/>
          <w:szCs w:val="24"/>
          <w:lang w:eastAsia="en-GB"/>
          <w14:ligatures w14:val="none"/>
        </w:rPr>
        <w:t>virtual change subset</w:t>
      </w:r>
      <w:r>
        <w:rPr>
          <w:rFonts w:ascii="Arial" w:eastAsia="Times New Roman" w:hAnsi="Arial" w:cs="Arial"/>
          <w:color w:val="0E101A"/>
          <w:sz w:val="24"/>
          <w:szCs w:val="24"/>
          <w:lang w:eastAsia="en-GB"/>
          <w14:ligatures w14:val="none"/>
        </w:rPr>
        <w:t xml:space="preserve"> (</w:t>
      </w:r>
      <w:r w:rsidRPr="00A06E78">
        <w:rPr>
          <w:rFonts w:ascii="Arial" w:eastAsia="Times New Roman" w:hAnsi="Arial" w:cs="Arial"/>
          <w:color w:val="0E101A"/>
          <w:sz w:val="24"/>
          <w:szCs w:val="24"/>
          <w:lang w:eastAsia="en-GB"/>
          <w14:ligatures w14:val="none"/>
        </w:rPr>
        <w:t>n=65) were re-discussed in t</w:t>
      </w:r>
      <w:r>
        <w:rPr>
          <w:rFonts w:ascii="Arial" w:eastAsia="Times New Roman" w:hAnsi="Arial" w:cs="Arial"/>
          <w:color w:val="0E101A"/>
          <w:sz w:val="24"/>
          <w:szCs w:val="24"/>
          <w:lang w:eastAsia="en-GB"/>
          <w14:ligatures w14:val="none"/>
        </w:rPr>
        <w:t>wo independent</w:t>
      </w:r>
      <w:r w:rsidRPr="00A06E78">
        <w:rPr>
          <w:rFonts w:ascii="Arial" w:eastAsia="Times New Roman" w:hAnsi="Arial" w:cs="Arial"/>
          <w:color w:val="0E101A"/>
          <w:sz w:val="24"/>
          <w:szCs w:val="24"/>
          <w:lang w:eastAsia="en-GB"/>
          <w14:ligatures w14:val="none"/>
        </w:rPr>
        <w:t xml:space="preserve"> expert </w:t>
      </w:r>
      <w:r>
        <w:rPr>
          <w:rFonts w:ascii="Arial" w:eastAsia="Times New Roman" w:hAnsi="Arial" w:cs="Arial"/>
          <w:color w:val="0E101A"/>
          <w:sz w:val="24"/>
          <w:szCs w:val="24"/>
          <w:lang w:eastAsia="en-GB"/>
          <w14:ligatures w14:val="none"/>
        </w:rPr>
        <w:t xml:space="preserve">multidisciplinary teams (MDTs), </w:t>
      </w:r>
      <w:r w:rsidRPr="00A06E78">
        <w:rPr>
          <w:rFonts w:ascii="Arial" w:eastAsia="Times New Roman" w:hAnsi="Arial" w:cs="Arial"/>
          <w:color w:val="0E101A"/>
          <w:sz w:val="24"/>
          <w:szCs w:val="24"/>
          <w:lang w:eastAsia="en-GB"/>
          <w14:ligatures w14:val="none"/>
        </w:rPr>
        <w:t>each comprising two interventional cardiologists</w:t>
      </w:r>
      <w:r>
        <w:rPr>
          <w:rFonts w:ascii="Arial" w:eastAsia="Times New Roman" w:hAnsi="Arial" w:cs="Arial"/>
          <w:color w:val="0E101A"/>
          <w:sz w:val="24"/>
          <w:szCs w:val="24"/>
          <w:lang w:eastAsia="en-GB"/>
          <w14:ligatures w14:val="none"/>
        </w:rPr>
        <w:t>. Both MDTs</w:t>
      </w:r>
      <w:r w:rsidRPr="00A06E78">
        <w:rPr>
          <w:rFonts w:ascii="Arial" w:eastAsia="Times New Roman" w:hAnsi="Arial" w:cs="Arial"/>
          <w:color w:val="0E101A"/>
          <w:sz w:val="24"/>
          <w:szCs w:val="24"/>
          <w:lang w:eastAsia="en-GB"/>
          <w14:ligatures w14:val="none"/>
        </w:rPr>
        <w:t xml:space="preserve"> convened twice</w:t>
      </w:r>
      <w:r>
        <w:rPr>
          <w:rFonts w:ascii="Arial" w:eastAsia="Times New Roman" w:hAnsi="Arial" w:cs="Arial"/>
          <w:color w:val="0E101A"/>
          <w:sz w:val="24"/>
          <w:szCs w:val="24"/>
          <w:lang w:eastAsia="en-GB"/>
          <w14:ligatures w14:val="none"/>
        </w:rPr>
        <w:t xml:space="preserve"> (e</w:t>
      </w:r>
      <w:r w:rsidRPr="00A06E78">
        <w:rPr>
          <w:rFonts w:ascii="Arial" w:eastAsia="Times New Roman" w:hAnsi="Arial" w:cs="Arial"/>
          <w:color w:val="0E101A"/>
          <w:sz w:val="24"/>
          <w:szCs w:val="24"/>
          <w:lang w:eastAsia="en-GB"/>
          <w14:ligatures w14:val="none"/>
        </w:rPr>
        <w:t xml:space="preserve">ach </w:t>
      </w:r>
      <w:r w:rsidR="00EF5EE4">
        <w:rPr>
          <w:rFonts w:ascii="Arial" w:eastAsia="Times New Roman" w:hAnsi="Arial" w:cs="Arial"/>
          <w:color w:val="0E101A"/>
          <w:sz w:val="24"/>
          <w:szCs w:val="24"/>
          <w:lang w:eastAsia="en-GB"/>
          <w14:ligatures w14:val="none"/>
        </w:rPr>
        <w:t>MDT</w:t>
      </w:r>
      <w:r w:rsidRPr="00A06E78">
        <w:rPr>
          <w:rFonts w:ascii="Arial" w:eastAsia="Times New Roman" w:hAnsi="Arial" w:cs="Arial"/>
          <w:color w:val="0E101A"/>
          <w:sz w:val="24"/>
          <w:szCs w:val="24"/>
          <w:lang w:eastAsia="en-GB"/>
          <w14:ligatures w14:val="none"/>
        </w:rPr>
        <w:t xml:space="preserve"> lasted for four hours</w:t>
      </w:r>
      <w:r>
        <w:rPr>
          <w:rFonts w:ascii="Arial" w:eastAsia="Times New Roman" w:hAnsi="Arial" w:cs="Arial"/>
          <w:color w:val="0E101A"/>
          <w:sz w:val="24"/>
          <w:szCs w:val="24"/>
          <w:lang w:eastAsia="en-GB"/>
          <w14:ligatures w14:val="none"/>
        </w:rPr>
        <w:t xml:space="preserve">) </w:t>
      </w:r>
      <w:r w:rsidRPr="00A06E78">
        <w:rPr>
          <w:rFonts w:ascii="Arial" w:eastAsia="Times New Roman" w:hAnsi="Arial" w:cs="Arial"/>
          <w:color w:val="0E101A"/>
          <w:sz w:val="24"/>
          <w:szCs w:val="24"/>
          <w:lang w:eastAsia="en-GB"/>
          <w14:ligatures w14:val="none"/>
        </w:rPr>
        <w:t xml:space="preserve">to discuss </w:t>
      </w:r>
      <w:r w:rsidRPr="00A06E78">
        <w:rPr>
          <w:rFonts w:ascii="Arial" w:eastAsia="Times New Roman" w:hAnsi="Arial" w:cs="Arial"/>
          <w:color w:val="0E101A"/>
          <w:sz w:val="24"/>
          <w:szCs w:val="24"/>
          <w:lang w:eastAsia="en-GB"/>
          <w14:ligatures w14:val="none"/>
        </w:rPr>
        <w:lastRenderedPageBreak/>
        <w:t>the virtual change subse</w:t>
      </w:r>
      <w:r>
        <w:rPr>
          <w:rFonts w:ascii="Arial" w:eastAsia="Times New Roman" w:hAnsi="Arial" w:cs="Arial"/>
          <w:color w:val="0E101A"/>
          <w:sz w:val="24"/>
          <w:szCs w:val="24"/>
          <w:lang w:eastAsia="en-GB"/>
          <w14:ligatures w14:val="none"/>
        </w:rPr>
        <w:t>t</w:t>
      </w:r>
      <w:r w:rsidRPr="00A06E78">
        <w:rPr>
          <w:rFonts w:ascii="Arial" w:eastAsia="Times New Roman" w:hAnsi="Arial" w:cs="Arial"/>
          <w:color w:val="0E101A"/>
          <w:sz w:val="24"/>
          <w:szCs w:val="24"/>
          <w:lang w:eastAsia="en-GB"/>
          <w14:ligatures w14:val="none"/>
        </w:rPr>
        <w:t xml:space="preserve"> patients. The </w:t>
      </w:r>
      <w:r w:rsidR="00EF5EE4">
        <w:rPr>
          <w:rFonts w:ascii="Arial" w:eastAsia="Times New Roman" w:hAnsi="Arial" w:cs="Arial"/>
          <w:color w:val="0E101A"/>
          <w:sz w:val="24"/>
          <w:szCs w:val="24"/>
          <w:lang w:eastAsia="en-GB"/>
          <w14:ligatures w14:val="none"/>
        </w:rPr>
        <w:t>MDT</w:t>
      </w:r>
      <w:r w:rsidRPr="00A06E78">
        <w:rPr>
          <w:rFonts w:ascii="Arial" w:eastAsia="Times New Roman" w:hAnsi="Arial" w:cs="Arial"/>
          <w:color w:val="0E101A"/>
          <w:sz w:val="24"/>
          <w:szCs w:val="24"/>
          <w:lang w:eastAsia="en-GB"/>
          <w14:ligatures w14:val="none"/>
        </w:rPr>
        <w:t xml:space="preserve">s were conducted in the same format as the </w:t>
      </w:r>
      <w:r>
        <w:rPr>
          <w:rFonts w:ascii="Arial" w:eastAsia="Times New Roman" w:hAnsi="Arial" w:cs="Arial"/>
          <w:color w:val="0E101A"/>
          <w:sz w:val="24"/>
          <w:szCs w:val="24"/>
          <w:lang w:eastAsia="en-GB"/>
          <w14:ligatures w14:val="none"/>
        </w:rPr>
        <w:t xml:space="preserve">main </w:t>
      </w:r>
      <w:r w:rsidRPr="00A06E78">
        <w:rPr>
          <w:rFonts w:ascii="Arial" w:eastAsia="Times New Roman" w:hAnsi="Arial" w:cs="Arial"/>
          <w:color w:val="0E101A"/>
          <w:sz w:val="24"/>
          <w:szCs w:val="24"/>
          <w:lang w:eastAsia="en-GB"/>
          <w14:ligatures w14:val="none"/>
        </w:rPr>
        <w:t xml:space="preserve">VIRTU-4 study to standardise the decision-making process. The </w:t>
      </w:r>
      <w:r>
        <w:rPr>
          <w:rFonts w:ascii="Arial" w:eastAsia="Times New Roman" w:hAnsi="Arial" w:cs="Arial"/>
          <w:color w:val="0E101A"/>
          <w:sz w:val="24"/>
          <w:szCs w:val="24"/>
          <w:lang w:eastAsia="en-GB"/>
          <w14:ligatures w14:val="none"/>
        </w:rPr>
        <w:t>MDTs</w:t>
      </w:r>
      <w:r w:rsidRPr="00A06E78">
        <w:rPr>
          <w:rFonts w:ascii="Arial" w:eastAsia="Times New Roman" w:hAnsi="Arial" w:cs="Arial"/>
          <w:color w:val="0E101A"/>
          <w:sz w:val="24"/>
          <w:szCs w:val="24"/>
          <w:lang w:eastAsia="en-GB"/>
          <w14:ligatures w14:val="none"/>
        </w:rPr>
        <w:t xml:space="preserve"> w</w:t>
      </w:r>
      <w:r>
        <w:rPr>
          <w:rFonts w:ascii="Arial" w:eastAsia="Times New Roman" w:hAnsi="Arial" w:cs="Arial"/>
          <w:color w:val="0E101A"/>
          <w:sz w:val="24"/>
          <w:szCs w:val="24"/>
          <w:lang w:eastAsia="en-GB"/>
          <w14:ligatures w14:val="none"/>
        </w:rPr>
        <w:t>ere</w:t>
      </w:r>
      <w:r w:rsidRPr="00A06E78">
        <w:rPr>
          <w:rFonts w:ascii="Arial" w:eastAsia="Times New Roman" w:hAnsi="Arial" w:cs="Arial"/>
          <w:color w:val="0E101A"/>
          <w:sz w:val="24"/>
          <w:szCs w:val="24"/>
          <w:lang w:eastAsia="en-GB"/>
          <w14:ligatures w14:val="none"/>
        </w:rPr>
        <w:t xml:space="preserve"> presented with a detailed medical history and clinical data</w:t>
      </w:r>
      <w:r>
        <w:rPr>
          <w:rFonts w:ascii="Arial" w:eastAsia="Times New Roman" w:hAnsi="Arial" w:cs="Arial"/>
          <w:color w:val="0E101A"/>
          <w:sz w:val="24"/>
          <w:szCs w:val="24"/>
          <w:lang w:eastAsia="en-GB"/>
          <w14:ligatures w14:val="none"/>
        </w:rPr>
        <w:t>,</w:t>
      </w:r>
      <w:r w:rsidRPr="00A06E78">
        <w:rPr>
          <w:rFonts w:ascii="Arial" w:eastAsia="Times New Roman" w:hAnsi="Arial" w:cs="Arial"/>
          <w:color w:val="0E101A"/>
          <w:sz w:val="24"/>
          <w:szCs w:val="24"/>
          <w:lang w:eastAsia="en-GB"/>
          <w14:ligatures w14:val="none"/>
        </w:rPr>
        <w:t xml:space="preserve"> followed by the CAG cine images. </w:t>
      </w:r>
      <w:r>
        <w:rPr>
          <w:rFonts w:ascii="Arial" w:eastAsia="Times New Roman" w:hAnsi="Arial" w:cs="Arial"/>
          <w:color w:val="0E101A"/>
          <w:sz w:val="24"/>
          <w:szCs w:val="24"/>
          <w:lang w:eastAsia="en-GB"/>
          <w14:ligatures w14:val="none"/>
        </w:rPr>
        <w:t>MDTs</w:t>
      </w:r>
      <w:r w:rsidRPr="00A06E78">
        <w:rPr>
          <w:rFonts w:ascii="Arial" w:eastAsia="Times New Roman" w:hAnsi="Arial" w:cs="Arial"/>
          <w:color w:val="0E101A"/>
          <w:sz w:val="24"/>
          <w:szCs w:val="24"/>
          <w:lang w:eastAsia="en-GB"/>
          <w14:ligatures w14:val="none"/>
        </w:rPr>
        <w:t xml:space="preserve"> proposed a management plan based on the visual assessment of CAG (pre-vFFR plan). The vFFR results were then disclosed and </w:t>
      </w:r>
      <w:r>
        <w:rPr>
          <w:rFonts w:ascii="Arial" w:eastAsia="Times New Roman" w:hAnsi="Arial" w:cs="Arial"/>
          <w:color w:val="0E101A"/>
          <w:sz w:val="24"/>
          <w:szCs w:val="24"/>
          <w:lang w:eastAsia="en-GB"/>
          <w14:ligatures w14:val="none"/>
        </w:rPr>
        <w:t>the virtual</w:t>
      </w:r>
      <w:r w:rsidRPr="00A06E78">
        <w:rPr>
          <w:rFonts w:ascii="Arial" w:eastAsia="Times New Roman" w:hAnsi="Arial" w:cs="Arial"/>
          <w:color w:val="0E101A"/>
          <w:sz w:val="24"/>
          <w:szCs w:val="24"/>
          <w:lang w:eastAsia="en-GB"/>
          <w14:ligatures w14:val="none"/>
        </w:rPr>
        <w:t xml:space="preserve"> change in the treatment strategy was recorded (post-vFFR plan). The pre- and post-vFFR plans from the </w:t>
      </w:r>
      <w:r>
        <w:rPr>
          <w:rFonts w:ascii="Arial" w:eastAsia="Times New Roman" w:hAnsi="Arial" w:cs="Arial"/>
          <w:color w:val="0E101A"/>
          <w:sz w:val="24"/>
          <w:szCs w:val="24"/>
          <w:lang w:eastAsia="en-GB"/>
          <w14:ligatures w14:val="none"/>
        </w:rPr>
        <w:t xml:space="preserve">MDTs </w:t>
      </w:r>
      <w:r w:rsidRPr="00A06E78">
        <w:rPr>
          <w:rFonts w:ascii="Arial" w:eastAsia="Times New Roman" w:hAnsi="Arial" w:cs="Arial"/>
          <w:color w:val="0E101A"/>
          <w:sz w:val="24"/>
          <w:szCs w:val="24"/>
          <w:lang w:eastAsia="en-GB"/>
          <w14:ligatures w14:val="none"/>
        </w:rPr>
        <w:t xml:space="preserve">were then used to check </w:t>
      </w:r>
      <w:r>
        <w:rPr>
          <w:rFonts w:ascii="Arial" w:eastAsia="Times New Roman" w:hAnsi="Arial" w:cs="Arial"/>
          <w:color w:val="0E101A"/>
          <w:sz w:val="24"/>
          <w:szCs w:val="24"/>
          <w:lang w:eastAsia="en-GB"/>
          <w14:ligatures w14:val="none"/>
        </w:rPr>
        <w:t xml:space="preserve">against the </w:t>
      </w:r>
      <w:r w:rsidRPr="00A06E78">
        <w:rPr>
          <w:rFonts w:ascii="Arial" w:eastAsia="Times New Roman" w:hAnsi="Arial" w:cs="Arial"/>
          <w:color w:val="0E101A"/>
          <w:sz w:val="24"/>
          <w:szCs w:val="24"/>
          <w:lang w:eastAsia="en-GB"/>
          <w14:ligatures w14:val="none"/>
        </w:rPr>
        <w:t xml:space="preserve">VIRTU-4 parent </w:t>
      </w:r>
      <w:r>
        <w:rPr>
          <w:rFonts w:ascii="Arial" w:eastAsia="Times New Roman" w:hAnsi="Arial" w:cs="Arial"/>
          <w:color w:val="0E101A"/>
          <w:sz w:val="24"/>
          <w:szCs w:val="24"/>
          <w:lang w:eastAsia="en-GB"/>
          <w14:ligatures w14:val="none"/>
        </w:rPr>
        <w:t>cardiologist</w:t>
      </w:r>
      <w:r w:rsidR="00C7524E">
        <w:rPr>
          <w:rFonts w:ascii="Arial" w:eastAsia="Times New Roman" w:hAnsi="Arial" w:cs="Arial"/>
          <w:color w:val="0E101A"/>
          <w:sz w:val="24"/>
          <w:szCs w:val="24"/>
          <w:lang w:eastAsia="en-GB"/>
          <w14:ligatures w14:val="none"/>
        </w:rPr>
        <w:t>s’</w:t>
      </w:r>
      <w:r>
        <w:rPr>
          <w:rFonts w:ascii="Arial" w:eastAsia="Times New Roman" w:hAnsi="Arial" w:cs="Arial"/>
          <w:color w:val="0E101A"/>
          <w:sz w:val="24"/>
          <w:szCs w:val="24"/>
          <w:lang w:eastAsia="en-GB"/>
          <w14:ligatures w14:val="none"/>
        </w:rPr>
        <w:t xml:space="preserve"> plans to check for </w:t>
      </w:r>
      <w:r w:rsidRPr="00A06E78">
        <w:rPr>
          <w:rFonts w:ascii="Arial" w:eastAsia="Times New Roman" w:hAnsi="Arial" w:cs="Arial"/>
          <w:color w:val="0E101A"/>
          <w:sz w:val="24"/>
          <w:szCs w:val="24"/>
          <w:lang w:eastAsia="en-GB"/>
          <w14:ligatures w14:val="none"/>
        </w:rPr>
        <w:t xml:space="preserve">concordance. The </w:t>
      </w:r>
      <w:r>
        <w:rPr>
          <w:rFonts w:ascii="Arial" w:eastAsia="Times New Roman" w:hAnsi="Arial" w:cs="Arial"/>
          <w:color w:val="0E101A"/>
          <w:sz w:val="24"/>
          <w:szCs w:val="24"/>
          <w:lang w:eastAsia="en-GB"/>
          <w14:ligatures w14:val="none"/>
        </w:rPr>
        <w:t>MDTs</w:t>
      </w:r>
      <w:r w:rsidRPr="00A06E78">
        <w:rPr>
          <w:rFonts w:ascii="Arial" w:eastAsia="Times New Roman" w:hAnsi="Arial" w:cs="Arial"/>
          <w:color w:val="0E101A"/>
          <w:sz w:val="24"/>
          <w:szCs w:val="24"/>
          <w:lang w:eastAsia="en-GB"/>
          <w14:ligatures w14:val="none"/>
        </w:rPr>
        <w:t xml:space="preserve"> w</w:t>
      </w:r>
      <w:r>
        <w:rPr>
          <w:rFonts w:ascii="Arial" w:eastAsia="Times New Roman" w:hAnsi="Arial" w:cs="Arial"/>
          <w:color w:val="0E101A"/>
          <w:sz w:val="24"/>
          <w:szCs w:val="24"/>
          <w:lang w:eastAsia="en-GB"/>
          <w14:ligatures w14:val="none"/>
        </w:rPr>
        <w:t>ere</w:t>
      </w:r>
      <w:r w:rsidRPr="00A06E78">
        <w:rPr>
          <w:rFonts w:ascii="Arial" w:eastAsia="Times New Roman" w:hAnsi="Arial" w:cs="Arial"/>
          <w:color w:val="0E101A"/>
          <w:sz w:val="24"/>
          <w:szCs w:val="24"/>
          <w:lang w:eastAsia="en-GB"/>
          <w14:ligatures w14:val="none"/>
        </w:rPr>
        <w:t xml:space="preserve"> also presented with the actual clinical outcomes regarding MACE, QOL, NYHA and CCS classes. The virtual change</w:t>
      </w:r>
      <w:r>
        <w:rPr>
          <w:rFonts w:ascii="Arial" w:eastAsia="Times New Roman" w:hAnsi="Arial" w:cs="Arial"/>
          <w:color w:val="0E101A"/>
          <w:sz w:val="24"/>
          <w:szCs w:val="24"/>
          <w:lang w:eastAsia="en-GB"/>
          <w14:ligatures w14:val="none"/>
        </w:rPr>
        <w:t>s</w:t>
      </w:r>
      <w:r w:rsidRPr="00A06E78">
        <w:rPr>
          <w:rFonts w:ascii="Arial" w:eastAsia="Times New Roman" w:hAnsi="Arial" w:cs="Arial"/>
          <w:color w:val="0E101A"/>
          <w:sz w:val="24"/>
          <w:szCs w:val="24"/>
          <w:lang w:eastAsia="en-GB"/>
          <w14:ligatures w14:val="none"/>
        </w:rPr>
        <w:t xml:space="preserve"> in management plans w</w:t>
      </w:r>
      <w:r>
        <w:rPr>
          <w:rFonts w:ascii="Arial" w:eastAsia="Times New Roman" w:hAnsi="Arial" w:cs="Arial"/>
          <w:color w:val="0E101A"/>
          <w:sz w:val="24"/>
          <w:szCs w:val="24"/>
          <w:lang w:eastAsia="en-GB"/>
          <w14:ligatures w14:val="none"/>
        </w:rPr>
        <w:t>ere</w:t>
      </w:r>
      <w:r w:rsidRPr="00A06E78">
        <w:rPr>
          <w:rFonts w:ascii="Arial" w:eastAsia="Times New Roman" w:hAnsi="Arial" w:cs="Arial"/>
          <w:color w:val="0E101A"/>
          <w:sz w:val="24"/>
          <w:szCs w:val="24"/>
          <w:lang w:eastAsia="en-GB"/>
          <w14:ligatures w14:val="none"/>
        </w:rPr>
        <w:t xml:space="preserve"> linked to the potential clinical</w:t>
      </w:r>
      <w:r w:rsidR="00C7524E">
        <w:rPr>
          <w:rFonts w:ascii="Arial" w:eastAsia="Times New Roman" w:hAnsi="Arial" w:cs="Arial"/>
          <w:color w:val="0E101A"/>
          <w:sz w:val="24"/>
          <w:szCs w:val="24"/>
          <w:lang w:eastAsia="en-GB"/>
          <w14:ligatures w14:val="none"/>
        </w:rPr>
        <w:t>,</w:t>
      </w:r>
      <w:r w:rsidRPr="00A06E78">
        <w:rPr>
          <w:rFonts w:ascii="Arial" w:eastAsia="Times New Roman" w:hAnsi="Arial" w:cs="Arial"/>
          <w:color w:val="0E101A"/>
          <w:sz w:val="24"/>
          <w:szCs w:val="24"/>
          <w:lang w:eastAsia="en-GB"/>
          <w14:ligatures w14:val="none"/>
        </w:rPr>
        <w:t xml:space="preserve"> economic</w:t>
      </w:r>
      <w:r w:rsidR="00C7524E">
        <w:rPr>
          <w:rFonts w:ascii="Arial" w:eastAsia="Times New Roman" w:hAnsi="Arial" w:cs="Arial"/>
          <w:color w:val="0E101A"/>
          <w:sz w:val="24"/>
          <w:szCs w:val="24"/>
          <w:lang w:eastAsia="en-GB"/>
          <w14:ligatures w14:val="none"/>
        </w:rPr>
        <w:t xml:space="preserve"> and QOL</w:t>
      </w:r>
      <w:r w:rsidRPr="00A06E78">
        <w:rPr>
          <w:rFonts w:ascii="Arial" w:eastAsia="Times New Roman" w:hAnsi="Arial" w:cs="Arial"/>
          <w:color w:val="0E101A"/>
          <w:sz w:val="24"/>
          <w:szCs w:val="24"/>
          <w:lang w:eastAsia="en-GB"/>
          <w14:ligatures w14:val="none"/>
        </w:rPr>
        <w:t xml:space="preserve"> consequences (in line with the published literature) to estimate the impact of vFFR</w:t>
      </w:r>
      <w:r>
        <w:rPr>
          <w:rFonts w:ascii="Arial" w:eastAsia="Times New Roman" w:hAnsi="Arial" w:cs="Arial"/>
          <w:color w:val="0E101A"/>
          <w:sz w:val="24"/>
          <w:szCs w:val="24"/>
          <w:lang w:eastAsia="en-GB"/>
          <w14:ligatures w14:val="none"/>
        </w:rPr>
        <w:t xml:space="preserve"> addition to CAG-</w:t>
      </w:r>
      <w:r w:rsidRPr="00A06E78">
        <w:rPr>
          <w:rFonts w:ascii="Arial" w:eastAsia="Times New Roman" w:hAnsi="Arial" w:cs="Arial"/>
          <w:color w:val="0E101A"/>
          <w:sz w:val="24"/>
          <w:szCs w:val="24"/>
          <w:lang w:eastAsia="en-GB"/>
          <w14:ligatures w14:val="none"/>
        </w:rPr>
        <w:t>based treatment in CAD.</w:t>
      </w:r>
      <w:r>
        <w:rPr>
          <w:rFonts w:ascii="Arial" w:eastAsia="Times New Roman" w:hAnsi="Arial" w:cs="Arial"/>
          <w:color w:val="0E101A"/>
          <w:sz w:val="24"/>
          <w:szCs w:val="24"/>
          <w:lang w:eastAsia="en-GB"/>
          <w14:ligatures w14:val="none"/>
        </w:rPr>
        <w:t xml:space="preserve"> </w:t>
      </w:r>
    </w:p>
    <w:p w14:paraId="55E4C268" w14:textId="77777777" w:rsidR="00DA114D" w:rsidRPr="00A06E78" w:rsidRDefault="00DA114D" w:rsidP="00DA114D">
      <w:pPr>
        <w:spacing w:after="0" w:line="360" w:lineRule="auto"/>
        <w:jc w:val="both"/>
        <w:rPr>
          <w:rFonts w:ascii="Arial" w:eastAsia="Times New Roman" w:hAnsi="Arial" w:cs="Arial"/>
          <w:color w:val="0E101A"/>
          <w:sz w:val="24"/>
          <w:szCs w:val="24"/>
          <w:lang w:eastAsia="en-GB"/>
          <w14:ligatures w14:val="none"/>
        </w:rPr>
      </w:pPr>
      <w:r>
        <w:rPr>
          <w:rFonts w:ascii="Arial" w:eastAsia="Times New Roman" w:hAnsi="Arial" w:cs="Arial"/>
          <w:color w:val="0E101A"/>
          <w:sz w:val="24"/>
          <w:szCs w:val="24"/>
          <w:lang w:eastAsia="en-GB"/>
          <w14:ligatures w14:val="none"/>
        </w:rPr>
        <w:t>In summary, t</w:t>
      </w:r>
      <w:r w:rsidRPr="00A06E78">
        <w:rPr>
          <w:rFonts w:ascii="Arial" w:eastAsia="Times New Roman" w:hAnsi="Arial" w:cs="Arial"/>
          <w:color w:val="0E101A"/>
          <w:sz w:val="24"/>
          <w:szCs w:val="24"/>
          <w:lang w:eastAsia="en-GB"/>
          <w14:ligatures w14:val="none"/>
        </w:rPr>
        <w:t xml:space="preserve">he aims of the expert </w:t>
      </w:r>
      <w:r>
        <w:rPr>
          <w:rFonts w:ascii="Arial" w:eastAsia="Times New Roman" w:hAnsi="Arial" w:cs="Arial"/>
          <w:color w:val="0E101A"/>
          <w:sz w:val="24"/>
          <w:szCs w:val="24"/>
          <w:lang w:eastAsia="en-GB"/>
          <w14:ligatures w14:val="none"/>
        </w:rPr>
        <w:t>MDTs</w:t>
      </w:r>
      <w:r w:rsidRPr="00A06E78">
        <w:rPr>
          <w:rFonts w:ascii="Arial" w:eastAsia="Times New Roman" w:hAnsi="Arial" w:cs="Arial"/>
          <w:color w:val="0E101A"/>
          <w:sz w:val="24"/>
          <w:szCs w:val="24"/>
          <w:lang w:eastAsia="en-GB"/>
          <w14:ligatures w14:val="none"/>
        </w:rPr>
        <w:t xml:space="preserve"> were to:</w:t>
      </w:r>
    </w:p>
    <w:p w14:paraId="440303EC" w14:textId="77777777" w:rsidR="00DA114D" w:rsidRPr="001D2086" w:rsidRDefault="00DA114D" w:rsidP="00E50651">
      <w:pPr>
        <w:numPr>
          <w:ilvl w:val="0"/>
          <w:numId w:val="22"/>
        </w:numPr>
        <w:spacing w:after="0" w:line="360" w:lineRule="auto"/>
        <w:jc w:val="both"/>
        <w:rPr>
          <w:rFonts w:ascii="Arial" w:eastAsia="Times New Roman" w:hAnsi="Arial" w:cs="Arial"/>
          <w:color w:val="0E101A"/>
          <w:sz w:val="24"/>
          <w:szCs w:val="24"/>
          <w:lang w:eastAsia="en-GB"/>
          <w14:ligatures w14:val="none"/>
        </w:rPr>
      </w:pPr>
      <w:r w:rsidRPr="00A06E78">
        <w:rPr>
          <w:rFonts w:ascii="Arial" w:eastAsia="Times New Roman" w:hAnsi="Arial" w:cs="Arial"/>
          <w:color w:val="0E101A"/>
          <w:sz w:val="24"/>
          <w:szCs w:val="24"/>
          <w:lang w:eastAsia="en-GB"/>
          <w14:ligatures w14:val="none"/>
        </w:rPr>
        <w:t>Evaluate the concordance of the pre-</w:t>
      </w:r>
      <w:r>
        <w:rPr>
          <w:rFonts w:ascii="Arial" w:eastAsia="Times New Roman" w:hAnsi="Arial" w:cs="Arial"/>
          <w:color w:val="0E101A"/>
          <w:sz w:val="24"/>
          <w:szCs w:val="24"/>
          <w:lang w:eastAsia="en-GB"/>
          <w14:ligatures w14:val="none"/>
        </w:rPr>
        <w:t xml:space="preserve"> and post-</w:t>
      </w:r>
      <w:r w:rsidRPr="00A06E78">
        <w:rPr>
          <w:rFonts w:ascii="Arial" w:eastAsia="Times New Roman" w:hAnsi="Arial" w:cs="Arial"/>
          <w:color w:val="0E101A"/>
          <w:sz w:val="24"/>
          <w:szCs w:val="24"/>
          <w:lang w:eastAsia="en-GB"/>
          <w14:ligatures w14:val="none"/>
        </w:rPr>
        <w:t xml:space="preserve">vFFR treatment plans between the parent </w:t>
      </w:r>
      <w:r>
        <w:rPr>
          <w:rFonts w:ascii="Arial" w:eastAsia="Times New Roman" w:hAnsi="Arial" w:cs="Arial"/>
          <w:color w:val="0E101A"/>
          <w:sz w:val="24"/>
          <w:szCs w:val="24"/>
          <w:lang w:eastAsia="en-GB"/>
          <w14:ligatures w14:val="none"/>
        </w:rPr>
        <w:t>cardiologists from the VIRTU-4</w:t>
      </w:r>
      <w:r w:rsidRPr="00A06E78">
        <w:rPr>
          <w:rFonts w:ascii="Arial" w:eastAsia="Times New Roman" w:hAnsi="Arial" w:cs="Arial"/>
          <w:color w:val="0E101A"/>
          <w:sz w:val="24"/>
          <w:szCs w:val="24"/>
          <w:lang w:eastAsia="en-GB"/>
          <w14:ligatures w14:val="none"/>
        </w:rPr>
        <w:t xml:space="preserve"> and the expert </w:t>
      </w:r>
      <w:r>
        <w:rPr>
          <w:rFonts w:ascii="Arial" w:eastAsia="Times New Roman" w:hAnsi="Arial" w:cs="Arial"/>
          <w:color w:val="0E101A"/>
          <w:sz w:val="24"/>
          <w:szCs w:val="24"/>
          <w:lang w:eastAsia="en-GB"/>
          <w14:ligatures w14:val="none"/>
        </w:rPr>
        <w:t xml:space="preserve">MDTs </w:t>
      </w:r>
      <w:r w:rsidRPr="001D2086">
        <w:rPr>
          <w:rFonts w:ascii="Arial" w:eastAsia="Times New Roman" w:hAnsi="Arial" w:cs="Arial"/>
          <w:color w:val="0E101A"/>
          <w:sz w:val="24"/>
          <w:szCs w:val="24"/>
          <w:lang w:eastAsia="en-GB"/>
          <w14:ligatures w14:val="none"/>
        </w:rPr>
        <w:t xml:space="preserve">to </w:t>
      </w:r>
      <w:r>
        <w:rPr>
          <w:rFonts w:ascii="Arial" w:eastAsia="Times New Roman" w:hAnsi="Arial" w:cs="Arial"/>
          <w:color w:val="0E101A"/>
          <w:sz w:val="24"/>
          <w:szCs w:val="24"/>
          <w:lang w:eastAsia="en-GB"/>
          <w14:ligatures w14:val="none"/>
        </w:rPr>
        <w:t>assess</w:t>
      </w:r>
      <w:r w:rsidRPr="001D2086">
        <w:rPr>
          <w:rFonts w:ascii="Arial" w:eastAsia="Times New Roman" w:hAnsi="Arial" w:cs="Arial"/>
          <w:color w:val="0E101A"/>
          <w:sz w:val="24"/>
          <w:szCs w:val="24"/>
          <w:lang w:eastAsia="en-GB"/>
          <w14:ligatures w14:val="none"/>
        </w:rPr>
        <w:t xml:space="preserve"> the</w:t>
      </w:r>
      <w:r>
        <w:rPr>
          <w:rFonts w:ascii="Arial" w:eastAsia="Times New Roman" w:hAnsi="Arial" w:cs="Arial"/>
          <w:color w:val="0E101A"/>
          <w:sz w:val="24"/>
          <w:szCs w:val="24"/>
          <w:lang w:eastAsia="en-GB"/>
          <w14:ligatures w14:val="none"/>
        </w:rPr>
        <w:t xml:space="preserve"> </w:t>
      </w:r>
      <w:r w:rsidRPr="001D2086">
        <w:rPr>
          <w:rFonts w:ascii="Arial" w:eastAsia="Times New Roman" w:hAnsi="Arial" w:cs="Arial"/>
          <w:color w:val="0E101A"/>
          <w:sz w:val="24"/>
          <w:szCs w:val="24"/>
          <w:lang w:eastAsia="en-GB"/>
          <w14:ligatures w14:val="none"/>
        </w:rPr>
        <w:t xml:space="preserve">variability </w:t>
      </w:r>
      <w:r>
        <w:rPr>
          <w:rFonts w:ascii="Arial" w:eastAsia="Times New Roman" w:hAnsi="Arial" w:cs="Arial"/>
          <w:color w:val="0E101A"/>
          <w:sz w:val="24"/>
          <w:szCs w:val="24"/>
          <w:lang w:eastAsia="en-GB"/>
          <w14:ligatures w14:val="none"/>
        </w:rPr>
        <w:t>between individual vs collective decision-making.</w:t>
      </w:r>
    </w:p>
    <w:p w14:paraId="42BA3D0A" w14:textId="77777777" w:rsidR="00DA114D" w:rsidRPr="00A06E78" w:rsidRDefault="00DA114D" w:rsidP="00E50651">
      <w:pPr>
        <w:numPr>
          <w:ilvl w:val="0"/>
          <w:numId w:val="22"/>
        </w:numPr>
        <w:spacing w:after="0" w:line="360" w:lineRule="auto"/>
        <w:jc w:val="both"/>
        <w:rPr>
          <w:rFonts w:ascii="Arial" w:eastAsia="Times New Roman" w:hAnsi="Arial" w:cs="Arial"/>
          <w:color w:val="0E101A"/>
          <w:sz w:val="24"/>
          <w:szCs w:val="24"/>
          <w:lang w:eastAsia="en-GB"/>
          <w14:ligatures w14:val="none"/>
        </w:rPr>
      </w:pPr>
      <w:r w:rsidRPr="00A06E78">
        <w:rPr>
          <w:rFonts w:ascii="Arial" w:eastAsia="Times New Roman" w:hAnsi="Arial" w:cs="Arial"/>
          <w:color w:val="0E101A"/>
          <w:sz w:val="24"/>
          <w:szCs w:val="24"/>
          <w:lang w:eastAsia="en-GB"/>
          <w14:ligatures w14:val="none"/>
        </w:rPr>
        <w:t>Link the potential impact of virtual change in treatment from vFFR to the clinical</w:t>
      </w:r>
      <w:r>
        <w:rPr>
          <w:rFonts w:ascii="Arial" w:eastAsia="Times New Roman" w:hAnsi="Arial" w:cs="Arial"/>
          <w:color w:val="0E101A"/>
          <w:sz w:val="24"/>
          <w:szCs w:val="24"/>
          <w:lang w:eastAsia="en-GB"/>
          <w14:ligatures w14:val="none"/>
        </w:rPr>
        <w:t xml:space="preserve"> </w:t>
      </w:r>
      <w:r w:rsidRPr="00A06E78">
        <w:rPr>
          <w:rFonts w:ascii="Arial" w:eastAsia="Times New Roman" w:hAnsi="Arial" w:cs="Arial"/>
          <w:color w:val="0E101A"/>
          <w:sz w:val="24"/>
          <w:szCs w:val="24"/>
          <w:lang w:eastAsia="en-GB"/>
          <w14:ligatures w14:val="none"/>
        </w:rPr>
        <w:t>(MACE, NYHA class, CCS class)</w:t>
      </w:r>
      <w:r>
        <w:rPr>
          <w:rFonts w:ascii="Arial" w:eastAsia="Times New Roman" w:hAnsi="Arial" w:cs="Arial"/>
          <w:color w:val="0E101A"/>
          <w:sz w:val="24"/>
          <w:szCs w:val="24"/>
          <w:lang w:eastAsia="en-GB"/>
          <w14:ligatures w14:val="none"/>
        </w:rPr>
        <w:t xml:space="preserve"> and economic outcomes along with QOL</w:t>
      </w:r>
      <w:r w:rsidRPr="00A06E78">
        <w:rPr>
          <w:rFonts w:ascii="Arial" w:eastAsia="Times New Roman" w:hAnsi="Arial" w:cs="Arial"/>
          <w:color w:val="0E101A"/>
          <w:sz w:val="24"/>
          <w:szCs w:val="24"/>
          <w:lang w:eastAsia="en-GB"/>
          <w14:ligatures w14:val="none"/>
        </w:rPr>
        <w:t>.</w:t>
      </w:r>
    </w:p>
    <w:p w14:paraId="7DC48D55" w14:textId="6D069AE2" w:rsidR="00DA114D" w:rsidRDefault="00DA114D" w:rsidP="00DA114D">
      <w:pPr>
        <w:spacing w:after="0" w:line="360" w:lineRule="auto"/>
        <w:jc w:val="both"/>
        <w:rPr>
          <w:rFonts w:ascii="Arial" w:eastAsia="Times New Roman" w:hAnsi="Arial" w:cs="Arial"/>
          <w:color w:val="0E101A"/>
          <w:sz w:val="24"/>
          <w:szCs w:val="24"/>
          <w:lang w:eastAsia="en-GB"/>
          <w14:ligatures w14:val="none"/>
        </w:rPr>
      </w:pPr>
      <w:r w:rsidRPr="00A06E78">
        <w:rPr>
          <w:rFonts w:ascii="Arial" w:eastAsia="Times New Roman" w:hAnsi="Arial" w:cs="Arial"/>
          <w:color w:val="0E101A"/>
          <w:sz w:val="24"/>
          <w:szCs w:val="24"/>
          <w:lang w:eastAsia="en-GB"/>
          <w14:ligatures w14:val="none"/>
        </w:rPr>
        <w:t>The</w:t>
      </w:r>
      <w:r>
        <w:rPr>
          <w:rFonts w:ascii="Arial" w:eastAsia="Times New Roman" w:hAnsi="Arial" w:cs="Arial"/>
          <w:color w:val="0E101A"/>
          <w:sz w:val="24"/>
          <w:szCs w:val="24"/>
          <w:lang w:eastAsia="en-GB"/>
          <w14:ligatures w14:val="none"/>
        </w:rPr>
        <w:t xml:space="preserve"> </w:t>
      </w:r>
      <w:r w:rsidRPr="00A06E78">
        <w:rPr>
          <w:rFonts w:ascii="Arial" w:eastAsia="Times New Roman" w:hAnsi="Arial" w:cs="Arial"/>
          <w:color w:val="0E101A"/>
          <w:sz w:val="24"/>
          <w:szCs w:val="24"/>
          <w:lang w:eastAsia="en-GB"/>
          <w14:ligatures w14:val="none"/>
        </w:rPr>
        <w:t xml:space="preserve">outline of VIRTU-4 HE study, and </w:t>
      </w:r>
      <w:r w:rsidR="0055581F">
        <w:rPr>
          <w:rFonts w:ascii="Arial" w:eastAsia="Times New Roman" w:hAnsi="Arial" w:cs="Arial"/>
          <w:color w:val="0E101A"/>
          <w:sz w:val="24"/>
          <w:szCs w:val="24"/>
          <w:lang w:eastAsia="en-GB"/>
          <w14:ligatures w14:val="none"/>
        </w:rPr>
        <w:t xml:space="preserve">flow chart of </w:t>
      </w:r>
      <w:r w:rsidRPr="00A06E78">
        <w:rPr>
          <w:rFonts w:ascii="Arial" w:eastAsia="Times New Roman" w:hAnsi="Arial" w:cs="Arial"/>
          <w:color w:val="0E101A"/>
          <w:sz w:val="24"/>
          <w:szCs w:val="24"/>
          <w:lang w:eastAsia="en-GB"/>
          <w14:ligatures w14:val="none"/>
        </w:rPr>
        <w:t xml:space="preserve">expert </w:t>
      </w:r>
      <w:r w:rsidR="00C7524E">
        <w:rPr>
          <w:rFonts w:ascii="Arial" w:eastAsia="Times New Roman" w:hAnsi="Arial" w:cs="Arial"/>
          <w:color w:val="0E101A"/>
          <w:sz w:val="24"/>
          <w:szCs w:val="24"/>
          <w:lang w:eastAsia="en-GB"/>
          <w14:ligatures w14:val="none"/>
        </w:rPr>
        <w:t>MDTs</w:t>
      </w:r>
      <w:r w:rsidRPr="00A06E78">
        <w:rPr>
          <w:rFonts w:ascii="Arial" w:eastAsia="Times New Roman" w:hAnsi="Arial" w:cs="Arial"/>
          <w:color w:val="0E101A"/>
          <w:sz w:val="24"/>
          <w:szCs w:val="24"/>
          <w:lang w:eastAsia="en-GB"/>
          <w14:ligatures w14:val="none"/>
        </w:rPr>
        <w:t xml:space="preserve"> have been shown in Figures </w:t>
      </w:r>
      <w:r>
        <w:rPr>
          <w:rFonts w:ascii="Arial" w:eastAsia="Times New Roman" w:hAnsi="Arial" w:cs="Arial"/>
          <w:color w:val="0E101A"/>
          <w:sz w:val="24"/>
          <w:szCs w:val="24"/>
          <w:lang w:eastAsia="en-GB"/>
          <w14:ligatures w14:val="none"/>
        </w:rPr>
        <w:t>12</w:t>
      </w:r>
      <w:r w:rsidR="0082354C">
        <w:rPr>
          <w:rFonts w:ascii="Arial" w:eastAsia="Times New Roman" w:hAnsi="Arial" w:cs="Arial"/>
          <w:color w:val="0E101A"/>
          <w:sz w:val="24"/>
          <w:szCs w:val="24"/>
          <w:lang w:eastAsia="en-GB"/>
          <w14:ligatures w14:val="none"/>
        </w:rPr>
        <w:t>,</w:t>
      </w:r>
      <w:r w:rsidRPr="00A06E78">
        <w:rPr>
          <w:rFonts w:ascii="Arial" w:eastAsia="Times New Roman" w:hAnsi="Arial" w:cs="Arial"/>
          <w:color w:val="0E101A"/>
          <w:sz w:val="24"/>
          <w:szCs w:val="24"/>
          <w:lang w:eastAsia="en-GB"/>
          <w14:ligatures w14:val="none"/>
        </w:rPr>
        <w:t>1</w:t>
      </w:r>
      <w:r>
        <w:rPr>
          <w:rFonts w:ascii="Arial" w:eastAsia="Times New Roman" w:hAnsi="Arial" w:cs="Arial"/>
          <w:color w:val="0E101A"/>
          <w:sz w:val="24"/>
          <w:szCs w:val="24"/>
          <w:lang w:eastAsia="en-GB"/>
          <w14:ligatures w14:val="none"/>
        </w:rPr>
        <w:t>3</w:t>
      </w:r>
      <w:r w:rsidR="0082354C">
        <w:rPr>
          <w:rFonts w:ascii="Arial" w:eastAsia="Times New Roman" w:hAnsi="Arial" w:cs="Arial"/>
          <w:color w:val="0E101A"/>
          <w:sz w:val="24"/>
          <w:szCs w:val="24"/>
          <w:lang w:eastAsia="en-GB"/>
          <w14:ligatures w14:val="none"/>
        </w:rPr>
        <w:t>, and 14</w:t>
      </w:r>
      <w:r w:rsidR="0055581F">
        <w:rPr>
          <w:rFonts w:ascii="Arial" w:eastAsia="Times New Roman" w:hAnsi="Arial" w:cs="Arial"/>
          <w:color w:val="0E101A"/>
          <w:sz w:val="24"/>
          <w:szCs w:val="24"/>
          <w:lang w:eastAsia="en-GB"/>
          <w14:ligatures w14:val="none"/>
        </w:rPr>
        <w:t xml:space="preserve"> respectively</w:t>
      </w:r>
      <w:r w:rsidRPr="00A06E78">
        <w:rPr>
          <w:rFonts w:ascii="Arial" w:eastAsia="Times New Roman" w:hAnsi="Arial" w:cs="Arial"/>
          <w:color w:val="0E101A"/>
          <w:sz w:val="24"/>
          <w:szCs w:val="24"/>
          <w:lang w:eastAsia="en-GB"/>
          <w14:ligatures w14:val="none"/>
        </w:rPr>
        <w:t>.</w:t>
      </w:r>
    </w:p>
    <w:p w14:paraId="4132F3FF" w14:textId="77777777" w:rsidR="00DA114D" w:rsidRDefault="00DA114D" w:rsidP="004942B6">
      <w:pPr>
        <w:spacing w:line="360" w:lineRule="auto"/>
        <w:jc w:val="both"/>
        <w:rPr>
          <w:rFonts w:ascii="Arial" w:eastAsia="Times New Roman" w:hAnsi="Arial" w:cs="Arial"/>
          <w:color w:val="0E101A"/>
          <w:sz w:val="24"/>
          <w:szCs w:val="24"/>
          <w:lang w:eastAsia="en-GB"/>
          <w14:ligatures w14:val="none"/>
        </w:rPr>
      </w:pPr>
    </w:p>
    <w:p w14:paraId="19E140ED" w14:textId="0C31ACE8" w:rsidR="004942B6" w:rsidRDefault="00043098" w:rsidP="004942B6">
      <w:pPr>
        <w:keepNext/>
        <w:spacing w:line="360" w:lineRule="auto"/>
        <w:jc w:val="both"/>
      </w:pPr>
      <w:r>
        <w:rPr>
          <w:noProof/>
        </w:rPr>
        <w:lastRenderedPageBreak/>
        <mc:AlternateContent>
          <mc:Choice Requires="wps">
            <w:drawing>
              <wp:anchor distT="0" distB="0" distL="114300" distR="114300" simplePos="0" relativeHeight="251659264" behindDoc="0" locked="0" layoutInCell="1" allowOverlap="1" wp14:anchorId="68C2E5D1" wp14:editId="3B951C23">
                <wp:simplePos x="0" y="0"/>
                <wp:positionH relativeFrom="margin">
                  <wp:align>left</wp:align>
                </wp:positionH>
                <wp:positionV relativeFrom="paragraph">
                  <wp:posOffset>7620</wp:posOffset>
                </wp:positionV>
                <wp:extent cx="609600" cy="358140"/>
                <wp:effectExtent l="0" t="0" r="19050" b="22860"/>
                <wp:wrapNone/>
                <wp:docPr id="1730968743" name="Rectangle 1"/>
                <wp:cNvGraphicFramePr/>
                <a:graphic xmlns:a="http://schemas.openxmlformats.org/drawingml/2006/main">
                  <a:graphicData uri="http://schemas.microsoft.com/office/word/2010/wordprocessingShape">
                    <wps:wsp>
                      <wps:cNvSpPr/>
                      <wps:spPr>
                        <a:xfrm>
                          <a:off x="0" y="0"/>
                          <a:ext cx="609600" cy="35814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013178" id="Rectangle 1" o:spid="_x0000_s1026" style="position:absolute;margin-left:0;margin-top:.6pt;width:48pt;height:28.2pt;z-index:25165926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" fillcolor="white [3212]" strokecolor="white [3212]" strokeweight="1pt">
                <w10:wrap anchorx="margin"/>
              </v:rect>
            </w:pict>
          </mc:Fallback>
        </mc:AlternateContent>
      </w:r>
      <w:r w:rsidRPr="00043098">
        <w:rPr>
          <w:noProof/>
        </w:rPr>
        <w:drawing>
          <wp:inline distT="0" distB="0" distL="0" distR="0" wp14:anchorId="37F558B1" wp14:editId="4521772A">
            <wp:extent cx="6213475" cy="3901079"/>
            <wp:effectExtent l="0" t="0" r="0" b="4445"/>
            <wp:docPr id="3" name="Picture 2" descr="A diagram of a patient's plan">
              <a:extLst xmlns:a="http://schemas.openxmlformats.org/drawingml/2006/main">
                <a:ext uri="{FF2B5EF4-FFF2-40B4-BE49-F238E27FC236}">
                  <a16:creationId xmlns:a16="http://schemas.microsoft.com/office/drawing/2014/main" id="{108B6FFC-49DC-B87C-9E5B-5B26A39238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diagram of a patient's plan">
                      <a:extLst>
                        <a:ext uri="{FF2B5EF4-FFF2-40B4-BE49-F238E27FC236}">
                          <a16:creationId xmlns:a16="http://schemas.microsoft.com/office/drawing/2014/main" id="{108B6FFC-49DC-B87C-9E5B-5B26A39238B5}"/>
                        </a:ext>
                      </a:extLst>
                    </pic:cNvPr>
                    <pic:cNvPicPr>
                      <a:picLocks noChangeAspect="1"/>
                    </pic:cNvPicPr>
                  </pic:nvPicPr>
                  <pic:blipFill>
                    <a:blip r:embed="rId29"/>
                    <a:srcRect l="4352" t="1182" r="2675" b="1182"/>
                    <a:stretch/>
                  </pic:blipFill>
                  <pic:spPr>
                    <a:xfrm>
                      <a:off x="0" y="0"/>
                      <a:ext cx="6227221" cy="3909710"/>
                    </a:xfrm>
                    <a:prstGeom prst="rect">
                      <a:avLst/>
                    </a:prstGeom>
                  </pic:spPr>
                </pic:pic>
              </a:graphicData>
            </a:graphic>
          </wp:inline>
        </w:drawing>
      </w:r>
    </w:p>
    <w:p w14:paraId="71848C07" w14:textId="04A9441B" w:rsidR="004942B6" w:rsidRPr="00EE7DAD" w:rsidRDefault="004942B6" w:rsidP="004942B6">
      <w:pPr>
        <w:pStyle w:val="Caption"/>
        <w:jc w:val="both"/>
        <w:rPr>
          <w:rFonts w:ascii="Arial" w:hAnsi="Arial" w:cs="Arial"/>
          <w:color w:val="auto"/>
          <w:sz w:val="20"/>
          <w:szCs w:val="20"/>
        </w:rPr>
      </w:pPr>
      <w:bookmarkStart w:id="575" w:name="_Toc159318493"/>
      <w:bookmarkStart w:id="576" w:name="_Toc159612019"/>
      <w:bookmarkStart w:id="577" w:name="_Toc160982665"/>
      <w:bookmarkStart w:id="578" w:name="_Toc164697491"/>
      <w:bookmarkStart w:id="579" w:name="_Toc170744573"/>
      <w:bookmarkStart w:id="580" w:name="_Toc196153204"/>
      <w:r w:rsidRPr="00EE7DAD">
        <w:rPr>
          <w:rFonts w:ascii="Arial" w:hAnsi="Arial" w:cs="Arial"/>
          <w:b/>
          <w:bCs/>
          <w:color w:val="auto"/>
          <w:sz w:val="20"/>
          <w:szCs w:val="20"/>
        </w:rPr>
        <w:t xml:space="preserve">Figure </w:t>
      </w:r>
      <w:r w:rsidRPr="00EE7DAD">
        <w:rPr>
          <w:rFonts w:ascii="Arial" w:hAnsi="Arial" w:cs="Arial"/>
          <w:b/>
          <w:bCs/>
          <w:color w:val="auto"/>
          <w:sz w:val="20"/>
          <w:szCs w:val="20"/>
        </w:rPr>
        <w:fldChar w:fldCharType="begin"/>
      </w:r>
      <w:r w:rsidRPr="00EE7DAD">
        <w:rPr>
          <w:rFonts w:ascii="Arial" w:hAnsi="Arial" w:cs="Arial"/>
          <w:b/>
          <w:bCs/>
          <w:color w:val="auto"/>
          <w:sz w:val="20"/>
          <w:szCs w:val="20"/>
        </w:rPr>
        <w:instrText xml:space="preserve"> SEQ Figure \* ARABIC </w:instrText>
      </w:r>
      <w:r w:rsidRPr="00EE7DAD">
        <w:rPr>
          <w:rFonts w:ascii="Arial" w:hAnsi="Arial" w:cs="Arial"/>
          <w:b/>
          <w:bCs/>
          <w:color w:val="auto"/>
          <w:sz w:val="20"/>
          <w:szCs w:val="20"/>
        </w:rPr>
        <w:fldChar w:fldCharType="separate"/>
      </w:r>
      <w:r w:rsidR="001823B4">
        <w:rPr>
          <w:rFonts w:ascii="Arial" w:hAnsi="Arial" w:cs="Arial"/>
          <w:b/>
          <w:bCs/>
          <w:noProof/>
          <w:color w:val="auto"/>
          <w:sz w:val="20"/>
          <w:szCs w:val="20"/>
        </w:rPr>
        <w:t>12</w:t>
      </w:r>
      <w:r w:rsidRPr="00EE7DAD">
        <w:rPr>
          <w:rFonts w:ascii="Arial" w:hAnsi="Arial" w:cs="Arial"/>
          <w:b/>
          <w:bCs/>
          <w:color w:val="auto"/>
          <w:sz w:val="20"/>
          <w:szCs w:val="20"/>
        </w:rPr>
        <w:fldChar w:fldCharType="end"/>
      </w:r>
      <w:r w:rsidRPr="00EE7DAD">
        <w:rPr>
          <w:rFonts w:ascii="Arial" w:hAnsi="Arial" w:cs="Arial"/>
          <w:color w:val="auto"/>
          <w:sz w:val="20"/>
          <w:szCs w:val="20"/>
        </w:rPr>
        <w:t>: Outline of VIRTU-4 HE study</w:t>
      </w:r>
      <w:bookmarkEnd w:id="575"/>
      <w:bookmarkEnd w:id="576"/>
      <w:bookmarkEnd w:id="577"/>
      <w:bookmarkEnd w:id="578"/>
      <w:bookmarkEnd w:id="579"/>
      <w:bookmarkEnd w:id="580"/>
    </w:p>
    <w:p w14:paraId="04FCD0C6" w14:textId="77777777" w:rsidR="004942B6" w:rsidRDefault="004942B6" w:rsidP="004942B6">
      <w:pPr>
        <w:spacing w:line="360" w:lineRule="auto"/>
        <w:jc w:val="both"/>
        <w:rPr>
          <w:rFonts w:ascii="Arial" w:hAnsi="Arial" w:cs="Arial"/>
          <w:sz w:val="24"/>
          <w:szCs w:val="24"/>
        </w:rPr>
      </w:pPr>
    </w:p>
    <w:p w14:paraId="71E1E284" w14:textId="2E8F2849" w:rsidR="004942B6" w:rsidRDefault="005A4032" w:rsidP="004942B6">
      <w:pPr>
        <w:keepNext/>
        <w:spacing w:line="360" w:lineRule="auto"/>
        <w:jc w:val="both"/>
      </w:pPr>
      <w:r>
        <w:rPr>
          <w:noProof/>
          <w:sz w:val="16"/>
          <w:szCs w:val="16"/>
          <w:lang w:eastAsia="en-GB"/>
        </w:rPr>
        <w:drawing>
          <wp:inline distT="0" distB="0" distL="0" distR="0" wp14:anchorId="45094446" wp14:editId="7C9B8425">
            <wp:extent cx="5984412" cy="3413760"/>
            <wp:effectExtent l="0" t="0" r="0" b="0"/>
            <wp:docPr id="1223362652" name="Picture 3" descr="A black background with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362652" name="Picture 3" descr="A black background with arrows"/>
                    <pic:cNvPicPr/>
                  </pic:nvPicPr>
                  <pic:blipFill rotWithShape="1">
                    <a:blip r:embed="rId30" cstate="print">
                      <a:extLst>
                        <a:ext uri="{28A0092B-C50C-407E-A947-70E740481C1C}">
                          <a14:useLocalDpi xmlns:a14="http://schemas.microsoft.com/office/drawing/2010/main" val="0"/>
                        </a:ext>
                      </a:extLst>
                    </a:blip>
                    <a:srcRect l="1330" t="4559" r="2416" b="16998"/>
                    <a:stretch/>
                  </pic:blipFill>
                  <pic:spPr bwMode="auto">
                    <a:xfrm>
                      <a:off x="0" y="0"/>
                      <a:ext cx="5988448" cy="3416062"/>
                    </a:xfrm>
                    <a:prstGeom prst="rect">
                      <a:avLst/>
                    </a:prstGeom>
                    <a:ln>
                      <a:noFill/>
                    </a:ln>
                    <a:extLst>
                      <a:ext uri="{53640926-AAD7-44D8-BBD7-CCE9431645EC}">
                        <a14:shadowObscured xmlns:a14="http://schemas.microsoft.com/office/drawing/2010/main"/>
                      </a:ext>
                    </a:extLst>
                  </pic:spPr>
                </pic:pic>
              </a:graphicData>
            </a:graphic>
          </wp:inline>
        </w:drawing>
      </w:r>
    </w:p>
    <w:p w14:paraId="01BBD0B4" w14:textId="3C879890" w:rsidR="004942B6" w:rsidRPr="0014507A" w:rsidRDefault="004942B6" w:rsidP="004942B6">
      <w:pPr>
        <w:pStyle w:val="Caption"/>
        <w:jc w:val="both"/>
        <w:rPr>
          <w:rFonts w:ascii="Arial" w:hAnsi="Arial" w:cs="Arial"/>
          <w:color w:val="auto"/>
          <w:sz w:val="20"/>
          <w:szCs w:val="20"/>
        </w:rPr>
      </w:pPr>
      <w:bookmarkStart w:id="581" w:name="_Toc151626680"/>
      <w:bookmarkStart w:id="582" w:name="_Toc152340474"/>
      <w:bookmarkStart w:id="583" w:name="_Toc152492267"/>
      <w:bookmarkStart w:id="584" w:name="_Toc152596954"/>
      <w:bookmarkStart w:id="585" w:name="_Toc153409661"/>
      <w:bookmarkStart w:id="586" w:name="_Toc153724908"/>
      <w:bookmarkStart w:id="587" w:name="_Toc159318494"/>
      <w:bookmarkStart w:id="588" w:name="_Toc159612020"/>
      <w:bookmarkStart w:id="589" w:name="_Toc160982666"/>
      <w:bookmarkStart w:id="590" w:name="_Toc164697492"/>
      <w:bookmarkStart w:id="591" w:name="_Toc170744574"/>
      <w:bookmarkStart w:id="592" w:name="_Toc196153205"/>
      <w:r w:rsidRPr="0014507A">
        <w:rPr>
          <w:rFonts w:ascii="Arial" w:hAnsi="Arial" w:cs="Arial"/>
          <w:b/>
          <w:bCs/>
          <w:color w:val="auto"/>
          <w:sz w:val="20"/>
          <w:szCs w:val="20"/>
        </w:rPr>
        <w:t xml:space="preserve">Figure </w:t>
      </w:r>
      <w:r w:rsidRPr="0014507A">
        <w:rPr>
          <w:rFonts w:ascii="Arial" w:hAnsi="Arial" w:cs="Arial"/>
          <w:b/>
          <w:bCs/>
          <w:color w:val="auto"/>
          <w:sz w:val="20"/>
          <w:szCs w:val="20"/>
        </w:rPr>
        <w:fldChar w:fldCharType="begin"/>
      </w:r>
      <w:r w:rsidRPr="0014507A">
        <w:rPr>
          <w:rFonts w:ascii="Arial" w:hAnsi="Arial" w:cs="Arial"/>
          <w:b/>
          <w:bCs/>
          <w:color w:val="auto"/>
          <w:sz w:val="20"/>
          <w:szCs w:val="20"/>
        </w:rPr>
        <w:instrText xml:space="preserve"> SEQ Figure \* ARABIC </w:instrText>
      </w:r>
      <w:r w:rsidRPr="0014507A">
        <w:rPr>
          <w:rFonts w:ascii="Arial" w:hAnsi="Arial" w:cs="Arial"/>
          <w:b/>
          <w:bCs/>
          <w:color w:val="auto"/>
          <w:sz w:val="20"/>
          <w:szCs w:val="20"/>
        </w:rPr>
        <w:fldChar w:fldCharType="separate"/>
      </w:r>
      <w:r w:rsidR="001823B4">
        <w:rPr>
          <w:rFonts w:ascii="Arial" w:hAnsi="Arial" w:cs="Arial"/>
          <w:b/>
          <w:bCs/>
          <w:noProof/>
          <w:color w:val="auto"/>
          <w:sz w:val="20"/>
          <w:szCs w:val="20"/>
        </w:rPr>
        <w:t>13</w:t>
      </w:r>
      <w:r w:rsidRPr="0014507A">
        <w:rPr>
          <w:rFonts w:ascii="Arial" w:hAnsi="Arial" w:cs="Arial"/>
          <w:b/>
          <w:bCs/>
          <w:color w:val="auto"/>
          <w:sz w:val="20"/>
          <w:szCs w:val="20"/>
        </w:rPr>
        <w:fldChar w:fldCharType="end"/>
      </w:r>
      <w:r w:rsidRPr="0014507A">
        <w:rPr>
          <w:rFonts w:ascii="Arial" w:hAnsi="Arial" w:cs="Arial"/>
          <w:color w:val="auto"/>
          <w:sz w:val="20"/>
          <w:szCs w:val="20"/>
        </w:rPr>
        <w:t xml:space="preserve">: Expert </w:t>
      </w:r>
      <w:r w:rsidR="005A4032">
        <w:rPr>
          <w:rFonts w:ascii="Arial" w:hAnsi="Arial" w:cs="Arial"/>
          <w:color w:val="auto"/>
          <w:sz w:val="20"/>
          <w:szCs w:val="20"/>
        </w:rPr>
        <w:t>MDTs</w:t>
      </w:r>
      <w:r w:rsidRPr="0014507A">
        <w:rPr>
          <w:rFonts w:ascii="Arial" w:hAnsi="Arial" w:cs="Arial"/>
          <w:color w:val="auto"/>
          <w:sz w:val="20"/>
          <w:szCs w:val="20"/>
        </w:rPr>
        <w:t xml:space="preserve"> flow chart</w:t>
      </w:r>
      <w:bookmarkEnd w:id="581"/>
      <w:bookmarkEnd w:id="582"/>
      <w:bookmarkEnd w:id="583"/>
      <w:bookmarkEnd w:id="584"/>
      <w:bookmarkEnd w:id="585"/>
      <w:bookmarkEnd w:id="586"/>
      <w:bookmarkEnd w:id="587"/>
      <w:bookmarkEnd w:id="588"/>
      <w:bookmarkEnd w:id="589"/>
      <w:bookmarkEnd w:id="590"/>
      <w:bookmarkEnd w:id="591"/>
      <w:bookmarkEnd w:id="592"/>
    </w:p>
    <w:p w14:paraId="7FCF2271" w14:textId="77777777" w:rsidR="00563820" w:rsidRDefault="00EF72A2" w:rsidP="00563820">
      <w:pPr>
        <w:keepNext/>
        <w:spacing w:line="360" w:lineRule="auto"/>
        <w:jc w:val="both"/>
      </w:pPr>
      <w:r>
        <w:rPr>
          <w:rFonts w:ascii="Arial" w:hAnsi="Arial" w:cs="Arial"/>
          <w:noProof/>
          <w:sz w:val="24"/>
          <w:szCs w:val="24"/>
          <w:lang w:eastAsia="en-GB"/>
        </w:rPr>
        <w:lastRenderedPageBreak/>
        <w:drawing>
          <wp:inline distT="0" distB="0" distL="0" distR="0" wp14:anchorId="3D648090" wp14:editId="68505418">
            <wp:extent cx="6059815" cy="3329940"/>
            <wp:effectExtent l="0" t="0" r="0" b="3810"/>
            <wp:docPr id="1781970981" name="Picture 2"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70981" name="Picture 2" descr="A diagram of a diagram&#10;&#10;Description automatically generated"/>
                    <pic:cNvPicPr/>
                  </pic:nvPicPr>
                  <pic:blipFill rotWithShape="1">
                    <a:blip r:embed="rId31" cstate="print">
                      <a:extLst>
                        <a:ext uri="{28A0092B-C50C-407E-A947-70E740481C1C}">
                          <a14:useLocalDpi xmlns:a14="http://schemas.microsoft.com/office/drawing/2010/main" val="0"/>
                        </a:ext>
                      </a:extLst>
                    </a:blip>
                    <a:srcRect l="3723" r="953" b="25166"/>
                    <a:stretch/>
                  </pic:blipFill>
                  <pic:spPr bwMode="auto">
                    <a:xfrm>
                      <a:off x="0" y="0"/>
                      <a:ext cx="6063107" cy="3331749"/>
                    </a:xfrm>
                    <a:prstGeom prst="rect">
                      <a:avLst/>
                    </a:prstGeom>
                    <a:ln>
                      <a:noFill/>
                    </a:ln>
                    <a:extLst>
                      <a:ext uri="{53640926-AAD7-44D8-BBD7-CCE9431645EC}">
                        <a14:shadowObscured xmlns:a14="http://schemas.microsoft.com/office/drawing/2010/main"/>
                      </a:ext>
                    </a:extLst>
                  </pic:spPr>
                </pic:pic>
              </a:graphicData>
            </a:graphic>
          </wp:inline>
        </w:drawing>
      </w:r>
    </w:p>
    <w:p w14:paraId="1D42287D" w14:textId="7D79F587" w:rsidR="004942B6" w:rsidRPr="00563820" w:rsidRDefault="00563820" w:rsidP="00563820">
      <w:pPr>
        <w:pStyle w:val="Caption"/>
        <w:jc w:val="both"/>
        <w:rPr>
          <w:rFonts w:ascii="Arial" w:hAnsi="Arial" w:cs="Arial"/>
          <w:color w:val="auto"/>
          <w:sz w:val="20"/>
          <w:szCs w:val="20"/>
        </w:rPr>
      </w:pPr>
      <w:bookmarkStart w:id="593" w:name="_Toc196153206"/>
      <w:r w:rsidRPr="00563820">
        <w:rPr>
          <w:rFonts w:ascii="Arial" w:hAnsi="Arial" w:cs="Arial"/>
          <w:b/>
          <w:bCs/>
          <w:color w:val="auto"/>
          <w:sz w:val="20"/>
          <w:szCs w:val="20"/>
        </w:rPr>
        <w:t xml:space="preserve">Figure </w:t>
      </w:r>
      <w:r w:rsidRPr="00563820">
        <w:rPr>
          <w:rFonts w:ascii="Arial" w:hAnsi="Arial" w:cs="Arial"/>
          <w:b/>
          <w:bCs/>
          <w:color w:val="auto"/>
          <w:sz w:val="20"/>
          <w:szCs w:val="20"/>
        </w:rPr>
        <w:fldChar w:fldCharType="begin"/>
      </w:r>
      <w:r w:rsidRPr="00563820">
        <w:rPr>
          <w:rFonts w:ascii="Arial" w:hAnsi="Arial" w:cs="Arial"/>
          <w:b/>
          <w:bCs/>
          <w:color w:val="auto"/>
          <w:sz w:val="20"/>
          <w:szCs w:val="20"/>
        </w:rPr>
        <w:instrText xml:space="preserve"> SEQ Figure \* ARABIC </w:instrText>
      </w:r>
      <w:r w:rsidRPr="00563820">
        <w:rPr>
          <w:rFonts w:ascii="Arial" w:hAnsi="Arial" w:cs="Arial"/>
          <w:b/>
          <w:bCs/>
          <w:color w:val="auto"/>
          <w:sz w:val="20"/>
          <w:szCs w:val="20"/>
        </w:rPr>
        <w:fldChar w:fldCharType="separate"/>
      </w:r>
      <w:r w:rsidR="001823B4">
        <w:rPr>
          <w:rFonts w:ascii="Arial" w:hAnsi="Arial" w:cs="Arial"/>
          <w:b/>
          <w:bCs/>
          <w:noProof/>
          <w:color w:val="auto"/>
          <w:sz w:val="20"/>
          <w:szCs w:val="20"/>
        </w:rPr>
        <w:t>14</w:t>
      </w:r>
      <w:r w:rsidRPr="00563820">
        <w:rPr>
          <w:rFonts w:ascii="Arial" w:hAnsi="Arial" w:cs="Arial"/>
          <w:b/>
          <w:bCs/>
          <w:color w:val="auto"/>
          <w:sz w:val="20"/>
          <w:szCs w:val="20"/>
        </w:rPr>
        <w:fldChar w:fldCharType="end"/>
      </w:r>
      <w:r w:rsidRPr="00563820">
        <w:rPr>
          <w:rFonts w:ascii="Arial" w:hAnsi="Arial" w:cs="Arial"/>
          <w:b/>
          <w:bCs/>
          <w:color w:val="auto"/>
          <w:sz w:val="20"/>
          <w:szCs w:val="20"/>
        </w:rPr>
        <w:t>:</w:t>
      </w:r>
      <w:r w:rsidRPr="00563820">
        <w:rPr>
          <w:rFonts w:ascii="Arial" w:hAnsi="Arial" w:cs="Arial"/>
          <w:color w:val="auto"/>
          <w:sz w:val="20"/>
          <w:szCs w:val="20"/>
        </w:rPr>
        <w:t xml:space="preserve"> Summary of expert MDTs flowsheet.</w:t>
      </w:r>
      <w:bookmarkEnd w:id="593"/>
    </w:p>
    <w:p w14:paraId="3118E942" w14:textId="77777777" w:rsidR="00D43943" w:rsidRDefault="00D43943" w:rsidP="00A173AE">
      <w:pPr>
        <w:pStyle w:val="Heading3"/>
        <w:spacing w:line="360" w:lineRule="auto"/>
        <w:jc w:val="both"/>
        <w:rPr>
          <w:rFonts w:ascii="Arial" w:hAnsi="Arial" w:cs="Arial"/>
          <w:color w:val="4472C4" w:themeColor="accent1"/>
          <w:sz w:val="24"/>
          <w:szCs w:val="24"/>
        </w:rPr>
      </w:pPr>
      <w:bookmarkStart w:id="594" w:name="_Toc159613585"/>
      <w:bookmarkStart w:id="595" w:name="_Toc160981246"/>
      <w:bookmarkStart w:id="596" w:name="_Toc164676042"/>
      <w:bookmarkStart w:id="597" w:name="_Toc164680487"/>
      <w:bookmarkStart w:id="598" w:name="_Toc164681385"/>
    </w:p>
    <w:p w14:paraId="0E180581" w14:textId="1B5DA29E" w:rsidR="004942B6" w:rsidRPr="004B0DBA" w:rsidRDefault="004942B6" w:rsidP="00A173AE">
      <w:pPr>
        <w:pStyle w:val="Heading3"/>
        <w:spacing w:line="360" w:lineRule="auto"/>
        <w:jc w:val="both"/>
        <w:rPr>
          <w:rFonts w:ascii="Arial" w:hAnsi="Arial" w:cs="Arial"/>
          <w:color w:val="4472C4" w:themeColor="accent1"/>
          <w:sz w:val="24"/>
          <w:szCs w:val="24"/>
        </w:rPr>
      </w:pPr>
      <w:bookmarkStart w:id="599" w:name="_Toc170075063"/>
      <w:bookmarkStart w:id="600" w:name="_Toc170076050"/>
      <w:bookmarkStart w:id="601" w:name="_Toc170577748"/>
      <w:bookmarkStart w:id="602" w:name="_Toc170579266"/>
      <w:bookmarkStart w:id="603" w:name="_Toc171203121"/>
      <w:bookmarkStart w:id="604" w:name="_Toc171203892"/>
      <w:r w:rsidRPr="004B0DBA">
        <w:rPr>
          <w:rFonts w:ascii="Arial" w:hAnsi="Arial" w:cs="Arial"/>
          <w:color w:val="4472C4" w:themeColor="accent1"/>
          <w:sz w:val="24"/>
          <w:szCs w:val="24"/>
        </w:rPr>
        <w:t>2.</w:t>
      </w:r>
      <w:r w:rsidR="002A3406">
        <w:rPr>
          <w:rFonts w:ascii="Arial" w:hAnsi="Arial" w:cs="Arial"/>
          <w:color w:val="4472C4" w:themeColor="accent1"/>
          <w:sz w:val="24"/>
          <w:szCs w:val="24"/>
        </w:rPr>
        <w:t>4</w:t>
      </w:r>
      <w:r w:rsidRPr="004B0DBA">
        <w:rPr>
          <w:rFonts w:ascii="Arial" w:hAnsi="Arial" w:cs="Arial"/>
          <w:color w:val="4472C4" w:themeColor="accent1"/>
          <w:sz w:val="24"/>
          <w:szCs w:val="24"/>
        </w:rPr>
        <w:t xml:space="preserve">.1 </w:t>
      </w:r>
      <w:r w:rsidR="002510F5">
        <w:rPr>
          <w:rFonts w:ascii="Arial" w:hAnsi="Arial" w:cs="Arial"/>
          <w:color w:val="4472C4" w:themeColor="accent1"/>
          <w:sz w:val="24"/>
          <w:szCs w:val="24"/>
        </w:rPr>
        <w:t>C</w:t>
      </w:r>
      <w:r w:rsidRPr="004B0DBA">
        <w:rPr>
          <w:rFonts w:ascii="Arial" w:hAnsi="Arial" w:cs="Arial"/>
          <w:color w:val="4472C4" w:themeColor="accent1"/>
          <w:sz w:val="24"/>
          <w:szCs w:val="24"/>
        </w:rPr>
        <w:t xml:space="preserve">oncordance </w:t>
      </w:r>
      <w:r w:rsidR="002510F5">
        <w:rPr>
          <w:rFonts w:ascii="Arial" w:hAnsi="Arial" w:cs="Arial"/>
          <w:color w:val="4472C4" w:themeColor="accent1"/>
          <w:sz w:val="24"/>
          <w:szCs w:val="24"/>
        </w:rPr>
        <w:t>between the</w:t>
      </w:r>
      <w:r w:rsidRPr="004B0DBA">
        <w:rPr>
          <w:rFonts w:ascii="Arial" w:hAnsi="Arial" w:cs="Arial"/>
          <w:color w:val="4472C4" w:themeColor="accent1"/>
          <w:sz w:val="24"/>
          <w:szCs w:val="24"/>
        </w:rPr>
        <w:t xml:space="preserve"> paren</w:t>
      </w:r>
      <w:r w:rsidR="005A4032">
        <w:rPr>
          <w:rFonts w:ascii="Arial" w:hAnsi="Arial" w:cs="Arial"/>
          <w:color w:val="4472C4" w:themeColor="accent1"/>
          <w:sz w:val="24"/>
          <w:szCs w:val="24"/>
        </w:rPr>
        <w:t>t cardiologist</w:t>
      </w:r>
      <w:r w:rsidRPr="004B0DBA">
        <w:rPr>
          <w:rFonts w:ascii="Arial" w:hAnsi="Arial" w:cs="Arial"/>
          <w:color w:val="4472C4" w:themeColor="accent1"/>
          <w:sz w:val="24"/>
          <w:szCs w:val="24"/>
        </w:rPr>
        <w:t xml:space="preserve"> and expert </w:t>
      </w:r>
      <w:r w:rsidR="005A4032">
        <w:rPr>
          <w:rFonts w:ascii="Arial" w:hAnsi="Arial" w:cs="Arial"/>
          <w:color w:val="4472C4" w:themeColor="accent1"/>
          <w:sz w:val="24"/>
          <w:szCs w:val="24"/>
        </w:rPr>
        <w:t>MDTs plans</w:t>
      </w:r>
      <w:bookmarkEnd w:id="599"/>
      <w:bookmarkEnd w:id="600"/>
      <w:bookmarkEnd w:id="601"/>
      <w:bookmarkEnd w:id="602"/>
      <w:bookmarkEnd w:id="603"/>
      <w:bookmarkEnd w:id="604"/>
      <w:r w:rsidRPr="004B0DBA">
        <w:rPr>
          <w:rFonts w:ascii="Arial" w:hAnsi="Arial" w:cs="Arial"/>
          <w:color w:val="4472C4" w:themeColor="accent1"/>
          <w:sz w:val="24"/>
          <w:szCs w:val="24"/>
        </w:rPr>
        <w:t xml:space="preserve"> </w:t>
      </w:r>
      <w:bookmarkEnd w:id="594"/>
      <w:bookmarkEnd w:id="595"/>
      <w:bookmarkEnd w:id="596"/>
      <w:bookmarkEnd w:id="597"/>
      <w:bookmarkEnd w:id="598"/>
    </w:p>
    <w:p w14:paraId="4A97D1EC" w14:textId="5421254D" w:rsidR="004942B6" w:rsidRDefault="004942B6" w:rsidP="004942B6">
      <w:pPr>
        <w:spacing w:line="360" w:lineRule="auto"/>
        <w:jc w:val="both"/>
        <w:rPr>
          <w:rFonts w:ascii="Arial" w:hAnsi="Arial" w:cs="Arial"/>
          <w:sz w:val="24"/>
          <w:szCs w:val="24"/>
        </w:rPr>
      </w:pPr>
      <w:r w:rsidRPr="00FF3A99">
        <w:rPr>
          <w:rFonts w:ascii="Arial" w:hAnsi="Arial" w:cs="Arial"/>
          <w:sz w:val="24"/>
          <w:szCs w:val="24"/>
        </w:rPr>
        <w:t xml:space="preserve">The treatment plans from the expert </w:t>
      </w:r>
      <w:r w:rsidR="005A4032">
        <w:rPr>
          <w:rFonts w:ascii="Arial" w:hAnsi="Arial" w:cs="Arial"/>
          <w:sz w:val="24"/>
          <w:szCs w:val="24"/>
        </w:rPr>
        <w:t>MDTs</w:t>
      </w:r>
      <w:r w:rsidRPr="00FF3A99">
        <w:rPr>
          <w:rFonts w:ascii="Arial" w:hAnsi="Arial" w:cs="Arial"/>
          <w:sz w:val="24"/>
          <w:szCs w:val="24"/>
        </w:rPr>
        <w:t xml:space="preserve"> were correlated to those from the parent</w:t>
      </w:r>
      <w:r w:rsidR="005A4032">
        <w:rPr>
          <w:rFonts w:ascii="Arial" w:hAnsi="Arial" w:cs="Arial"/>
          <w:sz w:val="24"/>
          <w:szCs w:val="24"/>
        </w:rPr>
        <w:t xml:space="preserve"> cardiologists</w:t>
      </w:r>
      <w:r w:rsidRPr="00FF3A99">
        <w:rPr>
          <w:rFonts w:ascii="Arial" w:hAnsi="Arial" w:cs="Arial"/>
          <w:sz w:val="24"/>
          <w:szCs w:val="24"/>
        </w:rPr>
        <w:t xml:space="preserve"> in VIRTU-4. It is of note that a general cardiologist</w:t>
      </w:r>
      <w:r w:rsidR="005A4032">
        <w:rPr>
          <w:rFonts w:ascii="Arial" w:hAnsi="Arial" w:cs="Arial"/>
          <w:sz w:val="24"/>
          <w:szCs w:val="24"/>
        </w:rPr>
        <w:t>s</w:t>
      </w:r>
      <w:r w:rsidRPr="00FF3A99">
        <w:rPr>
          <w:rFonts w:ascii="Arial" w:hAnsi="Arial" w:cs="Arial"/>
          <w:sz w:val="24"/>
          <w:szCs w:val="24"/>
        </w:rPr>
        <w:t xml:space="preserve"> treated the CCS patients (recruited from DGHs), whereas the ACS (recruited from NGH) patients were treated by </w:t>
      </w:r>
      <w:r w:rsidR="005A4032" w:rsidRPr="00FF3A99">
        <w:rPr>
          <w:rFonts w:ascii="Arial" w:hAnsi="Arial" w:cs="Arial"/>
          <w:sz w:val="24"/>
          <w:szCs w:val="24"/>
        </w:rPr>
        <w:t>interventionist</w:t>
      </w:r>
      <w:r w:rsidR="005A4032">
        <w:rPr>
          <w:rFonts w:ascii="Arial" w:hAnsi="Arial" w:cs="Arial"/>
          <w:sz w:val="24"/>
          <w:szCs w:val="24"/>
        </w:rPr>
        <w:t>s (cardiologists specialised in coronary intervention)</w:t>
      </w:r>
      <w:r w:rsidRPr="00FF3A99">
        <w:rPr>
          <w:rFonts w:ascii="Arial" w:hAnsi="Arial" w:cs="Arial"/>
          <w:sz w:val="24"/>
          <w:szCs w:val="24"/>
        </w:rPr>
        <w:t>. The pre-vFFR concordance was performed to determine the interobserver variability in the visual assessment of stenotic lesions on CAG and treatment plans based on them.</w:t>
      </w:r>
      <w:r w:rsidR="004F318B">
        <w:rPr>
          <w:rFonts w:ascii="Arial" w:hAnsi="Arial" w:cs="Arial"/>
          <w:sz w:val="24"/>
          <w:szCs w:val="24"/>
        </w:rPr>
        <w:t xml:space="preserve"> </w:t>
      </w:r>
      <w:r w:rsidR="004F318B" w:rsidRPr="004F318B">
        <w:rPr>
          <w:rFonts w:ascii="Arial" w:hAnsi="Arial" w:cs="Arial"/>
          <w:sz w:val="24"/>
          <w:szCs w:val="24"/>
        </w:rPr>
        <w:t>Post-vFFR plan concordance was used to assess interobserver variability in adapting to the vFFR recommendations and to evaluate how vFFR could facilitate more appropriate treatment decisions, based on the assumption that MDT collective decision-making is more appropriate than individual decision-making.</w:t>
      </w:r>
      <w:r w:rsidR="004F318B">
        <w:rPr>
          <w:rFonts w:ascii="Arial" w:hAnsi="Arial" w:cs="Arial"/>
          <w:sz w:val="24"/>
          <w:szCs w:val="24"/>
        </w:rPr>
        <w:t xml:space="preserve"> </w:t>
      </w:r>
      <w:r w:rsidRPr="00FF3A99">
        <w:rPr>
          <w:rFonts w:ascii="Arial" w:hAnsi="Arial" w:cs="Arial"/>
          <w:sz w:val="24"/>
          <w:szCs w:val="24"/>
        </w:rPr>
        <w:t>The notional changes in the management plans were linked to the virtual outcomes in line with the available published literature to estimate the potential clinical and economic impact of vFFR-based treatment decisions in ‘real world’ practice.</w:t>
      </w:r>
    </w:p>
    <w:p w14:paraId="72338C33" w14:textId="77777777" w:rsidR="00DB0D96" w:rsidRDefault="00DB0D96" w:rsidP="004942B6">
      <w:pPr>
        <w:spacing w:line="360" w:lineRule="auto"/>
        <w:jc w:val="both"/>
        <w:rPr>
          <w:rFonts w:ascii="Arial" w:hAnsi="Arial" w:cs="Arial"/>
          <w:color w:val="000000" w:themeColor="text1"/>
          <w:sz w:val="24"/>
          <w:szCs w:val="24"/>
        </w:rPr>
      </w:pPr>
    </w:p>
    <w:p w14:paraId="3D5D1D15" w14:textId="5CBB8FE2" w:rsidR="004942B6" w:rsidRPr="004B0DBA" w:rsidRDefault="004942B6" w:rsidP="00364F91">
      <w:pPr>
        <w:pStyle w:val="Heading3"/>
        <w:spacing w:line="360" w:lineRule="auto"/>
        <w:jc w:val="both"/>
        <w:rPr>
          <w:rFonts w:ascii="Arial" w:hAnsi="Arial" w:cs="Arial"/>
          <w:color w:val="4472C4" w:themeColor="accent1"/>
          <w:sz w:val="24"/>
          <w:szCs w:val="24"/>
        </w:rPr>
      </w:pPr>
      <w:bookmarkStart w:id="605" w:name="_Toc159613586"/>
      <w:bookmarkStart w:id="606" w:name="_Toc160981247"/>
      <w:bookmarkStart w:id="607" w:name="_Toc164676043"/>
      <w:bookmarkStart w:id="608" w:name="_Toc164680488"/>
      <w:bookmarkStart w:id="609" w:name="_Toc164681386"/>
      <w:bookmarkStart w:id="610" w:name="_Toc170075064"/>
      <w:bookmarkStart w:id="611" w:name="_Toc170076051"/>
      <w:bookmarkStart w:id="612" w:name="_Toc170577749"/>
      <w:bookmarkStart w:id="613" w:name="_Toc170579267"/>
      <w:bookmarkStart w:id="614" w:name="_Toc171203122"/>
      <w:bookmarkStart w:id="615" w:name="_Toc171203893"/>
      <w:r w:rsidRPr="004B0DBA">
        <w:rPr>
          <w:rFonts w:ascii="Arial" w:hAnsi="Arial" w:cs="Arial"/>
          <w:color w:val="4472C4" w:themeColor="accent1"/>
          <w:sz w:val="24"/>
          <w:szCs w:val="24"/>
        </w:rPr>
        <w:lastRenderedPageBreak/>
        <w:t>2.</w:t>
      </w:r>
      <w:r w:rsidR="002A3406">
        <w:rPr>
          <w:rFonts w:ascii="Arial" w:hAnsi="Arial" w:cs="Arial"/>
          <w:color w:val="4472C4" w:themeColor="accent1"/>
          <w:sz w:val="24"/>
          <w:szCs w:val="24"/>
        </w:rPr>
        <w:t>4</w:t>
      </w:r>
      <w:r w:rsidRPr="004B0DBA">
        <w:rPr>
          <w:rFonts w:ascii="Arial" w:hAnsi="Arial" w:cs="Arial"/>
          <w:color w:val="4472C4" w:themeColor="accent1"/>
          <w:sz w:val="24"/>
          <w:szCs w:val="24"/>
        </w:rPr>
        <w:t>.2 Estimating the potential clinical and economic impact of the virtual change in treatment with vFFR</w:t>
      </w:r>
      <w:bookmarkEnd w:id="605"/>
      <w:bookmarkEnd w:id="606"/>
      <w:bookmarkEnd w:id="607"/>
      <w:bookmarkEnd w:id="608"/>
      <w:bookmarkEnd w:id="609"/>
      <w:bookmarkEnd w:id="610"/>
      <w:bookmarkEnd w:id="611"/>
      <w:bookmarkEnd w:id="612"/>
      <w:bookmarkEnd w:id="613"/>
      <w:bookmarkEnd w:id="614"/>
      <w:bookmarkEnd w:id="615"/>
    </w:p>
    <w:p w14:paraId="2A871255" w14:textId="29EF3F80" w:rsidR="00D70C84" w:rsidRDefault="004942B6" w:rsidP="004942B6">
      <w:pPr>
        <w:spacing w:line="360" w:lineRule="auto"/>
        <w:jc w:val="both"/>
        <w:rPr>
          <w:rFonts w:ascii="Arial" w:hAnsi="Arial" w:cs="Arial"/>
          <w:sz w:val="24"/>
          <w:szCs w:val="24"/>
        </w:rPr>
      </w:pPr>
      <w:r w:rsidRPr="00CA43A6">
        <w:rPr>
          <w:rFonts w:ascii="Arial" w:hAnsi="Arial" w:cs="Arial"/>
          <w:sz w:val="24"/>
          <w:szCs w:val="24"/>
        </w:rPr>
        <w:t xml:space="preserve">The expert </w:t>
      </w:r>
      <w:r w:rsidR="00E71322">
        <w:rPr>
          <w:rFonts w:ascii="Arial" w:hAnsi="Arial" w:cs="Arial"/>
          <w:sz w:val="24"/>
          <w:szCs w:val="24"/>
        </w:rPr>
        <w:t>MDTs</w:t>
      </w:r>
      <w:r w:rsidRPr="00CA43A6">
        <w:rPr>
          <w:rFonts w:ascii="Arial" w:hAnsi="Arial" w:cs="Arial"/>
          <w:sz w:val="24"/>
          <w:szCs w:val="24"/>
        </w:rPr>
        <w:t xml:space="preserve"> w</w:t>
      </w:r>
      <w:r w:rsidR="00E71322">
        <w:rPr>
          <w:rFonts w:ascii="Arial" w:hAnsi="Arial" w:cs="Arial"/>
          <w:sz w:val="24"/>
          <w:szCs w:val="24"/>
        </w:rPr>
        <w:t>ere</w:t>
      </w:r>
      <w:r w:rsidRPr="00CA43A6">
        <w:rPr>
          <w:rFonts w:ascii="Arial" w:hAnsi="Arial" w:cs="Arial"/>
          <w:sz w:val="24"/>
          <w:szCs w:val="24"/>
        </w:rPr>
        <w:t xml:space="preserve"> presented with the patient's actual clinical outcomes from the </w:t>
      </w:r>
      <w:r>
        <w:rPr>
          <w:rFonts w:ascii="Arial" w:hAnsi="Arial" w:cs="Arial"/>
          <w:sz w:val="24"/>
          <w:szCs w:val="24"/>
        </w:rPr>
        <w:t>virtual change subset</w:t>
      </w:r>
      <w:r w:rsidRPr="00CA43A6">
        <w:rPr>
          <w:rFonts w:ascii="Arial" w:hAnsi="Arial" w:cs="Arial"/>
          <w:sz w:val="24"/>
          <w:szCs w:val="24"/>
        </w:rPr>
        <w:t xml:space="preserve"> at a one-year follow-up. The </w:t>
      </w:r>
      <w:r w:rsidR="00E71322">
        <w:rPr>
          <w:rFonts w:ascii="Arial" w:hAnsi="Arial" w:cs="Arial"/>
          <w:sz w:val="24"/>
          <w:szCs w:val="24"/>
        </w:rPr>
        <w:t>MDTs</w:t>
      </w:r>
      <w:r w:rsidRPr="00CA43A6">
        <w:rPr>
          <w:rFonts w:ascii="Arial" w:hAnsi="Arial" w:cs="Arial"/>
          <w:sz w:val="24"/>
          <w:szCs w:val="24"/>
        </w:rPr>
        <w:t xml:space="preserve"> provided their independent expert opinion for each patient individually about how the vFFR-directed plans could have impacted the</w:t>
      </w:r>
      <w:r w:rsidR="00D70C84">
        <w:rPr>
          <w:rFonts w:ascii="Arial" w:hAnsi="Arial" w:cs="Arial"/>
          <w:sz w:val="24"/>
          <w:szCs w:val="24"/>
        </w:rPr>
        <w:t xml:space="preserve"> treatment plans</w:t>
      </w:r>
      <w:r w:rsidRPr="00CA43A6">
        <w:rPr>
          <w:rFonts w:ascii="Arial" w:hAnsi="Arial" w:cs="Arial"/>
          <w:sz w:val="24"/>
          <w:szCs w:val="24"/>
        </w:rPr>
        <w:t>.</w:t>
      </w:r>
      <w:r w:rsidR="00D70C84">
        <w:rPr>
          <w:rFonts w:ascii="Arial" w:hAnsi="Arial" w:cs="Arial"/>
          <w:sz w:val="24"/>
          <w:szCs w:val="24"/>
        </w:rPr>
        <w:t xml:space="preserve"> The potential change in outcomes with the virtual change in the treatment plans after vFFR were extrapolated from already published literature and were applied to the patients to estimate the impact on </w:t>
      </w:r>
      <w:r w:rsidR="00D70C84" w:rsidRPr="00CA43A6">
        <w:rPr>
          <w:rFonts w:ascii="Arial" w:hAnsi="Arial" w:cs="Arial"/>
          <w:sz w:val="24"/>
          <w:szCs w:val="24"/>
        </w:rPr>
        <w:t>MACE, QOL, resource utilisation and improvement in</w:t>
      </w:r>
      <w:r w:rsidR="00D70C84">
        <w:rPr>
          <w:rFonts w:ascii="Arial" w:hAnsi="Arial" w:cs="Arial"/>
          <w:sz w:val="24"/>
          <w:szCs w:val="24"/>
        </w:rPr>
        <w:t xml:space="preserve"> CCS/NYHA classes (referred to as ‘virtual outcomes’). The estimation of virtual outcomes from the published literature and their applicability to the patients has been </w:t>
      </w:r>
      <w:r w:rsidR="00555475">
        <w:rPr>
          <w:rFonts w:ascii="Arial" w:hAnsi="Arial" w:cs="Arial"/>
          <w:sz w:val="24"/>
          <w:szCs w:val="24"/>
        </w:rPr>
        <w:t>discussed below with examples.</w:t>
      </w:r>
    </w:p>
    <w:p w14:paraId="44DF0044" w14:textId="77777777" w:rsidR="00D70C84" w:rsidRDefault="00D70C84" w:rsidP="004942B6">
      <w:pPr>
        <w:spacing w:line="360" w:lineRule="auto"/>
        <w:jc w:val="both"/>
        <w:rPr>
          <w:rFonts w:ascii="Arial" w:hAnsi="Arial" w:cs="Arial"/>
          <w:sz w:val="24"/>
          <w:szCs w:val="24"/>
        </w:rPr>
      </w:pPr>
    </w:p>
    <w:p w14:paraId="0CEB7633" w14:textId="16051E3A" w:rsidR="004942B6" w:rsidRPr="004333EA" w:rsidRDefault="004942B6" w:rsidP="00364F91">
      <w:pPr>
        <w:pStyle w:val="Heading4"/>
        <w:spacing w:line="360" w:lineRule="auto"/>
        <w:jc w:val="both"/>
        <w:rPr>
          <w:rFonts w:ascii="Arial" w:hAnsi="Arial" w:cs="Arial"/>
          <w:i w:val="0"/>
          <w:iCs w:val="0"/>
          <w:color w:val="4472C4" w:themeColor="accent1"/>
          <w:sz w:val="24"/>
          <w:szCs w:val="24"/>
        </w:rPr>
      </w:pPr>
      <w:r w:rsidRPr="004333EA">
        <w:rPr>
          <w:rFonts w:ascii="Arial" w:hAnsi="Arial" w:cs="Arial"/>
          <w:i w:val="0"/>
          <w:iCs w:val="0"/>
          <w:color w:val="4472C4" w:themeColor="accent1"/>
          <w:sz w:val="24"/>
          <w:szCs w:val="24"/>
        </w:rPr>
        <w:t>2.</w:t>
      </w:r>
      <w:r w:rsidR="002A3406">
        <w:rPr>
          <w:rFonts w:ascii="Arial" w:hAnsi="Arial" w:cs="Arial"/>
          <w:i w:val="0"/>
          <w:iCs w:val="0"/>
          <w:color w:val="4472C4" w:themeColor="accent1"/>
          <w:sz w:val="24"/>
          <w:szCs w:val="24"/>
        </w:rPr>
        <w:t>4</w:t>
      </w:r>
      <w:r w:rsidRPr="004333EA">
        <w:rPr>
          <w:rFonts w:ascii="Arial" w:hAnsi="Arial" w:cs="Arial"/>
          <w:i w:val="0"/>
          <w:iCs w:val="0"/>
          <w:color w:val="4472C4" w:themeColor="accent1"/>
          <w:sz w:val="24"/>
          <w:szCs w:val="24"/>
        </w:rPr>
        <w:t>.</w:t>
      </w:r>
      <w:r w:rsidR="002A3406">
        <w:rPr>
          <w:rFonts w:ascii="Arial" w:hAnsi="Arial" w:cs="Arial"/>
          <w:i w:val="0"/>
          <w:iCs w:val="0"/>
          <w:color w:val="4472C4" w:themeColor="accent1"/>
          <w:sz w:val="24"/>
          <w:szCs w:val="24"/>
        </w:rPr>
        <w:t>2.1</w:t>
      </w:r>
      <w:r w:rsidRPr="004333EA">
        <w:rPr>
          <w:rFonts w:ascii="Arial" w:hAnsi="Arial" w:cs="Arial"/>
          <w:i w:val="0"/>
          <w:iCs w:val="0"/>
          <w:color w:val="4472C4" w:themeColor="accent1"/>
          <w:sz w:val="24"/>
          <w:szCs w:val="24"/>
        </w:rPr>
        <w:t xml:space="preserve"> </w:t>
      </w:r>
      <w:r w:rsidR="00555475">
        <w:rPr>
          <w:rFonts w:ascii="Arial" w:hAnsi="Arial" w:cs="Arial"/>
          <w:i w:val="0"/>
          <w:iCs w:val="0"/>
          <w:color w:val="4472C4" w:themeColor="accent1"/>
          <w:sz w:val="24"/>
          <w:szCs w:val="24"/>
        </w:rPr>
        <w:t>Estimating</w:t>
      </w:r>
      <w:r w:rsidRPr="004333EA">
        <w:rPr>
          <w:rFonts w:ascii="Arial" w:hAnsi="Arial" w:cs="Arial"/>
          <w:i w:val="0"/>
          <w:iCs w:val="0"/>
          <w:color w:val="4472C4" w:themeColor="accent1"/>
          <w:sz w:val="24"/>
          <w:szCs w:val="24"/>
        </w:rPr>
        <w:t xml:space="preserve"> the </w:t>
      </w:r>
      <w:r w:rsidR="00555475">
        <w:rPr>
          <w:rFonts w:ascii="Arial" w:hAnsi="Arial" w:cs="Arial"/>
          <w:i w:val="0"/>
          <w:iCs w:val="0"/>
          <w:color w:val="4472C4" w:themeColor="accent1"/>
          <w:sz w:val="24"/>
          <w:szCs w:val="24"/>
        </w:rPr>
        <w:t xml:space="preserve">virtual change in </w:t>
      </w:r>
      <w:r w:rsidRPr="004333EA">
        <w:rPr>
          <w:rFonts w:ascii="Arial" w:hAnsi="Arial" w:cs="Arial"/>
          <w:i w:val="0"/>
          <w:iCs w:val="0"/>
          <w:color w:val="4472C4" w:themeColor="accent1"/>
          <w:sz w:val="24"/>
          <w:szCs w:val="24"/>
        </w:rPr>
        <w:t xml:space="preserve">MACE </w:t>
      </w:r>
    </w:p>
    <w:p w14:paraId="40222ECF" w14:textId="6D934B2B" w:rsidR="004942B6" w:rsidRPr="00405D0D" w:rsidRDefault="004942B6" w:rsidP="00405D0D">
      <w:pPr>
        <w:spacing w:line="360" w:lineRule="auto"/>
        <w:jc w:val="both"/>
        <w:rPr>
          <w:rFonts w:ascii="Arial" w:hAnsi="Arial" w:cs="Arial"/>
          <w:sz w:val="24"/>
          <w:szCs w:val="24"/>
        </w:rPr>
      </w:pPr>
      <w:bookmarkStart w:id="616" w:name="_Hlk155695745"/>
      <w:r w:rsidRPr="00F746FB">
        <w:rPr>
          <w:rFonts w:ascii="Arial" w:hAnsi="Arial" w:cs="Arial"/>
          <w:color w:val="000000"/>
          <w:sz w:val="24"/>
          <w:szCs w:val="24"/>
        </w:rPr>
        <w:t>The literature was</w:t>
      </w:r>
      <w:r w:rsidR="00555475" w:rsidRPr="00F746FB">
        <w:rPr>
          <w:rFonts w:ascii="Arial" w:hAnsi="Arial" w:cs="Arial"/>
          <w:color w:val="000000"/>
          <w:sz w:val="24"/>
          <w:szCs w:val="24"/>
        </w:rPr>
        <w:t xml:space="preserve"> extensively</w:t>
      </w:r>
      <w:r w:rsidRPr="00F746FB">
        <w:rPr>
          <w:rFonts w:ascii="Arial" w:hAnsi="Arial" w:cs="Arial"/>
          <w:color w:val="000000"/>
          <w:sz w:val="24"/>
          <w:szCs w:val="24"/>
        </w:rPr>
        <w:t xml:space="preserve"> searched for the cumulative incidence of MACE and QOL in ACS and CCS settings that had the closest match to our cohort of patients in order to </w:t>
      </w:r>
      <w:r w:rsidR="00555475" w:rsidRPr="00F746FB">
        <w:rPr>
          <w:rFonts w:ascii="Arial" w:hAnsi="Arial" w:cs="Arial"/>
          <w:color w:val="000000"/>
          <w:sz w:val="24"/>
          <w:szCs w:val="24"/>
        </w:rPr>
        <w:t>estimate</w:t>
      </w:r>
      <w:r w:rsidRPr="00F746FB">
        <w:rPr>
          <w:rFonts w:ascii="Arial" w:hAnsi="Arial" w:cs="Arial"/>
          <w:color w:val="000000"/>
          <w:sz w:val="24"/>
          <w:szCs w:val="24"/>
        </w:rPr>
        <w:t xml:space="preserve"> the outcomes</w:t>
      </w:r>
      <w:r w:rsidRPr="00F746FB">
        <w:rPr>
          <w:rFonts w:ascii="Arial" w:hAnsi="Arial" w:cs="Arial"/>
          <w:sz w:val="24"/>
          <w:szCs w:val="24"/>
        </w:rPr>
        <w:t xml:space="preserve">. </w:t>
      </w:r>
      <w:bookmarkEnd w:id="616"/>
      <w:r w:rsidRPr="00F746FB">
        <w:rPr>
          <w:rFonts w:ascii="Arial" w:hAnsi="Arial" w:cs="Arial"/>
          <w:sz w:val="24"/>
          <w:szCs w:val="24"/>
        </w:rPr>
        <w:t xml:space="preserve">Therefore, the MACE risk for the ACS patients was sourced from RITA-3 and a real-world large observational study of 5112 patients. The RITA-3 study (n=1810) compared the early invasive therapy vs the conservative </w:t>
      </w:r>
      <w:r w:rsidRPr="00405D0D">
        <w:rPr>
          <w:rFonts w:ascii="Arial" w:hAnsi="Arial" w:cs="Arial"/>
          <w:sz w:val="24"/>
          <w:szCs w:val="24"/>
        </w:rPr>
        <w:t>management for patients with acute coronary syndrome. It demonstrated lower MACE in the invasively treated patients (13.5%) vs the conservatively treated patients (18.4%). (186) The observational study interrogated the PCI and CABG in ACS settings and found no statistically significant difference in MACE at one year (11.1% PCI vs 11.7% CABG, p=0.66)</w:t>
      </w:r>
      <w:r w:rsidR="004E369E" w:rsidRPr="00405D0D">
        <w:rPr>
          <w:rFonts w:ascii="Arial" w:hAnsi="Arial" w:cs="Arial"/>
          <w:sz w:val="24"/>
          <w:szCs w:val="24"/>
        </w:rPr>
        <w:t>,</w:t>
      </w:r>
      <w:r w:rsidR="00A06AE6" w:rsidRPr="00405D0D">
        <w:rPr>
          <w:rFonts w:ascii="Arial" w:hAnsi="Arial" w:cs="Arial"/>
          <w:sz w:val="24"/>
          <w:szCs w:val="24"/>
        </w:rPr>
        <w:t xml:space="preserve"> </w:t>
      </w:r>
      <w:r w:rsidRPr="00405D0D">
        <w:rPr>
          <w:rFonts w:ascii="Arial" w:hAnsi="Arial" w:cs="Arial"/>
          <w:sz w:val="24"/>
          <w:szCs w:val="24"/>
        </w:rPr>
        <w:t xml:space="preserve">though, the long-term follow-up at ten years showed noticeable benefit with CABG (28.4% PCI vs 20.4% CABG, p&lt;0.006). (187) </w:t>
      </w:r>
    </w:p>
    <w:p w14:paraId="57600A9F" w14:textId="77777777" w:rsidR="00405D0D" w:rsidRPr="00405D0D" w:rsidRDefault="004942B6" w:rsidP="001823B4">
      <w:pPr>
        <w:spacing w:line="360" w:lineRule="auto"/>
        <w:jc w:val="both"/>
        <w:rPr>
          <w:rFonts w:ascii="Arial" w:hAnsi="Arial" w:cs="Arial"/>
          <w:sz w:val="24"/>
          <w:szCs w:val="24"/>
        </w:rPr>
      </w:pPr>
      <w:r w:rsidRPr="00405D0D">
        <w:rPr>
          <w:rFonts w:ascii="Arial" w:hAnsi="Arial" w:cs="Arial"/>
          <w:sz w:val="24"/>
          <w:szCs w:val="24"/>
        </w:rPr>
        <w:t xml:space="preserve">The annual MACE risk associated with treatment strategies for CCS patients was sourced from FAME-2 and FAME-3 studies. The FAME-2 (n=1220) investigated the FFR-guided PCI against medical therapy in stable CAD, whereas FAME-3 (n=1500) probed the outcomes of FFR-guided PCI against CABG in multivessel stable CAD. The annual MACE risks for stable CAD patients treated with OMT, PCI and CABG were 19.5%, 8.1% and 6.9% respectively. This difference in MACE between OMT and invasive treatment (PCI and CABG) was primarily driven by repeat revascularisations in the OMT arm, without any </w:t>
      </w:r>
      <w:r w:rsidR="00AE1294" w:rsidRPr="00405D0D">
        <w:rPr>
          <w:rFonts w:ascii="Arial" w:hAnsi="Arial" w:cs="Arial"/>
          <w:sz w:val="24"/>
          <w:szCs w:val="24"/>
        </w:rPr>
        <w:t>obvious</w:t>
      </w:r>
      <w:r w:rsidRPr="00405D0D">
        <w:rPr>
          <w:rFonts w:ascii="Arial" w:hAnsi="Arial" w:cs="Arial"/>
          <w:sz w:val="24"/>
          <w:szCs w:val="24"/>
        </w:rPr>
        <w:t xml:space="preserve"> mortality benefit with PCI or CABG. (188,189) </w:t>
      </w:r>
      <w:r w:rsidRPr="00405D0D">
        <w:rPr>
          <w:rFonts w:ascii="Arial" w:hAnsi="Arial" w:cs="Arial"/>
          <w:sz w:val="24"/>
          <w:szCs w:val="24"/>
        </w:rPr>
        <w:lastRenderedPageBreak/>
        <w:t>Similar results were also shown in ISCHAEMIA and COURAGE trials of stable CAD about symptom improvement without any mortality benefit. (183, 184)</w:t>
      </w:r>
      <w:r w:rsidR="00405D0D" w:rsidRPr="00405D0D">
        <w:rPr>
          <w:rFonts w:ascii="Arial" w:hAnsi="Arial" w:cs="Arial"/>
          <w:sz w:val="24"/>
          <w:szCs w:val="24"/>
        </w:rPr>
        <w:t xml:space="preserve"> </w:t>
      </w:r>
    </w:p>
    <w:p w14:paraId="67E6FB27" w14:textId="1647EBAD" w:rsidR="004942B6" w:rsidRDefault="005B2455" w:rsidP="004942B6">
      <w:pPr>
        <w:spacing w:line="360" w:lineRule="auto"/>
        <w:jc w:val="both"/>
        <w:rPr>
          <w:rFonts w:ascii="Arial" w:hAnsi="Arial" w:cs="Arial"/>
          <w:color w:val="000000" w:themeColor="text1"/>
          <w:sz w:val="24"/>
          <w:szCs w:val="24"/>
        </w:rPr>
      </w:pPr>
      <w:r>
        <w:rPr>
          <w:rFonts w:ascii="Arial" w:hAnsi="Arial" w:cs="Arial"/>
          <w:sz w:val="24"/>
          <w:szCs w:val="24"/>
        </w:rPr>
        <w:t>In accordance with the above evidence,</w:t>
      </w:r>
      <w:r w:rsidR="00405D0D" w:rsidRPr="001823B4">
        <w:rPr>
          <w:rFonts w:ascii="Arial" w:hAnsi="Arial" w:cs="Arial"/>
          <w:sz w:val="24"/>
          <w:szCs w:val="24"/>
        </w:rPr>
        <w:t xml:space="preserve"> within the ACS cohort, if the vFFR </w:t>
      </w:r>
      <w:r w:rsidR="00B17576">
        <w:rPr>
          <w:rFonts w:ascii="Arial" w:hAnsi="Arial" w:cs="Arial"/>
          <w:sz w:val="24"/>
          <w:szCs w:val="24"/>
        </w:rPr>
        <w:t>suggested</w:t>
      </w:r>
      <w:r w:rsidR="00405D0D" w:rsidRPr="001823B4">
        <w:rPr>
          <w:rFonts w:ascii="Arial" w:hAnsi="Arial" w:cs="Arial"/>
          <w:sz w:val="24"/>
          <w:szCs w:val="24"/>
        </w:rPr>
        <w:t xml:space="preserve"> </w:t>
      </w:r>
      <w:r w:rsidR="00405D0D">
        <w:rPr>
          <w:rFonts w:ascii="Arial" w:hAnsi="Arial" w:cs="Arial"/>
          <w:sz w:val="24"/>
          <w:szCs w:val="24"/>
        </w:rPr>
        <w:t>invasive treatment</w:t>
      </w:r>
      <w:r w:rsidR="00405D0D" w:rsidRPr="001823B4">
        <w:rPr>
          <w:rFonts w:ascii="Arial" w:hAnsi="Arial" w:cs="Arial"/>
          <w:sz w:val="24"/>
          <w:szCs w:val="24"/>
        </w:rPr>
        <w:t xml:space="preserve"> over medical therapy, an additional predicted MACE risk of 4.9% was factored into the virtual outcomes, based </w:t>
      </w:r>
      <w:r w:rsidR="00B17576">
        <w:rPr>
          <w:rFonts w:ascii="Arial" w:hAnsi="Arial" w:cs="Arial"/>
          <w:sz w:val="24"/>
          <w:szCs w:val="24"/>
        </w:rPr>
        <w:t>up</w:t>
      </w:r>
      <w:r w:rsidR="00405D0D" w:rsidRPr="001823B4">
        <w:rPr>
          <w:rFonts w:ascii="Arial" w:hAnsi="Arial" w:cs="Arial"/>
          <w:sz w:val="24"/>
          <w:szCs w:val="24"/>
        </w:rPr>
        <w:t xml:space="preserve">on findings from the aforementioned literature. </w:t>
      </w:r>
      <w:r w:rsidR="00405D0D">
        <w:rPr>
          <w:rFonts w:ascii="Arial" w:hAnsi="Arial" w:cs="Arial"/>
          <w:sz w:val="24"/>
          <w:szCs w:val="24"/>
        </w:rPr>
        <w:t xml:space="preserve">For </w:t>
      </w:r>
      <w:r w:rsidR="00405D0D" w:rsidRPr="001823B4">
        <w:rPr>
          <w:rFonts w:ascii="Arial" w:hAnsi="Arial" w:cs="Arial"/>
          <w:sz w:val="24"/>
          <w:szCs w:val="24"/>
        </w:rPr>
        <w:t>the CCS cohort, since invasive treatment did not significantly impact mortality, the primary difference was attributed to repeat revasculari</w:t>
      </w:r>
      <w:r w:rsidR="00405D0D">
        <w:rPr>
          <w:rFonts w:ascii="Arial" w:hAnsi="Arial" w:cs="Arial"/>
          <w:sz w:val="24"/>
          <w:szCs w:val="24"/>
        </w:rPr>
        <w:t>s</w:t>
      </w:r>
      <w:r w:rsidR="00405D0D" w:rsidRPr="001823B4">
        <w:rPr>
          <w:rFonts w:ascii="Arial" w:hAnsi="Arial" w:cs="Arial"/>
          <w:sz w:val="24"/>
          <w:szCs w:val="24"/>
        </w:rPr>
        <w:t>ation</w:t>
      </w:r>
      <w:r w:rsidR="00B17576">
        <w:rPr>
          <w:rFonts w:ascii="Arial" w:hAnsi="Arial" w:cs="Arial"/>
          <w:sz w:val="24"/>
          <w:szCs w:val="24"/>
        </w:rPr>
        <w:t>;</w:t>
      </w:r>
      <w:r w:rsidR="00070E94">
        <w:rPr>
          <w:rFonts w:ascii="Arial" w:hAnsi="Arial" w:cs="Arial"/>
          <w:sz w:val="24"/>
          <w:szCs w:val="24"/>
        </w:rPr>
        <w:t xml:space="preserve"> therefore</w:t>
      </w:r>
      <w:r w:rsidR="00405D0D" w:rsidRPr="001823B4">
        <w:rPr>
          <w:rFonts w:ascii="Arial" w:hAnsi="Arial" w:cs="Arial"/>
          <w:sz w:val="24"/>
          <w:szCs w:val="24"/>
        </w:rPr>
        <w:t xml:space="preserve">, if the vFFR </w:t>
      </w:r>
      <w:r w:rsidR="00B17576">
        <w:rPr>
          <w:rFonts w:ascii="Arial" w:hAnsi="Arial" w:cs="Arial"/>
          <w:sz w:val="24"/>
          <w:szCs w:val="24"/>
        </w:rPr>
        <w:t>suggested</w:t>
      </w:r>
      <w:r w:rsidR="00405D0D" w:rsidRPr="001823B4">
        <w:rPr>
          <w:rFonts w:ascii="Arial" w:hAnsi="Arial" w:cs="Arial"/>
          <w:sz w:val="24"/>
          <w:szCs w:val="24"/>
        </w:rPr>
        <w:t xml:space="preserve"> an invasive strategy but the patient was managed medically, a projected 11.4% risk of repeat hospital admission was incorporated into the virtual outcomes</w:t>
      </w:r>
      <w:r w:rsidR="00405D0D">
        <w:rPr>
          <w:rFonts w:ascii="Arial" w:hAnsi="Arial" w:cs="Arial"/>
          <w:sz w:val="24"/>
          <w:szCs w:val="24"/>
        </w:rPr>
        <w:t>.</w:t>
      </w:r>
    </w:p>
    <w:p w14:paraId="233DFE3B" w14:textId="188EA0F0" w:rsidR="004942B6" w:rsidRPr="00547BA1" w:rsidRDefault="004942B6" w:rsidP="004942B6">
      <w:pPr>
        <w:pStyle w:val="Heading4"/>
        <w:spacing w:line="360" w:lineRule="auto"/>
        <w:rPr>
          <w:rFonts w:ascii="Arial" w:hAnsi="Arial" w:cs="Arial"/>
          <w:i w:val="0"/>
          <w:iCs w:val="0"/>
          <w:color w:val="4472C4" w:themeColor="accent1"/>
          <w:sz w:val="24"/>
          <w:szCs w:val="24"/>
        </w:rPr>
      </w:pPr>
      <w:r w:rsidRPr="00ED268E">
        <w:rPr>
          <w:rFonts w:ascii="Arial" w:hAnsi="Arial" w:cs="Arial"/>
          <w:i w:val="0"/>
          <w:iCs w:val="0"/>
          <w:color w:val="4472C4" w:themeColor="accent1"/>
          <w:sz w:val="24"/>
          <w:szCs w:val="24"/>
        </w:rPr>
        <w:t>2.</w:t>
      </w:r>
      <w:r w:rsidR="002A3406">
        <w:rPr>
          <w:rFonts w:ascii="Arial" w:hAnsi="Arial" w:cs="Arial"/>
          <w:i w:val="0"/>
          <w:iCs w:val="0"/>
          <w:color w:val="4472C4" w:themeColor="accent1"/>
          <w:sz w:val="24"/>
          <w:szCs w:val="24"/>
        </w:rPr>
        <w:t>4</w:t>
      </w:r>
      <w:r w:rsidRPr="00ED268E">
        <w:rPr>
          <w:rFonts w:ascii="Arial" w:hAnsi="Arial" w:cs="Arial"/>
          <w:i w:val="0"/>
          <w:iCs w:val="0"/>
          <w:color w:val="4472C4" w:themeColor="accent1"/>
          <w:sz w:val="24"/>
          <w:szCs w:val="24"/>
        </w:rPr>
        <w:t xml:space="preserve">.2.2 </w:t>
      </w:r>
      <w:r w:rsidR="00555475">
        <w:rPr>
          <w:rFonts w:ascii="Arial" w:hAnsi="Arial" w:cs="Arial"/>
          <w:i w:val="0"/>
          <w:iCs w:val="0"/>
          <w:color w:val="4472C4" w:themeColor="accent1"/>
          <w:sz w:val="24"/>
          <w:szCs w:val="24"/>
        </w:rPr>
        <w:t>Estimating the virtual change in</w:t>
      </w:r>
      <w:r w:rsidRPr="00ED268E">
        <w:rPr>
          <w:rFonts w:ascii="Arial" w:hAnsi="Arial" w:cs="Arial"/>
          <w:i w:val="0"/>
          <w:iCs w:val="0"/>
          <w:color w:val="4472C4" w:themeColor="accent1"/>
          <w:sz w:val="24"/>
          <w:szCs w:val="24"/>
        </w:rPr>
        <w:t xml:space="preserve"> QOL</w:t>
      </w:r>
    </w:p>
    <w:p w14:paraId="1A4C02CE" w14:textId="167974BA" w:rsidR="004942B6" w:rsidRDefault="004942B6" w:rsidP="003244C5">
      <w:pPr>
        <w:spacing w:line="360" w:lineRule="auto"/>
        <w:jc w:val="both"/>
        <w:rPr>
          <w:rFonts w:ascii="Arial" w:hAnsi="Arial" w:cs="Arial"/>
          <w:sz w:val="24"/>
          <w:szCs w:val="24"/>
        </w:rPr>
      </w:pPr>
      <w:r w:rsidRPr="003433A3">
        <w:rPr>
          <w:rFonts w:ascii="Arial" w:hAnsi="Arial" w:cs="Arial"/>
          <w:sz w:val="24"/>
          <w:szCs w:val="24"/>
        </w:rPr>
        <w:t>The impact of treatment on QOL for ACS patients was also furnished from the RITA-3 study (n=1810), which showed that QOL improved significantly in invasively treated ACS patients compared to medical therapy alone. (190). The interval change in the EQ</w:t>
      </w:r>
      <w:r>
        <w:rPr>
          <w:rFonts w:ascii="Arial" w:hAnsi="Arial" w:cs="Arial"/>
          <w:sz w:val="24"/>
          <w:szCs w:val="24"/>
        </w:rPr>
        <w:t>-</w:t>
      </w:r>
      <w:r w:rsidRPr="003433A3">
        <w:rPr>
          <w:rFonts w:ascii="Arial" w:hAnsi="Arial" w:cs="Arial"/>
          <w:sz w:val="24"/>
          <w:szCs w:val="24"/>
        </w:rPr>
        <w:t>VAS and EQ</w:t>
      </w:r>
      <w:r>
        <w:rPr>
          <w:rFonts w:ascii="Arial" w:hAnsi="Arial" w:cs="Arial"/>
          <w:sz w:val="24"/>
          <w:szCs w:val="24"/>
        </w:rPr>
        <w:t>-</w:t>
      </w:r>
      <w:r w:rsidRPr="003433A3">
        <w:rPr>
          <w:rFonts w:ascii="Arial" w:hAnsi="Arial" w:cs="Arial"/>
          <w:sz w:val="24"/>
          <w:szCs w:val="24"/>
        </w:rPr>
        <w:t>indexed scores at one year for medically treated patients was 6.2</w:t>
      </w:r>
      <w:r>
        <w:rPr>
          <w:rFonts w:ascii="Arial" w:hAnsi="Arial" w:cs="Arial"/>
          <w:sz w:val="24"/>
          <w:szCs w:val="24"/>
        </w:rPr>
        <w:t xml:space="preserve"> </w:t>
      </w:r>
      <w:r w:rsidRPr="003433A3">
        <w:rPr>
          <w:rFonts w:ascii="Arial" w:hAnsi="Arial" w:cs="Arial"/>
          <w:sz w:val="24"/>
          <w:szCs w:val="24"/>
        </w:rPr>
        <w:t xml:space="preserve">± </w:t>
      </w:r>
      <w:r>
        <w:rPr>
          <w:rFonts w:ascii="Arial" w:hAnsi="Arial" w:cs="Arial"/>
          <w:sz w:val="24"/>
          <w:szCs w:val="24"/>
        </w:rPr>
        <w:t>1.2</w:t>
      </w:r>
      <w:r w:rsidRPr="003433A3">
        <w:rPr>
          <w:rFonts w:ascii="Arial" w:hAnsi="Arial" w:cs="Arial"/>
          <w:sz w:val="24"/>
          <w:szCs w:val="24"/>
        </w:rPr>
        <w:t xml:space="preserve"> and 0.063 ± 0.009, respectively. However, invasively treated patients had a more significant interval change in EQ-VAS 9.2</w:t>
      </w:r>
      <w:r>
        <w:rPr>
          <w:rFonts w:ascii="Arial" w:hAnsi="Arial" w:cs="Arial"/>
          <w:sz w:val="24"/>
          <w:szCs w:val="24"/>
        </w:rPr>
        <w:t xml:space="preserve"> </w:t>
      </w:r>
      <w:r w:rsidRPr="003433A3">
        <w:rPr>
          <w:rFonts w:ascii="Arial" w:hAnsi="Arial" w:cs="Arial"/>
          <w:sz w:val="24"/>
          <w:szCs w:val="24"/>
        </w:rPr>
        <w:t xml:space="preserve">± </w:t>
      </w:r>
      <w:r>
        <w:rPr>
          <w:rFonts w:ascii="Arial" w:hAnsi="Arial" w:cs="Arial"/>
          <w:sz w:val="24"/>
          <w:szCs w:val="24"/>
        </w:rPr>
        <w:t>1.2</w:t>
      </w:r>
      <w:r w:rsidRPr="003433A3">
        <w:rPr>
          <w:rFonts w:ascii="Arial" w:hAnsi="Arial" w:cs="Arial"/>
          <w:sz w:val="24"/>
          <w:szCs w:val="24"/>
        </w:rPr>
        <w:t xml:space="preserve"> and EQ indexed scores 0.079 ± 0.009 from the baseline. (190) There was no statistically significant difference in the QOL scores between PCI and CABG at one-year follow-up in the ACS patients (p=0.6). (186)</w:t>
      </w:r>
      <w:r w:rsidR="00F70CC3">
        <w:rPr>
          <w:rFonts w:ascii="Arial" w:hAnsi="Arial" w:cs="Arial"/>
          <w:sz w:val="24"/>
          <w:szCs w:val="24"/>
        </w:rPr>
        <w:t xml:space="preserve"> </w:t>
      </w:r>
      <w:r w:rsidR="00070E94">
        <w:rPr>
          <w:rFonts w:ascii="Arial" w:hAnsi="Arial" w:cs="Arial"/>
          <w:sz w:val="24"/>
          <w:szCs w:val="24"/>
        </w:rPr>
        <w:t>F</w:t>
      </w:r>
      <w:r w:rsidRPr="003433A3">
        <w:rPr>
          <w:rFonts w:ascii="Arial" w:hAnsi="Arial" w:cs="Arial"/>
          <w:sz w:val="24"/>
          <w:szCs w:val="24"/>
        </w:rPr>
        <w:t xml:space="preserve">or the CCS patients, both FAME 2 and FAME 3 trials suggested a greater improvement in the QOL with invasive treatment (PCI and CABG) compared to medical therapy alone. </w:t>
      </w:r>
      <w:r w:rsidR="00DA0EA9" w:rsidRPr="003433A3">
        <w:rPr>
          <w:rFonts w:ascii="Arial" w:hAnsi="Arial" w:cs="Arial"/>
          <w:sz w:val="24"/>
          <w:szCs w:val="24"/>
        </w:rPr>
        <w:t>The interval change for EQ</w:t>
      </w:r>
      <w:r w:rsidR="00DA0EA9">
        <w:rPr>
          <w:rFonts w:ascii="Arial" w:hAnsi="Arial" w:cs="Arial"/>
          <w:sz w:val="24"/>
          <w:szCs w:val="24"/>
        </w:rPr>
        <w:t>-</w:t>
      </w:r>
      <w:r w:rsidR="00DA0EA9" w:rsidRPr="003433A3">
        <w:rPr>
          <w:rFonts w:ascii="Arial" w:hAnsi="Arial" w:cs="Arial"/>
          <w:sz w:val="24"/>
          <w:szCs w:val="24"/>
        </w:rPr>
        <w:t xml:space="preserve">VAS and indexed scores </w:t>
      </w:r>
      <w:r w:rsidR="001E7A1F">
        <w:rPr>
          <w:rFonts w:ascii="Arial" w:hAnsi="Arial" w:cs="Arial"/>
          <w:sz w:val="24"/>
          <w:szCs w:val="24"/>
        </w:rPr>
        <w:t>was</w:t>
      </w:r>
      <w:r w:rsidR="001E7A1F" w:rsidRPr="003433A3">
        <w:rPr>
          <w:rFonts w:ascii="Arial" w:hAnsi="Arial" w:cs="Arial"/>
          <w:sz w:val="24"/>
          <w:szCs w:val="24"/>
        </w:rPr>
        <w:t xml:space="preserve"> </w:t>
      </w:r>
      <w:r w:rsidR="00DA0EA9" w:rsidRPr="003433A3">
        <w:rPr>
          <w:rFonts w:ascii="Arial" w:hAnsi="Arial" w:cs="Arial"/>
          <w:sz w:val="24"/>
          <w:szCs w:val="24"/>
        </w:rPr>
        <w:t>5.3 ± 16 and 0.</w:t>
      </w:r>
      <w:r w:rsidR="00B40201">
        <w:rPr>
          <w:rFonts w:ascii="Arial" w:hAnsi="Arial" w:cs="Arial"/>
          <w:sz w:val="24"/>
          <w:szCs w:val="24"/>
        </w:rPr>
        <w:t>0</w:t>
      </w:r>
      <w:r w:rsidR="00F9727F">
        <w:rPr>
          <w:rFonts w:ascii="Arial" w:hAnsi="Arial" w:cs="Arial"/>
          <w:sz w:val="24"/>
          <w:szCs w:val="24"/>
        </w:rPr>
        <w:t>4</w:t>
      </w:r>
      <w:r w:rsidR="00DA0EA9" w:rsidRPr="003433A3">
        <w:rPr>
          <w:rFonts w:ascii="Arial" w:hAnsi="Arial" w:cs="Arial"/>
          <w:sz w:val="24"/>
          <w:szCs w:val="24"/>
        </w:rPr>
        <w:t xml:space="preserve"> ± 0.015 for the patients</w:t>
      </w:r>
      <w:r w:rsidR="00DA0EA9">
        <w:rPr>
          <w:rFonts w:ascii="Arial" w:hAnsi="Arial" w:cs="Arial"/>
          <w:sz w:val="24"/>
          <w:szCs w:val="24"/>
        </w:rPr>
        <w:t xml:space="preserve"> treated with OMT</w:t>
      </w:r>
      <w:r w:rsidR="00F70CC3">
        <w:rPr>
          <w:rFonts w:ascii="Arial" w:hAnsi="Arial" w:cs="Arial"/>
          <w:sz w:val="24"/>
          <w:szCs w:val="24"/>
        </w:rPr>
        <w:t xml:space="preserve">, whereas </w:t>
      </w:r>
      <w:r w:rsidR="00B83DB0">
        <w:rPr>
          <w:rFonts w:ascii="Arial" w:hAnsi="Arial" w:cs="Arial"/>
          <w:sz w:val="24"/>
          <w:szCs w:val="24"/>
        </w:rPr>
        <w:t>t</w:t>
      </w:r>
      <w:r w:rsidRPr="003433A3">
        <w:rPr>
          <w:rFonts w:ascii="Arial" w:hAnsi="Arial" w:cs="Arial"/>
          <w:sz w:val="24"/>
          <w:szCs w:val="24"/>
        </w:rPr>
        <w:t>he interval change for E</w:t>
      </w:r>
      <w:r w:rsidR="00F91FC5">
        <w:rPr>
          <w:rFonts w:ascii="Arial" w:hAnsi="Arial" w:cs="Arial"/>
          <w:sz w:val="24"/>
          <w:szCs w:val="24"/>
        </w:rPr>
        <w:t>Q-</w:t>
      </w:r>
      <w:r w:rsidRPr="003433A3">
        <w:rPr>
          <w:rFonts w:ascii="Arial" w:hAnsi="Arial" w:cs="Arial"/>
          <w:sz w:val="24"/>
          <w:szCs w:val="24"/>
        </w:rPr>
        <w:t>VAS</w:t>
      </w:r>
      <w:r w:rsidR="00B83DB0">
        <w:rPr>
          <w:rFonts w:ascii="Arial" w:hAnsi="Arial" w:cs="Arial"/>
          <w:sz w:val="24"/>
          <w:szCs w:val="24"/>
        </w:rPr>
        <w:t xml:space="preserve"> and EQ-indexed scores</w:t>
      </w:r>
      <w:r w:rsidRPr="003433A3">
        <w:rPr>
          <w:rFonts w:ascii="Arial" w:hAnsi="Arial" w:cs="Arial"/>
          <w:sz w:val="24"/>
          <w:szCs w:val="24"/>
        </w:rPr>
        <w:t xml:space="preserve"> at one year for </w:t>
      </w:r>
      <w:r w:rsidR="00CC6248">
        <w:rPr>
          <w:rFonts w:ascii="Arial" w:hAnsi="Arial" w:cs="Arial"/>
          <w:sz w:val="24"/>
          <w:szCs w:val="24"/>
        </w:rPr>
        <w:t>invasive therapy</w:t>
      </w:r>
      <w:r w:rsidR="00985801">
        <w:rPr>
          <w:rFonts w:ascii="Arial" w:hAnsi="Arial" w:cs="Arial"/>
          <w:sz w:val="24"/>
          <w:szCs w:val="24"/>
        </w:rPr>
        <w:t xml:space="preserve"> (with PCI and CABG)</w:t>
      </w:r>
      <w:r w:rsidRPr="003433A3">
        <w:rPr>
          <w:rFonts w:ascii="Arial" w:hAnsi="Arial" w:cs="Arial"/>
          <w:sz w:val="24"/>
          <w:szCs w:val="24"/>
        </w:rPr>
        <w:t xml:space="preserve"> was </w:t>
      </w:r>
      <w:r w:rsidR="00070E94">
        <w:rPr>
          <w:rFonts w:ascii="Arial" w:hAnsi="Arial" w:cs="Arial"/>
          <w:sz w:val="24"/>
          <w:szCs w:val="24"/>
        </w:rPr>
        <w:t>10.3</w:t>
      </w:r>
      <w:r w:rsidRPr="003433A3">
        <w:rPr>
          <w:rFonts w:ascii="Arial" w:hAnsi="Arial" w:cs="Arial"/>
          <w:sz w:val="24"/>
          <w:szCs w:val="24"/>
        </w:rPr>
        <w:t xml:space="preserve"> ± 1</w:t>
      </w:r>
      <w:r w:rsidR="00053654">
        <w:rPr>
          <w:rFonts w:ascii="Arial" w:hAnsi="Arial" w:cs="Arial"/>
          <w:sz w:val="24"/>
          <w:szCs w:val="24"/>
        </w:rPr>
        <w:t>0</w:t>
      </w:r>
      <w:r w:rsidR="00985801">
        <w:rPr>
          <w:rFonts w:ascii="Arial" w:hAnsi="Arial" w:cs="Arial"/>
          <w:sz w:val="24"/>
          <w:szCs w:val="24"/>
        </w:rPr>
        <w:t xml:space="preserve"> for EQ-VAS and </w:t>
      </w:r>
      <w:r w:rsidRPr="003433A3">
        <w:rPr>
          <w:rFonts w:ascii="Arial" w:hAnsi="Arial" w:cs="Arial"/>
          <w:sz w:val="24"/>
          <w:szCs w:val="24"/>
        </w:rPr>
        <w:t>0.</w:t>
      </w:r>
      <w:r w:rsidR="00B40201">
        <w:rPr>
          <w:rFonts w:ascii="Arial" w:hAnsi="Arial" w:cs="Arial"/>
          <w:sz w:val="24"/>
          <w:szCs w:val="24"/>
        </w:rPr>
        <w:t>0</w:t>
      </w:r>
      <w:r w:rsidRPr="003433A3">
        <w:rPr>
          <w:rFonts w:ascii="Arial" w:hAnsi="Arial" w:cs="Arial"/>
          <w:sz w:val="24"/>
          <w:szCs w:val="24"/>
        </w:rPr>
        <w:t>7 ± 0.15</w:t>
      </w:r>
      <w:r w:rsidR="00985801">
        <w:rPr>
          <w:rFonts w:ascii="Arial" w:hAnsi="Arial" w:cs="Arial"/>
          <w:sz w:val="24"/>
          <w:szCs w:val="24"/>
        </w:rPr>
        <w:t xml:space="preserve"> for EQ-</w:t>
      </w:r>
      <w:r w:rsidR="00985801" w:rsidRPr="003433A3">
        <w:rPr>
          <w:rFonts w:ascii="Arial" w:hAnsi="Arial" w:cs="Arial"/>
          <w:sz w:val="24"/>
          <w:szCs w:val="24"/>
        </w:rPr>
        <w:t>indexed score</w:t>
      </w:r>
      <w:r w:rsidR="00985801">
        <w:rPr>
          <w:rFonts w:ascii="Arial" w:hAnsi="Arial" w:cs="Arial"/>
          <w:sz w:val="24"/>
          <w:szCs w:val="24"/>
        </w:rPr>
        <w:t>s</w:t>
      </w:r>
      <w:r w:rsidRPr="003433A3">
        <w:rPr>
          <w:rFonts w:ascii="Arial" w:hAnsi="Arial" w:cs="Arial"/>
          <w:sz w:val="24"/>
          <w:szCs w:val="24"/>
        </w:rPr>
        <w:t>. (191) The impact on QOL with PCI and CABG was identical at one year in FAME-3. However, patients treated with revascularisation (PCI or CABG) were more likely to stay angina-free than with medical therapy alone. This benefit in QOL was sustained even in the elderly population over 75 years of age. (192)</w:t>
      </w:r>
    </w:p>
    <w:p w14:paraId="0A4E0660" w14:textId="48245EDC" w:rsidR="001958CF" w:rsidRPr="001958CF" w:rsidRDefault="001958CF" w:rsidP="001958CF">
      <w:pPr>
        <w:spacing w:line="360" w:lineRule="auto"/>
        <w:jc w:val="both"/>
        <w:rPr>
          <w:rFonts w:ascii="Arial" w:hAnsi="Arial" w:cs="Arial"/>
          <w:sz w:val="24"/>
          <w:szCs w:val="24"/>
        </w:rPr>
      </w:pPr>
      <w:r w:rsidRPr="001958CF">
        <w:rPr>
          <w:rFonts w:ascii="Arial" w:hAnsi="Arial" w:cs="Arial"/>
          <w:sz w:val="24"/>
          <w:szCs w:val="24"/>
        </w:rPr>
        <w:t xml:space="preserve">Therefore, based </w:t>
      </w:r>
      <w:r w:rsidR="00B17576">
        <w:rPr>
          <w:rFonts w:ascii="Arial" w:hAnsi="Arial" w:cs="Arial"/>
          <w:sz w:val="24"/>
          <w:szCs w:val="24"/>
        </w:rPr>
        <w:t>up</w:t>
      </w:r>
      <w:r w:rsidRPr="001958CF">
        <w:rPr>
          <w:rFonts w:ascii="Arial" w:hAnsi="Arial" w:cs="Arial"/>
          <w:sz w:val="24"/>
          <w:szCs w:val="24"/>
        </w:rPr>
        <w:t xml:space="preserve">on the aforementioned literature, within the ACS cohort, if the vFFR </w:t>
      </w:r>
      <w:r w:rsidR="00B17576">
        <w:rPr>
          <w:rFonts w:ascii="Arial" w:hAnsi="Arial" w:cs="Arial"/>
          <w:sz w:val="24"/>
          <w:szCs w:val="24"/>
        </w:rPr>
        <w:t>suggested</w:t>
      </w:r>
      <w:r w:rsidRPr="001958CF">
        <w:rPr>
          <w:rFonts w:ascii="Arial" w:hAnsi="Arial" w:cs="Arial"/>
          <w:sz w:val="24"/>
          <w:szCs w:val="24"/>
        </w:rPr>
        <w:t xml:space="preserve"> invasive treatment over medical therapy, the virtual scores were adjusted by adding 3 points to the EQ-VAS and 0.01 to the EQ-indexed scores. </w:t>
      </w:r>
      <w:r w:rsidRPr="001958CF">
        <w:rPr>
          <w:rFonts w:ascii="Arial" w:hAnsi="Arial" w:cs="Arial"/>
          <w:sz w:val="24"/>
          <w:szCs w:val="24"/>
        </w:rPr>
        <w:lastRenderedPageBreak/>
        <w:t xml:space="preserve">Similarly, for the CCS cohort, if the vFFR suggested invasive therapy over medical therapy, a virtual increase of 5 points in EQ-VAS and 0.03 in EQ-indexed scores was applied. Conversely, if the vFFR </w:t>
      </w:r>
      <w:r w:rsidR="00B17576">
        <w:rPr>
          <w:rFonts w:ascii="Arial" w:hAnsi="Arial" w:cs="Arial"/>
          <w:sz w:val="24"/>
          <w:szCs w:val="24"/>
        </w:rPr>
        <w:t>suggested</w:t>
      </w:r>
      <w:r w:rsidRPr="001958CF">
        <w:rPr>
          <w:rFonts w:ascii="Arial" w:hAnsi="Arial" w:cs="Arial"/>
          <w:sz w:val="24"/>
          <w:szCs w:val="24"/>
        </w:rPr>
        <w:t xml:space="preserve"> an unnecessary intervention in ACS or CCS patients, the same scores were deducted from their original QOL scores to</w:t>
      </w:r>
      <w:r>
        <w:rPr>
          <w:rFonts w:ascii="Arial" w:hAnsi="Arial" w:cs="Arial"/>
          <w:sz w:val="24"/>
          <w:szCs w:val="24"/>
        </w:rPr>
        <w:t xml:space="preserve"> reflect</w:t>
      </w:r>
      <w:r w:rsidRPr="001958CF">
        <w:rPr>
          <w:rFonts w:ascii="Arial" w:hAnsi="Arial" w:cs="Arial"/>
          <w:sz w:val="24"/>
          <w:szCs w:val="24"/>
        </w:rPr>
        <w:t xml:space="preserve"> the potential adverse impact </w:t>
      </w:r>
      <w:r w:rsidR="00B17576">
        <w:rPr>
          <w:rFonts w:ascii="Arial" w:hAnsi="Arial" w:cs="Arial"/>
          <w:sz w:val="24"/>
          <w:szCs w:val="24"/>
        </w:rPr>
        <w:t>up</w:t>
      </w:r>
      <w:r w:rsidRPr="001958CF">
        <w:rPr>
          <w:rFonts w:ascii="Arial" w:hAnsi="Arial" w:cs="Arial"/>
          <w:sz w:val="24"/>
          <w:szCs w:val="24"/>
        </w:rPr>
        <w:t>on</w:t>
      </w:r>
      <w:r>
        <w:rPr>
          <w:rFonts w:ascii="Arial" w:hAnsi="Arial" w:cs="Arial"/>
          <w:sz w:val="24"/>
          <w:szCs w:val="24"/>
        </w:rPr>
        <w:t xml:space="preserve"> the overall quality of life. </w:t>
      </w:r>
    </w:p>
    <w:p w14:paraId="71145FB7" w14:textId="77777777" w:rsidR="004942B6" w:rsidRDefault="004942B6" w:rsidP="003244C5">
      <w:pPr>
        <w:pStyle w:val="Heading4"/>
        <w:spacing w:line="360" w:lineRule="auto"/>
        <w:rPr>
          <w:rFonts w:ascii="Arial" w:hAnsi="Arial" w:cs="Arial"/>
          <w:i w:val="0"/>
          <w:iCs w:val="0"/>
          <w:color w:val="auto"/>
          <w:sz w:val="24"/>
          <w:szCs w:val="24"/>
        </w:rPr>
      </w:pPr>
    </w:p>
    <w:p w14:paraId="35A8E93D" w14:textId="696AD6D9" w:rsidR="004942B6" w:rsidRPr="00ED268E" w:rsidRDefault="004942B6" w:rsidP="003244C5">
      <w:pPr>
        <w:pStyle w:val="Heading4"/>
        <w:spacing w:line="360" w:lineRule="auto"/>
        <w:rPr>
          <w:rFonts w:ascii="Arial" w:hAnsi="Arial" w:cs="Arial"/>
          <w:i w:val="0"/>
          <w:iCs w:val="0"/>
          <w:color w:val="4472C4" w:themeColor="accent1"/>
          <w:sz w:val="24"/>
          <w:szCs w:val="24"/>
        </w:rPr>
      </w:pPr>
      <w:r w:rsidRPr="00ED268E">
        <w:rPr>
          <w:rFonts w:ascii="Arial" w:hAnsi="Arial" w:cs="Arial"/>
          <w:i w:val="0"/>
          <w:iCs w:val="0"/>
          <w:color w:val="4472C4" w:themeColor="accent1"/>
          <w:sz w:val="24"/>
          <w:szCs w:val="24"/>
        </w:rPr>
        <w:t>2.</w:t>
      </w:r>
      <w:r w:rsidR="002A3406">
        <w:rPr>
          <w:rFonts w:ascii="Arial" w:hAnsi="Arial" w:cs="Arial"/>
          <w:i w:val="0"/>
          <w:iCs w:val="0"/>
          <w:color w:val="4472C4" w:themeColor="accent1"/>
          <w:sz w:val="24"/>
          <w:szCs w:val="24"/>
        </w:rPr>
        <w:t>4</w:t>
      </w:r>
      <w:r w:rsidRPr="00ED268E">
        <w:rPr>
          <w:rFonts w:ascii="Arial" w:hAnsi="Arial" w:cs="Arial"/>
          <w:i w:val="0"/>
          <w:iCs w:val="0"/>
          <w:color w:val="4472C4" w:themeColor="accent1"/>
          <w:sz w:val="24"/>
          <w:szCs w:val="24"/>
        </w:rPr>
        <w:t xml:space="preserve">.2.3 </w:t>
      </w:r>
      <w:r w:rsidR="00555475">
        <w:rPr>
          <w:rFonts w:ascii="Arial" w:hAnsi="Arial" w:cs="Arial"/>
          <w:i w:val="0"/>
          <w:iCs w:val="0"/>
          <w:color w:val="4472C4" w:themeColor="accent1"/>
          <w:sz w:val="24"/>
          <w:szCs w:val="24"/>
        </w:rPr>
        <w:t>Estimating the p</w:t>
      </w:r>
      <w:r w:rsidRPr="00ED268E">
        <w:rPr>
          <w:rFonts w:ascii="Arial" w:hAnsi="Arial" w:cs="Arial"/>
          <w:i w:val="0"/>
          <w:iCs w:val="0"/>
          <w:color w:val="4472C4" w:themeColor="accent1"/>
          <w:sz w:val="24"/>
          <w:szCs w:val="24"/>
        </w:rPr>
        <w:t xml:space="preserve">otential risks associated with invasive </w:t>
      </w:r>
      <w:r w:rsidR="00555475">
        <w:rPr>
          <w:rFonts w:ascii="Arial" w:hAnsi="Arial" w:cs="Arial"/>
          <w:i w:val="0"/>
          <w:iCs w:val="0"/>
          <w:color w:val="4472C4" w:themeColor="accent1"/>
          <w:sz w:val="24"/>
          <w:szCs w:val="24"/>
        </w:rPr>
        <w:t>therapy</w:t>
      </w:r>
    </w:p>
    <w:p w14:paraId="099AD147" w14:textId="2AFA2B23" w:rsidR="004B0DBA" w:rsidRDefault="004942B6" w:rsidP="004942B6">
      <w:pPr>
        <w:spacing w:line="360" w:lineRule="auto"/>
        <w:jc w:val="both"/>
        <w:rPr>
          <w:rFonts w:ascii="Arial" w:hAnsi="Arial" w:cs="Arial"/>
          <w:sz w:val="24"/>
          <w:szCs w:val="24"/>
        </w:rPr>
      </w:pPr>
      <w:r w:rsidRPr="0088199F">
        <w:rPr>
          <w:rFonts w:ascii="Arial" w:hAnsi="Arial" w:cs="Arial"/>
          <w:sz w:val="24"/>
          <w:szCs w:val="24"/>
        </w:rPr>
        <w:t>Any invasive procedure is not without its risks. Even an invasive pressure wire assessment alone, without a follow-on PCI, has associated risks, including coronary dissection 0.03%, arrhythmias 0.02%, severe bronchospasm 0.02%</w:t>
      </w:r>
      <w:r w:rsidR="003F194A">
        <w:rPr>
          <w:rFonts w:ascii="Arial" w:hAnsi="Arial" w:cs="Arial"/>
          <w:sz w:val="24"/>
          <w:szCs w:val="24"/>
        </w:rPr>
        <w:t>,</w:t>
      </w:r>
      <w:r w:rsidRPr="0088199F">
        <w:rPr>
          <w:rFonts w:ascii="Arial" w:hAnsi="Arial" w:cs="Arial"/>
          <w:sz w:val="24"/>
          <w:szCs w:val="24"/>
        </w:rPr>
        <w:t xml:space="preserve"> </w:t>
      </w:r>
      <w:r w:rsidR="003F194A">
        <w:rPr>
          <w:rFonts w:ascii="Arial" w:hAnsi="Arial" w:cs="Arial"/>
          <w:sz w:val="24"/>
          <w:szCs w:val="24"/>
        </w:rPr>
        <w:t xml:space="preserve">stroke 0.08%, </w:t>
      </w:r>
      <w:r w:rsidRPr="0088199F">
        <w:rPr>
          <w:rFonts w:ascii="Arial" w:hAnsi="Arial" w:cs="Arial"/>
          <w:sz w:val="24"/>
          <w:szCs w:val="24"/>
        </w:rPr>
        <w:t>and death 0.015%, according to the IRIS FFR registry. (193) Similarly, in large registries, a 30-day mortality risk associated with CABG and PCI is around 3.5% and 0.5%, respectively</w:t>
      </w:r>
      <w:r w:rsidR="003F194A">
        <w:rPr>
          <w:rFonts w:ascii="Arial" w:hAnsi="Arial" w:cs="Arial"/>
          <w:sz w:val="24"/>
          <w:szCs w:val="24"/>
        </w:rPr>
        <w:t>.</w:t>
      </w:r>
      <w:r w:rsidRPr="0088199F">
        <w:rPr>
          <w:rFonts w:ascii="Arial" w:hAnsi="Arial" w:cs="Arial"/>
          <w:sz w:val="24"/>
          <w:szCs w:val="24"/>
        </w:rPr>
        <w:t xml:space="preserve"> (194,195) </w:t>
      </w:r>
    </w:p>
    <w:p w14:paraId="06A256C7" w14:textId="77777777" w:rsidR="00A93C75" w:rsidRDefault="00A93C75" w:rsidP="004942B6">
      <w:pPr>
        <w:spacing w:line="360" w:lineRule="auto"/>
        <w:jc w:val="both"/>
        <w:rPr>
          <w:rFonts w:ascii="Arial" w:hAnsi="Arial" w:cs="Arial"/>
          <w:sz w:val="24"/>
          <w:szCs w:val="24"/>
        </w:rPr>
      </w:pPr>
    </w:p>
    <w:p w14:paraId="4007F3BF" w14:textId="3D795C06" w:rsidR="00A93C75" w:rsidRDefault="00555475" w:rsidP="00A93C75">
      <w:pPr>
        <w:pStyle w:val="Heading3"/>
        <w:spacing w:line="360" w:lineRule="auto"/>
        <w:jc w:val="both"/>
        <w:rPr>
          <w:rFonts w:ascii="Arial" w:hAnsi="Arial" w:cs="Arial"/>
          <w:color w:val="4472C4" w:themeColor="accent1"/>
          <w:sz w:val="24"/>
          <w:szCs w:val="24"/>
        </w:rPr>
      </w:pPr>
      <w:bookmarkStart w:id="617" w:name="_Toc160981290"/>
      <w:bookmarkStart w:id="618" w:name="_Toc170076093"/>
      <w:bookmarkStart w:id="619" w:name="_Toc170577750"/>
      <w:bookmarkStart w:id="620" w:name="_Toc170579268"/>
      <w:bookmarkStart w:id="621" w:name="_Toc171203123"/>
      <w:bookmarkStart w:id="622" w:name="_Toc171203894"/>
      <w:r>
        <w:rPr>
          <w:rFonts w:ascii="Arial" w:hAnsi="Arial" w:cs="Arial"/>
          <w:color w:val="4472C4" w:themeColor="accent1"/>
          <w:sz w:val="24"/>
          <w:szCs w:val="24"/>
        </w:rPr>
        <w:t>2.4.2.4</w:t>
      </w:r>
      <w:r w:rsidR="00A93C75" w:rsidRPr="00BD2419">
        <w:rPr>
          <w:rFonts w:ascii="Arial" w:hAnsi="Arial" w:cs="Arial"/>
          <w:color w:val="4472C4" w:themeColor="accent1"/>
          <w:sz w:val="24"/>
          <w:szCs w:val="24"/>
        </w:rPr>
        <w:t xml:space="preserve"> Examples of vFFR</w:t>
      </w:r>
      <w:bookmarkEnd w:id="617"/>
      <w:bookmarkEnd w:id="618"/>
      <w:r w:rsidR="00BE141A">
        <w:rPr>
          <w:rFonts w:ascii="Arial" w:hAnsi="Arial" w:cs="Arial"/>
          <w:color w:val="4472C4" w:themeColor="accent1"/>
          <w:sz w:val="24"/>
          <w:szCs w:val="24"/>
        </w:rPr>
        <w:t xml:space="preserve">-driven change in treatment plans </w:t>
      </w:r>
      <w:r>
        <w:rPr>
          <w:rFonts w:ascii="Arial" w:hAnsi="Arial" w:cs="Arial"/>
          <w:color w:val="4472C4" w:themeColor="accent1"/>
          <w:sz w:val="24"/>
          <w:szCs w:val="24"/>
        </w:rPr>
        <w:t xml:space="preserve">and </w:t>
      </w:r>
      <w:r w:rsidR="00BE141A">
        <w:rPr>
          <w:rFonts w:ascii="Arial" w:hAnsi="Arial" w:cs="Arial"/>
          <w:color w:val="4472C4" w:themeColor="accent1"/>
          <w:sz w:val="24"/>
          <w:szCs w:val="24"/>
        </w:rPr>
        <w:t>its potential impact on outcomes</w:t>
      </w:r>
      <w:bookmarkEnd w:id="619"/>
      <w:bookmarkEnd w:id="620"/>
      <w:bookmarkEnd w:id="621"/>
      <w:bookmarkEnd w:id="622"/>
      <w:r>
        <w:rPr>
          <w:rFonts w:ascii="Arial" w:hAnsi="Arial" w:cs="Arial"/>
          <w:color w:val="4472C4" w:themeColor="accent1"/>
          <w:sz w:val="24"/>
          <w:szCs w:val="24"/>
        </w:rPr>
        <w:t xml:space="preserve"> </w:t>
      </w:r>
      <w:r w:rsidR="00A93C75" w:rsidRPr="00BD2419">
        <w:rPr>
          <w:rFonts w:ascii="Arial" w:hAnsi="Arial" w:cs="Arial"/>
          <w:color w:val="4472C4" w:themeColor="accent1"/>
          <w:sz w:val="24"/>
          <w:szCs w:val="24"/>
        </w:rPr>
        <w:t xml:space="preserve"> </w:t>
      </w:r>
    </w:p>
    <w:p w14:paraId="71F70EF2" w14:textId="77777777" w:rsidR="003244C5" w:rsidRDefault="003244C5" w:rsidP="00A93C75">
      <w:pPr>
        <w:spacing w:line="360" w:lineRule="auto"/>
        <w:jc w:val="both"/>
      </w:pPr>
      <w:bookmarkStart w:id="623" w:name="_Toc159320201"/>
      <w:bookmarkStart w:id="624" w:name="_Toc159613646"/>
    </w:p>
    <w:p w14:paraId="0C1EB477" w14:textId="29746944" w:rsidR="00A93C75" w:rsidRPr="00BD2419" w:rsidRDefault="00A93C75" w:rsidP="00A93C75">
      <w:pPr>
        <w:spacing w:line="360" w:lineRule="auto"/>
        <w:jc w:val="both"/>
        <w:rPr>
          <w:rFonts w:ascii="Arial" w:hAnsi="Arial" w:cs="Arial"/>
          <w:color w:val="4472C4" w:themeColor="accent1"/>
          <w:sz w:val="24"/>
          <w:szCs w:val="24"/>
        </w:rPr>
      </w:pPr>
      <w:r w:rsidRPr="00BD2419">
        <w:rPr>
          <w:rFonts w:ascii="Arial" w:hAnsi="Arial" w:cs="Arial"/>
          <w:color w:val="4472C4" w:themeColor="accent1"/>
          <w:sz w:val="24"/>
          <w:szCs w:val="24"/>
        </w:rPr>
        <w:t>Example 1 - Virtual change from mFFR to OMT plan</w:t>
      </w:r>
      <w:bookmarkEnd w:id="623"/>
      <w:bookmarkEnd w:id="624"/>
    </w:p>
    <w:p w14:paraId="79FB5B93" w14:textId="67F568A6" w:rsidR="00A93C75" w:rsidRDefault="00A93C75" w:rsidP="00A93C75">
      <w:pPr>
        <w:spacing w:line="360" w:lineRule="auto"/>
        <w:jc w:val="both"/>
        <w:rPr>
          <w:rFonts w:ascii="Arial" w:hAnsi="Arial" w:cs="Arial"/>
          <w:sz w:val="24"/>
          <w:szCs w:val="24"/>
        </w:rPr>
      </w:pPr>
      <w:r>
        <w:rPr>
          <w:rFonts w:ascii="Arial" w:hAnsi="Arial" w:cs="Arial"/>
          <w:sz w:val="24"/>
          <w:szCs w:val="24"/>
        </w:rPr>
        <w:t>A 54-year-old female, with prior history of MI, HTN, hypercholesterolaemia, presented as ACS. A mid RCA lesion of moderate stenosis was noted, and post-CAG plan was to perform an invasive FFR. The plan was virtually changed to OMT after vFFR values showed physiological non-significance (vFFR 0.94). The invasive mFFR performed in this case for mid RCA was 0.96, which was concordant to the mFFR</w:t>
      </w:r>
      <w:r w:rsidR="00BE141A">
        <w:rPr>
          <w:rFonts w:ascii="Arial" w:hAnsi="Arial" w:cs="Arial"/>
          <w:sz w:val="24"/>
          <w:szCs w:val="24"/>
        </w:rPr>
        <w:t xml:space="preserve"> results</w:t>
      </w:r>
      <w:r w:rsidR="00347AD9">
        <w:rPr>
          <w:rFonts w:ascii="Arial" w:hAnsi="Arial" w:cs="Arial"/>
          <w:sz w:val="24"/>
          <w:szCs w:val="24"/>
        </w:rPr>
        <w:t xml:space="preserve">. </w:t>
      </w:r>
      <w:r w:rsidR="00347AD9" w:rsidRPr="00347AD9">
        <w:rPr>
          <w:rFonts w:ascii="Arial" w:hAnsi="Arial" w:cs="Arial"/>
          <w:sz w:val="24"/>
          <w:szCs w:val="24"/>
        </w:rPr>
        <w:t>By</w:t>
      </w:r>
      <w:r w:rsidR="00347AD9">
        <w:rPr>
          <w:rFonts w:ascii="Arial" w:hAnsi="Arial" w:cs="Arial"/>
          <w:sz w:val="24"/>
          <w:szCs w:val="24"/>
        </w:rPr>
        <w:t xml:space="preserve"> </w:t>
      </w:r>
      <w:r w:rsidR="00347AD9" w:rsidRPr="00347AD9">
        <w:rPr>
          <w:rFonts w:ascii="Arial" w:hAnsi="Arial" w:cs="Arial"/>
          <w:sz w:val="24"/>
          <w:szCs w:val="24"/>
        </w:rPr>
        <w:t xml:space="preserve">following the vFFR plan, a patient could avoid undergoing an unnecessary invasive mFFR assessment, thereby </w:t>
      </w:r>
      <w:r w:rsidR="00347AD9">
        <w:rPr>
          <w:rFonts w:ascii="Arial" w:hAnsi="Arial" w:cs="Arial"/>
          <w:sz w:val="24"/>
          <w:szCs w:val="24"/>
        </w:rPr>
        <w:t>eliminating</w:t>
      </w:r>
      <w:r w:rsidR="00347AD9" w:rsidRPr="00347AD9">
        <w:rPr>
          <w:rFonts w:ascii="Arial" w:hAnsi="Arial" w:cs="Arial"/>
          <w:sz w:val="24"/>
          <w:szCs w:val="24"/>
        </w:rPr>
        <w:t xml:space="preserve"> the potential risk of coronary dissection (0.03%). This translates to a virtual peri-procedural MACE risk reduction of 0.015%</w:t>
      </w:r>
      <w:r w:rsidR="00347AD9">
        <w:rPr>
          <w:rFonts w:ascii="Arial" w:hAnsi="Arial" w:cs="Arial"/>
          <w:sz w:val="24"/>
          <w:szCs w:val="24"/>
        </w:rPr>
        <w:t xml:space="preserve"> according to the literature</w:t>
      </w:r>
      <w:r w:rsidR="00347AD9" w:rsidRPr="00347AD9">
        <w:rPr>
          <w:rFonts w:ascii="Arial" w:hAnsi="Arial" w:cs="Arial"/>
          <w:sz w:val="24"/>
          <w:szCs w:val="24"/>
        </w:rPr>
        <w:t>. There would be no change in QOL, as patients would continue to be treated with OMT due to a non-significant mFFR. However, economically, following the vFFR plan could save the cost of a pressure wire, which is £586.</w:t>
      </w:r>
    </w:p>
    <w:p w14:paraId="3AF51CE6" w14:textId="77777777" w:rsidR="00A93C75" w:rsidRDefault="00A93C75" w:rsidP="00A93C75">
      <w:pPr>
        <w:keepNext/>
        <w:spacing w:line="360" w:lineRule="auto"/>
        <w:jc w:val="both"/>
      </w:pPr>
      <w:r>
        <w:rPr>
          <w:noProof/>
          <w:lang w:eastAsia="en-GB"/>
        </w:rPr>
        <w:lastRenderedPageBreak/>
        <w:drawing>
          <wp:inline distT="0" distB="0" distL="0" distR="0" wp14:anchorId="199497C8" wp14:editId="55908599">
            <wp:extent cx="6045860" cy="4994910"/>
            <wp:effectExtent l="19050" t="19050" r="12065" b="15240"/>
            <wp:docPr id="2122903668" name="Picture 7" descr="A close-up of a radio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903668" name="Picture 7" descr="A close-up of a radiograph&#10;&#10;Description automatically generated"/>
                    <pic:cNvPicPr/>
                  </pic:nvPicPr>
                  <pic:blipFill rotWithShape="1">
                    <a:blip r:embed="rId32" cstate="print">
                      <a:extLst>
                        <a:ext uri="{28A0092B-C50C-407E-A947-70E740481C1C}">
                          <a14:useLocalDpi xmlns:a14="http://schemas.microsoft.com/office/drawing/2010/main" val="0"/>
                        </a:ext>
                      </a:extLst>
                    </a:blip>
                    <a:srcRect l="11076" t="4144" r="12319" b="5441"/>
                    <a:stretch/>
                  </pic:blipFill>
                  <pic:spPr bwMode="auto">
                    <a:xfrm>
                      <a:off x="0" y="0"/>
                      <a:ext cx="6059830" cy="50064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8627F31" w14:textId="4FAF9C90" w:rsidR="00A93C75" w:rsidRPr="008F6364" w:rsidRDefault="00A93C75" w:rsidP="00A93C75">
      <w:pPr>
        <w:pStyle w:val="Caption"/>
        <w:jc w:val="both"/>
        <w:rPr>
          <w:color w:val="auto"/>
          <w:sz w:val="20"/>
          <w:szCs w:val="20"/>
        </w:rPr>
      </w:pPr>
      <w:bookmarkStart w:id="625" w:name="_Toc160982701"/>
      <w:bookmarkStart w:id="626" w:name="_Toc164697527"/>
      <w:bookmarkStart w:id="627" w:name="_Toc170744575"/>
      <w:bookmarkStart w:id="628" w:name="_Toc196153207"/>
      <w:r w:rsidRPr="008F6364">
        <w:rPr>
          <w:b/>
          <w:bCs/>
          <w:color w:val="auto"/>
          <w:sz w:val="20"/>
          <w:szCs w:val="20"/>
        </w:rPr>
        <w:t xml:space="preserve">Figure </w:t>
      </w:r>
      <w:r w:rsidRPr="008F6364">
        <w:rPr>
          <w:b/>
          <w:bCs/>
          <w:color w:val="auto"/>
          <w:sz w:val="20"/>
          <w:szCs w:val="20"/>
        </w:rPr>
        <w:fldChar w:fldCharType="begin"/>
      </w:r>
      <w:r w:rsidRPr="008F6364">
        <w:rPr>
          <w:b/>
          <w:bCs/>
          <w:color w:val="auto"/>
          <w:sz w:val="20"/>
          <w:szCs w:val="20"/>
        </w:rPr>
        <w:instrText xml:space="preserve"> SEQ Figure \* ARABIC </w:instrText>
      </w:r>
      <w:r w:rsidRPr="008F6364">
        <w:rPr>
          <w:b/>
          <w:bCs/>
          <w:color w:val="auto"/>
          <w:sz w:val="20"/>
          <w:szCs w:val="20"/>
        </w:rPr>
        <w:fldChar w:fldCharType="separate"/>
      </w:r>
      <w:r w:rsidR="001823B4">
        <w:rPr>
          <w:b/>
          <w:bCs/>
          <w:noProof/>
          <w:color w:val="auto"/>
          <w:sz w:val="20"/>
          <w:szCs w:val="20"/>
        </w:rPr>
        <w:t>15</w:t>
      </w:r>
      <w:r w:rsidRPr="008F6364">
        <w:rPr>
          <w:b/>
          <w:bCs/>
          <w:color w:val="auto"/>
          <w:sz w:val="20"/>
          <w:szCs w:val="20"/>
        </w:rPr>
        <w:fldChar w:fldCharType="end"/>
      </w:r>
      <w:r w:rsidRPr="008F6364">
        <w:rPr>
          <w:color w:val="auto"/>
          <w:sz w:val="20"/>
          <w:szCs w:val="20"/>
        </w:rPr>
        <w:t>: Example 1 – Virtual change of plan from invasive mFFR to OMT. A - Mid RCA moderate lesion on CAG marked with an arrow, B - Undiseased left coronary system, C - vFFR model of RCA demonstrating physiologically non-significant lesion (0.94).</w:t>
      </w:r>
      <w:bookmarkEnd w:id="625"/>
      <w:bookmarkEnd w:id="626"/>
      <w:bookmarkEnd w:id="627"/>
      <w:r w:rsidR="005D5FA0">
        <w:rPr>
          <w:color w:val="auto"/>
          <w:sz w:val="20"/>
          <w:szCs w:val="20"/>
        </w:rPr>
        <w:t xml:space="preserve"> </w:t>
      </w:r>
      <w:r w:rsidR="00632552">
        <w:rPr>
          <w:color w:val="auto"/>
          <w:sz w:val="20"/>
          <w:szCs w:val="20"/>
        </w:rPr>
        <w:t>(</w:t>
      </w:r>
      <w:r w:rsidR="005D5FA0">
        <w:rPr>
          <w:color w:val="auto"/>
          <w:sz w:val="20"/>
          <w:szCs w:val="20"/>
        </w:rPr>
        <w:t>vFFR image</w:t>
      </w:r>
      <w:r w:rsidR="00632552">
        <w:rPr>
          <w:color w:val="auto"/>
          <w:sz w:val="20"/>
          <w:szCs w:val="20"/>
        </w:rPr>
        <w:t xml:space="preserve"> – courtesy of Dr H Haley).</w:t>
      </w:r>
      <w:bookmarkEnd w:id="628"/>
    </w:p>
    <w:p w14:paraId="25B65A43" w14:textId="77777777" w:rsidR="00A93C75" w:rsidRDefault="00A93C75" w:rsidP="00A93C75">
      <w:pPr>
        <w:spacing w:line="360" w:lineRule="auto"/>
        <w:jc w:val="both"/>
        <w:rPr>
          <w:rFonts w:ascii="Arial" w:hAnsi="Arial" w:cs="Arial"/>
          <w:sz w:val="24"/>
          <w:szCs w:val="24"/>
        </w:rPr>
      </w:pPr>
    </w:p>
    <w:p w14:paraId="1895A1DD" w14:textId="77777777" w:rsidR="006E57D1" w:rsidRDefault="003244C5" w:rsidP="006E57D1">
      <w:pPr>
        <w:keepNext/>
        <w:spacing w:line="360" w:lineRule="auto"/>
        <w:jc w:val="both"/>
      </w:pPr>
      <w:r>
        <w:rPr>
          <w:rFonts w:ascii="Arial" w:hAnsi="Arial" w:cs="Arial"/>
          <w:noProof/>
          <w:sz w:val="24"/>
          <w:szCs w:val="24"/>
          <w:lang w:eastAsia="en-GB"/>
        </w:rPr>
        <w:lastRenderedPageBreak/>
        <w:drawing>
          <wp:inline distT="0" distB="0" distL="0" distR="0" wp14:anchorId="1882E3DF" wp14:editId="7D6C3503">
            <wp:extent cx="5993130" cy="4231649"/>
            <wp:effectExtent l="19050" t="19050" r="26670" b="16510"/>
            <wp:docPr id="1690500107" name="Picture 15" descr="A diagram of a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00107" name="Picture 15" descr="A diagram of a plan"/>
                    <pic:cNvPicPr/>
                  </pic:nvPicPr>
                  <pic:blipFill rotWithShape="1">
                    <a:blip r:embed="rId33" cstate="print">
                      <a:extLst>
                        <a:ext uri="{28A0092B-C50C-407E-A947-70E740481C1C}">
                          <a14:useLocalDpi xmlns:a14="http://schemas.microsoft.com/office/drawing/2010/main" val="0"/>
                        </a:ext>
                      </a:extLst>
                    </a:blip>
                    <a:srcRect r="2748" b="1899"/>
                    <a:stretch/>
                  </pic:blipFill>
                  <pic:spPr bwMode="auto">
                    <a:xfrm>
                      <a:off x="0" y="0"/>
                      <a:ext cx="5998811" cy="42356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92DA07" w14:textId="5155C0F6" w:rsidR="001B0788" w:rsidRPr="00E36A10" w:rsidRDefault="006E57D1" w:rsidP="006E57D1">
      <w:pPr>
        <w:pStyle w:val="Caption"/>
        <w:jc w:val="both"/>
        <w:rPr>
          <w:rFonts w:ascii="Arial" w:hAnsi="Arial" w:cs="Arial"/>
          <w:color w:val="auto"/>
          <w:sz w:val="20"/>
          <w:szCs w:val="20"/>
        </w:rPr>
      </w:pPr>
      <w:bookmarkStart w:id="629" w:name="_Toc170744576"/>
      <w:bookmarkStart w:id="630" w:name="_Toc196153208"/>
      <w:r w:rsidRPr="00E36A10">
        <w:rPr>
          <w:rFonts w:ascii="Arial" w:hAnsi="Arial" w:cs="Arial"/>
          <w:b/>
          <w:bCs/>
          <w:color w:val="auto"/>
          <w:sz w:val="20"/>
          <w:szCs w:val="20"/>
        </w:rPr>
        <w:t xml:space="preserve">Figure </w:t>
      </w:r>
      <w:r w:rsidRPr="00E36A10">
        <w:rPr>
          <w:rFonts w:ascii="Arial" w:hAnsi="Arial" w:cs="Arial"/>
          <w:b/>
          <w:bCs/>
          <w:color w:val="auto"/>
          <w:sz w:val="20"/>
          <w:szCs w:val="20"/>
        </w:rPr>
        <w:fldChar w:fldCharType="begin"/>
      </w:r>
      <w:r w:rsidRPr="00E36A10">
        <w:rPr>
          <w:rFonts w:ascii="Arial" w:hAnsi="Arial" w:cs="Arial"/>
          <w:b/>
          <w:bCs/>
          <w:color w:val="auto"/>
          <w:sz w:val="20"/>
          <w:szCs w:val="20"/>
        </w:rPr>
        <w:instrText xml:space="preserve"> SEQ Figure \* ARABIC </w:instrText>
      </w:r>
      <w:r w:rsidRPr="00E36A10">
        <w:rPr>
          <w:rFonts w:ascii="Arial" w:hAnsi="Arial" w:cs="Arial"/>
          <w:b/>
          <w:bCs/>
          <w:color w:val="auto"/>
          <w:sz w:val="20"/>
          <w:szCs w:val="20"/>
        </w:rPr>
        <w:fldChar w:fldCharType="separate"/>
      </w:r>
      <w:r w:rsidR="001823B4">
        <w:rPr>
          <w:rFonts w:ascii="Arial" w:hAnsi="Arial" w:cs="Arial"/>
          <w:b/>
          <w:bCs/>
          <w:noProof/>
          <w:color w:val="auto"/>
          <w:sz w:val="20"/>
          <w:szCs w:val="20"/>
        </w:rPr>
        <w:t>16</w:t>
      </w:r>
      <w:r w:rsidRPr="00E36A10">
        <w:rPr>
          <w:rFonts w:ascii="Arial" w:hAnsi="Arial" w:cs="Arial"/>
          <w:b/>
          <w:bCs/>
          <w:color w:val="auto"/>
          <w:sz w:val="20"/>
          <w:szCs w:val="20"/>
        </w:rPr>
        <w:fldChar w:fldCharType="end"/>
      </w:r>
      <w:r w:rsidRPr="00E36A10">
        <w:rPr>
          <w:rFonts w:ascii="Arial" w:hAnsi="Arial" w:cs="Arial"/>
          <w:b/>
          <w:bCs/>
          <w:color w:val="auto"/>
          <w:sz w:val="20"/>
          <w:szCs w:val="20"/>
        </w:rPr>
        <w:t>:</w:t>
      </w:r>
      <w:r w:rsidRPr="00E36A10">
        <w:rPr>
          <w:rFonts w:ascii="Arial" w:hAnsi="Arial" w:cs="Arial"/>
          <w:color w:val="auto"/>
          <w:sz w:val="20"/>
          <w:szCs w:val="20"/>
        </w:rPr>
        <w:t xml:space="preserve"> </w:t>
      </w:r>
      <w:r w:rsidR="00905CB0" w:rsidRPr="00E36A10">
        <w:rPr>
          <w:rFonts w:ascii="Arial" w:hAnsi="Arial" w:cs="Arial"/>
          <w:color w:val="auto"/>
          <w:sz w:val="20"/>
          <w:szCs w:val="20"/>
        </w:rPr>
        <w:t xml:space="preserve">MDT flowsheet for </w:t>
      </w:r>
      <w:r w:rsidRPr="00E36A10">
        <w:rPr>
          <w:rFonts w:ascii="Arial" w:hAnsi="Arial" w:cs="Arial"/>
          <w:color w:val="auto"/>
          <w:sz w:val="20"/>
          <w:szCs w:val="20"/>
        </w:rPr>
        <w:t xml:space="preserve">Example 1 </w:t>
      </w:r>
      <w:r w:rsidR="001E3908" w:rsidRPr="00E36A10">
        <w:rPr>
          <w:rFonts w:ascii="Arial" w:hAnsi="Arial" w:cs="Arial"/>
          <w:color w:val="auto"/>
          <w:sz w:val="20"/>
          <w:szCs w:val="20"/>
        </w:rPr>
        <w:t xml:space="preserve">– </w:t>
      </w:r>
      <w:r w:rsidR="00BF2891" w:rsidRPr="00E36A10">
        <w:rPr>
          <w:rFonts w:ascii="Arial" w:hAnsi="Arial" w:cs="Arial"/>
          <w:color w:val="auto"/>
          <w:sz w:val="20"/>
          <w:szCs w:val="20"/>
        </w:rPr>
        <w:t>‘</w:t>
      </w:r>
      <w:r w:rsidR="001E3908" w:rsidRPr="00E36A10">
        <w:rPr>
          <w:rFonts w:ascii="Arial" w:hAnsi="Arial" w:cs="Arial"/>
          <w:color w:val="auto"/>
          <w:sz w:val="20"/>
          <w:szCs w:val="20"/>
        </w:rPr>
        <w:t xml:space="preserve">Virtual change from invasive </w:t>
      </w:r>
      <w:r w:rsidR="00905CB0" w:rsidRPr="00E36A10">
        <w:rPr>
          <w:rFonts w:ascii="Arial" w:hAnsi="Arial" w:cs="Arial"/>
          <w:color w:val="auto"/>
          <w:sz w:val="20"/>
          <w:szCs w:val="20"/>
        </w:rPr>
        <w:t>mFFR to OMT</w:t>
      </w:r>
      <w:r w:rsidR="00BF2891" w:rsidRPr="00E36A10">
        <w:rPr>
          <w:rFonts w:ascii="Arial" w:hAnsi="Arial" w:cs="Arial"/>
          <w:color w:val="auto"/>
          <w:sz w:val="20"/>
          <w:szCs w:val="20"/>
        </w:rPr>
        <w:t>’</w:t>
      </w:r>
      <w:r w:rsidR="009A0C1E" w:rsidRPr="00E36A10">
        <w:rPr>
          <w:rFonts w:ascii="Arial" w:hAnsi="Arial" w:cs="Arial"/>
          <w:color w:val="auto"/>
          <w:sz w:val="20"/>
          <w:szCs w:val="20"/>
        </w:rPr>
        <w:t xml:space="preserve"> showing the impact of vFFR on the virtual clinical and economic </w:t>
      </w:r>
      <w:r w:rsidR="00863049" w:rsidRPr="00E36A10">
        <w:rPr>
          <w:rFonts w:ascii="Arial" w:hAnsi="Arial" w:cs="Arial"/>
          <w:color w:val="auto"/>
          <w:sz w:val="20"/>
          <w:szCs w:val="20"/>
        </w:rPr>
        <w:t>outcomes.</w:t>
      </w:r>
      <w:bookmarkEnd w:id="629"/>
      <w:bookmarkEnd w:id="630"/>
    </w:p>
    <w:p w14:paraId="1F96F858" w14:textId="77777777" w:rsidR="001B0788" w:rsidRDefault="001B0788" w:rsidP="00A93C75">
      <w:pPr>
        <w:spacing w:line="360" w:lineRule="auto"/>
        <w:jc w:val="both"/>
        <w:rPr>
          <w:rFonts w:ascii="Arial" w:hAnsi="Arial" w:cs="Arial"/>
          <w:color w:val="4472C4" w:themeColor="accent1"/>
          <w:sz w:val="24"/>
          <w:szCs w:val="24"/>
        </w:rPr>
      </w:pPr>
    </w:p>
    <w:p w14:paraId="5FB17F8D" w14:textId="0348EC1E" w:rsidR="00A93C75" w:rsidRPr="00535EB8" w:rsidRDefault="00A93C75" w:rsidP="00A93C75">
      <w:pPr>
        <w:spacing w:line="360" w:lineRule="auto"/>
        <w:jc w:val="both"/>
        <w:rPr>
          <w:rFonts w:ascii="Arial" w:hAnsi="Arial" w:cs="Arial"/>
          <w:color w:val="4472C4" w:themeColor="accent1"/>
          <w:sz w:val="24"/>
          <w:szCs w:val="24"/>
        </w:rPr>
      </w:pPr>
      <w:r>
        <w:rPr>
          <w:rFonts w:ascii="Arial" w:hAnsi="Arial" w:cs="Arial"/>
          <w:color w:val="4472C4" w:themeColor="accent1"/>
          <w:sz w:val="24"/>
          <w:szCs w:val="24"/>
        </w:rPr>
        <w:t xml:space="preserve">Example 2- </w:t>
      </w:r>
      <w:r w:rsidRPr="00535EB8">
        <w:rPr>
          <w:rFonts w:ascii="Arial" w:hAnsi="Arial" w:cs="Arial"/>
          <w:color w:val="4472C4" w:themeColor="accent1"/>
          <w:sz w:val="24"/>
          <w:szCs w:val="24"/>
        </w:rPr>
        <w:t xml:space="preserve">Virtual </w:t>
      </w:r>
      <w:r w:rsidR="00610167">
        <w:rPr>
          <w:rFonts w:ascii="Arial" w:hAnsi="Arial" w:cs="Arial"/>
          <w:color w:val="4472C4" w:themeColor="accent1"/>
          <w:sz w:val="24"/>
          <w:szCs w:val="24"/>
        </w:rPr>
        <w:t>change</w:t>
      </w:r>
      <w:r w:rsidRPr="00535EB8">
        <w:rPr>
          <w:rFonts w:ascii="Arial" w:hAnsi="Arial" w:cs="Arial"/>
          <w:color w:val="4472C4" w:themeColor="accent1"/>
          <w:sz w:val="24"/>
          <w:szCs w:val="24"/>
        </w:rPr>
        <w:t xml:space="preserve"> from one-vessel PCI to two-vessel PCI</w:t>
      </w:r>
    </w:p>
    <w:p w14:paraId="37771B71" w14:textId="42AFDB2B" w:rsidR="00A93C75" w:rsidRPr="000A6E65" w:rsidRDefault="00A93C75" w:rsidP="00A93C75">
      <w:pPr>
        <w:spacing w:line="360" w:lineRule="auto"/>
        <w:jc w:val="both"/>
        <w:rPr>
          <w:rFonts w:ascii="Arial" w:hAnsi="Arial" w:cs="Arial"/>
          <w:color w:val="2A2A2A"/>
          <w:sz w:val="24"/>
          <w:szCs w:val="24"/>
          <w:shd w:val="clear" w:color="auto" w:fill="FFFFFF"/>
        </w:rPr>
      </w:pPr>
      <w:r>
        <w:rPr>
          <w:rFonts w:ascii="Arial" w:hAnsi="Arial" w:cs="Arial"/>
          <w:sz w:val="24"/>
          <w:szCs w:val="24"/>
        </w:rPr>
        <w:t xml:space="preserve">71 years old, with significant smoking history, presented with ACS. After the CAG, it was planned to perform PCI of LAD, and to medically manage the LCx lesion as was visually appearing moderately stenotic on CAG. vFFR results for LAD were concordant with the visual assessment (vFFR=0.67), however, vFFR </w:t>
      </w:r>
      <w:r w:rsidR="00347AD9">
        <w:rPr>
          <w:rFonts w:ascii="Arial" w:hAnsi="Arial" w:cs="Arial"/>
          <w:sz w:val="24"/>
          <w:szCs w:val="24"/>
        </w:rPr>
        <w:t>demonstrated</w:t>
      </w:r>
      <w:r>
        <w:rPr>
          <w:rFonts w:ascii="Arial" w:hAnsi="Arial" w:cs="Arial"/>
          <w:sz w:val="24"/>
          <w:szCs w:val="24"/>
        </w:rPr>
        <w:t xml:space="preserve"> a significantly positive result (vFFR=0.56) for LCx</w:t>
      </w:r>
      <w:r w:rsidR="00347AD9">
        <w:rPr>
          <w:rFonts w:ascii="Arial" w:hAnsi="Arial" w:cs="Arial"/>
          <w:sz w:val="24"/>
          <w:szCs w:val="24"/>
        </w:rPr>
        <w:t xml:space="preserve"> </w:t>
      </w:r>
      <w:r>
        <w:rPr>
          <w:rFonts w:ascii="Arial" w:hAnsi="Arial" w:cs="Arial"/>
          <w:sz w:val="24"/>
          <w:szCs w:val="24"/>
        </w:rPr>
        <w:t>which was initially deemed to be non-significant by visual estimation</w:t>
      </w:r>
      <w:r w:rsidR="00347AD9">
        <w:rPr>
          <w:rFonts w:ascii="Arial" w:hAnsi="Arial" w:cs="Arial"/>
          <w:sz w:val="24"/>
          <w:szCs w:val="24"/>
        </w:rPr>
        <w:t xml:space="preserve"> (visual-physiological discordance)</w:t>
      </w:r>
      <w:r>
        <w:rPr>
          <w:rFonts w:ascii="Arial" w:hAnsi="Arial" w:cs="Arial"/>
          <w:sz w:val="24"/>
          <w:szCs w:val="24"/>
        </w:rPr>
        <w:t xml:space="preserve">. </w:t>
      </w:r>
      <w:r w:rsidR="00347AD9">
        <w:rPr>
          <w:rFonts w:ascii="Arial" w:hAnsi="Arial" w:cs="Arial"/>
          <w:color w:val="2A2A2A"/>
          <w:sz w:val="24"/>
          <w:szCs w:val="24"/>
          <w:shd w:val="clear" w:color="auto" w:fill="FFFFFF"/>
        </w:rPr>
        <w:t>T</w:t>
      </w:r>
      <w:r w:rsidRPr="00B75A6E">
        <w:rPr>
          <w:rFonts w:ascii="Arial" w:hAnsi="Arial" w:cs="Arial"/>
          <w:color w:val="2A2A2A"/>
          <w:sz w:val="24"/>
          <w:szCs w:val="24"/>
          <w:shd w:val="clear" w:color="auto" w:fill="FFFFFF"/>
        </w:rPr>
        <w:t xml:space="preserve">he </w:t>
      </w:r>
      <w:r w:rsidR="00347AD9">
        <w:rPr>
          <w:rFonts w:ascii="Arial" w:hAnsi="Arial" w:cs="Arial"/>
          <w:color w:val="2A2A2A"/>
          <w:sz w:val="24"/>
          <w:szCs w:val="24"/>
          <w:shd w:val="clear" w:color="auto" w:fill="FFFFFF"/>
        </w:rPr>
        <w:t xml:space="preserve">treatment </w:t>
      </w:r>
      <w:r w:rsidRPr="00B75A6E">
        <w:rPr>
          <w:rFonts w:ascii="Arial" w:hAnsi="Arial" w:cs="Arial"/>
          <w:color w:val="2A2A2A"/>
          <w:sz w:val="24"/>
          <w:szCs w:val="24"/>
          <w:shd w:val="clear" w:color="auto" w:fill="FFFFFF"/>
        </w:rPr>
        <w:t>plan was virtually changed to two vessel PCI (PCI to LAD and LCx)</w:t>
      </w:r>
      <w:r w:rsidR="00347AD9">
        <w:rPr>
          <w:rFonts w:ascii="Arial" w:hAnsi="Arial" w:cs="Arial"/>
          <w:color w:val="2A2A2A"/>
          <w:sz w:val="24"/>
          <w:szCs w:val="24"/>
          <w:shd w:val="clear" w:color="auto" w:fill="FFFFFF"/>
        </w:rPr>
        <w:t xml:space="preserve"> after vFFR which would have been clinically more appropriate as LCx lesion would warrant revascularisation.</w:t>
      </w:r>
      <w:r w:rsidR="000A6E65">
        <w:rPr>
          <w:rFonts w:ascii="Arial" w:hAnsi="Arial" w:cs="Arial"/>
          <w:color w:val="2A2A2A"/>
          <w:sz w:val="24"/>
          <w:szCs w:val="24"/>
          <w:shd w:val="clear" w:color="auto" w:fill="FFFFFF"/>
        </w:rPr>
        <w:t xml:space="preserve"> </w:t>
      </w:r>
      <w:r w:rsidRPr="00B75A6E">
        <w:rPr>
          <w:rFonts w:ascii="Arial" w:hAnsi="Arial" w:cs="Arial"/>
          <w:color w:val="2A2A2A"/>
          <w:sz w:val="24"/>
          <w:szCs w:val="24"/>
          <w:shd w:val="clear" w:color="auto" w:fill="FFFFFF"/>
        </w:rPr>
        <w:t xml:space="preserve">As a result, it could </w:t>
      </w:r>
      <w:r>
        <w:rPr>
          <w:rFonts w:ascii="Arial" w:hAnsi="Arial" w:cs="Arial"/>
          <w:color w:val="2A2A2A"/>
          <w:sz w:val="24"/>
          <w:szCs w:val="24"/>
          <w:shd w:val="clear" w:color="auto" w:fill="FFFFFF"/>
        </w:rPr>
        <w:t xml:space="preserve">potentially </w:t>
      </w:r>
      <w:r w:rsidRPr="00B75A6E">
        <w:rPr>
          <w:rFonts w:ascii="Arial" w:hAnsi="Arial" w:cs="Arial"/>
          <w:color w:val="2A2A2A"/>
          <w:sz w:val="24"/>
          <w:szCs w:val="24"/>
          <w:shd w:val="clear" w:color="auto" w:fill="FFFFFF"/>
        </w:rPr>
        <w:t xml:space="preserve">reduce the </w:t>
      </w:r>
      <w:r w:rsidR="000A6E65">
        <w:rPr>
          <w:rFonts w:ascii="Arial" w:hAnsi="Arial" w:cs="Arial"/>
          <w:color w:val="2A2A2A"/>
          <w:sz w:val="24"/>
          <w:szCs w:val="24"/>
          <w:shd w:val="clear" w:color="auto" w:fill="FFFFFF"/>
        </w:rPr>
        <w:t xml:space="preserve">annual </w:t>
      </w:r>
      <w:r w:rsidRPr="00B75A6E">
        <w:rPr>
          <w:rFonts w:ascii="Arial" w:hAnsi="Arial" w:cs="Arial"/>
          <w:color w:val="2A2A2A"/>
          <w:sz w:val="24"/>
          <w:szCs w:val="24"/>
          <w:shd w:val="clear" w:color="auto" w:fill="FFFFFF"/>
        </w:rPr>
        <w:t>incidence of MAC</w:t>
      </w:r>
      <w:r>
        <w:rPr>
          <w:rFonts w:ascii="Arial" w:hAnsi="Arial" w:cs="Arial"/>
          <w:color w:val="2A2A2A"/>
          <w:sz w:val="24"/>
          <w:szCs w:val="24"/>
          <w:shd w:val="clear" w:color="auto" w:fill="FFFFFF"/>
        </w:rPr>
        <w:t>E</w:t>
      </w:r>
      <w:r w:rsidRPr="00B75A6E">
        <w:rPr>
          <w:rFonts w:ascii="Arial" w:hAnsi="Arial" w:cs="Arial"/>
          <w:color w:val="2A2A2A"/>
          <w:sz w:val="24"/>
          <w:szCs w:val="24"/>
          <w:shd w:val="clear" w:color="auto" w:fill="FFFFFF"/>
        </w:rPr>
        <w:t xml:space="preserve"> and repeat revasculari</w:t>
      </w:r>
      <w:r>
        <w:rPr>
          <w:rFonts w:ascii="Arial" w:hAnsi="Arial" w:cs="Arial"/>
          <w:color w:val="2A2A2A"/>
          <w:sz w:val="24"/>
          <w:szCs w:val="24"/>
          <w:shd w:val="clear" w:color="auto" w:fill="FFFFFF"/>
        </w:rPr>
        <w:t>s</w:t>
      </w:r>
      <w:r w:rsidRPr="00B75A6E">
        <w:rPr>
          <w:rFonts w:ascii="Arial" w:hAnsi="Arial" w:cs="Arial"/>
          <w:color w:val="2A2A2A"/>
          <w:sz w:val="24"/>
          <w:szCs w:val="24"/>
          <w:shd w:val="clear" w:color="auto" w:fill="FFFFFF"/>
        </w:rPr>
        <w:t xml:space="preserve">ation by </w:t>
      </w:r>
      <w:r>
        <w:rPr>
          <w:rFonts w:ascii="Arial" w:hAnsi="Arial" w:cs="Arial"/>
          <w:color w:val="2A2A2A"/>
          <w:sz w:val="24"/>
          <w:szCs w:val="24"/>
          <w:shd w:val="clear" w:color="auto" w:fill="FFFFFF"/>
        </w:rPr>
        <w:t xml:space="preserve">4.9% and </w:t>
      </w:r>
      <w:r w:rsidRPr="00B75A6E">
        <w:rPr>
          <w:rFonts w:ascii="Arial" w:hAnsi="Arial" w:cs="Arial"/>
          <w:color w:val="2A2A2A"/>
          <w:sz w:val="24"/>
          <w:szCs w:val="24"/>
          <w:shd w:val="clear" w:color="auto" w:fill="FFFFFF"/>
        </w:rPr>
        <w:t>11.4%, respectively</w:t>
      </w:r>
      <w:r w:rsidR="000A6E65">
        <w:rPr>
          <w:rFonts w:ascii="Arial" w:hAnsi="Arial" w:cs="Arial"/>
          <w:color w:val="2A2A2A"/>
          <w:sz w:val="24"/>
          <w:szCs w:val="24"/>
          <w:shd w:val="clear" w:color="auto" w:fill="FFFFFF"/>
        </w:rPr>
        <w:t>.</w:t>
      </w:r>
      <w:r w:rsidRPr="00B75A6E">
        <w:rPr>
          <w:rFonts w:ascii="Arial" w:hAnsi="Arial" w:cs="Arial"/>
          <w:color w:val="2A2A2A"/>
          <w:sz w:val="24"/>
          <w:szCs w:val="24"/>
          <w:shd w:val="clear" w:color="auto" w:fill="FFFFFF"/>
        </w:rPr>
        <w:t xml:space="preserve"> </w:t>
      </w:r>
      <w:r w:rsidR="000A6E65">
        <w:rPr>
          <w:rFonts w:ascii="Arial" w:hAnsi="Arial" w:cs="Arial"/>
          <w:sz w:val="24"/>
          <w:szCs w:val="24"/>
        </w:rPr>
        <w:t>Although, the procedure itself will result in an extra spend of £420 for additional vessel revascularisation but</w:t>
      </w:r>
      <w:r w:rsidR="000A6E65">
        <w:rPr>
          <w:rFonts w:ascii="Arial" w:hAnsi="Arial" w:cs="Arial"/>
          <w:color w:val="2A2A2A"/>
          <w:sz w:val="24"/>
          <w:szCs w:val="24"/>
          <w:shd w:val="clear" w:color="auto" w:fill="FFFFFF"/>
        </w:rPr>
        <w:t xml:space="preserve"> </w:t>
      </w:r>
      <w:r w:rsidR="008F6161">
        <w:rPr>
          <w:rFonts w:ascii="Arial" w:hAnsi="Arial" w:cs="Arial"/>
          <w:color w:val="2A2A2A"/>
          <w:sz w:val="24"/>
          <w:szCs w:val="24"/>
          <w:shd w:val="clear" w:color="auto" w:fill="FFFFFF"/>
        </w:rPr>
        <w:t xml:space="preserve">could </w:t>
      </w:r>
      <w:r>
        <w:rPr>
          <w:rFonts w:ascii="Arial" w:hAnsi="Arial" w:cs="Arial"/>
          <w:color w:val="2A2A2A"/>
          <w:sz w:val="24"/>
          <w:szCs w:val="24"/>
          <w:shd w:val="clear" w:color="auto" w:fill="FFFFFF"/>
        </w:rPr>
        <w:lastRenderedPageBreak/>
        <w:t xml:space="preserve">virtually </w:t>
      </w:r>
      <w:r w:rsidRPr="00B75A6E">
        <w:rPr>
          <w:rFonts w:ascii="Arial" w:hAnsi="Arial" w:cs="Arial"/>
          <w:color w:val="2A2A2A"/>
          <w:sz w:val="24"/>
          <w:szCs w:val="24"/>
          <w:shd w:val="clear" w:color="auto" w:fill="FFFFFF"/>
        </w:rPr>
        <w:t xml:space="preserve">improve </w:t>
      </w:r>
      <w:r>
        <w:rPr>
          <w:rFonts w:ascii="Arial" w:hAnsi="Arial" w:cs="Arial"/>
          <w:color w:val="2A2A2A"/>
          <w:sz w:val="24"/>
          <w:szCs w:val="24"/>
          <w:shd w:val="clear" w:color="auto" w:fill="FFFFFF"/>
        </w:rPr>
        <w:t>QOL scores by</w:t>
      </w:r>
      <w:r w:rsidRPr="00B75A6E">
        <w:rPr>
          <w:rFonts w:ascii="Arial" w:hAnsi="Arial" w:cs="Arial"/>
          <w:color w:val="2A2A2A"/>
          <w:sz w:val="24"/>
          <w:szCs w:val="24"/>
          <w:shd w:val="clear" w:color="auto" w:fill="FFFFFF"/>
        </w:rPr>
        <w:t xml:space="preserve"> </w:t>
      </w:r>
      <w:r w:rsidR="000A6E65">
        <w:rPr>
          <w:rFonts w:ascii="Arial" w:hAnsi="Arial" w:cs="Arial"/>
          <w:color w:val="2A2A2A"/>
          <w:sz w:val="24"/>
          <w:szCs w:val="24"/>
          <w:shd w:val="clear" w:color="auto" w:fill="FFFFFF"/>
        </w:rPr>
        <w:t>3</w:t>
      </w:r>
      <w:r w:rsidRPr="00B75A6E">
        <w:rPr>
          <w:rFonts w:ascii="Arial" w:hAnsi="Arial" w:cs="Arial"/>
          <w:color w:val="2A2A2A"/>
          <w:sz w:val="24"/>
          <w:szCs w:val="24"/>
          <w:shd w:val="clear" w:color="auto" w:fill="FFFFFF"/>
        </w:rPr>
        <w:t xml:space="preserve"> ± 1</w:t>
      </w:r>
      <w:r>
        <w:rPr>
          <w:rFonts w:ascii="Arial" w:hAnsi="Arial" w:cs="Arial"/>
          <w:color w:val="2A2A2A"/>
          <w:sz w:val="24"/>
          <w:szCs w:val="24"/>
          <w:shd w:val="clear" w:color="auto" w:fill="FFFFFF"/>
        </w:rPr>
        <w:t xml:space="preserve"> (EQ-VAS)</w:t>
      </w:r>
      <w:r w:rsidRPr="00B75A6E">
        <w:rPr>
          <w:rFonts w:ascii="Arial" w:hAnsi="Arial" w:cs="Arial"/>
          <w:color w:val="2A2A2A"/>
          <w:sz w:val="24"/>
          <w:szCs w:val="24"/>
          <w:shd w:val="clear" w:color="auto" w:fill="FFFFFF"/>
        </w:rPr>
        <w:t xml:space="preserve"> and 0.</w:t>
      </w:r>
      <w:r w:rsidR="000A6E65">
        <w:rPr>
          <w:rFonts w:ascii="Arial" w:hAnsi="Arial" w:cs="Arial"/>
          <w:color w:val="2A2A2A"/>
          <w:sz w:val="24"/>
          <w:szCs w:val="24"/>
          <w:shd w:val="clear" w:color="auto" w:fill="FFFFFF"/>
        </w:rPr>
        <w:t>1</w:t>
      </w:r>
      <w:r w:rsidRPr="00B75A6E">
        <w:rPr>
          <w:rFonts w:ascii="Arial" w:hAnsi="Arial" w:cs="Arial"/>
          <w:color w:val="2A2A2A"/>
          <w:sz w:val="24"/>
          <w:szCs w:val="24"/>
          <w:shd w:val="clear" w:color="auto" w:fill="FFFFFF"/>
        </w:rPr>
        <w:t xml:space="preserve"> ± 0.0</w:t>
      </w:r>
      <w:r w:rsidR="000A6E65">
        <w:rPr>
          <w:rFonts w:ascii="Arial" w:hAnsi="Arial" w:cs="Arial"/>
          <w:color w:val="2A2A2A"/>
          <w:sz w:val="24"/>
          <w:szCs w:val="24"/>
          <w:shd w:val="clear" w:color="auto" w:fill="FFFFFF"/>
        </w:rPr>
        <w:t>1</w:t>
      </w:r>
      <w:r>
        <w:rPr>
          <w:rFonts w:ascii="Arial" w:hAnsi="Arial" w:cs="Arial"/>
          <w:color w:val="2A2A2A"/>
          <w:sz w:val="24"/>
          <w:szCs w:val="24"/>
          <w:shd w:val="clear" w:color="auto" w:fill="FFFFFF"/>
        </w:rPr>
        <w:t xml:space="preserve"> (EQ-indexed)</w:t>
      </w:r>
      <w:r w:rsidR="000A6E65">
        <w:rPr>
          <w:rFonts w:ascii="Arial" w:hAnsi="Arial" w:cs="Arial"/>
          <w:color w:val="2A2A2A"/>
          <w:sz w:val="24"/>
          <w:szCs w:val="24"/>
          <w:shd w:val="clear" w:color="auto" w:fill="FFFFFF"/>
        </w:rPr>
        <w:t xml:space="preserve"> by improving</w:t>
      </w:r>
      <w:r w:rsidR="00475725">
        <w:rPr>
          <w:rFonts w:ascii="Arial" w:hAnsi="Arial" w:cs="Arial"/>
          <w:color w:val="2A2A2A"/>
          <w:sz w:val="24"/>
          <w:szCs w:val="24"/>
          <w:shd w:val="clear" w:color="auto" w:fill="FFFFFF"/>
        </w:rPr>
        <w:t xml:space="preserve"> </w:t>
      </w:r>
      <w:r w:rsidR="000A6E65">
        <w:rPr>
          <w:rFonts w:ascii="Arial" w:hAnsi="Arial" w:cs="Arial"/>
          <w:color w:val="2A2A2A"/>
          <w:sz w:val="24"/>
          <w:szCs w:val="24"/>
          <w:shd w:val="clear" w:color="auto" w:fill="FFFFFF"/>
        </w:rPr>
        <w:t xml:space="preserve">the </w:t>
      </w:r>
      <w:r w:rsidR="00475725">
        <w:rPr>
          <w:rFonts w:ascii="Arial" w:hAnsi="Arial" w:cs="Arial"/>
          <w:color w:val="2A2A2A"/>
          <w:sz w:val="24"/>
          <w:szCs w:val="24"/>
          <w:shd w:val="clear" w:color="auto" w:fill="FFFFFF"/>
        </w:rPr>
        <w:t>anginal frequency/CCS class</w:t>
      </w:r>
      <w:r>
        <w:rPr>
          <w:rFonts w:ascii="Arial" w:hAnsi="Arial" w:cs="Arial"/>
          <w:sz w:val="24"/>
          <w:szCs w:val="24"/>
        </w:rPr>
        <w:t>.</w:t>
      </w:r>
      <w:r w:rsidR="000A6E65">
        <w:rPr>
          <w:rFonts w:ascii="Arial" w:hAnsi="Arial" w:cs="Arial"/>
          <w:sz w:val="24"/>
          <w:szCs w:val="24"/>
        </w:rPr>
        <w:t xml:space="preserve"> </w:t>
      </w:r>
    </w:p>
    <w:p w14:paraId="6F648202" w14:textId="77777777" w:rsidR="00A93C75" w:rsidRDefault="00A93C75" w:rsidP="00A93C75">
      <w:pPr>
        <w:spacing w:line="360" w:lineRule="auto"/>
        <w:jc w:val="both"/>
        <w:rPr>
          <w:rFonts w:ascii="Arial" w:hAnsi="Arial" w:cs="Arial"/>
          <w:sz w:val="24"/>
          <w:szCs w:val="24"/>
        </w:rPr>
      </w:pPr>
    </w:p>
    <w:p w14:paraId="3D461626" w14:textId="77777777" w:rsidR="003244C5" w:rsidRDefault="00A93C75" w:rsidP="003244C5">
      <w:pPr>
        <w:keepNext/>
        <w:spacing w:line="240" w:lineRule="auto"/>
        <w:jc w:val="both"/>
        <w:rPr>
          <w:rFonts w:ascii="Arial" w:hAnsi="Arial" w:cs="Arial"/>
          <w:b/>
          <w:bCs/>
          <w:i/>
          <w:iCs/>
          <w:sz w:val="20"/>
          <w:szCs w:val="20"/>
        </w:rPr>
      </w:pPr>
      <w:r>
        <w:rPr>
          <w:rFonts w:ascii="Arial" w:hAnsi="Arial" w:cs="Arial"/>
          <w:noProof/>
          <w:sz w:val="24"/>
          <w:szCs w:val="24"/>
          <w:lang w:eastAsia="en-GB"/>
        </w:rPr>
        <w:drawing>
          <wp:inline distT="0" distB="0" distL="0" distR="0" wp14:anchorId="44ACAD94" wp14:editId="10A14049">
            <wp:extent cx="5976620" cy="4716145"/>
            <wp:effectExtent l="19050" t="19050" r="24130" b="27305"/>
            <wp:docPr id="91795257" name="Picture 3" descr="A collage of images of a ve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95257" name="Picture 3" descr="A collage of images of a vein&#10;&#10;Description automatically generated"/>
                    <pic:cNvPicPr/>
                  </pic:nvPicPr>
                  <pic:blipFill rotWithShape="1">
                    <a:blip r:embed="rId34" cstate="print">
                      <a:extLst>
                        <a:ext uri="{28A0092B-C50C-407E-A947-70E740481C1C}">
                          <a14:useLocalDpi xmlns:a14="http://schemas.microsoft.com/office/drawing/2010/main" val="0"/>
                        </a:ext>
                      </a:extLst>
                    </a:blip>
                    <a:srcRect l="7971" t="1749" r="6518" b="1855"/>
                    <a:stretch/>
                  </pic:blipFill>
                  <pic:spPr bwMode="auto">
                    <a:xfrm>
                      <a:off x="0" y="0"/>
                      <a:ext cx="5994402" cy="47301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bookmarkStart w:id="631" w:name="_Toc159318537"/>
      <w:bookmarkStart w:id="632" w:name="_Toc159612064"/>
      <w:bookmarkStart w:id="633" w:name="_Toc160982702"/>
      <w:bookmarkStart w:id="634" w:name="_Toc164697528"/>
    </w:p>
    <w:p w14:paraId="0EBE5AF8" w14:textId="48049262" w:rsidR="00A93C75" w:rsidRPr="003244C5" w:rsidRDefault="00A93C75" w:rsidP="003244C5">
      <w:pPr>
        <w:keepNext/>
        <w:spacing w:line="240" w:lineRule="auto"/>
        <w:jc w:val="both"/>
      </w:pPr>
      <w:bookmarkStart w:id="635" w:name="_Toc170744577"/>
      <w:bookmarkStart w:id="636" w:name="_Toc196153209"/>
      <w:r w:rsidRPr="003244C5">
        <w:rPr>
          <w:rFonts w:ascii="Arial" w:hAnsi="Arial" w:cs="Arial"/>
          <w:b/>
          <w:bCs/>
          <w:i/>
          <w:iCs/>
          <w:sz w:val="20"/>
          <w:szCs w:val="20"/>
        </w:rPr>
        <w:t xml:space="preserve">Figure </w:t>
      </w:r>
      <w:r w:rsidRPr="003244C5">
        <w:rPr>
          <w:rFonts w:ascii="Arial" w:hAnsi="Arial" w:cs="Arial"/>
          <w:b/>
          <w:bCs/>
          <w:i/>
          <w:iCs/>
          <w:sz w:val="20"/>
          <w:szCs w:val="20"/>
        </w:rPr>
        <w:fldChar w:fldCharType="begin"/>
      </w:r>
      <w:r w:rsidRPr="003244C5">
        <w:rPr>
          <w:rFonts w:ascii="Arial" w:hAnsi="Arial" w:cs="Arial"/>
          <w:b/>
          <w:bCs/>
          <w:i/>
          <w:iCs/>
          <w:sz w:val="20"/>
          <w:szCs w:val="20"/>
        </w:rPr>
        <w:instrText xml:space="preserve"> SEQ Figure \* ARABIC </w:instrText>
      </w:r>
      <w:r w:rsidRPr="003244C5">
        <w:rPr>
          <w:rFonts w:ascii="Arial" w:hAnsi="Arial" w:cs="Arial"/>
          <w:b/>
          <w:bCs/>
          <w:i/>
          <w:iCs/>
          <w:sz w:val="20"/>
          <w:szCs w:val="20"/>
        </w:rPr>
        <w:fldChar w:fldCharType="separate"/>
      </w:r>
      <w:r w:rsidR="001823B4">
        <w:rPr>
          <w:rFonts w:ascii="Arial" w:hAnsi="Arial" w:cs="Arial"/>
          <w:b/>
          <w:bCs/>
          <w:i/>
          <w:iCs/>
          <w:noProof/>
          <w:sz w:val="20"/>
          <w:szCs w:val="20"/>
        </w:rPr>
        <w:t>17</w:t>
      </w:r>
      <w:r w:rsidRPr="003244C5">
        <w:rPr>
          <w:rFonts w:ascii="Arial" w:hAnsi="Arial" w:cs="Arial"/>
          <w:b/>
          <w:bCs/>
          <w:i/>
          <w:iCs/>
          <w:sz w:val="20"/>
          <w:szCs w:val="20"/>
        </w:rPr>
        <w:fldChar w:fldCharType="end"/>
      </w:r>
      <w:r w:rsidRPr="003244C5">
        <w:rPr>
          <w:rFonts w:ascii="Arial" w:hAnsi="Arial" w:cs="Arial"/>
          <w:b/>
          <w:bCs/>
          <w:i/>
          <w:iCs/>
          <w:sz w:val="20"/>
          <w:szCs w:val="20"/>
        </w:rPr>
        <w:t>:</w:t>
      </w:r>
      <w:r w:rsidRPr="003244C5">
        <w:rPr>
          <w:rFonts w:ascii="Arial" w:hAnsi="Arial" w:cs="Arial"/>
          <w:i/>
          <w:iCs/>
          <w:sz w:val="20"/>
          <w:szCs w:val="20"/>
        </w:rPr>
        <w:t xml:space="preserve"> Example 2 - Virtual change of plan from one-vessel PCI to two-vessel PCI. A - Severely diffused left anterior descending (LAD) artery disease on CAG marked with an arrow, B - Visually moderately stenotic lesion in left circumflex (LCx) artery marked with an arrow (for medical therapy in the pre-vFFR plan), C - </w:t>
      </w:r>
      <w:r w:rsidRPr="00632552">
        <w:rPr>
          <w:rFonts w:ascii="Arial" w:hAnsi="Arial" w:cs="Arial"/>
          <w:i/>
          <w:iCs/>
          <w:sz w:val="20"/>
          <w:szCs w:val="20"/>
        </w:rPr>
        <w:t>vFFR model of LAD demonstrating significantly ischaemic vFFR (0.67), D – vFFR model of LCx showing markedly ischaemic lesion (0.56) resulting in virtual change in plan from one-vessel PCI to two-vessel PCI.</w:t>
      </w:r>
      <w:bookmarkEnd w:id="631"/>
      <w:bookmarkEnd w:id="632"/>
      <w:bookmarkEnd w:id="633"/>
      <w:bookmarkEnd w:id="634"/>
      <w:bookmarkEnd w:id="635"/>
      <w:r w:rsidR="00632552" w:rsidRPr="00632552">
        <w:rPr>
          <w:rFonts w:ascii="Arial" w:hAnsi="Arial" w:cs="Arial"/>
          <w:i/>
          <w:iCs/>
          <w:sz w:val="20"/>
          <w:szCs w:val="20"/>
        </w:rPr>
        <w:t xml:space="preserve"> </w:t>
      </w:r>
      <w:r w:rsidR="00632552">
        <w:rPr>
          <w:rFonts w:ascii="Arial" w:hAnsi="Arial" w:cs="Arial"/>
          <w:i/>
          <w:iCs/>
          <w:sz w:val="20"/>
          <w:szCs w:val="20"/>
        </w:rPr>
        <w:t>(</w:t>
      </w:r>
      <w:r w:rsidR="00632552" w:rsidRPr="00632552">
        <w:rPr>
          <w:i/>
          <w:iCs/>
          <w:sz w:val="20"/>
          <w:szCs w:val="20"/>
        </w:rPr>
        <w:t xml:space="preserve">vFFR image – </w:t>
      </w:r>
      <w:r w:rsidR="00632552">
        <w:rPr>
          <w:i/>
          <w:iCs/>
          <w:sz w:val="20"/>
          <w:szCs w:val="20"/>
        </w:rPr>
        <w:t>c</w:t>
      </w:r>
      <w:r w:rsidR="00632552" w:rsidRPr="00632552">
        <w:rPr>
          <w:i/>
          <w:iCs/>
          <w:sz w:val="20"/>
          <w:szCs w:val="20"/>
        </w:rPr>
        <w:t>ourtesy of Dr H Haley</w:t>
      </w:r>
      <w:r w:rsidR="00632552">
        <w:rPr>
          <w:i/>
          <w:iCs/>
          <w:sz w:val="20"/>
          <w:szCs w:val="20"/>
        </w:rPr>
        <w:t>)</w:t>
      </w:r>
      <w:r w:rsidR="00632552" w:rsidRPr="00632552">
        <w:rPr>
          <w:i/>
          <w:iCs/>
          <w:sz w:val="20"/>
          <w:szCs w:val="20"/>
        </w:rPr>
        <w:t>.</w:t>
      </w:r>
      <w:bookmarkEnd w:id="636"/>
      <w:r>
        <w:rPr>
          <w:rFonts w:ascii="Arial" w:hAnsi="Arial" w:cs="Arial"/>
          <w:sz w:val="20"/>
          <w:szCs w:val="20"/>
        </w:rPr>
        <w:t xml:space="preserve"> </w:t>
      </w:r>
    </w:p>
    <w:p w14:paraId="37B497AA" w14:textId="77777777" w:rsidR="00A93C75" w:rsidRDefault="00A93C75" w:rsidP="00A93C75"/>
    <w:p w14:paraId="324B4149" w14:textId="77777777" w:rsidR="006E57D1" w:rsidRDefault="001B0788" w:rsidP="006E57D1">
      <w:pPr>
        <w:keepNext/>
      </w:pPr>
      <w:r>
        <w:rPr>
          <w:noProof/>
          <w:lang w:eastAsia="en-GB"/>
        </w:rPr>
        <w:lastRenderedPageBreak/>
        <w:drawing>
          <wp:inline distT="0" distB="0" distL="0" distR="0" wp14:anchorId="2F03C43D" wp14:editId="7DF3D6C7">
            <wp:extent cx="5992285" cy="4309110"/>
            <wp:effectExtent l="19050" t="19050" r="27940" b="15240"/>
            <wp:docPr id="300175447" name="Picture 11" descr="A diagram of a business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75447" name="Picture 11" descr="A diagram of a business plan"/>
                    <pic:cNvPicPr/>
                  </pic:nvPicPr>
                  <pic:blipFill rotWithShape="1">
                    <a:blip r:embed="rId35" cstate="print">
                      <a:extLst>
                        <a:ext uri="{28A0092B-C50C-407E-A947-70E740481C1C}">
                          <a14:useLocalDpi xmlns:a14="http://schemas.microsoft.com/office/drawing/2010/main" val="0"/>
                        </a:ext>
                      </a:extLst>
                    </a:blip>
                    <a:srcRect r="2661"/>
                    <a:stretch/>
                  </pic:blipFill>
                  <pic:spPr bwMode="auto">
                    <a:xfrm>
                      <a:off x="0" y="0"/>
                      <a:ext cx="5997746" cy="43130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FF7771" w14:textId="4F3CFC8C" w:rsidR="00863049" w:rsidRPr="00E36A10" w:rsidRDefault="006E57D1" w:rsidP="00863049">
      <w:pPr>
        <w:pStyle w:val="Caption"/>
        <w:jc w:val="both"/>
        <w:rPr>
          <w:rFonts w:ascii="Arial" w:hAnsi="Arial" w:cs="Arial"/>
          <w:color w:val="auto"/>
          <w:sz w:val="20"/>
          <w:szCs w:val="20"/>
        </w:rPr>
      </w:pPr>
      <w:bookmarkStart w:id="637" w:name="_Toc170744578"/>
      <w:bookmarkStart w:id="638" w:name="_Toc196153210"/>
      <w:r w:rsidRPr="00E36A10">
        <w:rPr>
          <w:rFonts w:ascii="Arial" w:hAnsi="Arial" w:cs="Arial"/>
          <w:b/>
          <w:bCs/>
          <w:color w:val="auto"/>
          <w:sz w:val="20"/>
          <w:szCs w:val="20"/>
        </w:rPr>
        <w:t xml:space="preserve">Figure </w:t>
      </w:r>
      <w:r w:rsidRPr="00E36A10">
        <w:rPr>
          <w:rFonts w:ascii="Arial" w:hAnsi="Arial" w:cs="Arial"/>
          <w:b/>
          <w:bCs/>
          <w:color w:val="auto"/>
          <w:sz w:val="20"/>
          <w:szCs w:val="20"/>
        </w:rPr>
        <w:fldChar w:fldCharType="begin"/>
      </w:r>
      <w:r w:rsidRPr="00E36A10">
        <w:rPr>
          <w:rFonts w:ascii="Arial" w:hAnsi="Arial" w:cs="Arial"/>
          <w:b/>
          <w:bCs/>
          <w:color w:val="auto"/>
          <w:sz w:val="20"/>
          <w:szCs w:val="20"/>
        </w:rPr>
        <w:instrText xml:space="preserve"> SEQ Figure \* ARABIC </w:instrText>
      </w:r>
      <w:r w:rsidRPr="00E36A10">
        <w:rPr>
          <w:rFonts w:ascii="Arial" w:hAnsi="Arial" w:cs="Arial"/>
          <w:b/>
          <w:bCs/>
          <w:color w:val="auto"/>
          <w:sz w:val="20"/>
          <w:szCs w:val="20"/>
        </w:rPr>
        <w:fldChar w:fldCharType="separate"/>
      </w:r>
      <w:r w:rsidR="001823B4">
        <w:rPr>
          <w:rFonts w:ascii="Arial" w:hAnsi="Arial" w:cs="Arial"/>
          <w:b/>
          <w:bCs/>
          <w:noProof/>
          <w:color w:val="auto"/>
          <w:sz w:val="20"/>
          <w:szCs w:val="20"/>
        </w:rPr>
        <w:t>18</w:t>
      </w:r>
      <w:r w:rsidRPr="00E36A10">
        <w:rPr>
          <w:rFonts w:ascii="Arial" w:hAnsi="Arial" w:cs="Arial"/>
          <w:b/>
          <w:bCs/>
          <w:color w:val="auto"/>
          <w:sz w:val="20"/>
          <w:szCs w:val="20"/>
        </w:rPr>
        <w:fldChar w:fldCharType="end"/>
      </w:r>
      <w:r w:rsidRPr="00E36A10">
        <w:rPr>
          <w:rFonts w:ascii="Arial" w:hAnsi="Arial" w:cs="Arial"/>
          <w:b/>
          <w:bCs/>
          <w:color w:val="auto"/>
          <w:sz w:val="20"/>
          <w:szCs w:val="20"/>
        </w:rPr>
        <w:t>:</w:t>
      </w:r>
      <w:r w:rsidRPr="00E36A10">
        <w:rPr>
          <w:rFonts w:ascii="Arial" w:hAnsi="Arial" w:cs="Arial"/>
          <w:color w:val="auto"/>
          <w:sz w:val="20"/>
          <w:szCs w:val="20"/>
        </w:rPr>
        <w:t xml:space="preserve"> </w:t>
      </w:r>
      <w:r w:rsidR="00863049" w:rsidRPr="00E36A10">
        <w:rPr>
          <w:rFonts w:ascii="Arial" w:hAnsi="Arial" w:cs="Arial"/>
          <w:color w:val="auto"/>
          <w:sz w:val="20"/>
          <w:szCs w:val="20"/>
        </w:rPr>
        <w:t xml:space="preserve">MDT flowsheet for </w:t>
      </w:r>
      <w:r w:rsidRPr="00E36A10">
        <w:rPr>
          <w:rFonts w:ascii="Arial" w:hAnsi="Arial" w:cs="Arial"/>
          <w:color w:val="auto"/>
          <w:sz w:val="20"/>
          <w:szCs w:val="20"/>
        </w:rPr>
        <w:t xml:space="preserve">Example 2 </w:t>
      </w:r>
      <w:r w:rsidR="00863049" w:rsidRPr="00E36A10">
        <w:rPr>
          <w:rFonts w:ascii="Arial" w:hAnsi="Arial" w:cs="Arial"/>
          <w:color w:val="auto"/>
          <w:sz w:val="20"/>
          <w:szCs w:val="20"/>
        </w:rPr>
        <w:t xml:space="preserve">– </w:t>
      </w:r>
      <w:r w:rsidR="00BF2891" w:rsidRPr="00E36A10">
        <w:rPr>
          <w:rFonts w:ascii="Arial" w:hAnsi="Arial" w:cs="Arial"/>
          <w:color w:val="auto"/>
          <w:sz w:val="20"/>
          <w:szCs w:val="20"/>
        </w:rPr>
        <w:t>‘</w:t>
      </w:r>
      <w:r w:rsidR="00863049" w:rsidRPr="00E36A10">
        <w:rPr>
          <w:rFonts w:ascii="Arial" w:hAnsi="Arial" w:cs="Arial"/>
          <w:color w:val="auto"/>
          <w:sz w:val="20"/>
          <w:szCs w:val="20"/>
        </w:rPr>
        <w:t>Virtual change from one vessel PCI to two vessel PCI</w:t>
      </w:r>
      <w:r w:rsidR="00BF2891" w:rsidRPr="00E36A10">
        <w:rPr>
          <w:rFonts w:ascii="Arial" w:hAnsi="Arial" w:cs="Arial"/>
          <w:color w:val="auto"/>
          <w:sz w:val="20"/>
          <w:szCs w:val="20"/>
        </w:rPr>
        <w:t>’</w:t>
      </w:r>
      <w:r w:rsidR="00863049" w:rsidRPr="00E36A10">
        <w:rPr>
          <w:rFonts w:ascii="Arial" w:hAnsi="Arial" w:cs="Arial"/>
          <w:color w:val="auto"/>
          <w:sz w:val="20"/>
          <w:szCs w:val="20"/>
        </w:rPr>
        <w:t xml:space="preserve"> showing the impact of vFFR on the virtual clinical and economic outcomes.</w:t>
      </w:r>
      <w:bookmarkEnd w:id="637"/>
      <w:bookmarkEnd w:id="638"/>
    </w:p>
    <w:p w14:paraId="1587B0B7" w14:textId="65961905" w:rsidR="001B0788" w:rsidRDefault="001B0788" w:rsidP="006E57D1">
      <w:pPr>
        <w:pStyle w:val="Caption"/>
      </w:pPr>
    </w:p>
    <w:p w14:paraId="262B17BF" w14:textId="695B3666" w:rsidR="00A93C75" w:rsidRPr="00535EB8" w:rsidRDefault="00A93C75" w:rsidP="00A93C75">
      <w:pPr>
        <w:spacing w:line="360" w:lineRule="auto"/>
        <w:jc w:val="both"/>
        <w:rPr>
          <w:rFonts w:ascii="Arial" w:hAnsi="Arial" w:cs="Arial"/>
          <w:color w:val="4472C4" w:themeColor="accent1"/>
          <w:sz w:val="24"/>
          <w:szCs w:val="24"/>
        </w:rPr>
      </w:pPr>
      <w:r>
        <w:rPr>
          <w:rFonts w:ascii="Arial" w:hAnsi="Arial" w:cs="Arial"/>
          <w:color w:val="4472C4" w:themeColor="accent1"/>
          <w:sz w:val="24"/>
          <w:szCs w:val="24"/>
        </w:rPr>
        <w:t xml:space="preserve">Example 3 - </w:t>
      </w:r>
      <w:r w:rsidRPr="00535EB8">
        <w:rPr>
          <w:rFonts w:ascii="Arial" w:hAnsi="Arial" w:cs="Arial"/>
          <w:color w:val="4472C4" w:themeColor="accent1"/>
          <w:sz w:val="24"/>
          <w:szCs w:val="24"/>
        </w:rPr>
        <w:t>An avoidable peri-procedural TIA</w:t>
      </w:r>
    </w:p>
    <w:p w14:paraId="5E3ABCB2" w14:textId="4B02839D" w:rsidR="00A93C75" w:rsidRPr="00356606" w:rsidRDefault="00A93C75" w:rsidP="00A93C75">
      <w:pPr>
        <w:pStyle w:val="NormalWeb"/>
        <w:spacing w:before="240" w:beforeAutospacing="0" w:after="240" w:afterAutospacing="0"/>
        <w:jc w:val="both"/>
        <w:rPr>
          <w:rFonts w:ascii="Arial" w:hAnsi="Arial" w:cs="Arial"/>
        </w:rPr>
      </w:pPr>
      <w:r>
        <w:rPr>
          <w:rFonts w:ascii="Arial" w:hAnsi="Arial" w:cs="Arial"/>
        </w:rPr>
        <w:t>78 years old with ACS presentation, had a tight lesion in the posterior descending artery (PDA) as the likely culprit along with a moderately stenotic mid LAD lesion. The initial pre-vFFR plan was to perform PCI of PDA along with an invasive mFFR assessment of mid LAD lesion. Patient underwent successful PCI of PDA lesion. However, during the mFFR evaluation</w:t>
      </w:r>
      <w:r w:rsidR="00475725">
        <w:rPr>
          <w:rFonts w:ascii="Arial" w:hAnsi="Arial" w:cs="Arial"/>
        </w:rPr>
        <w:t xml:space="preserve"> of LAD lesion</w:t>
      </w:r>
      <w:r>
        <w:rPr>
          <w:rFonts w:ascii="Arial" w:hAnsi="Arial" w:cs="Arial"/>
        </w:rPr>
        <w:t xml:space="preserve">, patient </w:t>
      </w:r>
      <w:r w:rsidR="00475725">
        <w:rPr>
          <w:rFonts w:ascii="Arial" w:hAnsi="Arial" w:cs="Arial"/>
        </w:rPr>
        <w:t>developed</w:t>
      </w:r>
      <w:r>
        <w:rPr>
          <w:rFonts w:ascii="Arial" w:hAnsi="Arial" w:cs="Arial"/>
        </w:rPr>
        <w:t xml:space="preserve"> acute confusion and speech disturbance (peri-procedural TIA) due to which the procedure was abandoned. vFFR results showed that LAD lesion was physiologically non-significant (vFFR=0.83). </w:t>
      </w:r>
      <w:r w:rsidR="00475725">
        <w:rPr>
          <w:rFonts w:ascii="Arial" w:hAnsi="Arial" w:cs="Arial"/>
        </w:rPr>
        <w:t xml:space="preserve">An urgent CT head was performed which didn’t show an infarct and fortunately, the patient had a complete recovery within couple of hours. </w:t>
      </w:r>
      <w:r>
        <w:rPr>
          <w:rFonts w:ascii="Arial" w:hAnsi="Arial" w:cs="Arial"/>
        </w:rPr>
        <w:t xml:space="preserve">Hence, following a vFFR plan </w:t>
      </w:r>
      <w:r w:rsidR="00356606">
        <w:rPr>
          <w:rFonts w:ascii="Arial" w:hAnsi="Arial" w:cs="Arial"/>
        </w:rPr>
        <w:t xml:space="preserve">not only would </w:t>
      </w:r>
      <w:r>
        <w:rPr>
          <w:rFonts w:ascii="Arial" w:hAnsi="Arial" w:cs="Arial"/>
        </w:rPr>
        <w:t>have avoided an iatrogenic peri-procedural TIA</w:t>
      </w:r>
      <w:r w:rsidR="00356606">
        <w:rPr>
          <w:rFonts w:ascii="Arial" w:hAnsi="Arial" w:cs="Arial"/>
        </w:rPr>
        <w:t xml:space="preserve"> but also resulted in</w:t>
      </w:r>
      <w:r>
        <w:rPr>
          <w:rFonts w:ascii="Arial" w:hAnsi="Arial" w:cs="Arial"/>
        </w:rPr>
        <w:t xml:space="preserve"> cost savings of </w:t>
      </w:r>
      <w:r w:rsidR="00356606">
        <w:rPr>
          <w:rFonts w:ascii="Arial" w:hAnsi="Arial" w:cs="Arial"/>
        </w:rPr>
        <w:t>an invasive mFFR (</w:t>
      </w:r>
      <w:r>
        <w:rPr>
          <w:rFonts w:ascii="Arial" w:hAnsi="Arial" w:cs="Arial"/>
        </w:rPr>
        <w:t>£586</w:t>
      </w:r>
      <w:r w:rsidR="00356606">
        <w:rPr>
          <w:rFonts w:ascii="Arial" w:hAnsi="Arial" w:cs="Arial"/>
        </w:rPr>
        <w:t>)</w:t>
      </w:r>
      <w:r>
        <w:rPr>
          <w:rFonts w:ascii="Arial" w:hAnsi="Arial" w:cs="Arial"/>
        </w:rPr>
        <w:t>.</w:t>
      </w:r>
      <w:r w:rsidR="00356606">
        <w:rPr>
          <w:rFonts w:ascii="Arial" w:hAnsi="Arial" w:cs="Arial"/>
        </w:rPr>
        <w:t xml:space="preserve"> </w:t>
      </w:r>
      <w:r w:rsidR="008F6161">
        <w:rPr>
          <w:rFonts w:ascii="Arial" w:hAnsi="Arial" w:cs="Arial"/>
        </w:rPr>
        <w:t xml:space="preserve">The virtual annual MACE risk could be reduced by 0.015%. </w:t>
      </w:r>
      <w:r w:rsidR="00356606">
        <w:rPr>
          <w:rFonts w:ascii="Arial" w:hAnsi="Arial" w:cs="Arial"/>
          <w:color w:val="2A2A2A"/>
          <w:shd w:val="clear" w:color="auto" w:fill="FFFFFF"/>
          <w14:ligatures w14:val="none"/>
        </w:rPr>
        <w:t>Although</w:t>
      </w:r>
      <w:r w:rsidRPr="004252F2">
        <w:rPr>
          <w:rFonts w:ascii="Arial" w:hAnsi="Arial" w:cs="Arial"/>
          <w:color w:val="2A2A2A"/>
          <w:shd w:val="clear" w:color="auto" w:fill="FFFFFF"/>
          <w14:ligatures w14:val="none"/>
        </w:rPr>
        <w:t xml:space="preserve">, the </w:t>
      </w:r>
      <w:r w:rsidR="00356606">
        <w:rPr>
          <w:rFonts w:ascii="Arial" w:hAnsi="Arial" w:cs="Arial"/>
          <w:color w:val="2A2A2A"/>
          <w:shd w:val="clear" w:color="auto" w:fill="FFFFFF"/>
          <w14:ligatures w14:val="none"/>
        </w:rPr>
        <w:t xml:space="preserve">neurological </w:t>
      </w:r>
      <w:r w:rsidR="00356606">
        <w:rPr>
          <w:rFonts w:ascii="Arial" w:hAnsi="Arial" w:cs="Arial"/>
          <w:color w:val="2A2A2A"/>
          <w:shd w:val="clear" w:color="auto" w:fill="FFFFFF"/>
          <w14:ligatures w14:val="none"/>
        </w:rPr>
        <w:lastRenderedPageBreak/>
        <w:t>features resolved fully</w:t>
      </w:r>
      <w:r w:rsidRPr="004252F2">
        <w:rPr>
          <w:rFonts w:ascii="Arial" w:hAnsi="Arial" w:cs="Arial"/>
          <w:color w:val="2A2A2A"/>
          <w:shd w:val="clear" w:color="auto" w:fill="FFFFFF"/>
          <w14:ligatures w14:val="none"/>
        </w:rPr>
        <w:t>, but a full-blown ischaemic stroke could have had a detrimental impact on</w:t>
      </w:r>
      <w:r>
        <w:rPr>
          <w:rFonts w:ascii="Arial" w:hAnsi="Arial" w:cs="Arial"/>
          <w:color w:val="2A2A2A"/>
          <w:shd w:val="clear" w:color="auto" w:fill="FFFFFF"/>
          <w14:ligatures w14:val="none"/>
        </w:rPr>
        <w:t xml:space="preserve"> QOL</w:t>
      </w:r>
      <w:r w:rsidR="00356606">
        <w:rPr>
          <w:rFonts w:ascii="Arial" w:hAnsi="Arial" w:cs="Arial"/>
          <w:color w:val="2A2A2A"/>
          <w:shd w:val="clear" w:color="auto" w:fill="FFFFFF"/>
          <w14:ligatures w14:val="none"/>
        </w:rPr>
        <w:t xml:space="preserve"> and costs</w:t>
      </w:r>
      <w:r w:rsidR="00663922">
        <w:rPr>
          <w:rFonts w:ascii="Arial" w:hAnsi="Arial" w:cs="Arial"/>
          <w:color w:val="2A2A2A"/>
          <w:shd w:val="clear" w:color="auto" w:fill="FFFFFF"/>
          <w14:ligatures w14:val="none"/>
        </w:rPr>
        <w:t>.</w:t>
      </w:r>
    </w:p>
    <w:p w14:paraId="0E65EF5B" w14:textId="77777777" w:rsidR="00A93C75" w:rsidRDefault="00A93C75" w:rsidP="00A93C75">
      <w:pPr>
        <w:spacing w:line="360" w:lineRule="auto"/>
        <w:jc w:val="both"/>
        <w:rPr>
          <w:rFonts w:ascii="Arial" w:hAnsi="Arial" w:cs="Arial"/>
          <w:sz w:val="24"/>
          <w:szCs w:val="24"/>
        </w:rPr>
      </w:pPr>
    </w:p>
    <w:p w14:paraId="779C1EBE" w14:textId="77777777" w:rsidR="00A93C75" w:rsidRDefault="00A93C75" w:rsidP="00A93C75">
      <w:pPr>
        <w:keepNext/>
        <w:spacing w:line="360" w:lineRule="auto"/>
        <w:jc w:val="both"/>
      </w:pPr>
      <w:r>
        <w:rPr>
          <w:rFonts w:ascii="Arial" w:hAnsi="Arial" w:cs="Arial"/>
          <w:noProof/>
          <w:sz w:val="24"/>
          <w:szCs w:val="24"/>
          <w:lang w:eastAsia="en-GB"/>
        </w:rPr>
        <w:drawing>
          <wp:inline distT="0" distB="0" distL="0" distR="0" wp14:anchorId="2581DCFB" wp14:editId="516239D3">
            <wp:extent cx="5893843" cy="5672455"/>
            <wp:effectExtent l="19050" t="19050" r="12065" b="23495"/>
            <wp:docPr id="1287442241" name="Picture 5" descr="A close-up of a scan of a human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42241" name="Picture 5" descr="A close-up of a scan of a human body"/>
                    <pic:cNvPicPr/>
                  </pic:nvPicPr>
                  <pic:blipFill rotWithShape="1">
                    <a:blip r:embed="rId36" cstate="print">
                      <a:extLst>
                        <a:ext uri="{28A0092B-C50C-407E-A947-70E740481C1C}">
                          <a14:useLocalDpi xmlns:a14="http://schemas.microsoft.com/office/drawing/2010/main" val="0"/>
                        </a:ext>
                      </a:extLst>
                    </a:blip>
                    <a:srcRect l="11867" t="2637" r="17321"/>
                    <a:stretch/>
                  </pic:blipFill>
                  <pic:spPr bwMode="auto">
                    <a:xfrm>
                      <a:off x="0" y="0"/>
                      <a:ext cx="5907747" cy="56858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545111" w14:textId="304905BC" w:rsidR="00A93C75" w:rsidRDefault="00A93C75" w:rsidP="00A93C75">
      <w:pPr>
        <w:pStyle w:val="Caption"/>
        <w:jc w:val="both"/>
        <w:rPr>
          <w:rFonts w:ascii="Arial" w:hAnsi="Arial" w:cs="Arial"/>
          <w:color w:val="auto"/>
          <w:sz w:val="20"/>
          <w:szCs w:val="20"/>
        </w:rPr>
      </w:pPr>
      <w:bookmarkStart w:id="639" w:name="_Toc159318538"/>
      <w:bookmarkStart w:id="640" w:name="_Toc159612065"/>
      <w:bookmarkStart w:id="641" w:name="_Toc160982703"/>
      <w:bookmarkStart w:id="642" w:name="_Toc164697529"/>
      <w:bookmarkStart w:id="643" w:name="_Toc170744579"/>
      <w:bookmarkStart w:id="644" w:name="_Toc196153211"/>
      <w:r w:rsidRPr="00527494">
        <w:rPr>
          <w:rFonts w:ascii="Arial" w:hAnsi="Arial" w:cs="Arial"/>
          <w:b/>
          <w:bCs/>
          <w:color w:val="auto"/>
          <w:sz w:val="20"/>
          <w:szCs w:val="20"/>
        </w:rPr>
        <w:t xml:space="preserve">Figure </w:t>
      </w:r>
      <w:r w:rsidRPr="00527494">
        <w:rPr>
          <w:rFonts w:ascii="Arial" w:hAnsi="Arial" w:cs="Arial"/>
          <w:b/>
          <w:bCs/>
          <w:color w:val="auto"/>
          <w:sz w:val="20"/>
          <w:szCs w:val="20"/>
        </w:rPr>
        <w:fldChar w:fldCharType="begin"/>
      </w:r>
      <w:r w:rsidRPr="00527494">
        <w:rPr>
          <w:rFonts w:ascii="Arial" w:hAnsi="Arial" w:cs="Arial"/>
          <w:b/>
          <w:bCs/>
          <w:color w:val="auto"/>
          <w:sz w:val="20"/>
          <w:szCs w:val="20"/>
        </w:rPr>
        <w:instrText xml:space="preserve"> SEQ Figure \* ARABIC </w:instrText>
      </w:r>
      <w:r w:rsidRPr="00527494">
        <w:rPr>
          <w:rFonts w:ascii="Arial" w:hAnsi="Arial" w:cs="Arial"/>
          <w:b/>
          <w:bCs/>
          <w:color w:val="auto"/>
          <w:sz w:val="20"/>
          <w:szCs w:val="20"/>
        </w:rPr>
        <w:fldChar w:fldCharType="separate"/>
      </w:r>
      <w:r w:rsidR="001823B4">
        <w:rPr>
          <w:rFonts w:ascii="Arial" w:hAnsi="Arial" w:cs="Arial"/>
          <w:b/>
          <w:bCs/>
          <w:noProof/>
          <w:color w:val="auto"/>
          <w:sz w:val="20"/>
          <w:szCs w:val="20"/>
        </w:rPr>
        <w:t>19</w:t>
      </w:r>
      <w:r w:rsidRPr="00527494">
        <w:rPr>
          <w:rFonts w:ascii="Arial" w:hAnsi="Arial" w:cs="Arial"/>
          <w:b/>
          <w:bCs/>
          <w:color w:val="auto"/>
          <w:sz w:val="20"/>
          <w:szCs w:val="20"/>
        </w:rPr>
        <w:fldChar w:fldCharType="end"/>
      </w:r>
      <w:r w:rsidRPr="00527494">
        <w:rPr>
          <w:rFonts w:ascii="Arial" w:hAnsi="Arial" w:cs="Arial"/>
          <w:b/>
          <w:bCs/>
          <w:color w:val="auto"/>
          <w:sz w:val="20"/>
          <w:szCs w:val="20"/>
        </w:rPr>
        <w:t>:</w:t>
      </w:r>
      <w:r w:rsidRPr="00527494">
        <w:rPr>
          <w:rFonts w:ascii="Arial" w:hAnsi="Arial" w:cs="Arial"/>
          <w:color w:val="auto"/>
          <w:sz w:val="20"/>
          <w:szCs w:val="20"/>
        </w:rPr>
        <w:t xml:space="preserve"> Example 3 - Virtual change of plan from culprit-vessel PCI + additional vessel mFFR to culprit-vessel PCI only. A - Very tight lesion in the posterior descending artery (PDA) as the likely culprit (marked with arrow). B – Moderately stenotic lesion in the mid-LAD (marked with arrow), C – vFFR model of LAD demonstrating physiologically non-significant lesion (vFFR=0.83) which could have prevented an adverse event by avoiding unnecessary instrumentation with invasive mFFR.</w:t>
      </w:r>
      <w:bookmarkEnd w:id="639"/>
      <w:bookmarkEnd w:id="640"/>
      <w:bookmarkEnd w:id="641"/>
      <w:bookmarkEnd w:id="642"/>
      <w:bookmarkEnd w:id="643"/>
      <w:r w:rsidR="00632552">
        <w:rPr>
          <w:rFonts w:ascii="Arial" w:hAnsi="Arial" w:cs="Arial"/>
          <w:color w:val="auto"/>
          <w:sz w:val="20"/>
          <w:szCs w:val="20"/>
        </w:rPr>
        <w:t xml:space="preserve"> (</w:t>
      </w:r>
      <w:r w:rsidR="00632552">
        <w:rPr>
          <w:color w:val="auto"/>
          <w:sz w:val="20"/>
          <w:szCs w:val="20"/>
        </w:rPr>
        <w:t>vFFR image – courtesy of Dr H Haley).</w:t>
      </w:r>
      <w:bookmarkEnd w:id="644"/>
    </w:p>
    <w:p w14:paraId="2CB6BE56" w14:textId="77777777" w:rsidR="00A93C75" w:rsidRDefault="00A93C75" w:rsidP="00A93C75"/>
    <w:p w14:paraId="0480AA60" w14:textId="77777777" w:rsidR="006E57D1" w:rsidRDefault="001B0788" w:rsidP="006E57D1">
      <w:pPr>
        <w:keepNext/>
      </w:pPr>
      <w:r>
        <w:rPr>
          <w:noProof/>
          <w:lang w:eastAsia="en-GB"/>
        </w:rPr>
        <w:lastRenderedPageBreak/>
        <w:drawing>
          <wp:inline distT="0" distB="0" distL="0" distR="0" wp14:anchorId="7B32A306" wp14:editId="6C9D4741">
            <wp:extent cx="5932170" cy="4167505"/>
            <wp:effectExtent l="19050" t="19050" r="11430" b="23495"/>
            <wp:docPr id="2125794331" name="Picture 12" descr="A diagram of a business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94331" name="Picture 12" descr="A diagram of a business plan"/>
                    <pic:cNvPicPr/>
                  </pic:nvPicPr>
                  <pic:blipFill rotWithShape="1">
                    <a:blip r:embed="rId37" cstate="print">
                      <a:extLst>
                        <a:ext uri="{28A0092B-C50C-407E-A947-70E740481C1C}">
                          <a14:useLocalDpi xmlns:a14="http://schemas.microsoft.com/office/drawing/2010/main" val="0"/>
                        </a:ext>
                      </a:extLst>
                    </a:blip>
                    <a:srcRect r="2321" b="1425"/>
                    <a:stretch/>
                  </pic:blipFill>
                  <pic:spPr bwMode="auto">
                    <a:xfrm>
                      <a:off x="0" y="0"/>
                      <a:ext cx="5936578" cy="417060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3FED11" w14:textId="5EE9B567" w:rsidR="00863049" w:rsidRPr="00E36A10" w:rsidRDefault="006E57D1" w:rsidP="00863049">
      <w:pPr>
        <w:pStyle w:val="Caption"/>
        <w:jc w:val="both"/>
        <w:rPr>
          <w:rFonts w:ascii="Arial" w:hAnsi="Arial" w:cs="Arial"/>
          <w:color w:val="auto"/>
          <w:sz w:val="20"/>
          <w:szCs w:val="20"/>
        </w:rPr>
      </w:pPr>
      <w:bookmarkStart w:id="645" w:name="_Toc170744580"/>
      <w:bookmarkStart w:id="646" w:name="_Toc196153212"/>
      <w:r w:rsidRPr="00E36A10">
        <w:rPr>
          <w:rFonts w:ascii="Arial" w:hAnsi="Arial" w:cs="Arial"/>
          <w:b/>
          <w:bCs/>
          <w:color w:val="auto"/>
          <w:sz w:val="20"/>
          <w:szCs w:val="20"/>
        </w:rPr>
        <w:t xml:space="preserve">Figure </w:t>
      </w:r>
      <w:r w:rsidRPr="00E36A10">
        <w:rPr>
          <w:rFonts w:ascii="Arial" w:hAnsi="Arial" w:cs="Arial"/>
          <w:b/>
          <w:bCs/>
          <w:color w:val="auto"/>
          <w:sz w:val="20"/>
          <w:szCs w:val="20"/>
        </w:rPr>
        <w:fldChar w:fldCharType="begin"/>
      </w:r>
      <w:r w:rsidRPr="00E36A10">
        <w:rPr>
          <w:rFonts w:ascii="Arial" w:hAnsi="Arial" w:cs="Arial"/>
          <w:b/>
          <w:bCs/>
          <w:color w:val="auto"/>
          <w:sz w:val="20"/>
          <w:szCs w:val="20"/>
        </w:rPr>
        <w:instrText xml:space="preserve"> SEQ Figure \* ARABIC </w:instrText>
      </w:r>
      <w:r w:rsidRPr="00E36A10">
        <w:rPr>
          <w:rFonts w:ascii="Arial" w:hAnsi="Arial" w:cs="Arial"/>
          <w:b/>
          <w:bCs/>
          <w:color w:val="auto"/>
          <w:sz w:val="20"/>
          <w:szCs w:val="20"/>
        </w:rPr>
        <w:fldChar w:fldCharType="separate"/>
      </w:r>
      <w:r w:rsidR="001823B4">
        <w:rPr>
          <w:rFonts w:ascii="Arial" w:hAnsi="Arial" w:cs="Arial"/>
          <w:b/>
          <w:bCs/>
          <w:noProof/>
          <w:color w:val="auto"/>
          <w:sz w:val="20"/>
          <w:szCs w:val="20"/>
        </w:rPr>
        <w:t>20</w:t>
      </w:r>
      <w:r w:rsidRPr="00E36A10">
        <w:rPr>
          <w:rFonts w:ascii="Arial" w:hAnsi="Arial" w:cs="Arial"/>
          <w:b/>
          <w:bCs/>
          <w:color w:val="auto"/>
          <w:sz w:val="20"/>
          <w:szCs w:val="20"/>
        </w:rPr>
        <w:fldChar w:fldCharType="end"/>
      </w:r>
      <w:r w:rsidRPr="00E36A10">
        <w:rPr>
          <w:rFonts w:ascii="Arial" w:hAnsi="Arial" w:cs="Arial"/>
          <w:b/>
          <w:bCs/>
          <w:color w:val="auto"/>
          <w:sz w:val="20"/>
          <w:szCs w:val="20"/>
        </w:rPr>
        <w:t>:</w:t>
      </w:r>
      <w:r w:rsidRPr="00E36A10">
        <w:rPr>
          <w:rFonts w:ascii="Arial" w:hAnsi="Arial" w:cs="Arial"/>
          <w:color w:val="auto"/>
          <w:sz w:val="20"/>
          <w:szCs w:val="20"/>
        </w:rPr>
        <w:t xml:space="preserve"> </w:t>
      </w:r>
      <w:r w:rsidR="00863049" w:rsidRPr="00E36A10">
        <w:rPr>
          <w:rFonts w:ascii="Arial" w:hAnsi="Arial" w:cs="Arial"/>
          <w:color w:val="auto"/>
          <w:sz w:val="20"/>
          <w:szCs w:val="20"/>
        </w:rPr>
        <w:t xml:space="preserve">MDT flowsheet for </w:t>
      </w:r>
      <w:r w:rsidRPr="00E36A10">
        <w:rPr>
          <w:rFonts w:ascii="Arial" w:hAnsi="Arial" w:cs="Arial"/>
          <w:color w:val="auto"/>
          <w:sz w:val="20"/>
          <w:szCs w:val="20"/>
        </w:rPr>
        <w:t xml:space="preserve">Example 3 </w:t>
      </w:r>
      <w:r w:rsidR="00863049" w:rsidRPr="00E36A10">
        <w:rPr>
          <w:rFonts w:ascii="Arial" w:hAnsi="Arial" w:cs="Arial"/>
          <w:color w:val="auto"/>
          <w:sz w:val="20"/>
          <w:szCs w:val="20"/>
        </w:rPr>
        <w:t xml:space="preserve">– </w:t>
      </w:r>
      <w:r w:rsidR="00BF2891" w:rsidRPr="00E36A10">
        <w:rPr>
          <w:rFonts w:ascii="Arial" w:hAnsi="Arial" w:cs="Arial"/>
          <w:color w:val="auto"/>
          <w:sz w:val="20"/>
          <w:szCs w:val="20"/>
        </w:rPr>
        <w:t>‘</w:t>
      </w:r>
      <w:r w:rsidR="00863049" w:rsidRPr="00E36A10">
        <w:rPr>
          <w:rFonts w:ascii="Arial" w:hAnsi="Arial" w:cs="Arial"/>
          <w:color w:val="auto"/>
          <w:sz w:val="20"/>
          <w:szCs w:val="20"/>
        </w:rPr>
        <w:t>An avoidable peri-procedural TIA</w:t>
      </w:r>
      <w:r w:rsidR="00BF2891" w:rsidRPr="00E36A10">
        <w:rPr>
          <w:rFonts w:ascii="Arial" w:hAnsi="Arial" w:cs="Arial"/>
          <w:color w:val="auto"/>
          <w:sz w:val="20"/>
          <w:szCs w:val="20"/>
        </w:rPr>
        <w:t>’</w:t>
      </w:r>
      <w:r w:rsidR="00863049" w:rsidRPr="00E36A10">
        <w:rPr>
          <w:rFonts w:ascii="Arial" w:hAnsi="Arial" w:cs="Arial"/>
          <w:color w:val="auto"/>
          <w:sz w:val="20"/>
          <w:szCs w:val="20"/>
        </w:rPr>
        <w:t xml:space="preserve"> showing the impact of vFFR on the virtual clinical and economic outcomes.</w:t>
      </w:r>
      <w:bookmarkEnd w:id="645"/>
      <w:bookmarkEnd w:id="646"/>
    </w:p>
    <w:p w14:paraId="471A20BB" w14:textId="77777777" w:rsidR="001B0788" w:rsidRDefault="001B0788" w:rsidP="00A93C75">
      <w:pPr>
        <w:spacing w:line="360" w:lineRule="auto"/>
        <w:jc w:val="both"/>
        <w:rPr>
          <w:rFonts w:ascii="Arial" w:hAnsi="Arial" w:cs="Arial"/>
          <w:color w:val="4472C4" w:themeColor="accent1"/>
          <w:sz w:val="24"/>
          <w:szCs w:val="24"/>
        </w:rPr>
      </w:pPr>
    </w:p>
    <w:p w14:paraId="0B3C0532" w14:textId="26668C1E" w:rsidR="00A93C75" w:rsidRPr="00535EB8" w:rsidRDefault="00A93C75" w:rsidP="00A93C75">
      <w:pPr>
        <w:spacing w:line="360" w:lineRule="auto"/>
        <w:jc w:val="both"/>
        <w:rPr>
          <w:rFonts w:ascii="Arial" w:hAnsi="Arial" w:cs="Arial"/>
          <w:color w:val="4472C4" w:themeColor="accent1"/>
          <w:sz w:val="24"/>
          <w:szCs w:val="24"/>
        </w:rPr>
      </w:pPr>
      <w:r>
        <w:rPr>
          <w:rFonts w:ascii="Arial" w:hAnsi="Arial" w:cs="Arial"/>
          <w:color w:val="4472C4" w:themeColor="accent1"/>
          <w:sz w:val="24"/>
          <w:szCs w:val="24"/>
        </w:rPr>
        <w:t xml:space="preserve">Example 4 - </w:t>
      </w:r>
      <w:r w:rsidRPr="00535EB8">
        <w:rPr>
          <w:rFonts w:ascii="Arial" w:hAnsi="Arial" w:cs="Arial"/>
          <w:color w:val="4472C4" w:themeColor="accent1"/>
          <w:sz w:val="24"/>
          <w:szCs w:val="24"/>
        </w:rPr>
        <w:t xml:space="preserve">A tale of diffuse disease </w:t>
      </w:r>
    </w:p>
    <w:p w14:paraId="4D97DEFE" w14:textId="738990D2" w:rsidR="00A93C75" w:rsidRDefault="00A93C75" w:rsidP="00A93C75">
      <w:pPr>
        <w:spacing w:line="360" w:lineRule="auto"/>
        <w:jc w:val="both"/>
        <w:rPr>
          <w:rFonts w:ascii="Arial" w:hAnsi="Arial" w:cs="Arial"/>
          <w:sz w:val="24"/>
          <w:szCs w:val="24"/>
        </w:rPr>
      </w:pPr>
      <w:r>
        <w:rPr>
          <w:rFonts w:ascii="Arial" w:hAnsi="Arial" w:cs="Arial"/>
          <w:sz w:val="24"/>
          <w:szCs w:val="24"/>
        </w:rPr>
        <w:t>A 76-year female with prior history of treated hypertension and smoking presented with ACS. CAG showed a culprit tight lesion in the PDA and diffused disease in LAD from mid to distal segment. Pre-vFFR plan was to perform PCI to PDA lesion and medical treatment of LAD. vFFR demonstrat</w:t>
      </w:r>
      <w:r w:rsidR="00FC6D1E">
        <w:rPr>
          <w:rFonts w:ascii="Arial" w:hAnsi="Arial" w:cs="Arial"/>
          <w:sz w:val="24"/>
          <w:szCs w:val="24"/>
        </w:rPr>
        <w:t>ed</w:t>
      </w:r>
      <w:r>
        <w:rPr>
          <w:rFonts w:ascii="Arial" w:hAnsi="Arial" w:cs="Arial"/>
          <w:sz w:val="24"/>
          <w:szCs w:val="24"/>
        </w:rPr>
        <w:t xml:space="preserve"> a positive result (0.74)</w:t>
      </w:r>
      <w:r w:rsidR="00FC6D1E">
        <w:rPr>
          <w:rFonts w:ascii="Arial" w:hAnsi="Arial" w:cs="Arial"/>
          <w:sz w:val="24"/>
          <w:szCs w:val="24"/>
        </w:rPr>
        <w:t xml:space="preserve"> and therefore, plan was switched to two vessel PCI. However, </w:t>
      </w:r>
      <w:r w:rsidR="001B0788">
        <w:rPr>
          <w:rFonts w:ascii="Arial" w:hAnsi="Arial" w:cs="Arial"/>
          <w:sz w:val="24"/>
          <w:szCs w:val="24"/>
        </w:rPr>
        <w:t>it’s</w:t>
      </w:r>
      <w:r w:rsidR="00FC6D1E">
        <w:rPr>
          <w:rFonts w:ascii="Arial" w:hAnsi="Arial" w:cs="Arial"/>
          <w:sz w:val="24"/>
          <w:szCs w:val="24"/>
        </w:rPr>
        <w:t xml:space="preserve"> important to mention that it showed a</w:t>
      </w:r>
      <w:r>
        <w:rPr>
          <w:rFonts w:ascii="Arial" w:hAnsi="Arial" w:cs="Arial"/>
          <w:sz w:val="24"/>
          <w:szCs w:val="24"/>
        </w:rPr>
        <w:t xml:space="preserve"> diffused distal ischaemia in LAD. </w:t>
      </w:r>
      <w:r w:rsidR="008F6161" w:rsidRPr="00772101">
        <w:rPr>
          <w:rFonts w:ascii="Arial" w:hAnsi="Arial" w:cs="Arial"/>
          <w:color w:val="212121"/>
          <w:sz w:val="24"/>
          <w:szCs w:val="24"/>
          <w:shd w:val="clear" w:color="auto" w:fill="FFFFFF"/>
        </w:rPr>
        <w:t xml:space="preserve">This case exemplifies that although vFFR is a valuable tool for CAD treatment planning, the results must still be weighed in a broader clinical judgment in order to avoid being drawn into overzealous </w:t>
      </w:r>
      <w:r w:rsidR="008F6161">
        <w:rPr>
          <w:rFonts w:ascii="Arial" w:hAnsi="Arial" w:cs="Arial"/>
          <w:color w:val="212121"/>
          <w:sz w:val="24"/>
          <w:szCs w:val="24"/>
          <w:shd w:val="clear" w:color="auto" w:fill="FFFFFF"/>
        </w:rPr>
        <w:t>invasive treatment</w:t>
      </w:r>
      <w:r w:rsidR="008F6161" w:rsidRPr="00772101">
        <w:rPr>
          <w:rFonts w:ascii="Arial" w:hAnsi="Arial" w:cs="Arial"/>
          <w:color w:val="212121"/>
          <w:sz w:val="24"/>
          <w:szCs w:val="24"/>
          <w:shd w:val="clear" w:color="auto" w:fill="FFFFFF"/>
        </w:rPr>
        <w:t xml:space="preserve"> with positive </w:t>
      </w:r>
      <w:r w:rsidR="008F6161">
        <w:rPr>
          <w:rFonts w:ascii="Arial" w:hAnsi="Arial" w:cs="Arial"/>
          <w:color w:val="212121"/>
          <w:sz w:val="24"/>
          <w:szCs w:val="24"/>
          <w:shd w:val="clear" w:color="auto" w:fill="FFFFFF"/>
        </w:rPr>
        <w:t xml:space="preserve">vFFR </w:t>
      </w:r>
      <w:r w:rsidR="008F6161" w:rsidRPr="00772101">
        <w:rPr>
          <w:rFonts w:ascii="Arial" w:hAnsi="Arial" w:cs="Arial"/>
          <w:color w:val="212121"/>
          <w:sz w:val="24"/>
          <w:szCs w:val="24"/>
          <w:shd w:val="clear" w:color="auto" w:fill="FFFFFF"/>
        </w:rPr>
        <w:t>results that may be detrimental to the patients.</w:t>
      </w:r>
      <w:r w:rsidR="008F6161">
        <w:rPr>
          <w:rFonts w:ascii="Arial" w:hAnsi="Arial" w:cs="Arial"/>
          <w:color w:val="212121"/>
          <w:sz w:val="24"/>
          <w:szCs w:val="24"/>
          <w:shd w:val="clear" w:color="auto" w:fill="FFFFFF"/>
        </w:rPr>
        <w:t xml:space="preserve"> </w:t>
      </w:r>
      <w:r>
        <w:rPr>
          <w:rFonts w:ascii="Arial" w:hAnsi="Arial" w:cs="Arial"/>
          <w:sz w:val="24"/>
          <w:szCs w:val="24"/>
        </w:rPr>
        <w:t xml:space="preserve">Following vFFR plan in this scenario </w:t>
      </w:r>
      <w:r w:rsidR="00EF0602">
        <w:rPr>
          <w:rFonts w:ascii="Arial" w:hAnsi="Arial" w:cs="Arial"/>
          <w:sz w:val="24"/>
          <w:szCs w:val="24"/>
        </w:rPr>
        <w:t>could have</w:t>
      </w:r>
      <w:r>
        <w:rPr>
          <w:rFonts w:ascii="Arial" w:hAnsi="Arial" w:cs="Arial"/>
          <w:sz w:val="24"/>
          <w:szCs w:val="24"/>
        </w:rPr>
        <w:t xml:space="preserve"> expose</w:t>
      </w:r>
      <w:r w:rsidR="00EF0602">
        <w:rPr>
          <w:rFonts w:ascii="Arial" w:hAnsi="Arial" w:cs="Arial"/>
          <w:sz w:val="24"/>
          <w:szCs w:val="24"/>
        </w:rPr>
        <w:t>d</w:t>
      </w:r>
      <w:r>
        <w:rPr>
          <w:rFonts w:ascii="Arial" w:hAnsi="Arial" w:cs="Arial"/>
          <w:sz w:val="24"/>
          <w:szCs w:val="24"/>
        </w:rPr>
        <w:t xml:space="preserve"> patient to an additional 0.5% MACE risk from PCI, additional cost of £420, and could have resulted in reduction in QOL scores by</w:t>
      </w:r>
      <w:r w:rsidRPr="00B75A6E">
        <w:rPr>
          <w:rFonts w:ascii="Arial" w:hAnsi="Arial" w:cs="Arial"/>
          <w:color w:val="2A2A2A"/>
          <w:sz w:val="24"/>
          <w:szCs w:val="24"/>
          <w:shd w:val="clear" w:color="auto" w:fill="FFFFFF"/>
        </w:rPr>
        <w:t xml:space="preserve"> </w:t>
      </w:r>
      <w:r w:rsidR="008F6161">
        <w:rPr>
          <w:rFonts w:ascii="Arial" w:hAnsi="Arial" w:cs="Arial"/>
          <w:color w:val="2A2A2A"/>
          <w:sz w:val="24"/>
          <w:szCs w:val="24"/>
          <w:shd w:val="clear" w:color="auto" w:fill="FFFFFF"/>
        </w:rPr>
        <w:t>3</w:t>
      </w:r>
      <w:r w:rsidR="008F6161" w:rsidRPr="00B75A6E">
        <w:rPr>
          <w:rFonts w:ascii="Arial" w:hAnsi="Arial" w:cs="Arial"/>
          <w:color w:val="2A2A2A"/>
          <w:sz w:val="24"/>
          <w:szCs w:val="24"/>
          <w:shd w:val="clear" w:color="auto" w:fill="FFFFFF"/>
        </w:rPr>
        <w:t xml:space="preserve"> ± 1</w:t>
      </w:r>
      <w:r w:rsidR="008F6161">
        <w:rPr>
          <w:rFonts w:ascii="Arial" w:hAnsi="Arial" w:cs="Arial"/>
          <w:color w:val="2A2A2A"/>
          <w:sz w:val="24"/>
          <w:szCs w:val="24"/>
          <w:shd w:val="clear" w:color="auto" w:fill="FFFFFF"/>
        </w:rPr>
        <w:t xml:space="preserve"> (EQ-VAS)</w:t>
      </w:r>
      <w:r w:rsidR="008F6161" w:rsidRPr="00B75A6E">
        <w:rPr>
          <w:rFonts w:ascii="Arial" w:hAnsi="Arial" w:cs="Arial"/>
          <w:color w:val="2A2A2A"/>
          <w:sz w:val="24"/>
          <w:szCs w:val="24"/>
          <w:shd w:val="clear" w:color="auto" w:fill="FFFFFF"/>
        </w:rPr>
        <w:t xml:space="preserve"> and 0.</w:t>
      </w:r>
      <w:r w:rsidR="008F6161">
        <w:rPr>
          <w:rFonts w:ascii="Arial" w:hAnsi="Arial" w:cs="Arial"/>
          <w:color w:val="2A2A2A"/>
          <w:sz w:val="24"/>
          <w:szCs w:val="24"/>
          <w:shd w:val="clear" w:color="auto" w:fill="FFFFFF"/>
        </w:rPr>
        <w:t>1</w:t>
      </w:r>
      <w:r w:rsidR="008F6161" w:rsidRPr="00B75A6E">
        <w:rPr>
          <w:rFonts w:ascii="Arial" w:hAnsi="Arial" w:cs="Arial"/>
          <w:color w:val="2A2A2A"/>
          <w:sz w:val="24"/>
          <w:szCs w:val="24"/>
          <w:shd w:val="clear" w:color="auto" w:fill="FFFFFF"/>
        </w:rPr>
        <w:t xml:space="preserve"> ± 0.0</w:t>
      </w:r>
      <w:r w:rsidR="008F6161">
        <w:rPr>
          <w:rFonts w:ascii="Arial" w:hAnsi="Arial" w:cs="Arial"/>
          <w:color w:val="2A2A2A"/>
          <w:sz w:val="24"/>
          <w:szCs w:val="24"/>
          <w:shd w:val="clear" w:color="auto" w:fill="FFFFFF"/>
        </w:rPr>
        <w:t>1 (EQ-indexed).</w:t>
      </w:r>
    </w:p>
    <w:p w14:paraId="5652876B" w14:textId="77777777" w:rsidR="00A93C75" w:rsidRDefault="00A93C75" w:rsidP="00A93C75">
      <w:pPr>
        <w:keepNext/>
        <w:spacing w:line="360" w:lineRule="auto"/>
        <w:jc w:val="both"/>
      </w:pPr>
      <w:r>
        <w:rPr>
          <w:rFonts w:ascii="Arial" w:hAnsi="Arial" w:cs="Arial"/>
          <w:noProof/>
          <w:sz w:val="24"/>
          <w:szCs w:val="24"/>
          <w:lang w:eastAsia="en-GB"/>
        </w:rPr>
        <w:lastRenderedPageBreak/>
        <w:drawing>
          <wp:inline distT="0" distB="0" distL="0" distR="0" wp14:anchorId="6DB70E25" wp14:editId="412E3219">
            <wp:extent cx="5955030" cy="4247515"/>
            <wp:effectExtent l="19050" t="19050" r="26670" b="19685"/>
            <wp:docPr id="1897691787" name="Picture 6" descr="A close-up of a medical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91787" name="Picture 6" descr="A close-up of a medical scan&#10;&#10;Description automatically generated"/>
                    <pic:cNvPicPr/>
                  </pic:nvPicPr>
                  <pic:blipFill rotWithShape="1">
                    <a:blip r:embed="rId38" cstate="print">
                      <a:extLst>
                        <a:ext uri="{28A0092B-C50C-407E-A947-70E740481C1C}">
                          <a14:useLocalDpi xmlns:a14="http://schemas.microsoft.com/office/drawing/2010/main" val="0"/>
                        </a:ext>
                      </a:extLst>
                    </a:blip>
                    <a:srcRect t="3039" r="7175" b="2375"/>
                    <a:stretch/>
                  </pic:blipFill>
                  <pic:spPr bwMode="auto">
                    <a:xfrm>
                      <a:off x="0" y="0"/>
                      <a:ext cx="5959361" cy="425060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220936" w14:textId="7FC67531" w:rsidR="00A93C75" w:rsidRDefault="00A93C75" w:rsidP="00A93C75">
      <w:pPr>
        <w:pStyle w:val="Caption"/>
        <w:jc w:val="both"/>
        <w:rPr>
          <w:rFonts w:ascii="Arial" w:hAnsi="Arial" w:cs="Arial"/>
          <w:color w:val="auto"/>
          <w:sz w:val="20"/>
          <w:szCs w:val="20"/>
        </w:rPr>
      </w:pPr>
      <w:bookmarkStart w:id="647" w:name="_Toc159318539"/>
      <w:bookmarkStart w:id="648" w:name="_Toc159612066"/>
      <w:bookmarkStart w:id="649" w:name="_Toc160982704"/>
      <w:bookmarkStart w:id="650" w:name="_Toc164697530"/>
      <w:bookmarkStart w:id="651" w:name="_Toc170744581"/>
      <w:bookmarkStart w:id="652" w:name="_Toc196153213"/>
      <w:r w:rsidRPr="008F6364">
        <w:rPr>
          <w:rFonts w:ascii="Arial" w:hAnsi="Arial" w:cs="Arial"/>
          <w:b/>
          <w:bCs/>
          <w:color w:val="auto"/>
          <w:sz w:val="20"/>
          <w:szCs w:val="20"/>
        </w:rPr>
        <w:t xml:space="preserve">Figure </w:t>
      </w:r>
      <w:r w:rsidRPr="008F6364">
        <w:rPr>
          <w:rFonts w:ascii="Arial" w:hAnsi="Arial" w:cs="Arial"/>
          <w:b/>
          <w:bCs/>
          <w:color w:val="auto"/>
          <w:sz w:val="20"/>
          <w:szCs w:val="20"/>
        </w:rPr>
        <w:fldChar w:fldCharType="begin"/>
      </w:r>
      <w:r w:rsidRPr="008F6364">
        <w:rPr>
          <w:rFonts w:ascii="Arial" w:hAnsi="Arial" w:cs="Arial"/>
          <w:b/>
          <w:bCs/>
          <w:color w:val="auto"/>
          <w:sz w:val="20"/>
          <w:szCs w:val="20"/>
        </w:rPr>
        <w:instrText xml:space="preserve"> SEQ Figure \* ARABIC </w:instrText>
      </w:r>
      <w:r w:rsidRPr="008F6364">
        <w:rPr>
          <w:rFonts w:ascii="Arial" w:hAnsi="Arial" w:cs="Arial"/>
          <w:b/>
          <w:bCs/>
          <w:color w:val="auto"/>
          <w:sz w:val="20"/>
          <w:szCs w:val="20"/>
        </w:rPr>
        <w:fldChar w:fldCharType="separate"/>
      </w:r>
      <w:r w:rsidR="001823B4">
        <w:rPr>
          <w:rFonts w:ascii="Arial" w:hAnsi="Arial" w:cs="Arial"/>
          <w:b/>
          <w:bCs/>
          <w:noProof/>
          <w:color w:val="auto"/>
          <w:sz w:val="20"/>
          <w:szCs w:val="20"/>
        </w:rPr>
        <w:t>21</w:t>
      </w:r>
      <w:r w:rsidRPr="008F6364">
        <w:rPr>
          <w:rFonts w:ascii="Arial" w:hAnsi="Arial" w:cs="Arial"/>
          <w:b/>
          <w:bCs/>
          <w:color w:val="auto"/>
          <w:sz w:val="20"/>
          <w:szCs w:val="20"/>
        </w:rPr>
        <w:fldChar w:fldCharType="end"/>
      </w:r>
      <w:r w:rsidRPr="008F6364">
        <w:rPr>
          <w:rFonts w:ascii="Arial" w:hAnsi="Arial" w:cs="Arial"/>
          <w:color w:val="auto"/>
          <w:sz w:val="20"/>
          <w:szCs w:val="20"/>
        </w:rPr>
        <w:t xml:space="preserve">: Example 4 - A </w:t>
      </w:r>
      <w:r w:rsidR="00A77AB8">
        <w:rPr>
          <w:rFonts w:ascii="Arial" w:hAnsi="Arial" w:cs="Arial"/>
          <w:color w:val="auto"/>
          <w:sz w:val="20"/>
          <w:szCs w:val="20"/>
        </w:rPr>
        <w:t>tale</w:t>
      </w:r>
      <w:r w:rsidRPr="008F6364">
        <w:rPr>
          <w:rFonts w:ascii="Arial" w:hAnsi="Arial" w:cs="Arial"/>
          <w:color w:val="auto"/>
          <w:sz w:val="20"/>
          <w:szCs w:val="20"/>
        </w:rPr>
        <w:t xml:space="preserve"> of a diffuse</w:t>
      </w:r>
      <w:r>
        <w:rPr>
          <w:rFonts w:ascii="Arial" w:hAnsi="Arial" w:cs="Arial"/>
          <w:color w:val="auto"/>
          <w:sz w:val="20"/>
          <w:szCs w:val="20"/>
        </w:rPr>
        <w:t xml:space="preserve"> d</w:t>
      </w:r>
      <w:r w:rsidRPr="008F6364">
        <w:rPr>
          <w:rFonts w:ascii="Arial" w:hAnsi="Arial" w:cs="Arial"/>
          <w:color w:val="auto"/>
          <w:sz w:val="20"/>
          <w:szCs w:val="20"/>
        </w:rPr>
        <w:t>isease with positive vFFR, A - Tight lesion in PDA marked with an arrow (culprit for ACS), B - Diffused distal LAD disease (marked with arrows), C - vFFR modelling of LAD demonstrate distal LAD positive results (vFFR=074) but diffused distal disease not worth for intervention, and hence managed medically.</w:t>
      </w:r>
      <w:bookmarkEnd w:id="647"/>
      <w:bookmarkEnd w:id="648"/>
      <w:bookmarkEnd w:id="649"/>
      <w:bookmarkEnd w:id="650"/>
      <w:bookmarkEnd w:id="651"/>
      <w:r w:rsidR="00632552">
        <w:rPr>
          <w:rFonts w:ascii="Arial" w:hAnsi="Arial" w:cs="Arial"/>
          <w:color w:val="auto"/>
          <w:sz w:val="20"/>
          <w:szCs w:val="20"/>
        </w:rPr>
        <w:t xml:space="preserve"> (</w:t>
      </w:r>
      <w:r w:rsidR="00632552">
        <w:rPr>
          <w:color w:val="auto"/>
          <w:sz w:val="20"/>
          <w:szCs w:val="20"/>
        </w:rPr>
        <w:t>vFFR image – courtesy of Dr H Haley).</w:t>
      </w:r>
      <w:bookmarkEnd w:id="652"/>
    </w:p>
    <w:p w14:paraId="3DE6E9D9" w14:textId="77777777" w:rsidR="00EF0602" w:rsidRPr="00EF0602" w:rsidRDefault="00EF0602" w:rsidP="00EF0602"/>
    <w:p w14:paraId="3C4C9378" w14:textId="77777777" w:rsidR="006E57D1" w:rsidRDefault="001B0788" w:rsidP="006E57D1">
      <w:pPr>
        <w:keepNext/>
        <w:spacing w:line="360" w:lineRule="auto"/>
        <w:jc w:val="both"/>
      </w:pPr>
      <w:r>
        <w:rPr>
          <w:rFonts w:ascii="Arial" w:hAnsi="Arial" w:cs="Arial"/>
          <w:noProof/>
          <w:color w:val="4472C4" w:themeColor="accent1"/>
          <w:sz w:val="24"/>
          <w:szCs w:val="24"/>
          <w:lang w:eastAsia="en-GB"/>
        </w:rPr>
        <w:lastRenderedPageBreak/>
        <w:drawing>
          <wp:inline distT="0" distB="0" distL="0" distR="0" wp14:anchorId="29252F07" wp14:editId="5ABC1EBB">
            <wp:extent cx="5899693" cy="4240530"/>
            <wp:effectExtent l="19050" t="19050" r="25400" b="26670"/>
            <wp:docPr id="987130627" name="Picture 13" descr="A diagram of a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130627" name="Picture 13" descr="A diagram of a plan"/>
                    <pic:cNvPicPr/>
                  </pic:nvPicPr>
                  <pic:blipFill rotWithShape="1">
                    <a:blip r:embed="rId39" cstate="print">
                      <a:extLst>
                        <a:ext uri="{28A0092B-C50C-407E-A947-70E740481C1C}">
                          <a14:useLocalDpi xmlns:a14="http://schemas.microsoft.com/office/drawing/2010/main" val="0"/>
                        </a:ext>
                      </a:extLst>
                    </a:blip>
                    <a:srcRect r="2614"/>
                    <a:stretch/>
                  </pic:blipFill>
                  <pic:spPr bwMode="auto">
                    <a:xfrm>
                      <a:off x="0" y="0"/>
                      <a:ext cx="5903540" cy="42432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7811F8" w14:textId="052E9A88" w:rsidR="001B0788" w:rsidRPr="00E36A10" w:rsidRDefault="006E57D1" w:rsidP="006E57D1">
      <w:pPr>
        <w:pStyle w:val="Caption"/>
        <w:jc w:val="both"/>
        <w:rPr>
          <w:rFonts w:ascii="Arial" w:hAnsi="Arial" w:cs="Arial"/>
          <w:color w:val="auto"/>
          <w:sz w:val="20"/>
          <w:szCs w:val="20"/>
        </w:rPr>
      </w:pPr>
      <w:bookmarkStart w:id="653" w:name="_Toc170744582"/>
      <w:bookmarkStart w:id="654" w:name="_Toc196153214"/>
      <w:r w:rsidRPr="00E36A10">
        <w:rPr>
          <w:rFonts w:ascii="Arial" w:hAnsi="Arial" w:cs="Arial"/>
          <w:b/>
          <w:bCs/>
          <w:color w:val="auto"/>
          <w:sz w:val="20"/>
          <w:szCs w:val="20"/>
        </w:rPr>
        <w:t xml:space="preserve">Figure </w:t>
      </w:r>
      <w:r w:rsidRPr="00E36A10">
        <w:rPr>
          <w:rFonts w:ascii="Arial" w:hAnsi="Arial" w:cs="Arial"/>
          <w:b/>
          <w:bCs/>
          <w:color w:val="auto"/>
          <w:sz w:val="20"/>
          <w:szCs w:val="20"/>
        </w:rPr>
        <w:fldChar w:fldCharType="begin"/>
      </w:r>
      <w:r w:rsidRPr="00E36A10">
        <w:rPr>
          <w:rFonts w:ascii="Arial" w:hAnsi="Arial" w:cs="Arial"/>
          <w:b/>
          <w:bCs/>
          <w:color w:val="auto"/>
          <w:sz w:val="20"/>
          <w:szCs w:val="20"/>
        </w:rPr>
        <w:instrText xml:space="preserve"> SEQ Figure \* ARABIC </w:instrText>
      </w:r>
      <w:r w:rsidRPr="00E36A10">
        <w:rPr>
          <w:rFonts w:ascii="Arial" w:hAnsi="Arial" w:cs="Arial"/>
          <w:b/>
          <w:bCs/>
          <w:color w:val="auto"/>
          <w:sz w:val="20"/>
          <w:szCs w:val="20"/>
        </w:rPr>
        <w:fldChar w:fldCharType="separate"/>
      </w:r>
      <w:r w:rsidR="001823B4">
        <w:rPr>
          <w:rFonts w:ascii="Arial" w:hAnsi="Arial" w:cs="Arial"/>
          <w:b/>
          <w:bCs/>
          <w:noProof/>
          <w:color w:val="auto"/>
          <w:sz w:val="20"/>
          <w:szCs w:val="20"/>
        </w:rPr>
        <w:t>22</w:t>
      </w:r>
      <w:r w:rsidRPr="00E36A10">
        <w:rPr>
          <w:rFonts w:ascii="Arial" w:hAnsi="Arial" w:cs="Arial"/>
          <w:b/>
          <w:bCs/>
          <w:color w:val="auto"/>
          <w:sz w:val="20"/>
          <w:szCs w:val="20"/>
        </w:rPr>
        <w:fldChar w:fldCharType="end"/>
      </w:r>
      <w:r w:rsidRPr="00E36A10">
        <w:rPr>
          <w:rFonts w:ascii="Arial" w:hAnsi="Arial" w:cs="Arial"/>
          <w:b/>
          <w:bCs/>
          <w:color w:val="auto"/>
          <w:sz w:val="20"/>
          <w:szCs w:val="20"/>
        </w:rPr>
        <w:t>:</w:t>
      </w:r>
      <w:r w:rsidRPr="00E36A10">
        <w:rPr>
          <w:rFonts w:ascii="Arial" w:hAnsi="Arial" w:cs="Arial"/>
          <w:color w:val="auto"/>
          <w:sz w:val="20"/>
          <w:szCs w:val="20"/>
        </w:rPr>
        <w:t xml:space="preserve"> </w:t>
      </w:r>
      <w:r w:rsidR="00BF2891" w:rsidRPr="00E36A10">
        <w:rPr>
          <w:rFonts w:ascii="Arial" w:hAnsi="Arial" w:cs="Arial"/>
          <w:color w:val="auto"/>
          <w:sz w:val="20"/>
          <w:szCs w:val="20"/>
        </w:rPr>
        <w:t xml:space="preserve">MDT flowsheet for </w:t>
      </w:r>
      <w:r w:rsidRPr="00E36A10">
        <w:rPr>
          <w:rFonts w:ascii="Arial" w:hAnsi="Arial" w:cs="Arial"/>
          <w:color w:val="auto"/>
          <w:sz w:val="20"/>
          <w:szCs w:val="20"/>
        </w:rPr>
        <w:t xml:space="preserve">Example 4 </w:t>
      </w:r>
      <w:r w:rsidR="00BF2891" w:rsidRPr="00E36A10">
        <w:rPr>
          <w:rFonts w:ascii="Arial" w:hAnsi="Arial" w:cs="Arial"/>
          <w:color w:val="auto"/>
          <w:sz w:val="20"/>
          <w:szCs w:val="20"/>
        </w:rPr>
        <w:t>– ‘A tale of diffused disease’ showing the impact of vFFR on the virtual clinical and economic outcomes.</w:t>
      </w:r>
      <w:bookmarkEnd w:id="653"/>
      <w:bookmarkEnd w:id="654"/>
    </w:p>
    <w:p w14:paraId="367C01D2" w14:textId="77777777" w:rsidR="001B0788" w:rsidRDefault="001B0788" w:rsidP="00A93C75">
      <w:pPr>
        <w:spacing w:line="360" w:lineRule="auto"/>
        <w:jc w:val="both"/>
        <w:rPr>
          <w:rFonts w:ascii="Arial" w:hAnsi="Arial" w:cs="Arial"/>
          <w:color w:val="4472C4" w:themeColor="accent1"/>
          <w:sz w:val="24"/>
          <w:szCs w:val="24"/>
        </w:rPr>
      </w:pPr>
    </w:p>
    <w:p w14:paraId="2FC82154" w14:textId="68844C9D" w:rsidR="00A93C75" w:rsidRPr="00535EB8" w:rsidRDefault="00A93C75" w:rsidP="00A93C75">
      <w:pPr>
        <w:spacing w:line="360" w:lineRule="auto"/>
        <w:jc w:val="both"/>
        <w:rPr>
          <w:rFonts w:ascii="Arial" w:hAnsi="Arial" w:cs="Arial"/>
          <w:color w:val="4472C4" w:themeColor="accent1"/>
          <w:sz w:val="24"/>
          <w:szCs w:val="24"/>
        </w:rPr>
      </w:pPr>
      <w:r>
        <w:rPr>
          <w:rFonts w:ascii="Arial" w:hAnsi="Arial" w:cs="Arial"/>
          <w:color w:val="4472C4" w:themeColor="accent1"/>
          <w:sz w:val="24"/>
          <w:szCs w:val="24"/>
        </w:rPr>
        <w:t xml:space="preserve">Example 5 - </w:t>
      </w:r>
      <w:r w:rsidRPr="00535EB8">
        <w:rPr>
          <w:rFonts w:ascii="Arial" w:hAnsi="Arial" w:cs="Arial"/>
          <w:color w:val="4472C4" w:themeColor="accent1"/>
          <w:sz w:val="24"/>
          <w:szCs w:val="24"/>
        </w:rPr>
        <w:t xml:space="preserve">An avertible CABG </w:t>
      </w:r>
    </w:p>
    <w:p w14:paraId="2BB35CA6" w14:textId="6B68A49F" w:rsidR="00A93C75" w:rsidRPr="00360509" w:rsidRDefault="00A93C75" w:rsidP="00A93C75">
      <w:pPr>
        <w:pStyle w:val="NormalWeb"/>
        <w:spacing w:before="240" w:beforeAutospacing="0" w:after="240" w:afterAutospacing="0"/>
        <w:jc w:val="both"/>
        <w:rPr>
          <w14:ligatures w14:val="none"/>
        </w:rPr>
      </w:pPr>
      <w:r>
        <w:rPr>
          <w:rFonts w:ascii="Arial" w:hAnsi="Arial" w:cs="Arial"/>
        </w:rPr>
        <w:t xml:space="preserve">A 73-year-old smoker, with hypertension and diabetes, presented with worsening symptoms of angina despite OMT. The coronary angiogram demonstrated multivessel disease with severe diffuse disease in RCA, moderate long segments of LAD and LCx disease. Considering diabetes and multi-vessel disease, the initial plan pre-vFFR was to refer for CABG but vFFR demonstrated that visually significant looking LCx lesion was physiologically non-significant (vFFR=0.85), hence lowering the SYNTAX score, due to which post-vFFR plan was virtually changed to two-vessel PCI. This change in plan could have saved the patient from a major heart surgery and its associated 3.5% higher 30-day mortality compared to PCI. </w:t>
      </w:r>
      <w:r w:rsidRPr="006F7991">
        <w:rPr>
          <w:rFonts w:ascii="Arial" w:hAnsi="Arial" w:cs="Arial"/>
          <w:shd w:val="clear" w:color="auto" w:fill="FFFFFF"/>
          <w14:ligatures w14:val="none"/>
        </w:rPr>
        <w:t>With this change, a two-vessel PCI plan would have delivered major virtual savings of £8972 versus the CABG plan.</w:t>
      </w:r>
      <w:r w:rsidR="00786C08">
        <w:rPr>
          <w:rFonts w:ascii="Arial" w:hAnsi="Arial" w:cs="Arial"/>
          <w:shd w:val="clear" w:color="auto" w:fill="FFFFFF"/>
          <w14:ligatures w14:val="none"/>
        </w:rPr>
        <w:t xml:space="preserve"> As PCI and CABG result in a similar improvement in QOL, the interval change will be unequivocal.</w:t>
      </w:r>
    </w:p>
    <w:p w14:paraId="1AF60A93" w14:textId="77777777" w:rsidR="00A93C75" w:rsidRDefault="00A93C75" w:rsidP="00A93C75">
      <w:pPr>
        <w:spacing w:line="360" w:lineRule="auto"/>
        <w:jc w:val="both"/>
        <w:rPr>
          <w:rFonts w:ascii="Arial" w:hAnsi="Arial" w:cs="Arial"/>
          <w:sz w:val="24"/>
          <w:szCs w:val="24"/>
        </w:rPr>
      </w:pPr>
    </w:p>
    <w:p w14:paraId="6C005AB4" w14:textId="77777777" w:rsidR="00A93C75" w:rsidRDefault="00A93C75" w:rsidP="00A93C75">
      <w:pPr>
        <w:keepNext/>
        <w:spacing w:line="360" w:lineRule="auto"/>
        <w:jc w:val="both"/>
      </w:pPr>
      <w:r>
        <w:rPr>
          <w:rFonts w:ascii="Arial" w:hAnsi="Arial" w:cs="Arial"/>
          <w:noProof/>
          <w:sz w:val="24"/>
          <w:szCs w:val="24"/>
          <w:lang w:eastAsia="en-GB"/>
        </w:rPr>
        <w:drawing>
          <wp:inline distT="0" distB="0" distL="0" distR="0" wp14:anchorId="6D7D20A6" wp14:editId="3DB4EAF1">
            <wp:extent cx="5986765" cy="3695385"/>
            <wp:effectExtent l="19050" t="19050" r="14605" b="19685"/>
            <wp:docPr id="1828682150" name="Picture 8" descr="A collage of images of a ve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82150" name="Picture 8" descr="A collage of images of a vein&#10;&#10;Description automatically generated"/>
                    <pic:cNvPicPr/>
                  </pic:nvPicPr>
                  <pic:blipFill rotWithShape="1">
                    <a:blip r:embed="rId40" cstate="print">
                      <a:extLst>
                        <a:ext uri="{28A0092B-C50C-407E-A947-70E740481C1C}">
                          <a14:useLocalDpi xmlns:a14="http://schemas.microsoft.com/office/drawing/2010/main" val="0"/>
                        </a:ext>
                      </a:extLst>
                    </a:blip>
                    <a:srcRect t="4333" b="11280"/>
                    <a:stretch/>
                  </pic:blipFill>
                  <pic:spPr bwMode="auto">
                    <a:xfrm>
                      <a:off x="0" y="0"/>
                      <a:ext cx="6005558" cy="37069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4A49929" w14:textId="0FD2E2B3" w:rsidR="00A93C75" w:rsidRPr="00B731F0" w:rsidRDefault="00A93C75" w:rsidP="00A93C75">
      <w:pPr>
        <w:pStyle w:val="Caption"/>
        <w:jc w:val="both"/>
        <w:rPr>
          <w:rFonts w:ascii="Arial" w:hAnsi="Arial" w:cs="Arial"/>
          <w:color w:val="auto"/>
          <w:sz w:val="20"/>
          <w:szCs w:val="20"/>
        </w:rPr>
      </w:pPr>
      <w:bookmarkStart w:id="655" w:name="_Toc159318540"/>
      <w:bookmarkStart w:id="656" w:name="_Toc159612067"/>
      <w:bookmarkStart w:id="657" w:name="_Toc164697531"/>
      <w:bookmarkStart w:id="658" w:name="_Toc170744583"/>
      <w:bookmarkStart w:id="659" w:name="_Toc160982705"/>
      <w:bookmarkStart w:id="660" w:name="_Toc196153215"/>
      <w:r w:rsidRPr="00B731F0">
        <w:rPr>
          <w:rFonts w:ascii="Arial" w:hAnsi="Arial" w:cs="Arial"/>
          <w:b/>
          <w:bCs/>
          <w:color w:val="auto"/>
          <w:sz w:val="20"/>
          <w:szCs w:val="20"/>
        </w:rPr>
        <w:t xml:space="preserve">Figure </w:t>
      </w:r>
      <w:r w:rsidRPr="00B731F0">
        <w:rPr>
          <w:rFonts w:ascii="Arial" w:hAnsi="Arial" w:cs="Arial"/>
          <w:b/>
          <w:bCs/>
          <w:color w:val="auto"/>
          <w:sz w:val="20"/>
          <w:szCs w:val="20"/>
        </w:rPr>
        <w:fldChar w:fldCharType="begin"/>
      </w:r>
      <w:r w:rsidRPr="00B731F0">
        <w:rPr>
          <w:rFonts w:ascii="Arial" w:hAnsi="Arial" w:cs="Arial"/>
          <w:b/>
          <w:bCs/>
          <w:color w:val="auto"/>
          <w:sz w:val="20"/>
          <w:szCs w:val="20"/>
        </w:rPr>
        <w:instrText xml:space="preserve"> SEQ Figure \* ARABIC </w:instrText>
      </w:r>
      <w:r w:rsidRPr="00B731F0">
        <w:rPr>
          <w:rFonts w:ascii="Arial" w:hAnsi="Arial" w:cs="Arial"/>
          <w:b/>
          <w:bCs/>
          <w:color w:val="auto"/>
          <w:sz w:val="20"/>
          <w:szCs w:val="20"/>
        </w:rPr>
        <w:fldChar w:fldCharType="separate"/>
      </w:r>
      <w:r w:rsidR="001823B4">
        <w:rPr>
          <w:rFonts w:ascii="Arial" w:hAnsi="Arial" w:cs="Arial"/>
          <w:b/>
          <w:bCs/>
          <w:noProof/>
          <w:color w:val="auto"/>
          <w:sz w:val="20"/>
          <w:szCs w:val="20"/>
        </w:rPr>
        <w:t>23</w:t>
      </w:r>
      <w:r w:rsidRPr="00B731F0">
        <w:rPr>
          <w:rFonts w:ascii="Arial" w:hAnsi="Arial" w:cs="Arial"/>
          <w:b/>
          <w:bCs/>
          <w:color w:val="auto"/>
          <w:sz w:val="20"/>
          <w:szCs w:val="20"/>
        </w:rPr>
        <w:fldChar w:fldCharType="end"/>
      </w:r>
      <w:r w:rsidRPr="00B731F0">
        <w:rPr>
          <w:rFonts w:ascii="Arial" w:hAnsi="Arial" w:cs="Arial"/>
          <w:b/>
          <w:bCs/>
          <w:color w:val="auto"/>
          <w:sz w:val="20"/>
          <w:szCs w:val="20"/>
        </w:rPr>
        <w:t>:</w:t>
      </w:r>
      <w:r w:rsidRPr="00B731F0">
        <w:rPr>
          <w:rFonts w:ascii="Arial" w:hAnsi="Arial" w:cs="Arial"/>
          <w:color w:val="auto"/>
          <w:sz w:val="20"/>
          <w:szCs w:val="20"/>
        </w:rPr>
        <w:t xml:space="preserve"> Example 4 - CABG changed to multi-vessel PCI, A - Severe diffused from mid-distal RCA marked with arrows, B – Mid-distal long segment of LAD disease (marked with arrows), C – Moderate lesion in the proximal LCx, D - vFFR modelling of LAD confirmed ischaemic lesion (vFFR=0.74), E – vFFR modelling of LCx demonstrated a physiologically non-significant lesion (vFFR=0.85) which led to change in management plan from CAG to multi-vessel PCI.</w:t>
      </w:r>
      <w:bookmarkEnd w:id="655"/>
      <w:bookmarkEnd w:id="656"/>
      <w:bookmarkEnd w:id="657"/>
      <w:bookmarkEnd w:id="658"/>
      <w:bookmarkEnd w:id="659"/>
      <w:r w:rsidR="00632552">
        <w:rPr>
          <w:rFonts w:ascii="Arial" w:hAnsi="Arial" w:cs="Arial"/>
          <w:color w:val="auto"/>
          <w:sz w:val="20"/>
          <w:szCs w:val="20"/>
        </w:rPr>
        <w:t xml:space="preserve"> (</w:t>
      </w:r>
      <w:r w:rsidR="00632552">
        <w:rPr>
          <w:color w:val="auto"/>
          <w:sz w:val="20"/>
          <w:szCs w:val="20"/>
        </w:rPr>
        <w:t>vFFR image – courtesy of Dr H Haley).</w:t>
      </w:r>
      <w:bookmarkEnd w:id="660"/>
    </w:p>
    <w:p w14:paraId="0EB7E63A" w14:textId="77777777" w:rsidR="00A93C75" w:rsidRDefault="00A93C75" w:rsidP="004942B6">
      <w:pPr>
        <w:spacing w:line="360" w:lineRule="auto"/>
        <w:jc w:val="both"/>
        <w:rPr>
          <w:rFonts w:ascii="Arial" w:hAnsi="Arial" w:cs="Arial"/>
          <w:sz w:val="24"/>
          <w:szCs w:val="24"/>
        </w:rPr>
      </w:pPr>
    </w:p>
    <w:p w14:paraId="4F245909" w14:textId="77777777" w:rsidR="00BF2891" w:rsidRDefault="001B0788" w:rsidP="00BF2891">
      <w:pPr>
        <w:keepNext/>
        <w:spacing w:line="360" w:lineRule="auto"/>
        <w:jc w:val="both"/>
      </w:pPr>
      <w:r>
        <w:rPr>
          <w:rFonts w:ascii="Arial" w:hAnsi="Arial" w:cs="Arial"/>
          <w:noProof/>
          <w:sz w:val="24"/>
          <w:szCs w:val="24"/>
          <w:lang w:eastAsia="en-GB"/>
        </w:rPr>
        <w:lastRenderedPageBreak/>
        <w:drawing>
          <wp:inline distT="0" distB="0" distL="0" distR="0" wp14:anchorId="0A74D95C" wp14:editId="60A5FBDC">
            <wp:extent cx="5923400" cy="4263390"/>
            <wp:effectExtent l="19050" t="19050" r="20320" b="22860"/>
            <wp:docPr id="989394935" name="Picture 14"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94935" name="Picture 14" descr="A diagram of a diagram&#10;&#10;Description automatically generated"/>
                    <pic:cNvPicPr/>
                  </pic:nvPicPr>
                  <pic:blipFill rotWithShape="1">
                    <a:blip r:embed="rId41" cstate="print">
                      <a:extLst>
                        <a:ext uri="{28A0092B-C50C-407E-A947-70E740481C1C}">
                          <a14:useLocalDpi xmlns:a14="http://schemas.microsoft.com/office/drawing/2010/main" val="0"/>
                        </a:ext>
                      </a:extLst>
                    </a:blip>
                    <a:srcRect r="2748"/>
                    <a:stretch/>
                  </pic:blipFill>
                  <pic:spPr bwMode="auto">
                    <a:xfrm>
                      <a:off x="0" y="0"/>
                      <a:ext cx="5924907" cy="42644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B4C130" w14:textId="792F0281" w:rsidR="001B0788" w:rsidRPr="00D15551" w:rsidRDefault="00BF2891" w:rsidP="00D15551">
      <w:pPr>
        <w:pStyle w:val="Caption"/>
        <w:jc w:val="both"/>
        <w:rPr>
          <w:rFonts w:ascii="Arial" w:hAnsi="Arial" w:cs="Arial"/>
          <w:color w:val="auto"/>
          <w:sz w:val="20"/>
          <w:szCs w:val="20"/>
        </w:rPr>
      </w:pPr>
      <w:bookmarkStart w:id="661" w:name="_Toc170744584"/>
      <w:bookmarkStart w:id="662" w:name="_Toc196153216"/>
      <w:r w:rsidRPr="00D15551">
        <w:rPr>
          <w:rFonts w:ascii="Arial" w:hAnsi="Arial" w:cs="Arial"/>
          <w:b/>
          <w:bCs/>
          <w:color w:val="auto"/>
          <w:sz w:val="20"/>
          <w:szCs w:val="20"/>
        </w:rPr>
        <w:t xml:space="preserve">Figure </w:t>
      </w:r>
      <w:r w:rsidRPr="00D15551">
        <w:rPr>
          <w:rFonts w:ascii="Arial" w:hAnsi="Arial" w:cs="Arial"/>
          <w:b/>
          <w:bCs/>
          <w:color w:val="auto"/>
          <w:sz w:val="20"/>
          <w:szCs w:val="20"/>
        </w:rPr>
        <w:fldChar w:fldCharType="begin"/>
      </w:r>
      <w:r w:rsidRPr="00D15551">
        <w:rPr>
          <w:rFonts w:ascii="Arial" w:hAnsi="Arial" w:cs="Arial"/>
          <w:b/>
          <w:bCs/>
          <w:color w:val="auto"/>
          <w:sz w:val="20"/>
          <w:szCs w:val="20"/>
        </w:rPr>
        <w:instrText xml:space="preserve"> SEQ Figure \* ARABIC </w:instrText>
      </w:r>
      <w:r w:rsidRPr="00D15551">
        <w:rPr>
          <w:rFonts w:ascii="Arial" w:hAnsi="Arial" w:cs="Arial"/>
          <w:b/>
          <w:bCs/>
          <w:color w:val="auto"/>
          <w:sz w:val="20"/>
          <w:szCs w:val="20"/>
        </w:rPr>
        <w:fldChar w:fldCharType="separate"/>
      </w:r>
      <w:r w:rsidR="001823B4">
        <w:rPr>
          <w:rFonts w:ascii="Arial" w:hAnsi="Arial" w:cs="Arial"/>
          <w:b/>
          <w:bCs/>
          <w:noProof/>
          <w:color w:val="auto"/>
          <w:sz w:val="20"/>
          <w:szCs w:val="20"/>
        </w:rPr>
        <w:t>24</w:t>
      </w:r>
      <w:r w:rsidRPr="00D15551">
        <w:rPr>
          <w:rFonts w:ascii="Arial" w:hAnsi="Arial" w:cs="Arial"/>
          <w:b/>
          <w:bCs/>
          <w:color w:val="auto"/>
          <w:sz w:val="20"/>
          <w:szCs w:val="20"/>
        </w:rPr>
        <w:fldChar w:fldCharType="end"/>
      </w:r>
      <w:r w:rsidRPr="00D15551">
        <w:rPr>
          <w:rFonts w:ascii="Arial" w:hAnsi="Arial" w:cs="Arial"/>
          <w:b/>
          <w:bCs/>
          <w:color w:val="auto"/>
          <w:sz w:val="20"/>
          <w:szCs w:val="20"/>
        </w:rPr>
        <w:t>:</w:t>
      </w:r>
      <w:r w:rsidRPr="00D15551">
        <w:rPr>
          <w:rFonts w:ascii="Arial" w:hAnsi="Arial" w:cs="Arial"/>
          <w:color w:val="auto"/>
          <w:sz w:val="20"/>
          <w:szCs w:val="20"/>
        </w:rPr>
        <w:t xml:space="preserve"> MDT flowsheet for Example 5 </w:t>
      </w:r>
      <w:r w:rsidR="00D15551" w:rsidRPr="00D15551">
        <w:rPr>
          <w:rFonts w:ascii="Arial" w:hAnsi="Arial" w:cs="Arial"/>
          <w:color w:val="auto"/>
          <w:sz w:val="20"/>
          <w:szCs w:val="20"/>
        </w:rPr>
        <w:t>– ‘</w:t>
      </w:r>
      <w:r w:rsidRPr="00D15551">
        <w:rPr>
          <w:rFonts w:ascii="Arial" w:hAnsi="Arial" w:cs="Arial"/>
          <w:color w:val="auto"/>
          <w:sz w:val="20"/>
          <w:szCs w:val="20"/>
        </w:rPr>
        <w:t>An avertible CABG’ showing the impact of vFFR on the virtual clinical and economic outcomes.</w:t>
      </w:r>
      <w:bookmarkEnd w:id="661"/>
      <w:bookmarkEnd w:id="662"/>
    </w:p>
    <w:p w14:paraId="66535C09" w14:textId="77777777" w:rsidR="004942B6" w:rsidRDefault="004942B6" w:rsidP="004942B6">
      <w:pPr>
        <w:spacing w:line="360" w:lineRule="auto"/>
        <w:jc w:val="both"/>
        <w:rPr>
          <w:rFonts w:ascii="Arial" w:hAnsi="Arial" w:cs="Arial"/>
          <w:noProof/>
          <w:color w:val="000000" w:themeColor="text1"/>
          <w:sz w:val="24"/>
          <w:szCs w:val="24"/>
        </w:rPr>
      </w:pPr>
    </w:p>
    <w:p w14:paraId="15318D7C" w14:textId="4C54339B" w:rsidR="004942B6" w:rsidRPr="002A3406" w:rsidRDefault="004942B6" w:rsidP="00672532">
      <w:pPr>
        <w:pStyle w:val="Heading2"/>
        <w:spacing w:line="360" w:lineRule="auto"/>
        <w:rPr>
          <w:rFonts w:ascii="Arial" w:hAnsi="Arial" w:cs="Arial"/>
          <w:color w:val="4472C4" w:themeColor="accent1"/>
          <w:sz w:val="28"/>
          <w:szCs w:val="28"/>
        </w:rPr>
      </w:pPr>
      <w:bookmarkStart w:id="663" w:name="_Toc171203895"/>
      <w:r w:rsidRPr="002A3406">
        <w:rPr>
          <w:rFonts w:ascii="Arial" w:hAnsi="Arial" w:cs="Arial"/>
          <w:color w:val="4472C4" w:themeColor="accent1"/>
          <w:sz w:val="28"/>
          <w:szCs w:val="28"/>
        </w:rPr>
        <w:t>2.</w:t>
      </w:r>
      <w:r w:rsidR="002A3406" w:rsidRPr="002A3406">
        <w:rPr>
          <w:rFonts w:ascii="Arial" w:hAnsi="Arial" w:cs="Arial"/>
          <w:color w:val="4472C4" w:themeColor="accent1"/>
          <w:sz w:val="28"/>
          <w:szCs w:val="28"/>
        </w:rPr>
        <w:t>5</w:t>
      </w:r>
      <w:r w:rsidRPr="002A3406">
        <w:rPr>
          <w:rFonts w:ascii="Arial" w:hAnsi="Arial" w:cs="Arial"/>
          <w:color w:val="4472C4" w:themeColor="accent1"/>
          <w:sz w:val="28"/>
          <w:szCs w:val="28"/>
        </w:rPr>
        <w:t xml:space="preserve"> Total cost estimation</w:t>
      </w:r>
      <w:bookmarkEnd w:id="663"/>
    </w:p>
    <w:p w14:paraId="7EE4AD8E" w14:textId="77777777" w:rsidR="002A3406" w:rsidRPr="002A3406" w:rsidRDefault="002A3406" w:rsidP="002A3406"/>
    <w:p w14:paraId="290D9036" w14:textId="491337D3" w:rsidR="004942B6" w:rsidRPr="00672532" w:rsidRDefault="004942B6" w:rsidP="004942B6">
      <w:pPr>
        <w:pStyle w:val="Heading3"/>
        <w:spacing w:line="360" w:lineRule="auto"/>
        <w:rPr>
          <w:rFonts w:ascii="Arial" w:hAnsi="Arial" w:cs="Arial"/>
          <w:color w:val="4472C4" w:themeColor="accent1"/>
          <w:sz w:val="24"/>
          <w:szCs w:val="24"/>
        </w:rPr>
      </w:pPr>
      <w:bookmarkStart w:id="664" w:name="_Toc164680490"/>
      <w:bookmarkStart w:id="665" w:name="_Toc164681388"/>
      <w:bookmarkStart w:id="666" w:name="_Toc170075066"/>
      <w:bookmarkStart w:id="667" w:name="_Toc170076053"/>
      <w:bookmarkStart w:id="668" w:name="_Toc170577752"/>
      <w:bookmarkStart w:id="669" w:name="_Toc171203125"/>
      <w:bookmarkStart w:id="670" w:name="_Toc171203896"/>
      <w:r w:rsidRPr="00672532">
        <w:rPr>
          <w:rFonts w:ascii="Arial" w:hAnsi="Arial" w:cs="Arial"/>
          <w:color w:val="4472C4" w:themeColor="accent1"/>
          <w:sz w:val="24"/>
          <w:szCs w:val="24"/>
        </w:rPr>
        <w:t>2.</w:t>
      </w:r>
      <w:r w:rsidR="002A3406">
        <w:rPr>
          <w:rFonts w:ascii="Arial" w:hAnsi="Arial" w:cs="Arial"/>
          <w:color w:val="4472C4" w:themeColor="accent1"/>
          <w:sz w:val="24"/>
          <w:szCs w:val="24"/>
        </w:rPr>
        <w:t>5</w:t>
      </w:r>
      <w:r w:rsidRPr="00672532">
        <w:rPr>
          <w:rFonts w:ascii="Arial" w:hAnsi="Arial" w:cs="Arial"/>
          <w:color w:val="4472C4" w:themeColor="accent1"/>
          <w:sz w:val="24"/>
          <w:szCs w:val="24"/>
        </w:rPr>
        <w:t>.1 How do NHS tariffs work? HRG4+ codes explained</w:t>
      </w:r>
      <w:bookmarkEnd w:id="664"/>
      <w:bookmarkEnd w:id="665"/>
      <w:bookmarkEnd w:id="666"/>
      <w:bookmarkEnd w:id="667"/>
      <w:bookmarkEnd w:id="668"/>
      <w:bookmarkEnd w:id="669"/>
      <w:bookmarkEnd w:id="670"/>
    </w:p>
    <w:p w14:paraId="08622A02" w14:textId="77777777" w:rsidR="004942B6" w:rsidRPr="00190804" w:rsidRDefault="004942B6" w:rsidP="004942B6">
      <w:pPr>
        <w:spacing w:after="0" w:line="360" w:lineRule="auto"/>
        <w:jc w:val="both"/>
        <w:rPr>
          <w:rFonts w:ascii="Arial" w:eastAsia="Times New Roman" w:hAnsi="Arial" w:cs="Arial"/>
          <w:color w:val="0E101A"/>
          <w:sz w:val="24"/>
          <w:szCs w:val="24"/>
          <w:lang w:eastAsia="en-GB"/>
          <w14:ligatures w14:val="none"/>
        </w:rPr>
      </w:pPr>
      <w:r w:rsidRPr="00190804">
        <w:rPr>
          <w:rFonts w:ascii="Arial" w:eastAsia="Times New Roman" w:hAnsi="Arial" w:cs="Arial"/>
          <w:color w:val="0E101A"/>
          <w:sz w:val="24"/>
          <w:szCs w:val="24"/>
          <w:lang w:eastAsia="en-GB"/>
          <w14:ligatures w14:val="none"/>
        </w:rPr>
        <w:t xml:space="preserve">For the last few decades, most developed healthcare systems have adopted prospective payment arrangement methods to ensure the efficient delivery of excellent care with a prompt allocation of funds. (196) An integral part of this approach is using a classification model that can differentially categorise the patients to patriate the funds. In England, the classification system is called the Healthcare Resource Group (HRG), through which costs are calculated. (197) The HRG categorisation was first launched in 1991, with coding by individual specialities, based upon the International Classification of Diseases (ICD) and National Procedure Codes (NPC) from the Office of Population Censuses and Surveys (OPCS). (196) This contrasted with the US-based Major Diagnostic Categories (MDCs) system, which used a single-organ </w:t>
      </w:r>
      <w:r w:rsidRPr="00190804">
        <w:rPr>
          <w:rFonts w:ascii="Arial" w:eastAsia="Times New Roman" w:hAnsi="Arial" w:cs="Arial"/>
          <w:color w:val="0E101A"/>
          <w:sz w:val="24"/>
          <w:szCs w:val="24"/>
          <w:lang w:eastAsia="en-GB"/>
          <w14:ligatures w14:val="none"/>
        </w:rPr>
        <w:lastRenderedPageBreak/>
        <w:t>approach instead. (196). In the last few years, HRG4+ was introduced, in which changes included the diagnostic and procedural hierarchy, and complications and comorbidity (CC) splits were also included. (197) This emphasised the need to accurately code comorbidities and complications on the patient’s health records to apply the cost tariff that appropriately reflects the complexity. (196) The HRG4+ code comprises five characters arranged as two letters, followed by two numbers and one letter at the end. For example, the code for heart valve replacement is “ED24B”, which indicates the following: (196)</w:t>
      </w:r>
    </w:p>
    <w:p w14:paraId="38F23FA8" w14:textId="77777777" w:rsidR="004942B6" w:rsidRPr="00190804" w:rsidRDefault="004942B6" w:rsidP="00C03BCF">
      <w:pPr>
        <w:numPr>
          <w:ilvl w:val="0"/>
          <w:numId w:val="20"/>
        </w:numPr>
        <w:spacing w:after="0" w:line="360" w:lineRule="auto"/>
        <w:jc w:val="both"/>
        <w:rPr>
          <w:rFonts w:ascii="Arial" w:eastAsia="Times New Roman" w:hAnsi="Arial" w:cs="Arial"/>
          <w:color w:val="0E101A"/>
          <w:sz w:val="24"/>
          <w:szCs w:val="24"/>
          <w:lang w:eastAsia="en-GB"/>
          <w14:ligatures w14:val="none"/>
        </w:rPr>
      </w:pPr>
      <w:r w:rsidRPr="00190804">
        <w:rPr>
          <w:rFonts w:ascii="Arial" w:eastAsia="Times New Roman" w:hAnsi="Arial" w:cs="Arial"/>
          <w:color w:val="0E101A"/>
          <w:sz w:val="24"/>
          <w:szCs w:val="24"/>
          <w:lang w:eastAsia="en-GB"/>
          <w14:ligatures w14:val="none"/>
        </w:rPr>
        <w:t>1st Letter – Represents the body system (E for Cardiology).</w:t>
      </w:r>
    </w:p>
    <w:p w14:paraId="4080DAF6" w14:textId="77777777" w:rsidR="004942B6" w:rsidRPr="00190804" w:rsidRDefault="004942B6" w:rsidP="00C03BCF">
      <w:pPr>
        <w:numPr>
          <w:ilvl w:val="0"/>
          <w:numId w:val="20"/>
        </w:numPr>
        <w:spacing w:after="0" w:line="360" w:lineRule="auto"/>
        <w:jc w:val="both"/>
        <w:rPr>
          <w:rFonts w:ascii="Arial" w:eastAsia="Times New Roman" w:hAnsi="Arial" w:cs="Arial"/>
          <w:color w:val="0E101A"/>
          <w:sz w:val="24"/>
          <w:szCs w:val="24"/>
          <w:lang w:eastAsia="en-GB"/>
          <w14:ligatures w14:val="none"/>
        </w:rPr>
      </w:pPr>
      <w:r w:rsidRPr="00190804">
        <w:rPr>
          <w:rFonts w:ascii="Arial" w:eastAsia="Times New Roman" w:hAnsi="Arial" w:cs="Arial"/>
          <w:color w:val="0E101A"/>
          <w:sz w:val="24"/>
          <w:szCs w:val="24"/>
          <w:lang w:eastAsia="en-GB"/>
          <w14:ligatures w14:val="none"/>
        </w:rPr>
        <w:t>2nd Letter – Represents the treatment area (D for Heart valves).</w:t>
      </w:r>
    </w:p>
    <w:p w14:paraId="2A5CDB6C" w14:textId="77777777" w:rsidR="004942B6" w:rsidRPr="00190804" w:rsidRDefault="004942B6" w:rsidP="00C03BCF">
      <w:pPr>
        <w:numPr>
          <w:ilvl w:val="0"/>
          <w:numId w:val="20"/>
        </w:numPr>
        <w:spacing w:after="0" w:line="360" w:lineRule="auto"/>
        <w:jc w:val="both"/>
        <w:rPr>
          <w:rFonts w:ascii="Arial" w:eastAsia="Times New Roman" w:hAnsi="Arial" w:cs="Arial"/>
          <w:color w:val="0E101A"/>
          <w:sz w:val="24"/>
          <w:szCs w:val="24"/>
          <w:lang w:eastAsia="en-GB"/>
          <w14:ligatures w14:val="none"/>
        </w:rPr>
      </w:pPr>
      <w:r w:rsidRPr="00190804">
        <w:rPr>
          <w:rFonts w:ascii="Arial" w:eastAsia="Times New Roman" w:hAnsi="Arial" w:cs="Arial"/>
          <w:color w:val="0E101A"/>
          <w:sz w:val="24"/>
          <w:szCs w:val="24"/>
          <w:lang w:eastAsia="en-GB"/>
          <w14:ligatures w14:val="none"/>
        </w:rPr>
        <w:t>Two numbers – Represent the intervention performed (24 for the surgical valve replacement)</w:t>
      </w:r>
    </w:p>
    <w:p w14:paraId="475A7FB9" w14:textId="77777777" w:rsidR="004942B6" w:rsidRPr="00190804" w:rsidRDefault="004942B6" w:rsidP="00C03BCF">
      <w:pPr>
        <w:numPr>
          <w:ilvl w:val="0"/>
          <w:numId w:val="20"/>
        </w:numPr>
        <w:spacing w:after="0" w:line="360" w:lineRule="auto"/>
        <w:jc w:val="both"/>
        <w:rPr>
          <w:rFonts w:ascii="Arial" w:eastAsia="Times New Roman" w:hAnsi="Arial" w:cs="Arial"/>
          <w:color w:val="0E101A"/>
          <w:sz w:val="24"/>
          <w:szCs w:val="24"/>
          <w:lang w:eastAsia="en-GB"/>
          <w14:ligatures w14:val="none"/>
        </w:rPr>
      </w:pPr>
      <w:r w:rsidRPr="00190804">
        <w:rPr>
          <w:rFonts w:ascii="Arial" w:eastAsia="Times New Roman" w:hAnsi="Arial" w:cs="Arial"/>
          <w:color w:val="0E101A"/>
          <w:sz w:val="24"/>
          <w:szCs w:val="24"/>
          <w:lang w:eastAsia="en-GB"/>
          <w14:ligatures w14:val="none"/>
        </w:rPr>
        <w:t>5th Letter – Represents complications and comorbidity split indicating the level of severity in the HRG (B for CC score of 6-10)</w:t>
      </w:r>
    </w:p>
    <w:p w14:paraId="75E2AC9A" w14:textId="151F74FC" w:rsidR="004942B6" w:rsidRPr="00190804" w:rsidRDefault="004942B6" w:rsidP="004942B6">
      <w:pPr>
        <w:spacing w:after="0" w:line="360" w:lineRule="auto"/>
        <w:jc w:val="both"/>
        <w:rPr>
          <w:rFonts w:ascii="Arial" w:eastAsia="Times New Roman" w:hAnsi="Arial" w:cs="Arial"/>
          <w:color w:val="0E101A"/>
          <w:sz w:val="24"/>
          <w:szCs w:val="24"/>
          <w:lang w:eastAsia="en-GB"/>
          <w14:ligatures w14:val="none"/>
        </w:rPr>
      </w:pPr>
      <w:r w:rsidRPr="00190804">
        <w:rPr>
          <w:rFonts w:ascii="Arial" w:eastAsia="Times New Roman" w:hAnsi="Arial" w:cs="Arial"/>
          <w:color w:val="0E101A"/>
          <w:sz w:val="24"/>
          <w:szCs w:val="24"/>
          <w:lang w:eastAsia="en-GB"/>
          <w14:ligatures w14:val="none"/>
        </w:rPr>
        <w:t>The CC split aids in incorporating the complexity and severity index in the HRG4+ codes and is calculated based on the summed-up scores for all significant comorbidities, which means that a multi-morbid patient will have a much higher CC score. The higher the CC score, the higher the procedur</w:t>
      </w:r>
      <w:r w:rsidR="00406537">
        <w:rPr>
          <w:rFonts w:ascii="Arial" w:eastAsia="Times New Roman" w:hAnsi="Arial" w:cs="Arial"/>
          <w:color w:val="0E101A"/>
          <w:sz w:val="24"/>
          <w:szCs w:val="24"/>
          <w:lang w:eastAsia="en-GB"/>
          <w14:ligatures w14:val="none"/>
        </w:rPr>
        <w:t>al cost</w:t>
      </w:r>
      <w:r w:rsidRPr="00190804">
        <w:rPr>
          <w:rFonts w:ascii="Arial" w:eastAsia="Times New Roman" w:hAnsi="Arial" w:cs="Arial"/>
          <w:color w:val="0E101A"/>
          <w:sz w:val="24"/>
          <w:szCs w:val="24"/>
          <w:lang w:eastAsia="en-GB"/>
          <w14:ligatures w14:val="none"/>
        </w:rPr>
        <w:t>. We have estimated the bottom bracket (0-6 CC score) for our data analysis, as it applies to most patients. </w:t>
      </w:r>
    </w:p>
    <w:p w14:paraId="14048C54" w14:textId="77777777" w:rsidR="004942B6" w:rsidRPr="00190804" w:rsidRDefault="004942B6" w:rsidP="004942B6">
      <w:pPr>
        <w:spacing w:line="360" w:lineRule="auto"/>
        <w:jc w:val="both"/>
        <w:rPr>
          <w:rFonts w:ascii="Arial" w:hAnsi="Arial" w:cs="Arial"/>
          <w:color w:val="000000" w:themeColor="text1"/>
          <w:sz w:val="24"/>
          <w:szCs w:val="24"/>
        </w:rPr>
      </w:pPr>
    </w:p>
    <w:p w14:paraId="0D883A13" w14:textId="6F25B9DC" w:rsidR="004942B6" w:rsidRPr="00190804" w:rsidRDefault="004942B6" w:rsidP="004942B6">
      <w:pPr>
        <w:pStyle w:val="Heading3"/>
        <w:spacing w:line="360" w:lineRule="auto"/>
        <w:rPr>
          <w:rFonts w:ascii="Arial" w:hAnsi="Arial" w:cs="Arial"/>
          <w:color w:val="4472C4" w:themeColor="accent1"/>
          <w:sz w:val="24"/>
          <w:szCs w:val="24"/>
        </w:rPr>
      </w:pPr>
      <w:bookmarkStart w:id="671" w:name="_Toc164680491"/>
      <w:bookmarkStart w:id="672" w:name="_Toc164681389"/>
      <w:bookmarkStart w:id="673" w:name="_Toc170075067"/>
      <w:bookmarkStart w:id="674" w:name="_Toc170076054"/>
      <w:bookmarkStart w:id="675" w:name="_Toc170577753"/>
      <w:bookmarkStart w:id="676" w:name="_Toc171203126"/>
      <w:bookmarkStart w:id="677" w:name="_Toc171203897"/>
      <w:r w:rsidRPr="00190804">
        <w:rPr>
          <w:rFonts w:ascii="Arial" w:hAnsi="Arial" w:cs="Arial"/>
          <w:color w:val="4472C4" w:themeColor="accent1"/>
          <w:sz w:val="24"/>
          <w:szCs w:val="24"/>
        </w:rPr>
        <w:t>2.</w:t>
      </w:r>
      <w:r w:rsidR="002A3406">
        <w:rPr>
          <w:rFonts w:ascii="Arial" w:hAnsi="Arial" w:cs="Arial"/>
          <w:color w:val="4472C4" w:themeColor="accent1"/>
          <w:sz w:val="24"/>
          <w:szCs w:val="24"/>
        </w:rPr>
        <w:t>5</w:t>
      </w:r>
      <w:r w:rsidRPr="00190804">
        <w:rPr>
          <w:rFonts w:ascii="Arial" w:hAnsi="Arial" w:cs="Arial"/>
          <w:color w:val="4472C4" w:themeColor="accent1"/>
          <w:sz w:val="24"/>
          <w:szCs w:val="24"/>
        </w:rPr>
        <w:t>.2 Cost of VIRTUHeart</w:t>
      </w:r>
      <w:r w:rsidRPr="00190804">
        <w:rPr>
          <w:rFonts w:ascii="Arial" w:hAnsi="Arial" w:cs="Arial"/>
          <w:color w:val="4472C4" w:themeColor="accent1"/>
          <w:sz w:val="24"/>
          <w:szCs w:val="24"/>
          <w:vertAlign w:val="superscript"/>
        </w:rPr>
        <w:t>TM</w:t>
      </w:r>
      <w:r w:rsidRPr="00190804">
        <w:rPr>
          <w:rFonts w:ascii="Arial" w:hAnsi="Arial" w:cs="Arial"/>
          <w:color w:val="4472C4" w:themeColor="accent1"/>
          <w:sz w:val="24"/>
          <w:szCs w:val="24"/>
        </w:rPr>
        <w:t xml:space="preserve"> licence</w:t>
      </w:r>
      <w:bookmarkEnd w:id="671"/>
      <w:bookmarkEnd w:id="672"/>
      <w:bookmarkEnd w:id="673"/>
      <w:bookmarkEnd w:id="674"/>
      <w:bookmarkEnd w:id="675"/>
      <w:bookmarkEnd w:id="676"/>
      <w:bookmarkEnd w:id="677"/>
    </w:p>
    <w:p w14:paraId="3E28B049" w14:textId="77777777" w:rsidR="004942B6" w:rsidRPr="00190804" w:rsidRDefault="004942B6" w:rsidP="004942B6">
      <w:pPr>
        <w:spacing w:line="360" w:lineRule="auto"/>
        <w:jc w:val="both"/>
        <w:rPr>
          <w:rFonts w:ascii="Arial" w:hAnsi="Arial" w:cs="Arial"/>
          <w:sz w:val="24"/>
          <w:szCs w:val="24"/>
        </w:rPr>
      </w:pPr>
      <w:r w:rsidRPr="00190804">
        <w:rPr>
          <w:rFonts w:ascii="Arial" w:hAnsi="Arial" w:cs="Arial"/>
          <w:sz w:val="24"/>
          <w:szCs w:val="24"/>
        </w:rPr>
        <w:t>VIRTUHeart</w:t>
      </w:r>
      <w:r w:rsidRPr="00190804">
        <w:rPr>
          <w:rFonts w:ascii="Arial" w:hAnsi="Arial" w:cs="Arial"/>
          <w:sz w:val="24"/>
          <w:szCs w:val="24"/>
          <w:vertAlign w:val="superscript"/>
        </w:rPr>
        <w:t>TM</w:t>
      </w:r>
      <w:r w:rsidRPr="00190804">
        <w:rPr>
          <w:rFonts w:ascii="Arial" w:hAnsi="Arial" w:cs="Arial"/>
          <w:sz w:val="24"/>
          <w:szCs w:val="24"/>
        </w:rPr>
        <w:t xml:space="preserve"> software is currently a research tool only and is awaiting the approval of the Medicine and Healthcare Products Regulatory Agency (MHRA) in clinical practice. As no final cost was attached to the VIRTUHeart</w:t>
      </w:r>
      <w:r w:rsidRPr="00190804">
        <w:rPr>
          <w:rFonts w:ascii="Arial" w:hAnsi="Arial" w:cs="Arial"/>
          <w:sz w:val="24"/>
          <w:szCs w:val="24"/>
          <w:vertAlign w:val="superscript"/>
        </w:rPr>
        <w:t>TM</w:t>
      </w:r>
      <w:r w:rsidRPr="00190804">
        <w:rPr>
          <w:rFonts w:ascii="Arial" w:hAnsi="Arial" w:cs="Arial"/>
          <w:sz w:val="24"/>
          <w:szCs w:val="24"/>
        </w:rPr>
        <w:t xml:space="preserve"> software, it was used during VIRTU-4 without any additional cost. However, to evaluate the impact of licence cost of VIRTUHeart</w:t>
      </w:r>
      <w:r w:rsidRPr="00190804">
        <w:rPr>
          <w:rFonts w:ascii="Arial" w:hAnsi="Arial" w:cs="Arial"/>
          <w:sz w:val="24"/>
          <w:szCs w:val="24"/>
          <w:vertAlign w:val="superscript"/>
        </w:rPr>
        <w:t>TM</w:t>
      </w:r>
      <w:r w:rsidRPr="00190804">
        <w:rPr>
          <w:rFonts w:ascii="Arial" w:hAnsi="Arial" w:cs="Arial"/>
          <w:sz w:val="24"/>
          <w:szCs w:val="24"/>
        </w:rPr>
        <w:t>, two different models were proposed for the cost comparison with conventional angiography.</w:t>
      </w:r>
    </w:p>
    <w:p w14:paraId="39FFC200" w14:textId="4B3691DA" w:rsidR="004942B6" w:rsidRPr="00190804" w:rsidRDefault="004942B6" w:rsidP="00C40740">
      <w:pPr>
        <w:spacing w:line="360" w:lineRule="auto"/>
        <w:jc w:val="both"/>
        <w:rPr>
          <w:rFonts w:ascii="Arial" w:hAnsi="Arial" w:cs="Arial"/>
          <w:sz w:val="24"/>
          <w:szCs w:val="24"/>
        </w:rPr>
      </w:pPr>
      <w:r w:rsidRPr="00190804">
        <w:rPr>
          <w:rFonts w:ascii="Arial" w:hAnsi="Arial" w:cs="Arial"/>
          <w:sz w:val="24"/>
          <w:szCs w:val="24"/>
        </w:rPr>
        <w:t xml:space="preserve">The first model was an annually renewable voucher-based model with a cap of 200 patients per year (like the model adopted in the NHS appraisal of vFFR). However, instead of a single tariff, a three-tier voucher-based model of £50, £100, and £200 per patient was proposed for analysis. Annual licencing/maintenance fees, clinical staff training, and certification fees were </w:t>
      </w:r>
      <w:r w:rsidR="00C40740">
        <w:rPr>
          <w:rFonts w:ascii="Arial" w:hAnsi="Arial" w:cs="Arial"/>
          <w:sz w:val="24"/>
          <w:szCs w:val="24"/>
        </w:rPr>
        <w:t xml:space="preserve">considered to </w:t>
      </w:r>
      <w:r w:rsidR="00C03BCF">
        <w:rPr>
          <w:rFonts w:ascii="Arial" w:hAnsi="Arial" w:cs="Arial"/>
          <w:sz w:val="24"/>
          <w:szCs w:val="24"/>
        </w:rPr>
        <w:t xml:space="preserve">be </w:t>
      </w:r>
      <w:r w:rsidR="00C03BCF" w:rsidRPr="00190804">
        <w:rPr>
          <w:rFonts w:ascii="Arial" w:hAnsi="Arial" w:cs="Arial"/>
          <w:sz w:val="24"/>
          <w:szCs w:val="24"/>
        </w:rPr>
        <w:t>included</w:t>
      </w:r>
      <w:r w:rsidRPr="00190804">
        <w:rPr>
          <w:rFonts w:ascii="Arial" w:hAnsi="Arial" w:cs="Arial"/>
          <w:sz w:val="24"/>
          <w:szCs w:val="24"/>
        </w:rPr>
        <w:t xml:space="preserve"> in the </w:t>
      </w:r>
      <w:r w:rsidR="00C40740">
        <w:rPr>
          <w:rFonts w:ascii="Arial" w:hAnsi="Arial" w:cs="Arial"/>
          <w:sz w:val="24"/>
          <w:szCs w:val="24"/>
        </w:rPr>
        <w:t xml:space="preserve">cost of </w:t>
      </w:r>
      <w:r w:rsidRPr="00190804">
        <w:rPr>
          <w:rFonts w:ascii="Arial" w:hAnsi="Arial" w:cs="Arial"/>
          <w:sz w:val="24"/>
          <w:szCs w:val="24"/>
        </w:rPr>
        <w:t xml:space="preserve">final tariff. </w:t>
      </w:r>
    </w:p>
    <w:p w14:paraId="23C25FE8" w14:textId="41EE9142" w:rsidR="004942B6" w:rsidRPr="00190804" w:rsidRDefault="004942B6" w:rsidP="00C40740">
      <w:pPr>
        <w:spacing w:line="360" w:lineRule="auto"/>
        <w:jc w:val="both"/>
        <w:rPr>
          <w:sz w:val="24"/>
          <w:szCs w:val="24"/>
        </w:rPr>
      </w:pPr>
      <w:r w:rsidRPr="00190804">
        <w:rPr>
          <w:rFonts w:ascii="Arial" w:hAnsi="Arial" w:cs="Arial"/>
          <w:sz w:val="24"/>
          <w:szCs w:val="24"/>
        </w:rPr>
        <w:lastRenderedPageBreak/>
        <w:t xml:space="preserve">The second model was based upon an annual renewable institutional licence </w:t>
      </w:r>
      <w:r w:rsidR="006E3891">
        <w:rPr>
          <w:rFonts w:ascii="Arial" w:hAnsi="Arial" w:cs="Arial"/>
          <w:sz w:val="24"/>
          <w:szCs w:val="24"/>
        </w:rPr>
        <w:t>te</w:t>
      </w:r>
      <w:r w:rsidRPr="00190804">
        <w:rPr>
          <w:rFonts w:ascii="Arial" w:hAnsi="Arial" w:cs="Arial"/>
          <w:sz w:val="24"/>
          <w:szCs w:val="24"/>
        </w:rPr>
        <w:t>sted with VIRTUHeart</w:t>
      </w:r>
      <w:r w:rsidRPr="00190804">
        <w:rPr>
          <w:rFonts w:ascii="Arial" w:hAnsi="Arial" w:cs="Arial"/>
          <w:sz w:val="24"/>
          <w:szCs w:val="24"/>
          <w:vertAlign w:val="superscript"/>
        </w:rPr>
        <w:t>TM</w:t>
      </w:r>
      <w:r w:rsidRPr="00190804">
        <w:rPr>
          <w:rFonts w:ascii="Arial" w:hAnsi="Arial" w:cs="Arial"/>
          <w:sz w:val="24"/>
          <w:szCs w:val="24"/>
        </w:rPr>
        <w:t>. A three-tier annual licence cost of £20000, £30000, and £50000 (low, medium, and high cost) was proposed to estimate the impact on the annual expenditure from the NHS perspective. Though there was no limit to the number of patients scanned in the institutional model, the analysis was conducted for 200 patients as an analogy to the first model. Hence, if the VIRTUHeart</w:t>
      </w:r>
      <w:r w:rsidRPr="00190804">
        <w:rPr>
          <w:rFonts w:ascii="Arial" w:hAnsi="Arial" w:cs="Arial"/>
          <w:sz w:val="24"/>
          <w:szCs w:val="24"/>
          <w:vertAlign w:val="superscript"/>
        </w:rPr>
        <w:t>TM</w:t>
      </w:r>
      <w:r w:rsidRPr="00190804">
        <w:rPr>
          <w:rFonts w:ascii="Arial" w:hAnsi="Arial" w:cs="Arial"/>
          <w:sz w:val="24"/>
          <w:szCs w:val="24"/>
        </w:rPr>
        <w:t xml:space="preserve"> were employed for 200 patients in the institutional licence, then it would bring the VIRTUHeart</w:t>
      </w:r>
      <w:r w:rsidRPr="00190804">
        <w:rPr>
          <w:rFonts w:ascii="Arial" w:hAnsi="Arial" w:cs="Arial"/>
          <w:sz w:val="24"/>
          <w:szCs w:val="24"/>
          <w:vertAlign w:val="superscript"/>
        </w:rPr>
        <w:t>TM</w:t>
      </w:r>
      <w:r w:rsidRPr="00190804">
        <w:rPr>
          <w:rFonts w:ascii="Arial" w:hAnsi="Arial" w:cs="Arial"/>
          <w:sz w:val="24"/>
          <w:szCs w:val="24"/>
        </w:rPr>
        <w:t xml:space="preserve"> costs to £100, £150, and £250 per patient for the annual institutional licence cost of £20000, £30000, and £50000 respectively.</w:t>
      </w:r>
      <w:r w:rsidR="00D43236">
        <w:rPr>
          <w:rFonts w:ascii="Arial" w:hAnsi="Arial" w:cs="Arial"/>
          <w:sz w:val="24"/>
          <w:szCs w:val="24"/>
        </w:rPr>
        <w:t xml:space="preserve"> T</w:t>
      </w:r>
      <w:r w:rsidRPr="00190804">
        <w:rPr>
          <w:rFonts w:ascii="Arial" w:hAnsi="Arial" w:cs="Arial"/>
          <w:sz w:val="24"/>
          <w:szCs w:val="24"/>
        </w:rPr>
        <w:t>he final ICER per QALY was calculated separately for all the three-tier tariffs in both proposed models (see results section).</w:t>
      </w:r>
    </w:p>
    <w:p w14:paraId="72E5FBF4" w14:textId="77777777" w:rsidR="004942B6" w:rsidRPr="00190804" w:rsidRDefault="004942B6" w:rsidP="004942B6">
      <w:pPr>
        <w:rPr>
          <w:sz w:val="24"/>
          <w:szCs w:val="24"/>
        </w:rPr>
      </w:pPr>
    </w:p>
    <w:p w14:paraId="7BFFB413" w14:textId="56B25BD2" w:rsidR="004942B6" w:rsidRDefault="004942B6" w:rsidP="004942B6">
      <w:pPr>
        <w:pStyle w:val="Heading3"/>
        <w:spacing w:line="360" w:lineRule="auto"/>
        <w:rPr>
          <w:rFonts w:ascii="Arial" w:hAnsi="Arial" w:cs="Arial"/>
          <w:color w:val="4472C4" w:themeColor="accent1"/>
          <w:sz w:val="24"/>
          <w:szCs w:val="24"/>
        </w:rPr>
      </w:pPr>
      <w:bookmarkStart w:id="678" w:name="_Toc164680492"/>
      <w:bookmarkStart w:id="679" w:name="_Toc164681390"/>
      <w:bookmarkStart w:id="680" w:name="_Toc170075068"/>
      <w:bookmarkStart w:id="681" w:name="_Toc170076055"/>
      <w:bookmarkStart w:id="682" w:name="_Toc170577754"/>
      <w:bookmarkStart w:id="683" w:name="_Toc171203127"/>
      <w:bookmarkStart w:id="684" w:name="_Toc171203898"/>
      <w:r w:rsidRPr="00190804">
        <w:rPr>
          <w:rFonts w:ascii="Arial" w:hAnsi="Arial" w:cs="Arial"/>
          <w:color w:val="4472C4" w:themeColor="accent1"/>
          <w:sz w:val="24"/>
          <w:szCs w:val="24"/>
        </w:rPr>
        <w:t>2.</w:t>
      </w:r>
      <w:r w:rsidR="002A3406">
        <w:rPr>
          <w:rFonts w:ascii="Arial" w:hAnsi="Arial" w:cs="Arial"/>
          <w:color w:val="4472C4" w:themeColor="accent1"/>
          <w:sz w:val="24"/>
          <w:szCs w:val="24"/>
        </w:rPr>
        <w:t>5</w:t>
      </w:r>
      <w:r w:rsidRPr="00190804">
        <w:rPr>
          <w:rFonts w:ascii="Arial" w:hAnsi="Arial" w:cs="Arial"/>
          <w:color w:val="4472C4" w:themeColor="accent1"/>
          <w:sz w:val="24"/>
          <w:szCs w:val="24"/>
        </w:rPr>
        <w:t>.3 Costs for the</w:t>
      </w:r>
      <w:bookmarkEnd w:id="678"/>
      <w:bookmarkEnd w:id="679"/>
      <w:r w:rsidR="00CC3D18">
        <w:rPr>
          <w:rFonts w:ascii="Arial" w:hAnsi="Arial" w:cs="Arial"/>
          <w:color w:val="4472C4" w:themeColor="accent1"/>
          <w:sz w:val="24"/>
          <w:szCs w:val="24"/>
        </w:rPr>
        <w:t xml:space="preserve"> management </w:t>
      </w:r>
      <w:r w:rsidR="00312462">
        <w:rPr>
          <w:rFonts w:ascii="Arial" w:hAnsi="Arial" w:cs="Arial"/>
          <w:color w:val="4472C4" w:themeColor="accent1"/>
          <w:sz w:val="24"/>
          <w:szCs w:val="24"/>
        </w:rPr>
        <w:t>plans</w:t>
      </w:r>
      <w:bookmarkEnd w:id="680"/>
      <w:bookmarkEnd w:id="681"/>
      <w:bookmarkEnd w:id="682"/>
      <w:bookmarkEnd w:id="683"/>
      <w:bookmarkEnd w:id="684"/>
    </w:p>
    <w:p w14:paraId="788E9CC1" w14:textId="77777777" w:rsidR="002A3406" w:rsidRPr="002A3406" w:rsidRDefault="002A3406" w:rsidP="002A3406"/>
    <w:p w14:paraId="4E9E9347" w14:textId="1E424A90" w:rsidR="002A0873" w:rsidRPr="00774792" w:rsidRDefault="002A0873" w:rsidP="002A0873">
      <w:pPr>
        <w:pStyle w:val="Heading3"/>
        <w:spacing w:line="360" w:lineRule="auto"/>
        <w:rPr>
          <w:rFonts w:ascii="Arial" w:hAnsi="Arial" w:cs="Arial"/>
          <w:color w:val="4472C4" w:themeColor="accent1"/>
          <w:sz w:val="24"/>
          <w:szCs w:val="24"/>
        </w:rPr>
      </w:pPr>
      <w:bookmarkStart w:id="685" w:name="_Toc164680493"/>
      <w:bookmarkStart w:id="686" w:name="_Toc164681391"/>
      <w:bookmarkStart w:id="687" w:name="_Toc170075069"/>
      <w:bookmarkStart w:id="688" w:name="_Toc170076056"/>
      <w:bookmarkStart w:id="689" w:name="_Toc170577755"/>
      <w:bookmarkStart w:id="690" w:name="_Toc171203128"/>
      <w:bookmarkStart w:id="691" w:name="_Toc171203899"/>
      <w:r w:rsidRPr="00774792">
        <w:rPr>
          <w:rFonts w:ascii="Arial" w:hAnsi="Arial" w:cs="Arial"/>
          <w:color w:val="4472C4" w:themeColor="accent1"/>
          <w:sz w:val="24"/>
          <w:szCs w:val="24"/>
        </w:rPr>
        <w:t>2.</w:t>
      </w:r>
      <w:r w:rsidR="002A3406">
        <w:rPr>
          <w:rFonts w:ascii="Arial" w:hAnsi="Arial" w:cs="Arial"/>
          <w:color w:val="4472C4" w:themeColor="accent1"/>
          <w:sz w:val="24"/>
          <w:szCs w:val="24"/>
        </w:rPr>
        <w:t>5</w:t>
      </w:r>
      <w:r w:rsidRPr="00774792">
        <w:rPr>
          <w:rFonts w:ascii="Arial" w:hAnsi="Arial" w:cs="Arial"/>
          <w:color w:val="4472C4" w:themeColor="accent1"/>
          <w:sz w:val="24"/>
          <w:szCs w:val="24"/>
        </w:rPr>
        <w:t>.</w:t>
      </w:r>
      <w:r w:rsidR="002A3406">
        <w:rPr>
          <w:rFonts w:ascii="Arial" w:hAnsi="Arial" w:cs="Arial"/>
          <w:color w:val="4472C4" w:themeColor="accent1"/>
          <w:sz w:val="24"/>
          <w:szCs w:val="24"/>
        </w:rPr>
        <w:t>3.1</w:t>
      </w:r>
      <w:r w:rsidRPr="00774792">
        <w:rPr>
          <w:rFonts w:ascii="Arial" w:hAnsi="Arial" w:cs="Arial"/>
          <w:color w:val="4472C4" w:themeColor="accent1"/>
          <w:sz w:val="24"/>
          <w:szCs w:val="24"/>
        </w:rPr>
        <w:t xml:space="preserve"> Costs for optimal medical therapy (OMT)</w:t>
      </w:r>
      <w:bookmarkEnd w:id="685"/>
      <w:bookmarkEnd w:id="686"/>
      <w:bookmarkEnd w:id="687"/>
      <w:bookmarkEnd w:id="688"/>
      <w:bookmarkEnd w:id="689"/>
      <w:bookmarkEnd w:id="690"/>
      <w:bookmarkEnd w:id="691"/>
    </w:p>
    <w:p w14:paraId="3484E861" w14:textId="21116821" w:rsidR="002A0873" w:rsidRDefault="002A0873" w:rsidP="002A0873">
      <w:pPr>
        <w:spacing w:line="360" w:lineRule="auto"/>
        <w:jc w:val="both"/>
        <w:rPr>
          <w:rFonts w:ascii="Arial" w:hAnsi="Arial" w:cs="Arial"/>
          <w:sz w:val="24"/>
          <w:szCs w:val="24"/>
        </w:rPr>
      </w:pPr>
      <w:r w:rsidRPr="005B2C99">
        <w:rPr>
          <w:rFonts w:ascii="Arial" w:hAnsi="Arial" w:cs="Arial"/>
          <w:sz w:val="24"/>
          <w:szCs w:val="24"/>
        </w:rPr>
        <w:t xml:space="preserve">The costs of the medications prescribed </w:t>
      </w:r>
      <w:r>
        <w:rPr>
          <w:rFonts w:ascii="Arial" w:hAnsi="Arial" w:cs="Arial"/>
          <w:sz w:val="24"/>
          <w:szCs w:val="24"/>
        </w:rPr>
        <w:t>for</w:t>
      </w:r>
      <w:r w:rsidRPr="005B2C99">
        <w:rPr>
          <w:rFonts w:ascii="Arial" w:hAnsi="Arial" w:cs="Arial"/>
          <w:sz w:val="24"/>
          <w:szCs w:val="24"/>
        </w:rPr>
        <w:t xml:space="preserve"> VIRTU-4 patients were gathered from the BNF indicative drug price list (online version). All patients with CAD </w:t>
      </w:r>
      <w:r>
        <w:rPr>
          <w:rFonts w:ascii="Arial" w:hAnsi="Arial" w:cs="Arial"/>
          <w:sz w:val="24"/>
          <w:szCs w:val="24"/>
        </w:rPr>
        <w:t>were</w:t>
      </w:r>
      <w:r w:rsidRPr="005B2C99">
        <w:rPr>
          <w:rFonts w:ascii="Arial" w:hAnsi="Arial" w:cs="Arial"/>
          <w:sz w:val="24"/>
          <w:szCs w:val="24"/>
        </w:rPr>
        <w:t xml:space="preserve"> routinely prescribed aspirin; ACS patients received ticagrelor, whil</w:t>
      </w:r>
      <w:r>
        <w:rPr>
          <w:rFonts w:ascii="Arial" w:hAnsi="Arial" w:cs="Arial"/>
          <w:sz w:val="24"/>
          <w:szCs w:val="24"/>
        </w:rPr>
        <w:t>st</w:t>
      </w:r>
      <w:r w:rsidRPr="005B2C99">
        <w:rPr>
          <w:rFonts w:ascii="Arial" w:hAnsi="Arial" w:cs="Arial"/>
          <w:sz w:val="24"/>
          <w:szCs w:val="24"/>
        </w:rPr>
        <w:t xml:space="preserve"> CCS patients received clopidogrel, as per the locally agreed policy for the second antiplatelet agent. In addition, both cohorts received an ACE inhibitor, of which ramipril 5mg once a day was the most prescribed. Bisoprolol 5mg and atorvastatin 80mg once a day were amongst the most frequently recommended beta-blockers and statins, respectively. For the doses of both bisoprolol and ramipril, the prescription</w:t>
      </w:r>
      <w:r>
        <w:rPr>
          <w:rFonts w:ascii="Arial" w:hAnsi="Arial" w:cs="Arial"/>
          <w:sz w:val="24"/>
          <w:szCs w:val="24"/>
        </w:rPr>
        <w:t xml:space="preserve"> was ranged</w:t>
      </w:r>
      <w:r w:rsidRPr="005B2C99">
        <w:rPr>
          <w:rFonts w:ascii="Arial" w:hAnsi="Arial" w:cs="Arial"/>
          <w:sz w:val="24"/>
          <w:szCs w:val="24"/>
        </w:rPr>
        <w:t xml:space="preserve"> between 1.25mg and 10mg once a day. Because there is no significant difference in the tariffs of different doses, the cost of 5mg for both drugs was used for standardisation. Patients also received glyceryl trinitrate sublingual spray to be used as required in an acute anginal attack. </w:t>
      </w:r>
      <w:r>
        <w:rPr>
          <w:rFonts w:ascii="Arial" w:hAnsi="Arial" w:cs="Arial"/>
          <w:sz w:val="24"/>
          <w:szCs w:val="24"/>
        </w:rPr>
        <w:t xml:space="preserve"> </w:t>
      </w:r>
      <w:r w:rsidRPr="00B50B12">
        <w:rPr>
          <w:rFonts w:ascii="Arial" w:hAnsi="Arial" w:cs="Arial"/>
          <w:sz w:val="24"/>
          <w:szCs w:val="24"/>
        </w:rPr>
        <w:t>Therefore, the total annual cost of optimal medical therapy (OMT) per ACS patient is £710, whereas for a CCS patient, it is £160.</w:t>
      </w:r>
      <w:r>
        <w:rPr>
          <w:rFonts w:ascii="Arial" w:hAnsi="Arial" w:cs="Arial"/>
          <w:sz w:val="24"/>
          <w:szCs w:val="24"/>
        </w:rPr>
        <w:t xml:space="preserve"> </w:t>
      </w:r>
      <w:r w:rsidRPr="005B2C99">
        <w:rPr>
          <w:rFonts w:ascii="Arial" w:hAnsi="Arial" w:cs="Arial"/>
          <w:sz w:val="24"/>
          <w:szCs w:val="24"/>
        </w:rPr>
        <w:t>The annual cost of individualised medication lists for each patient was calculated for the detailed analysis</w:t>
      </w:r>
      <w:r>
        <w:rPr>
          <w:rFonts w:ascii="Arial" w:hAnsi="Arial" w:cs="Arial"/>
          <w:sz w:val="24"/>
          <w:szCs w:val="24"/>
        </w:rPr>
        <w:t xml:space="preserve"> (see Table </w:t>
      </w:r>
      <w:r w:rsidR="006819FD">
        <w:rPr>
          <w:rFonts w:ascii="Arial" w:hAnsi="Arial" w:cs="Arial"/>
          <w:sz w:val="24"/>
          <w:szCs w:val="24"/>
        </w:rPr>
        <w:t>5</w:t>
      </w:r>
      <w:r>
        <w:rPr>
          <w:rFonts w:ascii="Arial" w:hAnsi="Arial" w:cs="Arial"/>
          <w:sz w:val="24"/>
          <w:szCs w:val="24"/>
        </w:rPr>
        <w:t>)</w:t>
      </w:r>
      <w:r w:rsidRPr="005B2C99">
        <w:rPr>
          <w:rFonts w:ascii="Arial" w:hAnsi="Arial" w:cs="Arial"/>
          <w:sz w:val="24"/>
          <w:szCs w:val="24"/>
        </w:rPr>
        <w:t>.</w:t>
      </w:r>
    </w:p>
    <w:p w14:paraId="69D3A60E" w14:textId="77777777" w:rsidR="002A0873" w:rsidRDefault="002A0873" w:rsidP="002A0873">
      <w:pPr>
        <w:spacing w:line="360" w:lineRule="auto"/>
        <w:jc w:val="both"/>
        <w:rPr>
          <w:rFonts w:ascii="Arial" w:hAnsi="Arial" w:cs="Arial"/>
          <w:sz w:val="24"/>
          <w:szCs w:val="24"/>
        </w:rPr>
      </w:pPr>
    </w:p>
    <w:p w14:paraId="77965899" w14:textId="45F9F3AA" w:rsidR="002A0873" w:rsidRPr="006162AC" w:rsidRDefault="002A0873" w:rsidP="002A0873">
      <w:pPr>
        <w:pStyle w:val="Caption"/>
        <w:keepNext/>
        <w:rPr>
          <w:rFonts w:ascii="Arial" w:hAnsi="Arial" w:cs="Arial"/>
          <w:color w:val="auto"/>
          <w:sz w:val="20"/>
          <w:szCs w:val="20"/>
        </w:rPr>
      </w:pPr>
      <w:bookmarkStart w:id="692" w:name="_Toc135462261"/>
      <w:bookmarkStart w:id="693" w:name="_Toc136312355"/>
      <w:bookmarkStart w:id="694" w:name="_Toc136329091"/>
      <w:bookmarkStart w:id="695" w:name="_Toc151222934"/>
      <w:bookmarkStart w:id="696" w:name="_Toc151630617"/>
      <w:bookmarkStart w:id="697" w:name="_Toc152340577"/>
      <w:bookmarkStart w:id="698" w:name="_Toc152598053"/>
      <w:bookmarkStart w:id="699" w:name="_Toc153725839"/>
      <w:bookmarkStart w:id="700" w:name="_Toc159318282"/>
      <w:bookmarkStart w:id="701" w:name="_Toc159610317"/>
      <w:bookmarkStart w:id="702" w:name="_Toc164699074"/>
      <w:r w:rsidRPr="006162AC">
        <w:rPr>
          <w:rFonts w:ascii="Arial" w:hAnsi="Arial" w:cs="Arial"/>
          <w:b/>
          <w:bCs/>
          <w:color w:val="auto"/>
          <w:sz w:val="20"/>
          <w:szCs w:val="20"/>
        </w:rPr>
        <w:lastRenderedPageBreak/>
        <w:t xml:space="preserve">Table </w:t>
      </w:r>
      <w:r w:rsidR="00F07C0B">
        <w:rPr>
          <w:rFonts w:ascii="Arial" w:hAnsi="Arial" w:cs="Arial"/>
          <w:b/>
          <w:bCs/>
          <w:color w:val="auto"/>
          <w:sz w:val="20"/>
          <w:szCs w:val="20"/>
        </w:rPr>
        <w:t>5</w:t>
      </w:r>
      <w:r w:rsidRPr="006162AC">
        <w:rPr>
          <w:rFonts w:ascii="Arial" w:hAnsi="Arial" w:cs="Arial"/>
          <w:b/>
          <w:bCs/>
          <w:color w:val="auto"/>
          <w:sz w:val="20"/>
          <w:szCs w:val="20"/>
        </w:rPr>
        <w:t>:</w:t>
      </w:r>
      <w:r w:rsidRPr="006162AC">
        <w:rPr>
          <w:rFonts w:ascii="Arial" w:hAnsi="Arial" w:cs="Arial"/>
          <w:color w:val="auto"/>
          <w:sz w:val="20"/>
          <w:szCs w:val="20"/>
        </w:rPr>
        <w:t xml:space="preserve"> BNF indicative prices (2023) for cardiac medications</w:t>
      </w:r>
      <w:bookmarkEnd w:id="692"/>
      <w:bookmarkEnd w:id="693"/>
      <w:bookmarkEnd w:id="694"/>
      <w:bookmarkEnd w:id="695"/>
      <w:bookmarkEnd w:id="696"/>
      <w:bookmarkEnd w:id="697"/>
      <w:bookmarkEnd w:id="698"/>
      <w:bookmarkEnd w:id="699"/>
      <w:bookmarkEnd w:id="700"/>
      <w:bookmarkEnd w:id="701"/>
      <w:bookmarkEnd w:id="702"/>
    </w:p>
    <w:tbl>
      <w:tblPr>
        <w:tblStyle w:val="TableGrid"/>
        <w:tblW w:w="9640" w:type="dxa"/>
        <w:tblInd w:w="-289" w:type="dxa"/>
        <w:tblLook w:val="04A0" w:firstRow="1" w:lastRow="0" w:firstColumn="1" w:lastColumn="0" w:noHBand="0" w:noVBand="1"/>
      </w:tblPr>
      <w:tblGrid>
        <w:gridCol w:w="1702"/>
        <w:gridCol w:w="1701"/>
        <w:gridCol w:w="1596"/>
        <w:gridCol w:w="1489"/>
        <w:gridCol w:w="1802"/>
        <w:gridCol w:w="1350"/>
      </w:tblGrid>
      <w:tr w:rsidR="002A0873" w:rsidRPr="009222F3" w14:paraId="2AF29D5D" w14:textId="77777777" w:rsidTr="00CC3D18">
        <w:tc>
          <w:tcPr>
            <w:tcW w:w="1702" w:type="dxa"/>
          </w:tcPr>
          <w:p w14:paraId="5DD1ECE7" w14:textId="77777777" w:rsidR="002A0873" w:rsidRPr="009222F3" w:rsidRDefault="002A0873" w:rsidP="00211F4C">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Medication</w:t>
            </w:r>
          </w:p>
        </w:tc>
        <w:tc>
          <w:tcPr>
            <w:tcW w:w="1701" w:type="dxa"/>
          </w:tcPr>
          <w:p w14:paraId="597A358E" w14:textId="77777777" w:rsidR="002A0873" w:rsidRPr="009222F3" w:rsidRDefault="002A0873" w:rsidP="00211F4C">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Maintenance Dose</w:t>
            </w:r>
          </w:p>
        </w:tc>
        <w:tc>
          <w:tcPr>
            <w:tcW w:w="1596" w:type="dxa"/>
          </w:tcPr>
          <w:p w14:paraId="4065680B" w14:textId="77777777" w:rsidR="002A0873" w:rsidRPr="009222F3" w:rsidRDefault="002A0873" w:rsidP="00211F4C">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Number of tablets in a pack</w:t>
            </w:r>
          </w:p>
        </w:tc>
        <w:tc>
          <w:tcPr>
            <w:tcW w:w="1489" w:type="dxa"/>
          </w:tcPr>
          <w:p w14:paraId="0D555793" w14:textId="77777777" w:rsidR="002A0873" w:rsidRPr="009222F3" w:rsidRDefault="002A0873" w:rsidP="00211F4C">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Cost</w:t>
            </w:r>
            <w:r>
              <w:rPr>
                <w:rFonts w:ascii="Arial" w:hAnsi="Arial" w:cs="Arial"/>
                <w:color w:val="000000" w:themeColor="text1"/>
                <w:sz w:val="24"/>
                <w:szCs w:val="24"/>
              </w:rPr>
              <w:t xml:space="preserve"> per </w:t>
            </w:r>
            <w:r w:rsidRPr="009222F3">
              <w:rPr>
                <w:rFonts w:ascii="Arial" w:hAnsi="Arial" w:cs="Arial"/>
                <w:color w:val="000000" w:themeColor="text1"/>
                <w:sz w:val="24"/>
                <w:szCs w:val="24"/>
              </w:rPr>
              <w:t>tablet</w:t>
            </w:r>
          </w:p>
        </w:tc>
        <w:tc>
          <w:tcPr>
            <w:tcW w:w="1802" w:type="dxa"/>
          </w:tcPr>
          <w:p w14:paraId="1E0D5342" w14:textId="77777777" w:rsidR="002A0873" w:rsidRPr="009222F3" w:rsidRDefault="002A0873" w:rsidP="00211F4C">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NHS indicative cost/month</w:t>
            </w:r>
          </w:p>
        </w:tc>
        <w:tc>
          <w:tcPr>
            <w:tcW w:w="1350" w:type="dxa"/>
          </w:tcPr>
          <w:p w14:paraId="003FCEF1" w14:textId="77777777" w:rsidR="002A0873" w:rsidRPr="009222F3" w:rsidRDefault="002A0873" w:rsidP="00211F4C">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Annual cost</w:t>
            </w:r>
          </w:p>
        </w:tc>
      </w:tr>
      <w:tr w:rsidR="002A0873" w:rsidRPr="009222F3" w14:paraId="5DAF14EF" w14:textId="77777777" w:rsidTr="00CC3D18">
        <w:tc>
          <w:tcPr>
            <w:tcW w:w="1702" w:type="dxa"/>
          </w:tcPr>
          <w:p w14:paraId="388BB9E6"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Aspirin</w:t>
            </w:r>
          </w:p>
        </w:tc>
        <w:tc>
          <w:tcPr>
            <w:tcW w:w="1701" w:type="dxa"/>
          </w:tcPr>
          <w:p w14:paraId="63678EDC"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75mg OD</w:t>
            </w:r>
          </w:p>
        </w:tc>
        <w:tc>
          <w:tcPr>
            <w:tcW w:w="1596" w:type="dxa"/>
          </w:tcPr>
          <w:p w14:paraId="16E073C1"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28</w:t>
            </w:r>
          </w:p>
        </w:tc>
        <w:tc>
          <w:tcPr>
            <w:tcW w:w="1489" w:type="dxa"/>
          </w:tcPr>
          <w:p w14:paraId="3BC560D2" w14:textId="030ECDF2" w:rsidR="002A0873" w:rsidRPr="004333EA" w:rsidRDefault="00CC3D18" w:rsidP="00211F4C">
            <w:pPr>
              <w:spacing w:line="360" w:lineRule="auto"/>
              <w:jc w:val="both"/>
              <w:rPr>
                <w:rFonts w:ascii="Arial" w:hAnsi="Arial" w:cs="Arial"/>
                <w:color w:val="000000" w:themeColor="text1"/>
              </w:rPr>
            </w:pPr>
            <w:r>
              <w:rPr>
                <w:rFonts w:ascii="Arial" w:hAnsi="Arial" w:cs="Arial"/>
                <w:color w:val="000000" w:themeColor="text1"/>
              </w:rPr>
              <w:t xml:space="preserve">     </w:t>
            </w:r>
            <w:r w:rsidR="002A0873" w:rsidRPr="004333EA">
              <w:rPr>
                <w:rFonts w:ascii="Arial" w:hAnsi="Arial" w:cs="Arial"/>
                <w:color w:val="000000" w:themeColor="text1"/>
              </w:rPr>
              <w:t>£0.02</w:t>
            </w:r>
          </w:p>
        </w:tc>
        <w:tc>
          <w:tcPr>
            <w:tcW w:w="1802" w:type="dxa"/>
          </w:tcPr>
          <w:p w14:paraId="1E202A7D"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£0.74</w:t>
            </w:r>
          </w:p>
        </w:tc>
        <w:tc>
          <w:tcPr>
            <w:tcW w:w="1350" w:type="dxa"/>
          </w:tcPr>
          <w:p w14:paraId="530ABADA"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£8.88</w:t>
            </w:r>
          </w:p>
        </w:tc>
      </w:tr>
      <w:tr w:rsidR="002A0873" w:rsidRPr="009222F3" w14:paraId="52EB2A72" w14:textId="77777777" w:rsidTr="00CC3D18">
        <w:tc>
          <w:tcPr>
            <w:tcW w:w="1702" w:type="dxa"/>
          </w:tcPr>
          <w:p w14:paraId="20C30991"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Clopidogrel</w:t>
            </w:r>
          </w:p>
        </w:tc>
        <w:tc>
          <w:tcPr>
            <w:tcW w:w="1701" w:type="dxa"/>
          </w:tcPr>
          <w:p w14:paraId="7552B300"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75mg OD</w:t>
            </w:r>
          </w:p>
        </w:tc>
        <w:tc>
          <w:tcPr>
            <w:tcW w:w="1596" w:type="dxa"/>
          </w:tcPr>
          <w:p w14:paraId="00A9F11A"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30</w:t>
            </w:r>
          </w:p>
        </w:tc>
        <w:tc>
          <w:tcPr>
            <w:tcW w:w="1489" w:type="dxa"/>
          </w:tcPr>
          <w:p w14:paraId="12932DB7" w14:textId="6B5093CE"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£0.04</w:t>
            </w:r>
          </w:p>
        </w:tc>
        <w:tc>
          <w:tcPr>
            <w:tcW w:w="1802" w:type="dxa"/>
          </w:tcPr>
          <w:p w14:paraId="334D92F5"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£1.46</w:t>
            </w:r>
          </w:p>
        </w:tc>
        <w:tc>
          <w:tcPr>
            <w:tcW w:w="1350" w:type="dxa"/>
          </w:tcPr>
          <w:p w14:paraId="420B9F4D"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£17.52</w:t>
            </w:r>
          </w:p>
        </w:tc>
      </w:tr>
      <w:tr w:rsidR="002A0873" w:rsidRPr="009222F3" w14:paraId="31BB0F91" w14:textId="77777777" w:rsidTr="00CC3D18">
        <w:tc>
          <w:tcPr>
            <w:tcW w:w="1702" w:type="dxa"/>
          </w:tcPr>
          <w:p w14:paraId="22C834ED"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Ticagrelor</w:t>
            </w:r>
          </w:p>
        </w:tc>
        <w:tc>
          <w:tcPr>
            <w:tcW w:w="1701" w:type="dxa"/>
          </w:tcPr>
          <w:p w14:paraId="75A335F2"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90mg BD</w:t>
            </w:r>
          </w:p>
        </w:tc>
        <w:tc>
          <w:tcPr>
            <w:tcW w:w="1596" w:type="dxa"/>
          </w:tcPr>
          <w:p w14:paraId="11597A8E"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56</w:t>
            </w:r>
          </w:p>
        </w:tc>
        <w:tc>
          <w:tcPr>
            <w:tcW w:w="1489" w:type="dxa"/>
          </w:tcPr>
          <w:p w14:paraId="30BF53F5" w14:textId="51B4B00F"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£0.97</w:t>
            </w:r>
          </w:p>
        </w:tc>
        <w:tc>
          <w:tcPr>
            <w:tcW w:w="1802" w:type="dxa"/>
          </w:tcPr>
          <w:p w14:paraId="3704A496"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£54.60</w:t>
            </w:r>
          </w:p>
        </w:tc>
        <w:tc>
          <w:tcPr>
            <w:tcW w:w="1350" w:type="dxa"/>
          </w:tcPr>
          <w:p w14:paraId="482AEC61"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£655.20</w:t>
            </w:r>
          </w:p>
        </w:tc>
      </w:tr>
      <w:tr w:rsidR="002A0873" w:rsidRPr="009222F3" w14:paraId="49C7D1A5" w14:textId="77777777" w:rsidTr="00CC3D18">
        <w:tc>
          <w:tcPr>
            <w:tcW w:w="1702" w:type="dxa"/>
          </w:tcPr>
          <w:p w14:paraId="70510EB5"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Atorvastatin</w:t>
            </w:r>
          </w:p>
        </w:tc>
        <w:tc>
          <w:tcPr>
            <w:tcW w:w="1701" w:type="dxa"/>
          </w:tcPr>
          <w:p w14:paraId="70AE1835"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80mg OD</w:t>
            </w:r>
          </w:p>
        </w:tc>
        <w:tc>
          <w:tcPr>
            <w:tcW w:w="1596" w:type="dxa"/>
          </w:tcPr>
          <w:p w14:paraId="61E39D2B"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28</w:t>
            </w:r>
          </w:p>
        </w:tc>
        <w:tc>
          <w:tcPr>
            <w:tcW w:w="1489" w:type="dxa"/>
          </w:tcPr>
          <w:p w14:paraId="74115475"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£0.05</w:t>
            </w:r>
          </w:p>
        </w:tc>
        <w:tc>
          <w:tcPr>
            <w:tcW w:w="1802" w:type="dxa"/>
          </w:tcPr>
          <w:p w14:paraId="57E2048A"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£1.40</w:t>
            </w:r>
          </w:p>
        </w:tc>
        <w:tc>
          <w:tcPr>
            <w:tcW w:w="1350" w:type="dxa"/>
          </w:tcPr>
          <w:p w14:paraId="14D4FBAD"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£18.25</w:t>
            </w:r>
          </w:p>
        </w:tc>
      </w:tr>
      <w:tr w:rsidR="002A0873" w:rsidRPr="009222F3" w14:paraId="1F010D09" w14:textId="77777777" w:rsidTr="00CC3D18">
        <w:tc>
          <w:tcPr>
            <w:tcW w:w="1702" w:type="dxa"/>
          </w:tcPr>
          <w:p w14:paraId="11C290D1"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Ramipril</w:t>
            </w:r>
          </w:p>
        </w:tc>
        <w:tc>
          <w:tcPr>
            <w:tcW w:w="1701" w:type="dxa"/>
          </w:tcPr>
          <w:p w14:paraId="703A6EA6"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5mg OD</w:t>
            </w:r>
          </w:p>
        </w:tc>
        <w:tc>
          <w:tcPr>
            <w:tcW w:w="1596" w:type="dxa"/>
          </w:tcPr>
          <w:p w14:paraId="0CB3D683"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28</w:t>
            </w:r>
          </w:p>
        </w:tc>
        <w:tc>
          <w:tcPr>
            <w:tcW w:w="1489" w:type="dxa"/>
          </w:tcPr>
          <w:p w14:paraId="6A390AF9"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£0.05</w:t>
            </w:r>
          </w:p>
        </w:tc>
        <w:tc>
          <w:tcPr>
            <w:tcW w:w="1802" w:type="dxa"/>
          </w:tcPr>
          <w:p w14:paraId="2966D2D1"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£1.43</w:t>
            </w:r>
          </w:p>
        </w:tc>
        <w:tc>
          <w:tcPr>
            <w:tcW w:w="1350" w:type="dxa"/>
          </w:tcPr>
          <w:p w14:paraId="68B26607"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£17.16</w:t>
            </w:r>
          </w:p>
        </w:tc>
      </w:tr>
      <w:tr w:rsidR="002A0873" w:rsidRPr="009222F3" w14:paraId="0A93B326" w14:textId="77777777" w:rsidTr="00CC3D18">
        <w:tc>
          <w:tcPr>
            <w:tcW w:w="1702" w:type="dxa"/>
          </w:tcPr>
          <w:p w14:paraId="065DDABB"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Bisoprolol</w:t>
            </w:r>
          </w:p>
        </w:tc>
        <w:tc>
          <w:tcPr>
            <w:tcW w:w="1701" w:type="dxa"/>
          </w:tcPr>
          <w:p w14:paraId="599CDDD9"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5mg OD</w:t>
            </w:r>
          </w:p>
        </w:tc>
        <w:tc>
          <w:tcPr>
            <w:tcW w:w="1596" w:type="dxa"/>
          </w:tcPr>
          <w:p w14:paraId="71F7A439"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28</w:t>
            </w:r>
          </w:p>
        </w:tc>
        <w:tc>
          <w:tcPr>
            <w:tcW w:w="1489" w:type="dxa"/>
          </w:tcPr>
          <w:p w14:paraId="4464091B"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£0.02</w:t>
            </w:r>
          </w:p>
        </w:tc>
        <w:tc>
          <w:tcPr>
            <w:tcW w:w="1802" w:type="dxa"/>
          </w:tcPr>
          <w:p w14:paraId="4CBE27F3"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£0.73</w:t>
            </w:r>
          </w:p>
        </w:tc>
        <w:tc>
          <w:tcPr>
            <w:tcW w:w="1350" w:type="dxa"/>
          </w:tcPr>
          <w:p w14:paraId="360F78A2"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£7.30</w:t>
            </w:r>
          </w:p>
        </w:tc>
      </w:tr>
      <w:tr w:rsidR="002A0873" w:rsidRPr="009222F3" w14:paraId="4D04F69E" w14:textId="77777777" w:rsidTr="00CC3D18">
        <w:tc>
          <w:tcPr>
            <w:tcW w:w="1702" w:type="dxa"/>
          </w:tcPr>
          <w:p w14:paraId="5F4C798B"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Isosorbide Mononitrate XL</w:t>
            </w:r>
          </w:p>
        </w:tc>
        <w:tc>
          <w:tcPr>
            <w:tcW w:w="1701" w:type="dxa"/>
          </w:tcPr>
          <w:p w14:paraId="13DFA0F1"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25mg OD</w:t>
            </w:r>
          </w:p>
        </w:tc>
        <w:tc>
          <w:tcPr>
            <w:tcW w:w="1596" w:type="dxa"/>
          </w:tcPr>
          <w:p w14:paraId="052DF00E"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28</w:t>
            </w:r>
          </w:p>
        </w:tc>
        <w:tc>
          <w:tcPr>
            <w:tcW w:w="1489" w:type="dxa"/>
          </w:tcPr>
          <w:p w14:paraId="4E5F0CE5"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£0.24</w:t>
            </w:r>
          </w:p>
        </w:tc>
        <w:tc>
          <w:tcPr>
            <w:tcW w:w="1802" w:type="dxa"/>
          </w:tcPr>
          <w:p w14:paraId="2F7E95CB"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£6.75</w:t>
            </w:r>
          </w:p>
        </w:tc>
        <w:tc>
          <w:tcPr>
            <w:tcW w:w="1350" w:type="dxa"/>
          </w:tcPr>
          <w:p w14:paraId="2645561A"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£87.99</w:t>
            </w:r>
          </w:p>
        </w:tc>
      </w:tr>
      <w:tr w:rsidR="002A0873" w:rsidRPr="009222F3" w14:paraId="728F5D3C" w14:textId="77777777" w:rsidTr="00CC3D18">
        <w:tc>
          <w:tcPr>
            <w:tcW w:w="1702" w:type="dxa"/>
          </w:tcPr>
          <w:p w14:paraId="5275D6B3"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Glyceryl Trinitrate spray</w:t>
            </w:r>
          </w:p>
        </w:tc>
        <w:tc>
          <w:tcPr>
            <w:tcW w:w="1701" w:type="dxa"/>
          </w:tcPr>
          <w:p w14:paraId="0DBA7FED"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400mcg/puff</w:t>
            </w:r>
          </w:p>
        </w:tc>
        <w:tc>
          <w:tcPr>
            <w:tcW w:w="1596" w:type="dxa"/>
          </w:tcPr>
          <w:p w14:paraId="46CA53FB"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NA</w:t>
            </w:r>
          </w:p>
        </w:tc>
        <w:tc>
          <w:tcPr>
            <w:tcW w:w="1489" w:type="dxa"/>
          </w:tcPr>
          <w:p w14:paraId="5B049674"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£0.13/puff</w:t>
            </w:r>
          </w:p>
        </w:tc>
        <w:tc>
          <w:tcPr>
            <w:tcW w:w="1802" w:type="dxa"/>
          </w:tcPr>
          <w:p w14:paraId="5A0CCAEA"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£3.85</w:t>
            </w:r>
          </w:p>
        </w:tc>
        <w:tc>
          <w:tcPr>
            <w:tcW w:w="1350" w:type="dxa"/>
          </w:tcPr>
          <w:p w14:paraId="37D146A1" w14:textId="77777777" w:rsidR="002A0873" w:rsidRPr="004333EA" w:rsidRDefault="002A0873" w:rsidP="00211F4C">
            <w:pPr>
              <w:spacing w:line="360" w:lineRule="auto"/>
              <w:jc w:val="both"/>
              <w:rPr>
                <w:rFonts w:ascii="Arial" w:hAnsi="Arial" w:cs="Arial"/>
                <w:color w:val="000000" w:themeColor="text1"/>
              </w:rPr>
            </w:pPr>
            <w:r w:rsidRPr="004333EA">
              <w:rPr>
                <w:rFonts w:ascii="Arial" w:hAnsi="Arial" w:cs="Arial"/>
                <w:color w:val="000000" w:themeColor="text1"/>
              </w:rPr>
              <w:t>£3.85</w:t>
            </w:r>
          </w:p>
        </w:tc>
      </w:tr>
      <w:tr w:rsidR="008A784A" w:rsidRPr="009222F3" w14:paraId="41B62245" w14:textId="77777777" w:rsidTr="00CC3D18">
        <w:trPr>
          <w:trHeight w:val="192"/>
        </w:trPr>
        <w:tc>
          <w:tcPr>
            <w:tcW w:w="8290" w:type="dxa"/>
            <w:gridSpan w:val="5"/>
          </w:tcPr>
          <w:p w14:paraId="27A9553C" w14:textId="1B255CB0" w:rsidR="008A784A" w:rsidRPr="004333EA" w:rsidRDefault="008A784A" w:rsidP="00211F4C">
            <w:pPr>
              <w:spacing w:line="360" w:lineRule="auto"/>
              <w:jc w:val="both"/>
              <w:rPr>
                <w:rFonts w:ascii="Arial" w:hAnsi="Arial" w:cs="Arial"/>
                <w:color w:val="000000" w:themeColor="text1"/>
              </w:rPr>
            </w:pPr>
            <w:r>
              <w:rPr>
                <w:rFonts w:ascii="Arial" w:hAnsi="Arial" w:cs="Arial"/>
                <w:color w:val="000000" w:themeColor="text1"/>
              </w:rPr>
              <w:t>Total annual costs for ACS patients</w:t>
            </w:r>
            <w:r w:rsidR="006468D0">
              <w:rPr>
                <w:rFonts w:ascii="Arial" w:hAnsi="Arial" w:cs="Arial"/>
                <w:color w:val="000000" w:themeColor="text1"/>
              </w:rPr>
              <w:t xml:space="preserve"> (with Ticagrelor as dual anti-platelet agent)</w:t>
            </w:r>
          </w:p>
        </w:tc>
        <w:tc>
          <w:tcPr>
            <w:tcW w:w="1350" w:type="dxa"/>
          </w:tcPr>
          <w:p w14:paraId="2637B20B" w14:textId="5057C846" w:rsidR="008A784A" w:rsidRPr="004333EA" w:rsidRDefault="006468D0" w:rsidP="00211F4C">
            <w:pPr>
              <w:spacing w:line="360" w:lineRule="auto"/>
              <w:jc w:val="both"/>
              <w:rPr>
                <w:rFonts w:ascii="Arial" w:hAnsi="Arial" w:cs="Arial"/>
                <w:color w:val="000000" w:themeColor="text1"/>
              </w:rPr>
            </w:pPr>
            <w:r>
              <w:rPr>
                <w:rFonts w:ascii="Arial" w:hAnsi="Arial" w:cs="Arial"/>
                <w:color w:val="000000" w:themeColor="text1"/>
              </w:rPr>
              <w:t>£710</w:t>
            </w:r>
          </w:p>
        </w:tc>
      </w:tr>
      <w:tr w:rsidR="006468D0" w:rsidRPr="009222F3" w14:paraId="5F57747A" w14:textId="77777777" w:rsidTr="00CC3D18">
        <w:trPr>
          <w:trHeight w:val="192"/>
        </w:trPr>
        <w:tc>
          <w:tcPr>
            <w:tcW w:w="8290" w:type="dxa"/>
            <w:gridSpan w:val="5"/>
          </w:tcPr>
          <w:p w14:paraId="22D9482F" w14:textId="437DDE33" w:rsidR="006468D0" w:rsidRDefault="006468D0" w:rsidP="006468D0">
            <w:pPr>
              <w:spacing w:line="360" w:lineRule="auto"/>
              <w:jc w:val="both"/>
              <w:rPr>
                <w:rFonts w:ascii="Arial" w:hAnsi="Arial" w:cs="Arial"/>
                <w:color w:val="000000" w:themeColor="text1"/>
              </w:rPr>
            </w:pPr>
            <w:r>
              <w:rPr>
                <w:rFonts w:ascii="Arial" w:hAnsi="Arial" w:cs="Arial"/>
                <w:color w:val="000000" w:themeColor="text1"/>
              </w:rPr>
              <w:t>Total annual costs for CCS patients (with Clopidogrel as dual anti-platelet agent)</w:t>
            </w:r>
          </w:p>
        </w:tc>
        <w:tc>
          <w:tcPr>
            <w:tcW w:w="1350" w:type="dxa"/>
          </w:tcPr>
          <w:p w14:paraId="04B2EDBF" w14:textId="70A80BB9" w:rsidR="006468D0" w:rsidRPr="004333EA" w:rsidRDefault="006468D0" w:rsidP="006468D0">
            <w:pPr>
              <w:spacing w:line="360" w:lineRule="auto"/>
              <w:jc w:val="both"/>
              <w:rPr>
                <w:rFonts w:ascii="Arial" w:hAnsi="Arial" w:cs="Arial"/>
                <w:color w:val="000000" w:themeColor="text1"/>
              </w:rPr>
            </w:pPr>
            <w:r>
              <w:rPr>
                <w:rFonts w:ascii="Arial" w:hAnsi="Arial" w:cs="Arial"/>
                <w:color w:val="000000" w:themeColor="text1"/>
              </w:rPr>
              <w:t>£160</w:t>
            </w:r>
          </w:p>
        </w:tc>
      </w:tr>
    </w:tbl>
    <w:p w14:paraId="67905536" w14:textId="77777777" w:rsidR="002A0873" w:rsidRDefault="002A0873" w:rsidP="00CF55F4">
      <w:pPr>
        <w:spacing w:line="360" w:lineRule="auto"/>
      </w:pPr>
    </w:p>
    <w:p w14:paraId="4AE0B054" w14:textId="55F3B783" w:rsidR="007120E5" w:rsidRPr="00774792" w:rsidRDefault="002A3406" w:rsidP="00CF55F4">
      <w:pPr>
        <w:pStyle w:val="Heading3"/>
        <w:spacing w:line="360" w:lineRule="auto"/>
        <w:rPr>
          <w:rFonts w:ascii="Arial" w:hAnsi="Arial" w:cs="Arial"/>
          <w:color w:val="4472C4" w:themeColor="accent1"/>
          <w:sz w:val="24"/>
          <w:szCs w:val="24"/>
        </w:rPr>
      </w:pPr>
      <w:bookmarkStart w:id="703" w:name="_Toc170075070"/>
      <w:bookmarkStart w:id="704" w:name="_Toc170076057"/>
      <w:bookmarkStart w:id="705" w:name="_Toc170577756"/>
      <w:bookmarkStart w:id="706" w:name="_Toc171203129"/>
      <w:bookmarkStart w:id="707" w:name="_Toc171203900"/>
      <w:r>
        <w:rPr>
          <w:rFonts w:ascii="Arial" w:hAnsi="Arial" w:cs="Arial"/>
          <w:color w:val="4472C4" w:themeColor="accent1"/>
          <w:sz w:val="24"/>
          <w:szCs w:val="24"/>
        </w:rPr>
        <w:t xml:space="preserve">2.5.3.2 </w:t>
      </w:r>
      <w:r w:rsidR="007120E5" w:rsidRPr="00774792">
        <w:rPr>
          <w:rFonts w:ascii="Arial" w:hAnsi="Arial" w:cs="Arial"/>
          <w:color w:val="4472C4" w:themeColor="accent1"/>
          <w:sz w:val="24"/>
          <w:szCs w:val="24"/>
        </w:rPr>
        <w:t xml:space="preserve">Costs </w:t>
      </w:r>
      <w:r w:rsidR="00BC1A2F">
        <w:rPr>
          <w:rFonts w:ascii="Arial" w:hAnsi="Arial" w:cs="Arial"/>
          <w:color w:val="4472C4" w:themeColor="accent1"/>
          <w:sz w:val="24"/>
          <w:szCs w:val="24"/>
        </w:rPr>
        <w:t xml:space="preserve">for </w:t>
      </w:r>
      <w:r w:rsidR="006C0F2C">
        <w:rPr>
          <w:rFonts w:ascii="Arial" w:hAnsi="Arial" w:cs="Arial"/>
          <w:color w:val="4472C4" w:themeColor="accent1"/>
          <w:sz w:val="24"/>
          <w:szCs w:val="24"/>
        </w:rPr>
        <w:t>each management plan according to NHS tariff</w:t>
      </w:r>
      <w:r w:rsidR="00412C80">
        <w:rPr>
          <w:rFonts w:ascii="Arial" w:hAnsi="Arial" w:cs="Arial"/>
          <w:color w:val="4472C4" w:themeColor="accent1"/>
          <w:sz w:val="24"/>
          <w:szCs w:val="24"/>
        </w:rPr>
        <w:t>s 2022-23</w:t>
      </w:r>
      <w:bookmarkEnd w:id="703"/>
      <w:bookmarkEnd w:id="704"/>
      <w:bookmarkEnd w:id="705"/>
      <w:bookmarkEnd w:id="706"/>
      <w:bookmarkEnd w:id="707"/>
    </w:p>
    <w:p w14:paraId="271FC065" w14:textId="220AFA87" w:rsidR="00B931FE" w:rsidRDefault="004942B6" w:rsidP="004942B6">
      <w:pPr>
        <w:spacing w:line="360" w:lineRule="auto"/>
        <w:jc w:val="both"/>
        <w:rPr>
          <w:rFonts w:ascii="Arial" w:hAnsi="Arial" w:cs="Arial"/>
          <w:sz w:val="24"/>
          <w:szCs w:val="24"/>
        </w:rPr>
      </w:pPr>
      <w:r w:rsidRPr="00190804">
        <w:rPr>
          <w:rFonts w:ascii="Arial" w:hAnsi="Arial" w:cs="Arial"/>
          <w:sz w:val="24"/>
          <w:szCs w:val="24"/>
        </w:rPr>
        <w:t xml:space="preserve">The costs for each treatment strategy were modelled using the NHS tariffs 2022-23 (explained above). The lower bracket of CC scores (0-6) was used to standardise </w:t>
      </w:r>
      <w:r w:rsidR="002715C0" w:rsidRPr="00190804">
        <w:rPr>
          <w:rFonts w:ascii="Arial" w:hAnsi="Arial" w:cs="Arial"/>
          <w:sz w:val="24"/>
          <w:szCs w:val="24"/>
        </w:rPr>
        <w:t xml:space="preserve">the </w:t>
      </w:r>
      <w:r w:rsidR="002715C0">
        <w:rPr>
          <w:rFonts w:ascii="Arial" w:hAnsi="Arial" w:cs="Arial"/>
          <w:sz w:val="24"/>
          <w:szCs w:val="24"/>
        </w:rPr>
        <w:t>cost</w:t>
      </w:r>
      <w:r w:rsidRPr="00190804">
        <w:rPr>
          <w:rFonts w:ascii="Arial" w:hAnsi="Arial" w:cs="Arial"/>
          <w:sz w:val="24"/>
          <w:szCs w:val="24"/>
        </w:rPr>
        <w:t xml:space="preserve"> of the procedures. </w:t>
      </w:r>
      <w:r w:rsidR="00C9156D" w:rsidRPr="00C9156D">
        <w:rPr>
          <w:rFonts w:ascii="Arial" w:hAnsi="Arial" w:cs="Arial"/>
          <w:sz w:val="24"/>
          <w:szCs w:val="24"/>
        </w:rPr>
        <w:t xml:space="preserve">Individual-level cost modelling was performed for all patients in the VIRTU-4 HE study, with a separate analysis conducted for the </w:t>
      </w:r>
      <w:r w:rsidR="00C9156D">
        <w:rPr>
          <w:rFonts w:ascii="Arial" w:hAnsi="Arial" w:cs="Arial"/>
          <w:sz w:val="24"/>
          <w:szCs w:val="24"/>
        </w:rPr>
        <w:t xml:space="preserve">virtual change </w:t>
      </w:r>
      <w:r w:rsidR="00C9156D" w:rsidRPr="00C9156D">
        <w:rPr>
          <w:rFonts w:ascii="Arial" w:hAnsi="Arial" w:cs="Arial"/>
          <w:sz w:val="24"/>
          <w:szCs w:val="24"/>
        </w:rPr>
        <w:t xml:space="preserve">subset </w:t>
      </w:r>
      <w:r w:rsidR="00715F99">
        <w:rPr>
          <w:rFonts w:ascii="Arial" w:hAnsi="Arial" w:cs="Arial"/>
          <w:sz w:val="24"/>
          <w:szCs w:val="24"/>
        </w:rPr>
        <w:t xml:space="preserve">to </w:t>
      </w:r>
      <w:r w:rsidR="00C9156D" w:rsidRPr="00C9156D">
        <w:rPr>
          <w:rFonts w:ascii="Arial" w:hAnsi="Arial" w:cs="Arial"/>
          <w:sz w:val="24"/>
          <w:szCs w:val="24"/>
        </w:rPr>
        <w:t xml:space="preserve">compare costs between the actual management plans and the vFFR-suggested virtual </w:t>
      </w:r>
      <w:r w:rsidR="00C43B2A" w:rsidRPr="00C9156D">
        <w:rPr>
          <w:rFonts w:ascii="Arial" w:hAnsi="Arial" w:cs="Arial"/>
          <w:sz w:val="24"/>
          <w:szCs w:val="24"/>
        </w:rPr>
        <w:t>plans.</w:t>
      </w:r>
      <w:r w:rsidR="00C43B2A" w:rsidRPr="00190804">
        <w:rPr>
          <w:rFonts w:ascii="Arial" w:hAnsi="Arial" w:cs="Arial"/>
          <w:sz w:val="24"/>
          <w:szCs w:val="24"/>
        </w:rPr>
        <w:t xml:space="preserve"> The</w:t>
      </w:r>
      <w:r w:rsidRPr="00190804">
        <w:rPr>
          <w:rFonts w:ascii="Arial" w:hAnsi="Arial" w:cs="Arial"/>
          <w:sz w:val="24"/>
          <w:szCs w:val="24"/>
        </w:rPr>
        <w:t xml:space="preserve"> individualised </w:t>
      </w:r>
      <w:r w:rsidR="00582D70">
        <w:rPr>
          <w:rFonts w:ascii="Arial" w:hAnsi="Arial" w:cs="Arial"/>
          <w:sz w:val="24"/>
          <w:szCs w:val="24"/>
        </w:rPr>
        <w:t xml:space="preserve">treatment </w:t>
      </w:r>
      <w:r w:rsidRPr="00190804">
        <w:rPr>
          <w:rFonts w:ascii="Arial" w:hAnsi="Arial" w:cs="Arial"/>
          <w:sz w:val="24"/>
          <w:szCs w:val="24"/>
        </w:rPr>
        <w:t>plans could fall into one of the following categories</w:t>
      </w:r>
      <w:r w:rsidR="00134AB8">
        <w:rPr>
          <w:rFonts w:ascii="Arial" w:hAnsi="Arial" w:cs="Arial"/>
          <w:sz w:val="24"/>
          <w:szCs w:val="24"/>
        </w:rPr>
        <w:t>:</w:t>
      </w:r>
    </w:p>
    <w:p w14:paraId="3B437473" w14:textId="77777777" w:rsidR="004942B6" w:rsidRPr="00190804" w:rsidRDefault="004942B6" w:rsidP="00C03BCF">
      <w:pPr>
        <w:pStyle w:val="ListParagraph"/>
        <w:numPr>
          <w:ilvl w:val="0"/>
          <w:numId w:val="5"/>
        </w:numPr>
        <w:spacing w:line="360" w:lineRule="auto"/>
        <w:jc w:val="both"/>
        <w:rPr>
          <w:rFonts w:ascii="Arial" w:hAnsi="Arial" w:cs="Arial"/>
          <w:color w:val="000000" w:themeColor="text1"/>
          <w:sz w:val="24"/>
          <w:szCs w:val="24"/>
        </w:rPr>
      </w:pPr>
      <w:r w:rsidRPr="00190804">
        <w:rPr>
          <w:rFonts w:ascii="Arial" w:hAnsi="Arial" w:cs="Arial"/>
          <w:color w:val="000000" w:themeColor="text1"/>
          <w:sz w:val="24"/>
          <w:szCs w:val="24"/>
        </w:rPr>
        <w:t>OMT only (separately costed under OMT section, see below)</w:t>
      </w:r>
    </w:p>
    <w:p w14:paraId="25D73EA3" w14:textId="6DA5CAE1" w:rsidR="004942B6" w:rsidRPr="00190804" w:rsidRDefault="00CF55F4" w:rsidP="00C03BCF">
      <w:pPr>
        <w:pStyle w:val="ListParagraph"/>
        <w:numPr>
          <w:ilvl w:val="0"/>
          <w:numId w:val="5"/>
        </w:numPr>
        <w:spacing w:line="360" w:lineRule="auto"/>
        <w:jc w:val="both"/>
        <w:rPr>
          <w:rFonts w:ascii="Arial" w:hAnsi="Arial" w:cs="Arial"/>
          <w:color w:val="000000" w:themeColor="text1"/>
          <w:sz w:val="24"/>
          <w:szCs w:val="24"/>
        </w:rPr>
      </w:pPr>
      <w:r>
        <w:rPr>
          <w:rFonts w:ascii="Arial" w:hAnsi="Arial" w:cs="Arial"/>
          <w:color w:val="000000" w:themeColor="text1"/>
          <w:sz w:val="24"/>
          <w:szCs w:val="24"/>
        </w:rPr>
        <w:t>Measured</w:t>
      </w:r>
      <w:r w:rsidR="004942B6" w:rsidRPr="00190804">
        <w:rPr>
          <w:rFonts w:ascii="Arial" w:hAnsi="Arial" w:cs="Arial"/>
          <w:color w:val="000000" w:themeColor="text1"/>
          <w:sz w:val="24"/>
          <w:szCs w:val="24"/>
        </w:rPr>
        <w:t xml:space="preserve"> FFR</w:t>
      </w:r>
      <w:r>
        <w:rPr>
          <w:rFonts w:ascii="Arial" w:hAnsi="Arial" w:cs="Arial"/>
          <w:color w:val="000000" w:themeColor="text1"/>
          <w:sz w:val="24"/>
          <w:szCs w:val="24"/>
        </w:rPr>
        <w:t xml:space="preserve"> (mFFR)</w:t>
      </w:r>
      <w:r w:rsidR="004942B6" w:rsidRPr="00190804">
        <w:rPr>
          <w:rFonts w:ascii="Arial" w:hAnsi="Arial" w:cs="Arial"/>
          <w:color w:val="000000" w:themeColor="text1"/>
          <w:sz w:val="24"/>
          <w:szCs w:val="24"/>
        </w:rPr>
        <w:t xml:space="preserve"> </w:t>
      </w:r>
    </w:p>
    <w:p w14:paraId="4D8ACB68" w14:textId="77777777" w:rsidR="004942B6" w:rsidRPr="00190804" w:rsidRDefault="004942B6" w:rsidP="00C03BCF">
      <w:pPr>
        <w:pStyle w:val="ListParagraph"/>
        <w:numPr>
          <w:ilvl w:val="0"/>
          <w:numId w:val="5"/>
        </w:numPr>
        <w:spacing w:line="360" w:lineRule="auto"/>
        <w:jc w:val="both"/>
        <w:rPr>
          <w:rFonts w:ascii="Arial" w:hAnsi="Arial" w:cs="Arial"/>
          <w:color w:val="000000" w:themeColor="text1"/>
          <w:sz w:val="24"/>
          <w:szCs w:val="24"/>
          <w:lang w:val="it-IT"/>
        </w:rPr>
      </w:pPr>
      <w:r w:rsidRPr="00190804">
        <w:rPr>
          <w:rFonts w:ascii="Arial" w:hAnsi="Arial" w:cs="Arial"/>
          <w:color w:val="000000" w:themeColor="text1"/>
          <w:sz w:val="24"/>
          <w:szCs w:val="24"/>
          <w:lang w:val="it-IT"/>
        </w:rPr>
        <w:t>One-vessel PCI (1V PCI)</w:t>
      </w:r>
    </w:p>
    <w:p w14:paraId="60AA269A" w14:textId="77777777" w:rsidR="004942B6" w:rsidRPr="00190804" w:rsidRDefault="004942B6" w:rsidP="00C03BCF">
      <w:pPr>
        <w:pStyle w:val="ListParagraph"/>
        <w:numPr>
          <w:ilvl w:val="0"/>
          <w:numId w:val="5"/>
        </w:numPr>
        <w:spacing w:line="360" w:lineRule="auto"/>
        <w:jc w:val="both"/>
        <w:rPr>
          <w:rFonts w:ascii="Arial" w:hAnsi="Arial" w:cs="Arial"/>
          <w:color w:val="000000" w:themeColor="text1"/>
          <w:sz w:val="24"/>
          <w:szCs w:val="24"/>
          <w:lang w:val="it-IT"/>
        </w:rPr>
      </w:pPr>
      <w:r w:rsidRPr="00190804">
        <w:rPr>
          <w:rFonts w:ascii="Arial" w:hAnsi="Arial" w:cs="Arial"/>
          <w:color w:val="000000" w:themeColor="text1"/>
          <w:sz w:val="24"/>
          <w:szCs w:val="24"/>
          <w:lang w:val="it-IT"/>
        </w:rPr>
        <w:t>Two-vessel PCI (2V PCI)</w:t>
      </w:r>
    </w:p>
    <w:p w14:paraId="7A97C945" w14:textId="1F86497B" w:rsidR="004942B6" w:rsidRPr="00190804" w:rsidRDefault="004942B6" w:rsidP="00C03BCF">
      <w:pPr>
        <w:pStyle w:val="ListParagraph"/>
        <w:numPr>
          <w:ilvl w:val="0"/>
          <w:numId w:val="5"/>
        </w:numPr>
        <w:spacing w:line="360" w:lineRule="auto"/>
        <w:jc w:val="both"/>
        <w:rPr>
          <w:rFonts w:ascii="Arial" w:hAnsi="Arial" w:cs="Arial"/>
          <w:color w:val="000000" w:themeColor="text1"/>
          <w:sz w:val="24"/>
          <w:szCs w:val="24"/>
        </w:rPr>
      </w:pPr>
      <w:r w:rsidRPr="00190804">
        <w:rPr>
          <w:rFonts w:ascii="Arial" w:hAnsi="Arial" w:cs="Arial"/>
          <w:color w:val="000000" w:themeColor="text1"/>
          <w:sz w:val="24"/>
          <w:szCs w:val="24"/>
        </w:rPr>
        <w:t xml:space="preserve">Single vessel PCI with </w:t>
      </w:r>
      <w:r w:rsidR="00582D70">
        <w:rPr>
          <w:rFonts w:ascii="Arial" w:hAnsi="Arial" w:cs="Arial"/>
          <w:color w:val="000000" w:themeColor="text1"/>
          <w:sz w:val="24"/>
          <w:szCs w:val="24"/>
        </w:rPr>
        <w:t>measured</w:t>
      </w:r>
      <w:r w:rsidRPr="00190804">
        <w:rPr>
          <w:rFonts w:ascii="Arial" w:hAnsi="Arial" w:cs="Arial"/>
          <w:color w:val="000000" w:themeColor="text1"/>
          <w:sz w:val="24"/>
          <w:szCs w:val="24"/>
        </w:rPr>
        <w:t xml:space="preserve"> FFR guidance (1V P</w:t>
      </w:r>
      <w:r w:rsidR="00582D70">
        <w:rPr>
          <w:rFonts w:ascii="Arial" w:hAnsi="Arial" w:cs="Arial"/>
          <w:color w:val="000000" w:themeColor="text1"/>
          <w:sz w:val="24"/>
          <w:szCs w:val="24"/>
        </w:rPr>
        <w:t>C</w:t>
      </w:r>
      <w:r w:rsidRPr="00190804">
        <w:rPr>
          <w:rFonts w:ascii="Arial" w:hAnsi="Arial" w:cs="Arial"/>
          <w:color w:val="000000" w:themeColor="text1"/>
          <w:sz w:val="24"/>
          <w:szCs w:val="24"/>
        </w:rPr>
        <w:t xml:space="preserve">I + </w:t>
      </w:r>
      <w:r w:rsidR="00582D70">
        <w:rPr>
          <w:rFonts w:ascii="Arial" w:hAnsi="Arial" w:cs="Arial"/>
          <w:color w:val="000000" w:themeColor="text1"/>
          <w:sz w:val="24"/>
          <w:szCs w:val="24"/>
        </w:rPr>
        <w:t>m</w:t>
      </w:r>
      <w:r w:rsidRPr="00190804">
        <w:rPr>
          <w:rFonts w:ascii="Arial" w:hAnsi="Arial" w:cs="Arial"/>
          <w:color w:val="000000" w:themeColor="text1"/>
          <w:sz w:val="24"/>
          <w:szCs w:val="24"/>
        </w:rPr>
        <w:t>FFR)</w:t>
      </w:r>
    </w:p>
    <w:p w14:paraId="2C11486A" w14:textId="5726B2A9" w:rsidR="004942B6" w:rsidRPr="00190804" w:rsidRDefault="004942B6" w:rsidP="00C03BCF">
      <w:pPr>
        <w:pStyle w:val="ListParagraph"/>
        <w:numPr>
          <w:ilvl w:val="0"/>
          <w:numId w:val="5"/>
        </w:numPr>
        <w:spacing w:line="360" w:lineRule="auto"/>
        <w:jc w:val="both"/>
        <w:rPr>
          <w:rFonts w:ascii="Arial" w:hAnsi="Arial" w:cs="Arial"/>
          <w:color w:val="000000" w:themeColor="text1"/>
          <w:sz w:val="24"/>
          <w:szCs w:val="24"/>
        </w:rPr>
      </w:pPr>
      <w:r w:rsidRPr="00190804">
        <w:rPr>
          <w:rFonts w:ascii="Arial" w:hAnsi="Arial" w:cs="Arial"/>
          <w:color w:val="000000" w:themeColor="text1"/>
          <w:sz w:val="24"/>
          <w:szCs w:val="24"/>
        </w:rPr>
        <w:t>Two-vessel PCI with</w:t>
      </w:r>
      <w:r w:rsidR="00582D70">
        <w:rPr>
          <w:rFonts w:ascii="Arial" w:hAnsi="Arial" w:cs="Arial"/>
          <w:color w:val="000000" w:themeColor="text1"/>
          <w:sz w:val="24"/>
          <w:szCs w:val="24"/>
        </w:rPr>
        <w:t xml:space="preserve"> measured</w:t>
      </w:r>
      <w:r w:rsidRPr="00190804">
        <w:rPr>
          <w:rFonts w:ascii="Arial" w:hAnsi="Arial" w:cs="Arial"/>
          <w:color w:val="000000" w:themeColor="text1"/>
          <w:sz w:val="24"/>
          <w:szCs w:val="24"/>
        </w:rPr>
        <w:t xml:space="preserve"> FFR guidance (2V PCI + </w:t>
      </w:r>
      <w:r w:rsidR="00582D70">
        <w:rPr>
          <w:rFonts w:ascii="Arial" w:hAnsi="Arial" w:cs="Arial"/>
          <w:color w:val="000000" w:themeColor="text1"/>
          <w:sz w:val="24"/>
          <w:szCs w:val="24"/>
        </w:rPr>
        <w:t>m</w:t>
      </w:r>
      <w:r w:rsidRPr="00190804">
        <w:rPr>
          <w:rFonts w:ascii="Arial" w:hAnsi="Arial" w:cs="Arial"/>
          <w:color w:val="000000" w:themeColor="text1"/>
          <w:sz w:val="24"/>
          <w:szCs w:val="24"/>
        </w:rPr>
        <w:t>FFR)</w:t>
      </w:r>
    </w:p>
    <w:p w14:paraId="73481D75" w14:textId="229470A6" w:rsidR="00B931FE" w:rsidRDefault="004942B6" w:rsidP="00B931FE">
      <w:pPr>
        <w:pStyle w:val="ListParagraph"/>
        <w:numPr>
          <w:ilvl w:val="0"/>
          <w:numId w:val="5"/>
        </w:numPr>
        <w:spacing w:line="360" w:lineRule="auto"/>
        <w:jc w:val="both"/>
        <w:rPr>
          <w:rFonts w:ascii="Arial" w:hAnsi="Arial" w:cs="Arial"/>
          <w:color w:val="000000" w:themeColor="text1"/>
          <w:sz w:val="24"/>
          <w:szCs w:val="24"/>
        </w:rPr>
      </w:pPr>
      <w:r w:rsidRPr="00190804">
        <w:rPr>
          <w:rFonts w:ascii="Arial" w:hAnsi="Arial" w:cs="Arial"/>
          <w:color w:val="000000" w:themeColor="text1"/>
          <w:sz w:val="24"/>
          <w:szCs w:val="24"/>
        </w:rPr>
        <w:t>CABG</w:t>
      </w:r>
      <w:bookmarkStart w:id="708" w:name="_Toc135462260"/>
      <w:bookmarkStart w:id="709" w:name="_Toc136312354"/>
      <w:bookmarkStart w:id="710" w:name="_Toc136329090"/>
      <w:bookmarkStart w:id="711" w:name="_Toc151222933"/>
      <w:bookmarkStart w:id="712" w:name="_Toc151630616"/>
      <w:bookmarkStart w:id="713" w:name="_Toc152340576"/>
      <w:bookmarkStart w:id="714" w:name="_Toc152598052"/>
      <w:bookmarkStart w:id="715" w:name="_Toc153725838"/>
      <w:bookmarkStart w:id="716" w:name="_Toc159318280"/>
      <w:bookmarkStart w:id="717" w:name="_Toc159610315"/>
      <w:bookmarkStart w:id="718" w:name="_Toc164699072"/>
    </w:p>
    <w:p w14:paraId="60B2C1AF" w14:textId="7A1A2E33" w:rsidR="00B931FE" w:rsidRPr="00B931FE" w:rsidRDefault="006C050A" w:rsidP="00B931FE">
      <w:pPr>
        <w:spacing w:line="360" w:lineRule="auto"/>
        <w:jc w:val="both"/>
        <w:rPr>
          <w:rFonts w:ascii="Arial" w:hAnsi="Arial" w:cs="Arial"/>
          <w:sz w:val="24"/>
          <w:szCs w:val="24"/>
        </w:rPr>
      </w:pPr>
      <w:r>
        <w:rPr>
          <w:rFonts w:ascii="Arial" w:hAnsi="Arial" w:cs="Arial"/>
          <w:sz w:val="24"/>
          <w:szCs w:val="24"/>
        </w:rPr>
        <w:lastRenderedPageBreak/>
        <w:t>For invasive FFR assessment, t</w:t>
      </w:r>
      <w:r w:rsidR="00B931FE" w:rsidRPr="00B931FE">
        <w:rPr>
          <w:rFonts w:ascii="Arial" w:hAnsi="Arial" w:cs="Arial"/>
          <w:sz w:val="24"/>
          <w:szCs w:val="24"/>
        </w:rPr>
        <w:t>he cost of pressure wire (£570) and adenosine infusion (£586) were included as per locally agreed tariffs, making the total cost to be £586. Please note that in all thes</w:t>
      </w:r>
      <w:r w:rsidR="000F3E54">
        <w:rPr>
          <w:rFonts w:ascii="Arial" w:hAnsi="Arial" w:cs="Arial"/>
          <w:sz w:val="24"/>
          <w:szCs w:val="24"/>
        </w:rPr>
        <w:t>e management</w:t>
      </w:r>
      <w:r w:rsidR="00B931FE" w:rsidRPr="00B931FE">
        <w:rPr>
          <w:rFonts w:ascii="Arial" w:hAnsi="Arial" w:cs="Arial"/>
          <w:sz w:val="24"/>
          <w:szCs w:val="24"/>
        </w:rPr>
        <w:t xml:space="preserve"> plans, the cost of coronary angiogram was excluded (£2649 for ACS and £968 for CCS patients) to focus on the potential change in the cost with an alteration in treatment strategy; therefore, only the post-CAG costs were included in the analysis. </w:t>
      </w:r>
      <w:r w:rsidR="002E7CBD" w:rsidRPr="002E7CBD">
        <w:rPr>
          <w:rFonts w:ascii="Arial" w:hAnsi="Arial" w:cs="Arial"/>
          <w:sz w:val="24"/>
          <w:szCs w:val="24"/>
        </w:rPr>
        <w:t>In addition, the annual cost of medications</w:t>
      </w:r>
      <w:r w:rsidR="00B856F6">
        <w:rPr>
          <w:rFonts w:ascii="Arial" w:hAnsi="Arial" w:cs="Arial"/>
          <w:sz w:val="24"/>
          <w:szCs w:val="24"/>
        </w:rPr>
        <w:t xml:space="preserve"> (</w:t>
      </w:r>
      <w:r w:rsidR="00B856F6" w:rsidRPr="002E7CBD">
        <w:rPr>
          <w:rFonts w:ascii="Arial" w:hAnsi="Arial" w:cs="Arial"/>
          <w:sz w:val="24"/>
          <w:szCs w:val="24"/>
        </w:rPr>
        <w:t>£71</w:t>
      </w:r>
      <w:r w:rsidR="00B856F6">
        <w:rPr>
          <w:rFonts w:ascii="Arial" w:hAnsi="Arial" w:cs="Arial"/>
          <w:sz w:val="24"/>
          <w:szCs w:val="24"/>
        </w:rPr>
        <w:t>0</w:t>
      </w:r>
      <w:r w:rsidR="00B856F6" w:rsidRPr="002E7CBD">
        <w:rPr>
          <w:rFonts w:ascii="Arial" w:hAnsi="Arial" w:cs="Arial"/>
          <w:sz w:val="24"/>
          <w:szCs w:val="24"/>
        </w:rPr>
        <w:t xml:space="preserve"> </w:t>
      </w:r>
      <w:r w:rsidR="00B856F6">
        <w:rPr>
          <w:rFonts w:ascii="Arial" w:hAnsi="Arial" w:cs="Arial"/>
          <w:sz w:val="24"/>
          <w:szCs w:val="24"/>
        </w:rPr>
        <w:t xml:space="preserve">for </w:t>
      </w:r>
      <w:r w:rsidR="00B856F6" w:rsidRPr="002E7CBD">
        <w:rPr>
          <w:rFonts w:ascii="Arial" w:hAnsi="Arial" w:cs="Arial"/>
          <w:sz w:val="24"/>
          <w:szCs w:val="24"/>
        </w:rPr>
        <w:t>ACS</w:t>
      </w:r>
      <w:r w:rsidR="00B856F6">
        <w:rPr>
          <w:rFonts w:ascii="Arial" w:hAnsi="Arial" w:cs="Arial"/>
          <w:sz w:val="24"/>
          <w:szCs w:val="24"/>
        </w:rPr>
        <w:t xml:space="preserve"> </w:t>
      </w:r>
      <w:r w:rsidR="00B856F6" w:rsidRPr="002E7CBD">
        <w:rPr>
          <w:rFonts w:ascii="Arial" w:hAnsi="Arial" w:cs="Arial"/>
          <w:sz w:val="24"/>
          <w:szCs w:val="24"/>
        </w:rPr>
        <w:t>and £160 for CCS patients</w:t>
      </w:r>
      <w:r w:rsidR="00B856F6">
        <w:rPr>
          <w:rFonts w:ascii="Arial" w:hAnsi="Arial" w:cs="Arial"/>
          <w:sz w:val="24"/>
          <w:szCs w:val="24"/>
        </w:rPr>
        <w:t xml:space="preserve">) </w:t>
      </w:r>
      <w:r w:rsidR="002E7CBD" w:rsidRPr="002E7CBD">
        <w:rPr>
          <w:rFonts w:ascii="Arial" w:hAnsi="Arial" w:cs="Arial"/>
          <w:sz w:val="24"/>
          <w:szCs w:val="24"/>
        </w:rPr>
        <w:t>was included in the cost of invasive</w:t>
      </w:r>
      <w:r w:rsidR="000F3E54">
        <w:rPr>
          <w:rFonts w:ascii="Arial" w:hAnsi="Arial" w:cs="Arial"/>
          <w:sz w:val="24"/>
          <w:szCs w:val="24"/>
        </w:rPr>
        <w:t xml:space="preserve"> treatment</w:t>
      </w:r>
      <w:r w:rsidR="002E7CBD" w:rsidRPr="002E7CBD">
        <w:rPr>
          <w:rFonts w:ascii="Arial" w:hAnsi="Arial" w:cs="Arial"/>
          <w:sz w:val="24"/>
          <w:szCs w:val="24"/>
        </w:rPr>
        <w:t xml:space="preserve"> </w:t>
      </w:r>
      <w:r w:rsidR="00E33870">
        <w:rPr>
          <w:rFonts w:ascii="Arial" w:hAnsi="Arial" w:cs="Arial"/>
          <w:sz w:val="24"/>
          <w:szCs w:val="24"/>
        </w:rPr>
        <w:t xml:space="preserve">(both </w:t>
      </w:r>
      <w:r w:rsidR="00D01A42" w:rsidRPr="002E7CBD">
        <w:rPr>
          <w:rFonts w:ascii="Arial" w:hAnsi="Arial" w:cs="Arial"/>
          <w:sz w:val="24"/>
          <w:szCs w:val="24"/>
        </w:rPr>
        <w:t>for</w:t>
      </w:r>
      <w:r w:rsidR="00D01A42">
        <w:rPr>
          <w:rFonts w:ascii="Arial" w:hAnsi="Arial" w:cs="Arial"/>
          <w:sz w:val="24"/>
          <w:szCs w:val="24"/>
        </w:rPr>
        <w:t xml:space="preserve"> </w:t>
      </w:r>
      <w:r w:rsidR="00D01A42" w:rsidRPr="002E7CBD">
        <w:rPr>
          <w:rFonts w:ascii="Arial" w:hAnsi="Arial" w:cs="Arial"/>
          <w:sz w:val="24"/>
          <w:szCs w:val="24"/>
        </w:rPr>
        <w:t>PCI</w:t>
      </w:r>
      <w:r w:rsidR="002E7CBD" w:rsidRPr="002E7CBD">
        <w:rPr>
          <w:rFonts w:ascii="Arial" w:hAnsi="Arial" w:cs="Arial"/>
          <w:sz w:val="24"/>
          <w:szCs w:val="24"/>
        </w:rPr>
        <w:t xml:space="preserve"> and CABG</w:t>
      </w:r>
      <w:r w:rsidR="00E33870">
        <w:rPr>
          <w:rFonts w:ascii="Arial" w:hAnsi="Arial" w:cs="Arial"/>
          <w:sz w:val="24"/>
          <w:szCs w:val="24"/>
        </w:rPr>
        <w:t>)</w:t>
      </w:r>
      <w:r w:rsidR="002E7CBD" w:rsidRPr="002E7CBD">
        <w:rPr>
          <w:rFonts w:ascii="Arial" w:hAnsi="Arial" w:cs="Arial"/>
          <w:sz w:val="24"/>
          <w:szCs w:val="24"/>
        </w:rPr>
        <w:t xml:space="preserve"> as </w:t>
      </w:r>
      <w:r w:rsidR="00B856F6">
        <w:rPr>
          <w:rFonts w:ascii="Arial" w:hAnsi="Arial" w:cs="Arial"/>
          <w:sz w:val="24"/>
          <w:szCs w:val="24"/>
        </w:rPr>
        <w:t xml:space="preserve">their </w:t>
      </w:r>
      <w:r w:rsidR="006A60F4">
        <w:rPr>
          <w:rFonts w:ascii="Arial" w:hAnsi="Arial" w:cs="Arial"/>
          <w:sz w:val="24"/>
          <w:szCs w:val="24"/>
        </w:rPr>
        <w:t>integral part</w:t>
      </w:r>
      <w:r w:rsidR="002E7CBD" w:rsidRPr="002E7CBD">
        <w:rPr>
          <w:rFonts w:ascii="Arial" w:hAnsi="Arial" w:cs="Arial"/>
          <w:sz w:val="24"/>
          <w:szCs w:val="24"/>
        </w:rPr>
        <w:t xml:space="preserve"> </w:t>
      </w:r>
      <w:r w:rsidR="00B856F6">
        <w:rPr>
          <w:rFonts w:ascii="Arial" w:hAnsi="Arial" w:cs="Arial"/>
          <w:sz w:val="24"/>
          <w:szCs w:val="24"/>
        </w:rPr>
        <w:t>of treatment</w:t>
      </w:r>
      <w:r w:rsidR="002E7CBD" w:rsidRPr="002E7CBD">
        <w:rPr>
          <w:rFonts w:ascii="Arial" w:hAnsi="Arial" w:cs="Arial"/>
          <w:sz w:val="24"/>
          <w:szCs w:val="24"/>
        </w:rPr>
        <w:t>.</w:t>
      </w:r>
      <w:r w:rsidR="00DD27C7">
        <w:rPr>
          <w:rFonts w:ascii="Arial" w:hAnsi="Arial" w:cs="Arial"/>
          <w:sz w:val="24"/>
          <w:szCs w:val="24"/>
        </w:rPr>
        <w:t xml:space="preserve"> </w:t>
      </w:r>
      <w:r w:rsidR="005C1596">
        <w:rPr>
          <w:rFonts w:ascii="Arial" w:hAnsi="Arial" w:cs="Arial"/>
          <w:sz w:val="24"/>
          <w:szCs w:val="24"/>
        </w:rPr>
        <w:t xml:space="preserve">The </w:t>
      </w:r>
      <w:r w:rsidR="00681449">
        <w:rPr>
          <w:rFonts w:ascii="Arial" w:hAnsi="Arial" w:cs="Arial"/>
          <w:color w:val="000000" w:themeColor="text1"/>
          <w:sz w:val="24"/>
          <w:szCs w:val="24"/>
        </w:rPr>
        <w:t>NHS</w:t>
      </w:r>
      <w:r w:rsidR="00B931FE" w:rsidRPr="00B931FE">
        <w:rPr>
          <w:rFonts w:ascii="Arial" w:hAnsi="Arial" w:cs="Arial"/>
          <w:sz w:val="24"/>
          <w:szCs w:val="24"/>
        </w:rPr>
        <w:t xml:space="preserve"> tariffs 2022-23 </w:t>
      </w:r>
      <w:r w:rsidR="00316203">
        <w:rPr>
          <w:rFonts w:ascii="Arial" w:hAnsi="Arial" w:cs="Arial"/>
          <w:sz w:val="24"/>
          <w:szCs w:val="24"/>
        </w:rPr>
        <w:t xml:space="preserve">for the treatment strategies </w:t>
      </w:r>
      <w:r w:rsidR="00B931FE" w:rsidRPr="00B931FE">
        <w:rPr>
          <w:rFonts w:ascii="Arial" w:hAnsi="Arial" w:cs="Arial"/>
          <w:sz w:val="24"/>
          <w:szCs w:val="24"/>
        </w:rPr>
        <w:t xml:space="preserve">and their simplified version </w:t>
      </w:r>
      <w:r w:rsidR="0052567A">
        <w:rPr>
          <w:rFonts w:ascii="Arial" w:hAnsi="Arial" w:cs="Arial"/>
          <w:sz w:val="24"/>
          <w:szCs w:val="24"/>
        </w:rPr>
        <w:t xml:space="preserve">used </w:t>
      </w:r>
      <w:r w:rsidR="00B931FE" w:rsidRPr="00B931FE">
        <w:rPr>
          <w:rFonts w:ascii="Arial" w:hAnsi="Arial" w:cs="Arial"/>
          <w:sz w:val="24"/>
          <w:szCs w:val="24"/>
        </w:rPr>
        <w:t xml:space="preserve">for </w:t>
      </w:r>
      <w:r w:rsidR="005C1596">
        <w:rPr>
          <w:rFonts w:ascii="Arial" w:hAnsi="Arial" w:cs="Arial"/>
          <w:sz w:val="24"/>
          <w:szCs w:val="24"/>
        </w:rPr>
        <w:t xml:space="preserve">detailed </w:t>
      </w:r>
      <w:r w:rsidR="00B931FE" w:rsidRPr="00B931FE">
        <w:rPr>
          <w:rFonts w:ascii="Arial" w:hAnsi="Arial" w:cs="Arial"/>
          <w:sz w:val="24"/>
          <w:szCs w:val="24"/>
        </w:rPr>
        <w:t xml:space="preserve">analysis are shown in Tables </w:t>
      </w:r>
      <w:r w:rsidR="006C6275">
        <w:rPr>
          <w:rFonts w:ascii="Arial" w:hAnsi="Arial" w:cs="Arial"/>
          <w:sz w:val="24"/>
          <w:szCs w:val="24"/>
        </w:rPr>
        <w:t>6</w:t>
      </w:r>
      <w:r w:rsidR="00B931FE" w:rsidRPr="00B931FE">
        <w:rPr>
          <w:rFonts w:ascii="Arial" w:hAnsi="Arial" w:cs="Arial"/>
          <w:sz w:val="24"/>
          <w:szCs w:val="24"/>
        </w:rPr>
        <w:t xml:space="preserve"> and </w:t>
      </w:r>
      <w:r w:rsidR="006C6275">
        <w:rPr>
          <w:rFonts w:ascii="Arial" w:hAnsi="Arial" w:cs="Arial"/>
          <w:sz w:val="24"/>
          <w:szCs w:val="24"/>
        </w:rPr>
        <w:t>7</w:t>
      </w:r>
      <w:r w:rsidR="008735B4">
        <w:rPr>
          <w:rFonts w:ascii="Arial" w:hAnsi="Arial" w:cs="Arial"/>
          <w:sz w:val="24"/>
          <w:szCs w:val="24"/>
        </w:rPr>
        <w:t>, respectively</w:t>
      </w:r>
      <w:r w:rsidR="00B931FE" w:rsidRPr="00B931FE">
        <w:rPr>
          <w:rFonts w:ascii="Arial" w:hAnsi="Arial" w:cs="Arial"/>
          <w:sz w:val="24"/>
          <w:szCs w:val="24"/>
        </w:rPr>
        <w:t>.</w:t>
      </w:r>
    </w:p>
    <w:p w14:paraId="5ABC4BDC" w14:textId="77777777" w:rsidR="00B931FE" w:rsidRPr="00B931FE" w:rsidRDefault="00B931FE" w:rsidP="00B931FE">
      <w:pPr>
        <w:spacing w:line="360" w:lineRule="auto"/>
        <w:jc w:val="both"/>
        <w:rPr>
          <w:rFonts w:ascii="Arial" w:hAnsi="Arial" w:cs="Arial"/>
          <w:color w:val="000000" w:themeColor="text1"/>
          <w:sz w:val="24"/>
          <w:szCs w:val="24"/>
        </w:rPr>
      </w:pPr>
    </w:p>
    <w:p w14:paraId="063E5A8E" w14:textId="77777777" w:rsidR="00412C80" w:rsidRDefault="00412C80" w:rsidP="00412C80"/>
    <w:p w14:paraId="1541454F" w14:textId="77777777" w:rsidR="00412C80" w:rsidRDefault="00412C80" w:rsidP="00412C80"/>
    <w:p w14:paraId="744AAC44" w14:textId="77777777" w:rsidR="00412C80" w:rsidRDefault="00412C80" w:rsidP="00412C80"/>
    <w:p w14:paraId="23F7D908" w14:textId="77777777" w:rsidR="00412C80" w:rsidRDefault="00412C80" w:rsidP="00412C80"/>
    <w:p w14:paraId="230E42C1" w14:textId="77777777" w:rsidR="00412C80" w:rsidRDefault="00412C80" w:rsidP="00412C80"/>
    <w:p w14:paraId="72D07BA0" w14:textId="77777777" w:rsidR="00412C80" w:rsidRDefault="00412C80" w:rsidP="00412C80"/>
    <w:p w14:paraId="4AC4C605" w14:textId="77777777" w:rsidR="00412C80" w:rsidRDefault="00412C80" w:rsidP="00412C80"/>
    <w:p w14:paraId="295D1F7D" w14:textId="77777777" w:rsidR="00412C80" w:rsidRDefault="00412C80" w:rsidP="00412C80"/>
    <w:p w14:paraId="7DD3C1C4" w14:textId="77777777" w:rsidR="00412C80" w:rsidRDefault="00412C80" w:rsidP="00412C80"/>
    <w:p w14:paraId="64ECE16C" w14:textId="77777777" w:rsidR="00412C80" w:rsidRDefault="00412C80" w:rsidP="00412C80"/>
    <w:p w14:paraId="43CC2FE9" w14:textId="77777777" w:rsidR="00412C80" w:rsidRDefault="00412C80" w:rsidP="00412C80"/>
    <w:p w14:paraId="1C64CF6E" w14:textId="77777777" w:rsidR="00412C80" w:rsidRDefault="00412C80" w:rsidP="00412C80"/>
    <w:p w14:paraId="74D31B87" w14:textId="77777777" w:rsidR="00412C80" w:rsidRDefault="00412C80" w:rsidP="00412C80"/>
    <w:p w14:paraId="1AF0CECC" w14:textId="77777777" w:rsidR="00412C80" w:rsidRDefault="00412C80" w:rsidP="00412C80"/>
    <w:p w14:paraId="0857EEA0" w14:textId="77777777" w:rsidR="00412C80" w:rsidRDefault="00412C80" w:rsidP="00412C80"/>
    <w:p w14:paraId="70695932" w14:textId="77777777" w:rsidR="00412C80" w:rsidRDefault="00412C80" w:rsidP="00412C80"/>
    <w:p w14:paraId="6B1D00CB" w14:textId="77777777" w:rsidR="00412C80" w:rsidRDefault="00412C80" w:rsidP="00412C80"/>
    <w:p w14:paraId="6E284066" w14:textId="77777777" w:rsidR="00412C80" w:rsidRDefault="00412C80" w:rsidP="00412C80"/>
    <w:p w14:paraId="1AA62AF7" w14:textId="77777777" w:rsidR="00412C80" w:rsidRDefault="00412C80" w:rsidP="00412C80"/>
    <w:p w14:paraId="28A7B7DE" w14:textId="19D2DD04" w:rsidR="004942B6" w:rsidRPr="006162AC" w:rsidRDefault="004942B6" w:rsidP="004942B6">
      <w:pPr>
        <w:pStyle w:val="Caption"/>
        <w:keepNext/>
        <w:rPr>
          <w:rFonts w:ascii="Arial" w:hAnsi="Arial" w:cs="Arial"/>
          <w:color w:val="auto"/>
          <w:sz w:val="20"/>
          <w:szCs w:val="20"/>
        </w:rPr>
      </w:pPr>
      <w:r w:rsidRPr="006162AC">
        <w:rPr>
          <w:rFonts w:ascii="Arial" w:hAnsi="Arial" w:cs="Arial"/>
          <w:b/>
          <w:bCs/>
          <w:color w:val="auto"/>
          <w:sz w:val="20"/>
          <w:szCs w:val="20"/>
        </w:rPr>
        <w:lastRenderedPageBreak/>
        <w:t xml:space="preserve">Table </w:t>
      </w:r>
      <w:r w:rsidR="00F07C0B">
        <w:rPr>
          <w:rFonts w:ascii="Arial" w:hAnsi="Arial" w:cs="Arial"/>
          <w:b/>
          <w:bCs/>
          <w:color w:val="auto"/>
          <w:sz w:val="20"/>
          <w:szCs w:val="20"/>
        </w:rPr>
        <w:t>6</w:t>
      </w:r>
      <w:r w:rsidRPr="006162AC">
        <w:rPr>
          <w:rFonts w:ascii="Arial" w:hAnsi="Arial" w:cs="Arial"/>
          <w:color w:val="auto"/>
          <w:sz w:val="20"/>
          <w:szCs w:val="20"/>
        </w:rPr>
        <w:t>: NHS tariffs 2022-23 for each treatment strategy</w:t>
      </w:r>
      <w:r w:rsidRPr="006162AC">
        <w:rPr>
          <w:rFonts w:ascii="Arial" w:hAnsi="Arial" w:cs="Arial"/>
          <w:noProof/>
          <w:color w:val="auto"/>
          <w:sz w:val="20"/>
          <w:szCs w:val="20"/>
        </w:rPr>
        <w:t xml:space="preserve"> individually</w:t>
      </w:r>
      <w:bookmarkEnd w:id="708"/>
      <w:bookmarkEnd w:id="709"/>
      <w:bookmarkEnd w:id="710"/>
      <w:bookmarkEnd w:id="711"/>
      <w:bookmarkEnd w:id="712"/>
      <w:bookmarkEnd w:id="713"/>
      <w:bookmarkEnd w:id="714"/>
      <w:bookmarkEnd w:id="715"/>
      <w:bookmarkEnd w:id="716"/>
      <w:bookmarkEnd w:id="717"/>
      <w:bookmarkEnd w:id="718"/>
      <w:r w:rsidR="00683A41">
        <w:rPr>
          <w:rFonts w:ascii="Arial" w:hAnsi="Arial" w:cs="Arial"/>
          <w:noProof/>
          <w:color w:val="auto"/>
          <w:sz w:val="20"/>
          <w:szCs w:val="20"/>
        </w:rPr>
        <w:t>.</w:t>
      </w:r>
    </w:p>
    <w:tbl>
      <w:tblPr>
        <w:tblStyle w:val="TableGrid"/>
        <w:tblW w:w="10632" w:type="dxa"/>
        <w:tblInd w:w="-714" w:type="dxa"/>
        <w:tblLook w:val="04A0" w:firstRow="1" w:lastRow="0" w:firstColumn="1" w:lastColumn="0" w:noHBand="0" w:noVBand="1"/>
      </w:tblPr>
      <w:tblGrid>
        <w:gridCol w:w="1843"/>
        <w:gridCol w:w="1985"/>
        <w:gridCol w:w="2082"/>
        <w:gridCol w:w="1462"/>
        <w:gridCol w:w="1701"/>
        <w:gridCol w:w="1559"/>
      </w:tblGrid>
      <w:tr w:rsidR="004942B6" w:rsidRPr="009222F3" w14:paraId="4795F760" w14:textId="77777777" w:rsidTr="002C2525">
        <w:tc>
          <w:tcPr>
            <w:tcW w:w="1843" w:type="dxa"/>
          </w:tcPr>
          <w:p w14:paraId="454589C1" w14:textId="77777777" w:rsidR="004942B6" w:rsidRPr="009222F3" w:rsidRDefault="004942B6" w:rsidP="002C2525">
            <w:pPr>
              <w:spacing w:line="360" w:lineRule="auto"/>
              <w:jc w:val="both"/>
              <w:rPr>
                <w:rFonts w:ascii="Arial" w:hAnsi="Arial" w:cs="Arial"/>
                <w:b/>
                <w:bCs/>
                <w:color w:val="000000" w:themeColor="text1"/>
                <w:sz w:val="24"/>
                <w:szCs w:val="24"/>
              </w:rPr>
            </w:pPr>
            <w:bookmarkStart w:id="719" w:name="_Hlk136810567"/>
            <w:r w:rsidRPr="009222F3">
              <w:rPr>
                <w:rFonts w:ascii="Arial" w:hAnsi="Arial" w:cs="Arial"/>
                <w:b/>
                <w:bCs/>
                <w:color w:val="000000" w:themeColor="text1"/>
                <w:sz w:val="24"/>
                <w:szCs w:val="24"/>
              </w:rPr>
              <w:t>Treatment Strategy</w:t>
            </w:r>
          </w:p>
        </w:tc>
        <w:tc>
          <w:tcPr>
            <w:tcW w:w="1985" w:type="dxa"/>
          </w:tcPr>
          <w:p w14:paraId="17C27D3E" w14:textId="77777777" w:rsidR="004942B6" w:rsidRPr="009222F3" w:rsidRDefault="004942B6" w:rsidP="002C2525">
            <w:pPr>
              <w:spacing w:line="360" w:lineRule="auto"/>
              <w:jc w:val="both"/>
              <w:rPr>
                <w:rFonts w:ascii="Arial" w:hAnsi="Arial" w:cs="Arial"/>
                <w:b/>
                <w:bCs/>
                <w:color w:val="000000" w:themeColor="text1"/>
                <w:sz w:val="24"/>
                <w:szCs w:val="24"/>
              </w:rPr>
            </w:pPr>
            <w:r w:rsidRPr="009222F3">
              <w:rPr>
                <w:rFonts w:ascii="Arial" w:hAnsi="Arial" w:cs="Arial"/>
                <w:b/>
                <w:bCs/>
                <w:color w:val="000000" w:themeColor="text1"/>
                <w:sz w:val="24"/>
                <w:szCs w:val="24"/>
              </w:rPr>
              <w:t>HRG description</w:t>
            </w:r>
          </w:p>
        </w:tc>
        <w:tc>
          <w:tcPr>
            <w:tcW w:w="2082" w:type="dxa"/>
          </w:tcPr>
          <w:p w14:paraId="1B4B7BFB" w14:textId="77777777" w:rsidR="004942B6" w:rsidRPr="009222F3" w:rsidRDefault="004942B6" w:rsidP="002C2525">
            <w:pPr>
              <w:spacing w:line="360" w:lineRule="auto"/>
              <w:jc w:val="both"/>
              <w:rPr>
                <w:rFonts w:ascii="Arial" w:hAnsi="Arial" w:cs="Arial"/>
                <w:b/>
                <w:bCs/>
                <w:color w:val="000000" w:themeColor="text1"/>
                <w:sz w:val="24"/>
                <w:szCs w:val="24"/>
              </w:rPr>
            </w:pPr>
            <w:r w:rsidRPr="009222F3">
              <w:rPr>
                <w:rFonts w:ascii="Arial" w:hAnsi="Arial" w:cs="Arial"/>
                <w:b/>
                <w:bCs/>
                <w:color w:val="000000" w:themeColor="text1"/>
                <w:sz w:val="24"/>
                <w:szCs w:val="24"/>
              </w:rPr>
              <w:t>HRG code</w:t>
            </w:r>
          </w:p>
        </w:tc>
        <w:tc>
          <w:tcPr>
            <w:tcW w:w="3163" w:type="dxa"/>
            <w:gridSpan w:val="2"/>
          </w:tcPr>
          <w:p w14:paraId="39E01876" w14:textId="77777777" w:rsidR="004942B6" w:rsidRPr="009222F3" w:rsidRDefault="004942B6" w:rsidP="002C2525">
            <w:pPr>
              <w:spacing w:line="360" w:lineRule="auto"/>
              <w:jc w:val="both"/>
              <w:rPr>
                <w:rFonts w:ascii="Arial" w:hAnsi="Arial" w:cs="Arial"/>
                <w:b/>
                <w:bCs/>
                <w:color w:val="000000" w:themeColor="text1"/>
                <w:sz w:val="24"/>
                <w:szCs w:val="24"/>
              </w:rPr>
            </w:pPr>
            <w:r w:rsidRPr="009222F3">
              <w:rPr>
                <w:rFonts w:ascii="Arial" w:hAnsi="Arial" w:cs="Arial"/>
                <w:b/>
                <w:bCs/>
                <w:color w:val="000000" w:themeColor="text1"/>
                <w:sz w:val="24"/>
                <w:szCs w:val="24"/>
              </w:rPr>
              <w:t>NHS tariffs</w:t>
            </w:r>
            <w:r>
              <w:rPr>
                <w:rFonts w:ascii="Arial" w:hAnsi="Arial" w:cs="Arial"/>
                <w:b/>
                <w:bCs/>
                <w:color w:val="000000" w:themeColor="text1"/>
                <w:sz w:val="24"/>
                <w:szCs w:val="24"/>
              </w:rPr>
              <w:t xml:space="preserve"> 2022-23 </w:t>
            </w:r>
          </w:p>
        </w:tc>
        <w:tc>
          <w:tcPr>
            <w:tcW w:w="1559" w:type="dxa"/>
          </w:tcPr>
          <w:p w14:paraId="65173D42" w14:textId="7142E129" w:rsidR="004942B6" w:rsidRPr="009222F3" w:rsidRDefault="004942B6" w:rsidP="002C2525">
            <w:pPr>
              <w:spacing w:line="360" w:lineRule="auto"/>
              <w:jc w:val="both"/>
              <w:rPr>
                <w:rFonts w:ascii="Arial" w:hAnsi="Arial" w:cs="Arial"/>
                <w:b/>
                <w:bCs/>
                <w:color w:val="000000" w:themeColor="text1"/>
                <w:sz w:val="24"/>
                <w:szCs w:val="24"/>
              </w:rPr>
            </w:pPr>
            <w:r w:rsidRPr="009222F3">
              <w:rPr>
                <w:rFonts w:ascii="Arial" w:hAnsi="Arial" w:cs="Arial"/>
                <w:b/>
                <w:bCs/>
                <w:color w:val="000000" w:themeColor="text1"/>
                <w:sz w:val="24"/>
                <w:szCs w:val="24"/>
              </w:rPr>
              <w:t xml:space="preserve">Total cost </w:t>
            </w:r>
            <w:r w:rsidR="000146E5">
              <w:rPr>
                <w:rFonts w:ascii="Arial" w:hAnsi="Arial" w:cs="Arial"/>
                <w:b/>
                <w:bCs/>
                <w:color w:val="000000" w:themeColor="text1"/>
                <w:sz w:val="24"/>
                <w:szCs w:val="24"/>
              </w:rPr>
              <w:t>(after CAG cost exclusion)</w:t>
            </w:r>
          </w:p>
        </w:tc>
      </w:tr>
      <w:tr w:rsidR="004942B6" w:rsidRPr="009222F3" w14:paraId="2981C36E" w14:textId="77777777" w:rsidTr="002C2525">
        <w:trPr>
          <w:trHeight w:val="703"/>
        </w:trPr>
        <w:tc>
          <w:tcPr>
            <w:tcW w:w="1843" w:type="dxa"/>
            <w:vMerge w:val="restart"/>
          </w:tcPr>
          <w:p w14:paraId="5F3FF504"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Diagnostic CAG</w:t>
            </w:r>
          </w:p>
        </w:tc>
        <w:tc>
          <w:tcPr>
            <w:tcW w:w="1985" w:type="dxa"/>
            <w:vMerge w:val="restart"/>
          </w:tcPr>
          <w:p w14:paraId="33A77DCF" w14:textId="3900A6C1" w:rsidR="004942B6" w:rsidRPr="009222F3" w:rsidRDefault="0007192D"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 xml:space="preserve">Standard Cardiac Catheterization with CC </w:t>
            </w:r>
            <w:r>
              <w:rPr>
                <w:rFonts w:ascii="Arial" w:hAnsi="Arial" w:cs="Arial"/>
                <w:color w:val="000000" w:themeColor="text1"/>
                <w:sz w:val="20"/>
                <w:szCs w:val="20"/>
              </w:rPr>
              <w:t>2-3</w:t>
            </w:r>
          </w:p>
        </w:tc>
        <w:tc>
          <w:tcPr>
            <w:tcW w:w="2082" w:type="dxa"/>
            <w:vMerge w:val="restart"/>
          </w:tcPr>
          <w:p w14:paraId="3B92427F" w14:textId="5CDCC795"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EY43</w:t>
            </w:r>
            <w:r w:rsidR="00A15C63">
              <w:rPr>
                <w:rFonts w:ascii="Arial" w:hAnsi="Arial" w:cs="Arial"/>
                <w:color w:val="000000" w:themeColor="text1"/>
                <w:sz w:val="20"/>
                <w:szCs w:val="20"/>
              </w:rPr>
              <w:t>E</w:t>
            </w:r>
          </w:p>
        </w:tc>
        <w:tc>
          <w:tcPr>
            <w:tcW w:w="1462" w:type="dxa"/>
          </w:tcPr>
          <w:p w14:paraId="750DC2DF"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 xml:space="preserve">Elective </w:t>
            </w:r>
          </w:p>
        </w:tc>
        <w:tc>
          <w:tcPr>
            <w:tcW w:w="1701" w:type="dxa"/>
          </w:tcPr>
          <w:p w14:paraId="2BF9E2D1" w14:textId="64E6747C"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w:t>
            </w:r>
            <w:r w:rsidR="000A6C03">
              <w:rPr>
                <w:rFonts w:ascii="Arial" w:hAnsi="Arial" w:cs="Arial"/>
                <w:color w:val="000000" w:themeColor="text1"/>
                <w:sz w:val="20"/>
                <w:szCs w:val="20"/>
              </w:rPr>
              <w:t>968</w:t>
            </w:r>
          </w:p>
        </w:tc>
        <w:tc>
          <w:tcPr>
            <w:tcW w:w="1559" w:type="dxa"/>
          </w:tcPr>
          <w:p w14:paraId="2C7F44DE" w14:textId="28BE57CE"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w:t>
            </w:r>
            <w:r w:rsidR="008F183A">
              <w:rPr>
                <w:rFonts w:ascii="Arial" w:hAnsi="Arial" w:cs="Arial"/>
                <w:color w:val="000000" w:themeColor="text1"/>
                <w:sz w:val="20"/>
                <w:szCs w:val="20"/>
              </w:rPr>
              <w:t>968</w:t>
            </w:r>
          </w:p>
        </w:tc>
      </w:tr>
      <w:tr w:rsidR="004942B6" w:rsidRPr="009222F3" w14:paraId="25BC3F1E" w14:textId="77777777" w:rsidTr="002C2525">
        <w:trPr>
          <w:trHeight w:val="686"/>
        </w:trPr>
        <w:tc>
          <w:tcPr>
            <w:tcW w:w="1843" w:type="dxa"/>
            <w:vMerge/>
          </w:tcPr>
          <w:p w14:paraId="72331113" w14:textId="77777777" w:rsidR="004942B6" w:rsidRPr="009222F3" w:rsidRDefault="004942B6" w:rsidP="002C2525">
            <w:pPr>
              <w:spacing w:line="360" w:lineRule="auto"/>
              <w:jc w:val="both"/>
              <w:rPr>
                <w:rFonts w:ascii="Arial" w:hAnsi="Arial" w:cs="Arial"/>
                <w:color w:val="000000" w:themeColor="text1"/>
                <w:sz w:val="20"/>
                <w:szCs w:val="20"/>
              </w:rPr>
            </w:pPr>
          </w:p>
        </w:tc>
        <w:tc>
          <w:tcPr>
            <w:tcW w:w="1985" w:type="dxa"/>
            <w:vMerge/>
          </w:tcPr>
          <w:p w14:paraId="2C22F5FF" w14:textId="77777777" w:rsidR="004942B6" w:rsidRPr="009222F3" w:rsidRDefault="004942B6" w:rsidP="002C2525">
            <w:pPr>
              <w:spacing w:line="360" w:lineRule="auto"/>
              <w:jc w:val="both"/>
              <w:rPr>
                <w:rFonts w:ascii="Arial" w:hAnsi="Arial" w:cs="Arial"/>
                <w:color w:val="000000" w:themeColor="text1"/>
                <w:sz w:val="20"/>
                <w:szCs w:val="20"/>
              </w:rPr>
            </w:pPr>
          </w:p>
        </w:tc>
        <w:tc>
          <w:tcPr>
            <w:tcW w:w="2082" w:type="dxa"/>
            <w:vMerge/>
          </w:tcPr>
          <w:p w14:paraId="54440749" w14:textId="77777777" w:rsidR="004942B6" w:rsidRPr="009222F3" w:rsidRDefault="004942B6" w:rsidP="002C2525">
            <w:pPr>
              <w:spacing w:line="360" w:lineRule="auto"/>
              <w:jc w:val="both"/>
              <w:rPr>
                <w:rFonts w:ascii="Arial" w:hAnsi="Arial" w:cs="Arial"/>
                <w:color w:val="000000" w:themeColor="text1"/>
                <w:sz w:val="20"/>
                <w:szCs w:val="20"/>
              </w:rPr>
            </w:pPr>
          </w:p>
        </w:tc>
        <w:tc>
          <w:tcPr>
            <w:tcW w:w="1462" w:type="dxa"/>
          </w:tcPr>
          <w:p w14:paraId="50D85894"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 xml:space="preserve">Non-Elective </w:t>
            </w:r>
          </w:p>
        </w:tc>
        <w:tc>
          <w:tcPr>
            <w:tcW w:w="1701" w:type="dxa"/>
          </w:tcPr>
          <w:p w14:paraId="16CB1689" w14:textId="7D00BD53"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w:t>
            </w:r>
            <w:r w:rsidR="006C691D">
              <w:rPr>
                <w:rFonts w:ascii="Arial" w:hAnsi="Arial" w:cs="Arial"/>
                <w:color w:val="000000" w:themeColor="text1"/>
                <w:sz w:val="20"/>
                <w:szCs w:val="20"/>
              </w:rPr>
              <w:t>2649</w:t>
            </w:r>
          </w:p>
        </w:tc>
        <w:tc>
          <w:tcPr>
            <w:tcW w:w="1559" w:type="dxa"/>
          </w:tcPr>
          <w:p w14:paraId="082C4769" w14:textId="7976063F"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w:t>
            </w:r>
            <w:r w:rsidR="008F183A">
              <w:rPr>
                <w:rFonts w:ascii="Arial" w:hAnsi="Arial" w:cs="Arial"/>
                <w:color w:val="000000" w:themeColor="text1"/>
                <w:sz w:val="20"/>
                <w:szCs w:val="20"/>
              </w:rPr>
              <w:t>2649</w:t>
            </w:r>
          </w:p>
        </w:tc>
      </w:tr>
      <w:tr w:rsidR="004942B6" w:rsidRPr="009222F3" w14:paraId="66A494D5" w14:textId="77777777" w:rsidTr="002C2525">
        <w:trPr>
          <w:trHeight w:val="708"/>
        </w:trPr>
        <w:tc>
          <w:tcPr>
            <w:tcW w:w="1843" w:type="dxa"/>
            <w:vMerge w:val="restart"/>
          </w:tcPr>
          <w:p w14:paraId="41CE2FAD"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Measured</w:t>
            </w:r>
            <w:r w:rsidRPr="009222F3">
              <w:rPr>
                <w:rFonts w:ascii="Arial" w:hAnsi="Arial" w:cs="Arial"/>
                <w:color w:val="000000" w:themeColor="text1"/>
                <w:sz w:val="20"/>
                <w:szCs w:val="20"/>
              </w:rPr>
              <w:t xml:space="preserve"> FFR</w:t>
            </w:r>
            <w:r>
              <w:rPr>
                <w:rFonts w:ascii="Arial" w:hAnsi="Arial" w:cs="Arial"/>
                <w:color w:val="000000" w:themeColor="text1"/>
                <w:sz w:val="20"/>
                <w:szCs w:val="20"/>
              </w:rPr>
              <w:t xml:space="preserve"> (mFFR)</w:t>
            </w:r>
          </w:p>
        </w:tc>
        <w:tc>
          <w:tcPr>
            <w:tcW w:w="1985" w:type="dxa"/>
            <w:vMerge w:val="restart"/>
          </w:tcPr>
          <w:p w14:paraId="1E07C828"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Standard Cardiac Catheterization with CC 4-6 and Invasive FFR</w:t>
            </w:r>
          </w:p>
        </w:tc>
        <w:tc>
          <w:tcPr>
            <w:tcW w:w="2082" w:type="dxa"/>
            <w:vMerge w:val="restart"/>
          </w:tcPr>
          <w:p w14:paraId="2B9664E0" w14:textId="3C5AFAD6"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EY43</w:t>
            </w:r>
            <w:r w:rsidR="00641F8D">
              <w:rPr>
                <w:rFonts w:ascii="Arial" w:hAnsi="Arial" w:cs="Arial"/>
                <w:color w:val="000000" w:themeColor="text1"/>
                <w:sz w:val="20"/>
                <w:szCs w:val="20"/>
              </w:rPr>
              <w:t>E</w:t>
            </w:r>
            <w:r>
              <w:rPr>
                <w:rFonts w:ascii="Arial" w:hAnsi="Arial" w:cs="Arial"/>
                <w:color w:val="000000" w:themeColor="text1"/>
                <w:sz w:val="20"/>
                <w:szCs w:val="20"/>
              </w:rPr>
              <w:t xml:space="preserve"> + P</w:t>
            </w:r>
            <w:r w:rsidRPr="009222F3">
              <w:rPr>
                <w:rFonts w:ascii="Arial" w:hAnsi="Arial" w:cs="Arial"/>
                <w:color w:val="000000" w:themeColor="text1"/>
                <w:sz w:val="20"/>
                <w:szCs w:val="20"/>
              </w:rPr>
              <w:t>ressure</w:t>
            </w:r>
            <w:r>
              <w:rPr>
                <w:rFonts w:ascii="Arial" w:hAnsi="Arial" w:cs="Arial"/>
                <w:color w:val="000000" w:themeColor="text1"/>
                <w:sz w:val="20"/>
                <w:szCs w:val="20"/>
              </w:rPr>
              <w:t xml:space="preserve"> </w:t>
            </w:r>
            <w:r w:rsidRPr="009222F3">
              <w:rPr>
                <w:rFonts w:ascii="Arial" w:hAnsi="Arial" w:cs="Arial"/>
                <w:color w:val="000000" w:themeColor="text1"/>
                <w:sz w:val="20"/>
                <w:szCs w:val="20"/>
              </w:rPr>
              <w:t>wire</w:t>
            </w:r>
            <w:r w:rsidR="00582D70">
              <w:rPr>
                <w:rFonts w:ascii="Arial" w:hAnsi="Arial" w:cs="Arial"/>
                <w:color w:val="000000" w:themeColor="text1"/>
                <w:sz w:val="20"/>
                <w:szCs w:val="20"/>
              </w:rPr>
              <w:t xml:space="preserve"> cost</w:t>
            </w:r>
            <w:r>
              <w:rPr>
                <w:rFonts w:ascii="Arial" w:hAnsi="Arial" w:cs="Arial"/>
                <w:color w:val="000000" w:themeColor="text1"/>
                <w:sz w:val="20"/>
                <w:szCs w:val="20"/>
              </w:rPr>
              <w:t xml:space="preserve"> </w:t>
            </w:r>
            <w:r w:rsidRPr="009222F3">
              <w:rPr>
                <w:rFonts w:ascii="Arial" w:hAnsi="Arial" w:cs="Arial"/>
                <w:color w:val="000000" w:themeColor="text1"/>
                <w:sz w:val="20"/>
                <w:szCs w:val="20"/>
              </w:rPr>
              <w:t>+</w:t>
            </w:r>
            <w:r>
              <w:rPr>
                <w:rFonts w:ascii="Arial" w:hAnsi="Arial" w:cs="Arial"/>
                <w:color w:val="000000" w:themeColor="text1"/>
                <w:sz w:val="20"/>
                <w:szCs w:val="20"/>
              </w:rPr>
              <w:t xml:space="preserve"> </w:t>
            </w:r>
            <w:r w:rsidRPr="009222F3">
              <w:rPr>
                <w:rFonts w:ascii="Arial" w:hAnsi="Arial" w:cs="Arial"/>
                <w:color w:val="000000" w:themeColor="text1"/>
                <w:sz w:val="20"/>
                <w:szCs w:val="20"/>
              </w:rPr>
              <w:t>Adenosine Infusion</w:t>
            </w:r>
            <w:r w:rsidR="00582D70">
              <w:rPr>
                <w:rFonts w:ascii="Arial" w:hAnsi="Arial" w:cs="Arial"/>
                <w:color w:val="000000" w:themeColor="text1"/>
                <w:sz w:val="20"/>
                <w:szCs w:val="20"/>
              </w:rPr>
              <w:t xml:space="preserve"> cost</w:t>
            </w:r>
          </w:p>
        </w:tc>
        <w:tc>
          <w:tcPr>
            <w:tcW w:w="1462" w:type="dxa"/>
          </w:tcPr>
          <w:p w14:paraId="43A89DA5"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Elective</w:t>
            </w:r>
          </w:p>
        </w:tc>
        <w:tc>
          <w:tcPr>
            <w:tcW w:w="1701" w:type="dxa"/>
          </w:tcPr>
          <w:p w14:paraId="36B4AC97" w14:textId="3C9502CB"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w:t>
            </w:r>
            <w:r w:rsidR="00760F63">
              <w:rPr>
                <w:rFonts w:ascii="Arial" w:hAnsi="Arial" w:cs="Arial"/>
                <w:color w:val="000000" w:themeColor="text1"/>
                <w:sz w:val="20"/>
                <w:szCs w:val="20"/>
              </w:rPr>
              <w:t>968</w:t>
            </w:r>
            <w:r>
              <w:rPr>
                <w:rFonts w:ascii="Arial" w:hAnsi="Arial" w:cs="Arial"/>
                <w:color w:val="000000" w:themeColor="text1"/>
                <w:sz w:val="20"/>
                <w:szCs w:val="20"/>
              </w:rPr>
              <w:t xml:space="preserve"> + £570 + £16</w:t>
            </w:r>
          </w:p>
        </w:tc>
        <w:tc>
          <w:tcPr>
            <w:tcW w:w="1559" w:type="dxa"/>
          </w:tcPr>
          <w:p w14:paraId="4C4DFB0A" w14:textId="578284BE"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w:t>
            </w:r>
            <w:r w:rsidR="00ED08D0">
              <w:rPr>
                <w:rFonts w:ascii="Arial" w:hAnsi="Arial" w:cs="Arial"/>
                <w:color w:val="000000" w:themeColor="text1"/>
                <w:sz w:val="20"/>
                <w:szCs w:val="20"/>
              </w:rPr>
              <w:t xml:space="preserve">586 </w:t>
            </w:r>
          </w:p>
        </w:tc>
      </w:tr>
      <w:tr w:rsidR="004942B6" w:rsidRPr="009222F3" w14:paraId="0A272AA6" w14:textId="77777777" w:rsidTr="002C2525">
        <w:trPr>
          <w:trHeight w:val="720"/>
        </w:trPr>
        <w:tc>
          <w:tcPr>
            <w:tcW w:w="1843" w:type="dxa"/>
            <w:vMerge/>
          </w:tcPr>
          <w:p w14:paraId="52EEA64A" w14:textId="77777777" w:rsidR="004942B6" w:rsidRPr="009222F3" w:rsidRDefault="004942B6" w:rsidP="002C2525">
            <w:pPr>
              <w:spacing w:line="360" w:lineRule="auto"/>
              <w:jc w:val="both"/>
              <w:rPr>
                <w:rFonts w:ascii="Arial" w:hAnsi="Arial" w:cs="Arial"/>
                <w:color w:val="000000" w:themeColor="text1"/>
                <w:sz w:val="20"/>
                <w:szCs w:val="20"/>
              </w:rPr>
            </w:pPr>
          </w:p>
        </w:tc>
        <w:tc>
          <w:tcPr>
            <w:tcW w:w="1985" w:type="dxa"/>
            <w:vMerge/>
          </w:tcPr>
          <w:p w14:paraId="286E48D7" w14:textId="77777777" w:rsidR="004942B6" w:rsidRPr="009222F3" w:rsidRDefault="004942B6" w:rsidP="002C2525">
            <w:pPr>
              <w:spacing w:line="360" w:lineRule="auto"/>
              <w:jc w:val="both"/>
              <w:rPr>
                <w:rFonts w:ascii="Arial" w:hAnsi="Arial" w:cs="Arial"/>
                <w:color w:val="000000" w:themeColor="text1"/>
                <w:sz w:val="20"/>
                <w:szCs w:val="20"/>
              </w:rPr>
            </w:pPr>
          </w:p>
        </w:tc>
        <w:tc>
          <w:tcPr>
            <w:tcW w:w="2082" w:type="dxa"/>
            <w:vMerge/>
          </w:tcPr>
          <w:p w14:paraId="29ED1F6C" w14:textId="77777777" w:rsidR="004942B6" w:rsidRPr="009222F3" w:rsidRDefault="004942B6" w:rsidP="002C2525">
            <w:pPr>
              <w:spacing w:line="360" w:lineRule="auto"/>
              <w:jc w:val="both"/>
              <w:rPr>
                <w:rFonts w:ascii="Arial" w:hAnsi="Arial" w:cs="Arial"/>
                <w:color w:val="000000" w:themeColor="text1"/>
                <w:sz w:val="20"/>
                <w:szCs w:val="20"/>
              </w:rPr>
            </w:pPr>
          </w:p>
        </w:tc>
        <w:tc>
          <w:tcPr>
            <w:tcW w:w="1462" w:type="dxa"/>
          </w:tcPr>
          <w:p w14:paraId="08DB385F"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Non-Elective</w:t>
            </w:r>
          </w:p>
        </w:tc>
        <w:tc>
          <w:tcPr>
            <w:tcW w:w="1701" w:type="dxa"/>
          </w:tcPr>
          <w:p w14:paraId="5D0E4896" w14:textId="1D268A7F"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w:t>
            </w:r>
            <w:r w:rsidR="00D43DAD">
              <w:rPr>
                <w:rFonts w:ascii="Arial" w:hAnsi="Arial" w:cs="Arial"/>
                <w:color w:val="000000" w:themeColor="text1"/>
                <w:sz w:val="20"/>
                <w:szCs w:val="20"/>
              </w:rPr>
              <w:t>2649</w:t>
            </w:r>
            <w:r w:rsidRPr="009222F3">
              <w:rPr>
                <w:rFonts w:ascii="Arial" w:hAnsi="Arial" w:cs="Arial"/>
                <w:color w:val="000000" w:themeColor="text1"/>
                <w:sz w:val="20"/>
                <w:szCs w:val="20"/>
              </w:rPr>
              <w:t xml:space="preserve"> + £570 + £16</w:t>
            </w:r>
          </w:p>
        </w:tc>
        <w:tc>
          <w:tcPr>
            <w:tcW w:w="1559" w:type="dxa"/>
          </w:tcPr>
          <w:p w14:paraId="0803858D" w14:textId="125A8EA4"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w:t>
            </w:r>
            <w:r w:rsidR="00ED08D0">
              <w:rPr>
                <w:rFonts w:ascii="Arial" w:hAnsi="Arial" w:cs="Arial"/>
                <w:color w:val="000000" w:themeColor="text1"/>
                <w:sz w:val="20"/>
                <w:szCs w:val="20"/>
              </w:rPr>
              <w:t>586</w:t>
            </w:r>
          </w:p>
        </w:tc>
      </w:tr>
      <w:tr w:rsidR="004942B6" w:rsidRPr="009222F3" w14:paraId="6BF310EE" w14:textId="77777777" w:rsidTr="002C2525">
        <w:trPr>
          <w:trHeight w:val="686"/>
        </w:trPr>
        <w:tc>
          <w:tcPr>
            <w:tcW w:w="1843" w:type="dxa"/>
            <w:vMerge w:val="restart"/>
          </w:tcPr>
          <w:p w14:paraId="1B9BCD2B" w14:textId="2394242C" w:rsidR="004942B6" w:rsidRPr="001920F3" w:rsidRDefault="004942B6" w:rsidP="002C2525">
            <w:pPr>
              <w:spacing w:line="360" w:lineRule="auto"/>
              <w:jc w:val="both"/>
              <w:rPr>
                <w:rFonts w:ascii="Arial" w:hAnsi="Arial" w:cs="Arial"/>
                <w:color w:val="000000" w:themeColor="text1"/>
                <w:sz w:val="20"/>
                <w:szCs w:val="20"/>
                <w:lang w:val="it-IT"/>
              </w:rPr>
            </w:pPr>
            <w:r w:rsidRPr="001920F3">
              <w:rPr>
                <w:rFonts w:ascii="Arial" w:hAnsi="Arial" w:cs="Arial"/>
                <w:color w:val="000000" w:themeColor="text1"/>
                <w:sz w:val="20"/>
                <w:szCs w:val="20"/>
                <w:lang w:val="it-IT"/>
              </w:rPr>
              <w:t>One vessel PCI</w:t>
            </w:r>
            <w:r w:rsidR="00641F8D" w:rsidRPr="001920F3">
              <w:rPr>
                <w:rFonts w:ascii="Arial" w:hAnsi="Arial" w:cs="Arial"/>
                <w:color w:val="000000" w:themeColor="text1"/>
                <w:sz w:val="20"/>
                <w:szCs w:val="20"/>
                <w:lang w:val="it-IT"/>
              </w:rPr>
              <w:t xml:space="preserve"> (1V PCI)</w:t>
            </w:r>
          </w:p>
        </w:tc>
        <w:tc>
          <w:tcPr>
            <w:tcW w:w="1985" w:type="dxa"/>
            <w:vMerge w:val="restart"/>
          </w:tcPr>
          <w:p w14:paraId="431A9A33"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Standard PCI with CC score 4-7</w:t>
            </w:r>
          </w:p>
          <w:p w14:paraId="6E9A7D7A" w14:textId="77777777" w:rsidR="004942B6" w:rsidRPr="009222F3" w:rsidRDefault="004942B6" w:rsidP="002C2525">
            <w:pPr>
              <w:spacing w:line="360" w:lineRule="auto"/>
              <w:jc w:val="both"/>
              <w:rPr>
                <w:rFonts w:ascii="Arial" w:hAnsi="Arial" w:cs="Arial"/>
                <w:color w:val="000000" w:themeColor="text1"/>
                <w:sz w:val="20"/>
                <w:szCs w:val="20"/>
              </w:rPr>
            </w:pPr>
          </w:p>
        </w:tc>
        <w:tc>
          <w:tcPr>
            <w:tcW w:w="2082" w:type="dxa"/>
            <w:vMerge w:val="restart"/>
          </w:tcPr>
          <w:p w14:paraId="37CCA130"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EY41C</w:t>
            </w:r>
          </w:p>
        </w:tc>
        <w:tc>
          <w:tcPr>
            <w:tcW w:w="1462" w:type="dxa"/>
          </w:tcPr>
          <w:p w14:paraId="40508F9F"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Elective</w:t>
            </w:r>
          </w:p>
        </w:tc>
        <w:tc>
          <w:tcPr>
            <w:tcW w:w="1701" w:type="dxa"/>
          </w:tcPr>
          <w:p w14:paraId="6DA290CA" w14:textId="7A7A138D"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£2071</w:t>
            </w:r>
          </w:p>
        </w:tc>
        <w:tc>
          <w:tcPr>
            <w:tcW w:w="1559" w:type="dxa"/>
          </w:tcPr>
          <w:p w14:paraId="109980E8" w14:textId="6EC49EF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w:t>
            </w:r>
            <w:r w:rsidR="00115484">
              <w:rPr>
                <w:rFonts w:ascii="Arial" w:hAnsi="Arial" w:cs="Arial"/>
                <w:color w:val="000000" w:themeColor="text1"/>
                <w:sz w:val="20"/>
                <w:szCs w:val="20"/>
              </w:rPr>
              <w:t>1103</w:t>
            </w:r>
          </w:p>
        </w:tc>
      </w:tr>
      <w:tr w:rsidR="004942B6" w:rsidRPr="009222F3" w14:paraId="37B2DA5F" w14:textId="77777777" w:rsidTr="002C2525">
        <w:trPr>
          <w:trHeight w:val="586"/>
        </w:trPr>
        <w:tc>
          <w:tcPr>
            <w:tcW w:w="1843" w:type="dxa"/>
            <w:vMerge/>
          </w:tcPr>
          <w:p w14:paraId="66DD73B1" w14:textId="77777777" w:rsidR="004942B6" w:rsidRDefault="004942B6" w:rsidP="002C2525">
            <w:pPr>
              <w:spacing w:line="360" w:lineRule="auto"/>
              <w:jc w:val="both"/>
              <w:rPr>
                <w:rFonts w:ascii="Arial" w:hAnsi="Arial" w:cs="Arial"/>
                <w:color w:val="000000" w:themeColor="text1"/>
                <w:sz w:val="20"/>
                <w:szCs w:val="20"/>
              </w:rPr>
            </w:pPr>
          </w:p>
        </w:tc>
        <w:tc>
          <w:tcPr>
            <w:tcW w:w="1985" w:type="dxa"/>
            <w:vMerge/>
          </w:tcPr>
          <w:p w14:paraId="58AC499B" w14:textId="77777777" w:rsidR="004942B6" w:rsidRPr="009222F3" w:rsidRDefault="004942B6" w:rsidP="002C2525">
            <w:pPr>
              <w:spacing w:line="360" w:lineRule="auto"/>
              <w:jc w:val="both"/>
              <w:rPr>
                <w:rFonts w:ascii="Arial" w:hAnsi="Arial" w:cs="Arial"/>
                <w:color w:val="000000" w:themeColor="text1"/>
                <w:sz w:val="20"/>
                <w:szCs w:val="20"/>
              </w:rPr>
            </w:pPr>
          </w:p>
        </w:tc>
        <w:tc>
          <w:tcPr>
            <w:tcW w:w="2082" w:type="dxa"/>
            <w:vMerge/>
          </w:tcPr>
          <w:p w14:paraId="6490A642" w14:textId="77777777" w:rsidR="004942B6" w:rsidRPr="009222F3" w:rsidRDefault="004942B6" w:rsidP="002C2525">
            <w:pPr>
              <w:spacing w:line="360" w:lineRule="auto"/>
              <w:jc w:val="both"/>
              <w:rPr>
                <w:rFonts w:ascii="Arial" w:hAnsi="Arial" w:cs="Arial"/>
                <w:color w:val="000000" w:themeColor="text1"/>
                <w:sz w:val="20"/>
                <w:szCs w:val="20"/>
              </w:rPr>
            </w:pPr>
          </w:p>
        </w:tc>
        <w:tc>
          <w:tcPr>
            <w:tcW w:w="1462" w:type="dxa"/>
          </w:tcPr>
          <w:p w14:paraId="1C4721D9"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Non-Elective</w:t>
            </w:r>
          </w:p>
        </w:tc>
        <w:tc>
          <w:tcPr>
            <w:tcW w:w="1701" w:type="dxa"/>
          </w:tcPr>
          <w:p w14:paraId="6FEA3C93"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£3375</w:t>
            </w:r>
          </w:p>
        </w:tc>
        <w:tc>
          <w:tcPr>
            <w:tcW w:w="1559" w:type="dxa"/>
          </w:tcPr>
          <w:p w14:paraId="0822BCD5" w14:textId="5FB83966" w:rsidR="004942B6" w:rsidRPr="009222F3" w:rsidRDefault="009E5491"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 xml:space="preserve">£726 </w:t>
            </w:r>
          </w:p>
        </w:tc>
      </w:tr>
      <w:tr w:rsidR="004942B6" w:rsidRPr="009222F3" w14:paraId="211E6B4A" w14:textId="77777777" w:rsidTr="002C2525">
        <w:trPr>
          <w:trHeight w:val="663"/>
        </w:trPr>
        <w:tc>
          <w:tcPr>
            <w:tcW w:w="1843" w:type="dxa"/>
            <w:vMerge w:val="restart"/>
          </w:tcPr>
          <w:p w14:paraId="637041AE" w14:textId="058BC467" w:rsidR="004942B6" w:rsidRPr="001920F3" w:rsidRDefault="001920F3" w:rsidP="002C2525">
            <w:pPr>
              <w:spacing w:line="360" w:lineRule="auto"/>
              <w:jc w:val="both"/>
              <w:rPr>
                <w:rFonts w:ascii="Arial" w:hAnsi="Arial" w:cs="Arial"/>
                <w:color w:val="000000" w:themeColor="text1"/>
                <w:sz w:val="20"/>
                <w:szCs w:val="20"/>
                <w:lang w:val="it-IT"/>
              </w:rPr>
            </w:pPr>
            <w:r>
              <w:rPr>
                <w:rFonts w:ascii="Arial" w:hAnsi="Arial" w:cs="Arial"/>
                <w:color w:val="000000" w:themeColor="text1"/>
                <w:sz w:val="20"/>
                <w:szCs w:val="20"/>
                <w:lang w:val="it-IT"/>
              </w:rPr>
              <w:t>Two-vessel</w:t>
            </w:r>
            <w:r w:rsidR="004942B6" w:rsidRPr="001920F3">
              <w:rPr>
                <w:rFonts w:ascii="Arial" w:hAnsi="Arial" w:cs="Arial"/>
                <w:color w:val="000000" w:themeColor="text1"/>
                <w:sz w:val="20"/>
                <w:szCs w:val="20"/>
                <w:lang w:val="it-IT"/>
              </w:rPr>
              <w:t xml:space="preserve"> PCI</w:t>
            </w:r>
            <w:r w:rsidR="00641F8D" w:rsidRPr="001920F3">
              <w:rPr>
                <w:rFonts w:ascii="Arial" w:hAnsi="Arial" w:cs="Arial"/>
                <w:color w:val="000000" w:themeColor="text1"/>
                <w:sz w:val="20"/>
                <w:szCs w:val="20"/>
                <w:lang w:val="it-IT"/>
              </w:rPr>
              <w:t xml:space="preserve"> (2V PCI)</w:t>
            </w:r>
          </w:p>
        </w:tc>
        <w:tc>
          <w:tcPr>
            <w:tcW w:w="1985" w:type="dxa"/>
            <w:vMerge w:val="restart"/>
          </w:tcPr>
          <w:p w14:paraId="6494A1E0"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Complex PCI with CC score 4-7</w:t>
            </w:r>
          </w:p>
        </w:tc>
        <w:tc>
          <w:tcPr>
            <w:tcW w:w="2082" w:type="dxa"/>
            <w:vMerge w:val="restart"/>
          </w:tcPr>
          <w:p w14:paraId="3512FD45"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 xml:space="preserve">EY40C </w:t>
            </w:r>
          </w:p>
        </w:tc>
        <w:tc>
          <w:tcPr>
            <w:tcW w:w="1462" w:type="dxa"/>
          </w:tcPr>
          <w:p w14:paraId="348B1350"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Elective</w:t>
            </w:r>
            <w:r w:rsidRPr="009222F3">
              <w:rPr>
                <w:rFonts w:ascii="Arial" w:hAnsi="Arial" w:cs="Arial"/>
                <w:color w:val="000000" w:themeColor="text1"/>
                <w:sz w:val="20"/>
                <w:szCs w:val="20"/>
              </w:rPr>
              <w:t xml:space="preserve"> </w:t>
            </w:r>
          </w:p>
        </w:tc>
        <w:tc>
          <w:tcPr>
            <w:tcW w:w="1701" w:type="dxa"/>
          </w:tcPr>
          <w:p w14:paraId="5670B655"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£2460</w:t>
            </w:r>
          </w:p>
        </w:tc>
        <w:tc>
          <w:tcPr>
            <w:tcW w:w="1559" w:type="dxa"/>
          </w:tcPr>
          <w:p w14:paraId="3D0FC5A7" w14:textId="0EF9D202"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w:t>
            </w:r>
            <w:r w:rsidR="00E57290">
              <w:rPr>
                <w:rFonts w:ascii="Arial" w:hAnsi="Arial" w:cs="Arial"/>
                <w:color w:val="000000" w:themeColor="text1"/>
                <w:sz w:val="20"/>
                <w:szCs w:val="20"/>
              </w:rPr>
              <w:t xml:space="preserve">1492 </w:t>
            </w:r>
          </w:p>
        </w:tc>
      </w:tr>
      <w:tr w:rsidR="004942B6" w:rsidRPr="009222F3" w14:paraId="33618A74" w14:textId="77777777" w:rsidTr="002C2525">
        <w:trPr>
          <w:trHeight w:val="676"/>
        </w:trPr>
        <w:tc>
          <w:tcPr>
            <w:tcW w:w="1843" w:type="dxa"/>
            <w:vMerge/>
          </w:tcPr>
          <w:p w14:paraId="2706C4A2" w14:textId="77777777" w:rsidR="004942B6" w:rsidRDefault="004942B6" w:rsidP="002C2525">
            <w:pPr>
              <w:spacing w:line="360" w:lineRule="auto"/>
              <w:jc w:val="both"/>
              <w:rPr>
                <w:rFonts w:ascii="Arial" w:hAnsi="Arial" w:cs="Arial"/>
                <w:color w:val="000000" w:themeColor="text1"/>
                <w:sz w:val="20"/>
                <w:szCs w:val="20"/>
              </w:rPr>
            </w:pPr>
          </w:p>
        </w:tc>
        <w:tc>
          <w:tcPr>
            <w:tcW w:w="1985" w:type="dxa"/>
            <w:vMerge/>
          </w:tcPr>
          <w:p w14:paraId="49B25105" w14:textId="77777777" w:rsidR="004942B6" w:rsidRPr="009222F3" w:rsidRDefault="004942B6" w:rsidP="002C2525">
            <w:pPr>
              <w:spacing w:line="360" w:lineRule="auto"/>
              <w:jc w:val="both"/>
              <w:rPr>
                <w:rFonts w:ascii="Arial" w:hAnsi="Arial" w:cs="Arial"/>
                <w:color w:val="000000" w:themeColor="text1"/>
                <w:sz w:val="20"/>
                <w:szCs w:val="20"/>
              </w:rPr>
            </w:pPr>
          </w:p>
        </w:tc>
        <w:tc>
          <w:tcPr>
            <w:tcW w:w="2082" w:type="dxa"/>
            <w:vMerge/>
          </w:tcPr>
          <w:p w14:paraId="58DB024F" w14:textId="77777777" w:rsidR="004942B6" w:rsidRPr="009222F3" w:rsidRDefault="004942B6" w:rsidP="002C2525">
            <w:pPr>
              <w:spacing w:line="360" w:lineRule="auto"/>
              <w:jc w:val="both"/>
              <w:rPr>
                <w:rFonts w:ascii="Arial" w:hAnsi="Arial" w:cs="Arial"/>
                <w:color w:val="000000" w:themeColor="text1"/>
                <w:sz w:val="20"/>
                <w:szCs w:val="20"/>
              </w:rPr>
            </w:pPr>
          </w:p>
        </w:tc>
        <w:tc>
          <w:tcPr>
            <w:tcW w:w="1462" w:type="dxa"/>
          </w:tcPr>
          <w:p w14:paraId="64F47434"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Non-Elective</w:t>
            </w:r>
          </w:p>
        </w:tc>
        <w:tc>
          <w:tcPr>
            <w:tcW w:w="1701" w:type="dxa"/>
          </w:tcPr>
          <w:p w14:paraId="111AD120"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£3795</w:t>
            </w:r>
          </w:p>
        </w:tc>
        <w:tc>
          <w:tcPr>
            <w:tcW w:w="1559" w:type="dxa"/>
          </w:tcPr>
          <w:p w14:paraId="4CD5711F" w14:textId="20FA55F8"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w:t>
            </w:r>
            <w:r w:rsidR="00BF0DDF">
              <w:rPr>
                <w:rFonts w:ascii="Arial" w:hAnsi="Arial" w:cs="Arial"/>
                <w:color w:val="000000" w:themeColor="text1"/>
                <w:sz w:val="20"/>
                <w:szCs w:val="20"/>
              </w:rPr>
              <w:t xml:space="preserve">1146 </w:t>
            </w:r>
          </w:p>
        </w:tc>
      </w:tr>
      <w:tr w:rsidR="004942B6" w:rsidRPr="009222F3" w14:paraId="5D1A3F1F" w14:textId="77777777" w:rsidTr="002C2525">
        <w:trPr>
          <w:trHeight w:val="724"/>
        </w:trPr>
        <w:tc>
          <w:tcPr>
            <w:tcW w:w="1843" w:type="dxa"/>
            <w:vMerge w:val="restart"/>
          </w:tcPr>
          <w:p w14:paraId="30200701" w14:textId="77777777" w:rsidR="00641F8D"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 xml:space="preserve">One vessel </w:t>
            </w:r>
            <w:r w:rsidRPr="009222F3">
              <w:rPr>
                <w:rFonts w:ascii="Arial" w:hAnsi="Arial" w:cs="Arial"/>
                <w:color w:val="000000" w:themeColor="text1"/>
                <w:sz w:val="20"/>
                <w:szCs w:val="20"/>
              </w:rPr>
              <w:t xml:space="preserve">PCI + </w:t>
            </w:r>
            <w:r>
              <w:rPr>
                <w:rFonts w:ascii="Arial" w:hAnsi="Arial" w:cs="Arial"/>
                <w:color w:val="000000" w:themeColor="text1"/>
                <w:sz w:val="20"/>
                <w:szCs w:val="20"/>
              </w:rPr>
              <w:t>m</w:t>
            </w:r>
            <w:r w:rsidRPr="009222F3">
              <w:rPr>
                <w:rFonts w:ascii="Arial" w:hAnsi="Arial" w:cs="Arial"/>
                <w:color w:val="000000" w:themeColor="text1"/>
                <w:sz w:val="20"/>
                <w:szCs w:val="20"/>
              </w:rPr>
              <w:t xml:space="preserve">FFR </w:t>
            </w:r>
            <w:r w:rsidR="00641F8D">
              <w:rPr>
                <w:rFonts w:ascii="Arial" w:hAnsi="Arial" w:cs="Arial"/>
                <w:color w:val="000000" w:themeColor="text1"/>
                <w:sz w:val="20"/>
                <w:szCs w:val="20"/>
              </w:rPr>
              <w:t xml:space="preserve"> </w:t>
            </w:r>
          </w:p>
          <w:p w14:paraId="400955F6" w14:textId="18FCAA5A" w:rsidR="004942B6" w:rsidRPr="009222F3" w:rsidRDefault="00641F8D"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(1V PCI + mFFR)</w:t>
            </w:r>
          </w:p>
        </w:tc>
        <w:tc>
          <w:tcPr>
            <w:tcW w:w="1985" w:type="dxa"/>
            <w:vMerge w:val="restart"/>
          </w:tcPr>
          <w:p w14:paraId="4133A5B2"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 xml:space="preserve">Standard PCI with CC score 4-7 + Invasive FFR </w:t>
            </w:r>
          </w:p>
        </w:tc>
        <w:tc>
          <w:tcPr>
            <w:tcW w:w="2082" w:type="dxa"/>
            <w:vMerge w:val="restart"/>
          </w:tcPr>
          <w:p w14:paraId="756863A5"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EY40C</w:t>
            </w:r>
            <w:r>
              <w:rPr>
                <w:rFonts w:ascii="Arial" w:hAnsi="Arial" w:cs="Arial"/>
                <w:color w:val="000000" w:themeColor="text1"/>
                <w:sz w:val="20"/>
                <w:szCs w:val="20"/>
              </w:rPr>
              <w:t xml:space="preserve"> </w:t>
            </w:r>
            <w:r w:rsidRPr="009222F3">
              <w:rPr>
                <w:rFonts w:ascii="Arial" w:hAnsi="Arial" w:cs="Arial"/>
                <w:color w:val="000000" w:themeColor="text1"/>
                <w:sz w:val="20"/>
                <w:szCs w:val="20"/>
              </w:rPr>
              <w:t>+</w:t>
            </w:r>
            <w:r>
              <w:rPr>
                <w:rFonts w:ascii="Arial" w:hAnsi="Arial" w:cs="Arial"/>
                <w:color w:val="000000" w:themeColor="text1"/>
                <w:sz w:val="20"/>
                <w:szCs w:val="20"/>
              </w:rPr>
              <w:t xml:space="preserve"> P</w:t>
            </w:r>
            <w:r w:rsidRPr="009222F3">
              <w:rPr>
                <w:rFonts w:ascii="Arial" w:hAnsi="Arial" w:cs="Arial"/>
                <w:color w:val="000000" w:themeColor="text1"/>
                <w:sz w:val="20"/>
                <w:szCs w:val="20"/>
              </w:rPr>
              <w:t>ressure wire + Adenosine Infusion</w:t>
            </w:r>
          </w:p>
        </w:tc>
        <w:tc>
          <w:tcPr>
            <w:tcW w:w="1462" w:type="dxa"/>
          </w:tcPr>
          <w:p w14:paraId="40C3A3CF"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Elective</w:t>
            </w:r>
          </w:p>
        </w:tc>
        <w:tc>
          <w:tcPr>
            <w:tcW w:w="1701" w:type="dxa"/>
          </w:tcPr>
          <w:p w14:paraId="2C700136"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£2071 + £570 + £16</w:t>
            </w:r>
          </w:p>
        </w:tc>
        <w:tc>
          <w:tcPr>
            <w:tcW w:w="1559" w:type="dxa"/>
          </w:tcPr>
          <w:p w14:paraId="5FEB3341" w14:textId="2013C8D1"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w:t>
            </w:r>
            <w:r w:rsidR="00C82825">
              <w:rPr>
                <w:rFonts w:ascii="Arial" w:hAnsi="Arial" w:cs="Arial"/>
                <w:color w:val="000000" w:themeColor="text1"/>
                <w:sz w:val="20"/>
                <w:szCs w:val="20"/>
              </w:rPr>
              <w:t>1689</w:t>
            </w:r>
          </w:p>
        </w:tc>
      </w:tr>
      <w:tr w:rsidR="004942B6" w:rsidRPr="009222F3" w14:paraId="312CFB65" w14:textId="77777777" w:rsidTr="002C2525">
        <w:trPr>
          <w:trHeight w:val="684"/>
        </w:trPr>
        <w:tc>
          <w:tcPr>
            <w:tcW w:w="1843" w:type="dxa"/>
            <w:vMerge/>
          </w:tcPr>
          <w:p w14:paraId="52F4616D" w14:textId="77777777" w:rsidR="004942B6" w:rsidRDefault="004942B6" w:rsidP="002C2525">
            <w:pPr>
              <w:spacing w:line="360" w:lineRule="auto"/>
              <w:jc w:val="both"/>
              <w:rPr>
                <w:rFonts w:ascii="Arial" w:hAnsi="Arial" w:cs="Arial"/>
                <w:color w:val="000000" w:themeColor="text1"/>
                <w:sz w:val="20"/>
                <w:szCs w:val="20"/>
              </w:rPr>
            </w:pPr>
          </w:p>
        </w:tc>
        <w:tc>
          <w:tcPr>
            <w:tcW w:w="1985" w:type="dxa"/>
            <w:vMerge/>
          </w:tcPr>
          <w:p w14:paraId="044A7249" w14:textId="77777777" w:rsidR="004942B6" w:rsidRPr="009222F3" w:rsidRDefault="004942B6" w:rsidP="002C2525">
            <w:pPr>
              <w:spacing w:line="360" w:lineRule="auto"/>
              <w:jc w:val="both"/>
              <w:rPr>
                <w:rFonts w:ascii="Arial" w:hAnsi="Arial" w:cs="Arial"/>
                <w:color w:val="000000" w:themeColor="text1"/>
                <w:sz w:val="20"/>
                <w:szCs w:val="20"/>
              </w:rPr>
            </w:pPr>
          </w:p>
        </w:tc>
        <w:tc>
          <w:tcPr>
            <w:tcW w:w="2082" w:type="dxa"/>
            <w:vMerge/>
          </w:tcPr>
          <w:p w14:paraId="370F0C46" w14:textId="77777777" w:rsidR="004942B6" w:rsidRPr="009222F3" w:rsidRDefault="004942B6" w:rsidP="002C2525">
            <w:pPr>
              <w:spacing w:line="360" w:lineRule="auto"/>
              <w:jc w:val="both"/>
              <w:rPr>
                <w:rFonts w:ascii="Arial" w:hAnsi="Arial" w:cs="Arial"/>
                <w:color w:val="000000" w:themeColor="text1"/>
                <w:sz w:val="20"/>
                <w:szCs w:val="20"/>
              </w:rPr>
            </w:pPr>
          </w:p>
        </w:tc>
        <w:tc>
          <w:tcPr>
            <w:tcW w:w="1462" w:type="dxa"/>
          </w:tcPr>
          <w:p w14:paraId="5756A448"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Non-Elective</w:t>
            </w:r>
          </w:p>
        </w:tc>
        <w:tc>
          <w:tcPr>
            <w:tcW w:w="1701" w:type="dxa"/>
          </w:tcPr>
          <w:p w14:paraId="31E9499B"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£3375 + £570 + £16</w:t>
            </w:r>
          </w:p>
        </w:tc>
        <w:tc>
          <w:tcPr>
            <w:tcW w:w="1559" w:type="dxa"/>
          </w:tcPr>
          <w:p w14:paraId="5DB984EA" w14:textId="6057B4BF"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w:t>
            </w:r>
            <w:r w:rsidR="00BE705B">
              <w:rPr>
                <w:rFonts w:ascii="Arial" w:hAnsi="Arial" w:cs="Arial"/>
                <w:color w:val="000000" w:themeColor="text1"/>
                <w:sz w:val="20"/>
                <w:szCs w:val="20"/>
              </w:rPr>
              <w:t>1312</w:t>
            </w:r>
          </w:p>
        </w:tc>
      </w:tr>
      <w:tr w:rsidR="004942B6" w:rsidRPr="009222F3" w14:paraId="1F37C7E9" w14:textId="77777777" w:rsidTr="002C2525">
        <w:trPr>
          <w:trHeight w:val="716"/>
        </w:trPr>
        <w:tc>
          <w:tcPr>
            <w:tcW w:w="1843" w:type="dxa"/>
            <w:vMerge w:val="restart"/>
          </w:tcPr>
          <w:p w14:paraId="4BD8B090" w14:textId="77777777" w:rsidR="00641F8D"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Two vessel</w:t>
            </w:r>
            <w:r w:rsidRPr="009222F3">
              <w:rPr>
                <w:rFonts w:ascii="Arial" w:hAnsi="Arial" w:cs="Arial"/>
                <w:color w:val="000000" w:themeColor="text1"/>
                <w:sz w:val="20"/>
                <w:szCs w:val="20"/>
              </w:rPr>
              <w:t xml:space="preserve"> PCI + </w:t>
            </w:r>
            <w:r>
              <w:rPr>
                <w:rFonts w:ascii="Arial" w:hAnsi="Arial" w:cs="Arial"/>
                <w:color w:val="000000" w:themeColor="text1"/>
                <w:sz w:val="20"/>
                <w:szCs w:val="20"/>
              </w:rPr>
              <w:t>m</w:t>
            </w:r>
            <w:r w:rsidRPr="009222F3">
              <w:rPr>
                <w:rFonts w:ascii="Arial" w:hAnsi="Arial" w:cs="Arial"/>
                <w:color w:val="000000" w:themeColor="text1"/>
                <w:sz w:val="20"/>
                <w:szCs w:val="20"/>
              </w:rPr>
              <w:t>FFR</w:t>
            </w:r>
            <w:r w:rsidR="00641F8D">
              <w:rPr>
                <w:rFonts w:ascii="Arial" w:hAnsi="Arial" w:cs="Arial"/>
                <w:color w:val="000000" w:themeColor="text1"/>
                <w:sz w:val="20"/>
                <w:szCs w:val="20"/>
              </w:rPr>
              <w:t xml:space="preserve"> </w:t>
            </w:r>
          </w:p>
          <w:p w14:paraId="25B52B3C" w14:textId="2547BADF" w:rsidR="004942B6" w:rsidRPr="009222F3" w:rsidRDefault="00641F8D"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(2V PCI + mFFR)</w:t>
            </w:r>
          </w:p>
        </w:tc>
        <w:tc>
          <w:tcPr>
            <w:tcW w:w="1985" w:type="dxa"/>
            <w:vMerge w:val="restart"/>
          </w:tcPr>
          <w:p w14:paraId="32485299"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Complex PCI with CC score 4-7 + Invasive FFR</w:t>
            </w:r>
          </w:p>
        </w:tc>
        <w:tc>
          <w:tcPr>
            <w:tcW w:w="2082" w:type="dxa"/>
            <w:vMerge w:val="restart"/>
          </w:tcPr>
          <w:p w14:paraId="1B957B18"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EY40C</w:t>
            </w:r>
            <w:r>
              <w:rPr>
                <w:rFonts w:ascii="Arial" w:hAnsi="Arial" w:cs="Arial"/>
                <w:color w:val="000000" w:themeColor="text1"/>
                <w:sz w:val="20"/>
                <w:szCs w:val="20"/>
              </w:rPr>
              <w:t xml:space="preserve"> + P</w:t>
            </w:r>
            <w:r w:rsidRPr="009222F3">
              <w:rPr>
                <w:rFonts w:ascii="Arial" w:hAnsi="Arial" w:cs="Arial"/>
                <w:color w:val="000000" w:themeColor="text1"/>
                <w:sz w:val="20"/>
                <w:szCs w:val="20"/>
              </w:rPr>
              <w:t>ressure wire + Adenosine Infusion</w:t>
            </w:r>
          </w:p>
        </w:tc>
        <w:tc>
          <w:tcPr>
            <w:tcW w:w="1462" w:type="dxa"/>
          </w:tcPr>
          <w:p w14:paraId="50A01472"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Elective</w:t>
            </w:r>
          </w:p>
        </w:tc>
        <w:tc>
          <w:tcPr>
            <w:tcW w:w="1701" w:type="dxa"/>
          </w:tcPr>
          <w:p w14:paraId="283D3341"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£2460 + £570 + £16</w:t>
            </w:r>
          </w:p>
        </w:tc>
        <w:tc>
          <w:tcPr>
            <w:tcW w:w="1559" w:type="dxa"/>
          </w:tcPr>
          <w:p w14:paraId="4EE41649" w14:textId="6D51050A"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w:t>
            </w:r>
            <w:r w:rsidR="00940554">
              <w:rPr>
                <w:rFonts w:ascii="Arial" w:hAnsi="Arial" w:cs="Arial"/>
                <w:color w:val="000000" w:themeColor="text1"/>
                <w:sz w:val="20"/>
                <w:szCs w:val="20"/>
              </w:rPr>
              <w:t>2078</w:t>
            </w:r>
          </w:p>
        </w:tc>
      </w:tr>
      <w:tr w:rsidR="004942B6" w:rsidRPr="009222F3" w14:paraId="47F9F36A" w14:textId="77777777" w:rsidTr="002C2525">
        <w:trPr>
          <w:trHeight w:val="693"/>
        </w:trPr>
        <w:tc>
          <w:tcPr>
            <w:tcW w:w="1843" w:type="dxa"/>
            <w:vMerge/>
          </w:tcPr>
          <w:p w14:paraId="39FD03DF" w14:textId="77777777" w:rsidR="004942B6" w:rsidRDefault="004942B6" w:rsidP="002C2525">
            <w:pPr>
              <w:spacing w:line="360" w:lineRule="auto"/>
              <w:jc w:val="both"/>
              <w:rPr>
                <w:rFonts w:ascii="Arial" w:hAnsi="Arial" w:cs="Arial"/>
                <w:color w:val="000000" w:themeColor="text1"/>
                <w:sz w:val="20"/>
                <w:szCs w:val="20"/>
              </w:rPr>
            </w:pPr>
          </w:p>
        </w:tc>
        <w:tc>
          <w:tcPr>
            <w:tcW w:w="1985" w:type="dxa"/>
            <w:vMerge/>
          </w:tcPr>
          <w:p w14:paraId="3A8A4DC4" w14:textId="77777777" w:rsidR="004942B6" w:rsidRPr="009222F3" w:rsidRDefault="004942B6" w:rsidP="002C2525">
            <w:pPr>
              <w:spacing w:line="360" w:lineRule="auto"/>
              <w:jc w:val="both"/>
              <w:rPr>
                <w:rFonts w:ascii="Arial" w:hAnsi="Arial" w:cs="Arial"/>
                <w:color w:val="000000" w:themeColor="text1"/>
                <w:sz w:val="20"/>
                <w:szCs w:val="20"/>
              </w:rPr>
            </w:pPr>
          </w:p>
        </w:tc>
        <w:tc>
          <w:tcPr>
            <w:tcW w:w="2082" w:type="dxa"/>
            <w:vMerge/>
          </w:tcPr>
          <w:p w14:paraId="66D6242E" w14:textId="77777777" w:rsidR="004942B6" w:rsidRPr="009222F3" w:rsidRDefault="004942B6" w:rsidP="002C2525">
            <w:pPr>
              <w:spacing w:line="360" w:lineRule="auto"/>
              <w:jc w:val="both"/>
              <w:rPr>
                <w:rFonts w:ascii="Arial" w:hAnsi="Arial" w:cs="Arial"/>
                <w:color w:val="000000" w:themeColor="text1"/>
                <w:sz w:val="20"/>
                <w:szCs w:val="20"/>
              </w:rPr>
            </w:pPr>
          </w:p>
        </w:tc>
        <w:tc>
          <w:tcPr>
            <w:tcW w:w="1462" w:type="dxa"/>
          </w:tcPr>
          <w:p w14:paraId="4036D998"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Non-Elective</w:t>
            </w:r>
          </w:p>
        </w:tc>
        <w:tc>
          <w:tcPr>
            <w:tcW w:w="1701" w:type="dxa"/>
          </w:tcPr>
          <w:p w14:paraId="134670BE"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£3795 + £570 + £16</w:t>
            </w:r>
          </w:p>
        </w:tc>
        <w:tc>
          <w:tcPr>
            <w:tcW w:w="1559" w:type="dxa"/>
          </w:tcPr>
          <w:p w14:paraId="105FD84E" w14:textId="349CC779"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w:t>
            </w:r>
            <w:r w:rsidR="00940554">
              <w:rPr>
                <w:rFonts w:ascii="Arial" w:hAnsi="Arial" w:cs="Arial"/>
                <w:color w:val="000000" w:themeColor="text1"/>
                <w:sz w:val="20"/>
                <w:szCs w:val="20"/>
              </w:rPr>
              <w:t>1732</w:t>
            </w:r>
          </w:p>
        </w:tc>
      </w:tr>
      <w:tr w:rsidR="004942B6" w:rsidRPr="009222F3" w14:paraId="4D1DDFE6" w14:textId="77777777" w:rsidTr="002C2525">
        <w:trPr>
          <w:trHeight w:val="714"/>
        </w:trPr>
        <w:tc>
          <w:tcPr>
            <w:tcW w:w="1843" w:type="dxa"/>
            <w:vMerge w:val="restart"/>
          </w:tcPr>
          <w:p w14:paraId="5AFC037F"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CABG</w:t>
            </w:r>
            <w:r>
              <w:rPr>
                <w:rFonts w:ascii="Arial" w:hAnsi="Arial" w:cs="Arial"/>
                <w:color w:val="000000" w:themeColor="text1"/>
                <w:sz w:val="20"/>
                <w:szCs w:val="20"/>
              </w:rPr>
              <w:t xml:space="preserve"> x 2/3</w:t>
            </w:r>
          </w:p>
        </w:tc>
        <w:tc>
          <w:tcPr>
            <w:tcW w:w="1985" w:type="dxa"/>
            <w:vMerge w:val="restart"/>
          </w:tcPr>
          <w:p w14:paraId="111EFEC0"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 xml:space="preserve">Standard CABG with CC score </w:t>
            </w:r>
            <w:r>
              <w:rPr>
                <w:rFonts w:ascii="Arial" w:hAnsi="Arial" w:cs="Arial"/>
                <w:color w:val="000000" w:themeColor="text1"/>
                <w:sz w:val="20"/>
                <w:szCs w:val="20"/>
              </w:rPr>
              <w:t>0-4</w:t>
            </w:r>
          </w:p>
        </w:tc>
        <w:tc>
          <w:tcPr>
            <w:tcW w:w="2082" w:type="dxa"/>
            <w:vMerge w:val="restart"/>
          </w:tcPr>
          <w:p w14:paraId="6D1FB688" w14:textId="77777777"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ED</w:t>
            </w:r>
            <w:r>
              <w:rPr>
                <w:rFonts w:ascii="Arial" w:hAnsi="Arial" w:cs="Arial"/>
                <w:color w:val="000000" w:themeColor="text1"/>
                <w:sz w:val="20"/>
                <w:szCs w:val="20"/>
              </w:rPr>
              <w:t>28C</w:t>
            </w:r>
          </w:p>
        </w:tc>
        <w:tc>
          <w:tcPr>
            <w:tcW w:w="1462" w:type="dxa"/>
          </w:tcPr>
          <w:p w14:paraId="74AA74BE"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Elective</w:t>
            </w:r>
          </w:p>
        </w:tc>
        <w:tc>
          <w:tcPr>
            <w:tcW w:w="1701" w:type="dxa"/>
          </w:tcPr>
          <w:p w14:paraId="4A4D883F"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£8384</w:t>
            </w:r>
          </w:p>
        </w:tc>
        <w:tc>
          <w:tcPr>
            <w:tcW w:w="1559" w:type="dxa"/>
          </w:tcPr>
          <w:p w14:paraId="1B70B008" w14:textId="12AE19C9" w:rsidR="004942B6" w:rsidRPr="009222F3" w:rsidRDefault="004942B6" w:rsidP="002C2525">
            <w:pPr>
              <w:spacing w:line="360" w:lineRule="auto"/>
              <w:jc w:val="both"/>
              <w:rPr>
                <w:rFonts w:ascii="Arial" w:hAnsi="Arial" w:cs="Arial"/>
                <w:color w:val="000000" w:themeColor="text1"/>
                <w:sz w:val="20"/>
                <w:szCs w:val="20"/>
              </w:rPr>
            </w:pPr>
            <w:r w:rsidRPr="009222F3">
              <w:rPr>
                <w:rFonts w:ascii="Arial" w:hAnsi="Arial" w:cs="Arial"/>
                <w:color w:val="000000" w:themeColor="text1"/>
                <w:sz w:val="20"/>
                <w:szCs w:val="20"/>
              </w:rPr>
              <w:t>£8</w:t>
            </w:r>
            <w:r w:rsidR="00CC206D">
              <w:rPr>
                <w:rFonts w:ascii="Arial" w:hAnsi="Arial" w:cs="Arial"/>
                <w:color w:val="000000" w:themeColor="text1"/>
                <w:sz w:val="20"/>
                <w:szCs w:val="20"/>
              </w:rPr>
              <w:t>384</w:t>
            </w:r>
          </w:p>
        </w:tc>
      </w:tr>
      <w:tr w:rsidR="004942B6" w:rsidRPr="009222F3" w14:paraId="059E1AE3" w14:textId="77777777" w:rsidTr="002C2525">
        <w:trPr>
          <w:trHeight w:val="684"/>
        </w:trPr>
        <w:tc>
          <w:tcPr>
            <w:tcW w:w="1843" w:type="dxa"/>
            <w:vMerge/>
          </w:tcPr>
          <w:p w14:paraId="0E234EDA" w14:textId="77777777" w:rsidR="004942B6" w:rsidRPr="009222F3" w:rsidRDefault="004942B6" w:rsidP="002C2525">
            <w:pPr>
              <w:spacing w:line="360" w:lineRule="auto"/>
              <w:jc w:val="both"/>
              <w:rPr>
                <w:rFonts w:ascii="Arial" w:hAnsi="Arial" w:cs="Arial"/>
                <w:color w:val="000000" w:themeColor="text1"/>
                <w:sz w:val="20"/>
                <w:szCs w:val="20"/>
              </w:rPr>
            </w:pPr>
          </w:p>
        </w:tc>
        <w:tc>
          <w:tcPr>
            <w:tcW w:w="1985" w:type="dxa"/>
            <w:vMerge/>
          </w:tcPr>
          <w:p w14:paraId="7B94C1EE" w14:textId="77777777" w:rsidR="004942B6" w:rsidRPr="009222F3" w:rsidRDefault="004942B6" w:rsidP="002C2525">
            <w:pPr>
              <w:spacing w:line="360" w:lineRule="auto"/>
              <w:jc w:val="both"/>
              <w:rPr>
                <w:rFonts w:ascii="Arial" w:hAnsi="Arial" w:cs="Arial"/>
                <w:color w:val="000000" w:themeColor="text1"/>
                <w:sz w:val="20"/>
                <w:szCs w:val="20"/>
              </w:rPr>
            </w:pPr>
          </w:p>
        </w:tc>
        <w:tc>
          <w:tcPr>
            <w:tcW w:w="2082" w:type="dxa"/>
            <w:vMerge/>
          </w:tcPr>
          <w:p w14:paraId="14E0C545" w14:textId="77777777" w:rsidR="004942B6" w:rsidRPr="009222F3" w:rsidRDefault="004942B6" w:rsidP="002C2525">
            <w:pPr>
              <w:spacing w:line="360" w:lineRule="auto"/>
              <w:jc w:val="both"/>
              <w:rPr>
                <w:rFonts w:ascii="Arial" w:hAnsi="Arial" w:cs="Arial"/>
                <w:color w:val="000000" w:themeColor="text1"/>
                <w:sz w:val="20"/>
                <w:szCs w:val="20"/>
              </w:rPr>
            </w:pPr>
          </w:p>
        </w:tc>
        <w:tc>
          <w:tcPr>
            <w:tcW w:w="1462" w:type="dxa"/>
          </w:tcPr>
          <w:p w14:paraId="0DFC9AA5"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Non-Elective</w:t>
            </w:r>
          </w:p>
        </w:tc>
        <w:tc>
          <w:tcPr>
            <w:tcW w:w="1701" w:type="dxa"/>
          </w:tcPr>
          <w:p w14:paraId="2EC576B9"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£10,828</w:t>
            </w:r>
          </w:p>
        </w:tc>
        <w:tc>
          <w:tcPr>
            <w:tcW w:w="1559" w:type="dxa"/>
          </w:tcPr>
          <w:p w14:paraId="68685552"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£10,828</w:t>
            </w:r>
          </w:p>
        </w:tc>
      </w:tr>
      <w:tr w:rsidR="004942B6" w:rsidRPr="009222F3" w14:paraId="45502BFA" w14:textId="77777777" w:rsidTr="002C2525">
        <w:trPr>
          <w:trHeight w:val="836"/>
        </w:trPr>
        <w:tc>
          <w:tcPr>
            <w:tcW w:w="1843" w:type="dxa"/>
            <w:vMerge w:val="restart"/>
          </w:tcPr>
          <w:p w14:paraId="1D7A1FC1"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 xml:space="preserve">CABG x 4 </w:t>
            </w:r>
          </w:p>
        </w:tc>
        <w:tc>
          <w:tcPr>
            <w:tcW w:w="1985" w:type="dxa"/>
            <w:vMerge w:val="restart"/>
          </w:tcPr>
          <w:p w14:paraId="7120E5CF"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Complex CABG with CC score 0-4</w:t>
            </w:r>
          </w:p>
        </w:tc>
        <w:tc>
          <w:tcPr>
            <w:tcW w:w="2082" w:type="dxa"/>
            <w:vMerge w:val="restart"/>
          </w:tcPr>
          <w:p w14:paraId="161D26F8"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ED26C</w:t>
            </w:r>
          </w:p>
        </w:tc>
        <w:tc>
          <w:tcPr>
            <w:tcW w:w="1462" w:type="dxa"/>
          </w:tcPr>
          <w:p w14:paraId="776CB9CE"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Elective</w:t>
            </w:r>
          </w:p>
        </w:tc>
        <w:tc>
          <w:tcPr>
            <w:tcW w:w="1701" w:type="dxa"/>
          </w:tcPr>
          <w:p w14:paraId="2120F924" w14:textId="77777777" w:rsidR="004942B6"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£10,247</w:t>
            </w:r>
          </w:p>
        </w:tc>
        <w:tc>
          <w:tcPr>
            <w:tcW w:w="1559" w:type="dxa"/>
          </w:tcPr>
          <w:p w14:paraId="0902A3BC"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£10,247</w:t>
            </w:r>
          </w:p>
        </w:tc>
      </w:tr>
      <w:tr w:rsidR="004942B6" w:rsidRPr="009222F3" w14:paraId="306A22AB" w14:textId="77777777" w:rsidTr="002C2525">
        <w:trPr>
          <w:trHeight w:val="834"/>
        </w:trPr>
        <w:tc>
          <w:tcPr>
            <w:tcW w:w="1843" w:type="dxa"/>
            <w:vMerge/>
          </w:tcPr>
          <w:p w14:paraId="2FB3F701" w14:textId="77777777" w:rsidR="004942B6" w:rsidRPr="009222F3" w:rsidRDefault="004942B6" w:rsidP="002C2525">
            <w:pPr>
              <w:spacing w:line="360" w:lineRule="auto"/>
              <w:jc w:val="both"/>
              <w:rPr>
                <w:rFonts w:ascii="Arial" w:hAnsi="Arial" w:cs="Arial"/>
                <w:color w:val="000000" w:themeColor="text1"/>
                <w:sz w:val="20"/>
                <w:szCs w:val="20"/>
              </w:rPr>
            </w:pPr>
          </w:p>
        </w:tc>
        <w:tc>
          <w:tcPr>
            <w:tcW w:w="1985" w:type="dxa"/>
            <w:vMerge/>
          </w:tcPr>
          <w:p w14:paraId="2617AB65" w14:textId="77777777" w:rsidR="004942B6" w:rsidRPr="009222F3" w:rsidRDefault="004942B6" w:rsidP="002C2525">
            <w:pPr>
              <w:spacing w:line="360" w:lineRule="auto"/>
              <w:jc w:val="both"/>
              <w:rPr>
                <w:rFonts w:ascii="Arial" w:hAnsi="Arial" w:cs="Arial"/>
                <w:color w:val="000000" w:themeColor="text1"/>
                <w:sz w:val="20"/>
                <w:szCs w:val="20"/>
              </w:rPr>
            </w:pPr>
          </w:p>
        </w:tc>
        <w:tc>
          <w:tcPr>
            <w:tcW w:w="2082" w:type="dxa"/>
            <w:vMerge/>
          </w:tcPr>
          <w:p w14:paraId="751706D9" w14:textId="77777777" w:rsidR="004942B6" w:rsidRPr="009222F3" w:rsidRDefault="004942B6" w:rsidP="002C2525">
            <w:pPr>
              <w:spacing w:line="360" w:lineRule="auto"/>
              <w:jc w:val="both"/>
              <w:rPr>
                <w:rFonts w:ascii="Arial" w:hAnsi="Arial" w:cs="Arial"/>
                <w:color w:val="000000" w:themeColor="text1"/>
                <w:sz w:val="20"/>
                <w:szCs w:val="20"/>
              </w:rPr>
            </w:pPr>
          </w:p>
        </w:tc>
        <w:tc>
          <w:tcPr>
            <w:tcW w:w="1462" w:type="dxa"/>
          </w:tcPr>
          <w:p w14:paraId="0F6EA5C6"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Non-Elective</w:t>
            </w:r>
          </w:p>
        </w:tc>
        <w:tc>
          <w:tcPr>
            <w:tcW w:w="1701" w:type="dxa"/>
          </w:tcPr>
          <w:p w14:paraId="22DA68FC" w14:textId="77777777" w:rsidR="004942B6"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£12529</w:t>
            </w:r>
          </w:p>
        </w:tc>
        <w:tc>
          <w:tcPr>
            <w:tcW w:w="1559" w:type="dxa"/>
          </w:tcPr>
          <w:p w14:paraId="2FFA4D09" w14:textId="77777777" w:rsidR="004942B6" w:rsidRPr="009222F3" w:rsidRDefault="004942B6" w:rsidP="002C2525">
            <w:pPr>
              <w:spacing w:line="360" w:lineRule="auto"/>
              <w:jc w:val="both"/>
              <w:rPr>
                <w:rFonts w:ascii="Arial" w:hAnsi="Arial" w:cs="Arial"/>
                <w:color w:val="000000" w:themeColor="text1"/>
                <w:sz w:val="20"/>
                <w:szCs w:val="20"/>
              </w:rPr>
            </w:pPr>
            <w:r>
              <w:rPr>
                <w:rFonts w:ascii="Arial" w:hAnsi="Arial" w:cs="Arial"/>
                <w:color w:val="000000" w:themeColor="text1"/>
                <w:sz w:val="20"/>
                <w:szCs w:val="20"/>
              </w:rPr>
              <w:t>£12,529</w:t>
            </w:r>
          </w:p>
        </w:tc>
      </w:tr>
      <w:bookmarkEnd w:id="719"/>
    </w:tbl>
    <w:p w14:paraId="69FDBCA2" w14:textId="77777777" w:rsidR="004942B6" w:rsidRDefault="004942B6" w:rsidP="004942B6"/>
    <w:p w14:paraId="463A7EAC" w14:textId="72EB58D8" w:rsidR="004942B6" w:rsidRPr="007971FE" w:rsidRDefault="004942B6" w:rsidP="004942B6">
      <w:pPr>
        <w:pStyle w:val="Caption"/>
        <w:keepNext/>
        <w:rPr>
          <w:rFonts w:ascii="Arial" w:hAnsi="Arial" w:cs="Arial"/>
          <w:color w:val="auto"/>
          <w:sz w:val="20"/>
          <w:szCs w:val="20"/>
        </w:rPr>
      </w:pPr>
      <w:bookmarkStart w:id="720" w:name="_Toc159318281"/>
      <w:bookmarkStart w:id="721" w:name="_Toc159610316"/>
      <w:bookmarkStart w:id="722" w:name="_Toc164699073"/>
      <w:r w:rsidRPr="007971FE">
        <w:rPr>
          <w:rFonts w:ascii="Arial" w:hAnsi="Arial" w:cs="Arial"/>
          <w:b/>
          <w:bCs/>
          <w:color w:val="auto"/>
          <w:sz w:val="20"/>
          <w:szCs w:val="20"/>
        </w:rPr>
        <w:lastRenderedPageBreak/>
        <w:t xml:space="preserve">Table </w:t>
      </w:r>
      <w:r w:rsidR="00F07C0B">
        <w:rPr>
          <w:rFonts w:ascii="Arial" w:hAnsi="Arial" w:cs="Arial"/>
          <w:b/>
          <w:bCs/>
          <w:color w:val="auto"/>
          <w:sz w:val="20"/>
          <w:szCs w:val="20"/>
        </w:rPr>
        <w:t>7</w:t>
      </w:r>
      <w:r w:rsidRPr="007971FE">
        <w:rPr>
          <w:rFonts w:ascii="Arial" w:hAnsi="Arial" w:cs="Arial"/>
          <w:color w:val="auto"/>
          <w:sz w:val="20"/>
          <w:szCs w:val="20"/>
        </w:rPr>
        <w:t>: Simplified version of the tariffs for management strategies</w:t>
      </w:r>
      <w:bookmarkEnd w:id="720"/>
      <w:bookmarkEnd w:id="721"/>
      <w:bookmarkEnd w:id="722"/>
      <w:r>
        <w:rPr>
          <w:rFonts w:ascii="Arial" w:hAnsi="Arial" w:cs="Arial"/>
          <w:color w:val="auto"/>
          <w:sz w:val="20"/>
          <w:szCs w:val="20"/>
        </w:rPr>
        <w:t xml:space="preserve"> </w:t>
      </w:r>
    </w:p>
    <w:tbl>
      <w:tblPr>
        <w:tblStyle w:val="TableGrid"/>
        <w:tblW w:w="0" w:type="auto"/>
        <w:tblLook w:val="04A0" w:firstRow="1" w:lastRow="0" w:firstColumn="1" w:lastColumn="0" w:noHBand="0" w:noVBand="1"/>
      </w:tblPr>
      <w:tblGrid>
        <w:gridCol w:w="3000"/>
        <w:gridCol w:w="3008"/>
        <w:gridCol w:w="3008"/>
      </w:tblGrid>
      <w:tr w:rsidR="004942B6" w14:paraId="352C2AC3" w14:textId="77777777" w:rsidTr="002C2525">
        <w:tc>
          <w:tcPr>
            <w:tcW w:w="3000" w:type="dxa"/>
          </w:tcPr>
          <w:p w14:paraId="4D1A74EF" w14:textId="77777777" w:rsidR="004942B6" w:rsidRPr="00D333BA" w:rsidRDefault="004942B6" w:rsidP="002C2525">
            <w:pPr>
              <w:spacing w:line="480" w:lineRule="auto"/>
              <w:rPr>
                <w:b/>
                <w:bCs/>
                <w:sz w:val="28"/>
                <w:szCs w:val="28"/>
              </w:rPr>
            </w:pPr>
            <w:r w:rsidRPr="00D333BA">
              <w:rPr>
                <w:b/>
                <w:bCs/>
                <w:sz w:val="28"/>
                <w:szCs w:val="28"/>
              </w:rPr>
              <w:t>Plan</w:t>
            </w:r>
          </w:p>
        </w:tc>
        <w:tc>
          <w:tcPr>
            <w:tcW w:w="3008" w:type="dxa"/>
          </w:tcPr>
          <w:p w14:paraId="0B04D69C" w14:textId="77777777" w:rsidR="004942B6" w:rsidRPr="00D333BA" w:rsidRDefault="004942B6" w:rsidP="002C2525">
            <w:pPr>
              <w:spacing w:line="480" w:lineRule="auto"/>
              <w:rPr>
                <w:b/>
                <w:bCs/>
                <w:sz w:val="28"/>
                <w:szCs w:val="28"/>
              </w:rPr>
            </w:pPr>
            <w:r w:rsidRPr="00D333BA">
              <w:rPr>
                <w:b/>
                <w:bCs/>
                <w:sz w:val="28"/>
                <w:szCs w:val="28"/>
              </w:rPr>
              <w:t>ACS</w:t>
            </w:r>
          </w:p>
        </w:tc>
        <w:tc>
          <w:tcPr>
            <w:tcW w:w="3008" w:type="dxa"/>
          </w:tcPr>
          <w:p w14:paraId="53A9D3B8" w14:textId="77777777" w:rsidR="004942B6" w:rsidRPr="00D333BA" w:rsidRDefault="004942B6" w:rsidP="002C2525">
            <w:pPr>
              <w:spacing w:line="480" w:lineRule="auto"/>
              <w:rPr>
                <w:b/>
                <w:bCs/>
                <w:sz w:val="28"/>
                <w:szCs w:val="28"/>
              </w:rPr>
            </w:pPr>
            <w:r w:rsidRPr="00D333BA">
              <w:rPr>
                <w:b/>
                <w:bCs/>
                <w:sz w:val="28"/>
                <w:szCs w:val="28"/>
              </w:rPr>
              <w:t>CCS</w:t>
            </w:r>
          </w:p>
        </w:tc>
      </w:tr>
      <w:tr w:rsidR="004942B6" w14:paraId="7421C716" w14:textId="77777777" w:rsidTr="002C2525">
        <w:tc>
          <w:tcPr>
            <w:tcW w:w="3000" w:type="dxa"/>
          </w:tcPr>
          <w:p w14:paraId="7A714A69" w14:textId="77777777" w:rsidR="004942B6" w:rsidRDefault="004942B6" w:rsidP="002C2525">
            <w:pPr>
              <w:spacing w:line="480" w:lineRule="auto"/>
            </w:pPr>
            <w:r>
              <w:t>OMT</w:t>
            </w:r>
          </w:p>
        </w:tc>
        <w:tc>
          <w:tcPr>
            <w:tcW w:w="3008" w:type="dxa"/>
          </w:tcPr>
          <w:p w14:paraId="67409A99" w14:textId="1A8257B4" w:rsidR="004942B6" w:rsidRDefault="004942B6" w:rsidP="002C2525">
            <w:pPr>
              <w:spacing w:line="480" w:lineRule="auto"/>
            </w:pPr>
            <w:r>
              <w:t>£710</w:t>
            </w:r>
          </w:p>
        </w:tc>
        <w:tc>
          <w:tcPr>
            <w:tcW w:w="3008" w:type="dxa"/>
          </w:tcPr>
          <w:p w14:paraId="3477D48C" w14:textId="54204E3C" w:rsidR="004942B6" w:rsidRDefault="004942B6" w:rsidP="002C2525">
            <w:pPr>
              <w:spacing w:line="480" w:lineRule="auto"/>
            </w:pPr>
            <w:r>
              <w:t>£160</w:t>
            </w:r>
          </w:p>
        </w:tc>
      </w:tr>
      <w:tr w:rsidR="004942B6" w14:paraId="1EA6F42A" w14:textId="77777777" w:rsidTr="002C2525">
        <w:tc>
          <w:tcPr>
            <w:tcW w:w="3000" w:type="dxa"/>
          </w:tcPr>
          <w:p w14:paraId="4EDF9B17" w14:textId="77777777" w:rsidR="004942B6" w:rsidRDefault="004942B6" w:rsidP="002C2525">
            <w:pPr>
              <w:spacing w:line="480" w:lineRule="auto"/>
            </w:pPr>
            <w:r>
              <w:t>mFFR</w:t>
            </w:r>
          </w:p>
        </w:tc>
        <w:tc>
          <w:tcPr>
            <w:tcW w:w="3008" w:type="dxa"/>
          </w:tcPr>
          <w:p w14:paraId="734DA42F" w14:textId="7E6B78F4" w:rsidR="004942B6" w:rsidRDefault="004942B6" w:rsidP="002C2525">
            <w:pPr>
              <w:spacing w:line="480" w:lineRule="auto"/>
            </w:pPr>
            <w:r>
              <w:t>£</w:t>
            </w:r>
            <w:r w:rsidR="00CC206D">
              <w:t>1296</w:t>
            </w:r>
          </w:p>
        </w:tc>
        <w:tc>
          <w:tcPr>
            <w:tcW w:w="3008" w:type="dxa"/>
          </w:tcPr>
          <w:p w14:paraId="04A08F52" w14:textId="600C5937" w:rsidR="004942B6" w:rsidRDefault="004942B6" w:rsidP="002C2525">
            <w:pPr>
              <w:spacing w:line="480" w:lineRule="auto"/>
            </w:pPr>
            <w:r>
              <w:t>£</w:t>
            </w:r>
            <w:r w:rsidR="00C90103">
              <w:t>746</w:t>
            </w:r>
          </w:p>
        </w:tc>
      </w:tr>
      <w:tr w:rsidR="004942B6" w14:paraId="34759167" w14:textId="77777777" w:rsidTr="002C2525">
        <w:tc>
          <w:tcPr>
            <w:tcW w:w="3000" w:type="dxa"/>
          </w:tcPr>
          <w:p w14:paraId="05F1ABA7" w14:textId="77777777" w:rsidR="004942B6" w:rsidRDefault="004942B6" w:rsidP="002C2525">
            <w:pPr>
              <w:spacing w:line="480" w:lineRule="auto"/>
            </w:pPr>
            <w:r>
              <w:t>1V PCI</w:t>
            </w:r>
          </w:p>
        </w:tc>
        <w:tc>
          <w:tcPr>
            <w:tcW w:w="3008" w:type="dxa"/>
          </w:tcPr>
          <w:p w14:paraId="2352E895" w14:textId="77777777" w:rsidR="004942B6" w:rsidRDefault="004942B6" w:rsidP="002C2525">
            <w:pPr>
              <w:spacing w:line="480" w:lineRule="auto"/>
            </w:pPr>
            <w:r>
              <w:t>£1436</w:t>
            </w:r>
          </w:p>
        </w:tc>
        <w:tc>
          <w:tcPr>
            <w:tcW w:w="3008" w:type="dxa"/>
          </w:tcPr>
          <w:p w14:paraId="3EB15779" w14:textId="77777777" w:rsidR="004942B6" w:rsidRDefault="004942B6" w:rsidP="002C2525">
            <w:pPr>
              <w:spacing w:line="480" w:lineRule="auto"/>
            </w:pPr>
            <w:r>
              <w:t>£1263</w:t>
            </w:r>
          </w:p>
        </w:tc>
      </w:tr>
      <w:tr w:rsidR="004942B6" w14:paraId="4643ECAD" w14:textId="77777777" w:rsidTr="002C2525">
        <w:tc>
          <w:tcPr>
            <w:tcW w:w="3000" w:type="dxa"/>
          </w:tcPr>
          <w:p w14:paraId="1D57EB18" w14:textId="77777777" w:rsidR="004942B6" w:rsidRDefault="004942B6" w:rsidP="002C2525">
            <w:pPr>
              <w:spacing w:line="480" w:lineRule="auto"/>
            </w:pPr>
            <w:r>
              <w:t>1V PCI + mFFR</w:t>
            </w:r>
          </w:p>
        </w:tc>
        <w:tc>
          <w:tcPr>
            <w:tcW w:w="3008" w:type="dxa"/>
          </w:tcPr>
          <w:p w14:paraId="50E2C6EB" w14:textId="77777777" w:rsidR="004942B6" w:rsidRDefault="004942B6" w:rsidP="002C2525">
            <w:pPr>
              <w:spacing w:line="480" w:lineRule="auto"/>
            </w:pPr>
            <w:r>
              <w:t>£2022</w:t>
            </w:r>
          </w:p>
        </w:tc>
        <w:tc>
          <w:tcPr>
            <w:tcW w:w="3008" w:type="dxa"/>
          </w:tcPr>
          <w:p w14:paraId="26F5FEFD" w14:textId="77777777" w:rsidR="004942B6" w:rsidRDefault="004942B6" w:rsidP="002C2525">
            <w:pPr>
              <w:spacing w:line="480" w:lineRule="auto"/>
            </w:pPr>
            <w:r>
              <w:t>£1849</w:t>
            </w:r>
          </w:p>
        </w:tc>
      </w:tr>
      <w:tr w:rsidR="004942B6" w14:paraId="6A061946" w14:textId="77777777" w:rsidTr="002C2525">
        <w:tc>
          <w:tcPr>
            <w:tcW w:w="3000" w:type="dxa"/>
          </w:tcPr>
          <w:p w14:paraId="36DB8E9A" w14:textId="77777777" w:rsidR="004942B6" w:rsidRDefault="004942B6" w:rsidP="002C2525">
            <w:pPr>
              <w:spacing w:line="480" w:lineRule="auto"/>
            </w:pPr>
            <w:r>
              <w:t>2V PCI</w:t>
            </w:r>
          </w:p>
        </w:tc>
        <w:tc>
          <w:tcPr>
            <w:tcW w:w="3008" w:type="dxa"/>
          </w:tcPr>
          <w:p w14:paraId="1FFA770C" w14:textId="77777777" w:rsidR="004942B6" w:rsidRDefault="004942B6" w:rsidP="002C2525">
            <w:pPr>
              <w:spacing w:line="480" w:lineRule="auto"/>
            </w:pPr>
            <w:r>
              <w:t>£1856</w:t>
            </w:r>
          </w:p>
        </w:tc>
        <w:tc>
          <w:tcPr>
            <w:tcW w:w="3008" w:type="dxa"/>
          </w:tcPr>
          <w:p w14:paraId="66B5DDAD" w14:textId="77777777" w:rsidR="004942B6" w:rsidRDefault="004942B6" w:rsidP="002C2525">
            <w:pPr>
              <w:spacing w:line="480" w:lineRule="auto"/>
            </w:pPr>
            <w:r>
              <w:t>£1652</w:t>
            </w:r>
          </w:p>
        </w:tc>
      </w:tr>
      <w:tr w:rsidR="004942B6" w14:paraId="3E029C9E" w14:textId="77777777" w:rsidTr="002C2525">
        <w:tc>
          <w:tcPr>
            <w:tcW w:w="3000" w:type="dxa"/>
          </w:tcPr>
          <w:p w14:paraId="0704940F" w14:textId="77777777" w:rsidR="004942B6" w:rsidRDefault="004942B6" w:rsidP="002C2525">
            <w:pPr>
              <w:spacing w:line="480" w:lineRule="auto"/>
            </w:pPr>
            <w:r>
              <w:t>2V PCI + mFFR</w:t>
            </w:r>
          </w:p>
        </w:tc>
        <w:tc>
          <w:tcPr>
            <w:tcW w:w="3008" w:type="dxa"/>
          </w:tcPr>
          <w:p w14:paraId="55B0C011" w14:textId="77777777" w:rsidR="004942B6" w:rsidRDefault="004942B6" w:rsidP="002C2525">
            <w:pPr>
              <w:spacing w:line="480" w:lineRule="auto"/>
            </w:pPr>
            <w:r>
              <w:t>£2442</w:t>
            </w:r>
          </w:p>
        </w:tc>
        <w:tc>
          <w:tcPr>
            <w:tcW w:w="3008" w:type="dxa"/>
          </w:tcPr>
          <w:p w14:paraId="78C523FD" w14:textId="77777777" w:rsidR="004942B6" w:rsidRDefault="004942B6" w:rsidP="002C2525">
            <w:pPr>
              <w:spacing w:line="480" w:lineRule="auto"/>
            </w:pPr>
            <w:r>
              <w:t>£2238</w:t>
            </w:r>
          </w:p>
        </w:tc>
      </w:tr>
      <w:tr w:rsidR="004942B6" w14:paraId="2F065870" w14:textId="77777777" w:rsidTr="002C2525">
        <w:tc>
          <w:tcPr>
            <w:tcW w:w="3000" w:type="dxa"/>
          </w:tcPr>
          <w:p w14:paraId="053F2F0C" w14:textId="77777777" w:rsidR="004942B6" w:rsidRDefault="004942B6" w:rsidP="002C2525">
            <w:pPr>
              <w:spacing w:line="480" w:lineRule="auto"/>
            </w:pPr>
            <w:r>
              <w:t xml:space="preserve">CABG x 2 / 3 </w:t>
            </w:r>
          </w:p>
        </w:tc>
        <w:tc>
          <w:tcPr>
            <w:tcW w:w="3008" w:type="dxa"/>
          </w:tcPr>
          <w:p w14:paraId="63FC8413" w14:textId="14486C4E" w:rsidR="004942B6" w:rsidRDefault="004942B6" w:rsidP="002C2525">
            <w:pPr>
              <w:spacing w:line="480" w:lineRule="auto"/>
            </w:pPr>
            <w:r>
              <w:t>£1</w:t>
            </w:r>
            <w:r w:rsidR="00CC206D">
              <w:t>1</w:t>
            </w:r>
            <w:r>
              <w:t>,</w:t>
            </w:r>
            <w:r w:rsidR="00CC206D">
              <w:t>538</w:t>
            </w:r>
          </w:p>
        </w:tc>
        <w:tc>
          <w:tcPr>
            <w:tcW w:w="3008" w:type="dxa"/>
          </w:tcPr>
          <w:p w14:paraId="6963A6E4" w14:textId="3D2D4F55" w:rsidR="004942B6" w:rsidRDefault="004942B6" w:rsidP="002C2525">
            <w:pPr>
              <w:spacing w:line="480" w:lineRule="auto"/>
            </w:pPr>
            <w:r>
              <w:t>£</w:t>
            </w:r>
            <w:r>
              <w:rPr>
                <w:rFonts w:ascii="Arial" w:hAnsi="Arial" w:cs="Arial"/>
                <w:color w:val="000000" w:themeColor="text1"/>
                <w:sz w:val="20"/>
                <w:szCs w:val="20"/>
              </w:rPr>
              <w:t>8</w:t>
            </w:r>
            <w:r w:rsidR="00CC206D">
              <w:rPr>
                <w:rFonts w:ascii="Arial" w:hAnsi="Arial" w:cs="Arial"/>
                <w:color w:val="000000" w:themeColor="text1"/>
                <w:sz w:val="20"/>
                <w:szCs w:val="20"/>
              </w:rPr>
              <w:t>54</w:t>
            </w:r>
            <w:r>
              <w:rPr>
                <w:rFonts w:ascii="Arial" w:hAnsi="Arial" w:cs="Arial"/>
                <w:color w:val="000000" w:themeColor="text1"/>
                <w:sz w:val="20"/>
                <w:szCs w:val="20"/>
              </w:rPr>
              <w:t>4</w:t>
            </w:r>
          </w:p>
        </w:tc>
      </w:tr>
      <w:tr w:rsidR="004942B6" w14:paraId="410160B7" w14:textId="77777777" w:rsidTr="002C2525">
        <w:tc>
          <w:tcPr>
            <w:tcW w:w="3000" w:type="dxa"/>
          </w:tcPr>
          <w:p w14:paraId="217B91D6" w14:textId="77777777" w:rsidR="004942B6" w:rsidRDefault="004942B6" w:rsidP="002C2525">
            <w:pPr>
              <w:spacing w:line="480" w:lineRule="auto"/>
            </w:pPr>
            <w:r>
              <w:t>CABG x 4</w:t>
            </w:r>
          </w:p>
        </w:tc>
        <w:tc>
          <w:tcPr>
            <w:tcW w:w="3008" w:type="dxa"/>
          </w:tcPr>
          <w:p w14:paraId="1C968DB8" w14:textId="34D51509" w:rsidR="004942B6" w:rsidRDefault="004942B6" w:rsidP="002C2525">
            <w:pPr>
              <w:spacing w:line="480" w:lineRule="auto"/>
            </w:pPr>
            <w:r>
              <w:t>£1</w:t>
            </w:r>
            <w:r w:rsidR="00CC206D">
              <w:t>3</w:t>
            </w:r>
            <w:r>
              <w:t>,</w:t>
            </w:r>
            <w:r w:rsidR="00CC206D">
              <w:t>239</w:t>
            </w:r>
          </w:p>
        </w:tc>
        <w:tc>
          <w:tcPr>
            <w:tcW w:w="3008" w:type="dxa"/>
          </w:tcPr>
          <w:p w14:paraId="56C7908D" w14:textId="72162C01" w:rsidR="004942B6" w:rsidRDefault="004942B6" w:rsidP="002C2525">
            <w:pPr>
              <w:spacing w:line="480" w:lineRule="auto"/>
            </w:pPr>
            <w:r>
              <w:t>£10,</w:t>
            </w:r>
            <w:r w:rsidR="00CC206D">
              <w:t>407</w:t>
            </w:r>
          </w:p>
        </w:tc>
      </w:tr>
    </w:tbl>
    <w:p w14:paraId="4ED840DD" w14:textId="77777777" w:rsidR="004942B6" w:rsidRPr="009222F3" w:rsidRDefault="004942B6" w:rsidP="004942B6">
      <w:pPr>
        <w:pStyle w:val="Heading3"/>
        <w:rPr>
          <w:rFonts w:ascii="Arial" w:hAnsi="Arial" w:cs="Arial"/>
          <w:color w:val="000000" w:themeColor="text1"/>
        </w:rPr>
      </w:pPr>
    </w:p>
    <w:p w14:paraId="1FEC2648" w14:textId="7AB53523" w:rsidR="004942B6" w:rsidRPr="004B0DBA" w:rsidRDefault="004942B6" w:rsidP="004942B6">
      <w:pPr>
        <w:pStyle w:val="Heading3"/>
        <w:spacing w:line="360" w:lineRule="auto"/>
        <w:rPr>
          <w:rFonts w:ascii="Arial" w:hAnsi="Arial" w:cs="Arial"/>
          <w:color w:val="4472C4" w:themeColor="accent1"/>
          <w:sz w:val="24"/>
          <w:szCs w:val="24"/>
        </w:rPr>
      </w:pPr>
      <w:bookmarkStart w:id="723" w:name="_Toc164680494"/>
      <w:bookmarkStart w:id="724" w:name="_Toc164681392"/>
      <w:bookmarkStart w:id="725" w:name="_Toc170075071"/>
      <w:bookmarkStart w:id="726" w:name="_Toc170076058"/>
      <w:bookmarkStart w:id="727" w:name="_Toc170577757"/>
      <w:bookmarkStart w:id="728" w:name="_Toc171203130"/>
      <w:bookmarkStart w:id="729" w:name="_Toc171203901"/>
      <w:r w:rsidRPr="004B0DBA">
        <w:rPr>
          <w:rFonts w:ascii="Arial" w:hAnsi="Arial" w:cs="Arial"/>
          <w:color w:val="4472C4" w:themeColor="accent1"/>
          <w:sz w:val="24"/>
          <w:szCs w:val="24"/>
        </w:rPr>
        <w:t>2.5</w:t>
      </w:r>
      <w:r w:rsidR="002A3406">
        <w:rPr>
          <w:rFonts w:ascii="Arial" w:hAnsi="Arial" w:cs="Arial"/>
          <w:color w:val="4472C4" w:themeColor="accent1"/>
          <w:sz w:val="24"/>
          <w:szCs w:val="24"/>
        </w:rPr>
        <w:t>.3.3</w:t>
      </w:r>
      <w:r w:rsidRPr="004B0DBA">
        <w:rPr>
          <w:rFonts w:ascii="Arial" w:hAnsi="Arial" w:cs="Arial"/>
          <w:color w:val="4472C4" w:themeColor="accent1"/>
          <w:sz w:val="24"/>
          <w:szCs w:val="24"/>
        </w:rPr>
        <w:t xml:space="preserve"> Costs for hospital re-admissions</w:t>
      </w:r>
      <w:bookmarkEnd w:id="723"/>
      <w:bookmarkEnd w:id="724"/>
      <w:bookmarkEnd w:id="725"/>
      <w:bookmarkEnd w:id="726"/>
      <w:bookmarkEnd w:id="727"/>
      <w:bookmarkEnd w:id="728"/>
      <w:bookmarkEnd w:id="729"/>
    </w:p>
    <w:p w14:paraId="61B2F31F" w14:textId="38DDB3D9" w:rsidR="00BF36B8" w:rsidRDefault="004942B6" w:rsidP="00FC6E81">
      <w:pPr>
        <w:spacing w:line="360" w:lineRule="auto"/>
        <w:jc w:val="both"/>
        <w:rPr>
          <w:rFonts w:ascii="Arial" w:hAnsi="Arial" w:cs="Arial"/>
          <w:sz w:val="24"/>
          <w:szCs w:val="24"/>
        </w:rPr>
      </w:pPr>
      <w:r w:rsidRPr="004B0DBA">
        <w:rPr>
          <w:rFonts w:ascii="Arial" w:hAnsi="Arial" w:cs="Arial"/>
          <w:sz w:val="24"/>
          <w:szCs w:val="24"/>
        </w:rPr>
        <w:t>Hospital admission costs were determined for both acute and elective hospitalisations. Most elective patients attended for their index procedure as a day case. Overnight admissions were not required</w:t>
      </w:r>
      <w:r w:rsidRPr="00C54E9C">
        <w:rPr>
          <w:rFonts w:ascii="Arial" w:hAnsi="Arial" w:cs="Arial"/>
          <w:sz w:val="24"/>
          <w:szCs w:val="24"/>
        </w:rPr>
        <w:t xml:space="preserve"> unless clinically indicated. The mean </w:t>
      </w:r>
      <w:r>
        <w:rPr>
          <w:rFonts w:ascii="Arial" w:hAnsi="Arial" w:cs="Arial"/>
          <w:sz w:val="24"/>
          <w:szCs w:val="24"/>
        </w:rPr>
        <w:t xml:space="preserve">number of </w:t>
      </w:r>
      <w:r w:rsidRPr="00C54E9C">
        <w:rPr>
          <w:rFonts w:ascii="Arial" w:hAnsi="Arial" w:cs="Arial"/>
          <w:sz w:val="24"/>
          <w:szCs w:val="24"/>
        </w:rPr>
        <w:t xml:space="preserve">admission days in the ACS and CCS cohorts were estimated. As most ACS patients from the DGHs are transferred to NGH according to the waiting list, the number of days spent in DGH was discounted from analysis (due to logistics and to avoid skewing results). The hospital stay per day and any inpatient investigations were only costed to admission if performed post-vFFR. </w:t>
      </w:r>
      <w:r w:rsidR="0087089B" w:rsidRPr="0087089B">
        <w:rPr>
          <w:rFonts w:ascii="Arial" w:hAnsi="Arial" w:cs="Arial"/>
          <w:sz w:val="24"/>
          <w:szCs w:val="24"/>
        </w:rPr>
        <w:t>In addition, phlebotomy and basic radiological testing (like X-rays) were excluded from the analysis due to their limited relevance to the study.</w:t>
      </w:r>
      <w:r w:rsidRPr="00C54E9C">
        <w:rPr>
          <w:rFonts w:ascii="Arial" w:hAnsi="Arial" w:cs="Arial"/>
          <w:sz w:val="24"/>
          <w:szCs w:val="24"/>
        </w:rPr>
        <w:t xml:space="preserve"> The tariffs per day of stay in the cardiology ward and coronary care unit (CCU) were determined locally by the finance department of Sheffield Teaching Hospitals (£296 for the cardiology ward and £1139 for the CCU). Most CCS patients attended as day cases only; hence, they were not classed as admission.</w:t>
      </w:r>
      <w:bookmarkStart w:id="730" w:name="_Toc164680495"/>
      <w:bookmarkStart w:id="731" w:name="_Toc164681393"/>
    </w:p>
    <w:p w14:paraId="12E5F62A" w14:textId="77777777" w:rsidR="00BF36B8" w:rsidRDefault="00BF36B8" w:rsidP="00FC6E81">
      <w:pPr>
        <w:spacing w:line="360" w:lineRule="auto"/>
        <w:jc w:val="both"/>
        <w:rPr>
          <w:rFonts w:ascii="Arial" w:hAnsi="Arial" w:cs="Arial"/>
          <w:sz w:val="24"/>
          <w:szCs w:val="24"/>
        </w:rPr>
      </w:pPr>
    </w:p>
    <w:p w14:paraId="6C119165" w14:textId="77777777" w:rsidR="00BF36B8" w:rsidRDefault="00BF36B8" w:rsidP="00FC6E81">
      <w:pPr>
        <w:spacing w:line="360" w:lineRule="auto"/>
        <w:jc w:val="both"/>
        <w:rPr>
          <w:rFonts w:ascii="Arial" w:hAnsi="Arial" w:cs="Arial"/>
          <w:sz w:val="24"/>
          <w:szCs w:val="24"/>
        </w:rPr>
      </w:pPr>
    </w:p>
    <w:p w14:paraId="36132E0C" w14:textId="77777777" w:rsidR="00BF36B8" w:rsidRDefault="00BF36B8" w:rsidP="00FC6E81">
      <w:pPr>
        <w:spacing w:line="360" w:lineRule="auto"/>
        <w:jc w:val="both"/>
        <w:rPr>
          <w:rFonts w:ascii="Arial" w:hAnsi="Arial" w:cs="Arial"/>
          <w:sz w:val="24"/>
          <w:szCs w:val="24"/>
        </w:rPr>
      </w:pPr>
    </w:p>
    <w:p w14:paraId="7B84C63E" w14:textId="77777777" w:rsidR="00BF36B8" w:rsidRDefault="004942B6" w:rsidP="004942B6">
      <w:pPr>
        <w:spacing w:line="360" w:lineRule="auto"/>
        <w:jc w:val="both"/>
        <w:rPr>
          <w:rFonts w:ascii="Arial" w:hAnsi="Arial" w:cs="Arial"/>
          <w:sz w:val="24"/>
          <w:szCs w:val="24"/>
        </w:rPr>
      </w:pPr>
      <w:r w:rsidRPr="004B0DBA">
        <w:rPr>
          <w:rFonts w:ascii="Arial" w:hAnsi="Arial" w:cs="Arial"/>
          <w:color w:val="4472C4" w:themeColor="accent1"/>
          <w:sz w:val="24"/>
          <w:szCs w:val="24"/>
        </w:rPr>
        <w:lastRenderedPageBreak/>
        <w:t>2.</w:t>
      </w:r>
      <w:r w:rsidR="002A3406">
        <w:rPr>
          <w:rFonts w:ascii="Arial" w:hAnsi="Arial" w:cs="Arial"/>
          <w:color w:val="4472C4" w:themeColor="accent1"/>
          <w:sz w:val="24"/>
          <w:szCs w:val="24"/>
        </w:rPr>
        <w:t>5.3.4</w:t>
      </w:r>
      <w:r w:rsidRPr="004B0DBA">
        <w:rPr>
          <w:rFonts w:ascii="Arial" w:hAnsi="Arial" w:cs="Arial"/>
          <w:color w:val="4472C4" w:themeColor="accent1"/>
          <w:sz w:val="24"/>
          <w:szCs w:val="24"/>
        </w:rPr>
        <w:t xml:space="preserve"> Outpatient attendance costs</w:t>
      </w:r>
      <w:bookmarkEnd w:id="730"/>
      <w:bookmarkEnd w:id="731"/>
    </w:p>
    <w:p w14:paraId="4E538768" w14:textId="79884324" w:rsidR="004942B6" w:rsidRPr="00FC6E81" w:rsidRDefault="004942B6" w:rsidP="004942B6">
      <w:pPr>
        <w:spacing w:line="360" w:lineRule="auto"/>
        <w:jc w:val="both"/>
        <w:rPr>
          <w:rFonts w:ascii="Arial" w:hAnsi="Arial" w:cs="Arial"/>
          <w:sz w:val="24"/>
          <w:szCs w:val="24"/>
        </w:rPr>
      </w:pPr>
      <w:r w:rsidRPr="006162AC">
        <w:rPr>
          <w:rFonts w:ascii="Arial" w:hAnsi="Arial" w:cs="Arial"/>
          <w:sz w:val="24"/>
          <w:szCs w:val="24"/>
        </w:rPr>
        <w:t xml:space="preserve">The cost of a single outpatient attendance was also </w:t>
      </w:r>
      <w:r>
        <w:rPr>
          <w:rFonts w:ascii="Arial" w:hAnsi="Arial" w:cs="Arial"/>
          <w:sz w:val="24"/>
          <w:szCs w:val="24"/>
        </w:rPr>
        <w:t>taken</w:t>
      </w:r>
      <w:r w:rsidRPr="006162AC">
        <w:rPr>
          <w:rFonts w:ascii="Arial" w:hAnsi="Arial" w:cs="Arial"/>
          <w:sz w:val="24"/>
          <w:szCs w:val="24"/>
        </w:rPr>
        <w:t xml:space="preserve"> from the NHS tariffs 2022-23, which listed the first </w:t>
      </w:r>
      <w:r w:rsidRPr="009222F3">
        <w:rPr>
          <w:rFonts w:ascii="Arial" w:hAnsi="Arial" w:cs="Arial"/>
          <w:color w:val="000000" w:themeColor="text1"/>
          <w:sz w:val="24"/>
          <w:szCs w:val="24"/>
        </w:rPr>
        <w:t>attendance to be charged at £182 (code WF01B) and a follow-up at £96 (code WF01A). All the clinic attendances within the one-year follow-up were included for analysis</w:t>
      </w:r>
      <w:r>
        <w:rPr>
          <w:rFonts w:ascii="Arial" w:hAnsi="Arial" w:cs="Arial"/>
          <w:color w:val="000000" w:themeColor="text1"/>
          <w:sz w:val="24"/>
          <w:szCs w:val="24"/>
        </w:rPr>
        <w:t>.</w:t>
      </w:r>
      <w:r w:rsidRPr="009222F3">
        <w:rPr>
          <w:rFonts w:ascii="Arial" w:hAnsi="Arial" w:cs="Arial"/>
          <w:color w:val="000000" w:themeColor="text1"/>
          <w:sz w:val="24"/>
          <w:szCs w:val="24"/>
        </w:rPr>
        <w:t xml:space="preserve">   </w:t>
      </w:r>
    </w:p>
    <w:p w14:paraId="757E6D0E" w14:textId="77777777" w:rsidR="004942B6" w:rsidRPr="004B0DBA" w:rsidRDefault="004942B6" w:rsidP="004942B6">
      <w:pPr>
        <w:pStyle w:val="Heading3"/>
        <w:spacing w:line="360" w:lineRule="auto"/>
        <w:rPr>
          <w:sz w:val="24"/>
          <w:szCs w:val="24"/>
        </w:rPr>
      </w:pPr>
    </w:p>
    <w:p w14:paraId="0E2AAED8" w14:textId="759281BE" w:rsidR="004942B6" w:rsidRPr="004B0DBA" w:rsidRDefault="004942B6" w:rsidP="004942B6">
      <w:pPr>
        <w:pStyle w:val="Heading3"/>
        <w:spacing w:line="360" w:lineRule="auto"/>
        <w:rPr>
          <w:rFonts w:ascii="Arial" w:hAnsi="Arial" w:cs="Arial"/>
          <w:color w:val="4472C4" w:themeColor="accent1"/>
          <w:sz w:val="24"/>
          <w:szCs w:val="24"/>
        </w:rPr>
      </w:pPr>
      <w:bookmarkStart w:id="732" w:name="_Toc164680496"/>
      <w:bookmarkStart w:id="733" w:name="_Toc164681394"/>
      <w:bookmarkStart w:id="734" w:name="_Toc170075072"/>
      <w:bookmarkStart w:id="735" w:name="_Toc170076059"/>
      <w:bookmarkStart w:id="736" w:name="_Toc170577758"/>
      <w:bookmarkStart w:id="737" w:name="_Toc171203131"/>
      <w:bookmarkStart w:id="738" w:name="_Toc171203902"/>
      <w:r w:rsidRPr="004B0DBA">
        <w:rPr>
          <w:rFonts w:ascii="Arial" w:hAnsi="Arial" w:cs="Arial"/>
          <w:color w:val="4472C4" w:themeColor="accent1"/>
          <w:sz w:val="24"/>
          <w:szCs w:val="24"/>
        </w:rPr>
        <w:t>2.</w:t>
      </w:r>
      <w:r w:rsidR="002A3406">
        <w:rPr>
          <w:rFonts w:ascii="Arial" w:hAnsi="Arial" w:cs="Arial"/>
          <w:color w:val="4472C4" w:themeColor="accent1"/>
          <w:sz w:val="24"/>
          <w:szCs w:val="24"/>
        </w:rPr>
        <w:t>5</w:t>
      </w:r>
      <w:r w:rsidRPr="004B0DBA">
        <w:rPr>
          <w:rFonts w:ascii="Arial" w:hAnsi="Arial" w:cs="Arial"/>
          <w:color w:val="4472C4" w:themeColor="accent1"/>
          <w:sz w:val="24"/>
          <w:szCs w:val="24"/>
        </w:rPr>
        <w:t>.</w:t>
      </w:r>
      <w:r w:rsidR="002A3406">
        <w:rPr>
          <w:rFonts w:ascii="Arial" w:hAnsi="Arial" w:cs="Arial"/>
          <w:color w:val="4472C4" w:themeColor="accent1"/>
          <w:sz w:val="24"/>
          <w:szCs w:val="24"/>
        </w:rPr>
        <w:t>3.5</w:t>
      </w:r>
      <w:r w:rsidRPr="004B0DBA">
        <w:rPr>
          <w:rFonts w:ascii="Arial" w:hAnsi="Arial" w:cs="Arial"/>
          <w:color w:val="4472C4" w:themeColor="accent1"/>
          <w:sz w:val="24"/>
          <w:szCs w:val="24"/>
        </w:rPr>
        <w:t xml:space="preserve"> Outpatient investigation costs</w:t>
      </w:r>
      <w:bookmarkEnd w:id="732"/>
      <w:bookmarkEnd w:id="733"/>
      <w:bookmarkEnd w:id="734"/>
      <w:bookmarkEnd w:id="735"/>
      <w:bookmarkEnd w:id="736"/>
      <w:bookmarkEnd w:id="737"/>
      <w:bookmarkEnd w:id="738"/>
    </w:p>
    <w:p w14:paraId="16825895" w14:textId="77777777" w:rsidR="004942B6" w:rsidRDefault="004942B6" w:rsidP="004942B6">
      <w:pPr>
        <w:spacing w:line="360" w:lineRule="auto"/>
        <w:jc w:val="both"/>
        <w:rPr>
          <w:rFonts w:ascii="Arial" w:hAnsi="Arial" w:cs="Arial"/>
          <w:color w:val="000000" w:themeColor="text1"/>
          <w:sz w:val="24"/>
          <w:szCs w:val="24"/>
        </w:rPr>
      </w:pPr>
      <w:r w:rsidRPr="006162AC">
        <w:rPr>
          <w:rFonts w:ascii="Arial" w:hAnsi="Arial" w:cs="Arial"/>
          <w:sz w:val="24"/>
          <w:szCs w:val="24"/>
        </w:rPr>
        <w:t xml:space="preserve">The price for investigations </w:t>
      </w:r>
      <w:r w:rsidRPr="009222F3">
        <w:rPr>
          <w:rFonts w:ascii="Arial" w:hAnsi="Arial" w:cs="Arial"/>
          <w:color w:val="000000" w:themeColor="text1"/>
          <w:sz w:val="24"/>
          <w:szCs w:val="24"/>
        </w:rPr>
        <w:t>performed as outpatients w</w:t>
      </w:r>
      <w:r>
        <w:rPr>
          <w:rFonts w:ascii="Arial" w:hAnsi="Arial" w:cs="Arial"/>
          <w:color w:val="000000" w:themeColor="text1"/>
          <w:sz w:val="24"/>
          <w:szCs w:val="24"/>
        </w:rPr>
        <w:t xml:space="preserve">as </w:t>
      </w:r>
      <w:r w:rsidRPr="009222F3">
        <w:rPr>
          <w:rFonts w:ascii="Arial" w:hAnsi="Arial" w:cs="Arial"/>
          <w:color w:val="000000" w:themeColor="text1"/>
          <w:sz w:val="24"/>
          <w:szCs w:val="24"/>
        </w:rPr>
        <w:t>obtained from NHS tariffs 2022-23. Holter monitor</w:t>
      </w:r>
      <w:r>
        <w:rPr>
          <w:rFonts w:ascii="Arial" w:hAnsi="Arial" w:cs="Arial"/>
          <w:color w:val="000000" w:themeColor="text1"/>
          <w:sz w:val="24"/>
          <w:szCs w:val="24"/>
        </w:rPr>
        <w:t>s</w:t>
      </w:r>
      <w:r w:rsidRPr="009222F3">
        <w:rPr>
          <w:rFonts w:ascii="Arial" w:hAnsi="Arial" w:cs="Arial"/>
          <w:color w:val="000000" w:themeColor="text1"/>
          <w:sz w:val="24"/>
          <w:szCs w:val="24"/>
        </w:rPr>
        <w:t xml:space="preserve"> were costed </w:t>
      </w:r>
      <w:r>
        <w:rPr>
          <w:rFonts w:ascii="Arial" w:hAnsi="Arial" w:cs="Arial"/>
          <w:color w:val="000000" w:themeColor="text1"/>
          <w:sz w:val="24"/>
          <w:szCs w:val="24"/>
        </w:rPr>
        <w:t>according to</w:t>
      </w:r>
      <w:r w:rsidRPr="009222F3">
        <w:rPr>
          <w:rFonts w:ascii="Arial" w:hAnsi="Arial" w:cs="Arial"/>
          <w:color w:val="000000" w:themeColor="text1"/>
          <w:sz w:val="24"/>
          <w:szCs w:val="24"/>
        </w:rPr>
        <w:t xml:space="preserve"> the local department</w:t>
      </w:r>
      <w:r>
        <w:rPr>
          <w:rFonts w:ascii="Arial" w:hAnsi="Arial" w:cs="Arial"/>
          <w:color w:val="000000" w:themeColor="text1"/>
          <w:sz w:val="24"/>
          <w:szCs w:val="24"/>
        </w:rPr>
        <w:t xml:space="preserve"> tariffs</w:t>
      </w:r>
      <w:r w:rsidRPr="009222F3">
        <w:rPr>
          <w:rFonts w:ascii="Arial" w:hAnsi="Arial" w:cs="Arial"/>
          <w:color w:val="000000" w:themeColor="text1"/>
          <w:sz w:val="24"/>
          <w:szCs w:val="24"/>
        </w:rPr>
        <w:t xml:space="preserve"> (see Table </w:t>
      </w:r>
      <w:r>
        <w:rPr>
          <w:rFonts w:ascii="Arial" w:hAnsi="Arial" w:cs="Arial"/>
          <w:color w:val="000000" w:themeColor="text1"/>
          <w:sz w:val="24"/>
          <w:szCs w:val="24"/>
        </w:rPr>
        <w:t>8</w:t>
      </w:r>
      <w:r w:rsidRPr="009222F3">
        <w:rPr>
          <w:rFonts w:ascii="Arial" w:hAnsi="Arial" w:cs="Arial"/>
          <w:color w:val="000000" w:themeColor="text1"/>
          <w:sz w:val="24"/>
          <w:szCs w:val="24"/>
        </w:rPr>
        <w:t>).</w:t>
      </w:r>
    </w:p>
    <w:p w14:paraId="218D03E1" w14:textId="77777777" w:rsidR="004942B6" w:rsidRPr="009222F3" w:rsidRDefault="004942B6" w:rsidP="004942B6">
      <w:pPr>
        <w:spacing w:line="360" w:lineRule="auto"/>
        <w:jc w:val="both"/>
        <w:rPr>
          <w:rFonts w:ascii="Arial" w:hAnsi="Arial" w:cs="Arial"/>
          <w:color w:val="000000" w:themeColor="text1"/>
          <w:sz w:val="24"/>
          <w:szCs w:val="24"/>
        </w:rPr>
      </w:pPr>
    </w:p>
    <w:p w14:paraId="39DA879C" w14:textId="7B6092E5" w:rsidR="004942B6" w:rsidRPr="006162AC" w:rsidRDefault="004942B6" w:rsidP="004942B6">
      <w:pPr>
        <w:pStyle w:val="Caption"/>
        <w:keepNext/>
        <w:spacing w:line="360" w:lineRule="auto"/>
        <w:rPr>
          <w:rFonts w:ascii="Arial" w:hAnsi="Arial" w:cs="Arial"/>
          <w:color w:val="auto"/>
          <w:sz w:val="20"/>
          <w:szCs w:val="20"/>
        </w:rPr>
      </w:pPr>
      <w:bookmarkStart w:id="739" w:name="_Toc135462262"/>
      <w:bookmarkStart w:id="740" w:name="_Toc136312356"/>
      <w:bookmarkStart w:id="741" w:name="_Toc136329092"/>
      <w:bookmarkStart w:id="742" w:name="_Toc151222935"/>
      <w:bookmarkStart w:id="743" w:name="_Toc151630618"/>
      <w:bookmarkStart w:id="744" w:name="_Toc152340578"/>
      <w:bookmarkStart w:id="745" w:name="_Toc152598054"/>
      <w:bookmarkStart w:id="746" w:name="_Toc153725840"/>
      <w:bookmarkStart w:id="747" w:name="_Toc159318283"/>
      <w:bookmarkStart w:id="748" w:name="_Toc159610318"/>
      <w:bookmarkStart w:id="749" w:name="_Toc164699075"/>
      <w:bookmarkStart w:id="750" w:name="_Toc171206718"/>
      <w:r w:rsidRPr="006162AC">
        <w:rPr>
          <w:rFonts w:ascii="Arial" w:hAnsi="Arial" w:cs="Arial"/>
          <w:b/>
          <w:bCs/>
          <w:color w:val="auto"/>
          <w:sz w:val="20"/>
          <w:szCs w:val="20"/>
        </w:rPr>
        <w:t xml:space="preserve">Table </w:t>
      </w:r>
      <w:r w:rsidR="006819FD">
        <w:rPr>
          <w:rFonts w:ascii="Arial" w:hAnsi="Arial" w:cs="Arial"/>
          <w:b/>
          <w:bCs/>
          <w:color w:val="auto"/>
          <w:sz w:val="20"/>
          <w:szCs w:val="20"/>
        </w:rPr>
        <w:t>8</w:t>
      </w:r>
      <w:r w:rsidRPr="006162AC">
        <w:rPr>
          <w:rFonts w:ascii="Arial" w:hAnsi="Arial" w:cs="Arial"/>
          <w:b/>
          <w:bCs/>
          <w:color w:val="auto"/>
          <w:sz w:val="20"/>
          <w:szCs w:val="20"/>
        </w:rPr>
        <w:t>:</w:t>
      </w:r>
      <w:r w:rsidRPr="006162AC">
        <w:rPr>
          <w:rFonts w:ascii="Arial" w:hAnsi="Arial" w:cs="Arial"/>
          <w:color w:val="auto"/>
          <w:sz w:val="20"/>
          <w:szCs w:val="20"/>
        </w:rPr>
        <w:t xml:space="preserve"> NHS tariffs for commonly performed outpatient cardiology investigations</w:t>
      </w:r>
      <w:bookmarkEnd w:id="739"/>
      <w:bookmarkEnd w:id="740"/>
      <w:bookmarkEnd w:id="741"/>
      <w:bookmarkEnd w:id="742"/>
      <w:bookmarkEnd w:id="743"/>
      <w:bookmarkEnd w:id="744"/>
      <w:bookmarkEnd w:id="745"/>
      <w:bookmarkEnd w:id="746"/>
      <w:bookmarkEnd w:id="747"/>
      <w:bookmarkEnd w:id="748"/>
      <w:bookmarkEnd w:id="749"/>
      <w:bookmarkEnd w:id="750"/>
    </w:p>
    <w:tbl>
      <w:tblPr>
        <w:tblStyle w:val="TableGrid"/>
        <w:tblW w:w="0" w:type="auto"/>
        <w:tblLook w:val="04A0" w:firstRow="1" w:lastRow="0" w:firstColumn="1" w:lastColumn="0" w:noHBand="0" w:noVBand="1"/>
      </w:tblPr>
      <w:tblGrid>
        <w:gridCol w:w="2689"/>
        <w:gridCol w:w="2976"/>
        <w:gridCol w:w="3351"/>
      </w:tblGrid>
      <w:tr w:rsidR="004942B6" w:rsidRPr="009222F3" w14:paraId="2DB9512B" w14:textId="77777777" w:rsidTr="002C2525">
        <w:tc>
          <w:tcPr>
            <w:tcW w:w="2689" w:type="dxa"/>
          </w:tcPr>
          <w:p w14:paraId="0F914058" w14:textId="77777777" w:rsidR="004942B6" w:rsidRPr="00BF624A" w:rsidRDefault="004942B6" w:rsidP="002C2525">
            <w:pPr>
              <w:spacing w:line="360" w:lineRule="auto"/>
              <w:jc w:val="both"/>
              <w:rPr>
                <w:rFonts w:ascii="Arial" w:hAnsi="Arial" w:cs="Arial"/>
                <w:b/>
                <w:bCs/>
                <w:color w:val="000000" w:themeColor="text1"/>
                <w:sz w:val="24"/>
                <w:szCs w:val="24"/>
              </w:rPr>
            </w:pPr>
            <w:r w:rsidRPr="00BF624A">
              <w:rPr>
                <w:rFonts w:ascii="Arial" w:hAnsi="Arial" w:cs="Arial"/>
                <w:b/>
                <w:bCs/>
                <w:color w:val="000000" w:themeColor="text1"/>
                <w:sz w:val="24"/>
                <w:szCs w:val="24"/>
              </w:rPr>
              <w:t>Investigation</w:t>
            </w:r>
          </w:p>
        </w:tc>
        <w:tc>
          <w:tcPr>
            <w:tcW w:w="2976" w:type="dxa"/>
          </w:tcPr>
          <w:p w14:paraId="525E2D2F" w14:textId="77777777" w:rsidR="004942B6" w:rsidRPr="00BF624A" w:rsidRDefault="004942B6" w:rsidP="002C2525">
            <w:pPr>
              <w:spacing w:line="360" w:lineRule="auto"/>
              <w:jc w:val="both"/>
              <w:rPr>
                <w:rFonts w:ascii="Arial" w:hAnsi="Arial" w:cs="Arial"/>
                <w:b/>
                <w:bCs/>
                <w:color w:val="000000" w:themeColor="text1"/>
                <w:sz w:val="24"/>
                <w:szCs w:val="24"/>
              </w:rPr>
            </w:pPr>
            <w:r w:rsidRPr="00BF624A">
              <w:rPr>
                <w:rFonts w:ascii="Arial" w:hAnsi="Arial" w:cs="Arial"/>
                <w:b/>
                <w:bCs/>
                <w:color w:val="000000" w:themeColor="text1"/>
                <w:sz w:val="24"/>
                <w:szCs w:val="24"/>
              </w:rPr>
              <w:t>HRG4+ Code</w:t>
            </w:r>
          </w:p>
        </w:tc>
        <w:tc>
          <w:tcPr>
            <w:tcW w:w="3351" w:type="dxa"/>
          </w:tcPr>
          <w:p w14:paraId="01F84D47" w14:textId="77777777" w:rsidR="004942B6" w:rsidRPr="00BF624A" w:rsidRDefault="004942B6" w:rsidP="002C2525">
            <w:pPr>
              <w:spacing w:line="360" w:lineRule="auto"/>
              <w:jc w:val="both"/>
              <w:rPr>
                <w:rFonts w:ascii="Arial" w:hAnsi="Arial" w:cs="Arial"/>
                <w:b/>
                <w:bCs/>
                <w:color w:val="000000" w:themeColor="text1"/>
                <w:sz w:val="24"/>
                <w:szCs w:val="24"/>
              </w:rPr>
            </w:pPr>
            <w:r w:rsidRPr="00BF624A">
              <w:rPr>
                <w:rFonts w:ascii="Arial" w:hAnsi="Arial" w:cs="Arial"/>
                <w:b/>
                <w:bCs/>
                <w:color w:val="000000" w:themeColor="text1"/>
                <w:sz w:val="24"/>
                <w:szCs w:val="24"/>
              </w:rPr>
              <w:t>NHS Tariffs 2022-23</w:t>
            </w:r>
          </w:p>
        </w:tc>
      </w:tr>
      <w:tr w:rsidR="004942B6" w:rsidRPr="009222F3" w14:paraId="3505AEF8" w14:textId="77777777" w:rsidTr="002C2525">
        <w:tc>
          <w:tcPr>
            <w:tcW w:w="2689" w:type="dxa"/>
          </w:tcPr>
          <w:p w14:paraId="396BB730"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 xml:space="preserve">Echocardiogram </w:t>
            </w:r>
          </w:p>
        </w:tc>
        <w:tc>
          <w:tcPr>
            <w:tcW w:w="2976" w:type="dxa"/>
          </w:tcPr>
          <w:p w14:paraId="745F91BD"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RD51A</w:t>
            </w:r>
          </w:p>
        </w:tc>
        <w:tc>
          <w:tcPr>
            <w:tcW w:w="3351" w:type="dxa"/>
          </w:tcPr>
          <w:p w14:paraId="1166EFAE"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£83</w:t>
            </w:r>
          </w:p>
        </w:tc>
      </w:tr>
      <w:tr w:rsidR="004942B6" w:rsidRPr="009222F3" w14:paraId="132B842F" w14:textId="77777777" w:rsidTr="002C2525">
        <w:tc>
          <w:tcPr>
            <w:tcW w:w="2689" w:type="dxa"/>
          </w:tcPr>
          <w:p w14:paraId="361621E2"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Cardiac MRI</w:t>
            </w:r>
          </w:p>
        </w:tc>
        <w:tc>
          <w:tcPr>
            <w:tcW w:w="2976" w:type="dxa"/>
          </w:tcPr>
          <w:p w14:paraId="0A1EA103"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RD10Z</w:t>
            </w:r>
          </w:p>
        </w:tc>
        <w:tc>
          <w:tcPr>
            <w:tcW w:w="3351" w:type="dxa"/>
          </w:tcPr>
          <w:p w14:paraId="5413B59F"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£574</w:t>
            </w:r>
          </w:p>
        </w:tc>
      </w:tr>
      <w:tr w:rsidR="004942B6" w:rsidRPr="009222F3" w14:paraId="457BDAB2" w14:textId="77777777" w:rsidTr="002C2525">
        <w:tc>
          <w:tcPr>
            <w:tcW w:w="2689" w:type="dxa"/>
          </w:tcPr>
          <w:p w14:paraId="077AB660"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 xml:space="preserve">CTCA </w:t>
            </w:r>
          </w:p>
        </w:tc>
        <w:tc>
          <w:tcPr>
            <w:tcW w:w="2976" w:type="dxa"/>
          </w:tcPr>
          <w:p w14:paraId="09B3364D"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RD22Z</w:t>
            </w:r>
          </w:p>
        </w:tc>
        <w:tc>
          <w:tcPr>
            <w:tcW w:w="3351" w:type="dxa"/>
          </w:tcPr>
          <w:p w14:paraId="3B36EF01"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£88</w:t>
            </w:r>
          </w:p>
        </w:tc>
      </w:tr>
      <w:tr w:rsidR="004942B6" w:rsidRPr="009222F3" w14:paraId="23B9C90D" w14:textId="77777777" w:rsidTr="002C2525">
        <w:tc>
          <w:tcPr>
            <w:tcW w:w="2689" w:type="dxa"/>
          </w:tcPr>
          <w:p w14:paraId="3B81B6A1"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MPS</w:t>
            </w:r>
          </w:p>
        </w:tc>
        <w:tc>
          <w:tcPr>
            <w:tcW w:w="2976" w:type="dxa"/>
          </w:tcPr>
          <w:p w14:paraId="7A4821C4"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RN20Z</w:t>
            </w:r>
          </w:p>
        </w:tc>
        <w:tc>
          <w:tcPr>
            <w:tcW w:w="3351" w:type="dxa"/>
          </w:tcPr>
          <w:p w14:paraId="3C444FE5"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£496</w:t>
            </w:r>
          </w:p>
        </w:tc>
      </w:tr>
      <w:tr w:rsidR="004942B6" w:rsidRPr="009222F3" w14:paraId="587C3BE9" w14:textId="77777777" w:rsidTr="002C2525">
        <w:tc>
          <w:tcPr>
            <w:tcW w:w="2689" w:type="dxa"/>
          </w:tcPr>
          <w:p w14:paraId="2962CECB"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Exercise Testing</w:t>
            </w:r>
          </w:p>
        </w:tc>
        <w:tc>
          <w:tcPr>
            <w:tcW w:w="2976" w:type="dxa"/>
          </w:tcPr>
          <w:p w14:paraId="4EA3F7C5"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DZ31Z</w:t>
            </w:r>
          </w:p>
        </w:tc>
        <w:tc>
          <w:tcPr>
            <w:tcW w:w="3351" w:type="dxa"/>
          </w:tcPr>
          <w:p w14:paraId="036518FC"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£289</w:t>
            </w:r>
          </w:p>
        </w:tc>
      </w:tr>
      <w:tr w:rsidR="004942B6" w:rsidRPr="009222F3" w14:paraId="3C72D010" w14:textId="77777777" w:rsidTr="002C2525">
        <w:tc>
          <w:tcPr>
            <w:tcW w:w="2689" w:type="dxa"/>
          </w:tcPr>
          <w:p w14:paraId="3113349C"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Holter monitor</w:t>
            </w:r>
          </w:p>
        </w:tc>
        <w:tc>
          <w:tcPr>
            <w:tcW w:w="2976" w:type="dxa"/>
          </w:tcPr>
          <w:p w14:paraId="48D60BC7"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Departmental tariff</w:t>
            </w:r>
          </w:p>
        </w:tc>
        <w:tc>
          <w:tcPr>
            <w:tcW w:w="3351" w:type="dxa"/>
          </w:tcPr>
          <w:p w14:paraId="568EB998" w14:textId="77777777" w:rsidR="004942B6" w:rsidRPr="00674861" w:rsidRDefault="004942B6" w:rsidP="002C2525">
            <w:pPr>
              <w:spacing w:line="360" w:lineRule="auto"/>
              <w:jc w:val="both"/>
              <w:rPr>
                <w:rFonts w:ascii="Arial" w:hAnsi="Arial" w:cs="Arial"/>
                <w:color w:val="000000" w:themeColor="text1"/>
              </w:rPr>
            </w:pPr>
            <w:r w:rsidRPr="00674861">
              <w:rPr>
                <w:rFonts w:ascii="Arial" w:hAnsi="Arial" w:cs="Arial"/>
                <w:color w:val="000000" w:themeColor="text1"/>
              </w:rPr>
              <w:t>£131</w:t>
            </w:r>
          </w:p>
        </w:tc>
      </w:tr>
    </w:tbl>
    <w:p w14:paraId="1BA4D978" w14:textId="77777777" w:rsidR="004942B6" w:rsidRDefault="004942B6" w:rsidP="004942B6">
      <w:pPr>
        <w:pStyle w:val="Heading3"/>
        <w:spacing w:line="360" w:lineRule="auto"/>
        <w:rPr>
          <w:rFonts w:ascii="Arial" w:hAnsi="Arial" w:cs="Arial"/>
          <w:color w:val="4472C4" w:themeColor="accent1"/>
        </w:rPr>
      </w:pPr>
    </w:p>
    <w:p w14:paraId="1E379A67" w14:textId="2D91F897" w:rsidR="004942B6" w:rsidRPr="004B0DBA" w:rsidRDefault="004942B6" w:rsidP="004942B6">
      <w:pPr>
        <w:pStyle w:val="Heading3"/>
        <w:spacing w:line="360" w:lineRule="auto"/>
        <w:rPr>
          <w:rFonts w:ascii="Arial" w:hAnsi="Arial" w:cs="Arial"/>
          <w:color w:val="4472C4" w:themeColor="accent1"/>
          <w:sz w:val="24"/>
          <w:szCs w:val="24"/>
        </w:rPr>
      </w:pPr>
      <w:bookmarkStart w:id="751" w:name="_Toc164680497"/>
      <w:bookmarkStart w:id="752" w:name="_Toc164681395"/>
      <w:bookmarkStart w:id="753" w:name="_Toc170075073"/>
      <w:bookmarkStart w:id="754" w:name="_Toc170076060"/>
      <w:bookmarkStart w:id="755" w:name="_Toc170577759"/>
      <w:bookmarkStart w:id="756" w:name="_Toc171203132"/>
      <w:bookmarkStart w:id="757" w:name="_Toc171203903"/>
      <w:r w:rsidRPr="004B0DBA">
        <w:rPr>
          <w:rFonts w:ascii="Arial" w:hAnsi="Arial" w:cs="Arial"/>
          <w:color w:val="4472C4" w:themeColor="accent1"/>
          <w:sz w:val="24"/>
          <w:szCs w:val="24"/>
        </w:rPr>
        <w:t>2.</w:t>
      </w:r>
      <w:r w:rsidR="002A3406">
        <w:rPr>
          <w:rFonts w:ascii="Arial" w:hAnsi="Arial" w:cs="Arial"/>
          <w:color w:val="4472C4" w:themeColor="accent1"/>
          <w:sz w:val="24"/>
          <w:szCs w:val="24"/>
        </w:rPr>
        <w:t>5.3.6</w:t>
      </w:r>
      <w:r w:rsidRPr="004B0DBA">
        <w:rPr>
          <w:rFonts w:ascii="Arial" w:hAnsi="Arial" w:cs="Arial"/>
          <w:color w:val="4472C4" w:themeColor="accent1"/>
          <w:sz w:val="24"/>
          <w:szCs w:val="24"/>
        </w:rPr>
        <w:t xml:space="preserve"> Impact upon the virtual cost with vFFR</w:t>
      </w:r>
      <w:bookmarkEnd w:id="751"/>
      <w:bookmarkEnd w:id="752"/>
      <w:bookmarkEnd w:id="753"/>
      <w:bookmarkEnd w:id="754"/>
      <w:bookmarkEnd w:id="755"/>
      <w:bookmarkEnd w:id="756"/>
      <w:bookmarkEnd w:id="757"/>
    </w:p>
    <w:p w14:paraId="562B11AC" w14:textId="77777777" w:rsidR="004942B6" w:rsidRDefault="004942B6" w:rsidP="004942B6">
      <w:pPr>
        <w:spacing w:after="0" w:line="360" w:lineRule="auto"/>
        <w:jc w:val="both"/>
        <w:rPr>
          <w:rFonts w:ascii="Arial" w:eastAsia="Times New Roman" w:hAnsi="Arial" w:cs="Arial"/>
          <w:color w:val="0E101A"/>
          <w:sz w:val="24"/>
          <w:szCs w:val="24"/>
          <w:lang w:eastAsia="en-GB"/>
          <w14:ligatures w14:val="none"/>
        </w:rPr>
      </w:pPr>
      <w:r w:rsidRPr="00FF3A99">
        <w:rPr>
          <w:rFonts w:ascii="Arial" w:eastAsia="Times New Roman" w:hAnsi="Arial" w:cs="Arial"/>
          <w:color w:val="0E101A"/>
          <w:sz w:val="24"/>
          <w:szCs w:val="24"/>
          <w:lang w:eastAsia="en-GB"/>
          <w14:ligatures w14:val="none"/>
        </w:rPr>
        <w:t>The total cost was calculated for all the patients as incurred in VIRTU-4 and then separately at the virtual change subset level. The cost</w:t>
      </w:r>
      <w:r>
        <w:rPr>
          <w:rFonts w:ascii="Arial" w:eastAsia="Times New Roman" w:hAnsi="Arial" w:cs="Arial"/>
          <w:color w:val="0E101A"/>
          <w:sz w:val="24"/>
          <w:szCs w:val="24"/>
          <w:lang w:eastAsia="en-GB"/>
          <w14:ligatures w14:val="none"/>
        </w:rPr>
        <w:t>s</w:t>
      </w:r>
      <w:r w:rsidRPr="00FF3A99">
        <w:rPr>
          <w:rFonts w:ascii="Arial" w:eastAsia="Times New Roman" w:hAnsi="Arial" w:cs="Arial"/>
          <w:color w:val="0E101A"/>
          <w:sz w:val="24"/>
          <w:szCs w:val="24"/>
          <w:lang w:eastAsia="en-GB"/>
          <w14:ligatures w14:val="none"/>
        </w:rPr>
        <w:t xml:space="preserve"> for the </w:t>
      </w:r>
      <w:r>
        <w:rPr>
          <w:rFonts w:ascii="Arial" w:eastAsia="Times New Roman" w:hAnsi="Arial" w:cs="Arial"/>
          <w:color w:val="0E101A"/>
          <w:sz w:val="24"/>
          <w:szCs w:val="24"/>
          <w:lang w:eastAsia="en-GB"/>
          <w14:ligatures w14:val="none"/>
        </w:rPr>
        <w:t xml:space="preserve">pre- and post-vFFR treatment decisions for the </w:t>
      </w:r>
      <w:r w:rsidRPr="00FF3A99">
        <w:rPr>
          <w:rFonts w:ascii="Arial" w:eastAsia="Times New Roman" w:hAnsi="Arial" w:cs="Arial"/>
          <w:color w:val="0E101A"/>
          <w:sz w:val="24"/>
          <w:szCs w:val="24"/>
          <w:lang w:eastAsia="en-GB"/>
          <w14:ligatures w14:val="none"/>
        </w:rPr>
        <w:t>virtual change subset w</w:t>
      </w:r>
      <w:r>
        <w:rPr>
          <w:rFonts w:ascii="Arial" w:eastAsia="Times New Roman" w:hAnsi="Arial" w:cs="Arial"/>
          <w:color w:val="0E101A"/>
          <w:sz w:val="24"/>
          <w:szCs w:val="24"/>
          <w:lang w:eastAsia="en-GB"/>
          <w14:ligatures w14:val="none"/>
        </w:rPr>
        <w:t>ere</w:t>
      </w:r>
      <w:r w:rsidRPr="00FF3A99">
        <w:rPr>
          <w:rFonts w:ascii="Arial" w:eastAsia="Times New Roman" w:hAnsi="Arial" w:cs="Arial"/>
          <w:color w:val="0E101A"/>
          <w:sz w:val="24"/>
          <w:szCs w:val="24"/>
          <w:lang w:eastAsia="en-GB"/>
          <w14:ligatures w14:val="none"/>
        </w:rPr>
        <w:t xml:space="preserve"> calculated individually, to evaluate the impact on the total expenses at one-year follow-up.</w:t>
      </w:r>
      <w:r>
        <w:rPr>
          <w:rFonts w:ascii="Arial" w:eastAsia="Times New Roman" w:hAnsi="Arial" w:cs="Arial"/>
          <w:color w:val="0E101A"/>
          <w:sz w:val="24"/>
          <w:szCs w:val="24"/>
          <w:lang w:eastAsia="en-GB"/>
          <w14:ligatures w14:val="none"/>
        </w:rPr>
        <w:t xml:space="preserve"> </w:t>
      </w:r>
    </w:p>
    <w:p w14:paraId="4D51CC6C" w14:textId="77777777" w:rsidR="004942B6" w:rsidRPr="0037424F" w:rsidRDefault="004942B6" w:rsidP="004942B6">
      <w:pPr>
        <w:spacing w:after="0" w:line="360" w:lineRule="auto"/>
        <w:jc w:val="both"/>
        <w:rPr>
          <w:rFonts w:ascii="Arial" w:eastAsia="Times New Roman" w:hAnsi="Arial" w:cs="Arial"/>
          <w:color w:val="0E101A"/>
          <w:sz w:val="24"/>
          <w:szCs w:val="24"/>
          <w:lang w:eastAsia="en-GB"/>
          <w14:ligatures w14:val="none"/>
        </w:rPr>
      </w:pPr>
      <w:r>
        <w:rPr>
          <w:rFonts w:ascii="Arial" w:eastAsia="Times New Roman" w:hAnsi="Arial" w:cs="Arial"/>
          <w:color w:val="0E101A"/>
          <w:sz w:val="24"/>
          <w:szCs w:val="24"/>
          <w:lang w:eastAsia="en-GB"/>
          <w14:ligatures w14:val="none"/>
        </w:rPr>
        <w:t>The virtual change in the cost was calculated as follows:</w:t>
      </w:r>
    </w:p>
    <w:p w14:paraId="561C3C60" w14:textId="77777777" w:rsidR="004942B6" w:rsidRPr="00ED4AC3" w:rsidRDefault="004942B6" w:rsidP="004942B6">
      <w:pPr>
        <w:spacing w:after="0" w:line="360" w:lineRule="auto"/>
        <w:jc w:val="both"/>
        <w:rPr>
          <w:rFonts w:ascii="Arial" w:eastAsia="Times New Roman" w:hAnsi="Arial" w:cs="Arial"/>
          <w:color w:val="0E101A"/>
          <w:sz w:val="20"/>
          <w:szCs w:val="20"/>
          <w:lang w:eastAsia="en-GB"/>
          <w14:ligatures w14:val="none"/>
        </w:rPr>
      </w:pPr>
      <w:r w:rsidRPr="00ED4AC3">
        <w:rPr>
          <w:rFonts w:ascii="Arial" w:eastAsia="Times New Roman" w:hAnsi="Arial" w:cs="Arial"/>
          <w:i/>
          <w:iCs/>
          <w:color w:val="0E101A"/>
          <w:sz w:val="20"/>
          <w:szCs w:val="20"/>
          <w:lang w:eastAsia="en-GB"/>
          <w14:ligatures w14:val="none"/>
        </w:rPr>
        <w:t>Virtual change in the cost = Virtual treatment plan costs – Actual treatment plan</w:t>
      </w:r>
      <w:r w:rsidRPr="00ED4AC3">
        <w:rPr>
          <w:rFonts w:ascii="Arial" w:eastAsia="Times New Roman" w:hAnsi="Arial" w:cs="Arial"/>
          <w:color w:val="0E101A"/>
          <w:sz w:val="20"/>
          <w:szCs w:val="20"/>
          <w:lang w:eastAsia="en-GB"/>
          <w14:ligatures w14:val="none"/>
        </w:rPr>
        <w:t xml:space="preserve"> costs </w:t>
      </w:r>
    </w:p>
    <w:p w14:paraId="1445135B" w14:textId="2C5A4C35" w:rsidR="004942B6" w:rsidRPr="0037424F" w:rsidRDefault="004942B6" w:rsidP="004942B6">
      <w:pPr>
        <w:spacing w:after="0" w:line="360" w:lineRule="auto"/>
        <w:jc w:val="both"/>
        <w:rPr>
          <w:rFonts w:ascii="Arial" w:eastAsia="Times New Roman" w:hAnsi="Arial" w:cs="Arial"/>
          <w:color w:val="0E101A"/>
          <w:sz w:val="24"/>
          <w:szCs w:val="24"/>
          <w:lang w:eastAsia="en-GB"/>
          <w14:ligatures w14:val="none"/>
        </w:rPr>
      </w:pPr>
      <w:r w:rsidRPr="0037424F">
        <w:rPr>
          <w:rFonts w:ascii="Arial" w:eastAsia="Times New Roman" w:hAnsi="Arial" w:cs="Arial"/>
          <w:color w:val="0E101A"/>
          <w:sz w:val="24"/>
          <w:szCs w:val="24"/>
          <w:lang w:eastAsia="en-GB"/>
          <w14:ligatures w14:val="none"/>
        </w:rPr>
        <w:t xml:space="preserve">The percentage change for ACS and CCS </w:t>
      </w:r>
      <w:r w:rsidR="008237EA">
        <w:rPr>
          <w:rFonts w:ascii="Arial" w:eastAsia="Times New Roman" w:hAnsi="Arial" w:cs="Arial"/>
          <w:color w:val="0E101A"/>
          <w:sz w:val="24"/>
          <w:szCs w:val="24"/>
          <w:lang w:eastAsia="en-GB"/>
          <w14:ligatures w14:val="none"/>
        </w:rPr>
        <w:t>patients</w:t>
      </w:r>
      <w:r w:rsidRPr="0037424F">
        <w:rPr>
          <w:rFonts w:ascii="Arial" w:eastAsia="Times New Roman" w:hAnsi="Arial" w:cs="Arial"/>
          <w:color w:val="0E101A"/>
          <w:sz w:val="24"/>
          <w:szCs w:val="24"/>
          <w:lang w:eastAsia="en-GB"/>
          <w14:ligatures w14:val="none"/>
        </w:rPr>
        <w:t xml:space="preserve"> was calculated</w:t>
      </w:r>
      <w:r w:rsidR="008237EA">
        <w:rPr>
          <w:rFonts w:ascii="Arial" w:eastAsia="Times New Roman" w:hAnsi="Arial" w:cs="Arial"/>
          <w:color w:val="0E101A"/>
          <w:sz w:val="24"/>
          <w:szCs w:val="24"/>
          <w:lang w:eastAsia="en-GB"/>
          <w14:ligatures w14:val="none"/>
        </w:rPr>
        <w:t xml:space="preserve"> </w:t>
      </w:r>
      <w:r w:rsidR="00B9226A">
        <w:rPr>
          <w:rFonts w:ascii="Arial" w:eastAsia="Times New Roman" w:hAnsi="Arial" w:cs="Arial"/>
          <w:color w:val="0E101A"/>
          <w:sz w:val="24"/>
          <w:szCs w:val="24"/>
          <w:lang w:eastAsia="en-GB"/>
          <w14:ligatures w14:val="none"/>
        </w:rPr>
        <w:t>for</w:t>
      </w:r>
      <w:r w:rsidR="008237EA">
        <w:rPr>
          <w:rFonts w:ascii="Arial" w:eastAsia="Times New Roman" w:hAnsi="Arial" w:cs="Arial"/>
          <w:color w:val="0E101A"/>
          <w:sz w:val="24"/>
          <w:szCs w:val="24"/>
          <w:lang w:eastAsia="en-GB"/>
          <w14:ligatures w14:val="none"/>
        </w:rPr>
        <w:t xml:space="preserve"> the full cohort</w:t>
      </w:r>
      <w:r w:rsidR="003A3CBA">
        <w:rPr>
          <w:rFonts w:ascii="Arial" w:eastAsia="Times New Roman" w:hAnsi="Arial" w:cs="Arial"/>
          <w:color w:val="0E101A"/>
          <w:sz w:val="24"/>
          <w:szCs w:val="24"/>
          <w:lang w:eastAsia="en-GB"/>
          <w14:ligatures w14:val="none"/>
        </w:rPr>
        <w:t xml:space="preserve"> of VIRTU-4 HE</w:t>
      </w:r>
      <w:r w:rsidR="008237EA">
        <w:rPr>
          <w:rFonts w:ascii="Arial" w:eastAsia="Times New Roman" w:hAnsi="Arial" w:cs="Arial"/>
          <w:color w:val="0E101A"/>
          <w:sz w:val="24"/>
          <w:szCs w:val="24"/>
          <w:lang w:eastAsia="en-GB"/>
          <w14:ligatures w14:val="none"/>
        </w:rPr>
        <w:t xml:space="preserve"> (n=266) and </w:t>
      </w:r>
      <w:r w:rsidR="003A3CBA">
        <w:rPr>
          <w:rFonts w:ascii="Arial" w:eastAsia="Times New Roman" w:hAnsi="Arial" w:cs="Arial"/>
          <w:color w:val="0E101A"/>
          <w:sz w:val="24"/>
          <w:szCs w:val="24"/>
          <w:lang w:eastAsia="en-GB"/>
          <w14:ligatures w14:val="none"/>
        </w:rPr>
        <w:t xml:space="preserve">the </w:t>
      </w:r>
      <w:r w:rsidR="008237EA">
        <w:rPr>
          <w:rFonts w:ascii="Arial" w:eastAsia="Times New Roman" w:hAnsi="Arial" w:cs="Arial"/>
          <w:color w:val="0E101A"/>
          <w:sz w:val="24"/>
          <w:szCs w:val="24"/>
          <w:lang w:eastAsia="en-GB"/>
          <w14:ligatures w14:val="none"/>
        </w:rPr>
        <w:t>virtual change subset (n=65)</w:t>
      </w:r>
      <w:r w:rsidRPr="0037424F">
        <w:rPr>
          <w:rFonts w:ascii="Arial" w:eastAsia="Times New Roman" w:hAnsi="Arial" w:cs="Arial"/>
          <w:color w:val="0E101A"/>
          <w:sz w:val="24"/>
          <w:szCs w:val="24"/>
          <w:lang w:eastAsia="en-GB"/>
          <w14:ligatures w14:val="none"/>
        </w:rPr>
        <w:t xml:space="preserve"> </w:t>
      </w:r>
      <w:r w:rsidR="008237EA">
        <w:rPr>
          <w:rFonts w:ascii="Arial" w:eastAsia="Times New Roman" w:hAnsi="Arial" w:cs="Arial"/>
          <w:color w:val="0E101A"/>
          <w:sz w:val="24"/>
          <w:szCs w:val="24"/>
          <w:lang w:eastAsia="en-GB"/>
          <w14:ligatures w14:val="none"/>
        </w:rPr>
        <w:t>using the formula</w:t>
      </w:r>
      <w:r w:rsidRPr="0037424F">
        <w:rPr>
          <w:rFonts w:ascii="Arial" w:eastAsia="Times New Roman" w:hAnsi="Arial" w:cs="Arial"/>
          <w:color w:val="0E101A"/>
          <w:sz w:val="24"/>
          <w:szCs w:val="24"/>
          <w:lang w:eastAsia="en-GB"/>
          <w14:ligatures w14:val="none"/>
        </w:rPr>
        <w:t>:</w:t>
      </w:r>
    </w:p>
    <w:p w14:paraId="390453CA" w14:textId="079017FA" w:rsidR="004942B6" w:rsidRPr="00ED4AC3" w:rsidRDefault="004942B6" w:rsidP="004942B6">
      <w:pPr>
        <w:spacing w:after="0" w:line="360" w:lineRule="auto"/>
        <w:jc w:val="both"/>
        <w:rPr>
          <w:rFonts w:ascii="Arial" w:eastAsia="Times New Roman" w:hAnsi="Arial" w:cs="Arial"/>
          <w:i/>
          <w:iCs/>
          <w:sz w:val="20"/>
          <w:szCs w:val="20"/>
          <w:lang w:eastAsia="en-GB"/>
          <w14:ligatures w14:val="none"/>
        </w:rPr>
      </w:pPr>
      <w:r w:rsidRPr="00ED4AC3">
        <w:rPr>
          <w:rFonts w:ascii="Arial" w:eastAsia="Times New Roman" w:hAnsi="Arial" w:cs="Arial"/>
          <w:i/>
          <w:iCs/>
          <w:sz w:val="20"/>
          <w:szCs w:val="20"/>
          <w:lang w:eastAsia="en-GB"/>
          <w14:ligatures w14:val="none"/>
        </w:rPr>
        <w:t xml:space="preserve">Virtual Cost change % = </w:t>
      </w:r>
      <w:r w:rsidR="00603C66">
        <w:rPr>
          <w:rFonts w:ascii="Arial" w:eastAsia="Times New Roman" w:hAnsi="Arial" w:cs="Arial"/>
          <w:i/>
          <w:iCs/>
          <w:sz w:val="20"/>
          <w:szCs w:val="20"/>
          <w:lang w:eastAsia="en-GB"/>
          <w14:ligatures w14:val="none"/>
        </w:rPr>
        <w:t>(</w:t>
      </w:r>
      <w:r w:rsidRPr="00ED4AC3">
        <w:rPr>
          <w:rFonts w:ascii="Arial" w:eastAsia="Times New Roman" w:hAnsi="Arial" w:cs="Arial"/>
          <w:i/>
          <w:iCs/>
          <w:sz w:val="20"/>
          <w:szCs w:val="20"/>
          <w:lang w:eastAsia="en-GB"/>
          <w14:ligatures w14:val="none"/>
        </w:rPr>
        <w:t>Total actual cost – Change in vFFR subset / Total actual cost</w:t>
      </w:r>
      <w:r w:rsidR="00603C66">
        <w:rPr>
          <w:rFonts w:ascii="Arial" w:eastAsia="Times New Roman" w:hAnsi="Arial" w:cs="Arial"/>
          <w:i/>
          <w:iCs/>
          <w:sz w:val="20"/>
          <w:szCs w:val="20"/>
          <w:lang w:eastAsia="en-GB"/>
          <w14:ligatures w14:val="none"/>
        </w:rPr>
        <w:t>)</w:t>
      </w:r>
      <w:r w:rsidRPr="00ED4AC3">
        <w:rPr>
          <w:rFonts w:ascii="Arial" w:eastAsia="Times New Roman" w:hAnsi="Arial" w:cs="Arial"/>
          <w:i/>
          <w:iCs/>
          <w:sz w:val="20"/>
          <w:szCs w:val="20"/>
          <w:lang w:eastAsia="en-GB"/>
          <w14:ligatures w14:val="none"/>
        </w:rPr>
        <w:t xml:space="preserve"> x 100   </w:t>
      </w:r>
    </w:p>
    <w:p w14:paraId="2489D9D1" w14:textId="77777777" w:rsidR="00E83618" w:rsidRDefault="004942B6" w:rsidP="004942B6">
      <w:pPr>
        <w:pStyle w:val="Heading2"/>
        <w:spacing w:line="360" w:lineRule="auto"/>
        <w:rPr>
          <w:rFonts w:ascii="Arial" w:hAnsi="Arial" w:cs="Arial"/>
          <w:color w:val="4472C4" w:themeColor="accent1"/>
          <w:sz w:val="28"/>
          <w:szCs w:val="28"/>
        </w:rPr>
      </w:pPr>
      <w:bookmarkStart w:id="758" w:name="_Toc171203904"/>
      <w:r w:rsidRPr="002A3406">
        <w:rPr>
          <w:rFonts w:ascii="Arial" w:hAnsi="Arial" w:cs="Arial"/>
          <w:color w:val="4472C4" w:themeColor="accent1"/>
          <w:sz w:val="28"/>
          <w:szCs w:val="28"/>
        </w:rPr>
        <w:lastRenderedPageBreak/>
        <w:t>2</w:t>
      </w:r>
      <w:r w:rsidR="002A3406" w:rsidRPr="002A3406">
        <w:rPr>
          <w:rFonts w:ascii="Arial" w:hAnsi="Arial" w:cs="Arial"/>
          <w:color w:val="4472C4" w:themeColor="accent1"/>
          <w:sz w:val="28"/>
          <w:szCs w:val="28"/>
        </w:rPr>
        <w:t>.6</w:t>
      </w:r>
      <w:r w:rsidRPr="002A3406">
        <w:rPr>
          <w:rFonts w:ascii="Arial" w:hAnsi="Arial" w:cs="Arial"/>
          <w:color w:val="4472C4" w:themeColor="accent1"/>
          <w:sz w:val="28"/>
          <w:szCs w:val="28"/>
        </w:rPr>
        <w:t xml:space="preserve"> </w:t>
      </w:r>
      <w:r w:rsidR="00D20089">
        <w:rPr>
          <w:rFonts w:ascii="Arial" w:hAnsi="Arial" w:cs="Arial"/>
          <w:color w:val="4472C4" w:themeColor="accent1"/>
          <w:sz w:val="28"/>
          <w:szCs w:val="28"/>
        </w:rPr>
        <w:t>QALY estimation</w:t>
      </w:r>
      <w:bookmarkEnd w:id="758"/>
    </w:p>
    <w:p w14:paraId="6C4A47CF" w14:textId="57504891" w:rsidR="001B0821" w:rsidRDefault="005B5367" w:rsidP="005B5367">
      <w:pPr>
        <w:spacing w:line="360" w:lineRule="auto"/>
        <w:jc w:val="both"/>
        <w:rPr>
          <w:rFonts w:ascii="Arial" w:hAnsi="Arial" w:cs="Arial"/>
          <w:color w:val="000000" w:themeColor="text1"/>
          <w:sz w:val="24"/>
          <w:szCs w:val="24"/>
        </w:rPr>
      </w:pPr>
      <w:r w:rsidRPr="00FF4E0E">
        <w:rPr>
          <w:rFonts w:ascii="Arial" w:hAnsi="Arial" w:cs="Arial"/>
          <w:color w:val="000000" w:themeColor="text1"/>
          <w:sz w:val="24"/>
          <w:szCs w:val="24"/>
        </w:rPr>
        <w:t>QALYs were calculated for one year based on EQ-index scores, which were derived from five domains: mobility, self-care, usual activity, pain/discomfort, and anxiety/depression. Each domain's isolated score was combined to produce a single digit number. This number was then subtracted from '1' to provide the 'utility'. Since QALYs were calculated for one year, the 'utility' values were directly converted to QALYs</w:t>
      </w:r>
      <w:r w:rsidR="000E04DF">
        <w:rPr>
          <w:rFonts w:ascii="Arial" w:hAnsi="Arial" w:cs="Arial"/>
          <w:color w:val="000000" w:themeColor="text1"/>
          <w:sz w:val="24"/>
          <w:szCs w:val="24"/>
        </w:rPr>
        <w:t xml:space="preserve"> by multiplying it with </w:t>
      </w:r>
      <w:r w:rsidR="000D2F20">
        <w:rPr>
          <w:rFonts w:ascii="Arial" w:hAnsi="Arial" w:cs="Arial"/>
          <w:color w:val="000000" w:themeColor="text1"/>
          <w:sz w:val="24"/>
          <w:szCs w:val="24"/>
        </w:rPr>
        <w:t>‘one’</w:t>
      </w:r>
      <w:r w:rsidRPr="00FF4E0E">
        <w:rPr>
          <w:rFonts w:ascii="Arial" w:hAnsi="Arial" w:cs="Arial"/>
          <w:color w:val="000000" w:themeColor="text1"/>
          <w:sz w:val="24"/>
          <w:szCs w:val="24"/>
        </w:rPr>
        <w:t>.</w:t>
      </w:r>
      <w:r w:rsidR="0025400E">
        <w:rPr>
          <w:rFonts w:ascii="Arial" w:hAnsi="Arial" w:cs="Arial"/>
          <w:color w:val="000000" w:themeColor="text1"/>
          <w:sz w:val="24"/>
          <w:szCs w:val="24"/>
        </w:rPr>
        <w:t xml:space="preserve"> The actual QALYs from the </w:t>
      </w:r>
      <w:r w:rsidR="00EE223E">
        <w:rPr>
          <w:rFonts w:ascii="Arial" w:hAnsi="Arial" w:cs="Arial"/>
          <w:color w:val="000000" w:themeColor="text1"/>
          <w:sz w:val="24"/>
          <w:szCs w:val="24"/>
        </w:rPr>
        <w:t xml:space="preserve">CAG-based treatment plans and the virtual </w:t>
      </w:r>
      <w:r w:rsidR="00830275">
        <w:rPr>
          <w:rFonts w:ascii="Arial" w:hAnsi="Arial" w:cs="Arial"/>
          <w:color w:val="000000" w:themeColor="text1"/>
          <w:sz w:val="24"/>
          <w:szCs w:val="24"/>
        </w:rPr>
        <w:t>improvement</w:t>
      </w:r>
      <w:r w:rsidR="00EE223E">
        <w:rPr>
          <w:rFonts w:ascii="Arial" w:hAnsi="Arial" w:cs="Arial"/>
          <w:color w:val="000000" w:themeColor="text1"/>
          <w:sz w:val="24"/>
          <w:szCs w:val="24"/>
        </w:rPr>
        <w:t xml:space="preserve"> in the QALYs</w:t>
      </w:r>
      <w:r w:rsidR="00004569">
        <w:rPr>
          <w:rFonts w:ascii="Arial" w:hAnsi="Arial" w:cs="Arial"/>
          <w:color w:val="000000" w:themeColor="text1"/>
          <w:sz w:val="24"/>
          <w:szCs w:val="24"/>
        </w:rPr>
        <w:t xml:space="preserve"> from the vFFR-based plans</w:t>
      </w:r>
      <w:r w:rsidR="00830275">
        <w:rPr>
          <w:rFonts w:ascii="Arial" w:hAnsi="Arial" w:cs="Arial"/>
          <w:color w:val="000000" w:themeColor="text1"/>
          <w:sz w:val="24"/>
          <w:szCs w:val="24"/>
        </w:rPr>
        <w:t xml:space="preserve"> (as per the virtual change in QOL</w:t>
      </w:r>
      <w:r w:rsidR="00004569">
        <w:rPr>
          <w:rFonts w:ascii="Arial" w:hAnsi="Arial" w:cs="Arial"/>
          <w:color w:val="000000" w:themeColor="text1"/>
          <w:sz w:val="24"/>
          <w:szCs w:val="24"/>
        </w:rPr>
        <w:t xml:space="preserve"> according to the published literature</w:t>
      </w:r>
      <w:r w:rsidR="00830275">
        <w:rPr>
          <w:rFonts w:ascii="Arial" w:hAnsi="Arial" w:cs="Arial"/>
          <w:color w:val="000000" w:themeColor="text1"/>
          <w:sz w:val="24"/>
          <w:szCs w:val="24"/>
        </w:rPr>
        <w:t>)</w:t>
      </w:r>
      <w:r w:rsidR="00EE223E">
        <w:rPr>
          <w:rFonts w:ascii="Arial" w:hAnsi="Arial" w:cs="Arial"/>
          <w:color w:val="000000" w:themeColor="text1"/>
          <w:sz w:val="24"/>
          <w:szCs w:val="24"/>
        </w:rPr>
        <w:t xml:space="preserve"> </w:t>
      </w:r>
      <w:r w:rsidR="00BF7FB6">
        <w:rPr>
          <w:rFonts w:ascii="Arial" w:hAnsi="Arial" w:cs="Arial"/>
          <w:color w:val="000000" w:themeColor="text1"/>
          <w:sz w:val="24"/>
          <w:szCs w:val="24"/>
        </w:rPr>
        <w:t>were used for the ICER calculation.</w:t>
      </w:r>
    </w:p>
    <w:p w14:paraId="4B6059CC" w14:textId="6694F8AF" w:rsidR="00D20089" w:rsidRDefault="00D20089" w:rsidP="00E83618"/>
    <w:p w14:paraId="052AE950" w14:textId="60DA5758" w:rsidR="00011E3E" w:rsidRDefault="00D20089" w:rsidP="004942B6">
      <w:pPr>
        <w:pStyle w:val="Heading2"/>
        <w:spacing w:line="360" w:lineRule="auto"/>
        <w:rPr>
          <w:rFonts w:ascii="Arial" w:hAnsi="Arial" w:cs="Arial"/>
          <w:color w:val="4472C4" w:themeColor="accent1"/>
          <w:sz w:val="28"/>
          <w:szCs w:val="28"/>
        </w:rPr>
      </w:pPr>
      <w:bookmarkStart w:id="759" w:name="_Toc171203905"/>
      <w:r>
        <w:rPr>
          <w:rFonts w:ascii="Arial" w:hAnsi="Arial" w:cs="Arial"/>
          <w:color w:val="4472C4" w:themeColor="accent1"/>
          <w:sz w:val="28"/>
          <w:szCs w:val="28"/>
        </w:rPr>
        <w:t>2.7 ICER calculation</w:t>
      </w:r>
      <w:bookmarkEnd w:id="759"/>
    </w:p>
    <w:p w14:paraId="5307015E" w14:textId="77777777" w:rsidR="00BF2B04" w:rsidRPr="00070485" w:rsidRDefault="00BF2B04" w:rsidP="00BF2B04">
      <w:pPr>
        <w:spacing w:line="360" w:lineRule="auto"/>
        <w:jc w:val="both"/>
        <w:rPr>
          <w:rFonts w:ascii="Arial" w:hAnsi="Arial" w:cs="Arial"/>
          <w:color w:val="000000" w:themeColor="text1"/>
          <w:sz w:val="24"/>
          <w:szCs w:val="24"/>
        </w:rPr>
      </w:pPr>
      <w:r w:rsidRPr="00F65D4F">
        <w:rPr>
          <w:rFonts w:ascii="Arial" w:hAnsi="Arial" w:cs="Arial"/>
          <w:sz w:val="24"/>
          <w:szCs w:val="24"/>
        </w:rPr>
        <w:t xml:space="preserve">ICER for the </w:t>
      </w:r>
      <w:r>
        <w:rPr>
          <w:rFonts w:ascii="Arial" w:hAnsi="Arial" w:cs="Arial"/>
          <w:sz w:val="24"/>
          <w:szCs w:val="24"/>
        </w:rPr>
        <w:t>virtual change subset</w:t>
      </w:r>
      <w:r w:rsidRPr="00F65D4F">
        <w:rPr>
          <w:rFonts w:ascii="Arial" w:hAnsi="Arial" w:cs="Arial"/>
          <w:sz w:val="24"/>
          <w:szCs w:val="24"/>
        </w:rPr>
        <w:t xml:space="preserve"> was calculated for the three-tier proposed cost for </w:t>
      </w:r>
      <w:r>
        <w:rPr>
          <w:rFonts w:ascii="Arial" w:hAnsi="Arial" w:cs="Arial"/>
          <w:color w:val="000000" w:themeColor="text1"/>
          <w:sz w:val="24"/>
          <w:szCs w:val="24"/>
        </w:rPr>
        <w:t>both the voucher-based and institutional licence models using the formula:</w:t>
      </w:r>
    </w:p>
    <w:p w14:paraId="4ECC4AD0" w14:textId="77777777" w:rsidR="00BF2B04" w:rsidRPr="00070485" w:rsidRDefault="00BF2B04" w:rsidP="00BF2B04">
      <w:pPr>
        <w:spacing w:line="360" w:lineRule="auto"/>
        <w:jc w:val="both"/>
        <w:rPr>
          <w:rFonts w:ascii="Arial" w:hAnsi="Arial" w:cs="Arial"/>
          <w:sz w:val="24"/>
          <w:szCs w:val="24"/>
          <w:vertAlign w:val="subscript"/>
        </w:rPr>
      </w:pPr>
      <w:r w:rsidRPr="00070485">
        <w:rPr>
          <w:rFonts w:ascii="Arial" w:hAnsi="Arial" w:cs="Arial"/>
          <w:sz w:val="24"/>
          <w:szCs w:val="24"/>
        </w:rPr>
        <w:t xml:space="preserve">             Cost of intervention</w:t>
      </w:r>
      <w:r>
        <w:rPr>
          <w:rFonts w:ascii="Arial" w:hAnsi="Arial" w:cs="Arial"/>
          <w:sz w:val="24"/>
          <w:szCs w:val="24"/>
        </w:rPr>
        <w:t xml:space="preserve"> </w:t>
      </w:r>
      <w:r>
        <w:rPr>
          <w:rFonts w:ascii="Arial" w:hAnsi="Arial" w:cs="Arial"/>
          <w:sz w:val="24"/>
          <w:szCs w:val="24"/>
          <w:vertAlign w:val="subscript"/>
        </w:rPr>
        <w:t>CAG</w:t>
      </w:r>
      <w:r w:rsidRPr="00070485">
        <w:rPr>
          <w:rFonts w:ascii="Arial" w:hAnsi="Arial" w:cs="Arial"/>
          <w:sz w:val="24"/>
          <w:szCs w:val="24"/>
        </w:rPr>
        <w:t xml:space="preserve"> </w:t>
      </w:r>
      <w:r>
        <w:rPr>
          <w:rFonts w:ascii="Arial" w:hAnsi="Arial" w:cs="Arial"/>
          <w:sz w:val="24"/>
          <w:szCs w:val="24"/>
        </w:rPr>
        <w:t xml:space="preserve"> –  </w:t>
      </w:r>
      <w:r w:rsidRPr="00070485">
        <w:rPr>
          <w:rFonts w:ascii="Arial" w:hAnsi="Arial" w:cs="Arial"/>
          <w:sz w:val="24"/>
          <w:szCs w:val="24"/>
        </w:rPr>
        <w:t xml:space="preserve">Cost of intervention </w:t>
      </w:r>
      <w:r>
        <w:rPr>
          <w:rFonts w:ascii="Arial" w:hAnsi="Arial" w:cs="Arial"/>
          <w:sz w:val="24"/>
          <w:szCs w:val="24"/>
          <w:vertAlign w:val="subscript"/>
        </w:rPr>
        <w:t>vFFR</w:t>
      </w:r>
    </w:p>
    <w:p w14:paraId="0E5EFB56" w14:textId="77777777" w:rsidR="00BF2B04" w:rsidRPr="00070485" w:rsidRDefault="00BF2B04" w:rsidP="00BF2B04">
      <w:pPr>
        <w:spacing w:line="360" w:lineRule="auto"/>
        <w:jc w:val="both"/>
        <w:rPr>
          <w:rFonts w:ascii="Arial" w:hAnsi="Arial" w:cs="Arial"/>
          <w:sz w:val="24"/>
          <w:szCs w:val="24"/>
        </w:rPr>
      </w:pPr>
      <w:r w:rsidRPr="00070485">
        <w:rPr>
          <w:rFonts w:ascii="Arial" w:hAnsi="Arial" w:cs="Arial"/>
          <w:sz w:val="24"/>
          <w:szCs w:val="24"/>
        </w:rPr>
        <w:t>ICER = ---------------------------------------------------------------</w:t>
      </w:r>
      <w:r>
        <w:rPr>
          <w:rFonts w:ascii="Arial" w:hAnsi="Arial" w:cs="Arial"/>
          <w:sz w:val="24"/>
          <w:szCs w:val="24"/>
        </w:rPr>
        <w:t>-----</w:t>
      </w:r>
    </w:p>
    <w:p w14:paraId="6CDCC9B0" w14:textId="77777777" w:rsidR="00BF2B04" w:rsidRPr="009A7AE4" w:rsidRDefault="00BF2B04" w:rsidP="00BF2B04">
      <w:pPr>
        <w:spacing w:line="360" w:lineRule="auto"/>
        <w:jc w:val="both"/>
        <w:rPr>
          <w:rFonts w:ascii="Arial" w:hAnsi="Arial" w:cs="Arial"/>
          <w:sz w:val="24"/>
          <w:szCs w:val="24"/>
          <w:vertAlign w:val="subscript"/>
        </w:rPr>
      </w:pPr>
      <w:r w:rsidRPr="00070485">
        <w:rPr>
          <w:rFonts w:ascii="Arial" w:hAnsi="Arial" w:cs="Arial"/>
          <w:sz w:val="24"/>
          <w:szCs w:val="24"/>
        </w:rPr>
        <w:t xml:space="preserve">            QALY of intervention</w:t>
      </w:r>
      <w:r>
        <w:rPr>
          <w:rFonts w:ascii="Arial" w:hAnsi="Arial" w:cs="Arial"/>
          <w:sz w:val="24"/>
          <w:szCs w:val="24"/>
        </w:rPr>
        <w:t xml:space="preserve"> </w:t>
      </w:r>
      <w:r>
        <w:rPr>
          <w:rFonts w:ascii="Arial" w:hAnsi="Arial" w:cs="Arial"/>
          <w:sz w:val="24"/>
          <w:szCs w:val="24"/>
          <w:vertAlign w:val="subscript"/>
        </w:rPr>
        <w:t xml:space="preserve">CAG </w:t>
      </w:r>
      <w:r w:rsidRPr="00070485">
        <w:rPr>
          <w:rFonts w:ascii="Arial" w:hAnsi="Arial" w:cs="Arial"/>
          <w:sz w:val="24"/>
          <w:szCs w:val="24"/>
        </w:rPr>
        <w:t xml:space="preserve"> – </w:t>
      </w:r>
      <w:r>
        <w:rPr>
          <w:rFonts w:ascii="Arial" w:hAnsi="Arial" w:cs="Arial"/>
          <w:sz w:val="24"/>
          <w:szCs w:val="24"/>
        </w:rPr>
        <w:t xml:space="preserve"> </w:t>
      </w:r>
      <w:r w:rsidRPr="00070485">
        <w:rPr>
          <w:rFonts w:ascii="Arial" w:hAnsi="Arial" w:cs="Arial"/>
          <w:sz w:val="24"/>
          <w:szCs w:val="24"/>
        </w:rPr>
        <w:t xml:space="preserve">QALY of intervention </w:t>
      </w:r>
      <w:r>
        <w:rPr>
          <w:rFonts w:ascii="Arial" w:hAnsi="Arial" w:cs="Arial"/>
          <w:sz w:val="24"/>
          <w:szCs w:val="24"/>
          <w:vertAlign w:val="subscript"/>
        </w:rPr>
        <w:t>vFFR</w:t>
      </w:r>
    </w:p>
    <w:p w14:paraId="5D5C5620" w14:textId="7866AE11" w:rsidR="001A5AD9" w:rsidRPr="00E83618" w:rsidRDefault="00BF2B04" w:rsidP="001A2013">
      <w:pPr>
        <w:spacing w:line="360" w:lineRule="auto"/>
        <w:jc w:val="both"/>
      </w:pPr>
      <w:r w:rsidRPr="00FF4E0E">
        <w:rPr>
          <w:rFonts w:ascii="Arial" w:hAnsi="Arial" w:cs="Arial"/>
          <w:color w:val="000000" w:themeColor="text1"/>
          <w:sz w:val="24"/>
          <w:szCs w:val="24"/>
        </w:rPr>
        <w:t>The total cost of the CAG-based plans and the virtual changes in management plans with vFFR were estimated using the NHS tariffs for 2022-23</w:t>
      </w:r>
      <w:r w:rsidR="00085F46">
        <w:rPr>
          <w:rFonts w:ascii="Arial" w:hAnsi="Arial" w:cs="Arial"/>
          <w:color w:val="000000" w:themeColor="text1"/>
          <w:sz w:val="24"/>
          <w:szCs w:val="24"/>
        </w:rPr>
        <w:t xml:space="preserve"> (as mentioned above in section</w:t>
      </w:r>
      <w:r w:rsidR="00A10A7B">
        <w:rPr>
          <w:rFonts w:ascii="Arial" w:hAnsi="Arial" w:cs="Arial"/>
          <w:color w:val="000000" w:themeColor="text1"/>
          <w:sz w:val="24"/>
          <w:szCs w:val="24"/>
        </w:rPr>
        <w:t xml:space="preserve"> 2.5)</w:t>
      </w:r>
      <w:r w:rsidRPr="00FF4E0E">
        <w:rPr>
          <w:rFonts w:ascii="Arial" w:hAnsi="Arial" w:cs="Arial"/>
          <w:color w:val="000000" w:themeColor="text1"/>
          <w:sz w:val="24"/>
          <w:szCs w:val="24"/>
        </w:rPr>
        <w:t>.</w:t>
      </w:r>
      <w:r w:rsidR="00CC642C">
        <w:rPr>
          <w:rFonts w:ascii="Arial" w:hAnsi="Arial" w:cs="Arial"/>
          <w:color w:val="000000" w:themeColor="text1"/>
          <w:sz w:val="24"/>
          <w:szCs w:val="24"/>
        </w:rPr>
        <w:t xml:space="preserve"> QALYs for the </w:t>
      </w:r>
      <w:r w:rsidR="00040B02">
        <w:rPr>
          <w:rFonts w:ascii="Arial" w:hAnsi="Arial" w:cs="Arial"/>
          <w:color w:val="000000" w:themeColor="text1"/>
          <w:sz w:val="24"/>
          <w:szCs w:val="24"/>
        </w:rPr>
        <w:t xml:space="preserve">CAG-based treatment plans and QALYs from the vFFR-based treatment plans were estimated. </w:t>
      </w:r>
      <w:r w:rsidR="00803FA7" w:rsidRPr="00803FA7">
        <w:rPr>
          <w:rFonts w:ascii="Arial" w:hAnsi="Arial" w:cs="Arial"/>
          <w:color w:val="000000" w:themeColor="text1"/>
          <w:sz w:val="24"/>
          <w:szCs w:val="24"/>
        </w:rPr>
        <w:t>The ICER was calculated by subtracting the total cost of CAG-based treatment plans from the cost of vFFR-based treatment plan</w:t>
      </w:r>
      <w:r w:rsidR="00803FA7">
        <w:rPr>
          <w:rFonts w:ascii="Arial" w:hAnsi="Arial" w:cs="Arial"/>
          <w:color w:val="000000" w:themeColor="text1"/>
          <w:sz w:val="24"/>
          <w:szCs w:val="24"/>
        </w:rPr>
        <w:t>s</w:t>
      </w:r>
      <w:r w:rsidR="00894A17">
        <w:rPr>
          <w:rFonts w:ascii="Arial" w:hAnsi="Arial" w:cs="Arial"/>
          <w:color w:val="000000" w:themeColor="text1"/>
          <w:sz w:val="24"/>
          <w:szCs w:val="24"/>
        </w:rPr>
        <w:t xml:space="preserve">, and by subtracting </w:t>
      </w:r>
      <w:r w:rsidR="00803FA7" w:rsidRPr="00803FA7">
        <w:rPr>
          <w:rFonts w:ascii="Arial" w:hAnsi="Arial" w:cs="Arial"/>
          <w:color w:val="000000" w:themeColor="text1"/>
          <w:sz w:val="24"/>
          <w:szCs w:val="24"/>
        </w:rPr>
        <w:t>the total QALYs gained from CAG-based plans from the QALYs gained from vFFR-based plans (using the parent cardiologists' plans from VIRTU-4).</w:t>
      </w:r>
      <w:r w:rsidR="00894A17">
        <w:rPr>
          <w:rFonts w:ascii="Arial" w:hAnsi="Arial" w:cs="Arial"/>
          <w:color w:val="000000" w:themeColor="text1"/>
          <w:sz w:val="24"/>
          <w:szCs w:val="24"/>
        </w:rPr>
        <w:t xml:space="preserve"> </w:t>
      </w:r>
      <w:r w:rsidR="001E3FA8" w:rsidRPr="001E3FA8">
        <w:rPr>
          <w:rFonts w:ascii="Arial" w:hAnsi="Arial" w:cs="Arial"/>
          <w:color w:val="000000" w:themeColor="text1"/>
          <w:sz w:val="24"/>
          <w:szCs w:val="24"/>
        </w:rPr>
        <w:t>Additionally, the ICERs were estimated separately for both voucher-based and institution-based costs of vFFR licensing using a low, medium, and high tariff approach. This three-tiered method was used to assess their relation</w:t>
      </w:r>
      <w:r w:rsidR="001E3FA8">
        <w:rPr>
          <w:rFonts w:ascii="Arial" w:hAnsi="Arial" w:cs="Arial"/>
          <w:color w:val="000000" w:themeColor="text1"/>
          <w:sz w:val="24"/>
          <w:szCs w:val="24"/>
        </w:rPr>
        <w:t>ship</w:t>
      </w:r>
      <w:r w:rsidR="001E3FA8" w:rsidRPr="001E3FA8">
        <w:rPr>
          <w:rFonts w:ascii="Arial" w:hAnsi="Arial" w:cs="Arial"/>
          <w:color w:val="000000" w:themeColor="text1"/>
          <w:sz w:val="24"/>
          <w:szCs w:val="24"/>
        </w:rPr>
        <w:t xml:space="preserve"> to the </w:t>
      </w:r>
      <w:r w:rsidR="001E3FA8">
        <w:rPr>
          <w:rFonts w:ascii="Arial" w:hAnsi="Arial" w:cs="Arial"/>
          <w:color w:val="000000" w:themeColor="text1"/>
          <w:sz w:val="24"/>
          <w:szCs w:val="24"/>
        </w:rPr>
        <w:t xml:space="preserve">UK </w:t>
      </w:r>
      <w:r w:rsidR="001E3FA8" w:rsidRPr="001E3FA8">
        <w:rPr>
          <w:rFonts w:ascii="Arial" w:hAnsi="Arial" w:cs="Arial"/>
          <w:color w:val="000000" w:themeColor="text1"/>
          <w:sz w:val="24"/>
          <w:szCs w:val="24"/>
        </w:rPr>
        <w:t>WTP threshold</w:t>
      </w:r>
      <w:r w:rsidR="001E3FA8">
        <w:rPr>
          <w:rFonts w:ascii="Arial" w:hAnsi="Arial" w:cs="Arial"/>
          <w:color w:val="000000" w:themeColor="text1"/>
          <w:sz w:val="24"/>
          <w:szCs w:val="24"/>
        </w:rPr>
        <w:t xml:space="preserve"> (£20,000 - £30,000)</w:t>
      </w:r>
      <w:r w:rsidR="001E3FA8" w:rsidRPr="001E3FA8">
        <w:rPr>
          <w:rFonts w:ascii="Arial" w:hAnsi="Arial" w:cs="Arial"/>
          <w:color w:val="000000" w:themeColor="text1"/>
          <w:sz w:val="24"/>
          <w:szCs w:val="24"/>
        </w:rPr>
        <w:t xml:space="preserve"> for cost-effectiveness.</w:t>
      </w:r>
    </w:p>
    <w:p w14:paraId="417EDBF8" w14:textId="74029F8D" w:rsidR="004942B6" w:rsidRPr="002A3406" w:rsidRDefault="00011E3E" w:rsidP="004942B6">
      <w:pPr>
        <w:pStyle w:val="Heading2"/>
        <w:spacing w:line="360" w:lineRule="auto"/>
        <w:rPr>
          <w:rFonts w:ascii="Arial" w:hAnsi="Arial" w:cs="Arial"/>
          <w:color w:val="4472C4" w:themeColor="accent1"/>
          <w:sz w:val="28"/>
          <w:szCs w:val="28"/>
        </w:rPr>
      </w:pPr>
      <w:bookmarkStart w:id="760" w:name="_Toc171203906"/>
      <w:r>
        <w:rPr>
          <w:rFonts w:ascii="Arial" w:hAnsi="Arial" w:cs="Arial"/>
          <w:color w:val="4472C4" w:themeColor="accent1"/>
          <w:sz w:val="28"/>
          <w:szCs w:val="28"/>
        </w:rPr>
        <w:lastRenderedPageBreak/>
        <w:t>2.</w:t>
      </w:r>
      <w:r w:rsidR="00E83618">
        <w:rPr>
          <w:rFonts w:ascii="Arial" w:hAnsi="Arial" w:cs="Arial"/>
          <w:color w:val="4472C4" w:themeColor="accent1"/>
          <w:sz w:val="28"/>
          <w:szCs w:val="28"/>
        </w:rPr>
        <w:t>8</w:t>
      </w:r>
      <w:r>
        <w:rPr>
          <w:rFonts w:ascii="Arial" w:hAnsi="Arial" w:cs="Arial"/>
          <w:color w:val="4472C4" w:themeColor="accent1"/>
          <w:sz w:val="28"/>
          <w:szCs w:val="28"/>
        </w:rPr>
        <w:t xml:space="preserve"> </w:t>
      </w:r>
      <w:r w:rsidR="004942B6" w:rsidRPr="002A3406">
        <w:rPr>
          <w:rFonts w:ascii="Arial" w:hAnsi="Arial" w:cs="Arial"/>
          <w:color w:val="4472C4" w:themeColor="accent1"/>
          <w:sz w:val="28"/>
          <w:szCs w:val="28"/>
        </w:rPr>
        <w:t>Statistical analysis</w:t>
      </w:r>
      <w:bookmarkEnd w:id="760"/>
      <w:r w:rsidR="004942B6" w:rsidRPr="002A3406">
        <w:rPr>
          <w:rFonts w:ascii="Arial" w:hAnsi="Arial" w:cs="Arial"/>
          <w:color w:val="4472C4" w:themeColor="accent1"/>
          <w:sz w:val="28"/>
          <w:szCs w:val="28"/>
        </w:rPr>
        <w:t xml:space="preserve"> </w:t>
      </w:r>
    </w:p>
    <w:p w14:paraId="3AC983A6" w14:textId="4AF72B04" w:rsidR="004942B6" w:rsidRDefault="004942B6" w:rsidP="004942B6">
      <w:pPr>
        <w:spacing w:line="360" w:lineRule="auto"/>
        <w:jc w:val="both"/>
        <w:rPr>
          <w:rFonts w:ascii="Arial" w:hAnsi="Arial" w:cs="Arial"/>
          <w:sz w:val="24"/>
          <w:szCs w:val="24"/>
        </w:rPr>
      </w:pPr>
      <w:r w:rsidRPr="00053B3F">
        <w:rPr>
          <w:rFonts w:ascii="Arial" w:hAnsi="Arial" w:cs="Arial"/>
          <w:sz w:val="24"/>
          <w:szCs w:val="24"/>
        </w:rPr>
        <w:t xml:space="preserve">All the statistical analysis was performed with IBM SPSS software, version 29 and GraphPad </w:t>
      </w:r>
      <w:r w:rsidR="0048008D">
        <w:rPr>
          <w:rFonts w:ascii="Arial" w:hAnsi="Arial" w:cs="Arial"/>
          <w:sz w:val="24"/>
          <w:szCs w:val="24"/>
        </w:rPr>
        <w:t xml:space="preserve">version </w:t>
      </w:r>
      <w:r w:rsidRPr="00053B3F">
        <w:rPr>
          <w:rFonts w:ascii="Arial" w:hAnsi="Arial" w:cs="Arial"/>
          <w:sz w:val="24"/>
          <w:szCs w:val="24"/>
        </w:rPr>
        <w:t>8.0.</w:t>
      </w:r>
      <w:r w:rsidR="0048008D">
        <w:rPr>
          <w:rFonts w:ascii="Arial" w:hAnsi="Arial" w:cs="Arial"/>
          <w:sz w:val="24"/>
          <w:szCs w:val="24"/>
        </w:rPr>
        <w:t>2.</w:t>
      </w:r>
      <w:r w:rsidRPr="00053B3F">
        <w:rPr>
          <w:rFonts w:ascii="Arial" w:hAnsi="Arial" w:cs="Arial"/>
          <w:sz w:val="24"/>
          <w:szCs w:val="24"/>
        </w:rPr>
        <w:t xml:space="preserve"> </w:t>
      </w:r>
      <w:r w:rsidR="00B65AF5" w:rsidRPr="00053B3F">
        <w:rPr>
          <w:rFonts w:ascii="Arial" w:hAnsi="Arial" w:cs="Arial"/>
          <w:sz w:val="24"/>
          <w:szCs w:val="24"/>
        </w:rPr>
        <w:t xml:space="preserve">The categorical variables (both nominal and ordinal) </w:t>
      </w:r>
      <w:r w:rsidR="00B65AF5">
        <w:rPr>
          <w:rFonts w:ascii="Arial" w:hAnsi="Arial" w:cs="Arial"/>
          <w:sz w:val="24"/>
          <w:szCs w:val="24"/>
        </w:rPr>
        <w:t>were</w:t>
      </w:r>
      <w:r w:rsidR="00B65AF5" w:rsidRPr="00053B3F">
        <w:rPr>
          <w:rFonts w:ascii="Arial" w:hAnsi="Arial" w:cs="Arial"/>
          <w:sz w:val="24"/>
          <w:szCs w:val="24"/>
        </w:rPr>
        <w:t xml:space="preserve"> presented as counts and percentages, whereas the continuous (scale) variables have been represented as mean ± standard deviation</w:t>
      </w:r>
      <w:r w:rsidR="00B65AF5">
        <w:rPr>
          <w:rFonts w:ascii="Arial" w:hAnsi="Arial" w:cs="Arial"/>
          <w:sz w:val="24"/>
          <w:szCs w:val="24"/>
        </w:rPr>
        <w:t>, where appropriate and when data was normally distributed</w:t>
      </w:r>
      <w:r w:rsidR="00B65AF5" w:rsidRPr="00053B3F">
        <w:rPr>
          <w:rFonts w:ascii="Arial" w:hAnsi="Arial" w:cs="Arial"/>
          <w:sz w:val="24"/>
          <w:szCs w:val="24"/>
        </w:rPr>
        <w:t xml:space="preserve">. </w:t>
      </w:r>
      <w:r w:rsidRPr="00053B3F">
        <w:rPr>
          <w:rFonts w:ascii="Arial" w:hAnsi="Arial" w:cs="Arial"/>
          <w:sz w:val="24"/>
          <w:szCs w:val="24"/>
        </w:rPr>
        <w:t xml:space="preserve">The categorical data were analysed using the Chi-squared test or </w:t>
      </w:r>
      <w:r>
        <w:rPr>
          <w:rFonts w:ascii="Arial" w:hAnsi="Arial" w:cs="Arial"/>
          <w:sz w:val="24"/>
          <w:szCs w:val="24"/>
        </w:rPr>
        <w:t xml:space="preserve">the </w:t>
      </w:r>
      <w:r w:rsidRPr="00053B3F">
        <w:rPr>
          <w:rFonts w:ascii="Arial" w:hAnsi="Arial" w:cs="Arial"/>
          <w:sz w:val="24"/>
          <w:szCs w:val="24"/>
        </w:rPr>
        <w:t>Fisher exact test</w:t>
      </w:r>
      <w:r>
        <w:rPr>
          <w:rFonts w:ascii="Arial" w:hAnsi="Arial" w:cs="Arial"/>
          <w:sz w:val="24"/>
          <w:szCs w:val="24"/>
        </w:rPr>
        <w:t>,</w:t>
      </w:r>
      <w:r w:rsidRPr="00053B3F">
        <w:rPr>
          <w:rFonts w:ascii="Arial" w:hAnsi="Arial" w:cs="Arial"/>
          <w:sz w:val="24"/>
          <w:szCs w:val="24"/>
        </w:rPr>
        <w:t xml:space="preserve"> </w:t>
      </w:r>
      <w:r>
        <w:rPr>
          <w:rFonts w:ascii="Arial" w:hAnsi="Arial" w:cs="Arial"/>
          <w:sz w:val="24"/>
          <w:szCs w:val="24"/>
        </w:rPr>
        <w:t>as</w:t>
      </w:r>
      <w:r w:rsidRPr="00053B3F">
        <w:rPr>
          <w:rFonts w:ascii="Arial" w:hAnsi="Arial" w:cs="Arial"/>
          <w:sz w:val="24"/>
          <w:szCs w:val="24"/>
        </w:rPr>
        <w:t xml:space="preserve"> appropriate. The </w:t>
      </w:r>
      <w:r>
        <w:rPr>
          <w:rFonts w:ascii="Arial" w:hAnsi="Arial" w:cs="Arial"/>
          <w:sz w:val="24"/>
          <w:szCs w:val="24"/>
        </w:rPr>
        <w:t>S</w:t>
      </w:r>
      <w:r w:rsidRPr="00053B3F">
        <w:rPr>
          <w:rFonts w:ascii="Arial" w:hAnsi="Arial" w:cs="Arial"/>
          <w:sz w:val="24"/>
          <w:szCs w:val="24"/>
        </w:rPr>
        <w:t>tudent T-test (paired and unpaired)</w:t>
      </w:r>
      <w:r>
        <w:rPr>
          <w:rFonts w:ascii="Arial" w:hAnsi="Arial" w:cs="Arial"/>
          <w:sz w:val="24"/>
          <w:szCs w:val="24"/>
        </w:rPr>
        <w:t>,</w:t>
      </w:r>
      <w:r w:rsidRPr="00053B3F">
        <w:rPr>
          <w:rFonts w:ascii="Arial" w:hAnsi="Arial" w:cs="Arial"/>
          <w:sz w:val="24"/>
          <w:szCs w:val="24"/>
        </w:rPr>
        <w:t xml:space="preserve"> Mann-Whitney</w:t>
      </w:r>
      <w:r>
        <w:rPr>
          <w:rFonts w:ascii="Arial" w:hAnsi="Arial" w:cs="Arial"/>
          <w:sz w:val="24"/>
          <w:szCs w:val="24"/>
        </w:rPr>
        <w:t>, and McNemar-Bowker test</w:t>
      </w:r>
      <w:r w:rsidRPr="00053B3F">
        <w:rPr>
          <w:rFonts w:ascii="Arial" w:hAnsi="Arial" w:cs="Arial"/>
          <w:sz w:val="24"/>
          <w:szCs w:val="24"/>
        </w:rPr>
        <w:t xml:space="preserve"> were used for </w:t>
      </w:r>
      <w:r>
        <w:rPr>
          <w:rFonts w:ascii="Arial" w:hAnsi="Arial" w:cs="Arial"/>
          <w:sz w:val="24"/>
          <w:szCs w:val="24"/>
        </w:rPr>
        <w:t xml:space="preserve">the </w:t>
      </w:r>
      <w:r w:rsidRPr="00053B3F">
        <w:rPr>
          <w:rFonts w:ascii="Arial" w:hAnsi="Arial" w:cs="Arial"/>
          <w:sz w:val="24"/>
          <w:szCs w:val="24"/>
        </w:rPr>
        <w:t>parametric and non-parametric analysis. The Welch’s T-test was utilised where unequal sample sizes or variances were encountered.</w:t>
      </w:r>
      <w:r>
        <w:rPr>
          <w:rFonts w:ascii="Arial" w:hAnsi="Arial" w:cs="Arial"/>
          <w:sz w:val="24"/>
          <w:szCs w:val="24"/>
        </w:rPr>
        <w:t xml:space="preserve"> Shapiro-Wilk test was used to check the normality distribution of the sample. One-way ANOVA and Kruskal Wallis tests were used (where appropriate) to analyse any statistically significant difference in the medians of multiple groups. </w:t>
      </w:r>
      <w:r w:rsidRPr="00053B3F">
        <w:rPr>
          <w:rFonts w:ascii="Arial" w:hAnsi="Arial" w:cs="Arial"/>
          <w:sz w:val="24"/>
          <w:szCs w:val="24"/>
        </w:rPr>
        <w:t xml:space="preserve">All p-values were two-sided, and the p-values &lt;0.05 were considered statistically significant. The </w:t>
      </w:r>
      <w:r>
        <w:rPr>
          <w:rFonts w:ascii="Arial" w:hAnsi="Arial" w:cs="Arial"/>
          <w:sz w:val="24"/>
          <w:szCs w:val="24"/>
        </w:rPr>
        <w:t xml:space="preserve">Pearson (for parametric) and Spearman (for non-parametric) </w:t>
      </w:r>
      <w:r w:rsidRPr="00053B3F">
        <w:rPr>
          <w:rFonts w:ascii="Arial" w:hAnsi="Arial" w:cs="Arial"/>
          <w:sz w:val="24"/>
          <w:szCs w:val="24"/>
        </w:rPr>
        <w:t xml:space="preserve">correlation </w:t>
      </w:r>
      <w:r>
        <w:rPr>
          <w:rFonts w:ascii="Arial" w:hAnsi="Arial" w:cs="Arial"/>
          <w:sz w:val="24"/>
          <w:szCs w:val="24"/>
        </w:rPr>
        <w:t xml:space="preserve">analyses were performed along with regression analysis </w:t>
      </w:r>
      <w:r w:rsidRPr="00053B3F">
        <w:rPr>
          <w:rFonts w:ascii="Arial" w:hAnsi="Arial" w:cs="Arial"/>
          <w:sz w:val="24"/>
          <w:szCs w:val="24"/>
        </w:rPr>
        <w:t>to observe the strength, direction, and magnitude of the relationship between the quantitative variables.</w:t>
      </w:r>
    </w:p>
    <w:p w14:paraId="5FCC46E0" w14:textId="77777777" w:rsidR="004942B6" w:rsidRDefault="004942B6" w:rsidP="004942B6">
      <w:pPr>
        <w:spacing w:line="360" w:lineRule="auto"/>
        <w:jc w:val="both"/>
        <w:rPr>
          <w:rFonts w:ascii="Arial" w:hAnsi="Arial" w:cs="Arial"/>
          <w:sz w:val="24"/>
          <w:szCs w:val="24"/>
        </w:rPr>
      </w:pPr>
    </w:p>
    <w:p w14:paraId="018E44B7" w14:textId="77777777" w:rsidR="00C03BCF" w:rsidRDefault="00C03BCF" w:rsidP="004942B6">
      <w:pPr>
        <w:spacing w:line="360" w:lineRule="auto"/>
        <w:jc w:val="both"/>
        <w:rPr>
          <w:rFonts w:ascii="Arial" w:hAnsi="Arial" w:cs="Arial"/>
          <w:sz w:val="24"/>
          <w:szCs w:val="24"/>
        </w:rPr>
      </w:pPr>
    </w:p>
    <w:p w14:paraId="6BB61F1F" w14:textId="77777777" w:rsidR="00C03BCF" w:rsidRDefault="00C03BCF" w:rsidP="004942B6">
      <w:pPr>
        <w:spacing w:line="360" w:lineRule="auto"/>
        <w:jc w:val="both"/>
        <w:rPr>
          <w:rFonts w:ascii="Arial" w:hAnsi="Arial" w:cs="Arial"/>
          <w:sz w:val="24"/>
          <w:szCs w:val="24"/>
        </w:rPr>
      </w:pPr>
    </w:p>
    <w:p w14:paraId="2FA64D16" w14:textId="77777777" w:rsidR="00C03BCF" w:rsidRDefault="00C03BCF" w:rsidP="004942B6">
      <w:pPr>
        <w:spacing w:line="360" w:lineRule="auto"/>
        <w:jc w:val="both"/>
        <w:rPr>
          <w:rFonts w:ascii="Arial" w:hAnsi="Arial" w:cs="Arial"/>
          <w:sz w:val="24"/>
          <w:szCs w:val="24"/>
        </w:rPr>
      </w:pPr>
    </w:p>
    <w:p w14:paraId="3B996278" w14:textId="77777777" w:rsidR="00C03BCF" w:rsidRDefault="00C03BCF" w:rsidP="004942B6">
      <w:pPr>
        <w:spacing w:line="360" w:lineRule="auto"/>
        <w:jc w:val="both"/>
        <w:rPr>
          <w:rFonts w:ascii="Arial" w:hAnsi="Arial" w:cs="Arial"/>
          <w:sz w:val="24"/>
          <w:szCs w:val="24"/>
        </w:rPr>
      </w:pPr>
    </w:p>
    <w:p w14:paraId="36DCA9D5" w14:textId="77777777" w:rsidR="00C03BCF" w:rsidRDefault="00C03BCF" w:rsidP="004942B6">
      <w:pPr>
        <w:spacing w:line="360" w:lineRule="auto"/>
        <w:jc w:val="both"/>
        <w:rPr>
          <w:rFonts w:ascii="Arial" w:hAnsi="Arial" w:cs="Arial"/>
          <w:sz w:val="24"/>
          <w:szCs w:val="24"/>
        </w:rPr>
      </w:pPr>
    </w:p>
    <w:p w14:paraId="19D9B884" w14:textId="77777777" w:rsidR="00C03BCF" w:rsidRDefault="00C03BCF" w:rsidP="004942B6">
      <w:pPr>
        <w:spacing w:line="360" w:lineRule="auto"/>
        <w:jc w:val="both"/>
        <w:rPr>
          <w:rFonts w:ascii="Arial" w:hAnsi="Arial" w:cs="Arial"/>
          <w:sz w:val="24"/>
          <w:szCs w:val="24"/>
        </w:rPr>
      </w:pPr>
    </w:p>
    <w:p w14:paraId="12C5226B" w14:textId="77777777" w:rsidR="00C03BCF" w:rsidRDefault="00C03BCF" w:rsidP="004942B6">
      <w:pPr>
        <w:spacing w:line="360" w:lineRule="auto"/>
        <w:jc w:val="both"/>
        <w:rPr>
          <w:rFonts w:ascii="Arial" w:hAnsi="Arial" w:cs="Arial"/>
          <w:sz w:val="24"/>
          <w:szCs w:val="24"/>
        </w:rPr>
      </w:pPr>
    </w:p>
    <w:p w14:paraId="4B5ACFD7" w14:textId="77777777" w:rsidR="00C03BCF" w:rsidRPr="00D166BF" w:rsidRDefault="00C03BCF" w:rsidP="004942B6">
      <w:pPr>
        <w:spacing w:line="360" w:lineRule="auto"/>
        <w:jc w:val="both"/>
        <w:rPr>
          <w:rFonts w:ascii="Arial" w:hAnsi="Arial" w:cs="Arial"/>
          <w:sz w:val="24"/>
          <w:szCs w:val="24"/>
        </w:rPr>
      </w:pPr>
    </w:p>
    <w:p w14:paraId="3AC7FBD5" w14:textId="77777777" w:rsidR="004942B6" w:rsidRPr="00F605C6" w:rsidRDefault="004942B6" w:rsidP="004942B6">
      <w:pPr>
        <w:pStyle w:val="Heading1"/>
        <w:spacing w:line="360" w:lineRule="auto"/>
        <w:rPr>
          <w:rFonts w:ascii="Arial" w:hAnsi="Arial" w:cs="Arial"/>
          <w:b/>
          <w:bCs/>
          <w:color w:val="4472C4" w:themeColor="accent1"/>
        </w:rPr>
      </w:pPr>
      <w:bookmarkStart w:id="761" w:name="_Toc171203907"/>
      <w:r w:rsidRPr="00F605C6">
        <w:rPr>
          <w:rFonts w:ascii="Arial" w:hAnsi="Arial" w:cs="Arial"/>
          <w:b/>
          <w:bCs/>
          <w:color w:val="4472C4" w:themeColor="accent1"/>
        </w:rPr>
        <w:lastRenderedPageBreak/>
        <w:t>3. Results</w:t>
      </w:r>
      <w:bookmarkEnd w:id="761"/>
    </w:p>
    <w:p w14:paraId="2514E8E8" w14:textId="0D9F1959" w:rsidR="004942B6" w:rsidRDefault="004942B6" w:rsidP="004942B6">
      <w:pPr>
        <w:spacing w:line="360" w:lineRule="auto"/>
        <w:jc w:val="both"/>
        <w:rPr>
          <w:rFonts w:ascii="Arial" w:hAnsi="Arial" w:cs="Arial"/>
          <w:sz w:val="24"/>
          <w:szCs w:val="24"/>
        </w:rPr>
      </w:pPr>
      <w:r w:rsidRPr="00EA0B7F">
        <w:rPr>
          <w:rFonts w:ascii="Arial" w:hAnsi="Arial" w:cs="Arial"/>
          <w:sz w:val="24"/>
          <w:szCs w:val="24"/>
        </w:rPr>
        <w:t xml:space="preserve">The results section has been divided into clinical and health economics outcomes, presented </w:t>
      </w:r>
      <w:r>
        <w:rPr>
          <w:rFonts w:ascii="Arial" w:hAnsi="Arial" w:cs="Arial"/>
          <w:sz w:val="24"/>
          <w:szCs w:val="24"/>
        </w:rPr>
        <w:t xml:space="preserve">separately </w:t>
      </w:r>
      <w:r w:rsidRPr="00EA0B7F">
        <w:rPr>
          <w:rFonts w:ascii="Arial" w:hAnsi="Arial" w:cs="Arial"/>
          <w:sz w:val="24"/>
          <w:szCs w:val="24"/>
        </w:rPr>
        <w:t>for the complete VIRTU-4 (n=26</w:t>
      </w:r>
      <w:r w:rsidR="00BF36B8">
        <w:rPr>
          <w:rFonts w:ascii="Arial" w:hAnsi="Arial" w:cs="Arial"/>
          <w:sz w:val="24"/>
          <w:szCs w:val="24"/>
        </w:rPr>
        <w:t>6</w:t>
      </w:r>
      <w:r w:rsidRPr="00EA0B7F">
        <w:rPr>
          <w:rFonts w:ascii="Arial" w:hAnsi="Arial" w:cs="Arial"/>
          <w:sz w:val="24"/>
          <w:szCs w:val="24"/>
        </w:rPr>
        <w:t xml:space="preserve">) and the </w:t>
      </w:r>
      <w:r>
        <w:rPr>
          <w:rFonts w:ascii="Arial" w:hAnsi="Arial" w:cs="Arial"/>
          <w:sz w:val="24"/>
          <w:szCs w:val="24"/>
        </w:rPr>
        <w:t>virtual change subset (n=65).</w:t>
      </w:r>
    </w:p>
    <w:p w14:paraId="59F636C5" w14:textId="77777777" w:rsidR="00202966" w:rsidRDefault="00202966" w:rsidP="004942B6">
      <w:pPr>
        <w:spacing w:line="360" w:lineRule="auto"/>
        <w:jc w:val="both"/>
        <w:rPr>
          <w:rFonts w:ascii="Arial" w:hAnsi="Arial" w:cs="Arial"/>
          <w:sz w:val="24"/>
          <w:szCs w:val="24"/>
        </w:rPr>
      </w:pPr>
    </w:p>
    <w:p w14:paraId="2E37CD8C" w14:textId="186945AF" w:rsidR="004942B6" w:rsidRPr="002A3406" w:rsidRDefault="004942B6" w:rsidP="004942B6">
      <w:pPr>
        <w:pStyle w:val="Heading2"/>
        <w:spacing w:line="360" w:lineRule="auto"/>
        <w:rPr>
          <w:rFonts w:ascii="Arial" w:hAnsi="Arial" w:cs="Arial"/>
          <w:color w:val="4472C4" w:themeColor="accent1"/>
          <w:sz w:val="28"/>
          <w:szCs w:val="28"/>
        </w:rPr>
      </w:pPr>
      <w:bookmarkStart w:id="762" w:name="_Toc171203908"/>
      <w:r w:rsidRPr="002A3406">
        <w:rPr>
          <w:rFonts w:ascii="Arial" w:hAnsi="Arial" w:cs="Arial"/>
          <w:color w:val="4472C4" w:themeColor="accent1"/>
          <w:sz w:val="28"/>
          <w:szCs w:val="28"/>
        </w:rPr>
        <w:t>3.1 Clinical outcomes from the entire VIRTU-4</w:t>
      </w:r>
      <w:r w:rsidR="00D41D7B">
        <w:rPr>
          <w:rFonts w:ascii="Arial" w:hAnsi="Arial" w:cs="Arial"/>
          <w:color w:val="4472C4" w:themeColor="accent1"/>
          <w:sz w:val="28"/>
          <w:szCs w:val="28"/>
        </w:rPr>
        <w:t xml:space="preserve"> HE</w:t>
      </w:r>
      <w:bookmarkEnd w:id="762"/>
    </w:p>
    <w:p w14:paraId="2DD52F5B" w14:textId="77777777" w:rsidR="004942B6" w:rsidRPr="00202966" w:rsidRDefault="004942B6" w:rsidP="004942B6">
      <w:pPr>
        <w:pStyle w:val="Heading3"/>
        <w:spacing w:line="360" w:lineRule="auto"/>
        <w:rPr>
          <w:rFonts w:ascii="Arial" w:hAnsi="Arial" w:cs="Arial"/>
          <w:color w:val="4472C4" w:themeColor="accent1"/>
          <w:sz w:val="24"/>
          <w:szCs w:val="24"/>
        </w:rPr>
      </w:pPr>
      <w:bookmarkStart w:id="763" w:name="_Toc170076064"/>
      <w:bookmarkStart w:id="764" w:name="_Toc171203138"/>
      <w:bookmarkStart w:id="765" w:name="_Toc171203909"/>
      <w:r w:rsidRPr="00202966">
        <w:rPr>
          <w:rFonts w:ascii="Arial" w:hAnsi="Arial" w:cs="Arial"/>
          <w:color w:val="4472C4" w:themeColor="accent1"/>
          <w:sz w:val="24"/>
          <w:szCs w:val="24"/>
        </w:rPr>
        <w:t>3.1.1 Patient contactability</w:t>
      </w:r>
      <w:bookmarkEnd w:id="763"/>
      <w:bookmarkEnd w:id="764"/>
      <w:bookmarkEnd w:id="765"/>
      <w:r w:rsidRPr="00202966">
        <w:rPr>
          <w:rFonts w:ascii="Arial" w:hAnsi="Arial" w:cs="Arial"/>
          <w:color w:val="4472C4" w:themeColor="accent1"/>
          <w:sz w:val="24"/>
          <w:szCs w:val="24"/>
        </w:rPr>
        <w:t xml:space="preserve"> </w:t>
      </w:r>
    </w:p>
    <w:p w14:paraId="66867213" w14:textId="08B66EBB" w:rsidR="004942B6" w:rsidRDefault="004942B6" w:rsidP="0028618F">
      <w:pPr>
        <w:spacing w:line="360" w:lineRule="auto"/>
        <w:jc w:val="both"/>
        <w:rPr>
          <w:rFonts w:ascii="Arial" w:hAnsi="Arial" w:cs="Arial"/>
          <w:color w:val="000000" w:themeColor="text1"/>
          <w:sz w:val="24"/>
          <w:szCs w:val="24"/>
        </w:rPr>
      </w:pPr>
      <w:r w:rsidRPr="00964217">
        <w:rPr>
          <w:rFonts w:ascii="Arial" w:hAnsi="Arial" w:cs="Arial"/>
          <w:color w:val="000000" w:themeColor="text1"/>
          <w:sz w:val="24"/>
          <w:szCs w:val="24"/>
        </w:rPr>
        <w:t>T</w:t>
      </w:r>
      <w:r>
        <w:rPr>
          <w:rFonts w:ascii="Arial" w:hAnsi="Arial" w:cs="Arial"/>
          <w:color w:val="000000" w:themeColor="text1"/>
          <w:sz w:val="24"/>
          <w:szCs w:val="24"/>
        </w:rPr>
        <w:t>he</w:t>
      </w:r>
      <w:r w:rsidRPr="00964217">
        <w:rPr>
          <w:rFonts w:ascii="Arial" w:hAnsi="Arial" w:cs="Arial"/>
          <w:color w:val="000000" w:themeColor="text1"/>
          <w:sz w:val="24"/>
          <w:szCs w:val="24"/>
        </w:rPr>
        <w:t xml:space="preserve"> VIRTU-4 HE study was conducted on the data derived from the VIRTU-4 trial, which included 308 patients (208 in VIRTU-4 ACS and 100 in VIRTU-4 CCS). I was able to gather data from 180/208 (86.5%) patients in the ACS arm after the exclusion of 28/208 (13.</w:t>
      </w:r>
      <w:r w:rsidR="0028618F">
        <w:rPr>
          <w:rFonts w:ascii="Arial" w:hAnsi="Arial" w:cs="Arial"/>
          <w:color w:val="000000" w:themeColor="text1"/>
          <w:sz w:val="24"/>
          <w:szCs w:val="24"/>
        </w:rPr>
        <w:t>5</w:t>
      </w:r>
      <w:r w:rsidRPr="00964217">
        <w:rPr>
          <w:rFonts w:ascii="Arial" w:hAnsi="Arial" w:cs="Arial"/>
          <w:color w:val="000000" w:themeColor="text1"/>
          <w:sz w:val="24"/>
          <w:szCs w:val="24"/>
        </w:rPr>
        <w:t>%), of whom 27/208 (</w:t>
      </w:r>
      <w:r w:rsidR="0028618F" w:rsidRPr="00964217">
        <w:rPr>
          <w:rFonts w:ascii="Arial" w:hAnsi="Arial" w:cs="Arial"/>
          <w:color w:val="000000" w:themeColor="text1"/>
          <w:sz w:val="24"/>
          <w:szCs w:val="24"/>
        </w:rPr>
        <w:t>1</w:t>
      </w:r>
      <w:r w:rsidR="0028618F">
        <w:rPr>
          <w:rFonts w:ascii="Arial" w:hAnsi="Arial" w:cs="Arial"/>
          <w:color w:val="000000" w:themeColor="text1"/>
          <w:sz w:val="24"/>
          <w:szCs w:val="24"/>
        </w:rPr>
        <w:t>3</w:t>
      </w:r>
      <w:r w:rsidRPr="00964217">
        <w:rPr>
          <w:rFonts w:ascii="Arial" w:hAnsi="Arial" w:cs="Arial"/>
          <w:color w:val="000000" w:themeColor="text1"/>
          <w:sz w:val="24"/>
          <w:szCs w:val="24"/>
        </w:rPr>
        <w:t>%) were uncontactable and 1/208 (0.</w:t>
      </w:r>
      <w:r w:rsidR="0028618F">
        <w:rPr>
          <w:rFonts w:ascii="Arial" w:hAnsi="Arial" w:cs="Arial"/>
          <w:color w:val="000000" w:themeColor="text1"/>
          <w:sz w:val="24"/>
          <w:szCs w:val="24"/>
        </w:rPr>
        <w:t>5</w:t>
      </w:r>
      <w:r w:rsidRPr="00964217">
        <w:rPr>
          <w:rFonts w:ascii="Arial" w:hAnsi="Arial" w:cs="Arial"/>
          <w:color w:val="000000" w:themeColor="text1"/>
          <w:sz w:val="24"/>
          <w:szCs w:val="24"/>
        </w:rPr>
        <w:t>%) had dementia. Similarly, in the CCS group, the data were collected for 86/100 (86%) after the exclusion of 14/100 (14%) uncontactable patients. There were 7/308 (2.27%) deaths</w:t>
      </w:r>
      <w:r w:rsidR="00CB6E09">
        <w:rPr>
          <w:rFonts w:ascii="Arial" w:hAnsi="Arial" w:cs="Arial"/>
          <w:color w:val="000000" w:themeColor="text1"/>
          <w:sz w:val="24"/>
          <w:szCs w:val="24"/>
        </w:rPr>
        <w:t xml:space="preserve"> </w:t>
      </w:r>
      <w:r>
        <w:rPr>
          <w:rFonts w:ascii="Arial" w:hAnsi="Arial" w:cs="Arial"/>
          <w:color w:val="000000" w:themeColor="text1"/>
          <w:sz w:val="24"/>
          <w:szCs w:val="24"/>
        </w:rPr>
        <w:t>at</w:t>
      </w:r>
      <w:r w:rsidRPr="00964217">
        <w:rPr>
          <w:rFonts w:ascii="Arial" w:hAnsi="Arial" w:cs="Arial"/>
          <w:color w:val="000000" w:themeColor="text1"/>
          <w:sz w:val="24"/>
          <w:szCs w:val="24"/>
        </w:rPr>
        <w:t xml:space="preserve"> one</w:t>
      </w:r>
      <w:r>
        <w:rPr>
          <w:rFonts w:ascii="Arial" w:hAnsi="Arial" w:cs="Arial"/>
          <w:color w:val="000000" w:themeColor="text1"/>
          <w:sz w:val="24"/>
          <w:szCs w:val="24"/>
        </w:rPr>
        <w:t>-</w:t>
      </w:r>
      <w:r w:rsidRPr="00964217">
        <w:rPr>
          <w:rFonts w:ascii="Arial" w:hAnsi="Arial" w:cs="Arial"/>
          <w:color w:val="000000" w:themeColor="text1"/>
          <w:sz w:val="24"/>
          <w:szCs w:val="24"/>
        </w:rPr>
        <w:t xml:space="preserve">year follow-up, of which 3/208 (1.4%) were in ACS and 4/100 (4%) in the CCS group.  </w:t>
      </w:r>
    </w:p>
    <w:p w14:paraId="6FAB5B79" w14:textId="77777777" w:rsidR="00202966" w:rsidRDefault="00202966" w:rsidP="004942B6">
      <w:pPr>
        <w:spacing w:line="360" w:lineRule="auto"/>
        <w:jc w:val="both"/>
        <w:rPr>
          <w:rFonts w:ascii="Arial" w:hAnsi="Arial" w:cs="Arial"/>
          <w:color w:val="000000" w:themeColor="text1"/>
          <w:sz w:val="24"/>
          <w:szCs w:val="24"/>
        </w:rPr>
      </w:pPr>
    </w:p>
    <w:p w14:paraId="4ED32FB3" w14:textId="77777777" w:rsidR="004942B6" w:rsidRPr="00202966" w:rsidRDefault="004942B6" w:rsidP="004942B6">
      <w:pPr>
        <w:pStyle w:val="Heading3"/>
        <w:spacing w:line="360" w:lineRule="auto"/>
        <w:rPr>
          <w:rFonts w:ascii="Arial" w:hAnsi="Arial" w:cs="Arial"/>
          <w:color w:val="4472C4" w:themeColor="accent1"/>
          <w:sz w:val="24"/>
          <w:szCs w:val="24"/>
        </w:rPr>
      </w:pPr>
      <w:bookmarkStart w:id="766" w:name="_Toc170076065"/>
      <w:bookmarkStart w:id="767" w:name="_Toc171203139"/>
      <w:bookmarkStart w:id="768" w:name="_Toc171203910"/>
      <w:r w:rsidRPr="00202966">
        <w:rPr>
          <w:rFonts w:ascii="Arial" w:hAnsi="Arial" w:cs="Arial"/>
          <w:color w:val="4472C4" w:themeColor="accent1"/>
          <w:sz w:val="24"/>
          <w:szCs w:val="24"/>
        </w:rPr>
        <w:t>3.1.2 Study demographics</w:t>
      </w:r>
      <w:bookmarkEnd w:id="766"/>
      <w:bookmarkEnd w:id="767"/>
      <w:bookmarkEnd w:id="768"/>
    </w:p>
    <w:p w14:paraId="16D9B5FB" w14:textId="0D93E19D" w:rsidR="004942B6" w:rsidRDefault="004942B6" w:rsidP="004942B6">
      <w:pPr>
        <w:spacing w:line="360" w:lineRule="auto"/>
        <w:jc w:val="both"/>
        <w:rPr>
          <w:rFonts w:ascii="Arial" w:hAnsi="Arial" w:cs="Arial"/>
          <w:i/>
          <w:iCs/>
          <w:color w:val="000000" w:themeColor="text1"/>
          <w:sz w:val="24"/>
          <w:szCs w:val="24"/>
        </w:rPr>
      </w:pPr>
      <w:r w:rsidRPr="003D64F5">
        <w:rPr>
          <w:rFonts w:ascii="Arial" w:hAnsi="Arial" w:cs="Arial"/>
          <w:sz w:val="24"/>
          <w:szCs w:val="24"/>
        </w:rPr>
        <w:t xml:space="preserve">The demographics </w:t>
      </w:r>
      <w:r>
        <w:rPr>
          <w:rFonts w:ascii="Arial" w:hAnsi="Arial" w:cs="Arial"/>
          <w:sz w:val="24"/>
          <w:szCs w:val="24"/>
        </w:rPr>
        <w:t xml:space="preserve">and age distribution </w:t>
      </w:r>
      <w:r w:rsidRPr="003D64F5">
        <w:rPr>
          <w:rFonts w:ascii="Arial" w:hAnsi="Arial" w:cs="Arial"/>
          <w:sz w:val="24"/>
          <w:szCs w:val="24"/>
        </w:rPr>
        <w:t xml:space="preserve">of the patients are </w:t>
      </w:r>
      <w:r w:rsidRPr="009222F3">
        <w:rPr>
          <w:rFonts w:ascii="Arial" w:hAnsi="Arial" w:cs="Arial"/>
          <w:color w:val="000000" w:themeColor="text1"/>
          <w:sz w:val="24"/>
          <w:szCs w:val="24"/>
        </w:rPr>
        <w:t xml:space="preserve">shown in Table </w:t>
      </w:r>
      <w:r>
        <w:rPr>
          <w:rFonts w:ascii="Arial" w:hAnsi="Arial" w:cs="Arial"/>
          <w:color w:val="000000" w:themeColor="text1"/>
          <w:sz w:val="24"/>
          <w:szCs w:val="24"/>
        </w:rPr>
        <w:t xml:space="preserve">9 and Figure </w:t>
      </w:r>
      <w:r w:rsidR="00EA578E">
        <w:rPr>
          <w:rFonts w:ascii="Arial" w:hAnsi="Arial" w:cs="Arial"/>
          <w:color w:val="000000" w:themeColor="text1"/>
          <w:sz w:val="24"/>
          <w:szCs w:val="24"/>
        </w:rPr>
        <w:t>2</w:t>
      </w:r>
      <w:r w:rsidR="004E0578">
        <w:rPr>
          <w:rFonts w:ascii="Arial" w:hAnsi="Arial" w:cs="Arial"/>
          <w:color w:val="000000" w:themeColor="text1"/>
          <w:sz w:val="24"/>
          <w:szCs w:val="24"/>
        </w:rPr>
        <w:t>5</w:t>
      </w:r>
      <w:r>
        <w:rPr>
          <w:rFonts w:ascii="Arial" w:hAnsi="Arial" w:cs="Arial"/>
          <w:color w:val="000000" w:themeColor="text1"/>
          <w:sz w:val="24"/>
          <w:szCs w:val="24"/>
        </w:rPr>
        <w:t>, respectively</w:t>
      </w:r>
      <w:r w:rsidRPr="009222F3">
        <w:rPr>
          <w:rFonts w:ascii="Arial" w:hAnsi="Arial" w:cs="Arial"/>
          <w:color w:val="000000" w:themeColor="text1"/>
          <w:sz w:val="24"/>
          <w:szCs w:val="24"/>
        </w:rPr>
        <w:t>.</w:t>
      </w:r>
      <w:r w:rsidRPr="002F3A9C" w:rsidDel="003306ED">
        <w:rPr>
          <w:rFonts w:ascii="Arial" w:hAnsi="Arial" w:cs="Arial"/>
          <w:i/>
          <w:iCs/>
          <w:color w:val="000000" w:themeColor="text1"/>
          <w:sz w:val="24"/>
          <w:szCs w:val="24"/>
        </w:rPr>
        <w:t xml:space="preserve"> </w:t>
      </w:r>
    </w:p>
    <w:p w14:paraId="167F2870" w14:textId="77777777" w:rsidR="007464A4" w:rsidRDefault="007464A4" w:rsidP="004942B6">
      <w:pPr>
        <w:spacing w:line="360" w:lineRule="auto"/>
        <w:jc w:val="both"/>
        <w:rPr>
          <w:rFonts w:ascii="Arial" w:hAnsi="Arial" w:cs="Arial"/>
          <w:i/>
          <w:iCs/>
          <w:color w:val="000000" w:themeColor="text1"/>
          <w:sz w:val="24"/>
          <w:szCs w:val="24"/>
        </w:rPr>
      </w:pPr>
    </w:p>
    <w:p w14:paraId="5B1DAB6F" w14:textId="77777777" w:rsidR="007464A4" w:rsidRDefault="007464A4" w:rsidP="004942B6">
      <w:pPr>
        <w:spacing w:line="360" w:lineRule="auto"/>
        <w:jc w:val="both"/>
        <w:rPr>
          <w:rFonts w:ascii="Arial" w:hAnsi="Arial" w:cs="Arial"/>
          <w:i/>
          <w:iCs/>
          <w:color w:val="000000" w:themeColor="text1"/>
          <w:sz w:val="24"/>
          <w:szCs w:val="24"/>
        </w:rPr>
      </w:pPr>
    </w:p>
    <w:p w14:paraId="6A983D07" w14:textId="77777777" w:rsidR="007464A4" w:rsidRDefault="007464A4" w:rsidP="004942B6">
      <w:pPr>
        <w:spacing w:line="360" w:lineRule="auto"/>
        <w:jc w:val="both"/>
        <w:rPr>
          <w:rFonts w:ascii="Arial" w:hAnsi="Arial" w:cs="Arial"/>
          <w:i/>
          <w:iCs/>
          <w:color w:val="000000" w:themeColor="text1"/>
          <w:sz w:val="24"/>
          <w:szCs w:val="24"/>
        </w:rPr>
      </w:pPr>
    </w:p>
    <w:p w14:paraId="2EFEFF9F" w14:textId="77777777" w:rsidR="007464A4" w:rsidRDefault="007464A4" w:rsidP="004942B6">
      <w:pPr>
        <w:spacing w:line="360" w:lineRule="auto"/>
        <w:jc w:val="both"/>
        <w:rPr>
          <w:rFonts w:ascii="Arial" w:hAnsi="Arial" w:cs="Arial"/>
          <w:i/>
          <w:iCs/>
          <w:color w:val="000000" w:themeColor="text1"/>
          <w:sz w:val="24"/>
          <w:szCs w:val="24"/>
        </w:rPr>
      </w:pPr>
    </w:p>
    <w:p w14:paraId="223F129C" w14:textId="77777777" w:rsidR="007464A4" w:rsidRDefault="007464A4" w:rsidP="004942B6">
      <w:pPr>
        <w:spacing w:line="360" w:lineRule="auto"/>
        <w:jc w:val="both"/>
        <w:rPr>
          <w:rFonts w:ascii="Arial" w:hAnsi="Arial" w:cs="Arial"/>
          <w:i/>
          <w:iCs/>
          <w:color w:val="000000" w:themeColor="text1"/>
          <w:sz w:val="24"/>
          <w:szCs w:val="24"/>
        </w:rPr>
      </w:pPr>
    </w:p>
    <w:p w14:paraId="5B371C29" w14:textId="77777777" w:rsidR="007464A4" w:rsidRDefault="007464A4" w:rsidP="004942B6">
      <w:pPr>
        <w:spacing w:line="360" w:lineRule="auto"/>
        <w:jc w:val="both"/>
        <w:rPr>
          <w:rFonts w:ascii="Arial" w:hAnsi="Arial" w:cs="Arial"/>
          <w:i/>
          <w:iCs/>
          <w:color w:val="000000" w:themeColor="text1"/>
          <w:sz w:val="24"/>
          <w:szCs w:val="24"/>
        </w:rPr>
      </w:pPr>
    </w:p>
    <w:p w14:paraId="29C67E9D" w14:textId="385CF6A9" w:rsidR="004942B6" w:rsidRPr="003D64F5" w:rsidRDefault="004942B6" w:rsidP="004942B6">
      <w:pPr>
        <w:pStyle w:val="Caption"/>
        <w:keepNext/>
        <w:jc w:val="both"/>
        <w:rPr>
          <w:rFonts w:ascii="Arial" w:hAnsi="Arial" w:cs="Arial"/>
          <w:color w:val="000000" w:themeColor="text1"/>
          <w:sz w:val="20"/>
          <w:szCs w:val="20"/>
        </w:rPr>
      </w:pPr>
      <w:bookmarkStart w:id="769" w:name="_Toc135462263"/>
      <w:bookmarkStart w:id="770" w:name="_Toc136312357"/>
      <w:bookmarkStart w:id="771" w:name="_Toc136329093"/>
      <w:bookmarkStart w:id="772" w:name="_Toc151222936"/>
      <w:bookmarkStart w:id="773" w:name="_Toc151630619"/>
      <w:bookmarkStart w:id="774" w:name="_Toc152340579"/>
      <w:bookmarkStart w:id="775" w:name="_Toc152598055"/>
      <w:bookmarkStart w:id="776" w:name="_Toc153725841"/>
      <w:bookmarkStart w:id="777" w:name="_Toc159318284"/>
      <w:bookmarkStart w:id="778" w:name="_Toc159610319"/>
      <w:bookmarkStart w:id="779" w:name="_Toc164699076"/>
      <w:bookmarkStart w:id="780" w:name="_Toc171206719"/>
      <w:r w:rsidRPr="003D64F5">
        <w:rPr>
          <w:rFonts w:ascii="Arial" w:hAnsi="Arial" w:cs="Arial"/>
          <w:b/>
          <w:bCs/>
          <w:color w:val="000000" w:themeColor="text1"/>
          <w:sz w:val="20"/>
          <w:szCs w:val="20"/>
        </w:rPr>
        <w:lastRenderedPageBreak/>
        <w:t xml:space="preserve">Table </w:t>
      </w:r>
      <w:r w:rsidR="004E0578">
        <w:rPr>
          <w:rFonts w:ascii="Arial" w:hAnsi="Arial" w:cs="Arial"/>
          <w:b/>
          <w:bCs/>
          <w:color w:val="000000" w:themeColor="text1"/>
          <w:sz w:val="20"/>
          <w:szCs w:val="20"/>
        </w:rPr>
        <w:t>9</w:t>
      </w:r>
      <w:r w:rsidRPr="003D64F5">
        <w:rPr>
          <w:rFonts w:ascii="Arial" w:hAnsi="Arial" w:cs="Arial"/>
          <w:b/>
          <w:bCs/>
          <w:color w:val="000000" w:themeColor="text1"/>
          <w:sz w:val="20"/>
          <w:szCs w:val="20"/>
        </w:rPr>
        <w:t>:</w:t>
      </w:r>
      <w:r w:rsidRPr="003D64F5">
        <w:rPr>
          <w:rFonts w:ascii="Arial" w:hAnsi="Arial" w:cs="Arial"/>
          <w:color w:val="000000" w:themeColor="text1"/>
          <w:sz w:val="20"/>
          <w:szCs w:val="20"/>
        </w:rPr>
        <w:t xml:space="preserve"> Study Demographics (Values are mean ± SD and frequency with percentage when appropriate)</w:t>
      </w:r>
      <w:bookmarkEnd w:id="769"/>
      <w:bookmarkEnd w:id="770"/>
      <w:bookmarkEnd w:id="771"/>
      <w:bookmarkEnd w:id="772"/>
      <w:bookmarkEnd w:id="773"/>
      <w:bookmarkEnd w:id="774"/>
      <w:bookmarkEnd w:id="775"/>
      <w:bookmarkEnd w:id="776"/>
      <w:bookmarkEnd w:id="777"/>
      <w:bookmarkEnd w:id="778"/>
      <w:bookmarkEnd w:id="779"/>
      <w:bookmarkEnd w:id="780"/>
    </w:p>
    <w:tbl>
      <w:tblPr>
        <w:tblStyle w:val="TableGridLight"/>
        <w:tblW w:w="0" w:type="auto"/>
        <w:tblLook w:val="04A0" w:firstRow="1" w:lastRow="0" w:firstColumn="1" w:lastColumn="0" w:noHBand="0" w:noVBand="1"/>
      </w:tblPr>
      <w:tblGrid>
        <w:gridCol w:w="3256"/>
        <w:gridCol w:w="2754"/>
        <w:gridCol w:w="3006"/>
      </w:tblGrid>
      <w:tr w:rsidR="004942B6" w:rsidRPr="009222F3" w14:paraId="729E1089" w14:textId="77777777" w:rsidTr="002C2525">
        <w:tc>
          <w:tcPr>
            <w:tcW w:w="3256" w:type="dxa"/>
          </w:tcPr>
          <w:p w14:paraId="3EF4102C" w14:textId="77777777" w:rsidR="004942B6" w:rsidRPr="00BF624A" w:rsidRDefault="004942B6" w:rsidP="002C2525">
            <w:pPr>
              <w:spacing w:line="360" w:lineRule="auto"/>
              <w:rPr>
                <w:rFonts w:asciiTheme="minorBidi" w:hAnsiTheme="minorBidi"/>
                <w:b/>
                <w:bCs/>
                <w:color w:val="000000" w:themeColor="text1"/>
                <w:sz w:val="24"/>
                <w:szCs w:val="24"/>
              </w:rPr>
            </w:pPr>
            <w:r w:rsidRPr="00BF624A">
              <w:rPr>
                <w:rFonts w:asciiTheme="minorBidi" w:hAnsiTheme="minorBidi"/>
                <w:b/>
                <w:bCs/>
                <w:color w:val="000000" w:themeColor="text1"/>
                <w:sz w:val="24"/>
                <w:szCs w:val="24"/>
              </w:rPr>
              <w:t>Demographic Characteristics</w:t>
            </w:r>
          </w:p>
        </w:tc>
        <w:tc>
          <w:tcPr>
            <w:tcW w:w="2754" w:type="dxa"/>
          </w:tcPr>
          <w:p w14:paraId="341D383C" w14:textId="77777777" w:rsidR="004942B6" w:rsidRPr="00BF624A" w:rsidRDefault="004942B6" w:rsidP="002C2525">
            <w:pPr>
              <w:spacing w:line="360" w:lineRule="auto"/>
              <w:rPr>
                <w:rFonts w:asciiTheme="minorBidi" w:hAnsiTheme="minorBidi"/>
                <w:b/>
                <w:bCs/>
                <w:color w:val="000000" w:themeColor="text1"/>
                <w:sz w:val="24"/>
                <w:szCs w:val="24"/>
              </w:rPr>
            </w:pPr>
            <w:r w:rsidRPr="00BF624A">
              <w:rPr>
                <w:rFonts w:asciiTheme="minorBidi" w:hAnsiTheme="minorBidi"/>
                <w:b/>
                <w:bCs/>
                <w:color w:val="000000" w:themeColor="text1"/>
                <w:sz w:val="24"/>
                <w:szCs w:val="24"/>
              </w:rPr>
              <w:t>ACS (n=180)</w:t>
            </w:r>
          </w:p>
        </w:tc>
        <w:tc>
          <w:tcPr>
            <w:tcW w:w="3006" w:type="dxa"/>
          </w:tcPr>
          <w:p w14:paraId="60031DE0" w14:textId="77777777" w:rsidR="004942B6" w:rsidRPr="00BF624A" w:rsidRDefault="004942B6" w:rsidP="002C2525">
            <w:pPr>
              <w:spacing w:line="360" w:lineRule="auto"/>
              <w:rPr>
                <w:rFonts w:asciiTheme="minorBidi" w:hAnsiTheme="minorBidi"/>
                <w:b/>
                <w:bCs/>
                <w:color w:val="000000" w:themeColor="text1"/>
                <w:sz w:val="24"/>
                <w:szCs w:val="24"/>
              </w:rPr>
            </w:pPr>
            <w:r w:rsidRPr="00BF624A">
              <w:rPr>
                <w:rFonts w:asciiTheme="minorBidi" w:hAnsiTheme="minorBidi"/>
                <w:b/>
                <w:bCs/>
                <w:color w:val="000000" w:themeColor="text1"/>
                <w:sz w:val="24"/>
                <w:szCs w:val="24"/>
              </w:rPr>
              <w:t>CCS (n=86)</w:t>
            </w:r>
          </w:p>
        </w:tc>
      </w:tr>
      <w:tr w:rsidR="004942B6" w:rsidRPr="009222F3" w14:paraId="5468D214" w14:textId="77777777" w:rsidTr="002C2525">
        <w:tc>
          <w:tcPr>
            <w:tcW w:w="3256" w:type="dxa"/>
          </w:tcPr>
          <w:p w14:paraId="34ED42C5"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 xml:space="preserve">Age </w:t>
            </w:r>
            <w:r w:rsidRPr="00E42491">
              <w:rPr>
                <w:rFonts w:asciiTheme="minorBidi" w:hAnsiTheme="minorBidi"/>
                <w:color w:val="000000" w:themeColor="text1"/>
                <w:sz w:val="24"/>
                <w:szCs w:val="24"/>
                <w:shd w:val="clear" w:color="auto" w:fill="FFFFFF"/>
              </w:rPr>
              <w:t>±</w:t>
            </w:r>
            <w:r w:rsidRPr="00E42491">
              <w:rPr>
                <w:rFonts w:asciiTheme="minorBidi" w:hAnsiTheme="minorBidi"/>
                <w:color w:val="000000" w:themeColor="text1"/>
                <w:sz w:val="24"/>
                <w:szCs w:val="24"/>
              </w:rPr>
              <w:t xml:space="preserve"> SD</w:t>
            </w:r>
          </w:p>
        </w:tc>
        <w:tc>
          <w:tcPr>
            <w:tcW w:w="2754" w:type="dxa"/>
          </w:tcPr>
          <w:p w14:paraId="0D2741BB"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 xml:space="preserve">64 </w:t>
            </w:r>
            <w:r w:rsidRPr="00E42491">
              <w:rPr>
                <w:rFonts w:asciiTheme="minorBidi" w:hAnsiTheme="minorBidi"/>
                <w:color w:val="000000" w:themeColor="text1"/>
                <w:sz w:val="24"/>
                <w:szCs w:val="24"/>
                <w:shd w:val="clear" w:color="auto" w:fill="FFFFFF"/>
              </w:rPr>
              <w:t xml:space="preserve">± </w:t>
            </w:r>
            <w:r w:rsidRPr="00E42491">
              <w:rPr>
                <w:rFonts w:asciiTheme="minorBidi" w:hAnsiTheme="minorBidi"/>
                <w:color w:val="000000" w:themeColor="text1"/>
                <w:sz w:val="24"/>
                <w:szCs w:val="24"/>
              </w:rPr>
              <w:t>11.76 SD</w:t>
            </w:r>
          </w:p>
        </w:tc>
        <w:tc>
          <w:tcPr>
            <w:tcW w:w="3006" w:type="dxa"/>
          </w:tcPr>
          <w:p w14:paraId="36116552"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 xml:space="preserve">65.9 </w:t>
            </w:r>
            <w:r w:rsidRPr="00E42491">
              <w:rPr>
                <w:rFonts w:asciiTheme="minorBidi" w:hAnsiTheme="minorBidi"/>
                <w:color w:val="000000" w:themeColor="text1"/>
                <w:sz w:val="24"/>
                <w:szCs w:val="24"/>
                <w:shd w:val="clear" w:color="auto" w:fill="FFFFFF"/>
              </w:rPr>
              <w:t xml:space="preserve">± </w:t>
            </w:r>
            <w:r w:rsidRPr="00E42491">
              <w:rPr>
                <w:rFonts w:asciiTheme="minorBidi" w:hAnsiTheme="minorBidi"/>
                <w:color w:val="000000" w:themeColor="text1"/>
                <w:sz w:val="24"/>
                <w:szCs w:val="24"/>
              </w:rPr>
              <w:t>8.86 SD</w:t>
            </w:r>
          </w:p>
        </w:tc>
      </w:tr>
      <w:tr w:rsidR="004942B6" w:rsidRPr="009222F3" w14:paraId="52BA1298" w14:textId="77777777" w:rsidTr="002C2525">
        <w:tc>
          <w:tcPr>
            <w:tcW w:w="3256" w:type="dxa"/>
          </w:tcPr>
          <w:p w14:paraId="54503A8E" w14:textId="77777777" w:rsidR="004942B6" w:rsidRPr="00E42491" w:rsidRDefault="004942B6" w:rsidP="002C2525">
            <w:pPr>
              <w:spacing w:line="360" w:lineRule="auto"/>
              <w:rPr>
                <w:rFonts w:asciiTheme="minorBidi" w:hAnsiTheme="minorBidi"/>
                <w:color w:val="000000" w:themeColor="text1"/>
                <w:sz w:val="24"/>
                <w:szCs w:val="24"/>
              </w:rPr>
            </w:pPr>
            <w:r>
              <w:rPr>
                <w:rFonts w:asciiTheme="minorBidi" w:hAnsiTheme="minorBidi"/>
                <w:color w:val="000000" w:themeColor="text1"/>
                <w:sz w:val="24"/>
                <w:szCs w:val="24"/>
              </w:rPr>
              <w:t>M</w:t>
            </w:r>
            <w:r w:rsidRPr="00E42491">
              <w:rPr>
                <w:rFonts w:asciiTheme="minorBidi" w:hAnsiTheme="minorBidi"/>
                <w:color w:val="000000" w:themeColor="text1"/>
                <w:sz w:val="24"/>
                <w:szCs w:val="24"/>
              </w:rPr>
              <w:t>ale, n (%)</w:t>
            </w:r>
          </w:p>
        </w:tc>
        <w:tc>
          <w:tcPr>
            <w:tcW w:w="2754" w:type="dxa"/>
          </w:tcPr>
          <w:p w14:paraId="24E34C01"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127 (73.8%)</w:t>
            </w:r>
          </w:p>
        </w:tc>
        <w:tc>
          <w:tcPr>
            <w:tcW w:w="3006" w:type="dxa"/>
          </w:tcPr>
          <w:p w14:paraId="3EE783DA"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59 (74.7%)</w:t>
            </w:r>
          </w:p>
        </w:tc>
      </w:tr>
      <w:tr w:rsidR="004942B6" w:rsidRPr="009222F3" w14:paraId="2602D08E" w14:textId="77777777" w:rsidTr="002C2525">
        <w:tc>
          <w:tcPr>
            <w:tcW w:w="3256" w:type="dxa"/>
          </w:tcPr>
          <w:p w14:paraId="4768273C"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 xml:space="preserve">Female, </w:t>
            </w:r>
            <w:bookmarkStart w:id="781" w:name="OLE_LINK2"/>
            <w:r w:rsidRPr="00E42491">
              <w:rPr>
                <w:rFonts w:asciiTheme="minorBidi" w:hAnsiTheme="minorBidi"/>
                <w:color w:val="000000" w:themeColor="text1"/>
                <w:sz w:val="24"/>
                <w:szCs w:val="24"/>
              </w:rPr>
              <w:t>n (%)</w:t>
            </w:r>
            <w:bookmarkEnd w:id="781"/>
          </w:p>
        </w:tc>
        <w:tc>
          <w:tcPr>
            <w:tcW w:w="2754" w:type="dxa"/>
          </w:tcPr>
          <w:p w14:paraId="01B616B9"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4</w:t>
            </w:r>
            <w:r>
              <w:rPr>
                <w:rFonts w:asciiTheme="minorBidi" w:hAnsiTheme="minorBidi"/>
                <w:color w:val="000000" w:themeColor="text1"/>
                <w:sz w:val="24"/>
                <w:szCs w:val="24"/>
              </w:rPr>
              <w:t>5</w:t>
            </w:r>
            <w:r w:rsidRPr="00E42491">
              <w:rPr>
                <w:rFonts w:asciiTheme="minorBidi" w:hAnsiTheme="minorBidi"/>
                <w:color w:val="000000" w:themeColor="text1"/>
                <w:sz w:val="24"/>
                <w:szCs w:val="24"/>
              </w:rPr>
              <w:t xml:space="preserve"> (26.2%)</w:t>
            </w:r>
          </w:p>
        </w:tc>
        <w:tc>
          <w:tcPr>
            <w:tcW w:w="3006" w:type="dxa"/>
          </w:tcPr>
          <w:p w14:paraId="4192563A"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20 (25.3%)</w:t>
            </w:r>
          </w:p>
        </w:tc>
      </w:tr>
      <w:tr w:rsidR="004942B6" w:rsidRPr="009222F3" w14:paraId="49AA11CF" w14:textId="77777777" w:rsidTr="002C2525">
        <w:tc>
          <w:tcPr>
            <w:tcW w:w="3256" w:type="dxa"/>
          </w:tcPr>
          <w:p w14:paraId="5507AE21"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Diabetes, n (%)</w:t>
            </w:r>
          </w:p>
        </w:tc>
        <w:tc>
          <w:tcPr>
            <w:tcW w:w="2754" w:type="dxa"/>
          </w:tcPr>
          <w:p w14:paraId="22AFF9F6"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40 (23.3%)</w:t>
            </w:r>
          </w:p>
        </w:tc>
        <w:tc>
          <w:tcPr>
            <w:tcW w:w="3006" w:type="dxa"/>
          </w:tcPr>
          <w:p w14:paraId="54152144"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29 (36.7%)</w:t>
            </w:r>
          </w:p>
        </w:tc>
      </w:tr>
      <w:tr w:rsidR="004942B6" w:rsidRPr="009222F3" w14:paraId="7820A5BA" w14:textId="77777777" w:rsidTr="002C2525">
        <w:tc>
          <w:tcPr>
            <w:tcW w:w="3256" w:type="dxa"/>
          </w:tcPr>
          <w:p w14:paraId="1C79FF74"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Hypertension, n (%)</w:t>
            </w:r>
          </w:p>
        </w:tc>
        <w:tc>
          <w:tcPr>
            <w:tcW w:w="2754" w:type="dxa"/>
          </w:tcPr>
          <w:p w14:paraId="0F49C309"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104 (60.5%)</w:t>
            </w:r>
          </w:p>
        </w:tc>
        <w:tc>
          <w:tcPr>
            <w:tcW w:w="3006" w:type="dxa"/>
          </w:tcPr>
          <w:p w14:paraId="1BCBE519"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41 (51.9%)</w:t>
            </w:r>
          </w:p>
        </w:tc>
      </w:tr>
      <w:tr w:rsidR="004942B6" w:rsidRPr="009222F3" w14:paraId="24A72F0A" w14:textId="77777777" w:rsidTr="002C2525">
        <w:tc>
          <w:tcPr>
            <w:tcW w:w="3256" w:type="dxa"/>
          </w:tcPr>
          <w:p w14:paraId="1782D2E0"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Smoking history, n (%)</w:t>
            </w:r>
          </w:p>
        </w:tc>
        <w:tc>
          <w:tcPr>
            <w:tcW w:w="2754" w:type="dxa"/>
          </w:tcPr>
          <w:p w14:paraId="10E08A0F"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57 (33.1%)</w:t>
            </w:r>
          </w:p>
        </w:tc>
        <w:tc>
          <w:tcPr>
            <w:tcW w:w="3006" w:type="dxa"/>
          </w:tcPr>
          <w:p w14:paraId="111D1B26"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11 (13.9%)</w:t>
            </w:r>
          </w:p>
        </w:tc>
      </w:tr>
      <w:tr w:rsidR="004942B6" w:rsidRPr="009222F3" w14:paraId="6FE411A6" w14:textId="77777777" w:rsidTr="002C2525">
        <w:tc>
          <w:tcPr>
            <w:tcW w:w="3256" w:type="dxa"/>
          </w:tcPr>
          <w:p w14:paraId="3CC448E2"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Hypercholesterolemia, n (%)</w:t>
            </w:r>
          </w:p>
        </w:tc>
        <w:tc>
          <w:tcPr>
            <w:tcW w:w="2754" w:type="dxa"/>
          </w:tcPr>
          <w:p w14:paraId="512CCD0F"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99 (57.6%)</w:t>
            </w:r>
          </w:p>
        </w:tc>
        <w:tc>
          <w:tcPr>
            <w:tcW w:w="3006" w:type="dxa"/>
          </w:tcPr>
          <w:p w14:paraId="3EC392D0"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45 (57%)</w:t>
            </w:r>
          </w:p>
        </w:tc>
      </w:tr>
      <w:tr w:rsidR="004942B6" w:rsidRPr="009222F3" w14:paraId="4AF09002" w14:textId="77777777" w:rsidTr="002C2525">
        <w:tc>
          <w:tcPr>
            <w:tcW w:w="3256" w:type="dxa"/>
          </w:tcPr>
          <w:p w14:paraId="1B85F036"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Stroke, n (%)</w:t>
            </w:r>
          </w:p>
        </w:tc>
        <w:tc>
          <w:tcPr>
            <w:tcW w:w="2754" w:type="dxa"/>
          </w:tcPr>
          <w:p w14:paraId="7C5D1876"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9 (5.2%)</w:t>
            </w:r>
          </w:p>
        </w:tc>
        <w:tc>
          <w:tcPr>
            <w:tcW w:w="3006" w:type="dxa"/>
          </w:tcPr>
          <w:p w14:paraId="1A8066B3"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6 (7.59%)</w:t>
            </w:r>
          </w:p>
        </w:tc>
      </w:tr>
      <w:tr w:rsidR="004942B6" w:rsidRPr="009222F3" w14:paraId="756AF8DF" w14:textId="77777777" w:rsidTr="002C2525">
        <w:tc>
          <w:tcPr>
            <w:tcW w:w="3256" w:type="dxa"/>
          </w:tcPr>
          <w:p w14:paraId="09D1724C"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Previous MI, n (%)</w:t>
            </w:r>
          </w:p>
        </w:tc>
        <w:tc>
          <w:tcPr>
            <w:tcW w:w="2754" w:type="dxa"/>
          </w:tcPr>
          <w:p w14:paraId="431A91B8"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30 (17.4%)</w:t>
            </w:r>
          </w:p>
        </w:tc>
        <w:tc>
          <w:tcPr>
            <w:tcW w:w="3006" w:type="dxa"/>
          </w:tcPr>
          <w:p w14:paraId="6D551DF4" w14:textId="77777777" w:rsidR="004942B6" w:rsidRPr="00E42491" w:rsidRDefault="004942B6" w:rsidP="002C2525">
            <w:pPr>
              <w:spacing w:line="360" w:lineRule="auto"/>
              <w:rPr>
                <w:rFonts w:asciiTheme="minorBidi" w:hAnsiTheme="minorBidi"/>
                <w:color w:val="000000" w:themeColor="text1"/>
                <w:sz w:val="24"/>
                <w:szCs w:val="24"/>
              </w:rPr>
            </w:pPr>
            <w:r w:rsidRPr="00E42491">
              <w:rPr>
                <w:rFonts w:asciiTheme="minorBidi" w:hAnsiTheme="minorBidi"/>
                <w:color w:val="000000" w:themeColor="text1"/>
                <w:sz w:val="24"/>
                <w:szCs w:val="24"/>
              </w:rPr>
              <w:t>19 (24.1%)</w:t>
            </w:r>
          </w:p>
        </w:tc>
      </w:tr>
      <w:tr w:rsidR="004942B6" w:rsidRPr="009222F3" w14:paraId="084ADFC8" w14:textId="77777777" w:rsidTr="002C2525">
        <w:tc>
          <w:tcPr>
            <w:tcW w:w="3256" w:type="dxa"/>
          </w:tcPr>
          <w:p w14:paraId="23DA7E1F" w14:textId="77777777" w:rsidR="004942B6" w:rsidRPr="00BF624A" w:rsidRDefault="004942B6" w:rsidP="002C2525">
            <w:pPr>
              <w:spacing w:line="360" w:lineRule="auto"/>
              <w:rPr>
                <w:rFonts w:asciiTheme="minorBidi" w:hAnsiTheme="minorBidi"/>
                <w:color w:val="000000" w:themeColor="text1"/>
                <w:sz w:val="24"/>
                <w:szCs w:val="24"/>
              </w:rPr>
            </w:pPr>
            <w:r w:rsidRPr="00BF624A">
              <w:rPr>
                <w:rFonts w:asciiTheme="minorBidi" w:hAnsiTheme="minorBidi"/>
                <w:color w:val="000000" w:themeColor="text1"/>
                <w:sz w:val="24"/>
                <w:szCs w:val="24"/>
              </w:rPr>
              <w:t>Peripheral Vascular Disease, n (%)</w:t>
            </w:r>
          </w:p>
        </w:tc>
        <w:tc>
          <w:tcPr>
            <w:tcW w:w="2754" w:type="dxa"/>
          </w:tcPr>
          <w:p w14:paraId="10252F86" w14:textId="77777777" w:rsidR="004942B6" w:rsidRPr="00BF624A" w:rsidRDefault="004942B6" w:rsidP="002C2525">
            <w:pPr>
              <w:spacing w:line="360" w:lineRule="auto"/>
              <w:rPr>
                <w:rFonts w:asciiTheme="minorBidi" w:hAnsiTheme="minorBidi"/>
                <w:color w:val="000000" w:themeColor="text1"/>
                <w:sz w:val="24"/>
                <w:szCs w:val="24"/>
              </w:rPr>
            </w:pPr>
            <w:r w:rsidRPr="00BF624A">
              <w:rPr>
                <w:rFonts w:asciiTheme="minorBidi" w:hAnsiTheme="minorBidi"/>
                <w:color w:val="000000" w:themeColor="text1"/>
                <w:sz w:val="24"/>
                <w:szCs w:val="24"/>
              </w:rPr>
              <w:t>3 (1.7%)</w:t>
            </w:r>
          </w:p>
        </w:tc>
        <w:tc>
          <w:tcPr>
            <w:tcW w:w="3006" w:type="dxa"/>
          </w:tcPr>
          <w:p w14:paraId="7D9CED5C" w14:textId="77777777" w:rsidR="004942B6" w:rsidRPr="00BF624A" w:rsidRDefault="004942B6" w:rsidP="002C2525">
            <w:pPr>
              <w:spacing w:line="360" w:lineRule="auto"/>
              <w:rPr>
                <w:rFonts w:asciiTheme="minorBidi" w:hAnsiTheme="minorBidi"/>
                <w:color w:val="000000" w:themeColor="text1"/>
                <w:sz w:val="24"/>
                <w:szCs w:val="24"/>
              </w:rPr>
            </w:pPr>
            <w:r w:rsidRPr="00BF624A">
              <w:rPr>
                <w:rFonts w:asciiTheme="minorBidi" w:hAnsiTheme="minorBidi"/>
                <w:color w:val="000000" w:themeColor="text1"/>
                <w:sz w:val="24"/>
                <w:szCs w:val="24"/>
              </w:rPr>
              <w:t>2 (2.53%)</w:t>
            </w:r>
          </w:p>
        </w:tc>
      </w:tr>
    </w:tbl>
    <w:p w14:paraId="3B77AAC9" w14:textId="77777777" w:rsidR="004942B6" w:rsidRDefault="004942B6" w:rsidP="004942B6">
      <w:pPr>
        <w:rPr>
          <w:noProof/>
          <w:color w:val="000000" w:themeColor="text1"/>
        </w:rPr>
      </w:pPr>
    </w:p>
    <w:p w14:paraId="5C3E86A1" w14:textId="77777777" w:rsidR="007464A4" w:rsidRPr="009222F3" w:rsidRDefault="007464A4" w:rsidP="004942B6">
      <w:pPr>
        <w:rPr>
          <w:noProof/>
          <w:color w:val="000000" w:themeColor="text1"/>
        </w:rPr>
      </w:pPr>
    </w:p>
    <w:p w14:paraId="78DFC485" w14:textId="77777777" w:rsidR="004942B6" w:rsidRPr="009222F3" w:rsidRDefault="004942B6" w:rsidP="004942B6">
      <w:pPr>
        <w:keepNext/>
        <w:rPr>
          <w:color w:val="000000" w:themeColor="text1"/>
        </w:rPr>
      </w:pPr>
      <w:r w:rsidRPr="009222F3">
        <w:rPr>
          <w:noProof/>
          <w:color w:val="000000" w:themeColor="text1"/>
          <w:lang w:eastAsia="en-GB"/>
        </w:rPr>
        <w:drawing>
          <wp:inline distT="0" distB="0" distL="0" distR="0" wp14:anchorId="04B41438" wp14:editId="0B785647">
            <wp:extent cx="4919490" cy="3169920"/>
            <wp:effectExtent l="0" t="0" r="0" b="0"/>
            <wp:docPr id="50" name="Picture 50" descr="A graph of age distribu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aph of age distribution&#10;&#10;Description automatically generated with low confidence"/>
                    <pic:cNvPicPr/>
                  </pic:nvPicPr>
                  <pic:blipFill rotWithShape="1">
                    <a:blip r:embed="rId42" cstate="print">
                      <a:extLst>
                        <a:ext uri="{28A0092B-C50C-407E-A947-70E740481C1C}">
                          <a14:useLocalDpi xmlns:a14="http://schemas.microsoft.com/office/drawing/2010/main" val="0"/>
                        </a:ext>
                      </a:extLst>
                    </a:blip>
                    <a:srcRect l="12232" t="10826" r="18236" b="25166"/>
                    <a:stretch/>
                  </pic:blipFill>
                  <pic:spPr bwMode="auto">
                    <a:xfrm>
                      <a:off x="0" y="0"/>
                      <a:ext cx="4929550" cy="3176402"/>
                    </a:xfrm>
                    <a:prstGeom prst="rect">
                      <a:avLst/>
                    </a:prstGeom>
                    <a:ln>
                      <a:noFill/>
                    </a:ln>
                    <a:extLst>
                      <a:ext uri="{53640926-AAD7-44D8-BBD7-CCE9431645EC}">
                        <a14:shadowObscured xmlns:a14="http://schemas.microsoft.com/office/drawing/2010/main"/>
                      </a:ext>
                    </a:extLst>
                  </pic:spPr>
                </pic:pic>
              </a:graphicData>
            </a:graphic>
          </wp:inline>
        </w:drawing>
      </w:r>
    </w:p>
    <w:p w14:paraId="3B832AE9" w14:textId="1F59221E" w:rsidR="004942B6" w:rsidRPr="00FA2D46" w:rsidRDefault="004942B6" w:rsidP="004942B6">
      <w:pPr>
        <w:pStyle w:val="Caption"/>
        <w:jc w:val="both"/>
        <w:rPr>
          <w:rFonts w:ascii="Arial" w:hAnsi="Arial" w:cs="Arial"/>
          <w:color w:val="000000" w:themeColor="text1"/>
          <w:sz w:val="20"/>
          <w:szCs w:val="20"/>
        </w:rPr>
      </w:pPr>
      <w:bookmarkStart w:id="782" w:name="_Toc152492270"/>
      <w:bookmarkStart w:id="783" w:name="_Toc152596957"/>
      <w:bookmarkStart w:id="784" w:name="_Toc153409664"/>
      <w:bookmarkStart w:id="785" w:name="_Toc153724911"/>
      <w:bookmarkStart w:id="786" w:name="_Toc159318497"/>
      <w:bookmarkStart w:id="787" w:name="_Toc159612023"/>
      <w:bookmarkStart w:id="788" w:name="_Toc160982669"/>
      <w:bookmarkStart w:id="789" w:name="_Toc164697495"/>
      <w:bookmarkStart w:id="790" w:name="_Toc170744587"/>
      <w:bookmarkStart w:id="791" w:name="_Toc196153217"/>
      <w:bookmarkStart w:id="792" w:name="_Toc135331836"/>
      <w:bookmarkStart w:id="793" w:name="_Toc145055731"/>
      <w:bookmarkStart w:id="794" w:name="_Toc150518906"/>
      <w:bookmarkStart w:id="795" w:name="_Toc151222843"/>
      <w:bookmarkStart w:id="796" w:name="_Toc151626683"/>
      <w:bookmarkStart w:id="797" w:name="_Toc152340477"/>
      <w:r w:rsidRPr="00FA2D46">
        <w:rPr>
          <w:rFonts w:ascii="Arial" w:hAnsi="Arial" w:cs="Arial"/>
          <w:b/>
          <w:bCs/>
          <w:color w:val="000000" w:themeColor="text1"/>
          <w:sz w:val="20"/>
          <w:szCs w:val="20"/>
        </w:rPr>
        <w:t xml:space="preserve">Figure </w:t>
      </w:r>
      <w:r w:rsidRPr="00FA2D46">
        <w:rPr>
          <w:rFonts w:ascii="Arial" w:hAnsi="Arial" w:cs="Arial"/>
          <w:b/>
          <w:bCs/>
          <w:color w:val="000000" w:themeColor="text1"/>
          <w:sz w:val="20"/>
          <w:szCs w:val="20"/>
        </w:rPr>
        <w:fldChar w:fldCharType="begin"/>
      </w:r>
      <w:r w:rsidRPr="00FA2D46">
        <w:rPr>
          <w:rFonts w:ascii="Arial" w:hAnsi="Arial" w:cs="Arial"/>
          <w:b/>
          <w:bCs/>
          <w:color w:val="000000" w:themeColor="text1"/>
          <w:sz w:val="20"/>
          <w:szCs w:val="20"/>
        </w:rPr>
        <w:instrText xml:space="preserve"> SEQ Figure \* ARABIC </w:instrText>
      </w:r>
      <w:r w:rsidRPr="00FA2D46">
        <w:rPr>
          <w:rFonts w:ascii="Arial" w:hAnsi="Arial" w:cs="Arial"/>
          <w:b/>
          <w:bCs/>
          <w:color w:val="000000" w:themeColor="text1"/>
          <w:sz w:val="20"/>
          <w:szCs w:val="20"/>
        </w:rPr>
        <w:fldChar w:fldCharType="separate"/>
      </w:r>
      <w:r w:rsidR="001823B4">
        <w:rPr>
          <w:rFonts w:ascii="Arial" w:hAnsi="Arial" w:cs="Arial"/>
          <w:b/>
          <w:bCs/>
          <w:noProof/>
          <w:color w:val="000000" w:themeColor="text1"/>
          <w:sz w:val="20"/>
          <w:szCs w:val="20"/>
        </w:rPr>
        <w:t>25</w:t>
      </w:r>
      <w:r w:rsidRPr="00FA2D46">
        <w:rPr>
          <w:rFonts w:ascii="Arial" w:hAnsi="Arial" w:cs="Arial"/>
          <w:b/>
          <w:bCs/>
          <w:noProof/>
          <w:color w:val="000000" w:themeColor="text1"/>
          <w:sz w:val="20"/>
          <w:szCs w:val="20"/>
        </w:rPr>
        <w:fldChar w:fldCharType="end"/>
      </w:r>
      <w:r w:rsidRPr="00FA2D46">
        <w:rPr>
          <w:rFonts w:ascii="Arial" w:hAnsi="Arial" w:cs="Arial"/>
          <w:b/>
          <w:bCs/>
          <w:color w:val="000000" w:themeColor="text1"/>
          <w:sz w:val="20"/>
          <w:szCs w:val="20"/>
        </w:rPr>
        <w:t>:</w:t>
      </w:r>
      <w:r w:rsidRPr="00FA2D46">
        <w:rPr>
          <w:rFonts w:ascii="Arial" w:hAnsi="Arial" w:cs="Arial"/>
          <w:color w:val="000000" w:themeColor="text1"/>
          <w:sz w:val="20"/>
          <w:szCs w:val="20"/>
        </w:rPr>
        <w:t xml:space="preserve"> Age distribution graph showing Gaussian distribution for both ACS (n=180) and CCS (n=86) groups</w:t>
      </w:r>
      <w:bookmarkEnd w:id="782"/>
      <w:bookmarkEnd w:id="783"/>
      <w:bookmarkEnd w:id="784"/>
      <w:bookmarkEnd w:id="785"/>
      <w:bookmarkEnd w:id="786"/>
      <w:bookmarkEnd w:id="787"/>
      <w:bookmarkEnd w:id="788"/>
      <w:bookmarkEnd w:id="789"/>
      <w:bookmarkEnd w:id="790"/>
      <w:bookmarkEnd w:id="791"/>
      <w:r w:rsidRPr="00FA2D46">
        <w:rPr>
          <w:rFonts w:ascii="Arial" w:hAnsi="Arial" w:cs="Arial"/>
          <w:color w:val="000000" w:themeColor="text1"/>
          <w:sz w:val="20"/>
          <w:szCs w:val="20"/>
        </w:rPr>
        <w:t xml:space="preserve"> </w:t>
      </w:r>
      <w:bookmarkEnd w:id="792"/>
      <w:bookmarkEnd w:id="793"/>
      <w:bookmarkEnd w:id="794"/>
      <w:bookmarkEnd w:id="795"/>
      <w:bookmarkEnd w:id="796"/>
      <w:bookmarkEnd w:id="797"/>
    </w:p>
    <w:p w14:paraId="79530BEC" w14:textId="6A2F8F37" w:rsidR="004942B6" w:rsidRPr="005A1FA6" w:rsidRDefault="004942B6" w:rsidP="004942B6">
      <w:pPr>
        <w:pStyle w:val="Heading3"/>
        <w:spacing w:line="360" w:lineRule="auto"/>
        <w:rPr>
          <w:color w:val="000000" w:themeColor="text1"/>
        </w:rPr>
      </w:pPr>
      <w:r w:rsidRPr="009222F3">
        <w:rPr>
          <w:color w:val="000000" w:themeColor="text1"/>
        </w:rPr>
        <w:lastRenderedPageBreak/>
        <w:t xml:space="preserve"> </w:t>
      </w:r>
      <w:bookmarkStart w:id="798" w:name="_Toc170076066"/>
      <w:bookmarkStart w:id="799" w:name="_Toc171203140"/>
      <w:bookmarkStart w:id="800" w:name="_Toc171203911"/>
      <w:r w:rsidRPr="00202966">
        <w:rPr>
          <w:rFonts w:ascii="Arial" w:hAnsi="Arial" w:cs="Arial"/>
          <w:color w:val="4472C4" w:themeColor="accent1"/>
          <w:sz w:val="24"/>
          <w:szCs w:val="24"/>
        </w:rPr>
        <w:t>3.1.3 Major adverse cardiovascular events (MACE)</w:t>
      </w:r>
      <w:bookmarkEnd w:id="798"/>
      <w:bookmarkEnd w:id="799"/>
      <w:bookmarkEnd w:id="800"/>
    </w:p>
    <w:p w14:paraId="01FD50CD" w14:textId="01148E71" w:rsidR="004942B6" w:rsidRPr="00202966" w:rsidRDefault="004942B6" w:rsidP="004942B6">
      <w:pPr>
        <w:spacing w:line="360" w:lineRule="auto"/>
        <w:jc w:val="both"/>
        <w:rPr>
          <w:rFonts w:ascii="Arial" w:hAnsi="Arial" w:cs="Arial"/>
          <w:sz w:val="24"/>
          <w:szCs w:val="24"/>
        </w:rPr>
      </w:pPr>
      <w:r w:rsidRPr="00202966">
        <w:rPr>
          <w:rFonts w:ascii="Arial" w:hAnsi="Arial" w:cs="Arial"/>
          <w:sz w:val="24"/>
          <w:szCs w:val="24"/>
        </w:rPr>
        <w:t xml:space="preserve">The </w:t>
      </w:r>
      <w:r w:rsidR="00BA0BE3">
        <w:rPr>
          <w:rFonts w:ascii="Arial" w:hAnsi="Arial" w:cs="Arial"/>
          <w:sz w:val="24"/>
          <w:szCs w:val="24"/>
        </w:rPr>
        <w:t xml:space="preserve">three-point </w:t>
      </w:r>
      <w:r w:rsidRPr="00202966">
        <w:rPr>
          <w:rFonts w:ascii="Arial" w:hAnsi="Arial" w:cs="Arial"/>
          <w:sz w:val="24"/>
          <w:szCs w:val="24"/>
        </w:rPr>
        <w:t xml:space="preserve">MACE events </w:t>
      </w:r>
      <w:r w:rsidR="0027424E">
        <w:rPr>
          <w:rFonts w:ascii="Arial" w:hAnsi="Arial" w:cs="Arial"/>
          <w:sz w:val="24"/>
          <w:szCs w:val="24"/>
        </w:rPr>
        <w:t xml:space="preserve">(including death, MI, and stroke) </w:t>
      </w:r>
      <w:r w:rsidR="00BA0BE3">
        <w:rPr>
          <w:rFonts w:ascii="Arial" w:hAnsi="Arial" w:cs="Arial"/>
          <w:sz w:val="24"/>
          <w:szCs w:val="24"/>
        </w:rPr>
        <w:t>were evaluated</w:t>
      </w:r>
      <w:r w:rsidR="0027424E">
        <w:rPr>
          <w:rFonts w:ascii="Arial" w:hAnsi="Arial" w:cs="Arial"/>
          <w:sz w:val="24"/>
          <w:szCs w:val="24"/>
        </w:rPr>
        <w:t xml:space="preserve"> at one year</w:t>
      </w:r>
      <w:r w:rsidR="00BA0BE3">
        <w:rPr>
          <w:rFonts w:ascii="Arial" w:hAnsi="Arial" w:cs="Arial"/>
          <w:sz w:val="24"/>
          <w:szCs w:val="24"/>
        </w:rPr>
        <w:t xml:space="preserve"> and </w:t>
      </w:r>
      <w:r w:rsidRPr="00202966">
        <w:rPr>
          <w:rFonts w:ascii="Arial" w:hAnsi="Arial" w:cs="Arial"/>
          <w:sz w:val="24"/>
          <w:szCs w:val="24"/>
        </w:rPr>
        <w:t>are shown in Table 10.</w:t>
      </w:r>
    </w:p>
    <w:p w14:paraId="6E1189E2" w14:textId="77777777" w:rsidR="004942B6" w:rsidRDefault="004942B6" w:rsidP="004942B6">
      <w:pPr>
        <w:spacing w:line="360" w:lineRule="auto"/>
        <w:jc w:val="both"/>
        <w:rPr>
          <w:rFonts w:ascii="Arial" w:hAnsi="Arial" w:cs="Arial"/>
          <w:sz w:val="24"/>
          <w:szCs w:val="24"/>
        </w:rPr>
      </w:pPr>
    </w:p>
    <w:p w14:paraId="31E392E6" w14:textId="5DED9C12" w:rsidR="004942B6" w:rsidRPr="0076347C" w:rsidRDefault="004942B6" w:rsidP="004942B6">
      <w:pPr>
        <w:pStyle w:val="Caption"/>
        <w:keepNext/>
        <w:rPr>
          <w:rFonts w:ascii="Arial" w:hAnsi="Arial" w:cs="Arial"/>
          <w:color w:val="auto"/>
          <w:sz w:val="20"/>
          <w:szCs w:val="20"/>
        </w:rPr>
      </w:pPr>
      <w:bookmarkStart w:id="801" w:name="_Toc136312358"/>
      <w:bookmarkStart w:id="802" w:name="_Toc136329094"/>
      <w:bookmarkStart w:id="803" w:name="_Toc151222937"/>
      <w:bookmarkStart w:id="804" w:name="_Toc151630620"/>
      <w:bookmarkStart w:id="805" w:name="_Toc152340580"/>
      <w:bookmarkStart w:id="806" w:name="_Toc152598056"/>
      <w:bookmarkStart w:id="807" w:name="_Toc153725842"/>
      <w:bookmarkStart w:id="808" w:name="_Toc159318285"/>
      <w:bookmarkStart w:id="809" w:name="_Toc159610320"/>
      <w:bookmarkStart w:id="810" w:name="_Toc164699077"/>
      <w:bookmarkStart w:id="811" w:name="_Toc171206720"/>
      <w:r w:rsidRPr="00B64715">
        <w:rPr>
          <w:rFonts w:ascii="Arial" w:hAnsi="Arial" w:cs="Arial"/>
          <w:b/>
          <w:bCs/>
          <w:color w:val="auto"/>
          <w:sz w:val="20"/>
          <w:szCs w:val="20"/>
        </w:rPr>
        <w:t xml:space="preserve">Table </w:t>
      </w:r>
      <w:r w:rsidR="004E0578">
        <w:rPr>
          <w:rFonts w:ascii="Arial" w:hAnsi="Arial" w:cs="Arial"/>
          <w:b/>
          <w:bCs/>
          <w:color w:val="auto"/>
          <w:sz w:val="20"/>
          <w:szCs w:val="20"/>
        </w:rPr>
        <w:t>10</w:t>
      </w:r>
      <w:r w:rsidRPr="0076347C">
        <w:rPr>
          <w:rFonts w:ascii="Arial" w:hAnsi="Arial" w:cs="Arial"/>
          <w:color w:val="auto"/>
          <w:sz w:val="20"/>
          <w:szCs w:val="20"/>
        </w:rPr>
        <w:t xml:space="preserve">: Summary of MACE in </w:t>
      </w:r>
      <w:bookmarkEnd w:id="801"/>
      <w:bookmarkEnd w:id="802"/>
      <w:bookmarkEnd w:id="803"/>
      <w:bookmarkEnd w:id="804"/>
      <w:bookmarkEnd w:id="805"/>
      <w:r>
        <w:rPr>
          <w:rFonts w:ascii="Arial" w:hAnsi="Arial" w:cs="Arial"/>
          <w:color w:val="auto"/>
          <w:sz w:val="20"/>
          <w:szCs w:val="20"/>
        </w:rPr>
        <w:t>VIRTU-4</w:t>
      </w:r>
      <w:bookmarkEnd w:id="806"/>
      <w:bookmarkEnd w:id="807"/>
      <w:bookmarkEnd w:id="808"/>
      <w:bookmarkEnd w:id="809"/>
      <w:bookmarkEnd w:id="810"/>
      <w:bookmarkEnd w:id="811"/>
    </w:p>
    <w:tbl>
      <w:tblPr>
        <w:tblStyle w:val="TableGrid"/>
        <w:tblW w:w="9192" w:type="dxa"/>
        <w:tblLook w:val="04A0" w:firstRow="1" w:lastRow="0" w:firstColumn="1" w:lastColumn="0" w:noHBand="0" w:noVBand="1"/>
      </w:tblPr>
      <w:tblGrid>
        <w:gridCol w:w="2298"/>
        <w:gridCol w:w="2298"/>
        <w:gridCol w:w="2298"/>
        <w:gridCol w:w="2298"/>
      </w:tblGrid>
      <w:tr w:rsidR="004942B6" w:rsidRPr="009222F3" w14:paraId="29141478" w14:textId="77777777" w:rsidTr="002C2525">
        <w:trPr>
          <w:trHeight w:val="572"/>
        </w:trPr>
        <w:tc>
          <w:tcPr>
            <w:tcW w:w="2298" w:type="dxa"/>
            <w:vMerge w:val="restart"/>
          </w:tcPr>
          <w:p w14:paraId="02874C6A" w14:textId="77777777" w:rsidR="004942B6" w:rsidRPr="00523921" w:rsidRDefault="004942B6" w:rsidP="002C2525">
            <w:pPr>
              <w:spacing w:line="360" w:lineRule="auto"/>
              <w:jc w:val="both"/>
              <w:rPr>
                <w:rFonts w:ascii="Arial" w:hAnsi="Arial" w:cs="Arial"/>
                <w:color w:val="000000" w:themeColor="text1"/>
                <w:sz w:val="24"/>
                <w:szCs w:val="24"/>
              </w:rPr>
            </w:pPr>
          </w:p>
          <w:p w14:paraId="1B8B1D3B" w14:textId="77777777" w:rsidR="004942B6" w:rsidRPr="00523921" w:rsidRDefault="004942B6" w:rsidP="002C2525">
            <w:pPr>
              <w:spacing w:line="360" w:lineRule="auto"/>
              <w:jc w:val="both"/>
              <w:rPr>
                <w:rFonts w:ascii="Arial" w:hAnsi="Arial" w:cs="Arial"/>
                <w:color w:val="000000" w:themeColor="text1"/>
                <w:sz w:val="24"/>
                <w:szCs w:val="24"/>
              </w:rPr>
            </w:pPr>
          </w:p>
          <w:p w14:paraId="42ED260B" w14:textId="77777777" w:rsidR="004942B6" w:rsidRPr="00E42491" w:rsidRDefault="004942B6" w:rsidP="002C2525">
            <w:pPr>
              <w:spacing w:line="360" w:lineRule="auto"/>
              <w:jc w:val="both"/>
              <w:rPr>
                <w:rFonts w:ascii="Arial" w:hAnsi="Arial" w:cs="Arial"/>
                <w:b/>
                <w:bCs/>
                <w:color w:val="000000" w:themeColor="text1"/>
                <w:sz w:val="24"/>
                <w:szCs w:val="24"/>
              </w:rPr>
            </w:pPr>
            <w:r w:rsidRPr="00523921">
              <w:rPr>
                <w:rFonts w:ascii="Arial" w:hAnsi="Arial" w:cs="Arial"/>
                <w:color w:val="000000" w:themeColor="text1"/>
                <w:sz w:val="24"/>
                <w:szCs w:val="24"/>
              </w:rPr>
              <w:t xml:space="preserve">        </w:t>
            </w:r>
            <w:r w:rsidRPr="00E42491">
              <w:rPr>
                <w:rFonts w:ascii="Arial" w:hAnsi="Arial" w:cs="Arial"/>
                <w:b/>
                <w:bCs/>
                <w:color w:val="000000" w:themeColor="text1"/>
                <w:sz w:val="24"/>
                <w:szCs w:val="24"/>
              </w:rPr>
              <w:t>MACE</w:t>
            </w:r>
          </w:p>
        </w:tc>
        <w:tc>
          <w:tcPr>
            <w:tcW w:w="2298" w:type="dxa"/>
          </w:tcPr>
          <w:p w14:paraId="1ED95B06" w14:textId="77777777" w:rsidR="004942B6" w:rsidRPr="00E42491" w:rsidRDefault="004942B6" w:rsidP="002C2525">
            <w:pPr>
              <w:spacing w:line="360" w:lineRule="auto"/>
              <w:jc w:val="both"/>
              <w:rPr>
                <w:rFonts w:ascii="Arial" w:hAnsi="Arial" w:cs="Arial"/>
                <w:b/>
                <w:bCs/>
                <w:color w:val="000000" w:themeColor="text1"/>
                <w:sz w:val="24"/>
                <w:szCs w:val="24"/>
              </w:rPr>
            </w:pPr>
            <w:r w:rsidRPr="00E42491">
              <w:rPr>
                <w:rFonts w:ascii="Arial" w:hAnsi="Arial" w:cs="Arial"/>
                <w:b/>
                <w:bCs/>
                <w:color w:val="000000" w:themeColor="text1"/>
                <w:sz w:val="24"/>
                <w:szCs w:val="24"/>
              </w:rPr>
              <w:t>Details</w:t>
            </w:r>
          </w:p>
        </w:tc>
        <w:tc>
          <w:tcPr>
            <w:tcW w:w="2298" w:type="dxa"/>
          </w:tcPr>
          <w:p w14:paraId="1385C5A8" w14:textId="77777777" w:rsidR="004942B6" w:rsidRPr="00E42491" w:rsidRDefault="004942B6" w:rsidP="002C2525">
            <w:pPr>
              <w:spacing w:line="360" w:lineRule="auto"/>
              <w:jc w:val="both"/>
              <w:rPr>
                <w:rFonts w:ascii="Arial" w:hAnsi="Arial" w:cs="Arial"/>
                <w:b/>
                <w:bCs/>
                <w:color w:val="000000" w:themeColor="text1"/>
                <w:sz w:val="24"/>
                <w:szCs w:val="24"/>
              </w:rPr>
            </w:pPr>
            <w:r w:rsidRPr="00E42491">
              <w:rPr>
                <w:rFonts w:ascii="Arial" w:hAnsi="Arial" w:cs="Arial"/>
                <w:b/>
                <w:bCs/>
                <w:color w:val="000000" w:themeColor="text1"/>
                <w:sz w:val="24"/>
                <w:szCs w:val="24"/>
              </w:rPr>
              <w:t>ACS n (%)</w:t>
            </w:r>
          </w:p>
        </w:tc>
        <w:tc>
          <w:tcPr>
            <w:tcW w:w="2298" w:type="dxa"/>
          </w:tcPr>
          <w:p w14:paraId="0DFC74A8" w14:textId="77777777" w:rsidR="004942B6" w:rsidRPr="00E42491" w:rsidRDefault="004942B6" w:rsidP="002C2525">
            <w:pPr>
              <w:spacing w:line="360" w:lineRule="auto"/>
              <w:jc w:val="both"/>
              <w:rPr>
                <w:rFonts w:ascii="Arial" w:hAnsi="Arial" w:cs="Arial"/>
                <w:b/>
                <w:bCs/>
                <w:color w:val="000000" w:themeColor="text1"/>
                <w:sz w:val="24"/>
                <w:szCs w:val="24"/>
              </w:rPr>
            </w:pPr>
            <w:r w:rsidRPr="00E42491">
              <w:rPr>
                <w:rFonts w:ascii="Arial" w:hAnsi="Arial" w:cs="Arial"/>
                <w:b/>
                <w:bCs/>
                <w:color w:val="000000" w:themeColor="text1"/>
                <w:sz w:val="24"/>
                <w:szCs w:val="24"/>
              </w:rPr>
              <w:t>CCS n (%)</w:t>
            </w:r>
          </w:p>
        </w:tc>
      </w:tr>
      <w:tr w:rsidR="004942B6" w:rsidRPr="009222F3" w14:paraId="045AB217" w14:textId="77777777" w:rsidTr="002C2525">
        <w:trPr>
          <w:trHeight w:val="1217"/>
        </w:trPr>
        <w:tc>
          <w:tcPr>
            <w:tcW w:w="2298" w:type="dxa"/>
            <w:vMerge/>
          </w:tcPr>
          <w:p w14:paraId="0262055B" w14:textId="77777777" w:rsidR="004942B6" w:rsidRPr="00523921" w:rsidRDefault="004942B6" w:rsidP="002C2525">
            <w:pPr>
              <w:spacing w:line="360" w:lineRule="auto"/>
              <w:jc w:val="both"/>
              <w:rPr>
                <w:rFonts w:ascii="Arial" w:hAnsi="Arial" w:cs="Arial"/>
                <w:color w:val="000000" w:themeColor="text1"/>
                <w:sz w:val="24"/>
                <w:szCs w:val="24"/>
              </w:rPr>
            </w:pPr>
          </w:p>
        </w:tc>
        <w:tc>
          <w:tcPr>
            <w:tcW w:w="2298" w:type="dxa"/>
          </w:tcPr>
          <w:p w14:paraId="05742BA9" w14:textId="77777777" w:rsidR="004942B6" w:rsidRPr="00E42491" w:rsidRDefault="004942B6" w:rsidP="002C2525">
            <w:pPr>
              <w:spacing w:line="360" w:lineRule="auto"/>
              <w:jc w:val="both"/>
              <w:rPr>
                <w:rFonts w:ascii="Arial" w:hAnsi="Arial" w:cs="Arial"/>
                <w:color w:val="000000" w:themeColor="text1"/>
                <w:sz w:val="24"/>
                <w:szCs w:val="24"/>
              </w:rPr>
            </w:pPr>
            <w:r w:rsidRPr="00E42491">
              <w:rPr>
                <w:rFonts w:ascii="Arial" w:hAnsi="Arial" w:cs="Arial"/>
                <w:color w:val="000000" w:themeColor="text1"/>
                <w:sz w:val="24"/>
                <w:szCs w:val="24"/>
              </w:rPr>
              <w:t>Death</w:t>
            </w:r>
          </w:p>
          <w:p w14:paraId="54BB9D54" w14:textId="77777777" w:rsidR="004942B6" w:rsidRPr="00E42491" w:rsidRDefault="004942B6" w:rsidP="002C2525">
            <w:pPr>
              <w:spacing w:line="360" w:lineRule="auto"/>
              <w:jc w:val="both"/>
              <w:rPr>
                <w:rFonts w:ascii="Arial" w:hAnsi="Arial" w:cs="Arial"/>
                <w:color w:val="000000" w:themeColor="text1"/>
                <w:sz w:val="24"/>
                <w:szCs w:val="24"/>
              </w:rPr>
            </w:pPr>
            <w:r w:rsidRPr="00E42491">
              <w:rPr>
                <w:rFonts w:ascii="Arial" w:hAnsi="Arial" w:cs="Arial"/>
                <w:color w:val="000000" w:themeColor="text1"/>
                <w:sz w:val="24"/>
                <w:szCs w:val="24"/>
              </w:rPr>
              <w:t>MI</w:t>
            </w:r>
          </w:p>
          <w:p w14:paraId="3C8F936C" w14:textId="77777777" w:rsidR="004942B6" w:rsidRPr="00E42491" w:rsidRDefault="004942B6" w:rsidP="002C2525">
            <w:pPr>
              <w:spacing w:line="360" w:lineRule="auto"/>
              <w:jc w:val="both"/>
              <w:rPr>
                <w:rFonts w:ascii="Arial" w:hAnsi="Arial" w:cs="Arial"/>
                <w:color w:val="000000" w:themeColor="text1"/>
                <w:sz w:val="24"/>
                <w:szCs w:val="24"/>
              </w:rPr>
            </w:pPr>
            <w:r w:rsidRPr="00E42491">
              <w:rPr>
                <w:rFonts w:ascii="Arial" w:hAnsi="Arial" w:cs="Arial"/>
                <w:color w:val="000000" w:themeColor="text1"/>
                <w:sz w:val="24"/>
                <w:szCs w:val="24"/>
              </w:rPr>
              <w:t>Stroke</w:t>
            </w:r>
          </w:p>
        </w:tc>
        <w:tc>
          <w:tcPr>
            <w:tcW w:w="2298" w:type="dxa"/>
          </w:tcPr>
          <w:p w14:paraId="6B1760B6" w14:textId="77777777" w:rsidR="004942B6" w:rsidRPr="00E42491" w:rsidRDefault="004942B6" w:rsidP="002C2525">
            <w:pPr>
              <w:spacing w:line="360" w:lineRule="auto"/>
              <w:jc w:val="both"/>
              <w:rPr>
                <w:rFonts w:ascii="Arial" w:hAnsi="Arial" w:cs="Arial"/>
                <w:color w:val="000000" w:themeColor="text1"/>
                <w:sz w:val="24"/>
                <w:szCs w:val="24"/>
              </w:rPr>
            </w:pPr>
            <w:r w:rsidRPr="00E42491">
              <w:rPr>
                <w:rFonts w:ascii="Arial" w:hAnsi="Arial" w:cs="Arial"/>
                <w:color w:val="000000" w:themeColor="text1"/>
                <w:sz w:val="24"/>
                <w:szCs w:val="24"/>
              </w:rPr>
              <w:t>3 (1.6)</w:t>
            </w:r>
          </w:p>
          <w:p w14:paraId="7AE61515" w14:textId="77777777" w:rsidR="004942B6" w:rsidRPr="00E42491" w:rsidRDefault="004942B6" w:rsidP="002C2525">
            <w:pPr>
              <w:spacing w:line="360" w:lineRule="auto"/>
              <w:jc w:val="both"/>
              <w:rPr>
                <w:rFonts w:ascii="Arial" w:hAnsi="Arial" w:cs="Arial"/>
                <w:color w:val="000000" w:themeColor="text1"/>
                <w:sz w:val="24"/>
                <w:szCs w:val="24"/>
              </w:rPr>
            </w:pPr>
            <w:r w:rsidRPr="00E42491">
              <w:rPr>
                <w:rFonts w:ascii="Arial" w:hAnsi="Arial" w:cs="Arial"/>
                <w:color w:val="000000" w:themeColor="text1"/>
                <w:sz w:val="24"/>
                <w:szCs w:val="24"/>
              </w:rPr>
              <w:t>4 (2.2)</w:t>
            </w:r>
          </w:p>
          <w:p w14:paraId="67C3C747" w14:textId="77777777" w:rsidR="004942B6" w:rsidRPr="00E42491" w:rsidRDefault="004942B6" w:rsidP="002C2525">
            <w:pPr>
              <w:spacing w:line="360" w:lineRule="auto"/>
              <w:jc w:val="both"/>
              <w:rPr>
                <w:rFonts w:ascii="Arial" w:hAnsi="Arial" w:cs="Arial"/>
                <w:color w:val="000000" w:themeColor="text1"/>
                <w:sz w:val="24"/>
                <w:szCs w:val="24"/>
              </w:rPr>
            </w:pPr>
            <w:r w:rsidRPr="00E42491">
              <w:rPr>
                <w:rFonts w:ascii="Arial" w:hAnsi="Arial" w:cs="Arial"/>
                <w:color w:val="000000" w:themeColor="text1"/>
                <w:sz w:val="24"/>
                <w:szCs w:val="24"/>
              </w:rPr>
              <w:t>2 (1.1)</w:t>
            </w:r>
          </w:p>
        </w:tc>
        <w:tc>
          <w:tcPr>
            <w:tcW w:w="2298" w:type="dxa"/>
          </w:tcPr>
          <w:p w14:paraId="5CC0EA59" w14:textId="77777777" w:rsidR="004942B6" w:rsidRPr="00E42491" w:rsidRDefault="004942B6" w:rsidP="002C2525">
            <w:pPr>
              <w:spacing w:line="360" w:lineRule="auto"/>
              <w:jc w:val="both"/>
              <w:rPr>
                <w:rFonts w:ascii="Arial" w:hAnsi="Arial" w:cs="Arial"/>
                <w:color w:val="000000" w:themeColor="text1"/>
                <w:sz w:val="24"/>
                <w:szCs w:val="24"/>
              </w:rPr>
            </w:pPr>
            <w:r w:rsidRPr="00E42491">
              <w:rPr>
                <w:rFonts w:ascii="Arial" w:hAnsi="Arial" w:cs="Arial"/>
                <w:color w:val="000000" w:themeColor="text1"/>
                <w:sz w:val="24"/>
                <w:szCs w:val="24"/>
              </w:rPr>
              <w:t>4 (4.6)</w:t>
            </w:r>
          </w:p>
          <w:p w14:paraId="6FEB4653" w14:textId="77777777" w:rsidR="004942B6" w:rsidRPr="00E42491" w:rsidRDefault="004942B6" w:rsidP="002C2525">
            <w:pPr>
              <w:spacing w:line="360" w:lineRule="auto"/>
              <w:jc w:val="both"/>
              <w:rPr>
                <w:rFonts w:ascii="Arial" w:hAnsi="Arial" w:cs="Arial"/>
                <w:color w:val="000000" w:themeColor="text1"/>
                <w:sz w:val="24"/>
                <w:szCs w:val="24"/>
              </w:rPr>
            </w:pPr>
            <w:r w:rsidRPr="00E42491">
              <w:rPr>
                <w:rFonts w:ascii="Arial" w:hAnsi="Arial" w:cs="Arial"/>
                <w:color w:val="000000" w:themeColor="text1"/>
                <w:sz w:val="24"/>
                <w:szCs w:val="24"/>
              </w:rPr>
              <w:t>1 (1.1)</w:t>
            </w:r>
          </w:p>
          <w:p w14:paraId="2FF5D0DE" w14:textId="77777777" w:rsidR="004942B6" w:rsidRPr="00E42491" w:rsidRDefault="004942B6" w:rsidP="002C2525">
            <w:pPr>
              <w:spacing w:line="360" w:lineRule="auto"/>
              <w:jc w:val="both"/>
              <w:rPr>
                <w:rFonts w:ascii="Arial" w:hAnsi="Arial" w:cs="Arial"/>
                <w:color w:val="000000" w:themeColor="text1"/>
                <w:sz w:val="24"/>
                <w:szCs w:val="24"/>
              </w:rPr>
            </w:pPr>
            <w:r w:rsidRPr="00E42491">
              <w:rPr>
                <w:rFonts w:ascii="Arial" w:hAnsi="Arial" w:cs="Arial"/>
                <w:color w:val="000000" w:themeColor="text1"/>
                <w:sz w:val="24"/>
                <w:szCs w:val="24"/>
              </w:rPr>
              <w:t>1 (1.1)</w:t>
            </w:r>
          </w:p>
        </w:tc>
      </w:tr>
    </w:tbl>
    <w:p w14:paraId="266EBCE0" w14:textId="77777777" w:rsidR="004942B6" w:rsidRDefault="004942B6" w:rsidP="004942B6">
      <w:pPr>
        <w:pStyle w:val="Heading3"/>
      </w:pPr>
    </w:p>
    <w:p w14:paraId="0F9A55C7" w14:textId="77777777" w:rsidR="004942B6" w:rsidRPr="00202966" w:rsidRDefault="004942B6" w:rsidP="004942B6">
      <w:pPr>
        <w:pStyle w:val="Heading3"/>
        <w:spacing w:line="360" w:lineRule="auto"/>
        <w:rPr>
          <w:rFonts w:ascii="Arial" w:hAnsi="Arial" w:cs="Arial"/>
          <w:color w:val="4472C4" w:themeColor="accent1"/>
          <w:sz w:val="24"/>
          <w:szCs w:val="24"/>
        </w:rPr>
      </w:pPr>
      <w:bookmarkStart w:id="812" w:name="_Toc170076067"/>
      <w:bookmarkStart w:id="813" w:name="_Toc171203141"/>
      <w:bookmarkStart w:id="814" w:name="_Toc171203912"/>
      <w:r w:rsidRPr="00202966">
        <w:rPr>
          <w:rFonts w:ascii="Arial" w:hAnsi="Arial" w:cs="Arial"/>
          <w:color w:val="4472C4" w:themeColor="accent1"/>
          <w:sz w:val="24"/>
          <w:szCs w:val="24"/>
        </w:rPr>
        <w:t>3.1.4 Hospital re-admissions</w:t>
      </w:r>
      <w:bookmarkEnd w:id="812"/>
      <w:bookmarkEnd w:id="813"/>
      <w:bookmarkEnd w:id="814"/>
    </w:p>
    <w:p w14:paraId="2ED96F77" w14:textId="4F054A3F" w:rsidR="004942B6" w:rsidRPr="00D93EAC" w:rsidRDefault="004942B6" w:rsidP="004942B6">
      <w:pPr>
        <w:spacing w:line="360" w:lineRule="auto"/>
        <w:jc w:val="both"/>
        <w:rPr>
          <w:rFonts w:ascii="Arial" w:hAnsi="Arial" w:cs="Arial"/>
          <w:sz w:val="24"/>
          <w:szCs w:val="24"/>
        </w:rPr>
      </w:pPr>
      <w:r>
        <w:rPr>
          <w:rFonts w:ascii="Arial" w:hAnsi="Arial" w:cs="Arial"/>
          <w:sz w:val="24"/>
          <w:szCs w:val="24"/>
        </w:rPr>
        <w:t xml:space="preserve">In ACS, 32/180 (17.7%) had re-admissions due to cardiac cause, of which 29/32 were acute and 3/32 were elective admissions). In the CCS cohort, 25 (29%) patients had an admission due to a cardiac reason, of which 16/25 (64%) were acute and 9/25 (36%) elective admissions. </w:t>
      </w:r>
      <w:r w:rsidRPr="00176487">
        <w:rPr>
          <w:rFonts w:ascii="Arial" w:hAnsi="Arial" w:cs="Arial"/>
          <w:sz w:val="24"/>
          <w:szCs w:val="24"/>
        </w:rPr>
        <w:t xml:space="preserve">The hospital </w:t>
      </w:r>
      <w:r>
        <w:rPr>
          <w:rFonts w:ascii="Arial" w:hAnsi="Arial" w:cs="Arial"/>
          <w:sz w:val="24"/>
          <w:szCs w:val="24"/>
        </w:rPr>
        <w:t>re-</w:t>
      </w:r>
      <w:r w:rsidRPr="00176487">
        <w:rPr>
          <w:rFonts w:ascii="Arial" w:hAnsi="Arial" w:cs="Arial"/>
          <w:sz w:val="24"/>
          <w:szCs w:val="24"/>
        </w:rPr>
        <w:t xml:space="preserve">admissions </w:t>
      </w:r>
      <w:r>
        <w:rPr>
          <w:rFonts w:ascii="Arial" w:hAnsi="Arial" w:cs="Arial"/>
          <w:sz w:val="24"/>
          <w:szCs w:val="24"/>
        </w:rPr>
        <w:t xml:space="preserve">are shown </w:t>
      </w:r>
      <w:r w:rsidRPr="00176487">
        <w:rPr>
          <w:rFonts w:ascii="Arial" w:hAnsi="Arial" w:cs="Arial"/>
          <w:sz w:val="24"/>
          <w:szCs w:val="24"/>
        </w:rPr>
        <w:t xml:space="preserve">in Figure </w:t>
      </w:r>
      <w:r w:rsidR="00EA578E">
        <w:rPr>
          <w:rFonts w:ascii="Arial" w:hAnsi="Arial" w:cs="Arial"/>
          <w:sz w:val="24"/>
          <w:szCs w:val="24"/>
        </w:rPr>
        <w:t>2</w:t>
      </w:r>
      <w:r w:rsidR="004E0578">
        <w:rPr>
          <w:rFonts w:ascii="Arial" w:hAnsi="Arial" w:cs="Arial"/>
          <w:sz w:val="24"/>
          <w:szCs w:val="24"/>
        </w:rPr>
        <w:t>6</w:t>
      </w:r>
      <w:r w:rsidRPr="00176487">
        <w:rPr>
          <w:rFonts w:ascii="Arial" w:hAnsi="Arial" w:cs="Arial"/>
          <w:sz w:val="24"/>
          <w:szCs w:val="24"/>
        </w:rPr>
        <w:t>.</w:t>
      </w:r>
    </w:p>
    <w:p w14:paraId="6695E1BC" w14:textId="05D0C192" w:rsidR="004942B6" w:rsidRPr="00920CBE" w:rsidRDefault="004942B6" w:rsidP="004942B6">
      <w:pPr>
        <w:keepNext/>
        <w:spacing w:line="360" w:lineRule="auto"/>
        <w:jc w:val="both"/>
      </w:pPr>
      <w:bookmarkStart w:id="815" w:name="_Toc159318498"/>
      <w:bookmarkStart w:id="816" w:name="_Toc159612024"/>
      <w:bookmarkStart w:id="817" w:name="_Toc160982670"/>
      <w:bookmarkStart w:id="818" w:name="_Toc164697496"/>
      <w:bookmarkStart w:id="819" w:name="_Toc170744588"/>
      <w:bookmarkStart w:id="820" w:name="_Toc196153218"/>
      <w:r>
        <w:rPr>
          <w:noProof/>
          <w:lang w:eastAsia="en-GB"/>
        </w:rPr>
        <w:lastRenderedPageBreak/>
        <w:drawing>
          <wp:inline distT="0" distB="0" distL="0" distR="0" wp14:anchorId="2292A288" wp14:editId="6E7212D8">
            <wp:extent cx="5794938" cy="4906537"/>
            <wp:effectExtent l="0" t="0" r="0" b="0"/>
            <wp:docPr id="471038678" name="Picture 16" descr="A graph with numbers and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38678" name="Picture 16" descr="A graph with numbers and a black background"/>
                    <pic:cNvPicPr/>
                  </pic:nvPicPr>
                  <pic:blipFill rotWithShape="1">
                    <a:blip r:embed="rId43" cstate="print">
                      <a:extLst>
                        <a:ext uri="{28A0092B-C50C-407E-A947-70E740481C1C}">
                          <a14:useLocalDpi xmlns:a14="http://schemas.microsoft.com/office/drawing/2010/main" val="0"/>
                        </a:ext>
                      </a:extLst>
                    </a:blip>
                    <a:srcRect l="7524" t="2223" r="18026" b="7721"/>
                    <a:stretch/>
                  </pic:blipFill>
                  <pic:spPr bwMode="auto">
                    <a:xfrm>
                      <a:off x="0" y="0"/>
                      <a:ext cx="5807766" cy="4917398"/>
                    </a:xfrm>
                    <a:prstGeom prst="rect">
                      <a:avLst/>
                    </a:prstGeom>
                    <a:ln>
                      <a:noFill/>
                    </a:ln>
                    <a:extLst>
                      <a:ext uri="{53640926-AAD7-44D8-BBD7-CCE9431645EC}">
                        <a14:shadowObscured xmlns:a14="http://schemas.microsoft.com/office/drawing/2010/main"/>
                      </a:ext>
                    </a:extLst>
                  </pic:spPr>
                </pic:pic>
              </a:graphicData>
            </a:graphic>
          </wp:inline>
        </w:drawing>
      </w:r>
      <w:bookmarkStart w:id="821" w:name="_Toc150518907"/>
      <w:bookmarkStart w:id="822" w:name="_Toc151222844"/>
      <w:bookmarkStart w:id="823" w:name="_Toc151626684"/>
      <w:bookmarkStart w:id="824" w:name="_Toc152340478"/>
      <w:bookmarkStart w:id="825" w:name="_Toc152492271"/>
      <w:bookmarkStart w:id="826" w:name="_Toc152596958"/>
      <w:bookmarkStart w:id="827" w:name="_Toc153409665"/>
      <w:bookmarkStart w:id="828" w:name="_Toc153724912"/>
      <w:r w:rsidRPr="00920CBE">
        <w:rPr>
          <w:rFonts w:ascii="Arial" w:hAnsi="Arial" w:cs="Arial"/>
          <w:b/>
          <w:bCs/>
          <w:i/>
          <w:iCs/>
          <w:sz w:val="20"/>
          <w:szCs w:val="20"/>
        </w:rPr>
        <w:t xml:space="preserve">Figure </w:t>
      </w:r>
      <w:r w:rsidRPr="00920CBE">
        <w:rPr>
          <w:rFonts w:ascii="Arial" w:hAnsi="Arial" w:cs="Arial"/>
          <w:b/>
          <w:bCs/>
          <w:i/>
          <w:iCs/>
          <w:sz w:val="20"/>
          <w:szCs w:val="20"/>
        </w:rPr>
        <w:fldChar w:fldCharType="begin"/>
      </w:r>
      <w:r w:rsidRPr="00920CBE">
        <w:rPr>
          <w:rFonts w:ascii="Arial" w:hAnsi="Arial" w:cs="Arial"/>
          <w:b/>
          <w:bCs/>
          <w:i/>
          <w:iCs/>
          <w:sz w:val="20"/>
          <w:szCs w:val="20"/>
        </w:rPr>
        <w:instrText xml:space="preserve"> SEQ Figure \* ARABIC </w:instrText>
      </w:r>
      <w:r w:rsidRPr="00920CBE">
        <w:rPr>
          <w:rFonts w:ascii="Arial" w:hAnsi="Arial" w:cs="Arial"/>
          <w:b/>
          <w:bCs/>
          <w:i/>
          <w:iCs/>
          <w:sz w:val="20"/>
          <w:szCs w:val="20"/>
        </w:rPr>
        <w:fldChar w:fldCharType="separate"/>
      </w:r>
      <w:r w:rsidR="001823B4">
        <w:rPr>
          <w:rFonts w:ascii="Arial" w:hAnsi="Arial" w:cs="Arial"/>
          <w:b/>
          <w:bCs/>
          <w:i/>
          <w:iCs/>
          <w:noProof/>
          <w:sz w:val="20"/>
          <w:szCs w:val="20"/>
        </w:rPr>
        <w:t>26</w:t>
      </w:r>
      <w:r w:rsidRPr="00920CBE">
        <w:rPr>
          <w:rFonts w:ascii="Arial" w:hAnsi="Arial" w:cs="Arial"/>
          <w:b/>
          <w:bCs/>
          <w:i/>
          <w:iCs/>
          <w:noProof/>
          <w:sz w:val="20"/>
          <w:szCs w:val="20"/>
        </w:rPr>
        <w:fldChar w:fldCharType="end"/>
      </w:r>
      <w:r w:rsidRPr="00920CBE">
        <w:rPr>
          <w:rFonts w:ascii="Arial" w:hAnsi="Arial" w:cs="Arial"/>
          <w:i/>
          <w:iCs/>
          <w:sz w:val="20"/>
          <w:szCs w:val="20"/>
        </w:rPr>
        <w:t>: Comparison of the total number of hospital admissions for the ACS and CCS patients</w:t>
      </w:r>
      <w:bookmarkEnd w:id="821"/>
      <w:bookmarkEnd w:id="822"/>
      <w:bookmarkEnd w:id="823"/>
      <w:bookmarkEnd w:id="824"/>
      <w:bookmarkEnd w:id="825"/>
      <w:bookmarkEnd w:id="826"/>
      <w:bookmarkEnd w:id="827"/>
      <w:r w:rsidRPr="00920CBE">
        <w:rPr>
          <w:rFonts w:ascii="Arial" w:hAnsi="Arial" w:cs="Arial"/>
          <w:i/>
          <w:iCs/>
          <w:sz w:val="20"/>
          <w:szCs w:val="20"/>
        </w:rPr>
        <w:t xml:space="preserve"> in VIRTU-4</w:t>
      </w:r>
      <w:bookmarkEnd w:id="828"/>
      <w:r>
        <w:rPr>
          <w:rFonts w:ascii="Arial" w:hAnsi="Arial" w:cs="Arial"/>
          <w:i/>
          <w:iCs/>
          <w:sz w:val="20"/>
          <w:szCs w:val="20"/>
        </w:rPr>
        <w:t>.</w:t>
      </w:r>
      <w:bookmarkEnd w:id="815"/>
      <w:bookmarkEnd w:id="816"/>
      <w:bookmarkEnd w:id="817"/>
      <w:bookmarkEnd w:id="818"/>
      <w:bookmarkEnd w:id="819"/>
      <w:bookmarkEnd w:id="820"/>
      <w:r>
        <w:rPr>
          <w:rFonts w:ascii="Arial" w:hAnsi="Arial" w:cs="Arial"/>
          <w:sz w:val="20"/>
          <w:szCs w:val="20"/>
        </w:rPr>
        <w:t xml:space="preserve"> </w:t>
      </w:r>
      <w:r w:rsidRPr="00DD1DB1">
        <w:rPr>
          <w:rFonts w:ascii="Arial" w:hAnsi="Arial" w:cs="Arial"/>
          <w:sz w:val="20"/>
          <w:szCs w:val="20"/>
        </w:rPr>
        <w:t xml:space="preserve"> </w:t>
      </w:r>
    </w:p>
    <w:p w14:paraId="1F01E604" w14:textId="77777777" w:rsidR="004942B6" w:rsidRDefault="004942B6" w:rsidP="004942B6"/>
    <w:p w14:paraId="26E1FB3A" w14:textId="058AB1B1" w:rsidR="004942B6" w:rsidRPr="00AD4AF3" w:rsidRDefault="004942B6" w:rsidP="00AD4AF3">
      <w:pPr>
        <w:pStyle w:val="Heading3"/>
        <w:rPr>
          <w:rFonts w:ascii="Arial" w:hAnsi="Arial" w:cs="Arial"/>
          <w:color w:val="4472C4" w:themeColor="accent1"/>
          <w:sz w:val="24"/>
          <w:szCs w:val="24"/>
        </w:rPr>
      </w:pPr>
      <w:bookmarkStart w:id="829" w:name="_Toc170076068"/>
      <w:bookmarkStart w:id="830" w:name="_Toc171203142"/>
      <w:bookmarkStart w:id="831" w:name="_Toc171203913"/>
      <w:r w:rsidRPr="00AD4AF3">
        <w:rPr>
          <w:rFonts w:ascii="Arial" w:hAnsi="Arial" w:cs="Arial"/>
          <w:color w:val="4472C4" w:themeColor="accent1"/>
          <w:sz w:val="24"/>
          <w:szCs w:val="24"/>
        </w:rPr>
        <w:t>3.1.</w:t>
      </w:r>
      <w:r w:rsidR="00D41D7B" w:rsidRPr="00AD4AF3">
        <w:rPr>
          <w:rFonts w:ascii="Arial" w:hAnsi="Arial" w:cs="Arial"/>
          <w:color w:val="4472C4" w:themeColor="accent1"/>
          <w:sz w:val="24"/>
          <w:szCs w:val="24"/>
        </w:rPr>
        <w:t>4.1</w:t>
      </w:r>
      <w:r w:rsidRPr="00AD4AF3">
        <w:rPr>
          <w:rFonts w:ascii="Arial" w:hAnsi="Arial" w:cs="Arial"/>
          <w:color w:val="4472C4" w:themeColor="accent1"/>
          <w:sz w:val="24"/>
          <w:szCs w:val="24"/>
        </w:rPr>
        <w:t xml:space="preserve"> Number of hospital re-admissions per patient</w:t>
      </w:r>
      <w:bookmarkEnd w:id="829"/>
      <w:bookmarkEnd w:id="830"/>
      <w:bookmarkEnd w:id="831"/>
    </w:p>
    <w:p w14:paraId="466F9665" w14:textId="68D5FAF3" w:rsidR="004942B6" w:rsidRPr="00202966" w:rsidRDefault="004942B6" w:rsidP="004942B6">
      <w:pPr>
        <w:spacing w:line="360" w:lineRule="auto"/>
        <w:jc w:val="both"/>
        <w:rPr>
          <w:rFonts w:ascii="Arial" w:hAnsi="Arial" w:cs="Arial"/>
          <w:color w:val="000000" w:themeColor="text1"/>
          <w:sz w:val="24"/>
          <w:szCs w:val="24"/>
        </w:rPr>
      </w:pPr>
      <w:r w:rsidRPr="00202966">
        <w:rPr>
          <w:rFonts w:ascii="Arial" w:hAnsi="Arial" w:cs="Arial"/>
          <w:sz w:val="24"/>
          <w:szCs w:val="24"/>
        </w:rPr>
        <w:t xml:space="preserve">In the ACS cohort, 32 patients required hospital admissions, of which 21/32 (65.6%) had a single admission, whereas 11/32 (34.3%) required more than one admission. In contrast, the CCS group had 25 admissions, of which 23/25 (92%) had a single admission and 2/25 (8%) needed more than one admission (p &lt;0.001). The differential count of admissions per patient is shown in Figure </w:t>
      </w:r>
      <w:r w:rsidR="003A374C">
        <w:rPr>
          <w:rFonts w:ascii="Arial" w:hAnsi="Arial" w:cs="Arial"/>
          <w:sz w:val="24"/>
          <w:szCs w:val="24"/>
        </w:rPr>
        <w:t>2</w:t>
      </w:r>
      <w:r w:rsidR="004E0578">
        <w:rPr>
          <w:rFonts w:ascii="Arial" w:hAnsi="Arial" w:cs="Arial"/>
          <w:sz w:val="24"/>
          <w:szCs w:val="24"/>
        </w:rPr>
        <w:t>7</w:t>
      </w:r>
      <w:r w:rsidRPr="00202966">
        <w:rPr>
          <w:rFonts w:ascii="Arial" w:hAnsi="Arial" w:cs="Arial"/>
          <w:sz w:val="24"/>
          <w:szCs w:val="24"/>
        </w:rPr>
        <w:t>.</w:t>
      </w:r>
    </w:p>
    <w:p w14:paraId="41E96E9E" w14:textId="77777777" w:rsidR="004942B6" w:rsidRPr="009222F3" w:rsidRDefault="004942B6" w:rsidP="004942B6">
      <w:pPr>
        <w:keepNext/>
        <w:spacing w:line="360" w:lineRule="auto"/>
        <w:jc w:val="both"/>
        <w:rPr>
          <w:color w:val="000000" w:themeColor="text1"/>
        </w:rPr>
      </w:pPr>
      <w:r>
        <w:rPr>
          <w:noProof/>
          <w:color w:val="000000" w:themeColor="text1"/>
          <w:lang w:eastAsia="en-GB"/>
        </w:rPr>
        <w:lastRenderedPageBreak/>
        <w:drawing>
          <wp:inline distT="0" distB="0" distL="0" distR="0" wp14:anchorId="2949E7B3" wp14:editId="134A81FE">
            <wp:extent cx="5593696" cy="4728117"/>
            <wp:effectExtent l="0" t="0" r="0" b="0"/>
            <wp:docPr id="647593163" name="Picture 17" descr="A graph of different sizes an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93163" name="Picture 17" descr="A graph of different sizes and numbers"/>
                    <pic:cNvPicPr/>
                  </pic:nvPicPr>
                  <pic:blipFill rotWithShape="1">
                    <a:blip r:embed="rId44" cstate="print">
                      <a:extLst>
                        <a:ext uri="{28A0092B-C50C-407E-A947-70E740481C1C}">
                          <a14:useLocalDpi xmlns:a14="http://schemas.microsoft.com/office/drawing/2010/main" val="0"/>
                        </a:ext>
                      </a:extLst>
                    </a:blip>
                    <a:srcRect l="12194" t="1853" r="13226" b="8089"/>
                    <a:stretch/>
                  </pic:blipFill>
                  <pic:spPr bwMode="auto">
                    <a:xfrm>
                      <a:off x="0" y="0"/>
                      <a:ext cx="5602665" cy="4735698"/>
                    </a:xfrm>
                    <a:prstGeom prst="rect">
                      <a:avLst/>
                    </a:prstGeom>
                    <a:ln>
                      <a:noFill/>
                    </a:ln>
                    <a:extLst>
                      <a:ext uri="{53640926-AAD7-44D8-BBD7-CCE9431645EC}">
                        <a14:shadowObscured xmlns:a14="http://schemas.microsoft.com/office/drawing/2010/main"/>
                      </a:ext>
                    </a:extLst>
                  </pic:spPr>
                </pic:pic>
              </a:graphicData>
            </a:graphic>
          </wp:inline>
        </w:drawing>
      </w:r>
    </w:p>
    <w:p w14:paraId="334579A4" w14:textId="3F3FF948" w:rsidR="004942B6" w:rsidRPr="001533F8" w:rsidRDefault="004942B6" w:rsidP="004942B6">
      <w:pPr>
        <w:pStyle w:val="Caption"/>
        <w:jc w:val="both"/>
        <w:rPr>
          <w:rFonts w:ascii="Arial" w:hAnsi="Arial" w:cs="Arial"/>
          <w:color w:val="auto"/>
          <w:sz w:val="20"/>
          <w:szCs w:val="20"/>
        </w:rPr>
      </w:pPr>
      <w:bookmarkStart w:id="832" w:name="_Toc134970250"/>
      <w:bookmarkStart w:id="833" w:name="_Toc135331838"/>
      <w:bookmarkStart w:id="834" w:name="_Toc145055732"/>
      <w:bookmarkStart w:id="835" w:name="_Toc150518908"/>
      <w:bookmarkStart w:id="836" w:name="_Toc151222845"/>
      <w:bookmarkStart w:id="837" w:name="_Toc151626685"/>
      <w:bookmarkStart w:id="838" w:name="_Toc152340479"/>
      <w:bookmarkStart w:id="839" w:name="_Toc152492272"/>
      <w:bookmarkStart w:id="840" w:name="_Toc152596959"/>
      <w:bookmarkStart w:id="841" w:name="_Toc153409666"/>
      <w:bookmarkStart w:id="842" w:name="_Toc153724913"/>
      <w:bookmarkStart w:id="843" w:name="_Toc159318499"/>
      <w:bookmarkStart w:id="844" w:name="_Toc159612025"/>
      <w:bookmarkStart w:id="845" w:name="_Toc160982671"/>
      <w:bookmarkStart w:id="846" w:name="_Toc164697497"/>
      <w:bookmarkStart w:id="847" w:name="_Toc170744589"/>
      <w:bookmarkStart w:id="848" w:name="_Toc196153219"/>
      <w:r w:rsidRPr="001533F8">
        <w:rPr>
          <w:rFonts w:ascii="Arial" w:hAnsi="Arial" w:cs="Arial"/>
          <w:b/>
          <w:bCs/>
          <w:color w:val="auto"/>
          <w:sz w:val="20"/>
          <w:szCs w:val="20"/>
        </w:rPr>
        <w:t xml:space="preserve">Figure </w:t>
      </w:r>
      <w:r w:rsidRPr="001533F8">
        <w:rPr>
          <w:rFonts w:ascii="Arial" w:hAnsi="Arial" w:cs="Arial"/>
          <w:b/>
          <w:bCs/>
          <w:color w:val="auto"/>
          <w:sz w:val="20"/>
          <w:szCs w:val="20"/>
        </w:rPr>
        <w:fldChar w:fldCharType="begin"/>
      </w:r>
      <w:r w:rsidRPr="001533F8">
        <w:rPr>
          <w:rFonts w:ascii="Arial" w:hAnsi="Arial" w:cs="Arial"/>
          <w:b/>
          <w:bCs/>
          <w:color w:val="auto"/>
          <w:sz w:val="20"/>
          <w:szCs w:val="20"/>
        </w:rPr>
        <w:instrText xml:space="preserve"> SEQ Figure \* ARABIC </w:instrText>
      </w:r>
      <w:r w:rsidRPr="001533F8">
        <w:rPr>
          <w:rFonts w:ascii="Arial" w:hAnsi="Arial" w:cs="Arial"/>
          <w:b/>
          <w:bCs/>
          <w:color w:val="auto"/>
          <w:sz w:val="20"/>
          <w:szCs w:val="20"/>
        </w:rPr>
        <w:fldChar w:fldCharType="separate"/>
      </w:r>
      <w:r w:rsidR="001823B4">
        <w:rPr>
          <w:rFonts w:ascii="Arial" w:hAnsi="Arial" w:cs="Arial"/>
          <w:b/>
          <w:bCs/>
          <w:noProof/>
          <w:color w:val="auto"/>
          <w:sz w:val="20"/>
          <w:szCs w:val="20"/>
        </w:rPr>
        <w:t>27</w:t>
      </w:r>
      <w:r w:rsidRPr="001533F8">
        <w:rPr>
          <w:rFonts w:ascii="Arial" w:hAnsi="Arial" w:cs="Arial"/>
          <w:b/>
          <w:bCs/>
          <w:noProof/>
          <w:color w:val="auto"/>
          <w:sz w:val="20"/>
          <w:szCs w:val="20"/>
        </w:rPr>
        <w:fldChar w:fldCharType="end"/>
      </w:r>
      <w:r w:rsidRPr="001533F8">
        <w:rPr>
          <w:rFonts w:ascii="Arial" w:hAnsi="Arial" w:cs="Arial"/>
          <w:b/>
          <w:bCs/>
          <w:color w:val="auto"/>
          <w:sz w:val="20"/>
          <w:szCs w:val="20"/>
        </w:rPr>
        <w:t>:</w:t>
      </w:r>
      <w:r w:rsidRPr="001533F8">
        <w:rPr>
          <w:rFonts w:ascii="Arial" w:hAnsi="Arial" w:cs="Arial"/>
          <w:color w:val="auto"/>
          <w:sz w:val="20"/>
          <w:szCs w:val="20"/>
        </w:rPr>
        <w:t xml:space="preserve"> </w:t>
      </w:r>
      <w:r>
        <w:rPr>
          <w:rFonts w:ascii="Arial" w:hAnsi="Arial" w:cs="Arial"/>
          <w:color w:val="auto"/>
          <w:sz w:val="20"/>
          <w:szCs w:val="20"/>
        </w:rPr>
        <w:t>Re-a</w:t>
      </w:r>
      <w:r w:rsidRPr="001533F8">
        <w:rPr>
          <w:rFonts w:ascii="Arial" w:hAnsi="Arial" w:cs="Arial"/>
          <w:color w:val="auto"/>
          <w:sz w:val="20"/>
          <w:szCs w:val="20"/>
        </w:rPr>
        <w:t xml:space="preserve">dmissions </w:t>
      </w:r>
      <w:r>
        <w:rPr>
          <w:rFonts w:ascii="Arial" w:hAnsi="Arial" w:cs="Arial"/>
          <w:color w:val="auto"/>
          <w:sz w:val="20"/>
          <w:szCs w:val="20"/>
        </w:rPr>
        <w:t>per</w:t>
      </w:r>
      <w:r w:rsidRPr="001533F8">
        <w:rPr>
          <w:rFonts w:ascii="Arial" w:hAnsi="Arial" w:cs="Arial"/>
          <w:color w:val="auto"/>
          <w:sz w:val="20"/>
          <w:szCs w:val="20"/>
        </w:rPr>
        <w:t xml:space="preserve"> patient in ACS and CCS </w:t>
      </w:r>
      <w:bookmarkEnd w:id="832"/>
      <w:bookmarkEnd w:id="833"/>
      <w:bookmarkEnd w:id="834"/>
      <w:bookmarkEnd w:id="835"/>
      <w:bookmarkEnd w:id="836"/>
      <w:bookmarkEnd w:id="837"/>
      <w:bookmarkEnd w:id="838"/>
      <w:bookmarkEnd w:id="839"/>
      <w:bookmarkEnd w:id="840"/>
      <w:r>
        <w:rPr>
          <w:rFonts w:ascii="Arial" w:hAnsi="Arial" w:cs="Arial"/>
          <w:color w:val="auto"/>
          <w:sz w:val="20"/>
          <w:szCs w:val="20"/>
        </w:rPr>
        <w:t>groups</w:t>
      </w:r>
      <w:bookmarkEnd w:id="841"/>
      <w:bookmarkEnd w:id="842"/>
      <w:bookmarkEnd w:id="843"/>
      <w:bookmarkEnd w:id="844"/>
      <w:bookmarkEnd w:id="845"/>
      <w:bookmarkEnd w:id="846"/>
      <w:bookmarkEnd w:id="847"/>
      <w:bookmarkEnd w:id="848"/>
    </w:p>
    <w:p w14:paraId="0B58650B" w14:textId="77777777" w:rsidR="004942B6" w:rsidRPr="009222F3" w:rsidRDefault="004942B6" w:rsidP="004942B6">
      <w:pPr>
        <w:keepNext/>
        <w:spacing w:line="360" w:lineRule="auto"/>
        <w:jc w:val="both"/>
        <w:rPr>
          <w:color w:val="000000" w:themeColor="text1"/>
        </w:rPr>
      </w:pPr>
    </w:p>
    <w:p w14:paraId="59291004" w14:textId="4297CAF6" w:rsidR="004942B6" w:rsidRPr="00AD4AF3" w:rsidRDefault="004942B6" w:rsidP="00AD4AF3">
      <w:pPr>
        <w:pStyle w:val="Heading3"/>
        <w:rPr>
          <w:rFonts w:ascii="Arial" w:hAnsi="Arial" w:cs="Arial"/>
          <w:color w:val="4472C4" w:themeColor="accent1"/>
          <w:sz w:val="24"/>
          <w:szCs w:val="24"/>
        </w:rPr>
      </w:pPr>
      <w:bookmarkStart w:id="849" w:name="_Toc170076069"/>
      <w:bookmarkStart w:id="850" w:name="_Toc171203143"/>
      <w:bookmarkStart w:id="851" w:name="_Toc171203914"/>
      <w:r w:rsidRPr="00AD4AF3">
        <w:rPr>
          <w:rFonts w:ascii="Arial" w:hAnsi="Arial" w:cs="Arial"/>
          <w:color w:val="4472C4" w:themeColor="accent1"/>
          <w:sz w:val="24"/>
          <w:szCs w:val="24"/>
        </w:rPr>
        <w:t>3.1.</w:t>
      </w:r>
      <w:r w:rsidR="00D41D7B" w:rsidRPr="00AD4AF3">
        <w:rPr>
          <w:rFonts w:ascii="Arial" w:hAnsi="Arial" w:cs="Arial"/>
          <w:color w:val="4472C4" w:themeColor="accent1"/>
          <w:sz w:val="24"/>
          <w:szCs w:val="24"/>
        </w:rPr>
        <w:t>4.2</w:t>
      </w:r>
      <w:r w:rsidRPr="00AD4AF3">
        <w:rPr>
          <w:rFonts w:ascii="Arial" w:hAnsi="Arial" w:cs="Arial"/>
          <w:color w:val="4472C4" w:themeColor="accent1"/>
          <w:sz w:val="24"/>
          <w:szCs w:val="24"/>
        </w:rPr>
        <w:t xml:space="preserve"> Reasons for hospital admissions and length of stay</w:t>
      </w:r>
      <w:bookmarkEnd w:id="849"/>
      <w:bookmarkEnd w:id="850"/>
      <w:bookmarkEnd w:id="851"/>
    </w:p>
    <w:p w14:paraId="17584C10" w14:textId="52F1AAA5" w:rsidR="004942B6" w:rsidRPr="006D7F05" w:rsidRDefault="004942B6" w:rsidP="004942B6">
      <w:pPr>
        <w:spacing w:line="360" w:lineRule="auto"/>
        <w:jc w:val="both"/>
        <w:rPr>
          <w:rFonts w:ascii="Arial" w:hAnsi="Arial" w:cs="Arial"/>
          <w:color w:val="000000" w:themeColor="text1"/>
          <w:sz w:val="24"/>
          <w:szCs w:val="24"/>
        </w:rPr>
      </w:pPr>
      <w:r w:rsidRPr="006D7F05">
        <w:rPr>
          <w:rFonts w:ascii="Arial" w:hAnsi="Arial" w:cs="Arial"/>
          <w:sz w:val="24"/>
          <w:szCs w:val="24"/>
        </w:rPr>
        <w:t>The median lengths of hospital stay per re-admission for ACS and CCS patients were 1.24 ± 1.88 and 1.95 ± 3.44 days, respectively. Acute chest pain was the most common reason for admission in ACS, whereas in CCS</w:t>
      </w:r>
      <w:r w:rsidR="006D7F05">
        <w:rPr>
          <w:rFonts w:ascii="Arial" w:hAnsi="Arial" w:cs="Arial"/>
          <w:sz w:val="24"/>
          <w:szCs w:val="24"/>
        </w:rPr>
        <w:t>,</w:t>
      </w:r>
      <w:r w:rsidRPr="006D7F05">
        <w:rPr>
          <w:rFonts w:ascii="Arial" w:hAnsi="Arial" w:cs="Arial"/>
          <w:sz w:val="24"/>
          <w:szCs w:val="24"/>
        </w:rPr>
        <w:t xml:space="preserve"> elective admission for PCI was the most common reason for hospital admission. A detailed account of all reasons for hospitalisation is shown in Table 11.</w:t>
      </w:r>
    </w:p>
    <w:p w14:paraId="316AB6CA" w14:textId="77777777" w:rsidR="004942B6" w:rsidRPr="006D7F05" w:rsidRDefault="004942B6" w:rsidP="004942B6">
      <w:pPr>
        <w:spacing w:line="360" w:lineRule="auto"/>
        <w:jc w:val="both"/>
        <w:rPr>
          <w:rFonts w:ascii="Arial" w:hAnsi="Arial" w:cs="Arial"/>
          <w:color w:val="000000" w:themeColor="text1"/>
          <w:sz w:val="24"/>
          <w:szCs w:val="24"/>
        </w:rPr>
      </w:pPr>
    </w:p>
    <w:p w14:paraId="65F326F7" w14:textId="77777777" w:rsidR="004942B6" w:rsidRDefault="004942B6" w:rsidP="004942B6">
      <w:pPr>
        <w:spacing w:line="360" w:lineRule="auto"/>
        <w:jc w:val="both"/>
        <w:rPr>
          <w:rFonts w:ascii="Arial" w:hAnsi="Arial" w:cs="Arial"/>
          <w:color w:val="000000" w:themeColor="text1"/>
          <w:sz w:val="24"/>
          <w:szCs w:val="24"/>
        </w:rPr>
      </w:pPr>
    </w:p>
    <w:p w14:paraId="3C2ACBCA" w14:textId="77777777" w:rsidR="004942B6" w:rsidRDefault="004942B6" w:rsidP="004942B6">
      <w:pPr>
        <w:spacing w:line="360" w:lineRule="auto"/>
        <w:jc w:val="both"/>
        <w:rPr>
          <w:rFonts w:ascii="Arial" w:hAnsi="Arial" w:cs="Arial"/>
          <w:color w:val="000000" w:themeColor="text1"/>
          <w:sz w:val="24"/>
          <w:szCs w:val="24"/>
        </w:rPr>
      </w:pPr>
    </w:p>
    <w:p w14:paraId="50D8DA1A" w14:textId="77777777" w:rsidR="004942B6" w:rsidRPr="009222F3" w:rsidRDefault="004942B6" w:rsidP="004942B6">
      <w:pPr>
        <w:spacing w:line="360" w:lineRule="auto"/>
        <w:jc w:val="both"/>
        <w:rPr>
          <w:rFonts w:ascii="Arial" w:hAnsi="Arial" w:cs="Arial"/>
          <w:color w:val="000000" w:themeColor="text1"/>
          <w:sz w:val="24"/>
          <w:szCs w:val="24"/>
        </w:rPr>
      </w:pPr>
    </w:p>
    <w:p w14:paraId="2A33E97E" w14:textId="717C7B95" w:rsidR="004942B6" w:rsidRPr="001533F8" w:rsidRDefault="004942B6" w:rsidP="004942B6">
      <w:pPr>
        <w:pStyle w:val="Caption"/>
        <w:keepNext/>
        <w:rPr>
          <w:rFonts w:ascii="Arial" w:hAnsi="Arial" w:cs="Arial"/>
          <w:color w:val="auto"/>
          <w:sz w:val="20"/>
          <w:szCs w:val="20"/>
        </w:rPr>
      </w:pPr>
      <w:bookmarkStart w:id="852" w:name="_Toc136312360"/>
      <w:bookmarkStart w:id="853" w:name="_Toc136329096"/>
      <w:bookmarkStart w:id="854" w:name="_Toc151222938"/>
      <w:bookmarkStart w:id="855" w:name="_Toc151630621"/>
      <w:bookmarkStart w:id="856" w:name="_Toc152340581"/>
      <w:bookmarkStart w:id="857" w:name="_Toc152598057"/>
      <w:bookmarkStart w:id="858" w:name="_Toc153725843"/>
      <w:bookmarkStart w:id="859" w:name="_Toc159318286"/>
      <w:bookmarkStart w:id="860" w:name="_Toc159610321"/>
      <w:bookmarkStart w:id="861" w:name="_Toc164699078"/>
      <w:bookmarkStart w:id="862" w:name="_Toc171206721"/>
      <w:r w:rsidRPr="00DD1DB1">
        <w:rPr>
          <w:rFonts w:ascii="Arial" w:hAnsi="Arial" w:cs="Arial"/>
          <w:b/>
          <w:bCs/>
          <w:color w:val="auto"/>
          <w:sz w:val="20"/>
          <w:szCs w:val="20"/>
        </w:rPr>
        <w:lastRenderedPageBreak/>
        <w:t xml:space="preserve">Table </w:t>
      </w:r>
      <w:r w:rsidR="004E0578">
        <w:rPr>
          <w:rFonts w:ascii="Arial" w:hAnsi="Arial" w:cs="Arial"/>
          <w:b/>
          <w:bCs/>
          <w:color w:val="auto"/>
          <w:sz w:val="20"/>
          <w:szCs w:val="20"/>
        </w:rPr>
        <w:t>11</w:t>
      </w:r>
      <w:r w:rsidRPr="001533F8">
        <w:rPr>
          <w:rFonts w:ascii="Arial" w:hAnsi="Arial" w:cs="Arial"/>
          <w:color w:val="auto"/>
          <w:sz w:val="20"/>
          <w:szCs w:val="20"/>
        </w:rPr>
        <w:t xml:space="preserve">: Cardiac reasons for re-admissions in ACS and CCS </w:t>
      </w:r>
      <w:bookmarkEnd w:id="852"/>
      <w:bookmarkEnd w:id="853"/>
      <w:bookmarkEnd w:id="854"/>
      <w:r>
        <w:rPr>
          <w:rFonts w:ascii="Arial" w:hAnsi="Arial" w:cs="Arial"/>
          <w:color w:val="auto"/>
          <w:sz w:val="20"/>
          <w:szCs w:val="20"/>
        </w:rPr>
        <w:t>patients</w:t>
      </w:r>
      <w:bookmarkEnd w:id="855"/>
      <w:bookmarkEnd w:id="856"/>
      <w:bookmarkEnd w:id="857"/>
      <w:bookmarkEnd w:id="858"/>
      <w:bookmarkEnd w:id="859"/>
      <w:bookmarkEnd w:id="860"/>
      <w:bookmarkEnd w:id="861"/>
      <w:bookmarkEnd w:id="862"/>
    </w:p>
    <w:tbl>
      <w:tblPr>
        <w:tblStyle w:val="TableGrid"/>
        <w:tblW w:w="9606" w:type="dxa"/>
        <w:tblLook w:val="04A0" w:firstRow="1" w:lastRow="0" w:firstColumn="1" w:lastColumn="0" w:noHBand="0" w:noVBand="1"/>
      </w:tblPr>
      <w:tblGrid>
        <w:gridCol w:w="1555"/>
        <w:gridCol w:w="2268"/>
        <w:gridCol w:w="1814"/>
        <w:gridCol w:w="1871"/>
        <w:gridCol w:w="2098"/>
      </w:tblGrid>
      <w:tr w:rsidR="004942B6" w:rsidRPr="009222F3" w14:paraId="33B6C351" w14:textId="77777777" w:rsidTr="002C2525">
        <w:trPr>
          <w:trHeight w:val="1131"/>
        </w:trPr>
        <w:tc>
          <w:tcPr>
            <w:tcW w:w="1555" w:type="dxa"/>
            <w:vMerge w:val="restart"/>
          </w:tcPr>
          <w:p w14:paraId="24915CA5" w14:textId="77777777" w:rsidR="004942B6" w:rsidRPr="009222F3" w:rsidRDefault="004942B6" w:rsidP="002C2525">
            <w:pPr>
              <w:spacing w:line="360" w:lineRule="auto"/>
              <w:jc w:val="both"/>
              <w:rPr>
                <w:rFonts w:ascii="Arial" w:hAnsi="Arial" w:cs="Arial"/>
                <w:color w:val="000000" w:themeColor="text1"/>
                <w:sz w:val="24"/>
                <w:szCs w:val="24"/>
              </w:rPr>
            </w:pPr>
          </w:p>
          <w:p w14:paraId="779BDF8F" w14:textId="77777777" w:rsidR="004942B6" w:rsidRPr="009222F3" w:rsidRDefault="004942B6" w:rsidP="002C2525">
            <w:pPr>
              <w:spacing w:line="360" w:lineRule="auto"/>
              <w:rPr>
                <w:rFonts w:ascii="Arial" w:hAnsi="Arial" w:cs="Arial"/>
                <w:b/>
                <w:bCs/>
                <w:color w:val="000000" w:themeColor="text1"/>
                <w:sz w:val="24"/>
                <w:szCs w:val="24"/>
              </w:rPr>
            </w:pPr>
            <w:r w:rsidRPr="009222F3">
              <w:rPr>
                <w:rFonts w:ascii="Arial" w:hAnsi="Arial" w:cs="Arial"/>
                <w:b/>
                <w:bCs/>
                <w:color w:val="000000" w:themeColor="text1"/>
                <w:sz w:val="24"/>
                <w:szCs w:val="24"/>
              </w:rPr>
              <w:t>Cardiac reasons</w:t>
            </w:r>
            <w:r>
              <w:rPr>
                <w:rFonts w:ascii="Arial" w:hAnsi="Arial" w:cs="Arial"/>
                <w:b/>
                <w:bCs/>
                <w:color w:val="000000" w:themeColor="text1"/>
                <w:sz w:val="24"/>
                <w:szCs w:val="24"/>
              </w:rPr>
              <w:t xml:space="preserve"> </w:t>
            </w:r>
            <w:r w:rsidRPr="009222F3">
              <w:rPr>
                <w:rFonts w:ascii="Arial" w:hAnsi="Arial" w:cs="Arial"/>
                <w:b/>
                <w:bCs/>
                <w:color w:val="000000" w:themeColor="text1"/>
                <w:sz w:val="24"/>
                <w:szCs w:val="24"/>
              </w:rPr>
              <w:t xml:space="preserve">for </w:t>
            </w:r>
            <w:r>
              <w:rPr>
                <w:rFonts w:ascii="Arial" w:hAnsi="Arial" w:cs="Arial"/>
                <w:b/>
                <w:bCs/>
                <w:color w:val="000000" w:themeColor="text1"/>
                <w:sz w:val="24"/>
                <w:szCs w:val="24"/>
              </w:rPr>
              <w:t xml:space="preserve">hospital </w:t>
            </w:r>
            <w:r w:rsidRPr="009222F3">
              <w:rPr>
                <w:rFonts w:ascii="Arial" w:hAnsi="Arial" w:cs="Arial"/>
                <w:b/>
                <w:bCs/>
                <w:color w:val="000000" w:themeColor="text1"/>
                <w:sz w:val="24"/>
                <w:szCs w:val="24"/>
              </w:rPr>
              <w:t>re</w:t>
            </w:r>
            <w:r>
              <w:rPr>
                <w:rFonts w:ascii="Arial" w:hAnsi="Arial" w:cs="Arial"/>
                <w:b/>
                <w:bCs/>
                <w:color w:val="000000" w:themeColor="text1"/>
                <w:sz w:val="24"/>
                <w:szCs w:val="24"/>
              </w:rPr>
              <w:t>-</w:t>
            </w:r>
            <w:r w:rsidRPr="009222F3">
              <w:rPr>
                <w:rFonts w:ascii="Arial" w:hAnsi="Arial" w:cs="Arial"/>
                <w:b/>
                <w:bCs/>
                <w:color w:val="000000" w:themeColor="text1"/>
                <w:sz w:val="24"/>
                <w:szCs w:val="24"/>
              </w:rPr>
              <w:t>admission</w:t>
            </w:r>
            <w:r>
              <w:rPr>
                <w:rFonts w:ascii="Arial" w:hAnsi="Arial" w:cs="Arial"/>
                <w:b/>
                <w:bCs/>
                <w:color w:val="000000" w:themeColor="text1"/>
                <w:sz w:val="24"/>
                <w:szCs w:val="24"/>
              </w:rPr>
              <w:t>s</w:t>
            </w:r>
          </w:p>
        </w:tc>
        <w:tc>
          <w:tcPr>
            <w:tcW w:w="4082" w:type="dxa"/>
            <w:gridSpan w:val="2"/>
          </w:tcPr>
          <w:p w14:paraId="31DC64F0" w14:textId="77777777" w:rsidR="004942B6" w:rsidRPr="00A9133E" w:rsidRDefault="004942B6" w:rsidP="002C2525">
            <w:pPr>
              <w:spacing w:line="360" w:lineRule="auto"/>
              <w:jc w:val="both"/>
              <w:rPr>
                <w:rFonts w:ascii="Arial" w:hAnsi="Arial" w:cs="Arial"/>
                <w:b/>
                <w:bCs/>
                <w:color w:val="000000" w:themeColor="text1"/>
                <w:sz w:val="24"/>
                <w:szCs w:val="24"/>
              </w:rPr>
            </w:pPr>
            <w:r w:rsidRPr="00A9133E">
              <w:rPr>
                <w:rFonts w:ascii="Arial" w:hAnsi="Arial" w:cs="Arial"/>
                <w:b/>
                <w:bCs/>
                <w:color w:val="000000" w:themeColor="text1"/>
                <w:sz w:val="24"/>
                <w:szCs w:val="24"/>
              </w:rPr>
              <w:t xml:space="preserve">Total number of admissions in ACS </w:t>
            </w:r>
            <w:r>
              <w:rPr>
                <w:rFonts w:ascii="Arial" w:hAnsi="Arial" w:cs="Arial"/>
                <w:b/>
                <w:bCs/>
                <w:color w:val="000000" w:themeColor="text1"/>
                <w:sz w:val="24"/>
                <w:szCs w:val="24"/>
              </w:rPr>
              <w:t xml:space="preserve">group </w:t>
            </w:r>
            <w:r w:rsidRPr="00A9133E">
              <w:rPr>
                <w:rFonts w:ascii="Arial" w:hAnsi="Arial" w:cs="Arial"/>
                <w:b/>
                <w:bCs/>
                <w:color w:val="000000" w:themeColor="text1"/>
                <w:sz w:val="24"/>
                <w:szCs w:val="24"/>
              </w:rPr>
              <w:t xml:space="preserve">(n=32) </w:t>
            </w:r>
          </w:p>
        </w:tc>
        <w:tc>
          <w:tcPr>
            <w:tcW w:w="3969" w:type="dxa"/>
            <w:gridSpan w:val="2"/>
          </w:tcPr>
          <w:p w14:paraId="6F192BEB" w14:textId="77777777" w:rsidR="004942B6" w:rsidRPr="00A9133E" w:rsidRDefault="004942B6" w:rsidP="002C2525">
            <w:pPr>
              <w:spacing w:line="360" w:lineRule="auto"/>
              <w:jc w:val="both"/>
              <w:rPr>
                <w:rFonts w:ascii="Arial" w:hAnsi="Arial" w:cs="Arial"/>
                <w:b/>
                <w:bCs/>
                <w:color w:val="000000" w:themeColor="text1"/>
                <w:sz w:val="24"/>
                <w:szCs w:val="24"/>
              </w:rPr>
            </w:pPr>
            <w:r w:rsidRPr="00A9133E">
              <w:rPr>
                <w:rFonts w:ascii="Arial" w:hAnsi="Arial" w:cs="Arial"/>
                <w:b/>
                <w:bCs/>
                <w:color w:val="000000" w:themeColor="text1"/>
                <w:sz w:val="24"/>
                <w:szCs w:val="24"/>
              </w:rPr>
              <w:t xml:space="preserve">Total number of admissions in </w:t>
            </w:r>
            <w:r>
              <w:rPr>
                <w:rFonts w:ascii="Arial" w:hAnsi="Arial" w:cs="Arial"/>
                <w:b/>
                <w:bCs/>
                <w:color w:val="000000" w:themeColor="text1"/>
                <w:sz w:val="24"/>
                <w:szCs w:val="24"/>
              </w:rPr>
              <w:t xml:space="preserve">the </w:t>
            </w:r>
            <w:r w:rsidRPr="00A9133E">
              <w:rPr>
                <w:rFonts w:ascii="Arial" w:hAnsi="Arial" w:cs="Arial"/>
                <w:b/>
                <w:bCs/>
                <w:color w:val="000000" w:themeColor="text1"/>
                <w:sz w:val="24"/>
                <w:szCs w:val="24"/>
              </w:rPr>
              <w:t xml:space="preserve">CCS </w:t>
            </w:r>
            <w:r>
              <w:rPr>
                <w:rFonts w:ascii="Arial" w:hAnsi="Arial" w:cs="Arial"/>
                <w:b/>
                <w:bCs/>
                <w:color w:val="000000" w:themeColor="text1"/>
                <w:sz w:val="24"/>
                <w:szCs w:val="24"/>
              </w:rPr>
              <w:t xml:space="preserve">group </w:t>
            </w:r>
            <w:r w:rsidRPr="00A9133E">
              <w:rPr>
                <w:rFonts w:ascii="Arial" w:hAnsi="Arial" w:cs="Arial"/>
                <w:b/>
                <w:bCs/>
                <w:color w:val="000000" w:themeColor="text1"/>
                <w:sz w:val="24"/>
                <w:szCs w:val="24"/>
              </w:rPr>
              <w:t>(n=25)</w:t>
            </w:r>
          </w:p>
        </w:tc>
      </w:tr>
      <w:tr w:rsidR="004942B6" w:rsidRPr="009222F3" w14:paraId="665C0AB7" w14:textId="77777777" w:rsidTr="002C2525">
        <w:trPr>
          <w:trHeight w:val="834"/>
        </w:trPr>
        <w:tc>
          <w:tcPr>
            <w:tcW w:w="1555" w:type="dxa"/>
            <w:vMerge/>
          </w:tcPr>
          <w:p w14:paraId="056FD877" w14:textId="77777777" w:rsidR="004942B6" w:rsidRPr="009222F3" w:rsidRDefault="004942B6" w:rsidP="002C2525">
            <w:pPr>
              <w:spacing w:line="360" w:lineRule="auto"/>
              <w:jc w:val="both"/>
              <w:rPr>
                <w:rFonts w:ascii="Arial" w:hAnsi="Arial" w:cs="Arial"/>
                <w:color w:val="000000" w:themeColor="text1"/>
                <w:sz w:val="24"/>
                <w:szCs w:val="24"/>
              </w:rPr>
            </w:pPr>
          </w:p>
        </w:tc>
        <w:tc>
          <w:tcPr>
            <w:tcW w:w="2268" w:type="dxa"/>
          </w:tcPr>
          <w:p w14:paraId="2ECFFF22"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Chest pain</w:t>
            </w:r>
          </w:p>
        </w:tc>
        <w:tc>
          <w:tcPr>
            <w:tcW w:w="1814" w:type="dxa"/>
          </w:tcPr>
          <w:p w14:paraId="7C7B9423"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18</w:t>
            </w:r>
            <w:r>
              <w:rPr>
                <w:rFonts w:ascii="Arial" w:hAnsi="Arial" w:cs="Arial"/>
                <w:color w:val="000000" w:themeColor="text1"/>
              </w:rPr>
              <w:t>/32</w:t>
            </w:r>
            <w:r w:rsidRPr="009222F3">
              <w:rPr>
                <w:rFonts w:ascii="Arial" w:hAnsi="Arial" w:cs="Arial"/>
                <w:color w:val="000000" w:themeColor="text1"/>
              </w:rPr>
              <w:t xml:space="preserve"> (56%)</w:t>
            </w:r>
          </w:p>
        </w:tc>
        <w:tc>
          <w:tcPr>
            <w:tcW w:w="1871" w:type="dxa"/>
          </w:tcPr>
          <w:p w14:paraId="2BEF0C49"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Elective PCI</w:t>
            </w:r>
          </w:p>
        </w:tc>
        <w:tc>
          <w:tcPr>
            <w:tcW w:w="2098" w:type="dxa"/>
          </w:tcPr>
          <w:p w14:paraId="0CB712E1"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9</w:t>
            </w:r>
            <w:r>
              <w:rPr>
                <w:rFonts w:ascii="Arial" w:hAnsi="Arial" w:cs="Arial"/>
                <w:color w:val="000000" w:themeColor="text1"/>
                <w:sz w:val="24"/>
                <w:szCs w:val="24"/>
              </w:rPr>
              <w:t>/25</w:t>
            </w:r>
            <w:r w:rsidRPr="009222F3">
              <w:rPr>
                <w:rFonts w:ascii="Arial" w:hAnsi="Arial" w:cs="Arial"/>
                <w:color w:val="000000" w:themeColor="text1"/>
                <w:sz w:val="24"/>
                <w:szCs w:val="24"/>
              </w:rPr>
              <w:t xml:space="preserve"> (36%)</w:t>
            </w:r>
          </w:p>
        </w:tc>
      </w:tr>
      <w:tr w:rsidR="004942B6" w:rsidRPr="009222F3" w14:paraId="17E116F3" w14:textId="77777777" w:rsidTr="002C2525">
        <w:trPr>
          <w:trHeight w:val="830"/>
        </w:trPr>
        <w:tc>
          <w:tcPr>
            <w:tcW w:w="1555" w:type="dxa"/>
            <w:vMerge/>
          </w:tcPr>
          <w:p w14:paraId="74140B88" w14:textId="77777777" w:rsidR="004942B6" w:rsidRPr="009222F3" w:rsidRDefault="004942B6" w:rsidP="002C2525">
            <w:pPr>
              <w:spacing w:line="360" w:lineRule="auto"/>
              <w:jc w:val="both"/>
              <w:rPr>
                <w:rFonts w:ascii="Arial" w:hAnsi="Arial" w:cs="Arial"/>
                <w:color w:val="000000" w:themeColor="text1"/>
                <w:sz w:val="24"/>
                <w:szCs w:val="24"/>
              </w:rPr>
            </w:pPr>
          </w:p>
        </w:tc>
        <w:tc>
          <w:tcPr>
            <w:tcW w:w="2268" w:type="dxa"/>
          </w:tcPr>
          <w:p w14:paraId="400B66AE"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NSTEMI</w:t>
            </w:r>
          </w:p>
        </w:tc>
        <w:tc>
          <w:tcPr>
            <w:tcW w:w="1814" w:type="dxa"/>
          </w:tcPr>
          <w:p w14:paraId="106EE7DF"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4</w:t>
            </w:r>
            <w:r>
              <w:rPr>
                <w:rFonts w:ascii="Arial" w:hAnsi="Arial" w:cs="Arial"/>
                <w:color w:val="000000" w:themeColor="text1"/>
              </w:rPr>
              <w:t>/32</w:t>
            </w:r>
            <w:r w:rsidRPr="009222F3">
              <w:rPr>
                <w:rFonts w:ascii="Arial" w:hAnsi="Arial" w:cs="Arial"/>
                <w:color w:val="000000" w:themeColor="text1"/>
              </w:rPr>
              <w:t xml:space="preserve"> (12.5%)</w:t>
            </w:r>
          </w:p>
        </w:tc>
        <w:tc>
          <w:tcPr>
            <w:tcW w:w="1871" w:type="dxa"/>
          </w:tcPr>
          <w:p w14:paraId="09C21481"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CABG</w:t>
            </w:r>
          </w:p>
        </w:tc>
        <w:tc>
          <w:tcPr>
            <w:tcW w:w="2098" w:type="dxa"/>
          </w:tcPr>
          <w:p w14:paraId="75995F11"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8</w:t>
            </w:r>
            <w:r>
              <w:rPr>
                <w:rFonts w:ascii="Arial" w:hAnsi="Arial" w:cs="Arial"/>
                <w:color w:val="000000" w:themeColor="text1"/>
                <w:sz w:val="24"/>
                <w:szCs w:val="24"/>
              </w:rPr>
              <w:t>/25</w:t>
            </w:r>
            <w:r w:rsidRPr="009222F3">
              <w:rPr>
                <w:rFonts w:ascii="Arial" w:hAnsi="Arial" w:cs="Arial"/>
                <w:color w:val="000000" w:themeColor="text1"/>
                <w:sz w:val="24"/>
                <w:szCs w:val="24"/>
              </w:rPr>
              <w:t xml:space="preserve"> (32%)</w:t>
            </w:r>
          </w:p>
        </w:tc>
      </w:tr>
      <w:tr w:rsidR="004942B6" w:rsidRPr="009222F3" w14:paraId="35E12865" w14:textId="77777777" w:rsidTr="002C2525">
        <w:trPr>
          <w:trHeight w:val="840"/>
        </w:trPr>
        <w:tc>
          <w:tcPr>
            <w:tcW w:w="1555" w:type="dxa"/>
            <w:vMerge/>
          </w:tcPr>
          <w:p w14:paraId="313A20D9" w14:textId="77777777" w:rsidR="004942B6" w:rsidRPr="009222F3" w:rsidRDefault="004942B6" w:rsidP="002C2525">
            <w:pPr>
              <w:spacing w:line="360" w:lineRule="auto"/>
              <w:jc w:val="both"/>
              <w:rPr>
                <w:rFonts w:ascii="Arial" w:hAnsi="Arial" w:cs="Arial"/>
                <w:color w:val="000000" w:themeColor="text1"/>
                <w:sz w:val="24"/>
                <w:szCs w:val="24"/>
              </w:rPr>
            </w:pPr>
          </w:p>
        </w:tc>
        <w:tc>
          <w:tcPr>
            <w:tcW w:w="2268" w:type="dxa"/>
          </w:tcPr>
          <w:p w14:paraId="1E0B03FE"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Unstable angina</w:t>
            </w:r>
          </w:p>
        </w:tc>
        <w:tc>
          <w:tcPr>
            <w:tcW w:w="1814" w:type="dxa"/>
          </w:tcPr>
          <w:p w14:paraId="27A4F4FA"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3</w:t>
            </w:r>
            <w:r>
              <w:rPr>
                <w:rFonts w:ascii="Arial" w:hAnsi="Arial" w:cs="Arial"/>
                <w:color w:val="000000" w:themeColor="text1"/>
              </w:rPr>
              <w:t>/32</w:t>
            </w:r>
            <w:r w:rsidRPr="009222F3">
              <w:rPr>
                <w:rFonts w:ascii="Arial" w:hAnsi="Arial" w:cs="Arial"/>
                <w:color w:val="000000" w:themeColor="text1"/>
              </w:rPr>
              <w:t xml:space="preserve"> (9.3%)</w:t>
            </w:r>
          </w:p>
        </w:tc>
        <w:tc>
          <w:tcPr>
            <w:tcW w:w="1871" w:type="dxa"/>
          </w:tcPr>
          <w:p w14:paraId="7E56DC28"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Chest pain</w:t>
            </w:r>
          </w:p>
        </w:tc>
        <w:tc>
          <w:tcPr>
            <w:tcW w:w="2098" w:type="dxa"/>
          </w:tcPr>
          <w:p w14:paraId="6548D35B"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4</w:t>
            </w:r>
            <w:r>
              <w:rPr>
                <w:rFonts w:ascii="Arial" w:hAnsi="Arial" w:cs="Arial"/>
                <w:color w:val="000000" w:themeColor="text1"/>
                <w:sz w:val="24"/>
                <w:szCs w:val="24"/>
              </w:rPr>
              <w:t>/25</w:t>
            </w:r>
            <w:r w:rsidRPr="009222F3">
              <w:rPr>
                <w:rFonts w:ascii="Arial" w:hAnsi="Arial" w:cs="Arial"/>
                <w:color w:val="000000" w:themeColor="text1"/>
                <w:sz w:val="24"/>
                <w:szCs w:val="24"/>
              </w:rPr>
              <w:t xml:space="preserve"> (12.5%)</w:t>
            </w:r>
          </w:p>
        </w:tc>
      </w:tr>
      <w:tr w:rsidR="004942B6" w:rsidRPr="009222F3" w14:paraId="235852D9" w14:textId="77777777" w:rsidTr="002C2525">
        <w:trPr>
          <w:trHeight w:val="778"/>
        </w:trPr>
        <w:tc>
          <w:tcPr>
            <w:tcW w:w="1555" w:type="dxa"/>
            <w:vMerge/>
          </w:tcPr>
          <w:p w14:paraId="19D77878" w14:textId="77777777" w:rsidR="004942B6" w:rsidRPr="009222F3" w:rsidRDefault="004942B6" w:rsidP="002C2525">
            <w:pPr>
              <w:spacing w:line="360" w:lineRule="auto"/>
              <w:jc w:val="both"/>
              <w:rPr>
                <w:rFonts w:ascii="Arial" w:hAnsi="Arial" w:cs="Arial"/>
                <w:color w:val="000000" w:themeColor="text1"/>
                <w:sz w:val="24"/>
                <w:szCs w:val="24"/>
              </w:rPr>
            </w:pPr>
          </w:p>
        </w:tc>
        <w:tc>
          <w:tcPr>
            <w:tcW w:w="2268" w:type="dxa"/>
          </w:tcPr>
          <w:p w14:paraId="7A355BE5"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CABG</w:t>
            </w:r>
          </w:p>
        </w:tc>
        <w:tc>
          <w:tcPr>
            <w:tcW w:w="1814" w:type="dxa"/>
          </w:tcPr>
          <w:p w14:paraId="6C136B42"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3</w:t>
            </w:r>
            <w:r>
              <w:rPr>
                <w:rFonts w:ascii="Arial" w:hAnsi="Arial" w:cs="Arial"/>
                <w:color w:val="000000" w:themeColor="text1"/>
              </w:rPr>
              <w:t>/32</w:t>
            </w:r>
            <w:r w:rsidRPr="009222F3">
              <w:rPr>
                <w:rFonts w:ascii="Arial" w:hAnsi="Arial" w:cs="Arial"/>
                <w:color w:val="000000" w:themeColor="text1"/>
              </w:rPr>
              <w:t xml:space="preserve"> (9.3%)</w:t>
            </w:r>
          </w:p>
        </w:tc>
        <w:tc>
          <w:tcPr>
            <w:tcW w:w="1871" w:type="dxa"/>
          </w:tcPr>
          <w:p w14:paraId="4006A19C"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Pericarditis</w:t>
            </w:r>
          </w:p>
        </w:tc>
        <w:tc>
          <w:tcPr>
            <w:tcW w:w="2098" w:type="dxa"/>
          </w:tcPr>
          <w:p w14:paraId="5972C765"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1</w:t>
            </w:r>
            <w:r>
              <w:rPr>
                <w:rFonts w:ascii="Arial" w:hAnsi="Arial" w:cs="Arial"/>
                <w:color w:val="000000" w:themeColor="text1"/>
                <w:sz w:val="24"/>
                <w:szCs w:val="24"/>
              </w:rPr>
              <w:t>/25</w:t>
            </w:r>
            <w:r w:rsidRPr="009222F3">
              <w:rPr>
                <w:rFonts w:ascii="Arial" w:hAnsi="Arial" w:cs="Arial"/>
                <w:color w:val="000000" w:themeColor="text1"/>
                <w:sz w:val="24"/>
                <w:szCs w:val="24"/>
              </w:rPr>
              <w:t xml:space="preserve"> (4%)</w:t>
            </w:r>
          </w:p>
        </w:tc>
      </w:tr>
      <w:tr w:rsidR="004942B6" w:rsidRPr="009222F3" w14:paraId="7C75DBD9" w14:textId="77777777" w:rsidTr="002C2525">
        <w:trPr>
          <w:trHeight w:val="776"/>
        </w:trPr>
        <w:tc>
          <w:tcPr>
            <w:tcW w:w="1555" w:type="dxa"/>
            <w:vMerge/>
          </w:tcPr>
          <w:p w14:paraId="0E6F0A8E" w14:textId="77777777" w:rsidR="004942B6" w:rsidRPr="009222F3" w:rsidRDefault="004942B6" w:rsidP="002C2525">
            <w:pPr>
              <w:spacing w:line="360" w:lineRule="auto"/>
              <w:jc w:val="both"/>
              <w:rPr>
                <w:rFonts w:ascii="Arial" w:hAnsi="Arial" w:cs="Arial"/>
                <w:color w:val="000000" w:themeColor="text1"/>
                <w:sz w:val="24"/>
                <w:szCs w:val="24"/>
              </w:rPr>
            </w:pPr>
          </w:p>
        </w:tc>
        <w:tc>
          <w:tcPr>
            <w:tcW w:w="2268" w:type="dxa"/>
          </w:tcPr>
          <w:p w14:paraId="54F49425"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 xml:space="preserve">Atrial </w:t>
            </w:r>
            <w:r>
              <w:rPr>
                <w:rFonts w:ascii="Arial" w:hAnsi="Arial" w:cs="Arial"/>
                <w:color w:val="000000" w:themeColor="text1"/>
              </w:rPr>
              <w:t>arrhythmia</w:t>
            </w:r>
          </w:p>
        </w:tc>
        <w:tc>
          <w:tcPr>
            <w:tcW w:w="1814" w:type="dxa"/>
          </w:tcPr>
          <w:p w14:paraId="45E42FE0"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2</w:t>
            </w:r>
            <w:r>
              <w:rPr>
                <w:rFonts w:ascii="Arial" w:hAnsi="Arial" w:cs="Arial"/>
                <w:color w:val="000000" w:themeColor="text1"/>
              </w:rPr>
              <w:t>/32</w:t>
            </w:r>
            <w:r w:rsidRPr="009222F3">
              <w:rPr>
                <w:rFonts w:ascii="Arial" w:hAnsi="Arial" w:cs="Arial"/>
                <w:color w:val="000000" w:themeColor="text1"/>
              </w:rPr>
              <w:t xml:space="preserve"> (6.2%)</w:t>
            </w:r>
          </w:p>
        </w:tc>
        <w:tc>
          <w:tcPr>
            <w:tcW w:w="1871" w:type="dxa"/>
          </w:tcPr>
          <w:p w14:paraId="5E0D7572"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Heart Failure</w:t>
            </w:r>
          </w:p>
        </w:tc>
        <w:tc>
          <w:tcPr>
            <w:tcW w:w="2098" w:type="dxa"/>
          </w:tcPr>
          <w:p w14:paraId="455F84C9"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1</w:t>
            </w:r>
            <w:r>
              <w:rPr>
                <w:rFonts w:ascii="Arial" w:hAnsi="Arial" w:cs="Arial"/>
                <w:color w:val="000000" w:themeColor="text1"/>
                <w:sz w:val="24"/>
                <w:szCs w:val="24"/>
              </w:rPr>
              <w:t>/25</w:t>
            </w:r>
            <w:r w:rsidRPr="009222F3">
              <w:rPr>
                <w:rFonts w:ascii="Arial" w:hAnsi="Arial" w:cs="Arial"/>
                <w:color w:val="000000" w:themeColor="text1"/>
                <w:sz w:val="24"/>
                <w:szCs w:val="24"/>
              </w:rPr>
              <w:t xml:space="preserve"> (4%)</w:t>
            </w:r>
          </w:p>
        </w:tc>
      </w:tr>
      <w:tr w:rsidR="004942B6" w:rsidRPr="009222F3" w14:paraId="6550750A" w14:textId="77777777" w:rsidTr="002C2525">
        <w:trPr>
          <w:trHeight w:val="58"/>
        </w:trPr>
        <w:tc>
          <w:tcPr>
            <w:tcW w:w="1555" w:type="dxa"/>
            <w:vMerge/>
          </w:tcPr>
          <w:p w14:paraId="508002F3" w14:textId="77777777" w:rsidR="004942B6" w:rsidRPr="009222F3" w:rsidRDefault="004942B6" w:rsidP="002C2525">
            <w:pPr>
              <w:spacing w:line="360" w:lineRule="auto"/>
              <w:jc w:val="both"/>
              <w:rPr>
                <w:rFonts w:ascii="Arial" w:hAnsi="Arial" w:cs="Arial"/>
                <w:color w:val="000000" w:themeColor="text1"/>
                <w:sz w:val="24"/>
                <w:szCs w:val="24"/>
              </w:rPr>
            </w:pPr>
          </w:p>
        </w:tc>
        <w:tc>
          <w:tcPr>
            <w:tcW w:w="2268" w:type="dxa"/>
          </w:tcPr>
          <w:p w14:paraId="59FE0C80"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Elective PCI</w:t>
            </w:r>
          </w:p>
        </w:tc>
        <w:tc>
          <w:tcPr>
            <w:tcW w:w="1814" w:type="dxa"/>
          </w:tcPr>
          <w:p w14:paraId="02327DBE"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1</w:t>
            </w:r>
            <w:r>
              <w:rPr>
                <w:rFonts w:ascii="Arial" w:hAnsi="Arial" w:cs="Arial"/>
                <w:color w:val="000000" w:themeColor="text1"/>
              </w:rPr>
              <w:t>/32</w:t>
            </w:r>
            <w:r w:rsidRPr="009222F3">
              <w:rPr>
                <w:rFonts w:ascii="Arial" w:hAnsi="Arial" w:cs="Arial"/>
                <w:color w:val="000000" w:themeColor="text1"/>
              </w:rPr>
              <w:t xml:space="preserve"> (3.1%)</w:t>
            </w:r>
          </w:p>
        </w:tc>
        <w:tc>
          <w:tcPr>
            <w:tcW w:w="1871" w:type="dxa"/>
          </w:tcPr>
          <w:p w14:paraId="660EA36F"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Diuretics dose adjustment</w:t>
            </w:r>
          </w:p>
        </w:tc>
        <w:tc>
          <w:tcPr>
            <w:tcW w:w="2098" w:type="dxa"/>
          </w:tcPr>
          <w:p w14:paraId="5AA0C91E"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1</w:t>
            </w:r>
            <w:r>
              <w:rPr>
                <w:rFonts w:ascii="Arial" w:hAnsi="Arial" w:cs="Arial"/>
                <w:color w:val="000000" w:themeColor="text1"/>
                <w:sz w:val="24"/>
                <w:szCs w:val="24"/>
              </w:rPr>
              <w:t>/25</w:t>
            </w:r>
            <w:r w:rsidRPr="009222F3">
              <w:rPr>
                <w:rFonts w:ascii="Arial" w:hAnsi="Arial" w:cs="Arial"/>
                <w:color w:val="000000" w:themeColor="text1"/>
                <w:sz w:val="24"/>
                <w:szCs w:val="24"/>
              </w:rPr>
              <w:t xml:space="preserve"> (4%)</w:t>
            </w:r>
          </w:p>
        </w:tc>
      </w:tr>
      <w:tr w:rsidR="004942B6" w:rsidRPr="009222F3" w14:paraId="323C2FBD" w14:textId="77777777" w:rsidTr="002C2525">
        <w:trPr>
          <w:trHeight w:val="762"/>
        </w:trPr>
        <w:tc>
          <w:tcPr>
            <w:tcW w:w="1555" w:type="dxa"/>
            <w:vMerge/>
          </w:tcPr>
          <w:p w14:paraId="5AA6E51C" w14:textId="77777777" w:rsidR="004942B6" w:rsidRPr="009222F3" w:rsidRDefault="004942B6" w:rsidP="002C2525">
            <w:pPr>
              <w:spacing w:line="360" w:lineRule="auto"/>
              <w:jc w:val="both"/>
              <w:rPr>
                <w:rFonts w:ascii="Arial" w:hAnsi="Arial" w:cs="Arial"/>
                <w:color w:val="000000" w:themeColor="text1"/>
                <w:sz w:val="24"/>
                <w:szCs w:val="24"/>
              </w:rPr>
            </w:pPr>
          </w:p>
        </w:tc>
        <w:tc>
          <w:tcPr>
            <w:tcW w:w="2268" w:type="dxa"/>
          </w:tcPr>
          <w:p w14:paraId="4FB05344"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Repeat CAG</w:t>
            </w:r>
          </w:p>
        </w:tc>
        <w:tc>
          <w:tcPr>
            <w:tcW w:w="1814" w:type="dxa"/>
          </w:tcPr>
          <w:p w14:paraId="3A77275A"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1</w:t>
            </w:r>
            <w:r>
              <w:rPr>
                <w:rFonts w:ascii="Arial" w:hAnsi="Arial" w:cs="Arial"/>
                <w:color w:val="000000" w:themeColor="text1"/>
              </w:rPr>
              <w:t>/32</w:t>
            </w:r>
            <w:r w:rsidRPr="009222F3">
              <w:rPr>
                <w:rFonts w:ascii="Arial" w:hAnsi="Arial" w:cs="Arial"/>
                <w:color w:val="000000" w:themeColor="text1"/>
              </w:rPr>
              <w:t xml:space="preserve"> (3.1%)</w:t>
            </w:r>
          </w:p>
        </w:tc>
        <w:tc>
          <w:tcPr>
            <w:tcW w:w="1871" w:type="dxa"/>
          </w:tcPr>
          <w:p w14:paraId="082D84C3" w14:textId="77777777" w:rsidR="004942B6" w:rsidRPr="009222F3" w:rsidRDefault="004942B6" w:rsidP="002C2525">
            <w:pPr>
              <w:spacing w:line="360" w:lineRule="auto"/>
              <w:jc w:val="both"/>
              <w:rPr>
                <w:rFonts w:ascii="Arial" w:hAnsi="Arial" w:cs="Arial"/>
                <w:color w:val="000000" w:themeColor="text1"/>
              </w:rPr>
            </w:pPr>
            <w:r w:rsidRPr="009222F3">
              <w:rPr>
                <w:rFonts w:ascii="Arial" w:hAnsi="Arial" w:cs="Arial"/>
                <w:color w:val="000000" w:themeColor="text1"/>
              </w:rPr>
              <w:t>Defibrillator shock</w:t>
            </w:r>
            <w:r>
              <w:rPr>
                <w:rFonts w:ascii="Arial" w:hAnsi="Arial" w:cs="Arial"/>
                <w:color w:val="000000" w:themeColor="text1"/>
              </w:rPr>
              <w:t>ed</w:t>
            </w:r>
          </w:p>
        </w:tc>
        <w:tc>
          <w:tcPr>
            <w:tcW w:w="2098" w:type="dxa"/>
          </w:tcPr>
          <w:p w14:paraId="554AD0E1"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1</w:t>
            </w:r>
            <w:r>
              <w:rPr>
                <w:rFonts w:ascii="Arial" w:hAnsi="Arial" w:cs="Arial"/>
                <w:color w:val="000000" w:themeColor="text1"/>
                <w:sz w:val="24"/>
                <w:szCs w:val="24"/>
              </w:rPr>
              <w:t>/25</w:t>
            </w:r>
            <w:r w:rsidRPr="009222F3">
              <w:rPr>
                <w:rFonts w:ascii="Arial" w:hAnsi="Arial" w:cs="Arial"/>
                <w:color w:val="000000" w:themeColor="text1"/>
                <w:sz w:val="24"/>
                <w:szCs w:val="24"/>
              </w:rPr>
              <w:t xml:space="preserve"> (4%)</w:t>
            </w:r>
          </w:p>
        </w:tc>
      </w:tr>
    </w:tbl>
    <w:p w14:paraId="4A0043FF" w14:textId="77777777" w:rsidR="004942B6" w:rsidRDefault="004942B6" w:rsidP="004942B6">
      <w:pPr>
        <w:pStyle w:val="Heading3"/>
        <w:spacing w:line="360" w:lineRule="auto"/>
        <w:rPr>
          <w:rFonts w:ascii="Arial" w:hAnsi="Arial" w:cs="Arial"/>
          <w:color w:val="4472C4" w:themeColor="accent1"/>
        </w:rPr>
      </w:pPr>
    </w:p>
    <w:p w14:paraId="57E8B9D0" w14:textId="6D80EDB5" w:rsidR="004942B6" w:rsidRPr="006D7F05" w:rsidRDefault="004942B6" w:rsidP="004942B6">
      <w:pPr>
        <w:pStyle w:val="Heading3"/>
        <w:spacing w:line="360" w:lineRule="auto"/>
        <w:rPr>
          <w:rFonts w:ascii="Arial" w:hAnsi="Arial" w:cs="Arial"/>
          <w:color w:val="4472C4" w:themeColor="accent1"/>
          <w:sz w:val="24"/>
          <w:szCs w:val="24"/>
        </w:rPr>
      </w:pPr>
      <w:bookmarkStart w:id="863" w:name="_Toc170076070"/>
      <w:bookmarkStart w:id="864" w:name="_Toc171203144"/>
      <w:bookmarkStart w:id="865" w:name="_Toc171203915"/>
      <w:r w:rsidRPr="006D7F05">
        <w:rPr>
          <w:rFonts w:ascii="Arial" w:hAnsi="Arial" w:cs="Arial"/>
          <w:color w:val="4472C4" w:themeColor="accent1"/>
          <w:sz w:val="24"/>
          <w:szCs w:val="24"/>
        </w:rPr>
        <w:t>3.1.</w:t>
      </w:r>
      <w:r w:rsidR="00D41D7B">
        <w:rPr>
          <w:rFonts w:ascii="Arial" w:hAnsi="Arial" w:cs="Arial"/>
          <w:color w:val="4472C4" w:themeColor="accent1"/>
          <w:sz w:val="24"/>
          <w:szCs w:val="24"/>
        </w:rPr>
        <w:t>5</w:t>
      </w:r>
      <w:r w:rsidRPr="006D7F05">
        <w:rPr>
          <w:rFonts w:ascii="Arial" w:hAnsi="Arial" w:cs="Arial"/>
          <w:color w:val="4472C4" w:themeColor="accent1"/>
          <w:sz w:val="24"/>
          <w:szCs w:val="24"/>
        </w:rPr>
        <w:t xml:space="preserve"> Repeat revascularisation procedures</w:t>
      </w:r>
      <w:bookmarkEnd w:id="863"/>
      <w:bookmarkEnd w:id="864"/>
      <w:bookmarkEnd w:id="865"/>
    </w:p>
    <w:p w14:paraId="162D4545" w14:textId="7B93C9F7" w:rsidR="004942B6" w:rsidRPr="006D7F05" w:rsidRDefault="004942B6" w:rsidP="004942B6">
      <w:pPr>
        <w:pStyle w:val="Caption"/>
        <w:spacing w:line="360" w:lineRule="auto"/>
        <w:jc w:val="both"/>
        <w:rPr>
          <w:color w:val="000000" w:themeColor="text1"/>
          <w:sz w:val="24"/>
          <w:szCs w:val="24"/>
        </w:rPr>
      </w:pPr>
      <w:r w:rsidRPr="006D7F05">
        <w:rPr>
          <w:rFonts w:ascii="Arial" w:hAnsi="Arial" w:cs="Arial"/>
          <w:i w:val="0"/>
          <w:iCs w:val="0"/>
          <w:color w:val="auto"/>
          <w:sz w:val="24"/>
          <w:szCs w:val="24"/>
        </w:rPr>
        <w:t xml:space="preserve">In the ACS group, 5/180 (2.7%) patients required repeat revascularisation procedures, of which 4/5 (80%) had an acute PCI due to MI and 1/5 (20%) had an elective procedure due to persistent anginal symptoms. In the CCS group, 7/86 (8.1%) patients required repeat revascularisation; 5/7 (71.4%) had an elective PCI due to angina (who were initially treated with OMT), 1/7 (14.2%) had an acute PCI due to MI and 1/7 (14.2%) had to undergo an urgent CABG due to PCI complication. These results are shown in context in Figure </w:t>
      </w:r>
      <w:r w:rsidR="003A374C">
        <w:rPr>
          <w:rFonts w:ascii="Arial" w:hAnsi="Arial" w:cs="Arial"/>
          <w:i w:val="0"/>
          <w:iCs w:val="0"/>
          <w:color w:val="auto"/>
          <w:sz w:val="24"/>
          <w:szCs w:val="24"/>
        </w:rPr>
        <w:t>2</w:t>
      </w:r>
      <w:r w:rsidR="004E0578">
        <w:rPr>
          <w:rFonts w:ascii="Arial" w:hAnsi="Arial" w:cs="Arial"/>
          <w:i w:val="0"/>
          <w:iCs w:val="0"/>
          <w:color w:val="auto"/>
          <w:sz w:val="24"/>
          <w:szCs w:val="24"/>
        </w:rPr>
        <w:t>8</w:t>
      </w:r>
      <w:r w:rsidRPr="006D7F05">
        <w:rPr>
          <w:rFonts w:ascii="Arial" w:hAnsi="Arial" w:cs="Arial"/>
          <w:i w:val="0"/>
          <w:iCs w:val="0"/>
          <w:color w:val="auto"/>
          <w:sz w:val="24"/>
          <w:szCs w:val="24"/>
        </w:rPr>
        <w:t>.</w:t>
      </w:r>
    </w:p>
    <w:p w14:paraId="61C72056" w14:textId="77777777" w:rsidR="004942B6" w:rsidRPr="009222F3" w:rsidRDefault="004942B6" w:rsidP="004942B6">
      <w:pPr>
        <w:pStyle w:val="Caption"/>
        <w:rPr>
          <w:color w:val="000000" w:themeColor="text1"/>
        </w:rPr>
      </w:pPr>
      <w:r>
        <w:rPr>
          <w:i w:val="0"/>
          <w:iCs w:val="0"/>
          <w:noProof/>
          <w:color w:val="auto"/>
          <w:sz w:val="16"/>
          <w:szCs w:val="16"/>
          <w:lang w:eastAsia="en-GB"/>
        </w:rPr>
        <w:lastRenderedPageBreak/>
        <w:drawing>
          <wp:inline distT="0" distB="0" distL="0" distR="0" wp14:anchorId="2C699716" wp14:editId="69D5E81A">
            <wp:extent cx="5683986" cy="4868779"/>
            <wp:effectExtent l="0" t="0" r="0" b="0"/>
            <wp:docPr id="430882341" name="Picture 430882341" descr="A graph of numbers and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82341" name="Picture 22" descr="A graph of numbers and a bar&#10;&#10;Description automatically generated with medium confidence"/>
                    <pic:cNvPicPr/>
                  </pic:nvPicPr>
                  <pic:blipFill rotWithShape="1">
                    <a:blip r:embed="rId45" cstate="print">
                      <a:extLst>
                        <a:ext uri="{BEBA8EAE-BF5A-486C-A8C5-ECC9F3942E4B}">
                          <a14:imgProps xmlns:a14="http://schemas.microsoft.com/office/drawing/2010/main">
                            <a14:imgLayer r:embed="rId4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2736" t="4199" r="17991" b="11030"/>
                    <a:stretch/>
                  </pic:blipFill>
                  <pic:spPr bwMode="auto">
                    <a:xfrm>
                      <a:off x="0" y="0"/>
                      <a:ext cx="5694010" cy="4877365"/>
                    </a:xfrm>
                    <a:prstGeom prst="rect">
                      <a:avLst/>
                    </a:prstGeom>
                    <a:ln>
                      <a:noFill/>
                    </a:ln>
                    <a:extLst>
                      <a:ext uri="{53640926-AAD7-44D8-BBD7-CCE9431645EC}">
                        <a14:shadowObscured xmlns:a14="http://schemas.microsoft.com/office/drawing/2010/main"/>
                      </a:ext>
                    </a:extLst>
                  </pic:spPr>
                </pic:pic>
              </a:graphicData>
            </a:graphic>
          </wp:inline>
        </w:drawing>
      </w:r>
    </w:p>
    <w:p w14:paraId="2F306CE4" w14:textId="7F6919D9" w:rsidR="004942B6" w:rsidRDefault="004942B6" w:rsidP="004942B6">
      <w:pPr>
        <w:spacing w:line="360" w:lineRule="auto"/>
        <w:jc w:val="both"/>
        <w:rPr>
          <w:rFonts w:ascii="Arial" w:hAnsi="Arial" w:cs="Arial"/>
          <w:color w:val="000000" w:themeColor="text1"/>
          <w:sz w:val="24"/>
          <w:szCs w:val="24"/>
        </w:rPr>
      </w:pPr>
      <w:bookmarkStart w:id="866" w:name="_Toc145055737"/>
      <w:bookmarkStart w:id="867" w:name="_Toc150518909"/>
      <w:bookmarkStart w:id="868" w:name="_Toc151222846"/>
      <w:bookmarkStart w:id="869" w:name="_Toc151626686"/>
      <w:bookmarkStart w:id="870" w:name="_Toc152340480"/>
      <w:bookmarkStart w:id="871" w:name="_Toc152492273"/>
      <w:bookmarkStart w:id="872" w:name="_Toc152596960"/>
      <w:bookmarkStart w:id="873" w:name="_Toc153409667"/>
      <w:bookmarkStart w:id="874" w:name="_Toc153724914"/>
      <w:bookmarkStart w:id="875" w:name="_Toc159318500"/>
      <w:bookmarkStart w:id="876" w:name="_Toc159612026"/>
      <w:bookmarkStart w:id="877" w:name="_Toc160982672"/>
      <w:bookmarkStart w:id="878" w:name="_Toc164697498"/>
      <w:bookmarkStart w:id="879" w:name="_Toc170744590"/>
      <w:bookmarkStart w:id="880" w:name="_Toc196153220"/>
      <w:r w:rsidRPr="001533F8">
        <w:rPr>
          <w:rFonts w:ascii="Arial" w:hAnsi="Arial" w:cs="Arial"/>
          <w:b/>
          <w:bCs/>
          <w:i/>
          <w:iCs/>
          <w:color w:val="000000" w:themeColor="text1"/>
          <w:sz w:val="20"/>
          <w:szCs w:val="20"/>
        </w:rPr>
        <w:t xml:space="preserve">Figure </w:t>
      </w:r>
      <w:r w:rsidRPr="001533F8">
        <w:rPr>
          <w:rFonts w:ascii="Arial" w:hAnsi="Arial" w:cs="Arial"/>
          <w:b/>
          <w:bCs/>
          <w:i/>
          <w:iCs/>
          <w:color w:val="000000" w:themeColor="text1"/>
          <w:sz w:val="20"/>
          <w:szCs w:val="20"/>
        </w:rPr>
        <w:fldChar w:fldCharType="begin"/>
      </w:r>
      <w:r w:rsidRPr="001533F8">
        <w:rPr>
          <w:rFonts w:ascii="Arial" w:hAnsi="Arial" w:cs="Arial"/>
          <w:b/>
          <w:bCs/>
          <w:i/>
          <w:iCs/>
          <w:color w:val="000000" w:themeColor="text1"/>
          <w:sz w:val="20"/>
          <w:szCs w:val="20"/>
        </w:rPr>
        <w:instrText xml:space="preserve"> SEQ Figure \* ARABIC </w:instrText>
      </w:r>
      <w:r w:rsidRPr="001533F8">
        <w:rPr>
          <w:rFonts w:ascii="Arial" w:hAnsi="Arial" w:cs="Arial"/>
          <w:b/>
          <w:bCs/>
          <w:i/>
          <w:iCs/>
          <w:color w:val="000000" w:themeColor="text1"/>
          <w:sz w:val="20"/>
          <w:szCs w:val="20"/>
        </w:rPr>
        <w:fldChar w:fldCharType="separate"/>
      </w:r>
      <w:r w:rsidR="001823B4">
        <w:rPr>
          <w:rFonts w:ascii="Arial" w:hAnsi="Arial" w:cs="Arial"/>
          <w:b/>
          <w:bCs/>
          <w:i/>
          <w:iCs/>
          <w:noProof/>
          <w:color w:val="000000" w:themeColor="text1"/>
          <w:sz w:val="20"/>
          <w:szCs w:val="20"/>
        </w:rPr>
        <w:t>28</w:t>
      </w:r>
      <w:r w:rsidRPr="001533F8">
        <w:rPr>
          <w:rFonts w:ascii="Arial" w:hAnsi="Arial" w:cs="Arial"/>
          <w:b/>
          <w:bCs/>
          <w:i/>
          <w:iCs/>
          <w:noProof/>
          <w:color w:val="000000" w:themeColor="text1"/>
          <w:sz w:val="20"/>
          <w:szCs w:val="20"/>
        </w:rPr>
        <w:fldChar w:fldCharType="end"/>
      </w:r>
      <w:r w:rsidRPr="001533F8">
        <w:rPr>
          <w:rFonts w:ascii="Arial" w:hAnsi="Arial" w:cs="Arial"/>
          <w:b/>
          <w:bCs/>
          <w:i/>
          <w:iCs/>
          <w:color w:val="000000" w:themeColor="text1"/>
          <w:sz w:val="20"/>
          <w:szCs w:val="20"/>
        </w:rPr>
        <w:t>:</w:t>
      </w:r>
      <w:r w:rsidRPr="001533F8">
        <w:rPr>
          <w:rFonts w:ascii="Arial" w:hAnsi="Arial" w:cs="Arial"/>
          <w:i/>
          <w:iCs/>
          <w:color w:val="000000" w:themeColor="text1"/>
          <w:sz w:val="20"/>
          <w:szCs w:val="20"/>
        </w:rPr>
        <w:t xml:space="preserve"> Repeat revascularisation at one</w:t>
      </w:r>
      <w:r>
        <w:rPr>
          <w:rFonts w:ascii="Arial" w:hAnsi="Arial" w:cs="Arial"/>
          <w:i/>
          <w:iCs/>
          <w:color w:val="000000" w:themeColor="text1"/>
          <w:sz w:val="20"/>
          <w:szCs w:val="20"/>
        </w:rPr>
        <w:t>-</w:t>
      </w:r>
      <w:r w:rsidRPr="001533F8">
        <w:rPr>
          <w:rFonts w:ascii="Arial" w:hAnsi="Arial" w:cs="Arial"/>
          <w:i/>
          <w:iCs/>
          <w:color w:val="000000" w:themeColor="text1"/>
          <w:sz w:val="20"/>
          <w:szCs w:val="20"/>
        </w:rPr>
        <w:t>year follow-up</w:t>
      </w:r>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p>
    <w:p w14:paraId="6FCE4503" w14:textId="77777777" w:rsidR="004942B6" w:rsidRDefault="004942B6" w:rsidP="004942B6">
      <w:pPr>
        <w:pStyle w:val="Heading3"/>
        <w:spacing w:line="360" w:lineRule="auto"/>
        <w:rPr>
          <w:rFonts w:ascii="Arial" w:hAnsi="Arial" w:cs="Arial"/>
          <w:color w:val="4472C4" w:themeColor="accent1"/>
        </w:rPr>
      </w:pPr>
    </w:p>
    <w:p w14:paraId="573A6A4A" w14:textId="66B4E1A7" w:rsidR="004942B6" w:rsidRPr="00DF2C05" w:rsidRDefault="004942B6" w:rsidP="004942B6">
      <w:pPr>
        <w:pStyle w:val="Heading3"/>
        <w:spacing w:line="360" w:lineRule="auto"/>
        <w:rPr>
          <w:rFonts w:ascii="Arial" w:hAnsi="Arial" w:cs="Arial"/>
          <w:color w:val="4472C4" w:themeColor="accent1"/>
          <w:sz w:val="24"/>
          <w:szCs w:val="24"/>
        </w:rPr>
      </w:pPr>
      <w:bookmarkStart w:id="881" w:name="_Toc170076071"/>
      <w:bookmarkStart w:id="882" w:name="_Toc171203145"/>
      <w:bookmarkStart w:id="883" w:name="_Toc171203916"/>
      <w:r w:rsidRPr="00DF2C05">
        <w:rPr>
          <w:rFonts w:ascii="Arial" w:hAnsi="Arial" w:cs="Arial"/>
          <w:color w:val="4472C4" w:themeColor="accent1"/>
          <w:sz w:val="24"/>
          <w:szCs w:val="24"/>
        </w:rPr>
        <w:t>3.1.</w:t>
      </w:r>
      <w:r w:rsidR="00D41D7B">
        <w:rPr>
          <w:rFonts w:ascii="Arial" w:hAnsi="Arial" w:cs="Arial"/>
          <w:color w:val="4472C4" w:themeColor="accent1"/>
          <w:sz w:val="24"/>
          <w:szCs w:val="24"/>
        </w:rPr>
        <w:t>6</w:t>
      </w:r>
      <w:r w:rsidRPr="00DF2C05">
        <w:rPr>
          <w:rFonts w:ascii="Arial" w:hAnsi="Arial" w:cs="Arial"/>
          <w:color w:val="4472C4" w:themeColor="accent1"/>
          <w:sz w:val="24"/>
          <w:szCs w:val="24"/>
        </w:rPr>
        <w:t xml:space="preserve"> Number of anti-anginal medications at follow-up</w:t>
      </w:r>
      <w:bookmarkEnd w:id="881"/>
      <w:bookmarkEnd w:id="882"/>
      <w:bookmarkEnd w:id="883"/>
    </w:p>
    <w:p w14:paraId="770C8FCA" w14:textId="0A80392E" w:rsidR="004942B6" w:rsidRDefault="004942B6" w:rsidP="004942B6">
      <w:pPr>
        <w:spacing w:line="360" w:lineRule="auto"/>
        <w:jc w:val="both"/>
        <w:rPr>
          <w:rFonts w:ascii="Arial" w:hAnsi="Arial" w:cs="Arial"/>
          <w:sz w:val="24"/>
          <w:szCs w:val="24"/>
        </w:rPr>
      </w:pPr>
      <w:bookmarkStart w:id="884" w:name="_Toc135331846"/>
      <w:r w:rsidRPr="009E641F">
        <w:rPr>
          <w:rFonts w:ascii="Arial" w:hAnsi="Arial" w:cs="Arial"/>
          <w:sz w:val="24"/>
          <w:szCs w:val="24"/>
        </w:rPr>
        <w:t>In the ACS group, the mean number of anti-anginal medications at baseline and follow-up was 0.14 ± 0.35 and 1.13 ± 0.69, respectively (p&lt;0.01). Most of the CCS patients were already established on two anti-anginal medications before any invasive CAG was planned. Hence, the equivalent numbers in the CCS group were 1.71</w:t>
      </w:r>
      <w:r>
        <w:rPr>
          <w:rFonts w:ascii="Arial" w:hAnsi="Arial" w:cs="Arial"/>
          <w:sz w:val="24"/>
          <w:szCs w:val="24"/>
        </w:rPr>
        <w:t xml:space="preserve"> </w:t>
      </w:r>
      <w:r w:rsidRPr="009E641F">
        <w:rPr>
          <w:rFonts w:ascii="Arial" w:hAnsi="Arial" w:cs="Arial"/>
          <w:sz w:val="24"/>
          <w:szCs w:val="24"/>
        </w:rPr>
        <w:t>±</w:t>
      </w:r>
      <w:r>
        <w:rPr>
          <w:rFonts w:ascii="Arial" w:hAnsi="Arial" w:cs="Arial"/>
          <w:sz w:val="24"/>
          <w:szCs w:val="24"/>
        </w:rPr>
        <w:t xml:space="preserve"> </w:t>
      </w:r>
      <w:r w:rsidRPr="009E641F">
        <w:rPr>
          <w:rFonts w:ascii="Arial" w:hAnsi="Arial" w:cs="Arial"/>
          <w:sz w:val="24"/>
          <w:szCs w:val="24"/>
        </w:rPr>
        <w:t>0</w:t>
      </w:r>
      <w:r>
        <w:rPr>
          <w:rFonts w:ascii="Arial" w:hAnsi="Arial" w:cs="Arial"/>
          <w:sz w:val="24"/>
          <w:szCs w:val="24"/>
        </w:rPr>
        <w:t>.</w:t>
      </w:r>
      <w:r w:rsidRPr="009E641F">
        <w:rPr>
          <w:rFonts w:ascii="Arial" w:hAnsi="Arial" w:cs="Arial"/>
          <w:sz w:val="24"/>
          <w:szCs w:val="24"/>
        </w:rPr>
        <w:t>95 and 1.64</w:t>
      </w:r>
      <w:r>
        <w:rPr>
          <w:rFonts w:ascii="Arial" w:hAnsi="Arial" w:cs="Arial"/>
          <w:sz w:val="24"/>
          <w:szCs w:val="24"/>
        </w:rPr>
        <w:t xml:space="preserve"> </w:t>
      </w:r>
      <w:r w:rsidRPr="009E641F">
        <w:rPr>
          <w:rFonts w:ascii="Arial" w:hAnsi="Arial" w:cs="Arial"/>
          <w:sz w:val="24"/>
          <w:szCs w:val="24"/>
        </w:rPr>
        <w:t>±</w:t>
      </w:r>
      <w:r>
        <w:rPr>
          <w:rFonts w:ascii="Arial" w:hAnsi="Arial" w:cs="Arial"/>
          <w:sz w:val="24"/>
          <w:szCs w:val="24"/>
        </w:rPr>
        <w:t xml:space="preserve"> </w:t>
      </w:r>
      <w:r w:rsidRPr="009E641F">
        <w:rPr>
          <w:rFonts w:ascii="Arial" w:hAnsi="Arial" w:cs="Arial"/>
          <w:sz w:val="24"/>
          <w:szCs w:val="24"/>
        </w:rPr>
        <w:t>0.83 at baseline and follow-up, respectively (p=0.53). The</w:t>
      </w:r>
      <w:r>
        <w:rPr>
          <w:rFonts w:ascii="Arial" w:hAnsi="Arial" w:cs="Arial"/>
          <w:sz w:val="24"/>
          <w:szCs w:val="24"/>
        </w:rPr>
        <w:t>se data are shown</w:t>
      </w:r>
      <w:r w:rsidRPr="009E641F">
        <w:rPr>
          <w:rFonts w:ascii="Arial" w:hAnsi="Arial" w:cs="Arial"/>
          <w:sz w:val="24"/>
          <w:szCs w:val="24"/>
        </w:rPr>
        <w:t xml:space="preserve"> in Figure </w:t>
      </w:r>
      <w:r w:rsidR="004E0578">
        <w:rPr>
          <w:rFonts w:ascii="Arial" w:hAnsi="Arial" w:cs="Arial"/>
          <w:sz w:val="24"/>
          <w:szCs w:val="24"/>
        </w:rPr>
        <w:t>29</w:t>
      </w:r>
      <w:r w:rsidRPr="009E641F">
        <w:rPr>
          <w:rFonts w:ascii="Arial" w:hAnsi="Arial" w:cs="Arial"/>
          <w:sz w:val="24"/>
          <w:szCs w:val="24"/>
        </w:rPr>
        <w:t xml:space="preserve">. </w:t>
      </w:r>
    </w:p>
    <w:p w14:paraId="37F542B4" w14:textId="77777777" w:rsidR="004942B6" w:rsidRDefault="004942B6" w:rsidP="004942B6">
      <w:pPr>
        <w:spacing w:line="360" w:lineRule="auto"/>
        <w:jc w:val="both"/>
        <w:rPr>
          <w:rFonts w:ascii="Arial" w:hAnsi="Arial" w:cs="Arial"/>
          <w:sz w:val="24"/>
          <w:szCs w:val="24"/>
        </w:rPr>
      </w:pPr>
    </w:p>
    <w:p w14:paraId="570CB2DB" w14:textId="77777777" w:rsidR="004942B6" w:rsidRPr="009222F3" w:rsidRDefault="004942B6" w:rsidP="004942B6">
      <w:pPr>
        <w:spacing w:line="360" w:lineRule="auto"/>
        <w:jc w:val="both"/>
        <w:rPr>
          <w:rFonts w:ascii="Arial" w:hAnsi="Arial" w:cs="Arial"/>
          <w:color w:val="000000" w:themeColor="text1"/>
          <w:sz w:val="24"/>
          <w:szCs w:val="24"/>
        </w:rPr>
      </w:pPr>
      <w:r>
        <w:rPr>
          <w:rFonts w:ascii="Arial" w:hAnsi="Arial" w:cs="Arial"/>
          <w:noProof/>
          <w:color w:val="000000" w:themeColor="text1"/>
          <w:sz w:val="24"/>
          <w:szCs w:val="24"/>
          <w:lang w:eastAsia="en-GB"/>
        </w:rPr>
        <w:lastRenderedPageBreak/>
        <w:drawing>
          <wp:inline distT="0" distB="0" distL="0" distR="0" wp14:anchorId="4E3627BA" wp14:editId="17704888">
            <wp:extent cx="6078220" cy="2941320"/>
            <wp:effectExtent l="0" t="0" r="0" b="0"/>
            <wp:docPr id="1423616947" name="Picture 1423616947" descr="A graph of different sizes an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16947" name="Picture 16" descr="A graph of different sizes and shapes&#10;&#10;Description automatically generated with medium confidence"/>
                    <pic:cNvPicPr/>
                  </pic:nvPicPr>
                  <pic:blipFill rotWithShape="1">
                    <a:blip r:embed="rId47" cstate="print">
                      <a:extLst>
                        <a:ext uri="{BEBA8EAE-BF5A-486C-A8C5-ECC9F3942E4B}">
                          <a14:imgProps xmlns:a14="http://schemas.microsoft.com/office/drawing/2010/main">
                            <a14:imgLayer r:embed="rId48">
                              <a14:imgEffect>
                                <a14:sharpenSoften amount="25000"/>
                              </a14:imgEffect>
                              <a14:imgEffect>
                                <a14:brightnessContrast bright="13000" contrast="17000"/>
                              </a14:imgEffect>
                            </a14:imgLayer>
                          </a14:imgProps>
                        </a:ext>
                        <a:ext uri="{28A0092B-C50C-407E-A947-70E740481C1C}">
                          <a14:useLocalDpi xmlns:a14="http://schemas.microsoft.com/office/drawing/2010/main" val="0"/>
                        </a:ext>
                      </a:extLst>
                    </a:blip>
                    <a:srcRect l="5040" t="12396" r="6236" b="29380"/>
                    <a:stretch/>
                  </pic:blipFill>
                  <pic:spPr bwMode="auto">
                    <a:xfrm>
                      <a:off x="0" y="0"/>
                      <a:ext cx="6093938" cy="2948926"/>
                    </a:xfrm>
                    <a:prstGeom prst="rect">
                      <a:avLst/>
                    </a:prstGeom>
                    <a:ln>
                      <a:noFill/>
                    </a:ln>
                    <a:extLst>
                      <a:ext uri="{53640926-AAD7-44D8-BBD7-CCE9431645EC}">
                        <a14:shadowObscured xmlns:a14="http://schemas.microsoft.com/office/drawing/2010/main"/>
                      </a:ext>
                    </a:extLst>
                  </pic:spPr>
                </pic:pic>
              </a:graphicData>
            </a:graphic>
          </wp:inline>
        </w:drawing>
      </w:r>
    </w:p>
    <w:p w14:paraId="1D364FA1" w14:textId="06A0C6E3" w:rsidR="004942B6" w:rsidRPr="003C5F0C" w:rsidRDefault="004942B6" w:rsidP="004942B6">
      <w:pPr>
        <w:spacing w:line="276" w:lineRule="auto"/>
        <w:jc w:val="both"/>
        <w:rPr>
          <w:rFonts w:ascii="Arial" w:hAnsi="Arial" w:cs="Arial"/>
          <w:i/>
          <w:iCs/>
          <w:sz w:val="24"/>
          <w:szCs w:val="24"/>
        </w:rPr>
      </w:pPr>
      <w:bookmarkStart w:id="885" w:name="_Toc145055738"/>
      <w:bookmarkStart w:id="886" w:name="_Toc150518910"/>
      <w:bookmarkStart w:id="887" w:name="_Toc151222847"/>
      <w:bookmarkStart w:id="888" w:name="_Toc151626687"/>
      <w:bookmarkStart w:id="889" w:name="_Toc152340481"/>
      <w:bookmarkStart w:id="890" w:name="_Toc152492274"/>
      <w:bookmarkStart w:id="891" w:name="_Toc152596961"/>
      <w:bookmarkStart w:id="892" w:name="_Toc153409668"/>
      <w:bookmarkStart w:id="893" w:name="_Toc153724915"/>
      <w:bookmarkStart w:id="894" w:name="_Toc159318501"/>
      <w:bookmarkStart w:id="895" w:name="_Toc159612027"/>
      <w:bookmarkStart w:id="896" w:name="_Toc160982673"/>
      <w:bookmarkStart w:id="897" w:name="_Toc164697499"/>
      <w:bookmarkStart w:id="898" w:name="_Toc170744591"/>
      <w:bookmarkStart w:id="899" w:name="_Toc196153221"/>
      <w:r w:rsidRPr="003C5F0C">
        <w:rPr>
          <w:rFonts w:ascii="Arial" w:hAnsi="Arial" w:cs="Arial"/>
          <w:b/>
          <w:bCs/>
          <w:i/>
          <w:iCs/>
          <w:sz w:val="20"/>
          <w:szCs w:val="20"/>
        </w:rPr>
        <w:t xml:space="preserve">Figure </w:t>
      </w:r>
      <w:r w:rsidRPr="003C5F0C">
        <w:rPr>
          <w:rFonts w:ascii="Arial" w:hAnsi="Arial" w:cs="Arial"/>
          <w:b/>
          <w:bCs/>
          <w:i/>
          <w:iCs/>
          <w:sz w:val="20"/>
          <w:szCs w:val="20"/>
        </w:rPr>
        <w:fldChar w:fldCharType="begin"/>
      </w:r>
      <w:r w:rsidRPr="003C5F0C">
        <w:rPr>
          <w:rFonts w:ascii="Arial" w:hAnsi="Arial" w:cs="Arial"/>
          <w:b/>
          <w:bCs/>
          <w:i/>
          <w:iCs/>
          <w:sz w:val="20"/>
          <w:szCs w:val="20"/>
        </w:rPr>
        <w:instrText xml:space="preserve"> SEQ Figure \* ARABIC </w:instrText>
      </w:r>
      <w:r w:rsidRPr="003C5F0C">
        <w:rPr>
          <w:rFonts w:ascii="Arial" w:hAnsi="Arial" w:cs="Arial"/>
          <w:b/>
          <w:bCs/>
          <w:i/>
          <w:iCs/>
          <w:sz w:val="20"/>
          <w:szCs w:val="20"/>
        </w:rPr>
        <w:fldChar w:fldCharType="separate"/>
      </w:r>
      <w:r w:rsidR="001823B4">
        <w:rPr>
          <w:rFonts w:ascii="Arial" w:hAnsi="Arial" w:cs="Arial"/>
          <w:b/>
          <w:bCs/>
          <w:i/>
          <w:iCs/>
          <w:noProof/>
          <w:sz w:val="20"/>
          <w:szCs w:val="20"/>
        </w:rPr>
        <w:t>29</w:t>
      </w:r>
      <w:r w:rsidRPr="003C5F0C">
        <w:rPr>
          <w:rFonts w:ascii="Arial" w:hAnsi="Arial" w:cs="Arial"/>
          <w:b/>
          <w:bCs/>
          <w:i/>
          <w:iCs/>
          <w:noProof/>
          <w:sz w:val="20"/>
          <w:szCs w:val="20"/>
        </w:rPr>
        <w:fldChar w:fldCharType="end"/>
      </w:r>
      <w:r w:rsidRPr="003C5F0C">
        <w:rPr>
          <w:rFonts w:ascii="Arial" w:hAnsi="Arial" w:cs="Arial"/>
          <w:b/>
          <w:bCs/>
          <w:i/>
          <w:iCs/>
          <w:sz w:val="20"/>
          <w:szCs w:val="20"/>
        </w:rPr>
        <w:t>:</w:t>
      </w:r>
      <w:r w:rsidRPr="003C5F0C">
        <w:rPr>
          <w:rFonts w:ascii="Arial" w:hAnsi="Arial" w:cs="Arial"/>
          <w:i/>
          <w:iCs/>
          <w:sz w:val="20"/>
          <w:szCs w:val="20"/>
        </w:rPr>
        <w:t xml:space="preserve"> </w:t>
      </w:r>
      <w:r>
        <w:rPr>
          <w:rFonts w:ascii="Arial" w:hAnsi="Arial" w:cs="Arial"/>
          <w:i/>
          <w:iCs/>
          <w:sz w:val="20"/>
          <w:szCs w:val="20"/>
        </w:rPr>
        <w:t>C</w:t>
      </w:r>
      <w:r w:rsidRPr="003C5F0C">
        <w:rPr>
          <w:rFonts w:ascii="Arial" w:hAnsi="Arial" w:cs="Arial"/>
          <w:i/>
          <w:iCs/>
          <w:sz w:val="20"/>
          <w:szCs w:val="20"/>
        </w:rPr>
        <w:t xml:space="preserve">omparison of anti-anginal medications from baseline to </w:t>
      </w:r>
      <w:r>
        <w:rPr>
          <w:rFonts w:ascii="Arial" w:hAnsi="Arial" w:cs="Arial"/>
          <w:i/>
          <w:iCs/>
          <w:sz w:val="20"/>
          <w:szCs w:val="20"/>
        </w:rPr>
        <w:t xml:space="preserve">one-year </w:t>
      </w:r>
      <w:r w:rsidRPr="003C5F0C">
        <w:rPr>
          <w:rFonts w:ascii="Arial" w:hAnsi="Arial" w:cs="Arial"/>
          <w:i/>
          <w:iCs/>
          <w:sz w:val="20"/>
          <w:szCs w:val="20"/>
        </w:rPr>
        <w:t>follow-up.</w:t>
      </w:r>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p w14:paraId="4799A5AF" w14:textId="77777777" w:rsidR="004942B6" w:rsidRPr="009222F3" w:rsidRDefault="004942B6" w:rsidP="004942B6">
      <w:pPr>
        <w:rPr>
          <w:color w:val="000000" w:themeColor="text1"/>
        </w:rPr>
      </w:pPr>
    </w:p>
    <w:p w14:paraId="6C760E60" w14:textId="2674DCAF" w:rsidR="004942B6" w:rsidRPr="00437D6D" w:rsidRDefault="004942B6" w:rsidP="004942B6">
      <w:pPr>
        <w:pStyle w:val="Heading3"/>
        <w:spacing w:line="360" w:lineRule="auto"/>
        <w:rPr>
          <w:rFonts w:ascii="Arial" w:hAnsi="Arial" w:cs="Arial"/>
          <w:color w:val="4472C4" w:themeColor="accent1"/>
          <w:sz w:val="24"/>
          <w:szCs w:val="24"/>
        </w:rPr>
      </w:pPr>
      <w:bookmarkStart w:id="900" w:name="_Toc170076072"/>
      <w:bookmarkStart w:id="901" w:name="_Toc171203146"/>
      <w:bookmarkStart w:id="902" w:name="_Toc171203917"/>
      <w:r w:rsidRPr="00437D6D">
        <w:rPr>
          <w:rFonts w:ascii="Arial" w:hAnsi="Arial" w:cs="Arial"/>
          <w:color w:val="4472C4" w:themeColor="accent1"/>
          <w:sz w:val="24"/>
          <w:szCs w:val="24"/>
        </w:rPr>
        <w:t>3.1.</w:t>
      </w:r>
      <w:r w:rsidR="00D41D7B">
        <w:rPr>
          <w:rFonts w:ascii="Arial" w:hAnsi="Arial" w:cs="Arial"/>
          <w:color w:val="4472C4" w:themeColor="accent1"/>
          <w:sz w:val="24"/>
          <w:szCs w:val="24"/>
        </w:rPr>
        <w:t>7</w:t>
      </w:r>
      <w:r w:rsidRPr="00437D6D">
        <w:rPr>
          <w:rFonts w:ascii="Arial" w:hAnsi="Arial" w:cs="Arial"/>
          <w:color w:val="4472C4" w:themeColor="accent1"/>
          <w:sz w:val="24"/>
          <w:szCs w:val="24"/>
        </w:rPr>
        <w:t xml:space="preserve"> Outpatient follow-up and investigations</w:t>
      </w:r>
      <w:bookmarkEnd w:id="900"/>
      <w:bookmarkEnd w:id="901"/>
      <w:bookmarkEnd w:id="902"/>
    </w:p>
    <w:p w14:paraId="081276FC" w14:textId="47DA8F40" w:rsidR="004942B6" w:rsidRPr="009222F3" w:rsidRDefault="004942B6" w:rsidP="004942B6">
      <w:pPr>
        <w:spacing w:line="360" w:lineRule="auto"/>
        <w:jc w:val="both"/>
        <w:rPr>
          <w:rFonts w:ascii="Arial" w:hAnsi="Arial" w:cs="Arial"/>
          <w:color w:val="000000" w:themeColor="text1"/>
          <w:sz w:val="24"/>
          <w:szCs w:val="24"/>
        </w:rPr>
      </w:pPr>
      <w:r w:rsidRPr="003D6E35">
        <w:rPr>
          <w:rFonts w:ascii="Arial" w:hAnsi="Arial" w:cs="Arial"/>
          <w:sz w:val="24"/>
          <w:szCs w:val="24"/>
        </w:rPr>
        <w:t>The mean number of OP visits in the ACS and CCS groups were 1.64</w:t>
      </w:r>
      <w:r>
        <w:rPr>
          <w:rFonts w:ascii="Arial" w:hAnsi="Arial" w:cs="Arial"/>
          <w:sz w:val="24"/>
          <w:szCs w:val="24"/>
        </w:rPr>
        <w:t xml:space="preserve"> </w:t>
      </w:r>
      <w:r w:rsidRPr="003D6E35">
        <w:rPr>
          <w:rFonts w:ascii="Arial" w:hAnsi="Arial" w:cs="Arial"/>
          <w:sz w:val="24"/>
          <w:szCs w:val="24"/>
        </w:rPr>
        <w:t>±</w:t>
      </w:r>
      <w:r>
        <w:rPr>
          <w:rFonts w:ascii="Arial" w:hAnsi="Arial" w:cs="Arial"/>
          <w:sz w:val="24"/>
          <w:szCs w:val="24"/>
        </w:rPr>
        <w:t xml:space="preserve"> </w:t>
      </w:r>
      <w:r w:rsidRPr="003D6E35">
        <w:rPr>
          <w:rFonts w:ascii="Arial" w:hAnsi="Arial" w:cs="Arial"/>
          <w:sz w:val="24"/>
          <w:szCs w:val="24"/>
        </w:rPr>
        <w:t>1.37 and 1.79</w:t>
      </w:r>
      <w:r>
        <w:rPr>
          <w:rFonts w:ascii="Arial" w:hAnsi="Arial" w:cs="Arial"/>
          <w:sz w:val="24"/>
          <w:szCs w:val="24"/>
        </w:rPr>
        <w:t xml:space="preserve"> </w:t>
      </w:r>
      <w:r w:rsidRPr="003D6E35">
        <w:rPr>
          <w:rFonts w:ascii="Arial" w:hAnsi="Arial" w:cs="Arial"/>
          <w:sz w:val="24"/>
          <w:szCs w:val="24"/>
        </w:rPr>
        <w:t>±</w:t>
      </w:r>
      <w:r>
        <w:rPr>
          <w:rFonts w:ascii="Arial" w:hAnsi="Arial" w:cs="Arial"/>
          <w:sz w:val="24"/>
          <w:szCs w:val="24"/>
        </w:rPr>
        <w:t xml:space="preserve"> </w:t>
      </w:r>
      <w:r w:rsidRPr="003D6E35">
        <w:rPr>
          <w:rFonts w:ascii="Arial" w:hAnsi="Arial" w:cs="Arial"/>
          <w:sz w:val="24"/>
          <w:szCs w:val="24"/>
        </w:rPr>
        <w:t>1.60, respectively (p=0.59). The visits and investigations are shown in Figur</w:t>
      </w:r>
      <w:r>
        <w:rPr>
          <w:rFonts w:ascii="Arial" w:hAnsi="Arial" w:cs="Arial"/>
          <w:sz w:val="24"/>
          <w:szCs w:val="24"/>
        </w:rPr>
        <w:t xml:space="preserve">e </w:t>
      </w:r>
      <w:r w:rsidR="003A374C">
        <w:rPr>
          <w:rFonts w:ascii="Arial" w:hAnsi="Arial" w:cs="Arial"/>
          <w:sz w:val="24"/>
          <w:szCs w:val="24"/>
        </w:rPr>
        <w:t>3</w:t>
      </w:r>
      <w:r w:rsidR="004E0578">
        <w:rPr>
          <w:rFonts w:ascii="Arial" w:hAnsi="Arial" w:cs="Arial"/>
          <w:sz w:val="24"/>
          <w:szCs w:val="24"/>
        </w:rPr>
        <w:t>0</w:t>
      </w:r>
      <w:r>
        <w:rPr>
          <w:rFonts w:ascii="Arial" w:hAnsi="Arial" w:cs="Arial"/>
          <w:sz w:val="24"/>
          <w:szCs w:val="24"/>
        </w:rPr>
        <w:t>.</w:t>
      </w:r>
    </w:p>
    <w:p w14:paraId="476B49A2" w14:textId="43A5191A" w:rsidR="004942B6" w:rsidRPr="009222F3" w:rsidRDefault="007F7598" w:rsidP="004942B6">
      <w:pPr>
        <w:spacing w:line="360" w:lineRule="auto"/>
        <w:jc w:val="both"/>
        <w:rPr>
          <w:rFonts w:ascii="Arial" w:hAnsi="Arial" w:cs="Arial"/>
          <w:color w:val="000000" w:themeColor="text1"/>
          <w:sz w:val="24"/>
          <w:szCs w:val="24"/>
        </w:rPr>
      </w:pPr>
      <w:r>
        <w:rPr>
          <w:noProof/>
          <w:sz w:val="16"/>
          <w:szCs w:val="16"/>
          <w:lang w:eastAsia="en-GB"/>
        </w:rPr>
        <w:lastRenderedPageBreak/>
        <w:drawing>
          <wp:inline distT="0" distB="0" distL="0" distR="0" wp14:anchorId="2FC0D170" wp14:editId="2866CFBE">
            <wp:extent cx="5463540" cy="6019154"/>
            <wp:effectExtent l="0" t="0" r="3810" b="1270"/>
            <wp:docPr id="474582148" name="Picture 5" descr="A comparison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82148" name="Picture 5" descr="A comparison of a graph"/>
                    <pic:cNvPicPr/>
                  </pic:nvPicPr>
                  <pic:blipFill rotWithShape="1">
                    <a:blip r:embed="rId49" cstate="print">
                      <a:extLst>
                        <a:ext uri="{28A0092B-C50C-407E-A947-70E740481C1C}">
                          <a14:useLocalDpi xmlns:a14="http://schemas.microsoft.com/office/drawing/2010/main" val="0"/>
                        </a:ext>
                      </a:extLst>
                    </a:blip>
                    <a:srcRect l="17948" r="19300" b="1235"/>
                    <a:stretch/>
                  </pic:blipFill>
                  <pic:spPr bwMode="auto">
                    <a:xfrm>
                      <a:off x="0" y="0"/>
                      <a:ext cx="5465059" cy="6020827"/>
                    </a:xfrm>
                    <a:prstGeom prst="rect">
                      <a:avLst/>
                    </a:prstGeom>
                    <a:ln>
                      <a:noFill/>
                    </a:ln>
                    <a:extLst>
                      <a:ext uri="{53640926-AAD7-44D8-BBD7-CCE9431645EC}">
                        <a14:shadowObscured xmlns:a14="http://schemas.microsoft.com/office/drawing/2010/main"/>
                      </a:ext>
                    </a:extLst>
                  </pic:spPr>
                </pic:pic>
              </a:graphicData>
            </a:graphic>
          </wp:inline>
        </w:drawing>
      </w:r>
    </w:p>
    <w:p w14:paraId="79F4AC81" w14:textId="4A054484" w:rsidR="004942B6" w:rsidRPr="00E83766" w:rsidRDefault="004942B6" w:rsidP="004942B6">
      <w:pPr>
        <w:pStyle w:val="Caption"/>
        <w:jc w:val="both"/>
        <w:rPr>
          <w:rFonts w:ascii="Arial" w:hAnsi="Arial" w:cs="Arial"/>
          <w:color w:val="000000" w:themeColor="text1"/>
          <w:sz w:val="20"/>
          <w:szCs w:val="20"/>
        </w:rPr>
      </w:pPr>
      <w:bookmarkStart w:id="903" w:name="_Toc135331847"/>
      <w:bookmarkStart w:id="904" w:name="_Toc145055739"/>
      <w:bookmarkStart w:id="905" w:name="_Toc150518911"/>
      <w:bookmarkStart w:id="906" w:name="_Toc151222848"/>
      <w:bookmarkStart w:id="907" w:name="_Toc151626688"/>
      <w:bookmarkStart w:id="908" w:name="_Toc152340482"/>
      <w:bookmarkStart w:id="909" w:name="_Toc152492275"/>
      <w:bookmarkStart w:id="910" w:name="_Toc152596962"/>
      <w:bookmarkStart w:id="911" w:name="_Toc153409669"/>
      <w:bookmarkStart w:id="912" w:name="_Toc153724916"/>
      <w:bookmarkStart w:id="913" w:name="_Toc159318502"/>
      <w:bookmarkStart w:id="914" w:name="_Toc159612028"/>
      <w:bookmarkStart w:id="915" w:name="_Toc160982674"/>
      <w:bookmarkStart w:id="916" w:name="_Toc164697500"/>
      <w:bookmarkStart w:id="917" w:name="_Toc170744592"/>
      <w:bookmarkStart w:id="918" w:name="_Toc196153222"/>
      <w:r w:rsidRPr="00E83766">
        <w:rPr>
          <w:rFonts w:ascii="Arial" w:hAnsi="Arial" w:cs="Arial"/>
          <w:b/>
          <w:bCs/>
          <w:color w:val="000000" w:themeColor="text1"/>
          <w:sz w:val="20"/>
          <w:szCs w:val="20"/>
        </w:rPr>
        <w:t xml:space="preserve">Figure </w:t>
      </w:r>
      <w:r w:rsidRPr="00E83766">
        <w:rPr>
          <w:rFonts w:ascii="Arial" w:hAnsi="Arial" w:cs="Arial"/>
          <w:b/>
          <w:bCs/>
          <w:color w:val="000000" w:themeColor="text1"/>
          <w:sz w:val="20"/>
          <w:szCs w:val="20"/>
        </w:rPr>
        <w:fldChar w:fldCharType="begin"/>
      </w:r>
      <w:r w:rsidRPr="00E83766">
        <w:rPr>
          <w:rFonts w:ascii="Arial" w:hAnsi="Arial" w:cs="Arial"/>
          <w:b/>
          <w:bCs/>
          <w:color w:val="000000" w:themeColor="text1"/>
          <w:sz w:val="20"/>
          <w:szCs w:val="20"/>
        </w:rPr>
        <w:instrText xml:space="preserve"> SEQ Figure \* ARABIC </w:instrText>
      </w:r>
      <w:r w:rsidRPr="00E83766">
        <w:rPr>
          <w:rFonts w:ascii="Arial" w:hAnsi="Arial" w:cs="Arial"/>
          <w:b/>
          <w:bCs/>
          <w:color w:val="000000" w:themeColor="text1"/>
          <w:sz w:val="20"/>
          <w:szCs w:val="20"/>
        </w:rPr>
        <w:fldChar w:fldCharType="separate"/>
      </w:r>
      <w:r w:rsidR="001823B4">
        <w:rPr>
          <w:rFonts w:ascii="Arial" w:hAnsi="Arial" w:cs="Arial"/>
          <w:b/>
          <w:bCs/>
          <w:noProof/>
          <w:color w:val="000000" w:themeColor="text1"/>
          <w:sz w:val="20"/>
          <w:szCs w:val="20"/>
        </w:rPr>
        <w:t>30</w:t>
      </w:r>
      <w:r w:rsidRPr="00E83766">
        <w:rPr>
          <w:rFonts w:ascii="Arial" w:hAnsi="Arial" w:cs="Arial"/>
          <w:b/>
          <w:bCs/>
          <w:noProof/>
          <w:color w:val="000000" w:themeColor="text1"/>
          <w:sz w:val="20"/>
          <w:szCs w:val="20"/>
        </w:rPr>
        <w:fldChar w:fldCharType="end"/>
      </w:r>
      <w:r w:rsidRPr="00E83766">
        <w:rPr>
          <w:rFonts w:ascii="Arial" w:hAnsi="Arial" w:cs="Arial"/>
          <w:b/>
          <w:bCs/>
          <w:color w:val="000000" w:themeColor="text1"/>
          <w:sz w:val="20"/>
          <w:szCs w:val="20"/>
        </w:rPr>
        <w:t>:</w:t>
      </w:r>
      <w:r w:rsidRPr="00E83766">
        <w:rPr>
          <w:rFonts w:ascii="Arial" w:hAnsi="Arial" w:cs="Arial"/>
          <w:color w:val="000000" w:themeColor="text1"/>
          <w:sz w:val="20"/>
          <w:szCs w:val="20"/>
        </w:rPr>
        <w:t xml:space="preserve"> </w:t>
      </w:r>
      <w:r>
        <w:rPr>
          <w:rFonts w:ascii="Arial" w:hAnsi="Arial" w:cs="Arial"/>
          <w:color w:val="000000" w:themeColor="text1"/>
          <w:sz w:val="20"/>
          <w:szCs w:val="20"/>
        </w:rPr>
        <w:t xml:space="preserve">Comparison of </w:t>
      </w:r>
      <w:r w:rsidRPr="00E83766">
        <w:rPr>
          <w:rFonts w:ascii="Arial" w:hAnsi="Arial" w:cs="Arial"/>
          <w:color w:val="000000" w:themeColor="text1"/>
          <w:sz w:val="20"/>
          <w:szCs w:val="20"/>
        </w:rPr>
        <w:t xml:space="preserve">the number of </w:t>
      </w:r>
      <w:r>
        <w:rPr>
          <w:rFonts w:ascii="Arial" w:hAnsi="Arial" w:cs="Arial"/>
          <w:color w:val="000000" w:themeColor="text1"/>
          <w:sz w:val="20"/>
          <w:szCs w:val="20"/>
        </w:rPr>
        <w:t>OP</w:t>
      </w:r>
      <w:r w:rsidRPr="00E83766">
        <w:rPr>
          <w:rFonts w:ascii="Arial" w:hAnsi="Arial" w:cs="Arial"/>
          <w:color w:val="000000" w:themeColor="text1"/>
          <w:sz w:val="20"/>
          <w:szCs w:val="20"/>
        </w:rPr>
        <w:t xml:space="preserve"> visits </w:t>
      </w:r>
      <w:r>
        <w:rPr>
          <w:rFonts w:ascii="Arial" w:hAnsi="Arial" w:cs="Arial"/>
          <w:color w:val="000000" w:themeColor="text1"/>
          <w:sz w:val="20"/>
          <w:szCs w:val="20"/>
        </w:rPr>
        <w:t xml:space="preserve">and </w:t>
      </w:r>
      <w:r w:rsidRPr="00E83766">
        <w:rPr>
          <w:rFonts w:ascii="Arial" w:hAnsi="Arial" w:cs="Arial"/>
          <w:color w:val="000000" w:themeColor="text1"/>
          <w:sz w:val="20"/>
          <w:szCs w:val="20"/>
        </w:rPr>
        <w:t xml:space="preserve">investigations </w:t>
      </w:r>
      <w:r>
        <w:rPr>
          <w:rFonts w:ascii="Arial" w:hAnsi="Arial" w:cs="Arial"/>
          <w:color w:val="000000" w:themeColor="text1"/>
          <w:sz w:val="20"/>
          <w:szCs w:val="20"/>
        </w:rPr>
        <w:t>in</w:t>
      </w:r>
      <w:r w:rsidRPr="00E83766">
        <w:rPr>
          <w:rFonts w:ascii="Arial" w:hAnsi="Arial" w:cs="Arial"/>
          <w:color w:val="000000" w:themeColor="text1"/>
          <w:sz w:val="20"/>
          <w:szCs w:val="20"/>
        </w:rPr>
        <w:t xml:space="preserve"> ACS and CCS</w:t>
      </w:r>
      <w:bookmarkEnd w:id="903"/>
      <w:bookmarkEnd w:id="904"/>
      <w:r>
        <w:rPr>
          <w:rFonts w:ascii="Arial" w:hAnsi="Arial" w:cs="Arial"/>
          <w:color w:val="000000" w:themeColor="text1"/>
          <w:sz w:val="20"/>
          <w:szCs w:val="20"/>
        </w:rPr>
        <w:t xml:space="preserve"> patients</w:t>
      </w:r>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p>
    <w:p w14:paraId="3A8ADD34" w14:textId="77777777" w:rsidR="004942B6" w:rsidRDefault="004942B6" w:rsidP="004942B6">
      <w:pPr>
        <w:spacing w:line="360" w:lineRule="auto"/>
        <w:jc w:val="both"/>
        <w:rPr>
          <w:rFonts w:ascii="Arial" w:hAnsi="Arial" w:cs="Arial"/>
          <w:color w:val="000000" w:themeColor="text1"/>
          <w:sz w:val="24"/>
          <w:szCs w:val="24"/>
        </w:rPr>
      </w:pPr>
    </w:p>
    <w:p w14:paraId="7C54F5F8" w14:textId="6E0940DB" w:rsidR="004942B6" w:rsidRPr="008E5542" w:rsidRDefault="004942B6" w:rsidP="004942B6">
      <w:pPr>
        <w:pStyle w:val="Heading3"/>
        <w:spacing w:line="360" w:lineRule="auto"/>
        <w:rPr>
          <w:rFonts w:ascii="Arial" w:hAnsi="Arial" w:cs="Arial"/>
          <w:color w:val="4472C4" w:themeColor="accent1"/>
          <w:sz w:val="24"/>
          <w:szCs w:val="24"/>
        </w:rPr>
      </w:pPr>
      <w:bookmarkStart w:id="919" w:name="_Toc170076073"/>
      <w:bookmarkStart w:id="920" w:name="_Toc171203147"/>
      <w:bookmarkStart w:id="921" w:name="_Toc171203918"/>
      <w:r w:rsidRPr="008E5542">
        <w:rPr>
          <w:rFonts w:ascii="Arial" w:hAnsi="Arial" w:cs="Arial"/>
          <w:color w:val="4472C4" w:themeColor="accent1"/>
          <w:sz w:val="24"/>
          <w:szCs w:val="24"/>
        </w:rPr>
        <w:t>3.1.</w:t>
      </w:r>
      <w:r w:rsidR="00D41D7B">
        <w:rPr>
          <w:rFonts w:ascii="Arial" w:hAnsi="Arial" w:cs="Arial"/>
          <w:color w:val="4472C4" w:themeColor="accent1"/>
          <w:sz w:val="24"/>
          <w:szCs w:val="24"/>
        </w:rPr>
        <w:t>8</w:t>
      </w:r>
      <w:r w:rsidRPr="008E5542">
        <w:rPr>
          <w:rFonts w:ascii="Arial" w:hAnsi="Arial" w:cs="Arial"/>
          <w:color w:val="4472C4" w:themeColor="accent1"/>
          <w:sz w:val="24"/>
          <w:szCs w:val="24"/>
        </w:rPr>
        <w:t xml:space="preserve"> Social care and cardiac rehabilitation</w:t>
      </w:r>
      <w:bookmarkEnd w:id="919"/>
      <w:bookmarkEnd w:id="920"/>
      <w:bookmarkEnd w:id="921"/>
    </w:p>
    <w:p w14:paraId="626D2261" w14:textId="77777777" w:rsidR="004942B6" w:rsidRPr="008E5542" w:rsidRDefault="004942B6" w:rsidP="004942B6">
      <w:pPr>
        <w:spacing w:line="360" w:lineRule="auto"/>
        <w:jc w:val="both"/>
        <w:rPr>
          <w:rFonts w:ascii="Arial" w:hAnsi="Arial" w:cs="Arial"/>
          <w:color w:val="000000" w:themeColor="text1"/>
          <w:sz w:val="24"/>
          <w:szCs w:val="24"/>
        </w:rPr>
      </w:pPr>
      <w:r w:rsidRPr="008E5542">
        <w:rPr>
          <w:rFonts w:ascii="Arial" w:hAnsi="Arial" w:cs="Arial"/>
          <w:sz w:val="24"/>
          <w:szCs w:val="24"/>
        </w:rPr>
        <w:t xml:space="preserve">In the ACS cohort, there were 84/180 (46.6%) patients who attended cardiac rehabilitation sessions, compared with 8/86 patients (9.3%) in the CCS arm. Social care was required in the ACS group in 7/180 (3.8%) and in the CCS group in 1/86 patients (1.1%) (p=0.44).  </w:t>
      </w:r>
    </w:p>
    <w:p w14:paraId="0FCCC3AD" w14:textId="77777777" w:rsidR="004942B6" w:rsidRDefault="004942B6" w:rsidP="004942B6">
      <w:pPr>
        <w:spacing w:line="360" w:lineRule="auto"/>
        <w:jc w:val="both"/>
        <w:rPr>
          <w:rFonts w:ascii="Arial" w:hAnsi="Arial" w:cs="Arial"/>
          <w:color w:val="000000" w:themeColor="text1"/>
          <w:sz w:val="24"/>
          <w:szCs w:val="24"/>
        </w:rPr>
      </w:pPr>
    </w:p>
    <w:p w14:paraId="3D7B6E8F" w14:textId="762FFF17" w:rsidR="004942B6" w:rsidRPr="001A4949" w:rsidRDefault="004942B6" w:rsidP="004942B6">
      <w:pPr>
        <w:pStyle w:val="Heading3"/>
        <w:spacing w:line="360" w:lineRule="auto"/>
        <w:rPr>
          <w:rFonts w:ascii="Arial" w:hAnsi="Arial" w:cs="Arial"/>
          <w:color w:val="auto"/>
          <w:sz w:val="24"/>
          <w:szCs w:val="24"/>
        </w:rPr>
      </w:pPr>
      <w:bookmarkStart w:id="922" w:name="_Toc170076074"/>
      <w:bookmarkStart w:id="923" w:name="_Toc171203148"/>
      <w:bookmarkStart w:id="924" w:name="_Toc171203919"/>
      <w:r w:rsidRPr="001A4949">
        <w:rPr>
          <w:rFonts w:ascii="Arial" w:hAnsi="Arial" w:cs="Arial"/>
          <w:color w:val="4472C4" w:themeColor="accent1"/>
          <w:sz w:val="24"/>
          <w:szCs w:val="24"/>
        </w:rPr>
        <w:lastRenderedPageBreak/>
        <w:t>3.1.</w:t>
      </w:r>
      <w:r w:rsidR="00D41D7B">
        <w:rPr>
          <w:rFonts w:ascii="Arial" w:hAnsi="Arial" w:cs="Arial"/>
          <w:color w:val="4472C4" w:themeColor="accent1"/>
          <w:sz w:val="24"/>
          <w:szCs w:val="24"/>
        </w:rPr>
        <w:t>9</w:t>
      </w:r>
      <w:r w:rsidRPr="001A4949">
        <w:rPr>
          <w:rFonts w:ascii="Arial" w:hAnsi="Arial" w:cs="Arial"/>
          <w:color w:val="4472C4" w:themeColor="accent1"/>
          <w:sz w:val="24"/>
          <w:szCs w:val="24"/>
        </w:rPr>
        <w:t xml:space="preserve"> Interval change in NYHA and CCS classes at one year</w:t>
      </w:r>
      <w:bookmarkEnd w:id="922"/>
      <w:bookmarkEnd w:id="923"/>
      <w:bookmarkEnd w:id="924"/>
    </w:p>
    <w:p w14:paraId="434D2BF5" w14:textId="3D899F45" w:rsidR="004942B6" w:rsidRPr="001A4949" w:rsidRDefault="004942B6" w:rsidP="004942B6">
      <w:pPr>
        <w:spacing w:line="360" w:lineRule="auto"/>
        <w:jc w:val="both"/>
        <w:rPr>
          <w:rFonts w:ascii="Arial" w:hAnsi="Arial" w:cs="Arial"/>
          <w:sz w:val="24"/>
          <w:szCs w:val="24"/>
        </w:rPr>
      </w:pPr>
      <w:r w:rsidRPr="001A4949">
        <w:rPr>
          <w:rFonts w:ascii="Arial" w:hAnsi="Arial" w:cs="Arial"/>
          <w:sz w:val="24"/>
          <w:szCs w:val="24"/>
        </w:rPr>
        <w:t>There was a significant improvement in the baseline NYHA class for the ACS (p=0.001) and CCS (p=0.02) patients at one-year follow-up.</w:t>
      </w:r>
      <w:r w:rsidR="00495575">
        <w:rPr>
          <w:rFonts w:ascii="Arial" w:hAnsi="Arial" w:cs="Arial"/>
          <w:sz w:val="24"/>
          <w:szCs w:val="24"/>
        </w:rPr>
        <w:t xml:space="preserve"> In the </w:t>
      </w:r>
      <w:r w:rsidRPr="001A4949">
        <w:rPr>
          <w:rFonts w:ascii="Arial" w:hAnsi="Arial" w:cs="Arial"/>
          <w:sz w:val="24"/>
          <w:szCs w:val="24"/>
        </w:rPr>
        <w:t>CCS cohort</w:t>
      </w:r>
      <w:r w:rsidR="00495575">
        <w:rPr>
          <w:rFonts w:ascii="Arial" w:hAnsi="Arial" w:cs="Arial"/>
          <w:sz w:val="24"/>
          <w:szCs w:val="24"/>
        </w:rPr>
        <w:t xml:space="preserve">, there was </w:t>
      </w:r>
      <w:r w:rsidRPr="001A4949">
        <w:rPr>
          <w:rFonts w:ascii="Arial" w:hAnsi="Arial" w:cs="Arial"/>
          <w:sz w:val="24"/>
          <w:szCs w:val="24"/>
        </w:rPr>
        <w:t xml:space="preserve">a statistically </w:t>
      </w:r>
      <w:r w:rsidR="00495575">
        <w:rPr>
          <w:rFonts w:ascii="Arial" w:hAnsi="Arial" w:cs="Arial"/>
          <w:sz w:val="24"/>
          <w:szCs w:val="24"/>
        </w:rPr>
        <w:t>significant</w:t>
      </w:r>
      <w:r w:rsidRPr="001A4949">
        <w:rPr>
          <w:rFonts w:ascii="Arial" w:hAnsi="Arial" w:cs="Arial"/>
          <w:sz w:val="24"/>
          <w:szCs w:val="24"/>
        </w:rPr>
        <w:t xml:space="preserve"> improvement </w:t>
      </w:r>
      <w:r w:rsidR="00495575">
        <w:rPr>
          <w:rFonts w:ascii="Arial" w:hAnsi="Arial" w:cs="Arial"/>
          <w:sz w:val="24"/>
          <w:szCs w:val="24"/>
        </w:rPr>
        <w:t xml:space="preserve">noted in the CCS class at one year follow-up from the baseline </w:t>
      </w:r>
      <w:r w:rsidRPr="001A4949">
        <w:rPr>
          <w:rFonts w:ascii="Arial" w:hAnsi="Arial" w:cs="Arial"/>
          <w:sz w:val="24"/>
          <w:szCs w:val="24"/>
        </w:rPr>
        <w:t xml:space="preserve">(p=0.001), but </w:t>
      </w:r>
      <w:r w:rsidR="00495575">
        <w:rPr>
          <w:rFonts w:ascii="Arial" w:hAnsi="Arial" w:cs="Arial"/>
          <w:sz w:val="24"/>
          <w:szCs w:val="24"/>
        </w:rPr>
        <w:t>in comparison, patients included in the ACS cohort didn’t demonstrate improvement in their CCS class</w:t>
      </w:r>
      <w:r w:rsidRPr="001A4949">
        <w:rPr>
          <w:rFonts w:ascii="Arial" w:hAnsi="Arial" w:cs="Arial"/>
          <w:sz w:val="24"/>
          <w:szCs w:val="24"/>
        </w:rPr>
        <w:t xml:space="preserve"> (p=0.76). The interval change in NYHA and CCS classes for both ACS and CCS </w:t>
      </w:r>
      <w:r w:rsidR="00495575">
        <w:rPr>
          <w:rFonts w:ascii="Arial" w:hAnsi="Arial" w:cs="Arial"/>
          <w:sz w:val="24"/>
          <w:szCs w:val="24"/>
        </w:rPr>
        <w:t>cohorts</w:t>
      </w:r>
      <w:r w:rsidRPr="001A4949">
        <w:rPr>
          <w:rFonts w:ascii="Arial" w:hAnsi="Arial" w:cs="Arial"/>
          <w:sz w:val="24"/>
          <w:szCs w:val="24"/>
        </w:rPr>
        <w:t xml:space="preserve"> is shown in Figure </w:t>
      </w:r>
      <w:r w:rsidR="003A374C">
        <w:rPr>
          <w:rFonts w:ascii="Arial" w:hAnsi="Arial" w:cs="Arial"/>
          <w:sz w:val="24"/>
          <w:szCs w:val="24"/>
        </w:rPr>
        <w:t>3</w:t>
      </w:r>
      <w:r w:rsidR="004E0578">
        <w:rPr>
          <w:rFonts w:ascii="Arial" w:hAnsi="Arial" w:cs="Arial"/>
          <w:sz w:val="24"/>
          <w:szCs w:val="24"/>
        </w:rPr>
        <w:t>1</w:t>
      </w:r>
      <w:r w:rsidRPr="001A4949">
        <w:rPr>
          <w:rFonts w:ascii="Arial" w:hAnsi="Arial" w:cs="Arial"/>
          <w:sz w:val="24"/>
          <w:szCs w:val="24"/>
        </w:rPr>
        <w:t>.</w:t>
      </w:r>
    </w:p>
    <w:p w14:paraId="029C1ED7" w14:textId="77777777" w:rsidR="004942B6" w:rsidRPr="00EA7B7B" w:rsidRDefault="004942B6" w:rsidP="004942B6">
      <w:pPr>
        <w:spacing w:line="360" w:lineRule="auto"/>
        <w:jc w:val="both"/>
        <w:rPr>
          <w:rFonts w:ascii="Arial" w:hAnsi="Arial" w:cs="Arial"/>
          <w:sz w:val="24"/>
          <w:szCs w:val="24"/>
        </w:rPr>
      </w:pPr>
    </w:p>
    <w:p w14:paraId="3A57C080" w14:textId="1AA204F7" w:rsidR="004942B6" w:rsidRPr="009222F3" w:rsidRDefault="00F429F4" w:rsidP="004942B6">
      <w:pPr>
        <w:rPr>
          <w:color w:val="000000" w:themeColor="text1"/>
        </w:rPr>
      </w:pPr>
      <w:r>
        <w:rPr>
          <w:noProof/>
          <w:color w:val="000000" w:themeColor="text1"/>
          <w:lang w:eastAsia="en-GB"/>
        </w:rPr>
        <w:drawing>
          <wp:inline distT="0" distB="0" distL="0" distR="0" wp14:anchorId="54A54248" wp14:editId="4D85CB9B">
            <wp:extent cx="6081731" cy="4892040"/>
            <wp:effectExtent l="0" t="0" r="0" b="3810"/>
            <wp:docPr id="1298938511"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38511" name="Picture 2" descr="A screenshot of a computer"/>
                    <pic:cNvPicPr/>
                  </pic:nvPicPr>
                  <pic:blipFill rotWithShape="1">
                    <a:blip r:embed="rId50" cstate="print">
                      <a:extLst>
                        <a:ext uri="{BEBA8EAE-BF5A-486C-A8C5-ECC9F3942E4B}">
                          <a14:imgProps xmlns:a14="http://schemas.microsoft.com/office/drawing/2010/main">
                            <a14:imgLayer r:embed="rId51">
                              <a14:imgEffect>
                                <a14:sharpenSoften amount="25000"/>
                              </a14:imgEffect>
                              <a14:imgEffect>
                                <a14:brightnessContrast bright="-1000" contrast="27000"/>
                              </a14:imgEffect>
                            </a14:imgLayer>
                          </a14:imgProps>
                        </a:ext>
                        <a:ext uri="{28A0092B-C50C-407E-A947-70E740481C1C}">
                          <a14:useLocalDpi xmlns:a14="http://schemas.microsoft.com/office/drawing/2010/main" val="0"/>
                        </a:ext>
                      </a:extLst>
                    </a:blip>
                    <a:srcRect l="3988" r="6404"/>
                    <a:stretch/>
                  </pic:blipFill>
                  <pic:spPr bwMode="auto">
                    <a:xfrm>
                      <a:off x="0" y="0"/>
                      <a:ext cx="6089141" cy="4898001"/>
                    </a:xfrm>
                    <a:prstGeom prst="rect">
                      <a:avLst/>
                    </a:prstGeom>
                    <a:ln>
                      <a:noFill/>
                    </a:ln>
                    <a:extLst>
                      <a:ext uri="{53640926-AAD7-44D8-BBD7-CCE9431645EC}">
                        <a14:shadowObscured xmlns:a14="http://schemas.microsoft.com/office/drawing/2010/main"/>
                      </a:ext>
                    </a:extLst>
                  </pic:spPr>
                </pic:pic>
              </a:graphicData>
            </a:graphic>
          </wp:inline>
        </w:drawing>
      </w:r>
    </w:p>
    <w:p w14:paraId="5380B04A" w14:textId="16833E19" w:rsidR="004942B6" w:rsidRPr="00C21E41" w:rsidRDefault="004942B6" w:rsidP="00C21E41">
      <w:pPr>
        <w:pStyle w:val="Caption"/>
        <w:jc w:val="both"/>
        <w:rPr>
          <w:rFonts w:ascii="Arial" w:hAnsi="Arial" w:cs="Arial"/>
          <w:color w:val="000000" w:themeColor="text1"/>
          <w:sz w:val="20"/>
          <w:szCs w:val="20"/>
        </w:rPr>
      </w:pPr>
      <w:bookmarkStart w:id="925" w:name="_Toc150518912"/>
      <w:bookmarkStart w:id="926" w:name="_Toc151222849"/>
      <w:bookmarkStart w:id="927" w:name="_Toc134970252"/>
      <w:bookmarkStart w:id="928" w:name="_Toc135331840"/>
      <w:bookmarkStart w:id="929" w:name="_Toc145055733"/>
      <w:bookmarkStart w:id="930" w:name="_Toc151626689"/>
      <w:bookmarkStart w:id="931" w:name="_Toc152340483"/>
      <w:bookmarkStart w:id="932" w:name="_Toc152492276"/>
      <w:bookmarkStart w:id="933" w:name="_Toc152596963"/>
      <w:bookmarkStart w:id="934" w:name="_Toc153409670"/>
      <w:bookmarkStart w:id="935" w:name="_Toc153724917"/>
      <w:bookmarkStart w:id="936" w:name="_Toc159318503"/>
      <w:bookmarkStart w:id="937" w:name="_Toc159612029"/>
      <w:bookmarkStart w:id="938" w:name="_Toc160982675"/>
      <w:bookmarkStart w:id="939" w:name="_Toc164697501"/>
      <w:bookmarkStart w:id="940" w:name="_Toc170744593"/>
      <w:bookmarkStart w:id="941" w:name="_Toc196153223"/>
      <w:r w:rsidRPr="00C21E41">
        <w:rPr>
          <w:rFonts w:ascii="Arial" w:hAnsi="Arial" w:cs="Arial"/>
          <w:b/>
          <w:bCs/>
          <w:color w:val="000000" w:themeColor="text1"/>
          <w:sz w:val="20"/>
          <w:szCs w:val="20"/>
        </w:rPr>
        <w:t xml:space="preserve">Figure </w:t>
      </w:r>
      <w:r w:rsidRPr="00C21E41">
        <w:rPr>
          <w:rFonts w:ascii="Arial" w:hAnsi="Arial" w:cs="Arial"/>
          <w:b/>
          <w:bCs/>
          <w:color w:val="000000" w:themeColor="text1"/>
          <w:sz w:val="20"/>
          <w:szCs w:val="20"/>
        </w:rPr>
        <w:fldChar w:fldCharType="begin"/>
      </w:r>
      <w:r w:rsidRPr="00C21E41">
        <w:rPr>
          <w:rFonts w:ascii="Arial" w:hAnsi="Arial" w:cs="Arial"/>
          <w:b/>
          <w:bCs/>
          <w:color w:val="000000" w:themeColor="text1"/>
          <w:sz w:val="20"/>
          <w:szCs w:val="20"/>
        </w:rPr>
        <w:instrText xml:space="preserve"> SEQ Figure \* ARABIC </w:instrText>
      </w:r>
      <w:r w:rsidRPr="00C21E41">
        <w:rPr>
          <w:rFonts w:ascii="Arial" w:hAnsi="Arial" w:cs="Arial"/>
          <w:b/>
          <w:bCs/>
          <w:color w:val="000000" w:themeColor="text1"/>
          <w:sz w:val="20"/>
          <w:szCs w:val="20"/>
        </w:rPr>
        <w:fldChar w:fldCharType="separate"/>
      </w:r>
      <w:r w:rsidR="001823B4">
        <w:rPr>
          <w:rFonts w:ascii="Arial" w:hAnsi="Arial" w:cs="Arial"/>
          <w:b/>
          <w:bCs/>
          <w:noProof/>
          <w:color w:val="000000" w:themeColor="text1"/>
          <w:sz w:val="20"/>
          <w:szCs w:val="20"/>
        </w:rPr>
        <w:t>31</w:t>
      </w:r>
      <w:r w:rsidRPr="00C21E41">
        <w:rPr>
          <w:rFonts w:ascii="Arial" w:hAnsi="Arial" w:cs="Arial"/>
          <w:b/>
          <w:bCs/>
          <w:noProof/>
          <w:color w:val="000000" w:themeColor="text1"/>
          <w:sz w:val="20"/>
          <w:szCs w:val="20"/>
        </w:rPr>
        <w:fldChar w:fldCharType="end"/>
      </w:r>
      <w:r w:rsidRPr="00C21E41">
        <w:rPr>
          <w:rFonts w:ascii="Arial" w:hAnsi="Arial" w:cs="Arial"/>
          <w:b/>
          <w:bCs/>
          <w:color w:val="000000" w:themeColor="text1"/>
          <w:sz w:val="20"/>
          <w:szCs w:val="20"/>
        </w:rPr>
        <w:t>:</w:t>
      </w:r>
      <w:r w:rsidRPr="00C21E41">
        <w:rPr>
          <w:rFonts w:ascii="Arial" w:hAnsi="Arial" w:cs="Arial"/>
          <w:color w:val="000000" w:themeColor="text1"/>
          <w:sz w:val="20"/>
          <w:szCs w:val="20"/>
        </w:rPr>
        <w:t xml:space="preserve"> NYHA and CCS class interval change at one year for ACS</w:t>
      </w:r>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r w:rsidR="002A1FC4" w:rsidRPr="00C21E41">
        <w:rPr>
          <w:rFonts w:ascii="Arial" w:hAnsi="Arial" w:cs="Arial"/>
          <w:color w:val="000000" w:themeColor="text1"/>
          <w:sz w:val="20"/>
          <w:szCs w:val="20"/>
        </w:rPr>
        <w:t xml:space="preserve"> cohort (n=180) demonstrated significant improvement in </w:t>
      </w:r>
      <w:r w:rsidR="00481CD1" w:rsidRPr="00C21E41">
        <w:rPr>
          <w:rFonts w:ascii="Arial" w:hAnsi="Arial" w:cs="Arial"/>
          <w:color w:val="000000" w:themeColor="text1"/>
          <w:sz w:val="20"/>
          <w:szCs w:val="20"/>
        </w:rPr>
        <w:t xml:space="preserve">both NYHA and CCS class, however, in the CCS cohort (n=86), CCS class improved more significantly but NYHA </w:t>
      </w:r>
      <w:r w:rsidR="00BF3ECE">
        <w:rPr>
          <w:rFonts w:ascii="Arial" w:hAnsi="Arial" w:cs="Arial"/>
          <w:color w:val="000000" w:themeColor="text1"/>
          <w:sz w:val="20"/>
          <w:szCs w:val="20"/>
        </w:rPr>
        <w:t xml:space="preserve">only </w:t>
      </w:r>
      <w:r w:rsidR="00C21E41" w:rsidRPr="00C21E41">
        <w:rPr>
          <w:rFonts w:ascii="Arial" w:hAnsi="Arial" w:cs="Arial"/>
          <w:color w:val="000000" w:themeColor="text1"/>
          <w:sz w:val="20"/>
          <w:szCs w:val="20"/>
        </w:rPr>
        <w:t xml:space="preserve">had a </w:t>
      </w:r>
      <w:r w:rsidR="009B64F3">
        <w:rPr>
          <w:rFonts w:ascii="Arial" w:hAnsi="Arial" w:cs="Arial"/>
          <w:color w:val="000000" w:themeColor="text1"/>
          <w:sz w:val="20"/>
          <w:szCs w:val="20"/>
        </w:rPr>
        <w:t xml:space="preserve">minor </w:t>
      </w:r>
      <w:r w:rsidR="00BF3ECE">
        <w:rPr>
          <w:rFonts w:ascii="Arial" w:hAnsi="Arial" w:cs="Arial"/>
          <w:color w:val="000000" w:themeColor="text1"/>
          <w:sz w:val="20"/>
          <w:szCs w:val="20"/>
        </w:rPr>
        <w:t>improvement.</w:t>
      </w:r>
      <w:bookmarkEnd w:id="941"/>
    </w:p>
    <w:p w14:paraId="0AF7E3CC" w14:textId="77777777" w:rsidR="004942B6" w:rsidRDefault="004942B6" w:rsidP="00D41D7B">
      <w:pPr>
        <w:pStyle w:val="Caption"/>
        <w:spacing w:line="360" w:lineRule="auto"/>
        <w:jc w:val="both"/>
        <w:rPr>
          <w:color w:val="000000" w:themeColor="text1"/>
          <w:sz w:val="20"/>
          <w:szCs w:val="20"/>
        </w:rPr>
      </w:pPr>
    </w:p>
    <w:p w14:paraId="5B758E65" w14:textId="77777777" w:rsidR="00067905" w:rsidRPr="00067905" w:rsidRDefault="00067905" w:rsidP="00067905"/>
    <w:p w14:paraId="0BFFD8A1" w14:textId="65F5476A" w:rsidR="00067905" w:rsidRDefault="004942B6" w:rsidP="00D41D7B">
      <w:pPr>
        <w:pStyle w:val="Heading2"/>
        <w:spacing w:line="360" w:lineRule="auto"/>
        <w:rPr>
          <w:rFonts w:ascii="Arial" w:hAnsi="Arial" w:cs="Arial"/>
          <w:color w:val="4472C4" w:themeColor="accent1"/>
          <w:sz w:val="28"/>
          <w:szCs w:val="28"/>
        </w:rPr>
      </w:pPr>
      <w:bookmarkStart w:id="942" w:name="_Toc171203920"/>
      <w:r w:rsidRPr="00D41D7B">
        <w:rPr>
          <w:rFonts w:ascii="Arial" w:hAnsi="Arial" w:cs="Arial"/>
          <w:color w:val="4472C4" w:themeColor="accent1"/>
          <w:sz w:val="28"/>
          <w:szCs w:val="28"/>
        </w:rPr>
        <w:lastRenderedPageBreak/>
        <w:t>3.</w:t>
      </w:r>
      <w:r w:rsidR="00890A1F" w:rsidRPr="00D41D7B">
        <w:rPr>
          <w:rFonts w:ascii="Arial" w:hAnsi="Arial" w:cs="Arial"/>
          <w:color w:val="4472C4" w:themeColor="accent1"/>
          <w:sz w:val="28"/>
          <w:szCs w:val="28"/>
        </w:rPr>
        <w:t>2</w:t>
      </w:r>
      <w:r w:rsidRPr="00D41D7B">
        <w:rPr>
          <w:rFonts w:ascii="Arial" w:hAnsi="Arial" w:cs="Arial"/>
          <w:color w:val="4472C4" w:themeColor="accent1"/>
          <w:sz w:val="28"/>
          <w:szCs w:val="28"/>
        </w:rPr>
        <w:t xml:space="preserve"> </w:t>
      </w:r>
      <w:r w:rsidR="00067905">
        <w:rPr>
          <w:rFonts w:ascii="Arial" w:hAnsi="Arial" w:cs="Arial"/>
          <w:color w:val="4472C4" w:themeColor="accent1"/>
          <w:sz w:val="28"/>
          <w:szCs w:val="28"/>
        </w:rPr>
        <w:t>QOL outcomes from the entire VIRTU-4 HE</w:t>
      </w:r>
      <w:bookmarkEnd w:id="942"/>
    </w:p>
    <w:p w14:paraId="429D994C" w14:textId="77777777" w:rsidR="00067905" w:rsidRPr="00067905" w:rsidRDefault="00067905" w:rsidP="00067905"/>
    <w:p w14:paraId="62EAC593" w14:textId="20A0EB5F" w:rsidR="004942B6" w:rsidRPr="00067905" w:rsidRDefault="00067905" w:rsidP="00067905">
      <w:pPr>
        <w:pStyle w:val="Heading3"/>
        <w:rPr>
          <w:rFonts w:ascii="Arial" w:hAnsi="Arial" w:cs="Arial"/>
          <w:color w:val="4472C4" w:themeColor="accent1"/>
          <w:sz w:val="24"/>
          <w:szCs w:val="24"/>
        </w:rPr>
      </w:pPr>
      <w:bookmarkStart w:id="943" w:name="_Toc171203150"/>
      <w:bookmarkStart w:id="944" w:name="_Toc171203921"/>
      <w:r w:rsidRPr="00067905">
        <w:rPr>
          <w:rFonts w:ascii="Arial" w:hAnsi="Arial" w:cs="Arial"/>
          <w:color w:val="4472C4" w:themeColor="accent1"/>
          <w:sz w:val="24"/>
          <w:szCs w:val="24"/>
        </w:rPr>
        <w:t xml:space="preserve">3.2.1 </w:t>
      </w:r>
      <w:r w:rsidR="004942B6" w:rsidRPr="00067905">
        <w:rPr>
          <w:rFonts w:ascii="Arial" w:hAnsi="Arial" w:cs="Arial"/>
          <w:color w:val="4472C4" w:themeColor="accent1"/>
          <w:sz w:val="24"/>
          <w:szCs w:val="24"/>
        </w:rPr>
        <w:t>Interval change in QOL scores at one year</w:t>
      </w:r>
      <w:r w:rsidR="00D41D7B" w:rsidRPr="00067905">
        <w:rPr>
          <w:rFonts w:ascii="Arial" w:hAnsi="Arial" w:cs="Arial"/>
          <w:color w:val="4472C4" w:themeColor="accent1"/>
          <w:sz w:val="24"/>
          <w:szCs w:val="24"/>
        </w:rPr>
        <w:t xml:space="preserve"> from the entire VIRTU-4 HE</w:t>
      </w:r>
      <w:bookmarkEnd w:id="943"/>
      <w:bookmarkEnd w:id="944"/>
    </w:p>
    <w:p w14:paraId="330E3428" w14:textId="09F5C437" w:rsidR="00067905" w:rsidRPr="00067905" w:rsidRDefault="00067905" w:rsidP="00067905"/>
    <w:p w14:paraId="63AA88A5" w14:textId="5CAB21C9" w:rsidR="004942B6" w:rsidRDefault="004942B6" w:rsidP="004942B6">
      <w:pPr>
        <w:spacing w:line="360" w:lineRule="auto"/>
        <w:jc w:val="both"/>
        <w:rPr>
          <w:rFonts w:ascii="Arial" w:hAnsi="Arial" w:cs="Arial"/>
          <w:sz w:val="24"/>
          <w:szCs w:val="24"/>
        </w:rPr>
      </w:pPr>
      <w:r w:rsidRPr="001A4949">
        <w:rPr>
          <w:rFonts w:ascii="Arial" w:hAnsi="Arial" w:cs="Arial"/>
          <w:sz w:val="24"/>
          <w:szCs w:val="24"/>
        </w:rPr>
        <w:t>The QOL scores in VIRTU-4 did not demonstrate any noticeable interval change at one-year follow-up (EQ-VAS, p=0.99, EQ-indexed, p=0.24). In the ACS cohort</w:t>
      </w:r>
      <w:r>
        <w:rPr>
          <w:rFonts w:ascii="Arial" w:hAnsi="Arial" w:cs="Arial"/>
          <w:sz w:val="24"/>
          <w:szCs w:val="24"/>
        </w:rPr>
        <w:t xml:space="preserve"> (n=18</w:t>
      </w:r>
      <w:r w:rsidR="00854F49">
        <w:rPr>
          <w:rFonts w:ascii="Arial" w:hAnsi="Arial" w:cs="Arial"/>
          <w:sz w:val="24"/>
          <w:szCs w:val="24"/>
        </w:rPr>
        <w:t>0</w:t>
      </w:r>
      <w:r>
        <w:rPr>
          <w:rFonts w:ascii="Arial" w:hAnsi="Arial" w:cs="Arial"/>
          <w:sz w:val="24"/>
          <w:szCs w:val="24"/>
        </w:rPr>
        <w:t>), 105/186 (5</w:t>
      </w:r>
      <w:r w:rsidR="00854F49">
        <w:rPr>
          <w:rFonts w:ascii="Arial" w:hAnsi="Arial" w:cs="Arial"/>
          <w:sz w:val="24"/>
          <w:szCs w:val="24"/>
        </w:rPr>
        <w:t>8</w:t>
      </w:r>
      <w:r>
        <w:rPr>
          <w:rFonts w:ascii="Arial" w:hAnsi="Arial" w:cs="Arial"/>
          <w:sz w:val="24"/>
          <w:szCs w:val="24"/>
        </w:rPr>
        <w:t>.</w:t>
      </w:r>
      <w:r w:rsidR="00854F49">
        <w:rPr>
          <w:rFonts w:ascii="Arial" w:hAnsi="Arial" w:cs="Arial"/>
          <w:sz w:val="24"/>
          <w:szCs w:val="24"/>
        </w:rPr>
        <w:t>3</w:t>
      </w:r>
      <w:r>
        <w:rPr>
          <w:rFonts w:ascii="Arial" w:hAnsi="Arial" w:cs="Arial"/>
          <w:sz w:val="24"/>
          <w:szCs w:val="24"/>
        </w:rPr>
        <w:t>%) patients had an increment in QOL scores, 67/18</w:t>
      </w:r>
      <w:r w:rsidR="00854F49">
        <w:rPr>
          <w:rFonts w:ascii="Arial" w:hAnsi="Arial" w:cs="Arial"/>
          <w:sz w:val="24"/>
          <w:szCs w:val="24"/>
        </w:rPr>
        <w:t>0</w:t>
      </w:r>
      <w:r>
        <w:rPr>
          <w:rFonts w:ascii="Arial" w:hAnsi="Arial" w:cs="Arial"/>
          <w:sz w:val="24"/>
          <w:szCs w:val="24"/>
        </w:rPr>
        <w:t xml:space="preserve"> (3</w:t>
      </w:r>
      <w:r w:rsidR="00854F49">
        <w:rPr>
          <w:rFonts w:ascii="Arial" w:hAnsi="Arial" w:cs="Arial"/>
          <w:sz w:val="24"/>
          <w:szCs w:val="24"/>
        </w:rPr>
        <w:t>7.2</w:t>
      </w:r>
      <w:r>
        <w:rPr>
          <w:rFonts w:ascii="Arial" w:hAnsi="Arial" w:cs="Arial"/>
          <w:sz w:val="24"/>
          <w:szCs w:val="24"/>
        </w:rPr>
        <w:t>%) had a reduction</w:t>
      </w:r>
      <w:r w:rsidR="005627B4">
        <w:rPr>
          <w:rFonts w:ascii="Arial" w:hAnsi="Arial" w:cs="Arial"/>
          <w:sz w:val="24"/>
          <w:szCs w:val="24"/>
        </w:rPr>
        <w:t>,</w:t>
      </w:r>
      <w:r>
        <w:rPr>
          <w:rFonts w:ascii="Arial" w:hAnsi="Arial" w:cs="Arial"/>
          <w:sz w:val="24"/>
          <w:szCs w:val="24"/>
        </w:rPr>
        <w:t xml:space="preserve"> while 14/18</w:t>
      </w:r>
      <w:r w:rsidR="00854F49">
        <w:rPr>
          <w:rFonts w:ascii="Arial" w:hAnsi="Arial" w:cs="Arial"/>
          <w:sz w:val="24"/>
          <w:szCs w:val="24"/>
        </w:rPr>
        <w:t>0</w:t>
      </w:r>
      <w:r>
        <w:rPr>
          <w:rFonts w:ascii="Arial" w:hAnsi="Arial" w:cs="Arial"/>
          <w:sz w:val="24"/>
          <w:szCs w:val="24"/>
        </w:rPr>
        <w:t xml:space="preserve"> (7.</w:t>
      </w:r>
      <w:r w:rsidR="00854F49">
        <w:rPr>
          <w:rFonts w:ascii="Arial" w:hAnsi="Arial" w:cs="Arial"/>
          <w:sz w:val="24"/>
          <w:szCs w:val="24"/>
        </w:rPr>
        <w:t>7</w:t>
      </w:r>
      <w:r>
        <w:rPr>
          <w:rFonts w:ascii="Arial" w:hAnsi="Arial" w:cs="Arial"/>
          <w:sz w:val="24"/>
          <w:szCs w:val="24"/>
        </w:rPr>
        <w:t>%) had no change from the baseline scores at one-year follow-up. In the CCS cohort (n=86), 57/86 (66.2%) had an increase, 28/86 (32.5%) had a decrease</w:t>
      </w:r>
      <w:r w:rsidR="005627B4">
        <w:rPr>
          <w:rFonts w:ascii="Arial" w:hAnsi="Arial" w:cs="Arial"/>
          <w:sz w:val="24"/>
          <w:szCs w:val="24"/>
        </w:rPr>
        <w:t>,</w:t>
      </w:r>
      <w:r>
        <w:rPr>
          <w:rFonts w:ascii="Arial" w:hAnsi="Arial" w:cs="Arial"/>
          <w:sz w:val="24"/>
          <w:szCs w:val="24"/>
        </w:rPr>
        <w:t xml:space="preserve"> and 1/86 (1.1%) remained unchanged. The mean </w:t>
      </w:r>
      <w:r w:rsidR="00854F49">
        <w:rPr>
          <w:rFonts w:ascii="Arial" w:hAnsi="Arial" w:cs="Arial"/>
          <w:sz w:val="24"/>
          <w:szCs w:val="24"/>
        </w:rPr>
        <w:t xml:space="preserve">interval </w:t>
      </w:r>
      <w:r>
        <w:rPr>
          <w:rFonts w:ascii="Arial" w:hAnsi="Arial" w:cs="Arial"/>
          <w:sz w:val="24"/>
          <w:szCs w:val="24"/>
        </w:rPr>
        <w:t>change</w:t>
      </w:r>
      <w:r w:rsidR="00854F49">
        <w:rPr>
          <w:rFonts w:ascii="Arial" w:hAnsi="Arial" w:cs="Arial"/>
          <w:sz w:val="24"/>
          <w:szCs w:val="24"/>
        </w:rPr>
        <w:t xml:space="preserve"> was </w:t>
      </w:r>
      <w:r>
        <w:rPr>
          <w:rFonts w:ascii="Arial" w:hAnsi="Arial" w:cs="Arial"/>
          <w:sz w:val="24"/>
          <w:szCs w:val="24"/>
        </w:rPr>
        <w:t xml:space="preserve">0.15 ± 7.10 </w:t>
      </w:r>
      <w:r w:rsidR="00854F49">
        <w:rPr>
          <w:rFonts w:ascii="Arial" w:hAnsi="Arial" w:cs="Arial"/>
          <w:sz w:val="24"/>
          <w:szCs w:val="24"/>
        </w:rPr>
        <w:t xml:space="preserve">for EQ-VAS </w:t>
      </w:r>
      <w:r>
        <w:rPr>
          <w:rFonts w:ascii="Arial" w:hAnsi="Arial" w:cs="Arial"/>
          <w:sz w:val="24"/>
          <w:szCs w:val="24"/>
        </w:rPr>
        <w:t xml:space="preserve">and 0.01± 0.07 </w:t>
      </w:r>
      <w:r w:rsidR="00854F49">
        <w:rPr>
          <w:rFonts w:ascii="Arial" w:hAnsi="Arial" w:cs="Arial"/>
          <w:sz w:val="24"/>
          <w:szCs w:val="24"/>
        </w:rPr>
        <w:t xml:space="preserve">for </w:t>
      </w:r>
      <w:r>
        <w:rPr>
          <w:rFonts w:ascii="Arial" w:hAnsi="Arial" w:cs="Arial"/>
          <w:sz w:val="24"/>
          <w:szCs w:val="24"/>
        </w:rPr>
        <w:t xml:space="preserve">EQ-indexed in the ACS </w:t>
      </w:r>
      <w:r w:rsidR="00854F49">
        <w:rPr>
          <w:rFonts w:ascii="Arial" w:hAnsi="Arial" w:cs="Arial"/>
          <w:sz w:val="24"/>
          <w:szCs w:val="24"/>
        </w:rPr>
        <w:t>cohort</w:t>
      </w:r>
      <w:r>
        <w:rPr>
          <w:rFonts w:ascii="Arial" w:hAnsi="Arial" w:cs="Arial"/>
          <w:sz w:val="24"/>
          <w:szCs w:val="24"/>
        </w:rPr>
        <w:t>,</w:t>
      </w:r>
      <w:r w:rsidR="00854F49">
        <w:rPr>
          <w:rFonts w:ascii="Arial" w:hAnsi="Arial" w:cs="Arial"/>
          <w:sz w:val="24"/>
          <w:szCs w:val="24"/>
        </w:rPr>
        <w:t xml:space="preserve"> while in the CCS cohort, the mean interval change was </w:t>
      </w:r>
      <w:r>
        <w:rPr>
          <w:rFonts w:ascii="Arial" w:hAnsi="Arial" w:cs="Arial"/>
          <w:sz w:val="24"/>
          <w:szCs w:val="24"/>
        </w:rPr>
        <w:t xml:space="preserve">0.88 ± 1.99 </w:t>
      </w:r>
      <w:r w:rsidR="00854F49">
        <w:rPr>
          <w:rFonts w:ascii="Arial" w:hAnsi="Arial" w:cs="Arial"/>
          <w:sz w:val="24"/>
          <w:szCs w:val="24"/>
        </w:rPr>
        <w:t xml:space="preserve">for </w:t>
      </w:r>
      <w:r>
        <w:rPr>
          <w:rFonts w:ascii="Arial" w:hAnsi="Arial" w:cs="Arial"/>
          <w:sz w:val="24"/>
          <w:szCs w:val="24"/>
        </w:rPr>
        <w:t>EQ-VAS and 0.03 ± 0.02</w:t>
      </w:r>
      <w:r w:rsidR="00854F49">
        <w:rPr>
          <w:rFonts w:ascii="Arial" w:hAnsi="Arial" w:cs="Arial"/>
          <w:sz w:val="24"/>
          <w:szCs w:val="24"/>
        </w:rPr>
        <w:t xml:space="preserve"> for</w:t>
      </w:r>
      <w:r>
        <w:rPr>
          <w:rFonts w:ascii="Arial" w:hAnsi="Arial" w:cs="Arial"/>
          <w:sz w:val="24"/>
          <w:szCs w:val="24"/>
        </w:rPr>
        <w:t xml:space="preserve"> EQ-indexed score. The </w:t>
      </w:r>
      <w:r w:rsidRPr="0019533A">
        <w:rPr>
          <w:rFonts w:ascii="Arial" w:hAnsi="Arial" w:cs="Arial"/>
          <w:sz w:val="24"/>
          <w:szCs w:val="24"/>
        </w:rPr>
        <w:t xml:space="preserve">EQ-VAS and indexed scores </w:t>
      </w:r>
      <w:r>
        <w:rPr>
          <w:rFonts w:ascii="Arial" w:hAnsi="Arial" w:cs="Arial"/>
          <w:sz w:val="24"/>
          <w:szCs w:val="24"/>
        </w:rPr>
        <w:t xml:space="preserve">are </w:t>
      </w:r>
      <w:r w:rsidRPr="0019533A">
        <w:rPr>
          <w:rFonts w:ascii="Arial" w:hAnsi="Arial" w:cs="Arial"/>
          <w:sz w:val="24"/>
          <w:szCs w:val="24"/>
        </w:rPr>
        <w:t xml:space="preserve">presented for the </w:t>
      </w:r>
      <w:r>
        <w:rPr>
          <w:rFonts w:ascii="Arial" w:hAnsi="Arial" w:cs="Arial"/>
          <w:sz w:val="24"/>
          <w:szCs w:val="24"/>
        </w:rPr>
        <w:t>entire</w:t>
      </w:r>
      <w:r w:rsidRPr="0019533A">
        <w:rPr>
          <w:rFonts w:ascii="Arial" w:hAnsi="Arial" w:cs="Arial"/>
          <w:sz w:val="24"/>
          <w:szCs w:val="24"/>
        </w:rPr>
        <w:t xml:space="preserve"> VIRTU-4 </w:t>
      </w:r>
      <w:r>
        <w:rPr>
          <w:rFonts w:ascii="Arial" w:hAnsi="Arial" w:cs="Arial"/>
          <w:sz w:val="24"/>
          <w:szCs w:val="24"/>
        </w:rPr>
        <w:t xml:space="preserve">cohort </w:t>
      </w:r>
      <w:r w:rsidRPr="0019533A">
        <w:rPr>
          <w:rFonts w:ascii="Arial" w:hAnsi="Arial" w:cs="Arial"/>
          <w:sz w:val="24"/>
          <w:szCs w:val="24"/>
        </w:rPr>
        <w:t>(n=266)</w:t>
      </w:r>
      <w:r>
        <w:rPr>
          <w:rFonts w:ascii="Arial" w:hAnsi="Arial" w:cs="Arial"/>
          <w:sz w:val="24"/>
          <w:szCs w:val="24"/>
        </w:rPr>
        <w:t xml:space="preserve"> in Figure </w:t>
      </w:r>
      <w:r w:rsidR="003A374C">
        <w:rPr>
          <w:rFonts w:ascii="Arial" w:hAnsi="Arial" w:cs="Arial"/>
          <w:sz w:val="24"/>
          <w:szCs w:val="24"/>
        </w:rPr>
        <w:t>3</w:t>
      </w:r>
      <w:r w:rsidR="004E73FC">
        <w:rPr>
          <w:rFonts w:ascii="Arial" w:hAnsi="Arial" w:cs="Arial"/>
          <w:sz w:val="24"/>
          <w:szCs w:val="24"/>
        </w:rPr>
        <w:t>2</w:t>
      </w:r>
      <w:r w:rsidRPr="0019533A">
        <w:rPr>
          <w:rFonts w:ascii="Arial" w:hAnsi="Arial" w:cs="Arial"/>
          <w:sz w:val="24"/>
          <w:szCs w:val="24"/>
        </w:rPr>
        <w:t>, a</w:t>
      </w:r>
      <w:r>
        <w:rPr>
          <w:rFonts w:ascii="Arial" w:hAnsi="Arial" w:cs="Arial"/>
          <w:sz w:val="24"/>
          <w:szCs w:val="24"/>
        </w:rPr>
        <w:t xml:space="preserve">nd separately for </w:t>
      </w:r>
      <w:r w:rsidRPr="0019533A">
        <w:rPr>
          <w:rFonts w:ascii="Arial" w:hAnsi="Arial" w:cs="Arial"/>
          <w:sz w:val="24"/>
          <w:szCs w:val="24"/>
        </w:rPr>
        <w:t>the</w:t>
      </w:r>
      <w:r>
        <w:rPr>
          <w:rFonts w:ascii="Arial" w:hAnsi="Arial" w:cs="Arial"/>
          <w:sz w:val="24"/>
          <w:szCs w:val="24"/>
        </w:rPr>
        <w:t xml:space="preserve"> </w:t>
      </w:r>
      <w:r w:rsidRPr="0019533A">
        <w:rPr>
          <w:rFonts w:ascii="Arial" w:hAnsi="Arial" w:cs="Arial"/>
          <w:sz w:val="24"/>
          <w:szCs w:val="24"/>
        </w:rPr>
        <w:t xml:space="preserve">ACS (n=180) and CCS (n=86) groups in Figure </w:t>
      </w:r>
      <w:r w:rsidR="003A374C">
        <w:rPr>
          <w:rFonts w:ascii="Arial" w:hAnsi="Arial" w:cs="Arial"/>
          <w:sz w:val="24"/>
          <w:szCs w:val="24"/>
        </w:rPr>
        <w:t>3</w:t>
      </w:r>
      <w:r w:rsidR="00756636">
        <w:rPr>
          <w:rFonts w:ascii="Arial" w:hAnsi="Arial" w:cs="Arial"/>
          <w:sz w:val="24"/>
          <w:szCs w:val="24"/>
        </w:rPr>
        <w:t>3</w:t>
      </w:r>
      <w:r w:rsidR="001823B4">
        <w:rPr>
          <w:rFonts w:ascii="Arial" w:hAnsi="Arial" w:cs="Arial"/>
          <w:sz w:val="24"/>
          <w:szCs w:val="24"/>
        </w:rPr>
        <w:t>, along with ANOVA analysis of QOL scores of ACS and CCS cohorts in Figure 34</w:t>
      </w:r>
      <w:r w:rsidRPr="0019533A">
        <w:rPr>
          <w:rFonts w:ascii="Arial" w:hAnsi="Arial" w:cs="Arial"/>
          <w:sz w:val="24"/>
          <w:szCs w:val="24"/>
        </w:rPr>
        <w:t>.</w:t>
      </w:r>
    </w:p>
    <w:p w14:paraId="2048FF87" w14:textId="77777777" w:rsidR="004942B6" w:rsidRPr="009222F3" w:rsidRDefault="004942B6" w:rsidP="004942B6">
      <w:pPr>
        <w:spacing w:line="360" w:lineRule="auto"/>
        <w:jc w:val="both"/>
        <w:rPr>
          <w:rFonts w:ascii="Arial" w:hAnsi="Arial" w:cs="Arial"/>
          <w:color w:val="000000" w:themeColor="text1"/>
          <w:sz w:val="24"/>
          <w:szCs w:val="24"/>
        </w:rPr>
      </w:pPr>
    </w:p>
    <w:p w14:paraId="2B7FB2DD" w14:textId="2B27D33A" w:rsidR="004942B6" w:rsidRPr="009222F3" w:rsidRDefault="004942B6" w:rsidP="004942B6">
      <w:pPr>
        <w:keepNext/>
        <w:spacing w:line="360" w:lineRule="auto"/>
        <w:jc w:val="both"/>
        <w:rPr>
          <w:color w:val="000000" w:themeColor="text1"/>
        </w:rPr>
      </w:pPr>
      <w:r>
        <w:rPr>
          <w:noProof/>
          <w:color w:val="000000" w:themeColor="text1"/>
          <w:lang w:eastAsia="en-GB"/>
        </w:rPr>
        <w:lastRenderedPageBreak/>
        <w:drawing>
          <wp:inline distT="0" distB="0" distL="0" distR="0" wp14:anchorId="5B7D898D" wp14:editId="69929AD3">
            <wp:extent cx="5871845" cy="3619500"/>
            <wp:effectExtent l="0" t="0" r="0" b="0"/>
            <wp:docPr id="567482092" name="Picture 567482092" descr="A screenshot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82092" name="Picture 5" descr="A screenshot of a computer screen"/>
                    <pic:cNvPicPr/>
                  </pic:nvPicPr>
                  <pic:blipFill rotWithShape="1">
                    <a:blip r:embed="rId52" cstate="print">
                      <a:extLst>
                        <a:ext uri="{BEBA8EAE-BF5A-486C-A8C5-ECC9F3942E4B}">
                          <a14:imgProps xmlns:a14="http://schemas.microsoft.com/office/drawing/2010/main">
                            <a14:imgLayer r:embed="rId5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9572" t="4177" r="8930" b="24053"/>
                    <a:stretch/>
                  </pic:blipFill>
                  <pic:spPr bwMode="auto">
                    <a:xfrm>
                      <a:off x="0" y="0"/>
                      <a:ext cx="5877267" cy="3622842"/>
                    </a:xfrm>
                    <a:prstGeom prst="rect">
                      <a:avLst/>
                    </a:prstGeom>
                    <a:ln>
                      <a:noFill/>
                    </a:ln>
                    <a:extLst>
                      <a:ext uri="{53640926-AAD7-44D8-BBD7-CCE9431645EC}">
                        <a14:shadowObscured xmlns:a14="http://schemas.microsoft.com/office/drawing/2010/main"/>
                      </a:ext>
                    </a:extLst>
                  </pic:spPr>
                </pic:pic>
              </a:graphicData>
            </a:graphic>
          </wp:inline>
        </w:drawing>
      </w:r>
    </w:p>
    <w:p w14:paraId="5CFD9370" w14:textId="58520721" w:rsidR="004942B6" w:rsidRPr="00135C69" w:rsidRDefault="004942B6" w:rsidP="004942B6">
      <w:pPr>
        <w:pStyle w:val="Caption"/>
        <w:jc w:val="both"/>
        <w:rPr>
          <w:rFonts w:ascii="Arial" w:hAnsi="Arial" w:cs="Arial"/>
          <w:color w:val="auto"/>
          <w:sz w:val="20"/>
          <w:szCs w:val="20"/>
        </w:rPr>
      </w:pPr>
      <w:bookmarkStart w:id="945" w:name="_Toc145055740"/>
      <w:bookmarkStart w:id="946" w:name="_Toc150518913"/>
      <w:bookmarkStart w:id="947" w:name="_Toc151222850"/>
      <w:bookmarkStart w:id="948" w:name="_Toc151626690"/>
      <w:bookmarkStart w:id="949" w:name="_Toc152340484"/>
      <w:bookmarkStart w:id="950" w:name="_Toc152492277"/>
      <w:bookmarkStart w:id="951" w:name="_Toc152596964"/>
      <w:bookmarkStart w:id="952" w:name="_Toc153409671"/>
      <w:bookmarkStart w:id="953" w:name="_Toc153724918"/>
      <w:bookmarkStart w:id="954" w:name="_Toc159318504"/>
      <w:bookmarkStart w:id="955" w:name="_Toc159612030"/>
      <w:bookmarkStart w:id="956" w:name="_Toc160982676"/>
      <w:bookmarkStart w:id="957" w:name="_Toc164697502"/>
      <w:bookmarkStart w:id="958" w:name="_Toc170744594"/>
      <w:bookmarkStart w:id="959" w:name="_Toc196153224"/>
      <w:r w:rsidRPr="00DD1DB1">
        <w:rPr>
          <w:rFonts w:ascii="Arial" w:hAnsi="Arial" w:cs="Arial"/>
          <w:b/>
          <w:bCs/>
          <w:color w:val="auto"/>
          <w:sz w:val="20"/>
          <w:szCs w:val="20"/>
        </w:rPr>
        <w:t xml:space="preserve">Figure </w:t>
      </w:r>
      <w:r w:rsidRPr="00DD1DB1">
        <w:rPr>
          <w:rFonts w:ascii="Arial" w:hAnsi="Arial" w:cs="Arial"/>
          <w:b/>
          <w:bCs/>
          <w:color w:val="auto"/>
          <w:sz w:val="20"/>
          <w:szCs w:val="20"/>
        </w:rPr>
        <w:fldChar w:fldCharType="begin"/>
      </w:r>
      <w:r w:rsidRPr="00DD1DB1">
        <w:rPr>
          <w:rFonts w:ascii="Arial" w:hAnsi="Arial" w:cs="Arial"/>
          <w:b/>
          <w:bCs/>
          <w:color w:val="auto"/>
          <w:sz w:val="20"/>
          <w:szCs w:val="20"/>
        </w:rPr>
        <w:instrText xml:space="preserve"> SEQ Figure \* ARABIC </w:instrText>
      </w:r>
      <w:r w:rsidRPr="00DD1DB1">
        <w:rPr>
          <w:rFonts w:ascii="Arial" w:hAnsi="Arial" w:cs="Arial"/>
          <w:b/>
          <w:bCs/>
          <w:color w:val="auto"/>
          <w:sz w:val="20"/>
          <w:szCs w:val="20"/>
        </w:rPr>
        <w:fldChar w:fldCharType="separate"/>
      </w:r>
      <w:r w:rsidR="001823B4">
        <w:rPr>
          <w:rFonts w:ascii="Arial" w:hAnsi="Arial" w:cs="Arial"/>
          <w:b/>
          <w:bCs/>
          <w:noProof/>
          <w:color w:val="auto"/>
          <w:sz w:val="20"/>
          <w:szCs w:val="20"/>
        </w:rPr>
        <w:t>32</w:t>
      </w:r>
      <w:r w:rsidRPr="00DD1DB1">
        <w:rPr>
          <w:rFonts w:ascii="Arial" w:hAnsi="Arial" w:cs="Arial"/>
          <w:b/>
          <w:bCs/>
          <w:color w:val="auto"/>
          <w:sz w:val="20"/>
          <w:szCs w:val="20"/>
        </w:rPr>
        <w:fldChar w:fldCharType="end"/>
      </w:r>
      <w:r w:rsidRPr="00E83766">
        <w:rPr>
          <w:rFonts w:ascii="Arial" w:hAnsi="Arial" w:cs="Arial"/>
          <w:color w:val="auto"/>
          <w:sz w:val="20"/>
          <w:szCs w:val="20"/>
        </w:rPr>
        <w:t xml:space="preserve">: </w:t>
      </w:r>
      <w:r>
        <w:rPr>
          <w:rFonts w:ascii="Arial" w:hAnsi="Arial" w:cs="Arial"/>
          <w:color w:val="auto"/>
          <w:sz w:val="20"/>
          <w:szCs w:val="20"/>
        </w:rPr>
        <w:t xml:space="preserve">Comparison of EQ-indexed and </w:t>
      </w:r>
      <w:r w:rsidRPr="00E83766">
        <w:rPr>
          <w:rFonts w:ascii="Arial" w:hAnsi="Arial" w:cs="Arial"/>
          <w:color w:val="auto"/>
          <w:sz w:val="20"/>
          <w:szCs w:val="20"/>
        </w:rPr>
        <w:t>EQ-VAS score</w:t>
      </w:r>
      <w:r>
        <w:rPr>
          <w:rFonts w:ascii="Arial" w:hAnsi="Arial" w:cs="Arial"/>
          <w:color w:val="auto"/>
          <w:sz w:val="20"/>
          <w:szCs w:val="20"/>
        </w:rPr>
        <w:t>s from baseline to one-year follow-up</w:t>
      </w:r>
      <w:r w:rsidR="000D4BB3">
        <w:rPr>
          <w:rFonts w:ascii="Arial" w:hAnsi="Arial" w:cs="Arial"/>
          <w:color w:val="auto"/>
          <w:sz w:val="20"/>
          <w:szCs w:val="20"/>
        </w:rPr>
        <w:t xml:space="preserve"> </w:t>
      </w:r>
      <w:r w:rsidRPr="00E83766">
        <w:rPr>
          <w:rFonts w:ascii="Arial" w:hAnsi="Arial" w:cs="Arial"/>
          <w:color w:val="auto"/>
          <w:sz w:val="20"/>
          <w:szCs w:val="20"/>
        </w:rPr>
        <w:t>demonstrat</w:t>
      </w:r>
      <w:r>
        <w:rPr>
          <w:rFonts w:ascii="Arial" w:hAnsi="Arial" w:cs="Arial"/>
          <w:color w:val="auto"/>
          <w:sz w:val="20"/>
          <w:szCs w:val="20"/>
        </w:rPr>
        <w:t>e</w:t>
      </w:r>
      <w:bookmarkEnd w:id="945"/>
      <w:bookmarkEnd w:id="946"/>
      <w:bookmarkEnd w:id="947"/>
      <w:bookmarkEnd w:id="948"/>
      <w:bookmarkEnd w:id="949"/>
      <w:bookmarkEnd w:id="950"/>
      <w:bookmarkEnd w:id="951"/>
      <w:bookmarkEnd w:id="952"/>
      <w:bookmarkEnd w:id="953"/>
      <w:bookmarkEnd w:id="954"/>
      <w:bookmarkEnd w:id="955"/>
      <w:bookmarkEnd w:id="956"/>
      <w:r w:rsidR="00D81E30">
        <w:rPr>
          <w:rFonts w:ascii="Arial" w:hAnsi="Arial" w:cs="Arial"/>
          <w:color w:val="auto"/>
          <w:sz w:val="20"/>
          <w:szCs w:val="20"/>
        </w:rPr>
        <w:t>d statistically non-</w:t>
      </w:r>
      <w:r w:rsidR="000D4BB3">
        <w:rPr>
          <w:rFonts w:ascii="Arial" w:hAnsi="Arial" w:cs="Arial"/>
          <w:color w:val="auto"/>
          <w:sz w:val="20"/>
          <w:szCs w:val="20"/>
        </w:rPr>
        <w:t xml:space="preserve">significant interval </w:t>
      </w:r>
      <w:bookmarkEnd w:id="957"/>
      <w:r w:rsidR="00245B86">
        <w:rPr>
          <w:rFonts w:ascii="Arial" w:hAnsi="Arial" w:cs="Arial"/>
          <w:color w:val="auto"/>
          <w:sz w:val="20"/>
          <w:szCs w:val="20"/>
        </w:rPr>
        <w:t>change</w:t>
      </w:r>
      <w:r w:rsidR="00C21E41">
        <w:rPr>
          <w:rFonts w:ascii="Arial" w:hAnsi="Arial" w:cs="Arial"/>
          <w:color w:val="auto"/>
          <w:sz w:val="20"/>
          <w:szCs w:val="20"/>
        </w:rPr>
        <w:t xml:space="preserve"> at one year</w:t>
      </w:r>
      <w:r w:rsidR="00245B86">
        <w:rPr>
          <w:rFonts w:ascii="Arial" w:hAnsi="Arial" w:cs="Arial"/>
          <w:color w:val="auto"/>
          <w:sz w:val="20"/>
          <w:szCs w:val="20"/>
        </w:rPr>
        <w:t>.</w:t>
      </w:r>
      <w:bookmarkEnd w:id="958"/>
      <w:bookmarkEnd w:id="959"/>
    </w:p>
    <w:p w14:paraId="070E10A6" w14:textId="77777777" w:rsidR="004942B6" w:rsidRDefault="004942B6" w:rsidP="004942B6">
      <w:pPr>
        <w:keepNext/>
        <w:spacing w:line="360" w:lineRule="auto"/>
        <w:jc w:val="both"/>
      </w:pPr>
      <w:r>
        <w:lastRenderedPageBreak/>
        <w:t>.</w:t>
      </w:r>
      <w:r>
        <w:rPr>
          <w:noProof/>
          <w:lang w:eastAsia="en-GB"/>
        </w:rPr>
        <w:drawing>
          <wp:inline distT="0" distB="0" distL="0" distR="0" wp14:anchorId="3D30CE0B" wp14:editId="145D5B88">
            <wp:extent cx="6043195" cy="4718165"/>
            <wp:effectExtent l="0" t="0" r="0" b="6350"/>
            <wp:docPr id="1967210279" name="Picture 1967210279" descr="A collage of multiple images of a group of graph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10279" name="Picture 8" descr="A collage of multiple images of a group of graphs&#10;&#10;Description automatically generated with medium confidence"/>
                    <pic:cNvPicPr/>
                  </pic:nvPicPr>
                  <pic:blipFill rotWithShape="1">
                    <a:blip r:embed="rId54" cstate="print">
                      <a:extLst>
                        <a:ext uri="{BEBA8EAE-BF5A-486C-A8C5-ECC9F3942E4B}">
                          <a14:imgProps xmlns:a14="http://schemas.microsoft.com/office/drawing/2010/main">
                            <a14:imgLayer r:embed="rId5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1617" t="1600" r="2317" b="2404"/>
                    <a:stretch/>
                  </pic:blipFill>
                  <pic:spPr bwMode="auto">
                    <a:xfrm>
                      <a:off x="0" y="0"/>
                      <a:ext cx="6062639" cy="4733345"/>
                    </a:xfrm>
                    <a:prstGeom prst="rect">
                      <a:avLst/>
                    </a:prstGeom>
                    <a:ln>
                      <a:noFill/>
                    </a:ln>
                    <a:extLst>
                      <a:ext uri="{53640926-AAD7-44D8-BBD7-CCE9431645EC}">
                        <a14:shadowObscured xmlns:a14="http://schemas.microsoft.com/office/drawing/2010/main"/>
                      </a:ext>
                    </a:extLst>
                  </pic:spPr>
                </pic:pic>
              </a:graphicData>
            </a:graphic>
          </wp:inline>
        </w:drawing>
      </w:r>
    </w:p>
    <w:p w14:paraId="41A1656E" w14:textId="0C761AC2" w:rsidR="004942B6" w:rsidRDefault="004942B6" w:rsidP="004942B6">
      <w:pPr>
        <w:pStyle w:val="Caption"/>
        <w:jc w:val="both"/>
        <w:rPr>
          <w:rFonts w:ascii="Arial" w:hAnsi="Arial" w:cs="Arial"/>
          <w:color w:val="auto"/>
          <w:sz w:val="20"/>
          <w:szCs w:val="20"/>
        </w:rPr>
      </w:pPr>
      <w:bookmarkStart w:id="960" w:name="_Toc152340485"/>
      <w:bookmarkStart w:id="961" w:name="_Toc150518914"/>
      <w:bookmarkStart w:id="962" w:name="_Toc151222851"/>
      <w:bookmarkStart w:id="963" w:name="_Toc151626691"/>
      <w:bookmarkStart w:id="964" w:name="_Toc152492278"/>
      <w:bookmarkStart w:id="965" w:name="_Toc152596965"/>
      <w:bookmarkStart w:id="966" w:name="_Toc153409672"/>
      <w:bookmarkStart w:id="967" w:name="_Toc153724919"/>
      <w:bookmarkStart w:id="968" w:name="_Toc159318505"/>
      <w:bookmarkStart w:id="969" w:name="_Toc159612031"/>
      <w:bookmarkStart w:id="970" w:name="_Toc160982677"/>
      <w:bookmarkStart w:id="971" w:name="_Toc164697503"/>
      <w:bookmarkStart w:id="972" w:name="_Toc170744595"/>
      <w:bookmarkStart w:id="973" w:name="_Toc196153225"/>
      <w:r w:rsidRPr="00DD1DB1">
        <w:rPr>
          <w:rFonts w:ascii="Arial" w:hAnsi="Arial" w:cs="Arial"/>
          <w:b/>
          <w:bCs/>
          <w:color w:val="auto"/>
        </w:rPr>
        <w:t xml:space="preserve">Figure </w:t>
      </w:r>
      <w:r w:rsidRPr="00DD1DB1">
        <w:rPr>
          <w:rFonts w:ascii="Arial" w:hAnsi="Arial" w:cs="Arial"/>
          <w:b/>
          <w:bCs/>
          <w:color w:val="auto"/>
        </w:rPr>
        <w:fldChar w:fldCharType="begin"/>
      </w:r>
      <w:r w:rsidRPr="00DD1DB1">
        <w:rPr>
          <w:rFonts w:ascii="Arial" w:hAnsi="Arial" w:cs="Arial"/>
          <w:b/>
          <w:bCs/>
          <w:color w:val="auto"/>
        </w:rPr>
        <w:instrText xml:space="preserve"> SEQ Figure \* ARABIC </w:instrText>
      </w:r>
      <w:r w:rsidRPr="00DD1DB1">
        <w:rPr>
          <w:rFonts w:ascii="Arial" w:hAnsi="Arial" w:cs="Arial"/>
          <w:b/>
          <w:bCs/>
          <w:color w:val="auto"/>
        </w:rPr>
        <w:fldChar w:fldCharType="separate"/>
      </w:r>
      <w:r w:rsidR="001823B4">
        <w:rPr>
          <w:rFonts w:ascii="Arial" w:hAnsi="Arial" w:cs="Arial"/>
          <w:b/>
          <w:bCs/>
          <w:noProof/>
          <w:color w:val="auto"/>
        </w:rPr>
        <w:t>33</w:t>
      </w:r>
      <w:r w:rsidRPr="00DD1DB1">
        <w:rPr>
          <w:rFonts w:ascii="Arial" w:hAnsi="Arial" w:cs="Arial"/>
          <w:b/>
          <w:bCs/>
          <w:noProof/>
          <w:color w:val="auto"/>
        </w:rPr>
        <w:fldChar w:fldCharType="end"/>
      </w:r>
      <w:r w:rsidRPr="00E83766">
        <w:rPr>
          <w:rFonts w:ascii="Arial" w:hAnsi="Arial" w:cs="Arial"/>
          <w:color w:val="auto"/>
        </w:rPr>
        <w:t>:</w:t>
      </w:r>
      <w:r>
        <w:rPr>
          <w:rFonts w:ascii="Arial" w:hAnsi="Arial" w:cs="Arial"/>
          <w:color w:val="auto"/>
        </w:rPr>
        <w:t xml:space="preserve"> </w:t>
      </w:r>
      <w:r>
        <w:rPr>
          <w:rFonts w:ascii="Arial" w:hAnsi="Arial" w:cs="Arial"/>
          <w:color w:val="auto"/>
          <w:sz w:val="20"/>
          <w:szCs w:val="20"/>
        </w:rPr>
        <w:t xml:space="preserve">EQ-indexed and </w:t>
      </w:r>
      <w:r w:rsidRPr="00E83766">
        <w:rPr>
          <w:rFonts w:ascii="Arial" w:hAnsi="Arial" w:cs="Arial"/>
          <w:color w:val="auto"/>
          <w:sz w:val="20"/>
          <w:szCs w:val="20"/>
        </w:rPr>
        <w:t>EQ-VAS score</w:t>
      </w:r>
      <w:r>
        <w:rPr>
          <w:rFonts w:ascii="Arial" w:hAnsi="Arial" w:cs="Arial"/>
          <w:color w:val="auto"/>
          <w:sz w:val="20"/>
          <w:szCs w:val="20"/>
        </w:rPr>
        <w:t xml:space="preserve">s </w:t>
      </w:r>
      <w:r w:rsidR="00D45E24">
        <w:rPr>
          <w:rFonts w:ascii="Arial" w:hAnsi="Arial" w:cs="Arial"/>
          <w:color w:val="auto"/>
          <w:sz w:val="20"/>
          <w:szCs w:val="20"/>
        </w:rPr>
        <w:t>segregated according to</w:t>
      </w:r>
      <w:r>
        <w:rPr>
          <w:rFonts w:ascii="Arial" w:hAnsi="Arial" w:cs="Arial"/>
          <w:color w:val="auto"/>
          <w:sz w:val="20"/>
          <w:szCs w:val="20"/>
        </w:rPr>
        <w:t xml:space="preserve"> the ACS and CCS</w:t>
      </w:r>
      <w:bookmarkEnd w:id="960"/>
      <w:r w:rsidR="00D45E24">
        <w:rPr>
          <w:rFonts w:ascii="Arial" w:hAnsi="Arial" w:cs="Arial"/>
          <w:color w:val="auto"/>
          <w:sz w:val="20"/>
          <w:szCs w:val="20"/>
        </w:rPr>
        <w:t xml:space="preserve"> cohorts</w:t>
      </w:r>
      <w:r w:rsidRPr="00E83766">
        <w:rPr>
          <w:rFonts w:ascii="Arial" w:hAnsi="Arial" w:cs="Arial"/>
          <w:color w:val="auto"/>
          <w:sz w:val="20"/>
          <w:szCs w:val="20"/>
        </w:rPr>
        <w:t xml:space="preserve"> </w:t>
      </w:r>
      <w:bookmarkEnd w:id="961"/>
      <w:bookmarkEnd w:id="962"/>
      <w:bookmarkEnd w:id="963"/>
      <w:bookmarkEnd w:id="964"/>
      <w:bookmarkEnd w:id="965"/>
      <w:bookmarkEnd w:id="966"/>
      <w:bookmarkEnd w:id="967"/>
      <w:bookmarkEnd w:id="968"/>
      <w:bookmarkEnd w:id="969"/>
      <w:bookmarkEnd w:id="970"/>
      <w:r w:rsidR="00245B86">
        <w:rPr>
          <w:rFonts w:ascii="Arial" w:hAnsi="Arial" w:cs="Arial"/>
          <w:color w:val="auto"/>
          <w:sz w:val="20"/>
          <w:szCs w:val="20"/>
        </w:rPr>
        <w:t>did not show any significant i</w:t>
      </w:r>
      <w:r w:rsidR="00632191">
        <w:rPr>
          <w:rFonts w:ascii="Arial" w:hAnsi="Arial" w:cs="Arial"/>
          <w:color w:val="auto"/>
          <w:sz w:val="20"/>
          <w:szCs w:val="20"/>
        </w:rPr>
        <w:t>nterval change at one year</w:t>
      </w:r>
      <w:r>
        <w:rPr>
          <w:rFonts w:ascii="Arial" w:hAnsi="Arial" w:cs="Arial"/>
          <w:color w:val="auto"/>
          <w:sz w:val="20"/>
          <w:szCs w:val="20"/>
        </w:rPr>
        <w:t>.</w:t>
      </w:r>
      <w:bookmarkEnd w:id="971"/>
      <w:bookmarkEnd w:id="972"/>
      <w:bookmarkEnd w:id="973"/>
    </w:p>
    <w:p w14:paraId="48E31970" w14:textId="77777777" w:rsidR="001823B4" w:rsidRPr="001823B4" w:rsidRDefault="001823B4" w:rsidP="001823B4"/>
    <w:p w14:paraId="1040B176" w14:textId="77777777" w:rsidR="001823B4" w:rsidRDefault="001823B4" w:rsidP="001823B4">
      <w:pPr>
        <w:keepNext/>
        <w:spacing w:line="360" w:lineRule="auto"/>
        <w:jc w:val="both"/>
      </w:pPr>
      <w:r w:rsidRPr="001823B4">
        <w:rPr>
          <w:rFonts w:ascii="Arial" w:hAnsi="Arial" w:cs="Arial"/>
          <w:noProof/>
          <w:color w:val="000000" w:themeColor="text1"/>
          <w:sz w:val="24"/>
          <w:szCs w:val="24"/>
        </w:rPr>
        <w:lastRenderedPageBreak/>
        <w:drawing>
          <wp:inline distT="0" distB="0" distL="0" distR="0" wp14:anchorId="1BC45FB7" wp14:editId="02B27A50">
            <wp:extent cx="6095365" cy="3368040"/>
            <wp:effectExtent l="0" t="0" r="635" b="3810"/>
            <wp:docPr id="615114693" name="Picture 1" descr="A comparison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14693" name="Picture 1" descr="A comparison of a graph"/>
                    <pic:cNvPicPr/>
                  </pic:nvPicPr>
                  <pic:blipFill rotWithShape="1">
                    <a:blip r:embed="rId56">
                      <a:extLst>
                        <a:ext uri="{BEBA8EAE-BF5A-486C-A8C5-ECC9F3942E4B}">
                          <a14:imgProps xmlns:a14="http://schemas.microsoft.com/office/drawing/2010/main">
                            <a14:imgLayer r:embed="rId57">
                              <a14:imgEffect>
                                <a14:sharpenSoften amount="25000"/>
                              </a14:imgEffect>
                              <a14:imgEffect>
                                <a14:brightnessContrast contrast="20000"/>
                              </a14:imgEffect>
                            </a14:imgLayer>
                          </a14:imgProps>
                        </a:ext>
                      </a:extLst>
                    </a:blip>
                    <a:srcRect l="1596" t="3058" r="2016" b="5712"/>
                    <a:stretch/>
                  </pic:blipFill>
                  <pic:spPr bwMode="auto">
                    <a:xfrm>
                      <a:off x="0" y="0"/>
                      <a:ext cx="6104957" cy="3373340"/>
                    </a:xfrm>
                    <a:prstGeom prst="rect">
                      <a:avLst/>
                    </a:prstGeom>
                    <a:ln>
                      <a:noFill/>
                    </a:ln>
                    <a:extLst>
                      <a:ext uri="{53640926-AAD7-44D8-BBD7-CCE9431645EC}">
                        <a14:shadowObscured xmlns:a14="http://schemas.microsoft.com/office/drawing/2010/main"/>
                      </a:ext>
                    </a:extLst>
                  </pic:spPr>
                </pic:pic>
              </a:graphicData>
            </a:graphic>
          </wp:inline>
        </w:drawing>
      </w:r>
    </w:p>
    <w:p w14:paraId="67BCFE7B" w14:textId="3662ADBA" w:rsidR="004942B6" w:rsidRPr="001823B4" w:rsidRDefault="001823B4" w:rsidP="001823B4">
      <w:pPr>
        <w:pStyle w:val="Caption"/>
        <w:jc w:val="both"/>
        <w:rPr>
          <w:rFonts w:ascii="Arial" w:hAnsi="Arial" w:cs="Arial"/>
          <w:color w:val="auto"/>
          <w:sz w:val="20"/>
          <w:szCs w:val="20"/>
        </w:rPr>
      </w:pPr>
      <w:bookmarkStart w:id="974" w:name="_Toc196153226"/>
      <w:r w:rsidRPr="001823B4">
        <w:rPr>
          <w:rFonts w:ascii="Arial" w:hAnsi="Arial" w:cs="Arial"/>
          <w:b/>
          <w:bCs/>
          <w:color w:val="auto"/>
          <w:sz w:val="20"/>
          <w:szCs w:val="20"/>
        </w:rPr>
        <w:t xml:space="preserve">Figure </w:t>
      </w:r>
      <w:r w:rsidRPr="001823B4">
        <w:rPr>
          <w:rFonts w:ascii="Arial" w:hAnsi="Arial" w:cs="Arial"/>
          <w:b/>
          <w:bCs/>
          <w:color w:val="auto"/>
          <w:sz w:val="20"/>
          <w:szCs w:val="20"/>
        </w:rPr>
        <w:fldChar w:fldCharType="begin"/>
      </w:r>
      <w:r w:rsidRPr="001823B4">
        <w:rPr>
          <w:rFonts w:ascii="Arial" w:hAnsi="Arial" w:cs="Arial"/>
          <w:b/>
          <w:bCs/>
          <w:color w:val="auto"/>
          <w:sz w:val="20"/>
          <w:szCs w:val="20"/>
        </w:rPr>
        <w:instrText xml:space="preserve"> SEQ Figure \* ARABIC </w:instrText>
      </w:r>
      <w:r w:rsidRPr="001823B4">
        <w:rPr>
          <w:rFonts w:ascii="Arial" w:hAnsi="Arial" w:cs="Arial"/>
          <w:b/>
          <w:bCs/>
          <w:color w:val="auto"/>
          <w:sz w:val="20"/>
          <w:szCs w:val="20"/>
        </w:rPr>
        <w:fldChar w:fldCharType="separate"/>
      </w:r>
      <w:r>
        <w:rPr>
          <w:rFonts w:ascii="Arial" w:hAnsi="Arial" w:cs="Arial"/>
          <w:b/>
          <w:bCs/>
          <w:noProof/>
          <w:color w:val="auto"/>
          <w:sz w:val="20"/>
          <w:szCs w:val="20"/>
        </w:rPr>
        <w:t>34</w:t>
      </w:r>
      <w:r w:rsidRPr="001823B4">
        <w:rPr>
          <w:rFonts w:ascii="Arial" w:hAnsi="Arial" w:cs="Arial"/>
          <w:b/>
          <w:bCs/>
          <w:color w:val="auto"/>
          <w:sz w:val="20"/>
          <w:szCs w:val="20"/>
        </w:rPr>
        <w:fldChar w:fldCharType="end"/>
      </w:r>
      <w:r w:rsidRPr="001823B4">
        <w:rPr>
          <w:rFonts w:ascii="Arial" w:hAnsi="Arial" w:cs="Arial"/>
          <w:b/>
          <w:bCs/>
          <w:color w:val="auto"/>
          <w:sz w:val="20"/>
          <w:szCs w:val="20"/>
        </w:rPr>
        <w:t>:</w:t>
      </w:r>
      <w:r w:rsidRPr="001823B4">
        <w:rPr>
          <w:rFonts w:ascii="Arial" w:hAnsi="Arial" w:cs="Arial"/>
          <w:color w:val="auto"/>
          <w:sz w:val="20"/>
          <w:szCs w:val="20"/>
        </w:rPr>
        <w:t xml:space="preserve"> One Way ANOVA analysis of the EQ-VAS and EQ-indexed scores of ACS (n=180) and CCS (n=86) patients in VIRTU-4</w:t>
      </w:r>
      <w:bookmarkEnd w:id="974"/>
    </w:p>
    <w:p w14:paraId="2C6AA7D7" w14:textId="54C9A7E7" w:rsidR="001823B4" w:rsidRDefault="001823B4" w:rsidP="004942B6">
      <w:pPr>
        <w:spacing w:line="360" w:lineRule="auto"/>
        <w:jc w:val="both"/>
        <w:rPr>
          <w:rFonts w:ascii="Arial" w:hAnsi="Arial" w:cs="Arial"/>
          <w:color w:val="000000" w:themeColor="text1"/>
          <w:sz w:val="24"/>
          <w:szCs w:val="24"/>
        </w:rPr>
      </w:pPr>
    </w:p>
    <w:p w14:paraId="587BA680" w14:textId="3F1D6735" w:rsidR="004942B6" w:rsidRPr="00DA0235" w:rsidRDefault="004942B6" w:rsidP="004942B6">
      <w:pPr>
        <w:pStyle w:val="Heading3"/>
        <w:spacing w:line="360" w:lineRule="auto"/>
        <w:jc w:val="both"/>
        <w:rPr>
          <w:rFonts w:ascii="Arial" w:hAnsi="Arial" w:cs="Arial"/>
          <w:color w:val="4472C4" w:themeColor="accent1"/>
          <w:sz w:val="24"/>
          <w:szCs w:val="24"/>
        </w:rPr>
      </w:pPr>
      <w:bookmarkStart w:id="975" w:name="_Toc170076076"/>
      <w:bookmarkStart w:id="976" w:name="_Toc171203151"/>
      <w:bookmarkStart w:id="977" w:name="_Toc171203922"/>
      <w:r w:rsidRPr="00DA0235">
        <w:rPr>
          <w:rFonts w:ascii="Arial" w:hAnsi="Arial" w:cs="Arial"/>
          <w:color w:val="4472C4" w:themeColor="accent1"/>
          <w:sz w:val="24"/>
          <w:szCs w:val="24"/>
        </w:rPr>
        <w:t>3.</w:t>
      </w:r>
      <w:r w:rsidR="00890A1F">
        <w:rPr>
          <w:rFonts w:ascii="Arial" w:hAnsi="Arial" w:cs="Arial"/>
          <w:color w:val="4472C4" w:themeColor="accent1"/>
          <w:sz w:val="24"/>
          <w:szCs w:val="24"/>
        </w:rPr>
        <w:t>2.</w:t>
      </w:r>
      <w:r w:rsidR="00067905">
        <w:rPr>
          <w:rFonts w:ascii="Arial" w:hAnsi="Arial" w:cs="Arial"/>
          <w:color w:val="4472C4" w:themeColor="accent1"/>
          <w:sz w:val="24"/>
          <w:szCs w:val="24"/>
        </w:rPr>
        <w:t>2</w:t>
      </w:r>
      <w:r w:rsidRPr="00DA0235">
        <w:rPr>
          <w:rFonts w:ascii="Arial" w:hAnsi="Arial" w:cs="Arial"/>
          <w:color w:val="4472C4" w:themeColor="accent1"/>
          <w:sz w:val="24"/>
          <w:szCs w:val="24"/>
        </w:rPr>
        <w:t xml:space="preserve"> Correlation between EQ-indexed and EQ-VAS scores</w:t>
      </w:r>
      <w:bookmarkEnd w:id="975"/>
      <w:bookmarkEnd w:id="976"/>
      <w:bookmarkEnd w:id="977"/>
      <w:r w:rsidRPr="00DA0235">
        <w:rPr>
          <w:rFonts w:ascii="Arial" w:hAnsi="Arial" w:cs="Arial"/>
          <w:color w:val="4472C4" w:themeColor="accent1"/>
          <w:sz w:val="24"/>
          <w:szCs w:val="24"/>
        </w:rPr>
        <w:t xml:space="preserve"> </w:t>
      </w:r>
    </w:p>
    <w:p w14:paraId="1AAF52F8" w14:textId="4A5EA9FD" w:rsidR="004942B6" w:rsidRDefault="004942B6" w:rsidP="004942B6">
      <w:pPr>
        <w:spacing w:line="360" w:lineRule="auto"/>
        <w:jc w:val="both"/>
        <w:rPr>
          <w:rFonts w:ascii="Arial" w:hAnsi="Arial" w:cs="Arial"/>
          <w:sz w:val="24"/>
          <w:szCs w:val="24"/>
        </w:rPr>
      </w:pPr>
      <w:r w:rsidRPr="00072DBC">
        <w:rPr>
          <w:rFonts w:ascii="Arial" w:hAnsi="Arial" w:cs="Arial"/>
          <w:sz w:val="24"/>
          <w:szCs w:val="24"/>
        </w:rPr>
        <w:t>The</w:t>
      </w:r>
      <w:r>
        <w:rPr>
          <w:rFonts w:ascii="Arial" w:hAnsi="Arial" w:cs="Arial"/>
          <w:sz w:val="24"/>
          <w:szCs w:val="24"/>
        </w:rPr>
        <w:t xml:space="preserve"> </w:t>
      </w:r>
      <w:r w:rsidRPr="00072DBC">
        <w:rPr>
          <w:rFonts w:ascii="Arial" w:hAnsi="Arial" w:cs="Arial"/>
          <w:sz w:val="24"/>
          <w:szCs w:val="24"/>
        </w:rPr>
        <w:t>EQ</w:t>
      </w:r>
      <w:r>
        <w:rPr>
          <w:rFonts w:ascii="Arial" w:hAnsi="Arial" w:cs="Arial"/>
          <w:sz w:val="24"/>
          <w:szCs w:val="24"/>
        </w:rPr>
        <w:t xml:space="preserve">-VAS and EQ-indexed scores of all the patients in VIRTU-4 </w:t>
      </w:r>
      <w:r w:rsidR="00854F49">
        <w:rPr>
          <w:rFonts w:ascii="Arial" w:hAnsi="Arial" w:cs="Arial"/>
          <w:sz w:val="24"/>
          <w:szCs w:val="24"/>
        </w:rPr>
        <w:t xml:space="preserve">HE </w:t>
      </w:r>
      <w:r>
        <w:rPr>
          <w:rFonts w:ascii="Arial" w:hAnsi="Arial" w:cs="Arial"/>
          <w:sz w:val="24"/>
          <w:szCs w:val="24"/>
        </w:rPr>
        <w:t>had a good correlation (r=0.79; p&lt;0.001) at one-year follow-up</w:t>
      </w:r>
      <w:r w:rsidR="00586C25">
        <w:rPr>
          <w:rFonts w:ascii="Arial" w:hAnsi="Arial" w:cs="Arial"/>
          <w:sz w:val="24"/>
          <w:szCs w:val="24"/>
        </w:rPr>
        <w:t>,</w:t>
      </w:r>
      <w:r>
        <w:rPr>
          <w:rFonts w:ascii="Arial" w:hAnsi="Arial" w:cs="Arial"/>
          <w:sz w:val="24"/>
          <w:szCs w:val="24"/>
        </w:rPr>
        <w:t xml:space="preserve"> suggesting that the patient’s self-</w:t>
      </w:r>
      <w:r w:rsidR="00586C25">
        <w:rPr>
          <w:rFonts w:ascii="Arial" w:hAnsi="Arial" w:cs="Arial"/>
          <w:sz w:val="24"/>
          <w:szCs w:val="24"/>
        </w:rPr>
        <w:t>e</w:t>
      </w:r>
      <w:r>
        <w:rPr>
          <w:rFonts w:ascii="Arial" w:hAnsi="Arial" w:cs="Arial"/>
          <w:sz w:val="24"/>
          <w:szCs w:val="24"/>
        </w:rPr>
        <w:t>valuation of health status as a single score (EQ-VAS) corresponds well to the</w:t>
      </w:r>
      <w:r w:rsidR="00854F49">
        <w:rPr>
          <w:rFonts w:ascii="Arial" w:hAnsi="Arial" w:cs="Arial"/>
          <w:sz w:val="24"/>
          <w:szCs w:val="24"/>
        </w:rPr>
        <w:t>ir subjective</w:t>
      </w:r>
      <w:r>
        <w:rPr>
          <w:rFonts w:ascii="Arial" w:hAnsi="Arial" w:cs="Arial"/>
          <w:sz w:val="24"/>
          <w:szCs w:val="24"/>
        </w:rPr>
        <w:t xml:space="preserve"> valuation in five dimensions of health, as assessed in EQ-5D indexed (see Figure </w:t>
      </w:r>
      <w:r w:rsidR="003A374C">
        <w:rPr>
          <w:rFonts w:ascii="Arial" w:hAnsi="Arial" w:cs="Arial"/>
          <w:sz w:val="24"/>
          <w:szCs w:val="24"/>
        </w:rPr>
        <w:t>3</w:t>
      </w:r>
      <w:r w:rsidR="001823B4">
        <w:rPr>
          <w:rFonts w:ascii="Arial" w:hAnsi="Arial" w:cs="Arial"/>
          <w:sz w:val="24"/>
          <w:szCs w:val="24"/>
        </w:rPr>
        <w:t>5</w:t>
      </w:r>
      <w:r>
        <w:rPr>
          <w:rFonts w:ascii="Arial" w:hAnsi="Arial" w:cs="Arial"/>
          <w:sz w:val="24"/>
          <w:szCs w:val="24"/>
        </w:rPr>
        <w:t xml:space="preserve">). </w:t>
      </w:r>
    </w:p>
    <w:p w14:paraId="530EBF19" w14:textId="77777777" w:rsidR="004942B6" w:rsidRDefault="004942B6" w:rsidP="004942B6">
      <w:pPr>
        <w:jc w:val="both"/>
        <w:rPr>
          <w:rFonts w:ascii="Arial" w:hAnsi="Arial" w:cs="Arial"/>
          <w:sz w:val="24"/>
          <w:szCs w:val="24"/>
        </w:rPr>
      </w:pPr>
    </w:p>
    <w:p w14:paraId="77C5F519" w14:textId="77777777" w:rsidR="004942B6" w:rsidRDefault="004942B6" w:rsidP="004942B6">
      <w:pPr>
        <w:jc w:val="both"/>
        <w:rPr>
          <w:rFonts w:ascii="Arial" w:hAnsi="Arial" w:cs="Arial"/>
          <w:sz w:val="24"/>
          <w:szCs w:val="24"/>
        </w:rPr>
      </w:pPr>
    </w:p>
    <w:p w14:paraId="0058CA2E" w14:textId="77777777" w:rsidR="004942B6" w:rsidRDefault="004942B6" w:rsidP="004942B6">
      <w:pPr>
        <w:keepNext/>
        <w:jc w:val="both"/>
      </w:pPr>
      <w:r>
        <w:rPr>
          <w:rFonts w:ascii="Arial" w:hAnsi="Arial" w:cs="Arial"/>
          <w:noProof/>
          <w:sz w:val="24"/>
          <w:szCs w:val="24"/>
          <w:lang w:eastAsia="en-GB"/>
        </w:rPr>
        <w:lastRenderedPageBreak/>
        <w:drawing>
          <wp:inline distT="0" distB="0" distL="0" distR="0" wp14:anchorId="5C8D3A95" wp14:editId="310D5F97">
            <wp:extent cx="5591064" cy="3649980"/>
            <wp:effectExtent l="0" t="0" r="0" b="0"/>
            <wp:docPr id="2061851931" name="Picture 2061851931" descr="A screen 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51931" name="Picture 36" descr="A screen shot of a graph"/>
                    <pic:cNvPicPr/>
                  </pic:nvPicPr>
                  <pic:blipFill rotWithShape="1">
                    <a:blip r:embed="rId58" cstate="print">
                      <a:extLst>
                        <a:ext uri="{28A0092B-C50C-407E-A947-70E740481C1C}">
                          <a14:useLocalDpi xmlns:a14="http://schemas.microsoft.com/office/drawing/2010/main" val="0"/>
                        </a:ext>
                      </a:extLst>
                    </a:blip>
                    <a:srcRect l="10769" t="3609" r="9195" b="21747"/>
                    <a:stretch/>
                  </pic:blipFill>
                  <pic:spPr bwMode="auto">
                    <a:xfrm>
                      <a:off x="0" y="0"/>
                      <a:ext cx="5592539" cy="3650943"/>
                    </a:xfrm>
                    <a:prstGeom prst="rect">
                      <a:avLst/>
                    </a:prstGeom>
                    <a:ln>
                      <a:noFill/>
                    </a:ln>
                    <a:extLst>
                      <a:ext uri="{53640926-AAD7-44D8-BBD7-CCE9431645EC}">
                        <a14:shadowObscured xmlns:a14="http://schemas.microsoft.com/office/drawing/2010/main"/>
                      </a:ext>
                    </a:extLst>
                  </pic:spPr>
                </pic:pic>
              </a:graphicData>
            </a:graphic>
          </wp:inline>
        </w:drawing>
      </w:r>
    </w:p>
    <w:p w14:paraId="6950F131" w14:textId="2A9FF76E" w:rsidR="004942B6" w:rsidRPr="00165D26" w:rsidRDefault="004942B6" w:rsidP="004942B6">
      <w:pPr>
        <w:pStyle w:val="Caption"/>
        <w:jc w:val="both"/>
        <w:rPr>
          <w:rFonts w:ascii="Arial" w:hAnsi="Arial" w:cs="Arial"/>
          <w:color w:val="auto"/>
          <w:sz w:val="20"/>
          <w:szCs w:val="20"/>
        </w:rPr>
      </w:pPr>
      <w:bookmarkStart w:id="978" w:name="_Toc152596966"/>
      <w:bookmarkStart w:id="979" w:name="_Toc153409673"/>
      <w:bookmarkStart w:id="980" w:name="_Toc153724920"/>
      <w:bookmarkStart w:id="981" w:name="_Toc159318506"/>
      <w:bookmarkStart w:id="982" w:name="_Toc159612032"/>
      <w:bookmarkStart w:id="983" w:name="_Toc160982678"/>
      <w:bookmarkStart w:id="984" w:name="_Toc164697504"/>
      <w:bookmarkStart w:id="985" w:name="_Toc170744596"/>
      <w:bookmarkStart w:id="986" w:name="_Toc196153227"/>
      <w:r w:rsidRPr="00165D26">
        <w:rPr>
          <w:rFonts w:ascii="Arial" w:hAnsi="Arial" w:cs="Arial"/>
          <w:b/>
          <w:bCs/>
          <w:color w:val="auto"/>
          <w:sz w:val="20"/>
          <w:szCs w:val="20"/>
        </w:rPr>
        <w:t xml:space="preserve">Figure </w:t>
      </w:r>
      <w:r w:rsidRPr="00165D26">
        <w:rPr>
          <w:rFonts w:ascii="Arial" w:hAnsi="Arial" w:cs="Arial"/>
          <w:b/>
          <w:bCs/>
          <w:color w:val="auto"/>
          <w:sz w:val="20"/>
          <w:szCs w:val="20"/>
        </w:rPr>
        <w:fldChar w:fldCharType="begin"/>
      </w:r>
      <w:r w:rsidRPr="00165D26">
        <w:rPr>
          <w:rFonts w:ascii="Arial" w:hAnsi="Arial" w:cs="Arial"/>
          <w:b/>
          <w:bCs/>
          <w:color w:val="auto"/>
          <w:sz w:val="20"/>
          <w:szCs w:val="20"/>
        </w:rPr>
        <w:instrText xml:space="preserve"> SEQ Figure \* ARABIC </w:instrText>
      </w:r>
      <w:r w:rsidRPr="00165D26">
        <w:rPr>
          <w:rFonts w:ascii="Arial" w:hAnsi="Arial" w:cs="Arial"/>
          <w:b/>
          <w:bCs/>
          <w:color w:val="auto"/>
          <w:sz w:val="20"/>
          <w:szCs w:val="20"/>
        </w:rPr>
        <w:fldChar w:fldCharType="separate"/>
      </w:r>
      <w:r w:rsidR="001823B4">
        <w:rPr>
          <w:rFonts w:ascii="Arial" w:hAnsi="Arial" w:cs="Arial"/>
          <w:b/>
          <w:bCs/>
          <w:noProof/>
          <w:color w:val="auto"/>
          <w:sz w:val="20"/>
          <w:szCs w:val="20"/>
        </w:rPr>
        <w:t>35</w:t>
      </w:r>
      <w:r w:rsidRPr="00165D26">
        <w:rPr>
          <w:rFonts w:ascii="Arial" w:hAnsi="Arial" w:cs="Arial"/>
          <w:b/>
          <w:bCs/>
          <w:color w:val="auto"/>
          <w:sz w:val="20"/>
          <w:szCs w:val="20"/>
        </w:rPr>
        <w:fldChar w:fldCharType="end"/>
      </w:r>
      <w:r w:rsidRPr="00165D26">
        <w:rPr>
          <w:rFonts w:ascii="Arial" w:hAnsi="Arial" w:cs="Arial"/>
          <w:b/>
          <w:bCs/>
          <w:color w:val="auto"/>
          <w:sz w:val="20"/>
          <w:szCs w:val="20"/>
        </w:rPr>
        <w:t>:</w:t>
      </w:r>
      <w:r w:rsidRPr="00165D26">
        <w:rPr>
          <w:rFonts w:ascii="Arial" w:hAnsi="Arial" w:cs="Arial"/>
          <w:color w:val="auto"/>
          <w:sz w:val="20"/>
          <w:szCs w:val="20"/>
        </w:rPr>
        <w:t xml:space="preserve"> </w:t>
      </w:r>
      <w:r>
        <w:rPr>
          <w:rFonts w:ascii="Arial" w:hAnsi="Arial" w:cs="Arial"/>
          <w:color w:val="auto"/>
          <w:sz w:val="20"/>
          <w:szCs w:val="20"/>
        </w:rPr>
        <w:t xml:space="preserve">Spearman’s rank correlation coefficient </w:t>
      </w:r>
      <w:r w:rsidRPr="00165D26">
        <w:rPr>
          <w:rFonts w:ascii="Arial" w:hAnsi="Arial" w:cs="Arial"/>
          <w:color w:val="auto"/>
          <w:sz w:val="20"/>
          <w:szCs w:val="20"/>
        </w:rPr>
        <w:t>between EQ-VAS and EQ-indexed scores at one year in VIRTU-4</w:t>
      </w:r>
      <w:bookmarkEnd w:id="978"/>
      <w:bookmarkEnd w:id="979"/>
      <w:bookmarkEnd w:id="980"/>
      <w:r>
        <w:rPr>
          <w:rFonts w:ascii="Arial" w:hAnsi="Arial" w:cs="Arial"/>
          <w:color w:val="auto"/>
          <w:sz w:val="20"/>
          <w:szCs w:val="20"/>
        </w:rPr>
        <w:t xml:space="preserve"> </w:t>
      </w:r>
      <w:r w:rsidR="001823B4">
        <w:rPr>
          <w:rFonts w:ascii="Arial" w:hAnsi="Arial" w:cs="Arial"/>
          <w:color w:val="auto"/>
          <w:sz w:val="20"/>
          <w:szCs w:val="20"/>
        </w:rPr>
        <w:t>demonstrates</w:t>
      </w:r>
      <w:r>
        <w:rPr>
          <w:rFonts w:ascii="Arial" w:hAnsi="Arial" w:cs="Arial"/>
          <w:color w:val="auto"/>
          <w:sz w:val="20"/>
          <w:szCs w:val="20"/>
        </w:rPr>
        <w:t xml:space="preserve"> an excellent correlation (r=0.79, p&lt;0.001).</w:t>
      </w:r>
      <w:bookmarkEnd w:id="981"/>
      <w:bookmarkEnd w:id="982"/>
      <w:bookmarkEnd w:id="983"/>
      <w:bookmarkEnd w:id="984"/>
      <w:bookmarkEnd w:id="985"/>
      <w:bookmarkEnd w:id="986"/>
    </w:p>
    <w:p w14:paraId="6141E4A1" w14:textId="77777777" w:rsidR="004942B6" w:rsidRDefault="004942B6" w:rsidP="004942B6">
      <w:pPr>
        <w:pStyle w:val="Heading3"/>
        <w:spacing w:line="360" w:lineRule="auto"/>
        <w:jc w:val="both"/>
        <w:rPr>
          <w:rFonts w:ascii="Arial" w:hAnsi="Arial" w:cs="Arial"/>
          <w:color w:val="auto"/>
        </w:rPr>
      </w:pPr>
    </w:p>
    <w:p w14:paraId="37ECD812" w14:textId="5258BC1D" w:rsidR="004942B6" w:rsidRPr="00586C25" w:rsidRDefault="004942B6" w:rsidP="004942B6">
      <w:pPr>
        <w:pStyle w:val="Heading3"/>
        <w:spacing w:line="360" w:lineRule="auto"/>
        <w:jc w:val="both"/>
        <w:rPr>
          <w:rFonts w:ascii="Arial" w:hAnsi="Arial" w:cs="Arial"/>
          <w:color w:val="4472C4" w:themeColor="accent1"/>
          <w:sz w:val="24"/>
          <w:szCs w:val="24"/>
        </w:rPr>
      </w:pPr>
      <w:bookmarkStart w:id="987" w:name="_Toc170076077"/>
      <w:bookmarkStart w:id="988" w:name="_Toc171203152"/>
      <w:bookmarkStart w:id="989" w:name="_Toc171203923"/>
      <w:r w:rsidRPr="00586C25">
        <w:rPr>
          <w:rFonts w:ascii="Arial" w:hAnsi="Arial" w:cs="Arial"/>
          <w:color w:val="4472C4" w:themeColor="accent1"/>
          <w:sz w:val="24"/>
          <w:szCs w:val="24"/>
        </w:rPr>
        <w:t>3.</w:t>
      </w:r>
      <w:r w:rsidR="00890A1F">
        <w:rPr>
          <w:rFonts w:ascii="Arial" w:hAnsi="Arial" w:cs="Arial"/>
          <w:color w:val="4472C4" w:themeColor="accent1"/>
          <w:sz w:val="24"/>
          <w:szCs w:val="24"/>
        </w:rPr>
        <w:t>2.</w:t>
      </w:r>
      <w:r w:rsidR="00C6771B">
        <w:rPr>
          <w:rFonts w:ascii="Arial" w:hAnsi="Arial" w:cs="Arial"/>
          <w:color w:val="4472C4" w:themeColor="accent1"/>
          <w:sz w:val="24"/>
          <w:szCs w:val="24"/>
        </w:rPr>
        <w:t>3</w:t>
      </w:r>
      <w:r w:rsidRPr="00586C25">
        <w:rPr>
          <w:rFonts w:ascii="Arial" w:hAnsi="Arial" w:cs="Arial"/>
          <w:color w:val="4472C4" w:themeColor="accent1"/>
          <w:sz w:val="24"/>
          <w:szCs w:val="24"/>
        </w:rPr>
        <w:t xml:space="preserve"> Interval change in QOL</w:t>
      </w:r>
      <w:r w:rsidR="00F429F4">
        <w:rPr>
          <w:rFonts w:ascii="Arial" w:hAnsi="Arial" w:cs="Arial"/>
          <w:color w:val="4472C4" w:themeColor="accent1"/>
          <w:sz w:val="24"/>
          <w:szCs w:val="24"/>
        </w:rPr>
        <w:t xml:space="preserve"> </w:t>
      </w:r>
      <w:r w:rsidRPr="00586C25">
        <w:rPr>
          <w:rFonts w:ascii="Arial" w:hAnsi="Arial" w:cs="Arial"/>
          <w:color w:val="4472C4" w:themeColor="accent1"/>
          <w:sz w:val="24"/>
          <w:szCs w:val="24"/>
        </w:rPr>
        <w:t>scores at one year after exclusion of patients with non-cardiac reasons for reduction in QOL</w:t>
      </w:r>
      <w:bookmarkEnd w:id="987"/>
      <w:bookmarkEnd w:id="988"/>
      <w:bookmarkEnd w:id="989"/>
    </w:p>
    <w:p w14:paraId="1429ED61" w14:textId="77777777" w:rsidR="004942B6" w:rsidRDefault="004942B6" w:rsidP="004942B6">
      <w:pPr>
        <w:spacing w:line="360" w:lineRule="auto"/>
        <w:jc w:val="both"/>
        <w:rPr>
          <w:rFonts w:ascii="Arial" w:hAnsi="Arial" w:cs="Arial"/>
          <w:sz w:val="24"/>
          <w:szCs w:val="24"/>
        </w:rPr>
      </w:pPr>
      <w:r>
        <w:rPr>
          <w:rFonts w:ascii="Arial" w:hAnsi="Arial" w:cs="Arial"/>
          <w:sz w:val="24"/>
          <w:szCs w:val="24"/>
        </w:rPr>
        <w:t>S</w:t>
      </w:r>
      <w:r w:rsidRPr="00902A9B">
        <w:rPr>
          <w:rFonts w:ascii="Arial" w:hAnsi="Arial" w:cs="Arial"/>
          <w:sz w:val="24"/>
          <w:szCs w:val="24"/>
        </w:rPr>
        <w:t>everal non-cardiac reasons contributed to a reduc</w:t>
      </w:r>
      <w:r>
        <w:rPr>
          <w:rFonts w:ascii="Arial" w:hAnsi="Arial" w:cs="Arial"/>
          <w:sz w:val="24"/>
          <w:szCs w:val="24"/>
        </w:rPr>
        <w:t>ed</w:t>
      </w:r>
      <w:r w:rsidRPr="00902A9B">
        <w:rPr>
          <w:rFonts w:ascii="Arial" w:hAnsi="Arial" w:cs="Arial"/>
          <w:sz w:val="24"/>
          <w:szCs w:val="24"/>
        </w:rPr>
        <w:t xml:space="preserve"> QOL for ACS and CCS patients. These reasons included mental health issues, arthritis, respiratory problems, malignancy, financial stress, inflammatory bowel disease, and peripheral vascular disease</w:t>
      </w:r>
      <w:r>
        <w:rPr>
          <w:rFonts w:ascii="Arial" w:hAnsi="Arial" w:cs="Arial"/>
          <w:sz w:val="24"/>
          <w:szCs w:val="24"/>
        </w:rPr>
        <w:t>. Therefore,</w:t>
      </w:r>
      <w:r w:rsidRPr="00902A9B">
        <w:rPr>
          <w:rFonts w:ascii="Arial" w:hAnsi="Arial" w:cs="Arial"/>
          <w:sz w:val="24"/>
          <w:szCs w:val="24"/>
        </w:rPr>
        <w:t xml:space="preserve"> 50/180 (27.7%) in the ACS </w:t>
      </w:r>
      <w:r>
        <w:rPr>
          <w:rFonts w:ascii="Arial" w:hAnsi="Arial" w:cs="Arial"/>
          <w:sz w:val="24"/>
          <w:szCs w:val="24"/>
        </w:rPr>
        <w:t xml:space="preserve">group </w:t>
      </w:r>
      <w:r w:rsidRPr="00902A9B">
        <w:rPr>
          <w:rFonts w:ascii="Arial" w:hAnsi="Arial" w:cs="Arial"/>
          <w:sz w:val="24"/>
          <w:szCs w:val="24"/>
        </w:rPr>
        <w:t>and 23/86 (26.7%) in the CCS group QOL scores were</w:t>
      </w:r>
      <w:r>
        <w:rPr>
          <w:rFonts w:ascii="Arial" w:hAnsi="Arial" w:cs="Arial"/>
          <w:sz w:val="24"/>
          <w:szCs w:val="24"/>
        </w:rPr>
        <w:t xml:space="preserve"> excluded. Hence, data were </w:t>
      </w:r>
      <w:r w:rsidRPr="00902A9B">
        <w:rPr>
          <w:rFonts w:ascii="Arial" w:hAnsi="Arial" w:cs="Arial"/>
          <w:sz w:val="24"/>
          <w:szCs w:val="24"/>
        </w:rPr>
        <w:t xml:space="preserve">re-analysed in the remaining 130/180 (70.9%) patients in </w:t>
      </w:r>
      <w:r>
        <w:rPr>
          <w:rFonts w:ascii="Arial" w:hAnsi="Arial" w:cs="Arial"/>
          <w:sz w:val="24"/>
          <w:szCs w:val="24"/>
        </w:rPr>
        <w:t xml:space="preserve">the </w:t>
      </w:r>
      <w:r w:rsidRPr="00902A9B">
        <w:rPr>
          <w:rFonts w:ascii="Arial" w:hAnsi="Arial" w:cs="Arial"/>
          <w:sz w:val="24"/>
          <w:szCs w:val="24"/>
        </w:rPr>
        <w:t xml:space="preserve">ACS </w:t>
      </w:r>
      <w:r>
        <w:rPr>
          <w:rFonts w:ascii="Arial" w:hAnsi="Arial" w:cs="Arial"/>
          <w:sz w:val="24"/>
          <w:szCs w:val="24"/>
        </w:rPr>
        <w:t xml:space="preserve">group </w:t>
      </w:r>
      <w:r w:rsidRPr="00902A9B">
        <w:rPr>
          <w:rFonts w:ascii="Arial" w:hAnsi="Arial" w:cs="Arial"/>
          <w:sz w:val="24"/>
          <w:szCs w:val="24"/>
        </w:rPr>
        <w:t>and 63/86 (70.8%) patients in the CCS</w:t>
      </w:r>
      <w:r>
        <w:rPr>
          <w:rFonts w:ascii="Arial" w:hAnsi="Arial" w:cs="Arial"/>
          <w:sz w:val="24"/>
          <w:szCs w:val="24"/>
        </w:rPr>
        <w:t xml:space="preserve"> </w:t>
      </w:r>
      <w:r w:rsidRPr="00902A9B">
        <w:rPr>
          <w:rFonts w:ascii="Arial" w:hAnsi="Arial" w:cs="Arial"/>
          <w:sz w:val="24"/>
          <w:szCs w:val="24"/>
        </w:rPr>
        <w:t>group</w:t>
      </w:r>
      <w:sdt>
        <w:sdtPr>
          <w:rPr>
            <w:rFonts w:ascii="Arial" w:hAnsi="Arial" w:cs="Arial"/>
            <w:sz w:val="24"/>
            <w:szCs w:val="24"/>
          </w:rPr>
          <w:tag w:val="MENDELEY_CITATION_TEMP"/>
          <w:id w:val="1261726865"/>
          <w:placeholder>
            <w:docPart w:val="1F8BBA505C5D423C89229EB695CC9207"/>
          </w:placeholder>
          <w15:appearance w15:val="hidden"/>
        </w:sdtPr>
        <w:sdtEndPr/>
        <w:sdtContent>
          <w:r>
            <w:rPr>
              <w:rFonts w:ascii="Arial" w:hAnsi="Arial" w:cs="Arial"/>
              <w:sz w:val="24"/>
              <w:szCs w:val="24"/>
            </w:rPr>
            <w:t>.</w:t>
          </w:r>
        </w:sdtContent>
      </w:sdt>
      <w:r w:rsidRPr="00902A9B">
        <w:rPr>
          <w:rFonts w:ascii="Arial" w:hAnsi="Arial" w:cs="Arial"/>
          <w:sz w:val="24"/>
          <w:szCs w:val="24"/>
        </w:rPr>
        <w:t xml:space="preserve"> The non-cardiac reasons for the reduction in QOL </w:t>
      </w:r>
      <w:r>
        <w:rPr>
          <w:rFonts w:ascii="Arial" w:hAnsi="Arial" w:cs="Arial"/>
          <w:sz w:val="24"/>
          <w:szCs w:val="24"/>
        </w:rPr>
        <w:t>are shown</w:t>
      </w:r>
      <w:r w:rsidRPr="00902A9B">
        <w:rPr>
          <w:rFonts w:ascii="Arial" w:hAnsi="Arial" w:cs="Arial"/>
          <w:sz w:val="24"/>
          <w:szCs w:val="24"/>
        </w:rPr>
        <w:t xml:space="preserve"> in Table 1</w:t>
      </w:r>
      <w:r>
        <w:rPr>
          <w:rFonts w:ascii="Arial" w:hAnsi="Arial" w:cs="Arial"/>
          <w:sz w:val="24"/>
          <w:szCs w:val="24"/>
        </w:rPr>
        <w:t>2</w:t>
      </w:r>
      <w:r w:rsidRPr="00902A9B">
        <w:rPr>
          <w:rFonts w:ascii="Arial" w:hAnsi="Arial" w:cs="Arial"/>
          <w:sz w:val="24"/>
          <w:szCs w:val="24"/>
        </w:rPr>
        <w:t>.</w:t>
      </w:r>
    </w:p>
    <w:p w14:paraId="2784569D" w14:textId="77777777" w:rsidR="004942B6" w:rsidRDefault="004942B6" w:rsidP="004942B6">
      <w:pPr>
        <w:spacing w:line="360" w:lineRule="auto"/>
        <w:jc w:val="both"/>
        <w:rPr>
          <w:rFonts w:ascii="Arial" w:hAnsi="Arial" w:cs="Arial"/>
          <w:sz w:val="24"/>
          <w:szCs w:val="24"/>
        </w:rPr>
      </w:pPr>
    </w:p>
    <w:p w14:paraId="1AFB9D9A" w14:textId="77777777" w:rsidR="004942B6" w:rsidRDefault="004942B6" w:rsidP="004942B6">
      <w:pPr>
        <w:spacing w:line="360" w:lineRule="auto"/>
        <w:jc w:val="both"/>
        <w:rPr>
          <w:rFonts w:ascii="Arial" w:hAnsi="Arial" w:cs="Arial"/>
          <w:sz w:val="24"/>
          <w:szCs w:val="24"/>
        </w:rPr>
      </w:pPr>
    </w:p>
    <w:p w14:paraId="41D9EB3F" w14:textId="77777777" w:rsidR="004942B6" w:rsidRDefault="004942B6" w:rsidP="004942B6">
      <w:pPr>
        <w:spacing w:line="360" w:lineRule="auto"/>
        <w:jc w:val="both"/>
        <w:rPr>
          <w:rFonts w:ascii="Arial" w:hAnsi="Arial" w:cs="Arial"/>
          <w:sz w:val="24"/>
          <w:szCs w:val="24"/>
        </w:rPr>
      </w:pPr>
    </w:p>
    <w:p w14:paraId="6022A29B" w14:textId="77777777" w:rsidR="004942B6" w:rsidRPr="009222F3" w:rsidRDefault="004942B6" w:rsidP="004942B6">
      <w:pPr>
        <w:spacing w:line="360" w:lineRule="auto"/>
        <w:jc w:val="both"/>
        <w:rPr>
          <w:rFonts w:ascii="Arial" w:hAnsi="Arial" w:cs="Arial"/>
          <w:color w:val="000000" w:themeColor="text1"/>
          <w:sz w:val="24"/>
          <w:szCs w:val="24"/>
        </w:rPr>
      </w:pPr>
    </w:p>
    <w:p w14:paraId="2BC50288" w14:textId="41CD5094" w:rsidR="004942B6" w:rsidRPr="009222F3" w:rsidRDefault="004942B6" w:rsidP="004942B6">
      <w:pPr>
        <w:pStyle w:val="Caption"/>
        <w:keepNext/>
        <w:jc w:val="both"/>
        <w:rPr>
          <w:color w:val="000000" w:themeColor="text1"/>
          <w:sz w:val="20"/>
          <w:szCs w:val="20"/>
        </w:rPr>
      </w:pPr>
      <w:bookmarkStart w:id="990" w:name="_Toc135462264"/>
      <w:bookmarkStart w:id="991" w:name="_Toc136312361"/>
      <w:bookmarkStart w:id="992" w:name="_Toc136329097"/>
      <w:bookmarkStart w:id="993" w:name="_Toc151222939"/>
      <w:bookmarkStart w:id="994" w:name="_Toc151630622"/>
      <w:bookmarkStart w:id="995" w:name="_Toc152340582"/>
      <w:bookmarkStart w:id="996" w:name="_Toc152598058"/>
      <w:bookmarkStart w:id="997" w:name="_Toc153725844"/>
      <w:bookmarkStart w:id="998" w:name="_Toc159318287"/>
      <w:bookmarkStart w:id="999" w:name="_Toc159610322"/>
      <w:bookmarkStart w:id="1000" w:name="_Toc164699079"/>
      <w:bookmarkStart w:id="1001" w:name="_Toc171206722"/>
      <w:r w:rsidRPr="009222F3">
        <w:rPr>
          <w:b/>
          <w:bCs/>
          <w:color w:val="000000" w:themeColor="text1"/>
          <w:sz w:val="20"/>
          <w:szCs w:val="20"/>
        </w:rPr>
        <w:lastRenderedPageBreak/>
        <w:t xml:space="preserve">Table </w:t>
      </w:r>
      <w:r w:rsidR="004E73FC">
        <w:rPr>
          <w:b/>
          <w:bCs/>
          <w:color w:val="000000" w:themeColor="text1"/>
          <w:sz w:val="20"/>
          <w:szCs w:val="20"/>
        </w:rPr>
        <w:t>12</w:t>
      </w:r>
      <w:r w:rsidRPr="009222F3">
        <w:rPr>
          <w:color w:val="000000" w:themeColor="text1"/>
          <w:sz w:val="20"/>
          <w:szCs w:val="20"/>
        </w:rPr>
        <w:t xml:space="preserve">: Non-cardiac reasons for reduction in QOL </w:t>
      </w:r>
      <w:r>
        <w:rPr>
          <w:color w:val="000000" w:themeColor="text1"/>
          <w:sz w:val="20"/>
          <w:szCs w:val="20"/>
        </w:rPr>
        <w:t>in</w:t>
      </w:r>
      <w:r w:rsidRPr="009222F3">
        <w:rPr>
          <w:color w:val="000000" w:themeColor="text1"/>
          <w:sz w:val="20"/>
          <w:szCs w:val="20"/>
        </w:rPr>
        <w:t xml:space="preserve"> ACS</w:t>
      </w:r>
      <w:r>
        <w:rPr>
          <w:color w:val="000000" w:themeColor="text1"/>
          <w:sz w:val="20"/>
          <w:szCs w:val="20"/>
        </w:rPr>
        <w:t xml:space="preserve"> </w:t>
      </w:r>
      <w:r w:rsidRPr="009222F3">
        <w:rPr>
          <w:color w:val="000000" w:themeColor="text1"/>
          <w:sz w:val="20"/>
          <w:szCs w:val="20"/>
        </w:rPr>
        <w:t>and CCS</w:t>
      </w:r>
      <w:bookmarkEnd w:id="990"/>
      <w:bookmarkEnd w:id="991"/>
      <w:bookmarkEnd w:id="992"/>
      <w:r>
        <w:rPr>
          <w:color w:val="000000" w:themeColor="text1"/>
          <w:sz w:val="20"/>
          <w:szCs w:val="20"/>
        </w:rPr>
        <w:t xml:space="preserve"> patients</w:t>
      </w:r>
      <w:bookmarkEnd w:id="993"/>
      <w:bookmarkEnd w:id="994"/>
      <w:bookmarkEnd w:id="995"/>
      <w:bookmarkEnd w:id="996"/>
      <w:bookmarkEnd w:id="997"/>
      <w:bookmarkEnd w:id="998"/>
      <w:bookmarkEnd w:id="999"/>
      <w:bookmarkEnd w:id="1000"/>
      <w:bookmarkEnd w:id="1001"/>
    </w:p>
    <w:tbl>
      <w:tblPr>
        <w:tblStyle w:val="TableGrid"/>
        <w:tblW w:w="9464" w:type="dxa"/>
        <w:tblLook w:val="04A0" w:firstRow="1" w:lastRow="0" w:firstColumn="1" w:lastColumn="0" w:noHBand="0" w:noVBand="1"/>
      </w:tblPr>
      <w:tblGrid>
        <w:gridCol w:w="5382"/>
        <w:gridCol w:w="2097"/>
        <w:gridCol w:w="1985"/>
      </w:tblGrid>
      <w:tr w:rsidR="004942B6" w:rsidRPr="009222F3" w14:paraId="0A90DA17" w14:textId="77777777" w:rsidTr="002C2525">
        <w:trPr>
          <w:trHeight w:val="642"/>
        </w:trPr>
        <w:tc>
          <w:tcPr>
            <w:tcW w:w="5382" w:type="dxa"/>
          </w:tcPr>
          <w:p w14:paraId="3FFED64D" w14:textId="77777777" w:rsidR="004942B6" w:rsidRPr="009222F3" w:rsidRDefault="004942B6" w:rsidP="002C2525">
            <w:pPr>
              <w:spacing w:line="360" w:lineRule="auto"/>
              <w:jc w:val="both"/>
              <w:rPr>
                <w:rFonts w:ascii="Arial" w:hAnsi="Arial" w:cs="Arial"/>
                <w:b/>
                <w:bCs/>
                <w:i/>
                <w:iCs/>
                <w:color w:val="000000" w:themeColor="text1"/>
                <w:sz w:val="28"/>
                <w:szCs w:val="28"/>
              </w:rPr>
            </w:pPr>
            <w:r w:rsidRPr="009222F3">
              <w:rPr>
                <w:rFonts w:ascii="Arial" w:hAnsi="Arial" w:cs="Arial"/>
                <w:b/>
                <w:bCs/>
                <w:i/>
                <w:iCs/>
                <w:color w:val="000000" w:themeColor="text1"/>
                <w:sz w:val="28"/>
                <w:szCs w:val="28"/>
              </w:rPr>
              <w:t xml:space="preserve">Non-cardiac reasons for reduced QOL </w:t>
            </w:r>
          </w:p>
        </w:tc>
        <w:tc>
          <w:tcPr>
            <w:tcW w:w="2097" w:type="dxa"/>
          </w:tcPr>
          <w:p w14:paraId="2E7018F9" w14:textId="77777777" w:rsidR="004942B6" w:rsidRPr="009222F3" w:rsidRDefault="004942B6" w:rsidP="002C2525">
            <w:pPr>
              <w:spacing w:line="360" w:lineRule="auto"/>
              <w:jc w:val="both"/>
              <w:rPr>
                <w:rFonts w:ascii="Arial" w:hAnsi="Arial" w:cs="Arial"/>
                <w:b/>
                <w:bCs/>
                <w:color w:val="000000" w:themeColor="text1"/>
                <w:sz w:val="28"/>
                <w:szCs w:val="28"/>
              </w:rPr>
            </w:pPr>
            <w:r w:rsidRPr="009222F3">
              <w:rPr>
                <w:rFonts w:ascii="Arial" w:hAnsi="Arial" w:cs="Arial"/>
                <w:b/>
                <w:bCs/>
                <w:color w:val="000000" w:themeColor="text1"/>
                <w:sz w:val="28"/>
                <w:szCs w:val="28"/>
              </w:rPr>
              <w:t xml:space="preserve">    ACS</w:t>
            </w:r>
            <w:r>
              <w:rPr>
                <w:rFonts w:ascii="Arial" w:hAnsi="Arial" w:cs="Arial"/>
                <w:b/>
                <w:bCs/>
                <w:color w:val="000000" w:themeColor="text1"/>
                <w:sz w:val="28"/>
                <w:szCs w:val="28"/>
              </w:rPr>
              <w:t xml:space="preserve"> n (%)</w:t>
            </w:r>
          </w:p>
        </w:tc>
        <w:tc>
          <w:tcPr>
            <w:tcW w:w="1985" w:type="dxa"/>
          </w:tcPr>
          <w:p w14:paraId="1D7AC97F" w14:textId="77777777" w:rsidR="004942B6" w:rsidRPr="009222F3" w:rsidRDefault="004942B6" w:rsidP="002C2525">
            <w:pPr>
              <w:spacing w:line="360" w:lineRule="auto"/>
              <w:jc w:val="both"/>
              <w:rPr>
                <w:rFonts w:ascii="Arial" w:hAnsi="Arial" w:cs="Arial"/>
                <w:b/>
                <w:bCs/>
                <w:color w:val="000000" w:themeColor="text1"/>
                <w:sz w:val="28"/>
                <w:szCs w:val="28"/>
              </w:rPr>
            </w:pPr>
            <w:r w:rsidRPr="009222F3">
              <w:rPr>
                <w:rFonts w:ascii="Arial" w:hAnsi="Arial" w:cs="Arial"/>
                <w:b/>
                <w:bCs/>
                <w:color w:val="000000" w:themeColor="text1"/>
                <w:sz w:val="28"/>
                <w:szCs w:val="28"/>
              </w:rPr>
              <w:t xml:space="preserve">  CCS</w:t>
            </w:r>
            <w:r>
              <w:rPr>
                <w:rFonts w:ascii="Arial" w:hAnsi="Arial" w:cs="Arial"/>
                <w:b/>
                <w:bCs/>
                <w:color w:val="000000" w:themeColor="text1"/>
                <w:sz w:val="28"/>
                <w:szCs w:val="28"/>
              </w:rPr>
              <w:t xml:space="preserve"> n (%)</w:t>
            </w:r>
          </w:p>
        </w:tc>
      </w:tr>
      <w:tr w:rsidR="004942B6" w:rsidRPr="009222F3" w14:paraId="65C1A333" w14:textId="77777777" w:rsidTr="002C2525">
        <w:tc>
          <w:tcPr>
            <w:tcW w:w="5382" w:type="dxa"/>
          </w:tcPr>
          <w:p w14:paraId="720B6CBC"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Mental Stress</w:t>
            </w:r>
          </w:p>
        </w:tc>
        <w:tc>
          <w:tcPr>
            <w:tcW w:w="2097" w:type="dxa"/>
          </w:tcPr>
          <w:p w14:paraId="3B5753F8"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19</w:t>
            </w:r>
          </w:p>
        </w:tc>
        <w:tc>
          <w:tcPr>
            <w:tcW w:w="1985" w:type="dxa"/>
          </w:tcPr>
          <w:p w14:paraId="203D2BAF"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5</w:t>
            </w:r>
          </w:p>
        </w:tc>
      </w:tr>
      <w:tr w:rsidR="004942B6" w:rsidRPr="009222F3" w14:paraId="52F4D568" w14:textId="77777777" w:rsidTr="002C2525">
        <w:tc>
          <w:tcPr>
            <w:tcW w:w="5382" w:type="dxa"/>
          </w:tcPr>
          <w:p w14:paraId="509ED86F"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Arthritis</w:t>
            </w:r>
          </w:p>
        </w:tc>
        <w:tc>
          <w:tcPr>
            <w:tcW w:w="2097" w:type="dxa"/>
          </w:tcPr>
          <w:p w14:paraId="78E1EC4B"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11</w:t>
            </w:r>
          </w:p>
        </w:tc>
        <w:tc>
          <w:tcPr>
            <w:tcW w:w="1985" w:type="dxa"/>
          </w:tcPr>
          <w:p w14:paraId="0E32EE83"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7</w:t>
            </w:r>
          </w:p>
        </w:tc>
      </w:tr>
      <w:tr w:rsidR="004942B6" w:rsidRPr="009222F3" w14:paraId="6D3607A5" w14:textId="77777777" w:rsidTr="002C2525">
        <w:tc>
          <w:tcPr>
            <w:tcW w:w="5382" w:type="dxa"/>
          </w:tcPr>
          <w:p w14:paraId="15ABCB01"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Respiratory causes of SOB</w:t>
            </w:r>
          </w:p>
        </w:tc>
        <w:tc>
          <w:tcPr>
            <w:tcW w:w="2097" w:type="dxa"/>
          </w:tcPr>
          <w:p w14:paraId="7A979F21"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4</w:t>
            </w:r>
          </w:p>
        </w:tc>
        <w:tc>
          <w:tcPr>
            <w:tcW w:w="1985" w:type="dxa"/>
          </w:tcPr>
          <w:p w14:paraId="25C0B6EA"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5</w:t>
            </w:r>
          </w:p>
        </w:tc>
      </w:tr>
      <w:tr w:rsidR="004942B6" w:rsidRPr="009222F3" w14:paraId="592034E2" w14:textId="77777777" w:rsidTr="002C2525">
        <w:tc>
          <w:tcPr>
            <w:tcW w:w="5382" w:type="dxa"/>
          </w:tcPr>
          <w:p w14:paraId="4CD04093"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Financial Stress</w:t>
            </w:r>
          </w:p>
        </w:tc>
        <w:tc>
          <w:tcPr>
            <w:tcW w:w="2097" w:type="dxa"/>
          </w:tcPr>
          <w:p w14:paraId="6C4A1626"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7</w:t>
            </w:r>
          </w:p>
        </w:tc>
        <w:tc>
          <w:tcPr>
            <w:tcW w:w="1985" w:type="dxa"/>
          </w:tcPr>
          <w:p w14:paraId="7140AC55"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1</w:t>
            </w:r>
          </w:p>
        </w:tc>
      </w:tr>
      <w:tr w:rsidR="004942B6" w:rsidRPr="009222F3" w14:paraId="0FD78F76" w14:textId="77777777" w:rsidTr="002C2525">
        <w:tc>
          <w:tcPr>
            <w:tcW w:w="5382" w:type="dxa"/>
          </w:tcPr>
          <w:p w14:paraId="4399B39E"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Cancer-related</w:t>
            </w:r>
          </w:p>
        </w:tc>
        <w:tc>
          <w:tcPr>
            <w:tcW w:w="2097" w:type="dxa"/>
          </w:tcPr>
          <w:p w14:paraId="7A8C955A"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1</w:t>
            </w:r>
          </w:p>
        </w:tc>
        <w:tc>
          <w:tcPr>
            <w:tcW w:w="1985" w:type="dxa"/>
          </w:tcPr>
          <w:p w14:paraId="7E4A9F8B"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3</w:t>
            </w:r>
          </w:p>
        </w:tc>
      </w:tr>
      <w:tr w:rsidR="004942B6" w:rsidRPr="009222F3" w14:paraId="0F6FF273" w14:textId="77777777" w:rsidTr="002C2525">
        <w:tc>
          <w:tcPr>
            <w:tcW w:w="5382" w:type="dxa"/>
          </w:tcPr>
          <w:p w14:paraId="5BA74E00"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Peripheral </w:t>
            </w:r>
            <w:r>
              <w:rPr>
                <w:rFonts w:ascii="Arial" w:hAnsi="Arial" w:cs="Arial"/>
                <w:color w:val="000000" w:themeColor="text1"/>
                <w:sz w:val="24"/>
                <w:szCs w:val="24"/>
              </w:rPr>
              <w:t>v</w:t>
            </w:r>
            <w:r w:rsidRPr="009222F3">
              <w:rPr>
                <w:rFonts w:ascii="Arial" w:hAnsi="Arial" w:cs="Arial"/>
                <w:color w:val="000000" w:themeColor="text1"/>
                <w:sz w:val="24"/>
                <w:szCs w:val="24"/>
              </w:rPr>
              <w:t xml:space="preserve">ascular </w:t>
            </w:r>
            <w:r>
              <w:rPr>
                <w:rFonts w:ascii="Arial" w:hAnsi="Arial" w:cs="Arial"/>
                <w:color w:val="000000" w:themeColor="text1"/>
                <w:sz w:val="24"/>
                <w:szCs w:val="24"/>
              </w:rPr>
              <w:t>d</w:t>
            </w:r>
            <w:r w:rsidRPr="009222F3">
              <w:rPr>
                <w:rFonts w:ascii="Arial" w:hAnsi="Arial" w:cs="Arial"/>
                <w:color w:val="000000" w:themeColor="text1"/>
                <w:sz w:val="24"/>
                <w:szCs w:val="24"/>
              </w:rPr>
              <w:t>isease (PVD)</w:t>
            </w:r>
          </w:p>
        </w:tc>
        <w:tc>
          <w:tcPr>
            <w:tcW w:w="2097" w:type="dxa"/>
          </w:tcPr>
          <w:p w14:paraId="3C682F51"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1</w:t>
            </w:r>
          </w:p>
        </w:tc>
        <w:tc>
          <w:tcPr>
            <w:tcW w:w="1985" w:type="dxa"/>
          </w:tcPr>
          <w:p w14:paraId="03EBFDB0"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1</w:t>
            </w:r>
          </w:p>
        </w:tc>
      </w:tr>
      <w:tr w:rsidR="004942B6" w:rsidRPr="009222F3" w14:paraId="0A00232A" w14:textId="77777777" w:rsidTr="002C2525">
        <w:tc>
          <w:tcPr>
            <w:tcW w:w="5382" w:type="dxa"/>
          </w:tcPr>
          <w:p w14:paraId="54B4F161"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Inflammatory bowel disease</w:t>
            </w:r>
          </w:p>
        </w:tc>
        <w:tc>
          <w:tcPr>
            <w:tcW w:w="2097" w:type="dxa"/>
          </w:tcPr>
          <w:p w14:paraId="3C9CFAA5"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1</w:t>
            </w:r>
          </w:p>
        </w:tc>
        <w:tc>
          <w:tcPr>
            <w:tcW w:w="1985" w:type="dxa"/>
          </w:tcPr>
          <w:p w14:paraId="6D484EB3"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0</w:t>
            </w:r>
          </w:p>
        </w:tc>
      </w:tr>
      <w:tr w:rsidR="004942B6" w:rsidRPr="009222F3" w14:paraId="15A13063" w14:textId="77777777" w:rsidTr="002C2525">
        <w:tc>
          <w:tcPr>
            <w:tcW w:w="5382" w:type="dxa"/>
          </w:tcPr>
          <w:p w14:paraId="4251B8BB"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Frailty  </w:t>
            </w:r>
          </w:p>
        </w:tc>
        <w:tc>
          <w:tcPr>
            <w:tcW w:w="2097" w:type="dxa"/>
          </w:tcPr>
          <w:p w14:paraId="5428B9CB"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6</w:t>
            </w:r>
            <w:r>
              <w:rPr>
                <w:rFonts w:ascii="Arial" w:hAnsi="Arial" w:cs="Arial"/>
                <w:color w:val="000000" w:themeColor="text1"/>
                <w:sz w:val="24"/>
                <w:szCs w:val="24"/>
              </w:rPr>
              <w:t xml:space="preserve"> </w:t>
            </w:r>
            <w:r w:rsidRPr="009222F3">
              <w:rPr>
                <w:rFonts w:ascii="Arial" w:hAnsi="Arial" w:cs="Arial"/>
                <w:color w:val="000000" w:themeColor="text1"/>
                <w:sz w:val="24"/>
                <w:szCs w:val="24"/>
              </w:rPr>
              <w:t xml:space="preserve"> </w:t>
            </w:r>
          </w:p>
        </w:tc>
        <w:tc>
          <w:tcPr>
            <w:tcW w:w="1985" w:type="dxa"/>
          </w:tcPr>
          <w:p w14:paraId="396C951C" w14:textId="77777777" w:rsidR="004942B6" w:rsidRPr="009222F3" w:rsidRDefault="004942B6" w:rsidP="002C2525">
            <w:pPr>
              <w:spacing w:line="360" w:lineRule="auto"/>
              <w:jc w:val="both"/>
              <w:rPr>
                <w:rFonts w:ascii="Arial" w:hAnsi="Arial" w:cs="Arial"/>
                <w:color w:val="000000" w:themeColor="text1"/>
                <w:sz w:val="24"/>
                <w:szCs w:val="24"/>
              </w:rPr>
            </w:pPr>
            <w:r w:rsidRPr="009222F3">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9222F3">
              <w:rPr>
                <w:rFonts w:ascii="Arial" w:hAnsi="Arial" w:cs="Arial"/>
                <w:color w:val="000000" w:themeColor="text1"/>
                <w:sz w:val="24"/>
                <w:szCs w:val="24"/>
              </w:rPr>
              <w:t>1</w:t>
            </w:r>
          </w:p>
        </w:tc>
      </w:tr>
      <w:tr w:rsidR="004942B6" w:rsidRPr="009222F3" w14:paraId="362C1EC1" w14:textId="77777777" w:rsidTr="002C2525">
        <w:tc>
          <w:tcPr>
            <w:tcW w:w="5382" w:type="dxa"/>
          </w:tcPr>
          <w:p w14:paraId="63C9F7F1" w14:textId="77777777" w:rsidR="004942B6" w:rsidRPr="004A5DCA" w:rsidRDefault="004942B6" w:rsidP="002C2525">
            <w:pPr>
              <w:spacing w:line="360" w:lineRule="auto"/>
              <w:jc w:val="both"/>
              <w:rPr>
                <w:rFonts w:ascii="Arial" w:hAnsi="Arial" w:cs="Arial"/>
                <w:b/>
                <w:bCs/>
                <w:color w:val="000000" w:themeColor="text1"/>
                <w:sz w:val="24"/>
                <w:szCs w:val="24"/>
              </w:rPr>
            </w:pPr>
            <w:r w:rsidRPr="004A5DCA">
              <w:rPr>
                <w:rFonts w:ascii="Arial" w:hAnsi="Arial" w:cs="Arial"/>
                <w:b/>
                <w:bCs/>
                <w:color w:val="000000" w:themeColor="text1"/>
                <w:sz w:val="24"/>
                <w:szCs w:val="24"/>
              </w:rPr>
              <w:t>Total</w:t>
            </w:r>
          </w:p>
        </w:tc>
        <w:tc>
          <w:tcPr>
            <w:tcW w:w="2097" w:type="dxa"/>
          </w:tcPr>
          <w:p w14:paraId="5639B84F" w14:textId="77777777" w:rsidR="004942B6" w:rsidRPr="004A5DCA" w:rsidRDefault="004942B6" w:rsidP="002C2525">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    </w:t>
            </w:r>
            <w:r w:rsidRPr="004A5DCA">
              <w:rPr>
                <w:rFonts w:ascii="Arial" w:hAnsi="Arial" w:cs="Arial"/>
                <w:b/>
                <w:bCs/>
                <w:color w:val="000000" w:themeColor="text1"/>
                <w:sz w:val="24"/>
                <w:szCs w:val="24"/>
              </w:rPr>
              <w:t>50</w:t>
            </w:r>
            <w:r>
              <w:rPr>
                <w:rFonts w:ascii="Arial" w:hAnsi="Arial" w:cs="Arial"/>
                <w:b/>
                <w:bCs/>
                <w:color w:val="000000" w:themeColor="text1"/>
                <w:sz w:val="24"/>
                <w:szCs w:val="24"/>
              </w:rPr>
              <w:t xml:space="preserve"> (27.7%)</w:t>
            </w:r>
          </w:p>
        </w:tc>
        <w:tc>
          <w:tcPr>
            <w:tcW w:w="1985" w:type="dxa"/>
          </w:tcPr>
          <w:p w14:paraId="7F608DC8" w14:textId="77777777" w:rsidR="004942B6" w:rsidRPr="004A5DCA" w:rsidRDefault="004942B6" w:rsidP="002C2525">
            <w:pPr>
              <w:spacing w:line="360" w:lineRule="auto"/>
              <w:jc w:val="both"/>
              <w:rPr>
                <w:rFonts w:ascii="Arial" w:hAnsi="Arial" w:cs="Arial"/>
                <w:b/>
                <w:bCs/>
                <w:color w:val="000000" w:themeColor="text1"/>
                <w:sz w:val="24"/>
                <w:szCs w:val="24"/>
              </w:rPr>
            </w:pPr>
            <w:r>
              <w:rPr>
                <w:rFonts w:ascii="Arial" w:hAnsi="Arial" w:cs="Arial"/>
                <w:b/>
                <w:bCs/>
                <w:color w:val="000000" w:themeColor="text1"/>
                <w:sz w:val="24"/>
                <w:szCs w:val="24"/>
              </w:rPr>
              <w:t xml:space="preserve">    </w:t>
            </w:r>
            <w:r w:rsidRPr="004A5DCA">
              <w:rPr>
                <w:rFonts w:ascii="Arial" w:hAnsi="Arial" w:cs="Arial"/>
                <w:b/>
                <w:bCs/>
                <w:color w:val="000000" w:themeColor="text1"/>
                <w:sz w:val="24"/>
                <w:szCs w:val="24"/>
              </w:rPr>
              <w:t>23</w:t>
            </w:r>
            <w:r>
              <w:rPr>
                <w:rFonts w:ascii="Arial" w:hAnsi="Arial" w:cs="Arial"/>
                <w:b/>
                <w:bCs/>
                <w:color w:val="000000" w:themeColor="text1"/>
                <w:sz w:val="24"/>
                <w:szCs w:val="24"/>
              </w:rPr>
              <w:t xml:space="preserve"> (26.7%)</w:t>
            </w:r>
          </w:p>
        </w:tc>
      </w:tr>
    </w:tbl>
    <w:p w14:paraId="55A49792" w14:textId="77777777" w:rsidR="004942B6" w:rsidRPr="009222F3" w:rsidRDefault="004942B6" w:rsidP="004942B6">
      <w:pPr>
        <w:spacing w:line="360" w:lineRule="auto"/>
        <w:jc w:val="both"/>
        <w:rPr>
          <w:rFonts w:ascii="Arial" w:hAnsi="Arial" w:cs="Arial"/>
          <w:color w:val="000000" w:themeColor="text1"/>
          <w:sz w:val="24"/>
          <w:szCs w:val="24"/>
        </w:rPr>
      </w:pPr>
    </w:p>
    <w:p w14:paraId="2657A47E" w14:textId="7D972E44" w:rsidR="004942B6" w:rsidRDefault="004942B6" w:rsidP="004942B6">
      <w:pPr>
        <w:spacing w:line="360" w:lineRule="auto"/>
        <w:jc w:val="both"/>
        <w:rPr>
          <w:rFonts w:ascii="Arial" w:hAnsi="Arial" w:cs="Arial"/>
          <w:color w:val="000000" w:themeColor="text1"/>
          <w:sz w:val="24"/>
          <w:szCs w:val="24"/>
        </w:rPr>
      </w:pPr>
      <w:r w:rsidRPr="002D03F2">
        <w:rPr>
          <w:rFonts w:ascii="Arial" w:hAnsi="Arial" w:cs="Arial"/>
          <w:color w:val="000000" w:themeColor="text1"/>
          <w:sz w:val="24"/>
          <w:szCs w:val="24"/>
        </w:rPr>
        <w:t xml:space="preserve">The interval change at one-year follow-up in the non-cardiac excluded patients from the VIRTU-4 </w:t>
      </w:r>
      <w:r>
        <w:rPr>
          <w:rFonts w:ascii="Arial" w:hAnsi="Arial" w:cs="Arial"/>
          <w:color w:val="000000" w:themeColor="text1"/>
          <w:sz w:val="24"/>
          <w:szCs w:val="24"/>
        </w:rPr>
        <w:t xml:space="preserve">study </w:t>
      </w:r>
      <w:r w:rsidRPr="002D03F2">
        <w:rPr>
          <w:rFonts w:ascii="Arial" w:hAnsi="Arial" w:cs="Arial"/>
          <w:color w:val="000000" w:themeColor="text1"/>
          <w:sz w:val="24"/>
          <w:szCs w:val="24"/>
        </w:rPr>
        <w:t xml:space="preserve">(n=193), and separately as ACS (n=130) and CCS (n=63) groups, </w:t>
      </w:r>
      <w:r>
        <w:rPr>
          <w:rFonts w:ascii="Arial" w:hAnsi="Arial" w:cs="Arial"/>
          <w:color w:val="000000" w:themeColor="text1"/>
          <w:sz w:val="24"/>
          <w:szCs w:val="24"/>
        </w:rPr>
        <w:t>are shown</w:t>
      </w:r>
      <w:r w:rsidRPr="002D03F2">
        <w:rPr>
          <w:rFonts w:ascii="Arial" w:hAnsi="Arial" w:cs="Arial"/>
          <w:color w:val="000000" w:themeColor="text1"/>
          <w:sz w:val="24"/>
          <w:szCs w:val="24"/>
        </w:rPr>
        <w:t xml:space="preserve"> in </w:t>
      </w:r>
      <w:r>
        <w:rPr>
          <w:rFonts w:ascii="Arial" w:hAnsi="Arial" w:cs="Arial"/>
          <w:color w:val="000000" w:themeColor="text1"/>
          <w:sz w:val="24"/>
          <w:szCs w:val="24"/>
        </w:rPr>
        <w:t>F</w:t>
      </w:r>
      <w:r w:rsidRPr="002D03F2">
        <w:rPr>
          <w:rFonts w:ascii="Arial" w:hAnsi="Arial" w:cs="Arial"/>
          <w:color w:val="000000" w:themeColor="text1"/>
          <w:sz w:val="24"/>
          <w:szCs w:val="24"/>
        </w:rPr>
        <w:t xml:space="preserve">igures </w:t>
      </w:r>
      <w:r w:rsidR="004E73FC">
        <w:rPr>
          <w:rFonts w:ascii="Arial" w:hAnsi="Arial" w:cs="Arial"/>
          <w:color w:val="000000" w:themeColor="text1"/>
          <w:sz w:val="24"/>
          <w:szCs w:val="24"/>
        </w:rPr>
        <w:t>3</w:t>
      </w:r>
      <w:r w:rsidR="001823B4">
        <w:rPr>
          <w:rFonts w:ascii="Arial" w:hAnsi="Arial" w:cs="Arial"/>
          <w:color w:val="000000" w:themeColor="text1"/>
          <w:sz w:val="24"/>
          <w:szCs w:val="24"/>
        </w:rPr>
        <w:t>6</w:t>
      </w:r>
      <w:r w:rsidRPr="002D03F2">
        <w:rPr>
          <w:rFonts w:ascii="Arial" w:hAnsi="Arial" w:cs="Arial"/>
          <w:color w:val="000000" w:themeColor="text1"/>
          <w:sz w:val="24"/>
          <w:szCs w:val="24"/>
        </w:rPr>
        <w:t xml:space="preserve"> and </w:t>
      </w:r>
      <w:r w:rsidR="004E73FC">
        <w:rPr>
          <w:rFonts w:ascii="Arial" w:hAnsi="Arial" w:cs="Arial"/>
          <w:color w:val="000000" w:themeColor="text1"/>
          <w:sz w:val="24"/>
          <w:szCs w:val="24"/>
        </w:rPr>
        <w:t>3</w:t>
      </w:r>
      <w:r w:rsidR="001823B4">
        <w:rPr>
          <w:rFonts w:ascii="Arial" w:hAnsi="Arial" w:cs="Arial"/>
          <w:color w:val="000000" w:themeColor="text1"/>
          <w:sz w:val="24"/>
          <w:szCs w:val="24"/>
        </w:rPr>
        <w:t>7</w:t>
      </w:r>
      <w:r w:rsidRPr="002D03F2">
        <w:rPr>
          <w:rFonts w:ascii="Arial" w:hAnsi="Arial" w:cs="Arial"/>
          <w:color w:val="000000" w:themeColor="text1"/>
          <w:sz w:val="24"/>
          <w:szCs w:val="24"/>
        </w:rPr>
        <w:t>, respectively.</w:t>
      </w:r>
    </w:p>
    <w:p w14:paraId="0B4E3132" w14:textId="77777777" w:rsidR="004942B6" w:rsidRPr="009222F3" w:rsidRDefault="004942B6" w:rsidP="004942B6">
      <w:pPr>
        <w:spacing w:line="360" w:lineRule="auto"/>
        <w:jc w:val="both"/>
        <w:rPr>
          <w:rFonts w:ascii="Arial" w:hAnsi="Arial" w:cs="Arial"/>
          <w:color w:val="000000" w:themeColor="text1"/>
          <w:sz w:val="24"/>
          <w:szCs w:val="24"/>
        </w:rPr>
      </w:pPr>
    </w:p>
    <w:p w14:paraId="51C20036" w14:textId="77777777" w:rsidR="004942B6" w:rsidRPr="009222F3" w:rsidRDefault="004942B6" w:rsidP="004942B6">
      <w:pPr>
        <w:keepNext/>
        <w:spacing w:line="360" w:lineRule="auto"/>
        <w:jc w:val="both"/>
        <w:rPr>
          <w:color w:val="000000" w:themeColor="text1"/>
        </w:rPr>
      </w:pPr>
      <w:r>
        <w:rPr>
          <w:noProof/>
          <w:color w:val="000000" w:themeColor="text1"/>
          <w:lang w:eastAsia="en-GB"/>
        </w:rPr>
        <w:lastRenderedPageBreak/>
        <w:drawing>
          <wp:inline distT="0" distB="0" distL="0" distR="0" wp14:anchorId="6918E830" wp14:editId="7B906C73">
            <wp:extent cx="5563938" cy="3741420"/>
            <wp:effectExtent l="0" t="0" r="0" b="0"/>
            <wp:docPr id="1775700493" name="Picture 177570049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00493" name="Picture 6" descr="A screenshot of a graph&#10;&#10;Description automatically generated"/>
                    <pic:cNvPicPr/>
                  </pic:nvPicPr>
                  <pic:blipFill rotWithShape="1">
                    <a:blip r:embed="rId59" cstate="print">
                      <a:extLst>
                        <a:ext uri="{BEBA8EAE-BF5A-486C-A8C5-ECC9F3942E4B}">
                          <a14:imgProps xmlns:a14="http://schemas.microsoft.com/office/drawing/2010/main">
                            <a14:imgLayer r:embed="rId6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9439" t="6648" r="6138" b="12250"/>
                    <a:stretch/>
                  </pic:blipFill>
                  <pic:spPr bwMode="auto">
                    <a:xfrm>
                      <a:off x="0" y="0"/>
                      <a:ext cx="5564807" cy="3742004"/>
                    </a:xfrm>
                    <a:prstGeom prst="rect">
                      <a:avLst/>
                    </a:prstGeom>
                    <a:ln>
                      <a:noFill/>
                    </a:ln>
                    <a:extLst>
                      <a:ext uri="{53640926-AAD7-44D8-BBD7-CCE9431645EC}">
                        <a14:shadowObscured xmlns:a14="http://schemas.microsoft.com/office/drawing/2010/main"/>
                      </a:ext>
                    </a:extLst>
                  </pic:spPr>
                </pic:pic>
              </a:graphicData>
            </a:graphic>
          </wp:inline>
        </w:drawing>
      </w:r>
    </w:p>
    <w:p w14:paraId="1A8F0889" w14:textId="1179D725" w:rsidR="004942B6" w:rsidRDefault="004942B6" w:rsidP="004942B6">
      <w:pPr>
        <w:pStyle w:val="Caption"/>
        <w:jc w:val="both"/>
        <w:rPr>
          <w:rFonts w:ascii="Arial" w:hAnsi="Arial" w:cs="Arial"/>
          <w:color w:val="000000" w:themeColor="text1"/>
          <w:sz w:val="20"/>
          <w:szCs w:val="20"/>
        </w:rPr>
      </w:pPr>
      <w:bookmarkStart w:id="1002" w:name="_Toc145055741"/>
      <w:bookmarkStart w:id="1003" w:name="_Toc150518915"/>
      <w:bookmarkStart w:id="1004" w:name="_Toc151222852"/>
      <w:bookmarkStart w:id="1005" w:name="_Toc151626692"/>
      <w:bookmarkStart w:id="1006" w:name="_Toc152340486"/>
      <w:bookmarkStart w:id="1007" w:name="_Toc152492279"/>
      <w:bookmarkStart w:id="1008" w:name="_Toc152596967"/>
      <w:bookmarkStart w:id="1009" w:name="_Toc153409674"/>
      <w:bookmarkStart w:id="1010" w:name="_Toc153724921"/>
      <w:bookmarkStart w:id="1011" w:name="_Toc159318507"/>
      <w:bookmarkStart w:id="1012" w:name="_Toc159612033"/>
      <w:bookmarkStart w:id="1013" w:name="_Toc160982679"/>
      <w:bookmarkStart w:id="1014" w:name="_Toc164697505"/>
      <w:bookmarkStart w:id="1015" w:name="_Toc170744597"/>
      <w:bookmarkStart w:id="1016" w:name="_Toc196153228"/>
      <w:r w:rsidRPr="00DD1DB1">
        <w:rPr>
          <w:rFonts w:ascii="Arial" w:hAnsi="Arial" w:cs="Arial"/>
          <w:b/>
          <w:bCs/>
          <w:color w:val="000000" w:themeColor="text1"/>
          <w:sz w:val="20"/>
          <w:szCs w:val="20"/>
        </w:rPr>
        <w:t xml:space="preserve">Figure </w:t>
      </w:r>
      <w:r w:rsidRPr="00DD1DB1">
        <w:rPr>
          <w:rFonts w:ascii="Arial" w:hAnsi="Arial" w:cs="Arial"/>
          <w:b/>
          <w:bCs/>
          <w:color w:val="000000" w:themeColor="text1"/>
          <w:sz w:val="20"/>
          <w:szCs w:val="20"/>
        </w:rPr>
        <w:fldChar w:fldCharType="begin"/>
      </w:r>
      <w:r w:rsidRPr="00DD1DB1">
        <w:rPr>
          <w:rFonts w:ascii="Arial" w:hAnsi="Arial" w:cs="Arial"/>
          <w:b/>
          <w:bCs/>
          <w:color w:val="000000" w:themeColor="text1"/>
          <w:sz w:val="20"/>
          <w:szCs w:val="20"/>
        </w:rPr>
        <w:instrText xml:space="preserve"> SEQ Figure \* ARABIC </w:instrText>
      </w:r>
      <w:r w:rsidRPr="00DD1DB1">
        <w:rPr>
          <w:rFonts w:ascii="Arial" w:hAnsi="Arial" w:cs="Arial"/>
          <w:b/>
          <w:bCs/>
          <w:color w:val="000000" w:themeColor="text1"/>
          <w:sz w:val="20"/>
          <w:szCs w:val="20"/>
        </w:rPr>
        <w:fldChar w:fldCharType="separate"/>
      </w:r>
      <w:r w:rsidR="001823B4">
        <w:rPr>
          <w:rFonts w:ascii="Arial" w:hAnsi="Arial" w:cs="Arial"/>
          <w:b/>
          <w:bCs/>
          <w:noProof/>
          <w:color w:val="000000" w:themeColor="text1"/>
          <w:sz w:val="20"/>
          <w:szCs w:val="20"/>
        </w:rPr>
        <w:t>36</w:t>
      </w:r>
      <w:r w:rsidRPr="00DD1DB1">
        <w:rPr>
          <w:rFonts w:ascii="Arial" w:hAnsi="Arial" w:cs="Arial"/>
          <w:b/>
          <w:bCs/>
          <w:color w:val="000000" w:themeColor="text1"/>
          <w:sz w:val="20"/>
          <w:szCs w:val="20"/>
        </w:rPr>
        <w:fldChar w:fldCharType="end"/>
      </w:r>
      <w:r w:rsidRPr="00E83766">
        <w:rPr>
          <w:rFonts w:ascii="Arial" w:hAnsi="Arial" w:cs="Arial"/>
          <w:color w:val="000000" w:themeColor="text1"/>
          <w:sz w:val="20"/>
          <w:szCs w:val="20"/>
        </w:rPr>
        <w:t xml:space="preserve">: </w:t>
      </w:r>
      <w:bookmarkEnd w:id="1002"/>
      <w:r>
        <w:rPr>
          <w:rFonts w:ascii="Arial" w:hAnsi="Arial" w:cs="Arial"/>
          <w:color w:val="auto"/>
          <w:sz w:val="20"/>
          <w:szCs w:val="20"/>
        </w:rPr>
        <w:t xml:space="preserve">EQ-indexed and </w:t>
      </w:r>
      <w:r w:rsidRPr="00E83766">
        <w:rPr>
          <w:rFonts w:ascii="Arial" w:hAnsi="Arial" w:cs="Arial"/>
          <w:color w:val="auto"/>
          <w:sz w:val="20"/>
          <w:szCs w:val="20"/>
        </w:rPr>
        <w:t>EQ-VAS score</w:t>
      </w:r>
      <w:r>
        <w:rPr>
          <w:rFonts w:ascii="Arial" w:hAnsi="Arial" w:cs="Arial"/>
          <w:color w:val="auto"/>
          <w:sz w:val="20"/>
          <w:szCs w:val="20"/>
        </w:rPr>
        <w:t>s at one year,</w:t>
      </w:r>
      <w:r>
        <w:rPr>
          <w:rFonts w:ascii="Arial" w:hAnsi="Arial" w:cs="Arial"/>
          <w:color w:val="000000" w:themeColor="text1"/>
          <w:sz w:val="20"/>
          <w:szCs w:val="20"/>
        </w:rPr>
        <w:t xml:space="preserve"> after exclusion of the patients with non-cardiac reasons for reduction in QOL</w:t>
      </w:r>
      <w:r w:rsidRPr="00E83766">
        <w:rPr>
          <w:rFonts w:ascii="Arial" w:hAnsi="Arial" w:cs="Arial"/>
          <w:color w:val="000000" w:themeColor="text1"/>
          <w:sz w:val="20"/>
          <w:szCs w:val="20"/>
        </w:rPr>
        <w:t xml:space="preserve">, demonstrating </w:t>
      </w:r>
      <w:r>
        <w:rPr>
          <w:rFonts w:ascii="Arial" w:hAnsi="Arial" w:cs="Arial"/>
          <w:color w:val="000000" w:themeColor="text1"/>
          <w:sz w:val="20"/>
          <w:szCs w:val="20"/>
        </w:rPr>
        <w:t>minor improvements in both parameters</w:t>
      </w:r>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p>
    <w:p w14:paraId="7C473F57" w14:textId="77777777" w:rsidR="004942B6" w:rsidRPr="00187E26" w:rsidRDefault="004942B6" w:rsidP="004942B6"/>
    <w:p w14:paraId="5455E90F" w14:textId="77777777" w:rsidR="004942B6" w:rsidRPr="009222F3" w:rsidRDefault="004942B6" w:rsidP="004942B6">
      <w:pPr>
        <w:pStyle w:val="Caption"/>
        <w:jc w:val="both"/>
        <w:rPr>
          <w:b/>
          <w:bCs/>
          <w:color w:val="000000" w:themeColor="text1"/>
          <w:sz w:val="20"/>
          <w:szCs w:val="20"/>
        </w:rPr>
      </w:pPr>
      <w:bookmarkStart w:id="1017" w:name="_Toc135331848"/>
      <w:r>
        <w:rPr>
          <w:b/>
          <w:bCs/>
          <w:noProof/>
          <w:color w:val="000000" w:themeColor="text1"/>
          <w:sz w:val="20"/>
          <w:szCs w:val="20"/>
          <w:lang w:eastAsia="en-GB"/>
        </w:rPr>
        <w:lastRenderedPageBreak/>
        <w:drawing>
          <wp:inline distT="0" distB="0" distL="0" distR="0" wp14:anchorId="6E9D7102" wp14:editId="29055609">
            <wp:extent cx="6017484" cy="4283333"/>
            <wp:effectExtent l="0" t="0" r="2540" b="3175"/>
            <wp:docPr id="1664016131" name="Picture 1664016131" descr="A collage of graphs and dia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016131" name="Picture 10" descr="A collage of graphs and diagrams"/>
                    <pic:cNvPicPr/>
                  </pic:nvPicPr>
                  <pic:blipFill rotWithShape="1">
                    <a:blip r:embed="rId61" cstate="print">
                      <a:extLst>
                        <a:ext uri="{BEBA8EAE-BF5A-486C-A8C5-ECC9F3942E4B}">
                          <a14:imgProps xmlns:a14="http://schemas.microsoft.com/office/drawing/2010/main">
                            <a14:imgLayer r:embed="rId6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2519" r="1338" b="2231"/>
                    <a:stretch/>
                  </pic:blipFill>
                  <pic:spPr bwMode="auto">
                    <a:xfrm>
                      <a:off x="0" y="0"/>
                      <a:ext cx="6038522" cy="4298308"/>
                    </a:xfrm>
                    <a:prstGeom prst="rect">
                      <a:avLst/>
                    </a:prstGeom>
                    <a:ln>
                      <a:noFill/>
                    </a:ln>
                    <a:extLst>
                      <a:ext uri="{53640926-AAD7-44D8-BBD7-CCE9431645EC}">
                        <a14:shadowObscured xmlns:a14="http://schemas.microsoft.com/office/drawing/2010/main"/>
                      </a:ext>
                    </a:extLst>
                  </pic:spPr>
                </pic:pic>
              </a:graphicData>
            </a:graphic>
          </wp:inline>
        </w:drawing>
      </w:r>
    </w:p>
    <w:p w14:paraId="7EDAD969" w14:textId="6EB26099" w:rsidR="004942B6" w:rsidRPr="00E83766" w:rsidRDefault="004942B6" w:rsidP="004942B6">
      <w:pPr>
        <w:pStyle w:val="Caption"/>
        <w:jc w:val="both"/>
        <w:rPr>
          <w:rFonts w:ascii="Arial" w:hAnsi="Arial" w:cs="Arial"/>
          <w:color w:val="000000" w:themeColor="text1"/>
          <w:sz w:val="20"/>
          <w:szCs w:val="20"/>
        </w:rPr>
      </w:pPr>
      <w:bookmarkStart w:id="1018" w:name="_Toc145055742"/>
      <w:bookmarkStart w:id="1019" w:name="_Toc150518916"/>
      <w:bookmarkStart w:id="1020" w:name="_Toc151222853"/>
      <w:bookmarkStart w:id="1021" w:name="_Toc151626693"/>
      <w:bookmarkStart w:id="1022" w:name="_Toc152340487"/>
      <w:bookmarkStart w:id="1023" w:name="_Toc152492280"/>
      <w:bookmarkStart w:id="1024" w:name="_Toc152596968"/>
      <w:bookmarkStart w:id="1025" w:name="_Toc153409675"/>
      <w:bookmarkStart w:id="1026" w:name="_Toc153724922"/>
      <w:bookmarkStart w:id="1027" w:name="_Toc159318508"/>
      <w:bookmarkStart w:id="1028" w:name="_Toc159612034"/>
      <w:bookmarkStart w:id="1029" w:name="_Toc160982680"/>
      <w:bookmarkStart w:id="1030" w:name="_Toc164697506"/>
      <w:bookmarkStart w:id="1031" w:name="_Toc170744598"/>
      <w:bookmarkStart w:id="1032" w:name="_Toc196153229"/>
      <w:r w:rsidRPr="00E83766">
        <w:rPr>
          <w:rFonts w:ascii="Arial" w:hAnsi="Arial" w:cs="Arial"/>
          <w:b/>
          <w:bCs/>
          <w:color w:val="000000" w:themeColor="text1"/>
          <w:sz w:val="20"/>
          <w:szCs w:val="20"/>
        </w:rPr>
        <w:t xml:space="preserve">Figure </w:t>
      </w:r>
      <w:r w:rsidRPr="00E83766">
        <w:rPr>
          <w:rFonts w:ascii="Arial" w:hAnsi="Arial" w:cs="Arial"/>
          <w:b/>
          <w:bCs/>
          <w:color w:val="000000" w:themeColor="text1"/>
          <w:sz w:val="20"/>
          <w:szCs w:val="20"/>
        </w:rPr>
        <w:fldChar w:fldCharType="begin"/>
      </w:r>
      <w:r w:rsidRPr="00E83766">
        <w:rPr>
          <w:rFonts w:ascii="Arial" w:hAnsi="Arial" w:cs="Arial"/>
          <w:b/>
          <w:bCs/>
          <w:color w:val="000000" w:themeColor="text1"/>
          <w:sz w:val="20"/>
          <w:szCs w:val="20"/>
        </w:rPr>
        <w:instrText xml:space="preserve"> SEQ Figure \* ARABIC </w:instrText>
      </w:r>
      <w:r w:rsidRPr="00E83766">
        <w:rPr>
          <w:rFonts w:ascii="Arial" w:hAnsi="Arial" w:cs="Arial"/>
          <w:b/>
          <w:bCs/>
          <w:color w:val="000000" w:themeColor="text1"/>
          <w:sz w:val="20"/>
          <w:szCs w:val="20"/>
        </w:rPr>
        <w:fldChar w:fldCharType="separate"/>
      </w:r>
      <w:r w:rsidR="001823B4">
        <w:rPr>
          <w:rFonts w:ascii="Arial" w:hAnsi="Arial" w:cs="Arial"/>
          <w:b/>
          <w:bCs/>
          <w:noProof/>
          <w:color w:val="000000" w:themeColor="text1"/>
          <w:sz w:val="20"/>
          <w:szCs w:val="20"/>
        </w:rPr>
        <w:t>37</w:t>
      </w:r>
      <w:r w:rsidRPr="00E83766">
        <w:rPr>
          <w:rFonts w:ascii="Arial" w:hAnsi="Arial" w:cs="Arial"/>
          <w:b/>
          <w:bCs/>
          <w:noProof/>
          <w:color w:val="000000" w:themeColor="text1"/>
          <w:sz w:val="20"/>
          <w:szCs w:val="20"/>
        </w:rPr>
        <w:fldChar w:fldCharType="end"/>
      </w:r>
      <w:r w:rsidRPr="00E83766">
        <w:rPr>
          <w:rFonts w:ascii="Arial" w:hAnsi="Arial" w:cs="Arial"/>
          <w:color w:val="000000" w:themeColor="text1"/>
          <w:sz w:val="20"/>
          <w:szCs w:val="20"/>
        </w:rPr>
        <w:t xml:space="preserve">: </w:t>
      </w:r>
      <w:bookmarkEnd w:id="1017"/>
      <w:r>
        <w:rPr>
          <w:rFonts w:ascii="Arial" w:hAnsi="Arial" w:cs="Arial"/>
          <w:color w:val="auto"/>
          <w:sz w:val="20"/>
          <w:szCs w:val="20"/>
        </w:rPr>
        <w:t xml:space="preserve">Comparison of EQ-indexed and </w:t>
      </w:r>
      <w:r w:rsidRPr="00E83766">
        <w:rPr>
          <w:rFonts w:ascii="Arial" w:hAnsi="Arial" w:cs="Arial"/>
          <w:color w:val="auto"/>
          <w:sz w:val="20"/>
          <w:szCs w:val="20"/>
        </w:rPr>
        <w:t>EQ-VAS score</w:t>
      </w:r>
      <w:r>
        <w:rPr>
          <w:rFonts w:ascii="Arial" w:hAnsi="Arial" w:cs="Arial"/>
          <w:color w:val="auto"/>
          <w:sz w:val="20"/>
          <w:szCs w:val="20"/>
        </w:rPr>
        <w:t xml:space="preserve">s for the ACS and CCS patients at one year, </w:t>
      </w:r>
      <w:r>
        <w:rPr>
          <w:rFonts w:ascii="Arial" w:hAnsi="Arial" w:cs="Arial"/>
          <w:color w:val="000000" w:themeColor="text1"/>
          <w:sz w:val="20"/>
          <w:szCs w:val="20"/>
        </w:rPr>
        <w:t>after exclusion of the patients with non-cardiac reasons for reduction in QOL</w:t>
      </w:r>
      <w:r w:rsidRPr="00E83766">
        <w:rPr>
          <w:rFonts w:ascii="Arial" w:hAnsi="Arial" w:cs="Arial"/>
          <w:color w:val="000000" w:themeColor="text1"/>
          <w:sz w:val="20"/>
          <w:szCs w:val="20"/>
        </w:rPr>
        <w:t>,</w:t>
      </w:r>
      <w:r>
        <w:rPr>
          <w:rFonts w:ascii="Arial" w:hAnsi="Arial" w:cs="Arial"/>
          <w:color w:val="000000" w:themeColor="text1"/>
          <w:sz w:val="20"/>
          <w:szCs w:val="20"/>
        </w:rPr>
        <w:t xml:space="preserve"> </w:t>
      </w:r>
      <w:r w:rsidRPr="00E83766">
        <w:rPr>
          <w:rFonts w:ascii="Arial" w:hAnsi="Arial" w:cs="Arial"/>
          <w:color w:val="000000" w:themeColor="text1"/>
          <w:sz w:val="20"/>
          <w:szCs w:val="20"/>
        </w:rPr>
        <w:t>demonstrating</w:t>
      </w:r>
      <w:r w:rsidR="004A6B9F">
        <w:rPr>
          <w:rFonts w:ascii="Arial" w:hAnsi="Arial" w:cs="Arial"/>
          <w:color w:val="000000" w:themeColor="text1"/>
          <w:sz w:val="20"/>
          <w:szCs w:val="20"/>
        </w:rPr>
        <w:t xml:space="preserve"> significant</w:t>
      </w:r>
      <w:r>
        <w:rPr>
          <w:rFonts w:ascii="Arial" w:hAnsi="Arial" w:cs="Arial"/>
          <w:color w:val="000000" w:themeColor="text1"/>
          <w:sz w:val="20"/>
          <w:szCs w:val="20"/>
        </w:rPr>
        <w:t xml:space="preserve"> improvements in both parameters</w:t>
      </w:r>
      <w:r w:rsidRPr="00E83766">
        <w:rPr>
          <w:rFonts w:ascii="Arial" w:hAnsi="Arial" w:cs="Arial"/>
          <w:color w:val="000000" w:themeColor="text1"/>
          <w:sz w:val="20"/>
          <w:szCs w:val="20"/>
        </w:rPr>
        <w:t>.</w:t>
      </w:r>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p>
    <w:p w14:paraId="2CD37FBD" w14:textId="77777777" w:rsidR="004942B6" w:rsidRPr="00C32556" w:rsidRDefault="004942B6" w:rsidP="004942B6">
      <w:pPr>
        <w:spacing w:line="360" w:lineRule="auto"/>
        <w:jc w:val="both"/>
        <w:rPr>
          <w:rFonts w:ascii="Arial" w:hAnsi="Arial" w:cs="Arial"/>
          <w:color w:val="000000" w:themeColor="text1"/>
          <w:sz w:val="24"/>
          <w:szCs w:val="24"/>
        </w:rPr>
      </w:pPr>
    </w:p>
    <w:p w14:paraId="48D85365" w14:textId="755B2BAC" w:rsidR="004942B6" w:rsidRPr="00C32556" w:rsidRDefault="004942B6" w:rsidP="004942B6">
      <w:pPr>
        <w:pStyle w:val="Heading3"/>
        <w:spacing w:line="360" w:lineRule="auto"/>
        <w:rPr>
          <w:rFonts w:ascii="Arial" w:hAnsi="Arial" w:cs="Arial"/>
          <w:color w:val="4472C4" w:themeColor="accent1"/>
          <w:sz w:val="24"/>
          <w:szCs w:val="24"/>
        </w:rPr>
      </w:pPr>
      <w:bookmarkStart w:id="1033" w:name="_Toc170076078"/>
      <w:bookmarkStart w:id="1034" w:name="_Toc171203153"/>
      <w:bookmarkStart w:id="1035" w:name="_Toc171203924"/>
      <w:r w:rsidRPr="00C32556">
        <w:rPr>
          <w:rFonts w:ascii="Arial" w:hAnsi="Arial" w:cs="Arial"/>
          <w:color w:val="4472C4" w:themeColor="accent1"/>
          <w:sz w:val="24"/>
          <w:szCs w:val="24"/>
        </w:rPr>
        <w:t>3.</w:t>
      </w:r>
      <w:r w:rsidR="00890A1F">
        <w:rPr>
          <w:rFonts w:ascii="Arial" w:hAnsi="Arial" w:cs="Arial"/>
          <w:color w:val="4472C4" w:themeColor="accent1"/>
          <w:sz w:val="24"/>
          <w:szCs w:val="24"/>
        </w:rPr>
        <w:t>2.</w:t>
      </w:r>
      <w:r w:rsidR="00C6771B">
        <w:rPr>
          <w:rFonts w:ascii="Arial" w:hAnsi="Arial" w:cs="Arial"/>
          <w:color w:val="4472C4" w:themeColor="accent1"/>
          <w:sz w:val="24"/>
          <w:szCs w:val="24"/>
        </w:rPr>
        <w:t>4</w:t>
      </w:r>
      <w:r w:rsidRPr="00C32556">
        <w:rPr>
          <w:rFonts w:ascii="Arial" w:hAnsi="Arial" w:cs="Arial"/>
          <w:color w:val="4472C4" w:themeColor="accent1"/>
          <w:sz w:val="24"/>
          <w:szCs w:val="24"/>
        </w:rPr>
        <w:t xml:space="preserve"> Interval change in QOL</w:t>
      </w:r>
      <w:r w:rsidR="00F429F4">
        <w:rPr>
          <w:rFonts w:ascii="Arial" w:hAnsi="Arial" w:cs="Arial"/>
          <w:color w:val="4472C4" w:themeColor="accent1"/>
          <w:sz w:val="24"/>
          <w:szCs w:val="24"/>
        </w:rPr>
        <w:t xml:space="preserve"> </w:t>
      </w:r>
      <w:r w:rsidRPr="00C32556">
        <w:rPr>
          <w:rFonts w:ascii="Arial" w:hAnsi="Arial" w:cs="Arial"/>
          <w:color w:val="4472C4" w:themeColor="accent1"/>
          <w:sz w:val="24"/>
          <w:szCs w:val="24"/>
        </w:rPr>
        <w:t>scores according to age</w:t>
      </w:r>
      <w:bookmarkEnd w:id="1033"/>
      <w:bookmarkEnd w:id="1034"/>
      <w:bookmarkEnd w:id="1035"/>
    </w:p>
    <w:p w14:paraId="2E042C73" w14:textId="32A372F1" w:rsidR="004942B6" w:rsidRDefault="004942B6" w:rsidP="004942B6">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Patients in the VIRTU-4 </w:t>
      </w:r>
      <w:r w:rsidR="004A6B9F">
        <w:rPr>
          <w:rFonts w:ascii="Arial" w:hAnsi="Arial" w:cs="Arial"/>
          <w:color w:val="000000" w:themeColor="text1"/>
          <w:sz w:val="24"/>
          <w:szCs w:val="24"/>
        </w:rPr>
        <w:t xml:space="preserve">HE </w:t>
      </w:r>
      <w:r>
        <w:rPr>
          <w:rFonts w:ascii="Arial" w:hAnsi="Arial" w:cs="Arial"/>
          <w:color w:val="000000" w:themeColor="text1"/>
          <w:sz w:val="24"/>
          <w:szCs w:val="24"/>
        </w:rPr>
        <w:t xml:space="preserve">study were divided into age tertiles (&lt;60 years, 61-70 years, &gt;70 years) to evaluate the impact of age on QOL after treatment of CAD. In ACS and CCS patients, there was no significant improvement in the EQ-VAS and EQ-indexed scores at one-year follow-up compared to the baseline across all age groups (see Figures </w:t>
      </w:r>
      <w:r w:rsidR="00BF5E3A">
        <w:rPr>
          <w:rFonts w:ascii="Arial" w:hAnsi="Arial" w:cs="Arial"/>
          <w:color w:val="000000" w:themeColor="text1"/>
          <w:sz w:val="24"/>
          <w:szCs w:val="24"/>
        </w:rPr>
        <w:t>3</w:t>
      </w:r>
      <w:r w:rsidR="001823B4">
        <w:rPr>
          <w:rFonts w:ascii="Arial" w:hAnsi="Arial" w:cs="Arial"/>
          <w:color w:val="000000" w:themeColor="text1"/>
          <w:sz w:val="24"/>
          <w:szCs w:val="24"/>
        </w:rPr>
        <w:t>8</w:t>
      </w:r>
      <w:r>
        <w:rPr>
          <w:rFonts w:ascii="Arial" w:hAnsi="Arial" w:cs="Arial"/>
          <w:color w:val="000000" w:themeColor="text1"/>
          <w:sz w:val="24"/>
          <w:szCs w:val="24"/>
        </w:rPr>
        <w:t xml:space="preserve"> and </w:t>
      </w:r>
      <w:r w:rsidR="00BF5E3A">
        <w:rPr>
          <w:rFonts w:ascii="Arial" w:hAnsi="Arial" w:cs="Arial"/>
          <w:color w:val="000000" w:themeColor="text1"/>
          <w:sz w:val="24"/>
          <w:szCs w:val="24"/>
        </w:rPr>
        <w:t>3</w:t>
      </w:r>
      <w:r w:rsidR="001823B4">
        <w:rPr>
          <w:rFonts w:ascii="Arial" w:hAnsi="Arial" w:cs="Arial"/>
          <w:color w:val="000000" w:themeColor="text1"/>
          <w:sz w:val="24"/>
          <w:szCs w:val="24"/>
        </w:rPr>
        <w:t>9</w:t>
      </w:r>
      <w:r>
        <w:rPr>
          <w:rFonts w:ascii="Arial" w:hAnsi="Arial" w:cs="Arial"/>
          <w:color w:val="000000" w:themeColor="text1"/>
          <w:sz w:val="24"/>
          <w:szCs w:val="24"/>
        </w:rPr>
        <w:t>).</w:t>
      </w:r>
    </w:p>
    <w:p w14:paraId="7129FAB0" w14:textId="77777777" w:rsidR="004942B6" w:rsidRDefault="004942B6" w:rsidP="004942B6">
      <w:pPr>
        <w:spacing w:line="360" w:lineRule="auto"/>
        <w:jc w:val="both"/>
        <w:rPr>
          <w:rFonts w:ascii="Arial" w:hAnsi="Arial" w:cs="Arial"/>
          <w:color w:val="000000" w:themeColor="text1"/>
          <w:sz w:val="24"/>
          <w:szCs w:val="24"/>
        </w:rPr>
      </w:pPr>
    </w:p>
    <w:p w14:paraId="728313A4" w14:textId="77777777" w:rsidR="004942B6" w:rsidRDefault="004942B6" w:rsidP="004942B6">
      <w:pPr>
        <w:keepNext/>
        <w:spacing w:line="360" w:lineRule="auto"/>
        <w:jc w:val="both"/>
      </w:pPr>
      <w:r>
        <w:rPr>
          <w:rFonts w:ascii="Arial" w:hAnsi="Arial" w:cs="Arial"/>
          <w:noProof/>
          <w:color w:val="000000" w:themeColor="text1"/>
          <w:sz w:val="24"/>
          <w:szCs w:val="24"/>
          <w:lang w:eastAsia="en-GB"/>
        </w:rPr>
        <w:lastRenderedPageBreak/>
        <w:drawing>
          <wp:inline distT="0" distB="0" distL="0" distR="0" wp14:anchorId="4CC257EF" wp14:editId="56B43C4C">
            <wp:extent cx="5957570" cy="4319239"/>
            <wp:effectExtent l="0" t="0" r="5080" b="5715"/>
            <wp:docPr id="401247552" name="Picture 19" descr="A group of black and white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247552" name="Picture 19" descr="A group of black and white graphs&#10;&#10;Description automatically generated"/>
                    <pic:cNvPicPr/>
                  </pic:nvPicPr>
                  <pic:blipFill rotWithShape="1">
                    <a:blip r:embed="rId63" cstate="print">
                      <a:extLst>
                        <a:ext uri="{28A0092B-C50C-407E-A947-70E740481C1C}">
                          <a14:useLocalDpi xmlns:a14="http://schemas.microsoft.com/office/drawing/2010/main" val="0"/>
                        </a:ext>
                      </a:extLst>
                    </a:blip>
                    <a:srcRect t="1297" r="4017" b="662"/>
                    <a:stretch/>
                  </pic:blipFill>
                  <pic:spPr bwMode="auto">
                    <a:xfrm>
                      <a:off x="0" y="0"/>
                      <a:ext cx="5966938" cy="4326031"/>
                    </a:xfrm>
                    <a:prstGeom prst="rect">
                      <a:avLst/>
                    </a:prstGeom>
                    <a:ln>
                      <a:noFill/>
                    </a:ln>
                    <a:extLst>
                      <a:ext uri="{53640926-AAD7-44D8-BBD7-CCE9431645EC}">
                        <a14:shadowObscured xmlns:a14="http://schemas.microsoft.com/office/drawing/2010/main"/>
                      </a:ext>
                    </a:extLst>
                  </pic:spPr>
                </pic:pic>
              </a:graphicData>
            </a:graphic>
          </wp:inline>
        </w:drawing>
      </w:r>
    </w:p>
    <w:p w14:paraId="29957563" w14:textId="3F52FD27" w:rsidR="004942B6" w:rsidRPr="00C31679" w:rsidRDefault="004942B6" w:rsidP="004942B6">
      <w:pPr>
        <w:pStyle w:val="Caption"/>
        <w:jc w:val="both"/>
        <w:rPr>
          <w:rFonts w:ascii="Arial" w:hAnsi="Arial" w:cs="Arial"/>
          <w:color w:val="auto"/>
          <w:sz w:val="20"/>
          <w:szCs w:val="20"/>
        </w:rPr>
      </w:pPr>
      <w:bookmarkStart w:id="1036" w:name="_Toc159318509"/>
      <w:bookmarkStart w:id="1037" w:name="_Toc159612035"/>
      <w:bookmarkStart w:id="1038" w:name="_Toc160982681"/>
      <w:bookmarkStart w:id="1039" w:name="_Toc164697507"/>
      <w:bookmarkStart w:id="1040" w:name="_Toc170744599"/>
      <w:bookmarkStart w:id="1041" w:name="_Toc196153230"/>
      <w:r w:rsidRPr="00C31679">
        <w:rPr>
          <w:rFonts w:ascii="Arial" w:hAnsi="Arial" w:cs="Arial"/>
          <w:b/>
          <w:bCs/>
          <w:color w:val="auto"/>
          <w:sz w:val="20"/>
          <w:szCs w:val="20"/>
        </w:rPr>
        <w:t xml:space="preserve">Figure </w:t>
      </w:r>
      <w:r w:rsidRPr="00C31679">
        <w:rPr>
          <w:rFonts w:ascii="Arial" w:hAnsi="Arial" w:cs="Arial"/>
          <w:b/>
          <w:bCs/>
          <w:color w:val="auto"/>
          <w:sz w:val="20"/>
          <w:szCs w:val="20"/>
        </w:rPr>
        <w:fldChar w:fldCharType="begin"/>
      </w:r>
      <w:r w:rsidRPr="00C31679">
        <w:rPr>
          <w:rFonts w:ascii="Arial" w:hAnsi="Arial" w:cs="Arial"/>
          <w:b/>
          <w:bCs/>
          <w:color w:val="auto"/>
          <w:sz w:val="20"/>
          <w:szCs w:val="20"/>
        </w:rPr>
        <w:instrText xml:space="preserve"> SEQ Figure \* ARABIC </w:instrText>
      </w:r>
      <w:r w:rsidRPr="00C31679">
        <w:rPr>
          <w:rFonts w:ascii="Arial" w:hAnsi="Arial" w:cs="Arial"/>
          <w:b/>
          <w:bCs/>
          <w:color w:val="auto"/>
          <w:sz w:val="20"/>
          <w:szCs w:val="20"/>
        </w:rPr>
        <w:fldChar w:fldCharType="separate"/>
      </w:r>
      <w:r w:rsidR="001823B4">
        <w:rPr>
          <w:rFonts w:ascii="Arial" w:hAnsi="Arial" w:cs="Arial"/>
          <w:b/>
          <w:bCs/>
          <w:noProof/>
          <w:color w:val="auto"/>
          <w:sz w:val="20"/>
          <w:szCs w:val="20"/>
        </w:rPr>
        <w:t>38</w:t>
      </w:r>
      <w:r w:rsidRPr="00C31679">
        <w:rPr>
          <w:rFonts w:ascii="Arial" w:hAnsi="Arial" w:cs="Arial"/>
          <w:b/>
          <w:bCs/>
          <w:color w:val="auto"/>
          <w:sz w:val="20"/>
          <w:szCs w:val="20"/>
        </w:rPr>
        <w:fldChar w:fldCharType="end"/>
      </w:r>
      <w:r w:rsidRPr="00C31679">
        <w:rPr>
          <w:rFonts w:ascii="Arial" w:hAnsi="Arial" w:cs="Arial"/>
          <w:color w:val="auto"/>
          <w:sz w:val="20"/>
          <w:szCs w:val="20"/>
        </w:rPr>
        <w:t>: Comparison of the EQ-VAS and EQ-indexed scores in the ACS patients according to age groups.</w:t>
      </w:r>
      <w:bookmarkEnd w:id="1036"/>
      <w:bookmarkEnd w:id="1037"/>
      <w:bookmarkEnd w:id="1038"/>
      <w:bookmarkEnd w:id="1039"/>
      <w:bookmarkEnd w:id="1040"/>
      <w:bookmarkEnd w:id="1041"/>
    </w:p>
    <w:p w14:paraId="65C525B6" w14:textId="77777777" w:rsidR="004942B6" w:rsidRDefault="004942B6" w:rsidP="004942B6">
      <w:pPr>
        <w:spacing w:line="360" w:lineRule="auto"/>
        <w:jc w:val="both"/>
        <w:rPr>
          <w:rFonts w:ascii="Arial" w:hAnsi="Arial" w:cs="Arial"/>
          <w:color w:val="000000" w:themeColor="text1"/>
          <w:sz w:val="24"/>
          <w:szCs w:val="24"/>
        </w:rPr>
      </w:pPr>
    </w:p>
    <w:p w14:paraId="5744B3A6" w14:textId="77777777" w:rsidR="004942B6" w:rsidRDefault="004942B6" w:rsidP="004942B6">
      <w:pPr>
        <w:spacing w:line="360" w:lineRule="auto"/>
        <w:jc w:val="both"/>
        <w:rPr>
          <w:rFonts w:ascii="Arial" w:hAnsi="Arial" w:cs="Arial"/>
          <w:color w:val="000000" w:themeColor="text1"/>
          <w:sz w:val="24"/>
          <w:szCs w:val="24"/>
        </w:rPr>
      </w:pPr>
    </w:p>
    <w:p w14:paraId="01ACBCCD" w14:textId="77777777" w:rsidR="004942B6" w:rsidRDefault="004942B6" w:rsidP="004942B6">
      <w:pPr>
        <w:keepNext/>
        <w:spacing w:line="360" w:lineRule="auto"/>
        <w:jc w:val="both"/>
      </w:pPr>
      <w:r>
        <w:rPr>
          <w:rFonts w:ascii="Arial" w:hAnsi="Arial" w:cs="Arial"/>
          <w:noProof/>
          <w:color w:val="000000" w:themeColor="text1"/>
          <w:sz w:val="24"/>
          <w:szCs w:val="24"/>
          <w:lang w:eastAsia="en-GB"/>
        </w:rPr>
        <w:lastRenderedPageBreak/>
        <w:drawing>
          <wp:inline distT="0" distB="0" distL="0" distR="0" wp14:anchorId="5B7A0C98" wp14:editId="74420D04">
            <wp:extent cx="5981454" cy="4282068"/>
            <wp:effectExtent l="0" t="0" r="635" b="4445"/>
            <wp:docPr id="125826568" name="Picture 20" descr="A group of black and white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6568" name="Picture 20" descr="A group of black and white graphs&#10;&#10;Description automatically generated"/>
                    <pic:cNvPicPr/>
                  </pic:nvPicPr>
                  <pic:blipFill rotWithShape="1">
                    <a:blip r:embed="rId64" cstate="print">
                      <a:extLst>
                        <a:ext uri="{28A0092B-C50C-407E-A947-70E740481C1C}">
                          <a14:useLocalDpi xmlns:a14="http://schemas.microsoft.com/office/drawing/2010/main" val="0"/>
                        </a:ext>
                      </a:extLst>
                    </a:blip>
                    <a:srcRect t="741" r="4147" b="1227"/>
                    <a:stretch/>
                  </pic:blipFill>
                  <pic:spPr bwMode="auto">
                    <a:xfrm>
                      <a:off x="0" y="0"/>
                      <a:ext cx="5984511" cy="4284257"/>
                    </a:xfrm>
                    <a:prstGeom prst="rect">
                      <a:avLst/>
                    </a:prstGeom>
                    <a:ln>
                      <a:noFill/>
                    </a:ln>
                    <a:extLst>
                      <a:ext uri="{53640926-AAD7-44D8-BBD7-CCE9431645EC}">
                        <a14:shadowObscured xmlns:a14="http://schemas.microsoft.com/office/drawing/2010/main"/>
                      </a:ext>
                    </a:extLst>
                  </pic:spPr>
                </pic:pic>
              </a:graphicData>
            </a:graphic>
          </wp:inline>
        </w:drawing>
      </w:r>
    </w:p>
    <w:p w14:paraId="5AD3C19D" w14:textId="2CFA358E" w:rsidR="004942B6" w:rsidRPr="00C31679" w:rsidRDefault="004942B6" w:rsidP="004942B6">
      <w:pPr>
        <w:pStyle w:val="Caption"/>
        <w:jc w:val="both"/>
        <w:rPr>
          <w:rFonts w:ascii="Arial" w:hAnsi="Arial" w:cs="Arial"/>
          <w:color w:val="auto"/>
          <w:sz w:val="20"/>
          <w:szCs w:val="20"/>
        </w:rPr>
      </w:pPr>
      <w:bookmarkStart w:id="1042" w:name="_Toc159318510"/>
      <w:bookmarkStart w:id="1043" w:name="_Toc159612036"/>
      <w:bookmarkStart w:id="1044" w:name="_Toc160982682"/>
      <w:bookmarkStart w:id="1045" w:name="_Toc164697508"/>
      <w:bookmarkStart w:id="1046" w:name="_Toc170744600"/>
      <w:bookmarkStart w:id="1047" w:name="_Toc196153231"/>
      <w:r w:rsidRPr="00C31679">
        <w:rPr>
          <w:rFonts w:ascii="Arial" w:hAnsi="Arial" w:cs="Arial"/>
          <w:b/>
          <w:bCs/>
          <w:color w:val="auto"/>
          <w:sz w:val="20"/>
          <w:szCs w:val="20"/>
        </w:rPr>
        <w:t xml:space="preserve">Figure </w:t>
      </w:r>
      <w:r w:rsidRPr="00C31679">
        <w:rPr>
          <w:rFonts w:ascii="Arial" w:hAnsi="Arial" w:cs="Arial"/>
          <w:b/>
          <w:bCs/>
          <w:color w:val="auto"/>
          <w:sz w:val="20"/>
          <w:szCs w:val="20"/>
        </w:rPr>
        <w:fldChar w:fldCharType="begin"/>
      </w:r>
      <w:r w:rsidRPr="00C31679">
        <w:rPr>
          <w:rFonts w:ascii="Arial" w:hAnsi="Arial" w:cs="Arial"/>
          <w:b/>
          <w:bCs/>
          <w:color w:val="auto"/>
          <w:sz w:val="20"/>
          <w:szCs w:val="20"/>
        </w:rPr>
        <w:instrText xml:space="preserve"> SEQ Figure \* ARABIC </w:instrText>
      </w:r>
      <w:r w:rsidRPr="00C31679">
        <w:rPr>
          <w:rFonts w:ascii="Arial" w:hAnsi="Arial" w:cs="Arial"/>
          <w:b/>
          <w:bCs/>
          <w:color w:val="auto"/>
          <w:sz w:val="20"/>
          <w:szCs w:val="20"/>
        </w:rPr>
        <w:fldChar w:fldCharType="separate"/>
      </w:r>
      <w:r w:rsidR="001823B4">
        <w:rPr>
          <w:rFonts w:ascii="Arial" w:hAnsi="Arial" w:cs="Arial"/>
          <w:b/>
          <w:bCs/>
          <w:noProof/>
          <w:color w:val="auto"/>
          <w:sz w:val="20"/>
          <w:szCs w:val="20"/>
        </w:rPr>
        <w:t>39</w:t>
      </w:r>
      <w:r w:rsidRPr="00C31679">
        <w:rPr>
          <w:rFonts w:ascii="Arial" w:hAnsi="Arial" w:cs="Arial"/>
          <w:b/>
          <w:bCs/>
          <w:color w:val="auto"/>
          <w:sz w:val="20"/>
          <w:szCs w:val="20"/>
        </w:rPr>
        <w:fldChar w:fldCharType="end"/>
      </w:r>
      <w:r w:rsidRPr="00C31679">
        <w:rPr>
          <w:rFonts w:ascii="Arial" w:hAnsi="Arial" w:cs="Arial"/>
          <w:color w:val="auto"/>
          <w:sz w:val="20"/>
          <w:szCs w:val="20"/>
        </w:rPr>
        <w:t>: Comparison of the EQ-VAS and EQ-indexed scores in the CCS patients according to age groups.</w:t>
      </w:r>
      <w:bookmarkEnd w:id="1042"/>
      <w:bookmarkEnd w:id="1043"/>
      <w:bookmarkEnd w:id="1044"/>
      <w:bookmarkEnd w:id="1045"/>
      <w:bookmarkEnd w:id="1046"/>
      <w:bookmarkEnd w:id="1047"/>
    </w:p>
    <w:p w14:paraId="08B78646" w14:textId="77777777" w:rsidR="004942B6" w:rsidRDefault="004942B6" w:rsidP="004942B6">
      <w:pPr>
        <w:spacing w:line="360" w:lineRule="auto"/>
        <w:jc w:val="both"/>
        <w:rPr>
          <w:rFonts w:ascii="Arial" w:hAnsi="Arial" w:cs="Arial"/>
          <w:color w:val="000000" w:themeColor="text1"/>
          <w:sz w:val="24"/>
          <w:szCs w:val="24"/>
        </w:rPr>
      </w:pPr>
    </w:p>
    <w:p w14:paraId="03A6D492" w14:textId="4FFD999E" w:rsidR="004942B6" w:rsidRPr="00027CFB" w:rsidRDefault="004942B6" w:rsidP="004942B6">
      <w:pPr>
        <w:pStyle w:val="Heading3"/>
        <w:spacing w:line="360" w:lineRule="auto"/>
        <w:rPr>
          <w:rFonts w:ascii="Arial" w:hAnsi="Arial" w:cs="Arial"/>
          <w:color w:val="4472C4" w:themeColor="accent1"/>
          <w:sz w:val="24"/>
          <w:szCs w:val="24"/>
        </w:rPr>
      </w:pPr>
      <w:bookmarkStart w:id="1048" w:name="_Toc170076079"/>
      <w:bookmarkStart w:id="1049" w:name="_Toc171203154"/>
      <w:bookmarkStart w:id="1050" w:name="_Toc171203925"/>
      <w:r w:rsidRPr="00027CFB">
        <w:rPr>
          <w:rFonts w:ascii="Arial" w:hAnsi="Arial" w:cs="Arial"/>
          <w:color w:val="4472C4" w:themeColor="accent1"/>
          <w:sz w:val="24"/>
          <w:szCs w:val="24"/>
        </w:rPr>
        <w:t>3.</w:t>
      </w:r>
      <w:r w:rsidR="00890A1F">
        <w:rPr>
          <w:rFonts w:ascii="Arial" w:hAnsi="Arial" w:cs="Arial"/>
          <w:color w:val="4472C4" w:themeColor="accent1"/>
          <w:sz w:val="24"/>
          <w:szCs w:val="24"/>
        </w:rPr>
        <w:t>2.</w:t>
      </w:r>
      <w:r w:rsidR="00C6771B">
        <w:rPr>
          <w:rFonts w:ascii="Arial" w:hAnsi="Arial" w:cs="Arial"/>
          <w:color w:val="4472C4" w:themeColor="accent1"/>
          <w:sz w:val="24"/>
          <w:szCs w:val="24"/>
        </w:rPr>
        <w:t>5</w:t>
      </w:r>
      <w:r w:rsidRPr="00027CFB">
        <w:rPr>
          <w:rFonts w:ascii="Arial" w:hAnsi="Arial" w:cs="Arial"/>
          <w:color w:val="4472C4" w:themeColor="accent1"/>
          <w:sz w:val="24"/>
          <w:szCs w:val="24"/>
        </w:rPr>
        <w:t xml:space="preserve"> Interval change in QOL scores according to management plans</w:t>
      </w:r>
      <w:bookmarkEnd w:id="1048"/>
      <w:bookmarkEnd w:id="1049"/>
      <w:bookmarkEnd w:id="1050"/>
    </w:p>
    <w:p w14:paraId="32358DCD" w14:textId="5FBAC672" w:rsidR="004942B6" w:rsidRDefault="004942B6" w:rsidP="004942B6">
      <w:pPr>
        <w:spacing w:line="360" w:lineRule="auto"/>
        <w:jc w:val="both"/>
        <w:rPr>
          <w:rFonts w:ascii="Arial" w:hAnsi="Arial" w:cs="Arial"/>
          <w:color w:val="000000" w:themeColor="text1"/>
          <w:sz w:val="24"/>
          <w:szCs w:val="24"/>
        </w:rPr>
      </w:pPr>
      <w:r w:rsidRPr="005C03D3">
        <w:rPr>
          <w:rFonts w:ascii="Arial" w:hAnsi="Arial" w:cs="Arial"/>
          <w:color w:val="000000" w:themeColor="text1"/>
          <w:sz w:val="24"/>
          <w:szCs w:val="24"/>
        </w:rPr>
        <w:t>Due to a low number of CABG patients, the EQ-</w:t>
      </w:r>
      <w:r w:rsidR="00F378D3" w:rsidRPr="005C03D3">
        <w:rPr>
          <w:rFonts w:ascii="Arial" w:hAnsi="Arial" w:cs="Arial"/>
          <w:color w:val="000000" w:themeColor="text1"/>
          <w:sz w:val="24"/>
          <w:szCs w:val="24"/>
        </w:rPr>
        <w:t>VAS</w:t>
      </w:r>
      <w:r w:rsidR="00F378D3">
        <w:rPr>
          <w:rFonts w:ascii="Arial" w:hAnsi="Arial" w:cs="Arial"/>
          <w:color w:val="000000" w:themeColor="text1"/>
          <w:sz w:val="24"/>
          <w:szCs w:val="24"/>
        </w:rPr>
        <w:t xml:space="preserve"> </w:t>
      </w:r>
      <w:r w:rsidRPr="005C03D3">
        <w:rPr>
          <w:rFonts w:ascii="Arial" w:hAnsi="Arial" w:cs="Arial"/>
          <w:color w:val="000000" w:themeColor="text1"/>
          <w:sz w:val="24"/>
          <w:szCs w:val="24"/>
        </w:rPr>
        <w:t xml:space="preserve">and EQ-indexed scores of those who had CABG were combined with those who </w:t>
      </w:r>
      <w:r>
        <w:rPr>
          <w:rFonts w:ascii="Arial" w:hAnsi="Arial" w:cs="Arial"/>
          <w:color w:val="000000" w:themeColor="text1"/>
          <w:sz w:val="24"/>
          <w:szCs w:val="24"/>
        </w:rPr>
        <w:t xml:space="preserve">underwent </w:t>
      </w:r>
      <w:r w:rsidRPr="005C03D3">
        <w:rPr>
          <w:rFonts w:ascii="Arial" w:hAnsi="Arial" w:cs="Arial"/>
          <w:color w:val="000000" w:themeColor="text1"/>
          <w:sz w:val="24"/>
          <w:szCs w:val="24"/>
        </w:rPr>
        <w:t>PCI and</w:t>
      </w:r>
      <w:r>
        <w:rPr>
          <w:rFonts w:ascii="Arial" w:hAnsi="Arial" w:cs="Arial"/>
          <w:color w:val="000000" w:themeColor="text1"/>
          <w:sz w:val="24"/>
          <w:szCs w:val="24"/>
        </w:rPr>
        <w:t xml:space="preserve"> were</w:t>
      </w:r>
      <w:r w:rsidRPr="005C03D3">
        <w:rPr>
          <w:rFonts w:ascii="Arial" w:hAnsi="Arial" w:cs="Arial"/>
          <w:color w:val="000000" w:themeColor="text1"/>
          <w:sz w:val="24"/>
          <w:szCs w:val="24"/>
        </w:rPr>
        <w:t xml:space="preserve"> grouped</w:t>
      </w:r>
      <w:r>
        <w:rPr>
          <w:rFonts w:ascii="Arial" w:hAnsi="Arial" w:cs="Arial"/>
          <w:color w:val="000000" w:themeColor="text1"/>
          <w:sz w:val="24"/>
          <w:szCs w:val="24"/>
        </w:rPr>
        <w:t xml:space="preserve"> as</w:t>
      </w:r>
      <w:r w:rsidRPr="005C03D3">
        <w:rPr>
          <w:rFonts w:ascii="Arial" w:hAnsi="Arial" w:cs="Arial"/>
          <w:color w:val="000000" w:themeColor="text1"/>
          <w:sz w:val="24"/>
          <w:szCs w:val="24"/>
        </w:rPr>
        <w:t xml:space="preserve"> “invasive therapy”.</w:t>
      </w:r>
      <w:r>
        <w:rPr>
          <w:rFonts w:ascii="Arial" w:hAnsi="Arial" w:cs="Arial"/>
          <w:color w:val="000000" w:themeColor="text1"/>
          <w:sz w:val="24"/>
          <w:szCs w:val="24"/>
        </w:rPr>
        <w:t xml:space="preserve"> These “invasive therapy” scores were then compared with the patients treated with “medical therapy” alone. In the ACS cohort, there was no difference in the scores of patients treated with medical therapy (EQ-VAS; p=0.40, EQ-indexed; p=0.65) or invasive therapy (EQ-VAS; p=0.28, EQ-indexed; p=0.12). However, in the CCS cohort, invasively treated patients had a statistically significant improvement (EQ-VAS; p=0.03, EQ-indexed; p=0.04) compared to medically treated patients (EQ-VAS; p=0.73, EQ-indexed; p=0.26), reflecting the benefit of revascularisation on life quality. The EQ-VAS and EQ-indexed scores of ACS and CCS patients treated with medical and invasive therapy have been shown in Figure</w:t>
      </w:r>
      <w:r w:rsidR="001823B4">
        <w:rPr>
          <w:rFonts w:ascii="Arial" w:hAnsi="Arial" w:cs="Arial"/>
          <w:color w:val="000000" w:themeColor="text1"/>
          <w:sz w:val="24"/>
          <w:szCs w:val="24"/>
        </w:rPr>
        <w:t>s</w:t>
      </w:r>
      <w:r w:rsidR="00BF5E3A">
        <w:rPr>
          <w:rFonts w:ascii="Arial" w:hAnsi="Arial" w:cs="Arial"/>
          <w:color w:val="000000" w:themeColor="text1"/>
          <w:sz w:val="24"/>
          <w:szCs w:val="24"/>
        </w:rPr>
        <w:t>40</w:t>
      </w:r>
      <w:r w:rsidR="001823B4">
        <w:rPr>
          <w:rFonts w:ascii="Arial" w:hAnsi="Arial" w:cs="Arial"/>
          <w:color w:val="000000" w:themeColor="text1"/>
          <w:sz w:val="24"/>
          <w:szCs w:val="24"/>
        </w:rPr>
        <w:t xml:space="preserve"> and 41</w:t>
      </w:r>
      <w:r>
        <w:rPr>
          <w:rFonts w:ascii="Arial" w:hAnsi="Arial" w:cs="Arial"/>
          <w:color w:val="000000" w:themeColor="text1"/>
          <w:sz w:val="24"/>
          <w:szCs w:val="24"/>
        </w:rPr>
        <w:t xml:space="preserve">. </w:t>
      </w:r>
    </w:p>
    <w:p w14:paraId="4B8DC41E" w14:textId="77777777" w:rsidR="004942B6" w:rsidRDefault="004942B6" w:rsidP="004942B6">
      <w:pPr>
        <w:spacing w:line="360" w:lineRule="auto"/>
        <w:jc w:val="both"/>
        <w:rPr>
          <w:rFonts w:ascii="Arial" w:hAnsi="Arial" w:cs="Arial"/>
          <w:color w:val="000000" w:themeColor="text1"/>
          <w:sz w:val="24"/>
          <w:szCs w:val="24"/>
        </w:rPr>
      </w:pPr>
    </w:p>
    <w:p w14:paraId="18A99A27" w14:textId="77777777" w:rsidR="004942B6" w:rsidRDefault="004942B6" w:rsidP="004942B6">
      <w:pPr>
        <w:keepNext/>
        <w:spacing w:line="360" w:lineRule="auto"/>
        <w:jc w:val="both"/>
      </w:pPr>
      <w:r>
        <w:rPr>
          <w:rFonts w:ascii="Arial" w:hAnsi="Arial" w:cs="Arial"/>
          <w:noProof/>
          <w:color w:val="000000" w:themeColor="text1"/>
          <w:sz w:val="24"/>
          <w:szCs w:val="24"/>
          <w:lang w:eastAsia="en-GB"/>
        </w:rPr>
        <w:drawing>
          <wp:inline distT="0" distB="0" distL="0" distR="0" wp14:anchorId="24FA3E94" wp14:editId="2F3F6B70">
            <wp:extent cx="5731510" cy="4011930"/>
            <wp:effectExtent l="0" t="0" r="0" b="0"/>
            <wp:docPr id="969277739" name="Picture 3" descr="A group of black and white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277739" name="Picture 3" descr="A group of black and white graph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4011930"/>
                    </a:xfrm>
                    <a:prstGeom prst="rect">
                      <a:avLst/>
                    </a:prstGeom>
                  </pic:spPr>
                </pic:pic>
              </a:graphicData>
            </a:graphic>
          </wp:inline>
        </w:drawing>
      </w:r>
    </w:p>
    <w:p w14:paraId="3D8B892F" w14:textId="198CCEDD" w:rsidR="004942B6" w:rsidRPr="00C31679" w:rsidRDefault="004942B6" w:rsidP="004942B6">
      <w:pPr>
        <w:pStyle w:val="Caption"/>
        <w:jc w:val="both"/>
        <w:rPr>
          <w:rFonts w:ascii="Arial" w:hAnsi="Arial" w:cs="Arial"/>
          <w:color w:val="auto"/>
          <w:sz w:val="20"/>
          <w:szCs w:val="20"/>
        </w:rPr>
      </w:pPr>
      <w:bookmarkStart w:id="1051" w:name="_Toc159318511"/>
      <w:bookmarkStart w:id="1052" w:name="_Toc159612037"/>
      <w:bookmarkStart w:id="1053" w:name="_Toc160982683"/>
      <w:bookmarkStart w:id="1054" w:name="_Toc164697509"/>
      <w:bookmarkStart w:id="1055" w:name="_Toc170744601"/>
      <w:bookmarkStart w:id="1056" w:name="_Toc196153232"/>
      <w:r w:rsidRPr="00C31679">
        <w:rPr>
          <w:rFonts w:ascii="Arial" w:hAnsi="Arial" w:cs="Arial"/>
          <w:b/>
          <w:bCs/>
          <w:color w:val="auto"/>
          <w:sz w:val="20"/>
          <w:szCs w:val="20"/>
        </w:rPr>
        <w:t xml:space="preserve">Figure </w:t>
      </w:r>
      <w:r w:rsidRPr="00C31679">
        <w:rPr>
          <w:rFonts w:ascii="Arial" w:hAnsi="Arial" w:cs="Arial"/>
          <w:b/>
          <w:bCs/>
          <w:color w:val="auto"/>
          <w:sz w:val="20"/>
          <w:szCs w:val="20"/>
        </w:rPr>
        <w:fldChar w:fldCharType="begin"/>
      </w:r>
      <w:r w:rsidRPr="00C31679">
        <w:rPr>
          <w:rFonts w:ascii="Arial" w:hAnsi="Arial" w:cs="Arial"/>
          <w:b/>
          <w:bCs/>
          <w:color w:val="auto"/>
          <w:sz w:val="20"/>
          <w:szCs w:val="20"/>
        </w:rPr>
        <w:instrText xml:space="preserve"> SEQ Figure \* ARABIC </w:instrText>
      </w:r>
      <w:r w:rsidRPr="00C31679">
        <w:rPr>
          <w:rFonts w:ascii="Arial" w:hAnsi="Arial" w:cs="Arial"/>
          <w:b/>
          <w:bCs/>
          <w:color w:val="auto"/>
          <w:sz w:val="20"/>
          <w:szCs w:val="20"/>
        </w:rPr>
        <w:fldChar w:fldCharType="separate"/>
      </w:r>
      <w:r w:rsidR="001823B4">
        <w:rPr>
          <w:rFonts w:ascii="Arial" w:hAnsi="Arial" w:cs="Arial"/>
          <w:b/>
          <w:bCs/>
          <w:noProof/>
          <w:color w:val="auto"/>
          <w:sz w:val="20"/>
          <w:szCs w:val="20"/>
        </w:rPr>
        <w:t>40</w:t>
      </w:r>
      <w:r w:rsidRPr="00C31679">
        <w:rPr>
          <w:rFonts w:ascii="Arial" w:hAnsi="Arial" w:cs="Arial"/>
          <w:b/>
          <w:bCs/>
          <w:color w:val="auto"/>
          <w:sz w:val="20"/>
          <w:szCs w:val="20"/>
        </w:rPr>
        <w:fldChar w:fldCharType="end"/>
      </w:r>
      <w:r w:rsidRPr="00C31679">
        <w:rPr>
          <w:rFonts w:ascii="Arial" w:hAnsi="Arial" w:cs="Arial"/>
          <w:color w:val="auto"/>
          <w:sz w:val="20"/>
          <w:szCs w:val="20"/>
        </w:rPr>
        <w:t>: Comparison of the EQ-VAS and EQ-indexed scores of medically treated patients with invasive treatment in the ACS cohort.</w:t>
      </w:r>
      <w:bookmarkEnd w:id="1051"/>
      <w:bookmarkEnd w:id="1052"/>
      <w:bookmarkEnd w:id="1053"/>
      <w:bookmarkEnd w:id="1054"/>
      <w:bookmarkEnd w:id="1055"/>
      <w:bookmarkEnd w:id="1056"/>
    </w:p>
    <w:p w14:paraId="2D1AA0B3" w14:textId="77777777" w:rsidR="004942B6" w:rsidRDefault="004942B6" w:rsidP="004942B6">
      <w:pPr>
        <w:spacing w:line="360" w:lineRule="auto"/>
        <w:jc w:val="both"/>
        <w:rPr>
          <w:rFonts w:ascii="Arial" w:hAnsi="Arial" w:cs="Arial"/>
          <w:noProof/>
          <w:color w:val="000000" w:themeColor="text1"/>
          <w:sz w:val="24"/>
          <w:szCs w:val="24"/>
        </w:rPr>
      </w:pPr>
    </w:p>
    <w:p w14:paraId="7193B796" w14:textId="77777777" w:rsidR="004942B6" w:rsidRDefault="004942B6" w:rsidP="004942B6">
      <w:pPr>
        <w:keepNext/>
        <w:spacing w:line="360" w:lineRule="auto"/>
        <w:jc w:val="both"/>
      </w:pPr>
      <w:r>
        <w:rPr>
          <w:noProof/>
          <w:lang w:eastAsia="en-GB"/>
        </w:rPr>
        <w:lastRenderedPageBreak/>
        <w:drawing>
          <wp:inline distT="0" distB="0" distL="0" distR="0" wp14:anchorId="2F097FF4" wp14:editId="1A7E8C6F">
            <wp:extent cx="5632692" cy="4541520"/>
            <wp:effectExtent l="0" t="0" r="6350" b="0"/>
            <wp:docPr id="1502014306" name="Picture 4" descr="A group of graphs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14306" name="Picture 4" descr="A group of graphs with numbers&#10;&#10;Description automatically generated with medium confidence"/>
                    <pic:cNvPicPr/>
                  </pic:nvPicPr>
                  <pic:blipFill rotWithShape="1">
                    <a:blip r:embed="rId66" cstate="print">
                      <a:extLst>
                        <a:ext uri="{28A0092B-C50C-407E-A947-70E740481C1C}">
                          <a14:useLocalDpi xmlns:a14="http://schemas.microsoft.com/office/drawing/2010/main" val="0"/>
                        </a:ext>
                      </a:extLst>
                    </a:blip>
                    <a:srcRect l="6780" r="6404"/>
                    <a:stretch/>
                  </pic:blipFill>
                  <pic:spPr bwMode="auto">
                    <a:xfrm>
                      <a:off x="0" y="0"/>
                      <a:ext cx="5636967" cy="4544967"/>
                    </a:xfrm>
                    <a:prstGeom prst="rect">
                      <a:avLst/>
                    </a:prstGeom>
                    <a:ln>
                      <a:noFill/>
                    </a:ln>
                    <a:extLst>
                      <a:ext uri="{53640926-AAD7-44D8-BBD7-CCE9431645EC}">
                        <a14:shadowObscured xmlns:a14="http://schemas.microsoft.com/office/drawing/2010/main"/>
                      </a:ext>
                    </a:extLst>
                  </pic:spPr>
                </pic:pic>
              </a:graphicData>
            </a:graphic>
          </wp:inline>
        </w:drawing>
      </w:r>
    </w:p>
    <w:p w14:paraId="4AF6D70C" w14:textId="70DF18E1" w:rsidR="004942B6" w:rsidRPr="00C31679" w:rsidRDefault="004942B6" w:rsidP="004942B6">
      <w:pPr>
        <w:pStyle w:val="Caption"/>
        <w:jc w:val="both"/>
        <w:rPr>
          <w:rFonts w:ascii="Arial" w:hAnsi="Arial" w:cs="Arial"/>
          <w:color w:val="auto"/>
          <w:sz w:val="20"/>
          <w:szCs w:val="20"/>
        </w:rPr>
      </w:pPr>
      <w:bookmarkStart w:id="1057" w:name="_Toc159318512"/>
      <w:bookmarkStart w:id="1058" w:name="_Toc159612038"/>
      <w:bookmarkStart w:id="1059" w:name="_Toc160982684"/>
      <w:bookmarkStart w:id="1060" w:name="_Toc164697510"/>
      <w:bookmarkStart w:id="1061" w:name="_Toc170744602"/>
      <w:bookmarkStart w:id="1062" w:name="_Toc196153233"/>
      <w:r w:rsidRPr="00C31679">
        <w:rPr>
          <w:rFonts w:ascii="Arial" w:hAnsi="Arial" w:cs="Arial"/>
          <w:b/>
          <w:bCs/>
          <w:color w:val="auto"/>
          <w:sz w:val="20"/>
          <w:szCs w:val="20"/>
        </w:rPr>
        <w:t xml:space="preserve">Figure </w:t>
      </w:r>
      <w:r w:rsidRPr="00C31679">
        <w:rPr>
          <w:rFonts w:ascii="Arial" w:hAnsi="Arial" w:cs="Arial"/>
          <w:b/>
          <w:bCs/>
          <w:color w:val="auto"/>
          <w:sz w:val="20"/>
          <w:szCs w:val="20"/>
        </w:rPr>
        <w:fldChar w:fldCharType="begin"/>
      </w:r>
      <w:r w:rsidRPr="00C31679">
        <w:rPr>
          <w:rFonts w:ascii="Arial" w:hAnsi="Arial" w:cs="Arial"/>
          <w:b/>
          <w:bCs/>
          <w:color w:val="auto"/>
          <w:sz w:val="20"/>
          <w:szCs w:val="20"/>
        </w:rPr>
        <w:instrText xml:space="preserve"> SEQ Figure \* ARABIC </w:instrText>
      </w:r>
      <w:r w:rsidRPr="00C31679">
        <w:rPr>
          <w:rFonts w:ascii="Arial" w:hAnsi="Arial" w:cs="Arial"/>
          <w:b/>
          <w:bCs/>
          <w:color w:val="auto"/>
          <w:sz w:val="20"/>
          <w:szCs w:val="20"/>
        </w:rPr>
        <w:fldChar w:fldCharType="separate"/>
      </w:r>
      <w:r w:rsidR="001823B4">
        <w:rPr>
          <w:rFonts w:ascii="Arial" w:hAnsi="Arial" w:cs="Arial"/>
          <w:b/>
          <w:bCs/>
          <w:noProof/>
          <w:color w:val="auto"/>
          <w:sz w:val="20"/>
          <w:szCs w:val="20"/>
        </w:rPr>
        <w:t>41</w:t>
      </w:r>
      <w:r w:rsidRPr="00C31679">
        <w:rPr>
          <w:rFonts w:ascii="Arial" w:hAnsi="Arial" w:cs="Arial"/>
          <w:b/>
          <w:bCs/>
          <w:color w:val="auto"/>
          <w:sz w:val="20"/>
          <w:szCs w:val="20"/>
        </w:rPr>
        <w:fldChar w:fldCharType="end"/>
      </w:r>
      <w:r w:rsidRPr="00C31679">
        <w:rPr>
          <w:rFonts w:ascii="Arial" w:hAnsi="Arial" w:cs="Arial"/>
          <w:color w:val="auto"/>
          <w:sz w:val="20"/>
          <w:szCs w:val="20"/>
        </w:rPr>
        <w:t>:</w:t>
      </w:r>
      <w:r w:rsidR="004A6B9F">
        <w:rPr>
          <w:rFonts w:ascii="Arial" w:hAnsi="Arial" w:cs="Arial"/>
          <w:color w:val="auto"/>
          <w:sz w:val="20"/>
          <w:szCs w:val="20"/>
        </w:rPr>
        <w:t xml:space="preserve"> EQ-VAS and EQ-indexed scores of CCS patients treated with invasive therapy demonstrated a statistically significant improvement compared to the patients treated with medical therapy</w:t>
      </w:r>
      <w:r w:rsidRPr="00C31679">
        <w:rPr>
          <w:rFonts w:ascii="Arial" w:hAnsi="Arial" w:cs="Arial"/>
          <w:color w:val="auto"/>
          <w:sz w:val="20"/>
          <w:szCs w:val="20"/>
        </w:rPr>
        <w:t>.</w:t>
      </w:r>
      <w:bookmarkEnd w:id="1057"/>
      <w:bookmarkEnd w:id="1058"/>
      <w:bookmarkEnd w:id="1059"/>
      <w:bookmarkEnd w:id="1060"/>
      <w:bookmarkEnd w:id="1061"/>
      <w:bookmarkEnd w:id="1062"/>
    </w:p>
    <w:p w14:paraId="7AA4D460" w14:textId="77777777" w:rsidR="004942B6" w:rsidRDefault="004942B6" w:rsidP="004942B6">
      <w:pPr>
        <w:spacing w:line="360" w:lineRule="auto"/>
        <w:jc w:val="both"/>
        <w:rPr>
          <w:rFonts w:ascii="Arial" w:hAnsi="Arial" w:cs="Arial"/>
          <w:color w:val="000000" w:themeColor="text1"/>
          <w:sz w:val="24"/>
          <w:szCs w:val="24"/>
        </w:rPr>
      </w:pPr>
    </w:p>
    <w:p w14:paraId="20747218" w14:textId="5C1D0EE7" w:rsidR="004942B6" w:rsidRPr="00F378D3" w:rsidRDefault="004942B6" w:rsidP="004942B6">
      <w:pPr>
        <w:pStyle w:val="Heading3"/>
        <w:spacing w:line="360" w:lineRule="auto"/>
        <w:rPr>
          <w:rFonts w:ascii="Arial" w:hAnsi="Arial" w:cs="Arial"/>
          <w:color w:val="4472C4" w:themeColor="accent1"/>
          <w:sz w:val="24"/>
          <w:szCs w:val="24"/>
        </w:rPr>
      </w:pPr>
      <w:bookmarkStart w:id="1063" w:name="_Toc170076080"/>
      <w:bookmarkStart w:id="1064" w:name="_Toc171203155"/>
      <w:bookmarkStart w:id="1065" w:name="_Toc171203926"/>
      <w:r w:rsidRPr="00F378D3">
        <w:rPr>
          <w:rFonts w:ascii="Arial" w:hAnsi="Arial" w:cs="Arial"/>
          <w:color w:val="4472C4" w:themeColor="accent1"/>
          <w:sz w:val="24"/>
          <w:szCs w:val="24"/>
        </w:rPr>
        <w:t>3.</w:t>
      </w:r>
      <w:r w:rsidR="00890A1F">
        <w:rPr>
          <w:rFonts w:ascii="Arial" w:hAnsi="Arial" w:cs="Arial"/>
          <w:color w:val="4472C4" w:themeColor="accent1"/>
          <w:sz w:val="24"/>
          <w:szCs w:val="24"/>
        </w:rPr>
        <w:t>2.</w:t>
      </w:r>
      <w:r w:rsidR="00C6771B">
        <w:rPr>
          <w:rFonts w:ascii="Arial" w:hAnsi="Arial" w:cs="Arial"/>
          <w:color w:val="4472C4" w:themeColor="accent1"/>
          <w:sz w:val="24"/>
          <w:szCs w:val="24"/>
        </w:rPr>
        <w:t>5</w:t>
      </w:r>
      <w:r w:rsidRPr="00F378D3">
        <w:rPr>
          <w:rFonts w:ascii="Arial" w:hAnsi="Arial" w:cs="Arial"/>
          <w:color w:val="4472C4" w:themeColor="accent1"/>
          <w:sz w:val="24"/>
          <w:szCs w:val="24"/>
        </w:rPr>
        <w:t xml:space="preserve"> </w:t>
      </w:r>
      <w:r w:rsidR="00BE4B8F">
        <w:rPr>
          <w:rFonts w:ascii="Arial" w:hAnsi="Arial" w:cs="Arial"/>
          <w:color w:val="4472C4" w:themeColor="accent1"/>
          <w:sz w:val="24"/>
          <w:szCs w:val="24"/>
        </w:rPr>
        <w:t>I</w:t>
      </w:r>
      <w:r w:rsidRPr="00F378D3">
        <w:rPr>
          <w:rFonts w:ascii="Arial" w:hAnsi="Arial" w:cs="Arial"/>
          <w:color w:val="4472C4" w:themeColor="accent1"/>
          <w:sz w:val="24"/>
          <w:szCs w:val="24"/>
        </w:rPr>
        <w:t>nterval change in QOL scores according to gender</w:t>
      </w:r>
      <w:bookmarkEnd w:id="1063"/>
      <w:bookmarkEnd w:id="1064"/>
      <w:bookmarkEnd w:id="1065"/>
    </w:p>
    <w:p w14:paraId="2E49C914" w14:textId="5150980C" w:rsidR="004942B6" w:rsidRDefault="004942B6" w:rsidP="004942B6">
      <w:pPr>
        <w:spacing w:line="360" w:lineRule="auto"/>
        <w:jc w:val="both"/>
        <w:rPr>
          <w:rFonts w:ascii="Arial" w:hAnsi="Arial" w:cs="Arial"/>
          <w:color w:val="000000" w:themeColor="text1"/>
          <w:sz w:val="24"/>
          <w:szCs w:val="24"/>
        </w:rPr>
      </w:pPr>
      <w:r w:rsidRPr="00533D4D">
        <w:rPr>
          <w:rFonts w:ascii="Arial" w:hAnsi="Arial" w:cs="Arial"/>
          <w:color w:val="000000" w:themeColor="text1"/>
          <w:sz w:val="24"/>
          <w:szCs w:val="24"/>
        </w:rPr>
        <w:t xml:space="preserve">The EQ-VAS and EQ-indexed scores were </w:t>
      </w:r>
      <w:r w:rsidR="00890A1F">
        <w:rPr>
          <w:rFonts w:ascii="Arial" w:hAnsi="Arial" w:cs="Arial"/>
          <w:color w:val="000000" w:themeColor="text1"/>
          <w:sz w:val="24"/>
          <w:szCs w:val="24"/>
        </w:rPr>
        <w:t>segregated</w:t>
      </w:r>
      <w:r w:rsidRPr="00533D4D">
        <w:rPr>
          <w:rFonts w:ascii="Arial" w:hAnsi="Arial" w:cs="Arial"/>
          <w:color w:val="000000" w:themeColor="text1"/>
          <w:sz w:val="24"/>
          <w:szCs w:val="24"/>
        </w:rPr>
        <w:t xml:space="preserve"> according to gender and demonstrated that the m</w:t>
      </w:r>
      <w:r>
        <w:rPr>
          <w:rFonts w:ascii="Arial" w:hAnsi="Arial" w:cs="Arial"/>
          <w:color w:val="000000" w:themeColor="text1"/>
          <w:sz w:val="24"/>
          <w:szCs w:val="24"/>
        </w:rPr>
        <w:t>en</w:t>
      </w:r>
      <w:r w:rsidRPr="00533D4D">
        <w:rPr>
          <w:rFonts w:ascii="Arial" w:hAnsi="Arial" w:cs="Arial"/>
          <w:color w:val="000000" w:themeColor="text1"/>
          <w:sz w:val="24"/>
          <w:szCs w:val="24"/>
        </w:rPr>
        <w:t xml:space="preserve"> had a statistically significant increase in the QOL scores</w:t>
      </w:r>
      <w:r>
        <w:rPr>
          <w:rFonts w:ascii="Arial" w:hAnsi="Arial" w:cs="Arial"/>
          <w:color w:val="000000" w:themeColor="text1"/>
          <w:sz w:val="24"/>
          <w:szCs w:val="24"/>
        </w:rPr>
        <w:t xml:space="preserve"> (EQ-VAS; p=0.03, EQ-indexed; p=0.04</w:t>
      </w:r>
      <w:r w:rsidRPr="00533D4D">
        <w:rPr>
          <w:rFonts w:ascii="Arial" w:hAnsi="Arial" w:cs="Arial"/>
          <w:color w:val="000000" w:themeColor="text1"/>
          <w:sz w:val="24"/>
          <w:szCs w:val="24"/>
        </w:rPr>
        <w:t>) at one-year follow-up from baseline</w:t>
      </w:r>
      <w:r>
        <w:rPr>
          <w:rFonts w:ascii="Arial" w:hAnsi="Arial" w:cs="Arial"/>
          <w:color w:val="000000" w:themeColor="text1"/>
          <w:sz w:val="24"/>
          <w:szCs w:val="24"/>
        </w:rPr>
        <w:t>. In comparison,</w:t>
      </w:r>
      <w:r w:rsidRPr="00533D4D">
        <w:rPr>
          <w:rFonts w:ascii="Arial" w:hAnsi="Arial" w:cs="Arial"/>
          <w:color w:val="000000" w:themeColor="text1"/>
          <w:sz w:val="24"/>
          <w:szCs w:val="24"/>
        </w:rPr>
        <w:t xml:space="preserve"> </w:t>
      </w:r>
      <w:r>
        <w:rPr>
          <w:rFonts w:ascii="Arial" w:hAnsi="Arial" w:cs="Arial"/>
          <w:color w:val="000000" w:themeColor="text1"/>
          <w:sz w:val="24"/>
          <w:szCs w:val="24"/>
        </w:rPr>
        <w:t>women reportedly had a trend towards reduced QOL scores,</w:t>
      </w:r>
      <w:r w:rsidRPr="00533D4D">
        <w:rPr>
          <w:rFonts w:ascii="Arial" w:hAnsi="Arial" w:cs="Arial"/>
          <w:color w:val="000000" w:themeColor="text1"/>
          <w:sz w:val="24"/>
          <w:szCs w:val="24"/>
        </w:rPr>
        <w:t xml:space="preserve"> </w:t>
      </w:r>
      <w:r>
        <w:rPr>
          <w:rFonts w:ascii="Arial" w:hAnsi="Arial" w:cs="Arial"/>
          <w:color w:val="000000" w:themeColor="text1"/>
          <w:sz w:val="24"/>
          <w:szCs w:val="24"/>
        </w:rPr>
        <w:t>but it did not reach statistical significance (EQ-VAS; p=0.57, EQ-indexed; p=0.68</w:t>
      </w:r>
      <w:r w:rsidRPr="00533D4D">
        <w:rPr>
          <w:rFonts w:ascii="Arial" w:hAnsi="Arial" w:cs="Arial"/>
          <w:color w:val="000000" w:themeColor="text1"/>
          <w:sz w:val="24"/>
          <w:szCs w:val="24"/>
        </w:rPr>
        <w:t>). The</w:t>
      </w:r>
      <w:r>
        <w:rPr>
          <w:rFonts w:ascii="Arial" w:hAnsi="Arial" w:cs="Arial"/>
          <w:color w:val="000000" w:themeColor="text1"/>
          <w:sz w:val="24"/>
          <w:szCs w:val="24"/>
        </w:rPr>
        <w:t xml:space="preserve"> gender</w:t>
      </w:r>
      <w:r w:rsidR="00AC20AD">
        <w:rPr>
          <w:rFonts w:ascii="Arial" w:hAnsi="Arial" w:cs="Arial"/>
          <w:color w:val="000000" w:themeColor="text1"/>
          <w:sz w:val="24"/>
          <w:szCs w:val="24"/>
        </w:rPr>
        <w:t>-</w:t>
      </w:r>
      <w:r>
        <w:rPr>
          <w:rFonts w:ascii="Arial" w:hAnsi="Arial" w:cs="Arial"/>
          <w:color w:val="000000" w:themeColor="text1"/>
          <w:sz w:val="24"/>
          <w:szCs w:val="24"/>
        </w:rPr>
        <w:t>segregated</w:t>
      </w:r>
      <w:r w:rsidRPr="00533D4D">
        <w:rPr>
          <w:rFonts w:ascii="Arial" w:hAnsi="Arial" w:cs="Arial"/>
          <w:color w:val="000000" w:themeColor="text1"/>
          <w:sz w:val="24"/>
          <w:szCs w:val="24"/>
        </w:rPr>
        <w:t xml:space="preserve"> EQ-VAS and EQ-indexed scores </w:t>
      </w:r>
      <w:r>
        <w:rPr>
          <w:rFonts w:ascii="Arial" w:hAnsi="Arial" w:cs="Arial"/>
          <w:color w:val="000000" w:themeColor="text1"/>
          <w:sz w:val="24"/>
          <w:szCs w:val="24"/>
        </w:rPr>
        <w:t>in ACS and CCS patients</w:t>
      </w:r>
      <w:r w:rsidRPr="00533D4D">
        <w:rPr>
          <w:rFonts w:ascii="Arial" w:hAnsi="Arial" w:cs="Arial"/>
          <w:color w:val="000000" w:themeColor="text1"/>
          <w:sz w:val="24"/>
          <w:szCs w:val="24"/>
        </w:rPr>
        <w:t xml:space="preserve"> have been shown in Figure </w:t>
      </w:r>
      <w:r w:rsidR="00593588">
        <w:rPr>
          <w:rFonts w:ascii="Arial" w:hAnsi="Arial" w:cs="Arial"/>
          <w:color w:val="000000" w:themeColor="text1"/>
          <w:sz w:val="24"/>
          <w:szCs w:val="24"/>
        </w:rPr>
        <w:t>4</w:t>
      </w:r>
      <w:r w:rsidR="001823B4">
        <w:rPr>
          <w:rFonts w:ascii="Arial" w:hAnsi="Arial" w:cs="Arial"/>
          <w:color w:val="000000" w:themeColor="text1"/>
          <w:sz w:val="24"/>
          <w:szCs w:val="24"/>
        </w:rPr>
        <w:t>2</w:t>
      </w:r>
      <w:r w:rsidRPr="00533D4D">
        <w:rPr>
          <w:rFonts w:ascii="Arial" w:hAnsi="Arial" w:cs="Arial"/>
          <w:color w:val="000000" w:themeColor="text1"/>
          <w:sz w:val="24"/>
          <w:szCs w:val="24"/>
        </w:rPr>
        <w:t>.</w:t>
      </w:r>
    </w:p>
    <w:p w14:paraId="5FB3CD3F" w14:textId="77777777" w:rsidR="004942B6" w:rsidRDefault="004942B6" w:rsidP="004942B6">
      <w:pPr>
        <w:spacing w:line="360" w:lineRule="auto"/>
        <w:jc w:val="both"/>
        <w:rPr>
          <w:rFonts w:ascii="Arial" w:hAnsi="Arial" w:cs="Arial"/>
          <w:color w:val="000000" w:themeColor="text1"/>
          <w:sz w:val="24"/>
          <w:szCs w:val="24"/>
        </w:rPr>
      </w:pPr>
    </w:p>
    <w:p w14:paraId="0FD5C095" w14:textId="77777777" w:rsidR="004942B6" w:rsidRDefault="004942B6" w:rsidP="004942B6">
      <w:pPr>
        <w:keepNext/>
        <w:spacing w:line="360" w:lineRule="auto"/>
        <w:jc w:val="both"/>
      </w:pPr>
      <w:r>
        <w:rPr>
          <w:noProof/>
          <w:lang w:eastAsia="en-GB"/>
        </w:rPr>
        <w:lastRenderedPageBreak/>
        <w:drawing>
          <wp:inline distT="0" distB="0" distL="0" distR="0" wp14:anchorId="03DE3B2C" wp14:editId="7F90A6FA">
            <wp:extent cx="6121384" cy="4284833"/>
            <wp:effectExtent l="0" t="0" r="0" b="1905"/>
            <wp:docPr id="1640554456" name="Picture 2" descr="A group of black and white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54456" name="Picture 2" descr="A group of black and white diagrams&#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9424" cy="4290461"/>
                    </a:xfrm>
                    <a:prstGeom prst="rect">
                      <a:avLst/>
                    </a:prstGeom>
                  </pic:spPr>
                </pic:pic>
              </a:graphicData>
            </a:graphic>
          </wp:inline>
        </w:drawing>
      </w:r>
    </w:p>
    <w:p w14:paraId="1649CDAD" w14:textId="2DC81EC9" w:rsidR="004942B6" w:rsidRPr="00C31679" w:rsidRDefault="004942B6" w:rsidP="004942B6">
      <w:pPr>
        <w:pStyle w:val="Caption"/>
        <w:jc w:val="both"/>
        <w:rPr>
          <w:rFonts w:ascii="Arial" w:hAnsi="Arial" w:cs="Arial"/>
          <w:color w:val="auto"/>
          <w:sz w:val="20"/>
          <w:szCs w:val="20"/>
        </w:rPr>
      </w:pPr>
      <w:bookmarkStart w:id="1066" w:name="_Toc159318513"/>
      <w:bookmarkStart w:id="1067" w:name="_Toc159612039"/>
      <w:bookmarkStart w:id="1068" w:name="_Toc160982685"/>
      <w:bookmarkStart w:id="1069" w:name="_Toc164697511"/>
      <w:bookmarkStart w:id="1070" w:name="_Toc170744603"/>
      <w:bookmarkStart w:id="1071" w:name="_Toc196153234"/>
      <w:r w:rsidRPr="00C31679">
        <w:rPr>
          <w:rFonts w:ascii="Arial" w:hAnsi="Arial" w:cs="Arial"/>
          <w:b/>
          <w:bCs/>
          <w:color w:val="auto"/>
          <w:sz w:val="20"/>
          <w:szCs w:val="20"/>
        </w:rPr>
        <w:t xml:space="preserve">Figure </w:t>
      </w:r>
      <w:r w:rsidRPr="00C31679">
        <w:rPr>
          <w:rFonts w:ascii="Arial" w:hAnsi="Arial" w:cs="Arial"/>
          <w:b/>
          <w:bCs/>
          <w:color w:val="auto"/>
          <w:sz w:val="20"/>
          <w:szCs w:val="20"/>
        </w:rPr>
        <w:fldChar w:fldCharType="begin"/>
      </w:r>
      <w:r w:rsidRPr="00C31679">
        <w:rPr>
          <w:rFonts w:ascii="Arial" w:hAnsi="Arial" w:cs="Arial"/>
          <w:b/>
          <w:bCs/>
          <w:color w:val="auto"/>
          <w:sz w:val="20"/>
          <w:szCs w:val="20"/>
        </w:rPr>
        <w:instrText xml:space="preserve"> SEQ Figure \* ARABIC </w:instrText>
      </w:r>
      <w:r w:rsidRPr="00C31679">
        <w:rPr>
          <w:rFonts w:ascii="Arial" w:hAnsi="Arial" w:cs="Arial"/>
          <w:b/>
          <w:bCs/>
          <w:color w:val="auto"/>
          <w:sz w:val="20"/>
          <w:szCs w:val="20"/>
        </w:rPr>
        <w:fldChar w:fldCharType="separate"/>
      </w:r>
      <w:r w:rsidR="001823B4">
        <w:rPr>
          <w:rFonts w:ascii="Arial" w:hAnsi="Arial" w:cs="Arial"/>
          <w:b/>
          <w:bCs/>
          <w:noProof/>
          <w:color w:val="auto"/>
          <w:sz w:val="20"/>
          <w:szCs w:val="20"/>
        </w:rPr>
        <w:t>42</w:t>
      </w:r>
      <w:r w:rsidRPr="00C31679">
        <w:rPr>
          <w:rFonts w:ascii="Arial" w:hAnsi="Arial" w:cs="Arial"/>
          <w:b/>
          <w:bCs/>
          <w:color w:val="auto"/>
          <w:sz w:val="20"/>
          <w:szCs w:val="20"/>
        </w:rPr>
        <w:fldChar w:fldCharType="end"/>
      </w:r>
      <w:r w:rsidRPr="00C31679">
        <w:rPr>
          <w:rFonts w:ascii="Arial" w:hAnsi="Arial" w:cs="Arial"/>
          <w:color w:val="auto"/>
          <w:sz w:val="20"/>
          <w:szCs w:val="20"/>
        </w:rPr>
        <w:t>: Comparison of the EQ-VAS and EQ-indexed scores of ACS and CCS patients</w:t>
      </w:r>
      <w:r w:rsidR="00890A1F">
        <w:rPr>
          <w:rFonts w:ascii="Arial" w:hAnsi="Arial" w:cs="Arial"/>
          <w:color w:val="auto"/>
          <w:sz w:val="20"/>
          <w:szCs w:val="20"/>
        </w:rPr>
        <w:t xml:space="preserve"> demonstrated less improvement in QOL in women compared to men</w:t>
      </w:r>
      <w:r>
        <w:rPr>
          <w:rFonts w:ascii="Arial" w:hAnsi="Arial" w:cs="Arial"/>
          <w:color w:val="auto"/>
          <w:sz w:val="20"/>
          <w:szCs w:val="20"/>
        </w:rPr>
        <w:t>.</w:t>
      </w:r>
      <w:bookmarkEnd w:id="1066"/>
      <w:bookmarkEnd w:id="1067"/>
      <w:bookmarkEnd w:id="1068"/>
      <w:bookmarkEnd w:id="1069"/>
      <w:bookmarkEnd w:id="1070"/>
      <w:bookmarkEnd w:id="1071"/>
    </w:p>
    <w:p w14:paraId="28642C82" w14:textId="77777777" w:rsidR="004942B6" w:rsidRPr="00C31679" w:rsidRDefault="004942B6" w:rsidP="004942B6">
      <w:pPr>
        <w:spacing w:line="360" w:lineRule="auto"/>
        <w:jc w:val="both"/>
        <w:rPr>
          <w:rFonts w:ascii="Arial" w:hAnsi="Arial" w:cs="Arial"/>
          <w:color w:val="000000" w:themeColor="text1"/>
          <w:sz w:val="24"/>
          <w:szCs w:val="24"/>
        </w:rPr>
      </w:pPr>
    </w:p>
    <w:p w14:paraId="260C35B8" w14:textId="03140AC5" w:rsidR="004942B6" w:rsidRPr="00AC20AD" w:rsidRDefault="004942B6" w:rsidP="004942B6">
      <w:pPr>
        <w:pStyle w:val="Heading3"/>
        <w:spacing w:line="360" w:lineRule="auto"/>
        <w:rPr>
          <w:rFonts w:ascii="Arial" w:hAnsi="Arial" w:cs="Arial"/>
          <w:color w:val="4472C4" w:themeColor="accent1"/>
          <w:sz w:val="24"/>
          <w:szCs w:val="24"/>
        </w:rPr>
      </w:pPr>
      <w:bookmarkStart w:id="1072" w:name="_Toc170076081"/>
      <w:bookmarkStart w:id="1073" w:name="_Toc171203156"/>
      <w:bookmarkStart w:id="1074" w:name="_Toc171203927"/>
      <w:r w:rsidRPr="00AC20AD">
        <w:rPr>
          <w:rFonts w:ascii="Arial" w:hAnsi="Arial" w:cs="Arial"/>
          <w:color w:val="4472C4" w:themeColor="accent1"/>
          <w:sz w:val="24"/>
          <w:szCs w:val="24"/>
        </w:rPr>
        <w:t>3.</w:t>
      </w:r>
      <w:r w:rsidR="00890A1F">
        <w:rPr>
          <w:rFonts w:ascii="Arial" w:hAnsi="Arial" w:cs="Arial"/>
          <w:color w:val="4472C4" w:themeColor="accent1"/>
          <w:sz w:val="24"/>
          <w:szCs w:val="24"/>
        </w:rPr>
        <w:t>2.</w:t>
      </w:r>
      <w:r w:rsidR="00C6771B">
        <w:rPr>
          <w:rFonts w:ascii="Arial" w:hAnsi="Arial" w:cs="Arial"/>
          <w:color w:val="4472C4" w:themeColor="accent1"/>
          <w:sz w:val="24"/>
          <w:szCs w:val="24"/>
        </w:rPr>
        <w:t>6</w:t>
      </w:r>
      <w:r w:rsidRPr="00AC20AD">
        <w:rPr>
          <w:rFonts w:ascii="Arial" w:hAnsi="Arial" w:cs="Arial"/>
          <w:color w:val="4472C4" w:themeColor="accent1"/>
          <w:sz w:val="24"/>
          <w:szCs w:val="24"/>
        </w:rPr>
        <w:t xml:space="preserve"> Interval change in QOL scores in patients with diabetes</w:t>
      </w:r>
      <w:bookmarkEnd w:id="1072"/>
      <w:bookmarkEnd w:id="1073"/>
      <w:bookmarkEnd w:id="1074"/>
    </w:p>
    <w:p w14:paraId="3D759A0D" w14:textId="29FFAA17" w:rsidR="004942B6" w:rsidRDefault="004942B6" w:rsidP="004942B6">
      <w:pPr>
        <w:spacing w:line="360" w:lineRule="auto"/>
        <w:jc w:val="both"/>
        <w:rPr>
          <w:rFonts w:ascii="Arial" w:hAnsi="Arial" w:cs="Arial"/>
          <w:color w:val="000000" w:themeColor="text1"/>
          <w:sz w:val="24"/>
          <w:szCs w:val="24"/>
        </w:rPr>
      </w:pPr>
      <w:r w:rsidRPr="00C31679">
        <w:rPr>
          <w:rFonts w:ascii="Arial" w:hAnsi="Arial" w:cs="Arial"/>
          <w:color w:val="000000" w:themeColor="text1"/>
          <w:sz w:val="24"/>
          <w:szCs w:val="24"/>
        </w:rPr>
        <w:t xml:space="preserve">In patients with diabetes, there was no difference in </w:t>
      </w:r>
      <w:r>
        <w:rPr>
          <w:rFonts w:ascii="Arial" w:hAnsi="Arial" w:cs="Arial"/>
          <w:color w:val="000000" w:themeColor="text1"/>
          <w:sz w:val="24"/>
          <w:szCs w:val="24"/>
        </w:rPr>
        <w:t xml:space="preserve">QOL scores for ACS (EQ-VAS; p=0.07, EQ-indexed; p=0.49) and CCS cohorts (EQ-VAS; p=0.98, EQ-indexed; p=0.77) at one-year follow-up from the baseline (see Figure </w:t>
      </w:r>
      <w:r w:rsidR="00593588">
        <w:rPr>
          <w:rFonts w:ascii="Arial" w:hAnsi="Arial" w:cs="Arial"/>
          <w:color w:val="000000" w:themeColor="text1"/>
          <w:sz w:val="24"/>
          <w:szCs w:val="24"/>
        </w:rPr>
        <w:t>4</w:t>
      </w:r>
      <w:r w:rsidR="001823B4">
        <w:rPr>
          <w:rFonts w:ascii="Arial" w:hAnsi="Arial" w:cs="Arial"/>
          <w:color w:val="000000" w:themeColor="text1"/>
          <w:sz w:val="24"/>
          <w:szCs w:val="24"/>
        </w:rPr>
        <w:t>3</w:t>
      </w:r>
      <w:r>
        <w:rPr>
          <w:rFonts w:ascii="Arial" w:hAnsi="Arial" w:cs="Arial"/>
          <w:color w:val="000000" w:themeColor="text1"/>
          <w:sz w:val="24"/>
          <w:szCs w:val="24"/>
        </w:rPr>
        <w:t>).</w:t>
      </w:r>
    </w:p>
    <w:p w14:paraId="63A3C621" w14:textId="77777777" w:rsidR="004942B6" w:rsidRDefault="004942B6" w:rsidP="004942B6">
      <w:pPr>
        <w:spacing w:line="360" w:lineRule="auto"/>
        <w:jc w:val="both"/>
        <w:rPr>
          <w:rFonts w:ascii="Arial" w:hAnsi="Arial" w:cs="Arial"/>
          <w:color w:val="000000" w:themeColor="text1"/>
          <w:sz w:val="24"/>
          <w:szCs w:val="24"/>
        </w:rPr>
      </w:pPr>
    </w:p>
    <w:p w14:paraId="1CF4BEED" w14:textId="77777777" w:rsidR="004942B6" w:rsidRDefault="004942B6" w:rsidP="004942B6">
      <w:pPr>
        <w:keepNext/>
        <w:spacing w:line="360" w:lineRule="auto"/>
        <w:jc w:val="both"/>
      </w:pPr>
      <w:r>
        <w:rPr>
          <w:rFonts w:ascii="Arial" w:hAnsi="Arial" w:cs="Arial"/>
          <w:noProof/>
          <w:color w:val="000000" w:themeColor="text1"/>
          <w:sz w:val="24"/>
          <w:szCs w:val="24"/>
          <w:lang w:eastAsia="en-GB"/>
        </w:rPr>
        <w:lastRenderedPageBreak/>
        <w:drawing>
          <wp:inline distT="0" distB="0" distL="0" distR="0" wp14:anchorId="6B62B429" wp14:editId="44A6861A">
            <wp:extent cx="5697663" cy="4742481"/>
            <wp:effectExtent l="0" t="0" r="0" b="0"/>
            <wp:docPr id="994259478" name="Picture 2" descr="A group of boxes with different colore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59478" name="Picture 2" descr="A group of boxes with different colored lines"/>
                    <pic:cNvPicPr/>
                  </pic:nvPicPr>
                  <pic:blipFill rotWithShape="1">
                    <a:blip r:embed="rId68" cstate="print">
                      <a:extLst>
                        <a:ext uri="{28A0092B-C50C-407E-A947-70E740481C1C}">
                          <a14:useLocalDpi xmlns:a14="http://schemas.microsoft.com/office/drawing/2010/main" val="0"/>
                        </a:ext>
                      </a:extLst>
                    </a:blip>
                    <a:srcRect l="12304" r="3600"/>
                    <a:stretch/>
                  </pic:blipFill>
                  <pic:spPr bwMode="auto">
                    <a:xfrm>
                      <a:off x="0" y="0"/>
                      <a:ext cx="5703733" cy="4747534"/>
                    </a:xfrm>
                    <a:prstGeom prst="rect">
                      <a:avLst/>
                    </a:prstGeom>
                    <a:ln>
                      <a:noFill/>
                    </a:ln>
                    <a:extLst>
                      <a:ext uri="{53640926-AAD7-44D8-BBD7-CCE9431645EC}">
                        <a14:shadowObscured xmlns:a14="http://schemas.microsoft.com/office/drawing/2010/main"/>
                      </a:ext>
                    </a:extLst>
                  </pic:spPr>
                </pic:pic>
              </a:graphicData>
            </a:graphic>
          </wp:inline>
        </w:drawing>
      </w:r>
    </w:p>
    <w:p w14:paraId="3BB63A23" w14:textId="217F08BD" w:rsidR="0062184C" w:rsidRDefault="004942B6" w:rsidP="0062184C">
      <w:pPr>
        <w:pStyle w:val="Caption"/>
        <w:jc w:val="both"/>
        <w:rPr>
          <w:rFonts w:ascii="Arial" w:hAnsi="Arial" w:cs="Arial"/>
          <w:color w:val="auto"/>
          <w:sz w:val="20"/>
          <w:szCs w:val="20"/>
        </w:rPr>
      </w:pPr>
      <w:bookmarkStart w:id="1075" w:name="_Toc159318514"/>
      <w:bookmarkStart w:id="1076" w:name="_Toc159612040"/>
      <w:bookmarkStart w:id="1077" w:name="_Toc160982686"/>
      <w:bookmarkStart w:id="1078" w:name="_Toc164697512"/>
      <w:bookmarkStart w:id="1079" w:name="_Toc170744604"/>
      <w:bookmarkStart w:id="1080" w:name="_Toc196153235"/>
      <w:r w:rsidRPr="00C31679">
        <w:rPr>
          <w:rFonts w:ascii="Arial" w:hAnsi="Arial" w:cs="Arial"/>
          <w:b/>
          <w:bCs/>
          <w:color w:val="auto"/>
          <w:sz w:val="20"/>
          <w:szCs w:val="20"/>
        </w:rPr>
        <w:t xml:space="preserve">Figure </w:t>
      </w:r>
      <w:r w:rsidRPr="00C31679">
        <w:rPr>
          <w:rFonts w:ascii="Arial" w:hAnsi="Arial" w:cs="Arial"/>
          <w:b/>
          <w:bCs/>
          <w:color w:val="auto"/>
          <w:sz w:val="20"/>
          <w:szCs w:val="20"/>
        </w:rPr>
        <w:fldChar w:fldCharType="begin"/>
      </w:r>
      <w:r w:rsidRPr="00C31679">
        <w:rPr>
          <w:rFonts w:ascii="Arial" w:hAnsi="Arial" w:cs="Arial"/>
          <w:b/>
          <w:bCs/>
          <w:color w:val="auto"/>
          <w:sz w:val="20"/>
          <w:szCs w:val="20"/>
        </w:rPr>
        <w:instrText xml:space="preserve"> SEQ Figure \* ARABIC </w:instrText>
      </w:r>
      <w:r w:rsidRPr="00C31679">
        <w:rPr>
          <w:rFonts w:ascii="Arial" w:hAnsi="Arial" w:cs="Arial"/>
          <w:b/>
          <w:bCs/>
          <w:color w:val="auto"/>
          <w:sz w:val="20"/>
          <w:szCs w:val="20"/>
        </w:rPr>
        <w:fldChar w:fldCharType="separate"/>
      </w:r>
      <w:r w:rsidR="001823B4">
        <w:rPr>
          <w:rFonts w:ascii="Arial" w:hAnsi="Arial" w:cs="Arial"/>
          <w:b/>
          <w:bCs/>
          <w:noProof/>
          <w:color w:val="auto"/>
          <w:sz w:val="20"/>
          <w:szCs w:val="20"/>
        </w:rPr>
        <w:t>43</w:t>
      </w:r>
      <w:r w:rsidRPr="00C31679">
        <w:rPr>
          <w:rFonts w:ascii="Arial" w:hAnsi="Arial" w:cs="Arial"/>
          <w:b/>
          <w:bCs/>
          <w:color w:val="auto"/>
          <w:sz w:val="20"/>
          <w:szCs w:val="20"/>
        </w:rPr>
        <w:fldChar w:fldCharType="end"/>
      </w:r>
      <w:r w:rsidRPr="00C31679">
        <w:rPr>
          <w:rFonts w:ascii="Arial" w:hAnsi="Arial" w:cs="Arial"/>
          <w:color w:val="auto"/>
          <w:sz w:val="20"/>
          <w:szCs w:val="20"/>
        </w:rPr>
        <w:t>: Comparison of EQ-VAS and EQ-indexed scores for ACS and CCS patients with diabetes</w:t>
      </w:r>
      <w:r>
        <w:rPr>
          <w:rFonts w:ascii="Arial" w:hAnsi="Arial" w:cs="Arial"/>
          <w:color w:val="auto"/>
          <w:sz w:val="20"/>
          <w:szCs w:val="20"/>
        </w:rPr>
        <w:t>.</w:t>
      </w:r>
      <w:bookmarkEnd w:id="1075"/>
      <w:bookmarkEnd w:id="1076"/>
      <w:bookmarkEnd w:id="1077"/>
      <w:bookmarkEnd w:id="1078"/>
      <w:bookmarkEnd w:id="1079"/>
      <w:bookmarkEnd w:id="1080"/>
    </w:p>
    <w:p w14:paraId="50A90114" w14:textId="77777777" w:rsidR="0062184C" w:rsidRDefault="0062184C" w:rsidP="0062184C">
      <w:pPr>
        <w:pStyle w:val="Caption"/>
        <w:jc w:val="both"/>
        <w:rPr>
          <w:rFonts w:ascii="Arial" w:hAnsi="Arial" w:cs="Arial"/>
          <w:color w:val="4472C4" w:themeColor="accent1"/>
          <w:sz w:val="24"/>
          <w:szCs w:val="24"/>
        </w:rPr>
      </w:pPr>
    </w:p>
    <w:p w14:paraId="434CF68F" w14:textId="526BF0DC" w:rsidR="001B55BF" w:rsidRPr="00756636" w:rsidRDefault="004942B6" w:rsidP="001B55BF">
      <w:pPr>
        <w:pStyle w:val="Heading2"/>
        <w:spacing w:line="276" w:lineRule="auto"/>
        <w:rPr>
          <w:rFonts w:ascii="Arial" w:hAnsi="Arial" w:cs="Arial"/>
          <w:color w:val="4472C4" w:themeColor="accent1"/>
          <w:sz w:val="28"/>
          <w:szCs w:val="28"/>
        </w:rPr>
      </w:pPr>
      <w:bookmarkStart w:id="1081" w:name="_Toc171203928"/>
      <w:r w:rsidRPr="00756636">
        <w:rPr>
          <w:rFonts w:ascii="Arial" w:hAnsi="Arial" w:cs="Arial"/>
          <w:color w:val="4472C4" w:themeColor="accent1"/>
          <w:sz w:val="28"/>
          <w:szCs w:val="28"/>
        </w:rPr>
        <w:t>3.</w:t>
      </w:r>
      <w:r w:rsidR="00890A1F" w:rsidRPr="00756636">
        <w:rPr>
          <w:rFonts w:ascii="Arial" w:hAnsi="Arial" w:cs="Arial"/>
          <w:color w:val="4472C4" w:themeColor="accent1"/>
          <w:sz w:val="28"/>
          <w:szCs w:val="28"/>
        </w:rPr>
        <w:t>3</w:t>
      </w:r>
      <w:r w:rsidRPr="00756636">
        <w:rPr>
          <w:rFonts w:ascii="Arial" w:hAnsi="Arial" w:cs="Arial"/>
          <w:color w:val="4472C4" w:themeColor="accent1"/>
          <w:sz w:val="28"/>
          <w:szCs w:val="28"/>
        </w:rPr>
        <w:t xml:space="preserve"> Health economics outcomes from</w:t>
      </w:r>
      <w:r w:rsidR="00F429F4" w:rsidRPr="00756636">
        <w:rPr>
          <w:rFonts w:ascii="Arial" w:hAnsi="Arial" w:cs="Arial"/>
          <w:color w:val="4472C4" w:themeColor="accent1"/>
          <w:sz w:val="28"/>
          <w:szCs w:val="28"/>
        </w:rPr>
        <w:t xml:space="preserve"> the</w:t>
      </w:r>
      <w:r w:rsidR="00D41D7B" w:rsidRPr="00756636">
        <w:rPr>
          <w:rFonts w:ascii="Arial" w:hAnsi="Arial" w:cs="Arial"/>
          <w:color w:val="4472C4" w:themeColor="accent1"/>
          <w:sz w:val="28"/>
          <w:szCs w:val="28"/>
        </w:rPr>
        <w:t xml:space="preserve"> entire</w:t>
      </w:r>
      <w:r w:rsidRPr="00756636">
        <w:rPr>
          <w:rFonts w:ascii="Arial" w:hAnsi="Arial" w:cs="Arial"/>
          <w:color w:val="4472C4" w:themeColor="accent1"/>
          <w:sz w:val="28"/>
          <w:szCs w:val="28"/>
        </w:rPr>
        <w:t xml:space="preserve"> VIRTU-4 </w:t>
      </w:r>
      <w:r w:rsidR="004E5D54" w:rsidRPr="00756636">
        <w:rPr>
          <w:rFonts w:ascii="Arial" w:hAnsi="Arial" w:cs="Arial"/>
          <w:color w:val="4472C4" w:themeColor="accent1"/>
          <w:sz w:val="28"/>
          <w:szCs w:val="28"/>
        </w:rPr>
        <w:t>HE</w:t>
      </w:r>
      <w:bookmarkStart w:id="1082" w:name="_Toc159613618"/>
      <w:bookmarkStart w:id="1083" w:name="_Toc160981279"/>
      <w:bookmarkEnd w:id="1081"/>
    </w:p>
    <w:p w14:paraId="317E248A" w14:textId="77777777" w:rsidR="001B55BF" w:rsidRPr="00756636" w:rsidRDefault="001B55BF" w:rsidP="001B55BF">
      <w:pPr>
        <w:rPr>
          <w:color w:val="4472C4" w:themeColor="accent1"/>
        </w:rPr>
      </w:pPr>
    </w:p>
    <w:p w14:paraId="748DDCC3" w14:textId="5FCAA7AC" w:rsidR="00E2228E" w:rsidRPr="00756636" w:rsidRDefault="004942B6" w:rsidP="00E2228E">
      <w:pPr>
        <w:pStyle w:val="Heading3"/>
        <w:rPr>
          <w:rFonts w:ascii="Arial" w:hAnsi="Arial" w:cs="Arial"/>
          <w:color w:val="4472C4" w:themeColor="accent1"/>
          <w:sz w:val="24"/>
          <w:szCs w:val="24"/>
        </w:rPr>
      </w:pPr>
      <w:bookmarkStart w:id="1084" w:name="_Toc171203929"/>
      <w:r w:rsidRPr="00756636">
        <w:rPr>
          <w:rFonts w:ascii="Arial" w:hAnsi="Arial" w:cs="Arial"/>
          <w:color w:val="4472C4" w:themeColor="accent1"/>
          <w:sz w:val="24"/>
          <w:szCs w:val="24"/>
        </w:rPr>
        <w:t>3.</w:t>
      </w:r>
      <w:r w:rsidR="00890A1F" w:rsidRPr="00756636">
        <w:rPr>
          <w:rFonts w:ascii="Arial" w:hAnsi="Arial" w:cs="Arial"/>
          <w:color w:val="4472C4" w:themeColor="accent1"/>
          <w:sz w:val="24"/>
          <w:szCs w:val="24"/>
        </w:rPr>
        <w:t>3</w:t>
      </w:r>
      <w:r w:rsidRPr="00756636">
        <w:rPr>
          <w:rFonts w:ascii="Arial" w:hAnsi="Arial" w:cs="Arial"/>
          <w:color w:val="4472C4" w:themeColor="accent1"/>
          <w:sz w:val="24"/>
          <w:szCs w:val="24"/>
        </w:rPr>
        <w:t xml:space="preserve">.1 Total cost of the healthcare </w:t>
      </w:r>
      <w:r w:rsidR="002640A3" w:rsidRPr="00756636">
        <w:rPr>
          <w:rFonts w:ascii="Arial" w:hAnsi="Arial" w:cs="Arial"/>
          <w:color w:val="4472C4" w:themeColor="accent1"/>
          <w:sz w:val="24"/>
          <w:szCs w:val="24"/>
        </w:rPr>
        <w:t>for</w:t>
      </w:r>
      <w:r w:rsidR="00F87BD0" w:rsidRPr="00756636">
        <w:rPr>
          <w:rFonts w:ascii="Arial" w:hAnsi="Arial" w:cs="Arial"/>
          <w:color w:val="4472C4" w:themeColor="accent1"/>
          <w:sz w:val="24"/>
          <w:szCs w:val="24"/>
        </w:rPr>
        <w:t xml:space="preserve"> </w:t>
      </w:r>
      <w:r w:rsidR="002640A3" w:rsidRPr="00756636">
        <w:rPr>
          <w:rFonts w:ascii="Arial" w:hAnsi="Arial" w:cs="Arial"/>
          <w:color w:val="4472C4" w:themeColor="accent1"/>
          <w:sz w:val="24"/>
          <w:szCs w:val="24"/>
        </w:rPr>
        <w:t xml:space="preserve">entire </w:t>
      </w:r>
      <w:r w:rsidRPr="00756636">
        <w:rPr>
          <w:rFonts w:ascii="Arial" w:hAnsi="Arial" w:cs="Arial"/>
          <w:color w:val="4472C4" w:themeColor="accent1"/>
          <w:sz w:val="24"/>
          <w:szCs w:val="24"/>
        </w:rPr>
        <w:t xml:space="preserve">VIRTU-4 </w:t>
      </w:r>
      <w:r w:rsidR="004E5D54" w:rsidRPr="00756636">
        <w:rPr>
          <w:rFonts w:ascii="Arial" w:hAnsi="Arial" w:cs="Arial"/>
          <w:color w:val="4472C4" w:themeColor="accent1"/>
          <w:sz w:val="24"/>
          <w:szCs w:val="24"/>
        </w:rPr>
        <w:t>HE</w:t>
      </w:r>
      <w:bookmarkEnd w:id="1084"/>
      <w:r w:rsidR="004E5D54" w:rsidRPr="00756636">
        <w:rPr>
          <w:rFonts w:ascii="Arial" w:hAnsi="Arial" w:cs="Arial"/>
          <w:color w:val="4472C4" w:themeColor="accent1"/>
          <w:sz w:val="24"/>
          <w:szCs w:val="24"/>
        </w:rPr>
        <w:t xml:space="preserve"> </w:t>
      </w:r>
      <w:bookmarkStart w:id="1085" w:name="_Toc151222940"/>
      <w:bookmarkStart w:id="1086" w:name="_Toc151630623"/>
      <w:bookmarkEnd w:id="1082"/>
      <w:bookmarkEnd w:id="1083"/>
    </w:p>
    <w:p w14:paraId="06A8C8A9" w14:textId="1A80F5A5" w:rsidR="004942B6" w:rsidRPr="0062184C" w:rsidRDefault="004942B6" w:rsidP="0062184C">
      <w:pPr>
        <w:pStyle w:val="Caption"/>
        <w:spacing w:line="360" w:lineRule="auto"/>
        <w:jc w:val="both"/>
        <w:rPr>
          <w:rFonts w:ascii="Arial" w:hAnsi="Arial" w:cs="Arial"/>
          <w:i w:val="0"/>
          <w:iCs w:val="0"/>
          <w:color w:val="000000" w:themeColor="text1"/>
          <w:sz w:val="20"/>
          <w:szCs w:val="20"/>
        </w:rPr>
      </w:pPr>
      <w:r w:rsidRPr="0062184C">
        <w:rPr>
          <w:rFonts w:ascii="Arial" w:hAnsi="Arial" w:cs="Arial"/>
          <w:i w:val="0"/>
          <w:iCs w:val="0"/>
          <w:color w:val="auto"/>
          <w:sz w:val="24"/>
          <w:szCs w:val="24"/>
        </w:rPr>
        <w:t xml:space="preserve">For each patient followed up, the costs of the index procedure, hospital re-admission, repeat revascularisation, outpatient visits and investigations, and cardiac rehabilitation were calculated to obtain the total cost of the complete followed-up cohort in VIRTU-4 </w:t>
      </w:r>
      <w:r w:rsidR="004E5D54">
        <w:rPr>
          <w:rFonts w:ascii="Arial" w:hAnsi="Arial" w:cs="Arial"/>
          <w:i w:val="0"/>
          <w:iCs w:val="0"/>
          <w:color w:val="auto"/>
          <w:sz w:val="24"/>
          <w:szCs w:val="24"/>
        </w:rPr>
        <w:t xml:space="preserve">HE </w:t>
      </w:r>
      <w:r w:rsidRPr="0062184C">
        <w:rPr>
          <w:rFonts w:ascii="Arial" w:hAnsi="Arial" w:cs="Arial"/>
          <w:i w:val="0"/>
          <w:iCs w:val="0"/>
          <w:color w:val="auto"/>
          <w:sz w:val="24"/>
          <w:szCs w:val="24"/>
        </w:rPr>
        <w:t>(n=266). The total cost of followed-up patients in VIRTU-4</w:t>
      </w:r>
      <w:r w:rsidR="004E5D54">
        <w:rPr>
          <w:rFonts w:ascii="Arial" w:hAnsi="Arial" w:cs="Arial"/>
          <w:i w:val="0"/>
          <w:iCs w:val="0"/>
          <w:color w:val="auto"/>
          <w:sz w:val="24"/>
          <w:szCs w:val="24"/>
        </w:rPr>
        <w:t xml:space="preserve"> HE</w:t>
      </w:r>
      <w:r w:rsidRPr="0062184C">
        <w:rPr>
          <w:rFonts w:ascii="Arial" w:hAnsi="Arial" w:cs="Arial"/>
          <w:i w:val="0"/>
          <w:iCs w:val="0"/>
          <w:color w:val="auto"/>
          <w:sz w:val="24"/>
          <w:szCs w:val="24"/>
        </w:rPr>
        <w:t xml:space="preserve"> is summarised according to the management plans (OMT, PCI, and CABG) in Table 13 and Figure </w:t>
      </w:r>
      <w:r w:rsidR="00F87BD0">
        <w:rPr>
          <w:rFonts w:ascii="Arial" w:hAnsi="Arial" w:cs="Arial"/>
          <w:i w:val="0"/>
          <w:iCs w:val="0"/>
          <w:color w:val="auto"/>
          <w:sz w:val="24"/>
          <w:szCs w:val="24"/>
        </w:rPr>
        <w:t>4</w:t>
      </w:r>
      <w:r w:rsidR="001823B4">
        <w:rPr>
          <w:rFonts w:ascii="Arial" w:hAnsi="Arial" w:cs="Arial"/>
          <w:i w:val="0"/>
          <w:iCs w:val="0"/>
          <w:color w:val="auto"/>
          <w:sz w:val="24"/>
          <w:szCs w:val="24"/>
        </w:rPr>
        <w:t>4</w:t>
      </w:r>
      <w:r w:rsidRPr="0062184C">
        <w:rPr>
          <w:rFonts w:ascii="Arial" w:hAnsi="Arial" w:cs="Arial"/>
          <w:i w:val="0"/>
          <w:iCs w:val="0"/>
          <w:color w:val="auto"/>
          <w:sz w:val="24"/>
          <w:szCs w:val="24"/>
        </w:rPr>
        <w:t xml:space="preserve">. </w:t>
      </w:r>
    </w:p>
    <w:p w14:paraId="1426B4F1" w14:textId="77777777" w:rsidR="004942B6" w:rsidRPr="0062184C" w:rsidRDefault="004942B6" w:rsidP="0062184C">
      <w:pPr>
        <w:pStyle w:val="Caption"/>
        <w:keepNext/>
        <w:spacing w:line="360" w:lineRule="auto"/>
        <w:jc w:val="both"/>
        <w:rPr>
          <w:rFonts w:ascii="Arial" w:hAnsi="Arial" w:cs="Arial"/>
          <w:b/>
          <w:bCs/>
          <w:i w:val="0"/>
          <w:iCs w:val="0"/>
          <w:color w:val="auto"/>
          <w:sz w:val="24"/>
          <w:szCs w:val="24"/>
        </w:rPr>
      </w:pPr>
    </w:p>
    <w:p w14:paraId="260BF23A" w14:textId="77777777" w:rsidR="0062184C" w:rsidRPr="0062184C" w:rsidRDefault="0062184C" w:rsidP="0062184C">
      <w:pPr>
        <w:spacing w:line="360" w:lineRule="auto"/>
        <w:jc w:val="both"/>
      </w:pPr>
    </w:p>
    <w:p w14:paraId="62B809C1" w14:textId="77777777" w:rsidR="0062184C" w:rsidRPr="0062184C" w:rsidRDefault="0062184C" w:rsidP="0062184C">
      <w:pPr>
        <w:spacing w:line="360" w:lineRule="auto"/>
        <w:jc w:val="both"/>
      </w:pPr>
    </w:p>
    <w:p w14:paraId="2BF84836" w14:textId="4C1FB21F" w:rsidR="004942B6" w:rsidRPr="0062184C" w:rsidRDefault="004942B6" w:rsidP="0062184C">
      <w:pPr>
        <w:pStyle w:val="Caption"/>
        <w:keepNext/>
        <w:spacing w:line="360" w:lineRule="auto"/>
        <w:jc w:val="both"/>
        <w:rPr>
          <w:rFonts w:ascii="Arial" w:hAnsi="Arial" w:cs="Arial"/>
          <w:color w:val="auto"/>
          <w:sz w:val="20"/>
          <w:szCs w:val="20"/>
        </w:rPr>
      </w:pPr>
      <w:bookmarkStart w:id="1087" w:name="_Toc152340583"/>
      <w:bookmarkStart w:id="1088" w:name="_Toc152598059"/>
      <w:bookmarkStart w:id="1089" w:name="_Toc153725845"/>
      <w:bookmarkStart w:id="1090" w:name="_Toc159318288"/>
      <w:bookmarkStart w:id="1091" w:name="_Toc159610323"/>
      <w:bookmarkStart w:id="1092" w:name="_Toc164699080"/>
      <w:bookmarkStart w:id="1093" w:name="_Toc171206723"/>
      <w:r w:rsidRPr="0062184C">
        <w:rPr>
          <w:rFonts w:ascii="Arial" w:hAnsi="Arial" w:cs="Arial"/>
          <w:b/>
          <w:bCs/>
          <w:color w:val="auto"/>
          <w:sz w:val="20"/>
          <w:szCs w:val="20"/>
        </w:rPr>
        <w:t xml:space="preserve">Table </w:t>
      </w:r>
      <w:r w:rsidR="0008140A">
        <w:rPr>
          <w:rFonts w:ascii="Arial" w:hAnsi="Arial" w:cs="Arial"/>
          <w:b/>
          <w:bCs/>
          <w:color w:val="auto"/>
          <w:sz w:val="20"/>
          <w:szCs w:val="20"/>
        </w:rPr>
        <w:t>13</w:t>
      </w:r>
      <w:r w:rsidRPr="0062184C">
        <w:rPr>
          <w:rFonts w:ascii="Arial" w:hAnsi="Arial" w:cs="Arial"/>
          <w:color w:val="auto"/>
          <w:sz w:val="20"/>
          <w:szCs w:val="20"/>
        </w:rPr>
        <w:t>: Summary of the total costs of followed-up patients in VIRTU-4 at one-year follow-up, according to the management plans (OMT, PCI, CABG)</w:t>
      </w:r>
      <w:bookmarkEnd w:id="1085"/>
      <w:bookmarkEnd w:id="1086"/>
      <w:bookmarkEnd w:id="1087"/>
      <w:bookmarkEnd w:id="1088"/>
      <w:bookmarkEnd w:id="1089"/>
      <w:bookmarkEnd w:id="1090"/>
      <w:bookmarkEnd w:id="1091"/>
      <w:bookmarkEnd w:id="1092"/>
      <w:bookmarkEnd w:id="1093"/>
    </w:p>
    <w:tbl>
      <w:tblPr>
        <w:tblStyle w:val="TableGrid"/>
        <w:tblW w:w="9679" w:type="dxa"/>
        <w:tblInd w:w="-318" w:type="dxa"/>
        <w:tblLook w:val="04A0" w:firstRow="1" w:lastRow="0" w:firstColumn="1" w:lastColumn="0" w:noHBand="0" w:noVBand="1"/>
      </w:tblPr>
      <w:tblGrid>
        <w:gridCol w:w="2411"/>
        <w:gridCol w:w="2551"/>
        <w:gridCol w:w="2450"/>
        <w:gridCol w:w="2267"/>
      </w:tblGrid>
      <w:tr w:rsidR="004942B6" w:rsidRPr="0062184C" w14:paraId="5AD55DAC" w14:textId="77777777" w:rsidTr="002C2525">
        <w:trPr>
          <w:trHeight w:val="618"/>
        </w:trPr>
        <w:tc>
          <w:tcPr>
            <w:tcW w:w="2411" w:type="dxa"/>
          </w:tcPr>
          <w:p w14:paraId="6EF6FE1B" w14:textId="77777777" w:rsidR="004942B6" w:rsidRPr="0062184C" w:rsidRDefault="004942B6" w:rsidP="0062184C">
            <w:pPr>
              <w:spacing w:line="360" w:lineRule="auto"/>
              <w:jc w:val="both"/>
              <w:rPr>
                <w:rFonts w:ascii="Arial" w:hAnsi="Arial" w:cs="Arial"/>
                <w:b/>
                <w:bCs/>
                <w:sz w:val="24"/>
                <w:szCs w:val="24"/>
              </w:rPr>
            </w:pPr>
            <w:r w:rsidRPr="0062184C">
              <w:rPr>
                <w:rFonts w:ascii="Arial" w:hAnsi="Arial" w:cs="Arial"/>
                <w:b/>
                <w:bCs/>
                <w:sz w:val="24"/>
                <w:szCs w:val="24"/>
              </w:rPr>
              <w:t>Treatment group</w:t>
            </w:r>
          </w:p>
        </w:tc>
        <w:tc>
          <w:tcPr>
            <w:tcW w:w="2551" w:type="dxa"/>
          </w:tcPr>
          <w:p w14:paraId="147F3E62" w14:textId="77777777" w:rsidR="004942B6" w:rsidRPr="0062184C" w:rsidRDefault="004942B6" w:rsidP="0062184C">
            <w:pPr>
              <w:spacing w:line="360" w:lineRule="auto"/>
              <w:jc w:val="both"/>
              <w:rPr>
                <w:rFonts w:ascii="Arial" w:hAnsi="Arial" w:cs="Arial"/>
                <w:b/>
                <w:bCs/>
                <w:sz w:val="24"/>
                <w:szCs w:val="24"/>
              </w:rPr>
            </w:pPr>
            <w:r w:rsidRPr="0062184C">
              <w:rPr>
                <w:rFonts w:ascii="Arial" w:hAnsi="Arial" w:cs="Arial"/>
                <w:b/>
                <w:bCs/>
                <w:sz w:val="24"/>
                <w:szCs w:val="24"/>
              </w:rPr>
              <w:t>Outcomes</w:t>
            </w:r>
          </w:p>
        </w:tc>
        <w:tc>
          <w:tcPr>
            <w:tcW w:w="2450" w:type="dxa"/>
          </w:tcPr>
          <w:p w14:paraId="7088F0B8" w14:textId="4BE026BA" w:rsidR="004942B6" w:rsidRPr="0062184C" w:rsidRDefault="004942B6" w:rsidP="00B65717">
            <w:pPr>
              <w:spacing w:line="360" w:lineRule="auto"/>
              <w:jc w:val="both"/>
              <w:rPr>
                <w:rFonts w:ascii="Arial" w:hAnsi="Arial" w:cs="Arial"/>
                <w:b/>
                <w:bCs/>
                <w:sz w:val="24"/>
                <w:szCs w:val="24"/>
              </w:rPr>
            </w:pPr>
            <w:r w:rsidRPr="0062184C">
              <w:rPr>
                <w:rFonts w:ascii="Arial" w:hAnsi="Arial" w:cs="Arial"/>
                <w:b/>
                <w:bCs/>
                <w:sz w:val="24"/>
                <w:szCs w:val="24"/>
              </w:rPr>
              <w:t xml:space="preserve">Total costs </w:t>
            </w:r>
          </w:p>
        </w:tc>
        <w:tc>
          <w:tcPr>
            <w:tcW w:w="2267" w:type="dxa"/>
          </w:tcPr>
          <w:p w14:paraId="5087A8BF" w14:textId="77777777" w:rsidR="004942B6" w:rsidRPr="0062184C" w:rsidRDefault="004942B6" w:rsidP="0062184C">
            <w:pPr>
              <w:spacing w:line="360" w:lineRule="auto"/>
              <w:jc w:val="both"/>
              <w:rPr>
                <w:rFonts w:ascii="Arial" w:hAnsi="Arial" w:cs="Arial"/>
                <w:b/>
                <w:bCs/>
                <w:sz w:val="24"/>
                <w:szCs w:val="24"/>
              </w:rPr>
            </w:pPr>
            <w:r w:rsidRPr="0062184C">
              <w:rPr>
                <w:rFonts w:ascii="Arial" w:hAnsi="Arial" w:cs="Arial"/>
                <w:b/>
                <w:bCs/>
                <w:sz w:val="24"/>
                <w:szCs w:val="24"/>
              </w:rPr>
              <w:t>Cost per patient (average)</w:t>
            </w:r>
          </w:p>
          <w:p w14:paraId="7F61826C" w14:textId="77777777" w:rsidR="004942B6" w:rsidRPr="0062184C" w:rsidRDefault="004942B6" w:rsidP="0062184C">
            <w:pPr>
              <w:spacing w:line="360" w:lineRule="auto"/>
              <w:jc w:val="both"/>
              <w:rPr>
                <w:rFonts w:ascii="Arial" w:hAnsi="Arial" w:cs="Arial"/>
                <w:b/>
                <w:bCs/>
                <w:sz w:val="24"/>
                <w:szCs w:val="24"/>
              </w:rPr>
            </w:pPr>
          </w:p>
        </w:tc>
      </w:tr>
      <w:tr w:rsidR="004942B6" w:rsidRPr="0062184C" w14:paraId="6F0A57FD" w14:textId="77777777" w:rsidTr="002C2525">
        <w:trPr>
          <w:trHeight w:val="302"/>
        </w:trPr>
        <w:tc>
          <w:tcPr>
            <w:tcW w:w="2411" w:type="dxa"/>
            <w:vMerge w:val="restart"/>
          </w:tcPr>
          <w:p w14:paraId="467773D0" w14:textId="77777777" w:rsidR="004942B6" w:rsidRPr="00F429F4" w:rsidRDefault="004942B6" w:rsidP="0062184C">
            <w:pPr>
              <w:spacing w:line="360" w:lineRule="auto"/>
              <w:jc w:val="both"/>
              <w:rPr>
                <w:rFonts w:ascii="Arial" w:hAnsi="Arial" w:cs="Arial"/>
                <w:b/>
                <w:bCs/>
              </w:rPr>
            </w:pPr>
            <w:r w:rsidRPr="00F429F4">
              <w:rPr>
                <w:rFonts w:ascii="Arial" w:hAnsi="Arial" w:cs="Arial"/>
                <w:b/>
                <w:bCs/>
              </w:rPr>
              <w:t>ACS (n=180)</w:t>
            </w:r>
          </w:p>
        </w:tc>
        <w:tc>
          <w:tcPr>
            <w:tcW w:w="2551" w:type="dxa"/>
          </w:tcPr>
          <w:p w14:paraId="6FA2D4B7" w14:textId="77777777" w:rsidR="004942B6" w:rsidRPr="00F429F4" w:rsidRDefault="004942B6" w:rsidP="0062184C">
            <w:pPr>
              <w:spacing w:line="360" w:lineRule="auto"/>
              <w:jc w:val="both"/>
              <w:rPr>
                <w:rFonts w:ascii="Arial" w:hAnsi="Arial" w:cs="Arial"/>
              </w:rPr>
            </w:pPr>
            <w:r w:rsidRPr="00F429F4">
              <w:rPr>
                <w:rFonts w:ascii="Arial" w:hAnsi="Arial" w:cs="Arial"/>
              </w:rPr>
              <w:t>OMT (n=39)</w:t>
            </w:r>
          </w:p>
        </w:tc>
        <w:tc>
          <w:tcPr>
            <w:tcW w:w="2450" w:type="dxa"/>
          </w:tcPr>
          <w:p w14:paraId="54C76EBC" w14:textId="77777777" w:rsidR="004942B6" w:rsidRPr="00F429F4" w:rsidRDefault="004942B6" w:rsidP="0062184C">
            <w:pPr>
              <w:spacing w:line="360" w:lineRule="auto"/>
              <w:jc w:val="both"/>
              <w:rPr>
                <w:rFonts w:ascii="Arial" w:hAnsi="Arial" w:cs="Arial"/>
              </w:rPr>
            </w:pPr>
            <w:r w:rsidRPr="00F429F4">
              <w:rPr>
                <w:rFonts w:ascii="Arial" w:hAnsi="Arial" w:cs="Arial"/>
              </w:rPr>
              <w:t>£80516</w:t>
            </w:r>
          </w:p>
        </w:tc>
        <w:tc>
          <w:tcPr>
            <w:tcW w:w="2267" w:type="dxa"/>
          </w:tcPr>
          <w:p w14:paraId="01EFFEB0" w14:textId="77777777" w:rsidR="004942B6" w:rsidRPr="00F429F4" w:rsidRDefault="004942B6" w:rsidP="0062184C">
            <w:pPr>
              <w:spacing w:line="360" w:lineRule="auto"/>
              <w:jc w:val="both"/>
              <w:rPr>
                <w:rFonts w:ascii="Arial" w:hAnsi="Arial" w:cs="Arial"/>
              </w:rPr>
            </w:pPr>
            <w:r w:rsidRPr="00F429F4">
              <w:rPr>
                <w:rFonts w:ascii="Arial" w:hAnsi="Arial" w:cs="Arial"/>
              </w:rPr>
              <w:t>£2064.5</w:t>
            </w:r>
          </w:p>
        </w:tc>
      </w:tr>
      <w:tr w:rsidR="004942B6" w:rsidRPr="0062184C" w14:paraId="76DA350D" w14:textId="77777777" w:rsidTr="002C2525">
        <w:trPr>
          <w:trHeight w:val="302"/>
        </w:trPr>
        <w:tc>
          <w:tcPr>
            <w:tcW w:w="2411" w:type="dxa"/>
            <w:vMerge/>
          </w:tcPr>
          <w:p w14:paraId="7ADE6BA3" w14:textId="77777777" w:rsidR="004942B6" w:rsidRPr="00F429F4" w:rsidRDefault="004942B6" w:rsidP="0062184C">
            <w:pPr>
              <w:spacing w:line="360" w:lineRule="auto"/>
              <w:jc w:val="both"/>
              <w:rPr>
                <w:rFonts w:ascii="Arial" w:hAnsi="Arial" w:cs="Arial"/>
                <w:b/>
                <w:bCs/>
              </w:rPr>
            </w:pPr>
          </w:p>
        </w:tc>
        <w:tc>
          <w:tcPr>
            <w:tcW w:w="2551" w:type="dxa"/>
          </w:tcPr>
          <w:p w14:paraId="41D43E2E" w14:textId="77777777" w:rsidR="004942B6" w:rsidRPr="00F429F4" w:rsidRDefault="004942B6" w:rsidP="0062184C">
            <w:pPr>
              <w:spacing w:line="360" w:lineRule="auto"/>
              <w:jc w:val="both"/>
              <w:rPr>
                <w:rFonts w:ascii="Arial" w:hAnsi="Arial" w:cs="Arial"/>
              </w:rPr>
            </w:pPr>
            <w:r w:rsidRPr="00F429F4">
              <w:rPr>
                <w:rFonts w:ascii="Arial" w:hAnsi="Arial" w:cs="Arial"/>
              </w:rPr>
              <w:t>PCI (n=131)</w:t>
            </w:r>
          </w:p>
        </w:tc>
        <w:tc>
          <w:tcPr>
            <w:tcW w:w="2450" w:type="dxa"/>
          </w:tcPr>
          <w:p w14:paraId="06624F32" w14:textId="77777777" w:rsidR="004942B6" w:rsidRPr="00F429F4" w:rsidRDefault="004942B6" w:rsidP="0062184C">
            <w:pPr>
              <w:spacing w:line="360" w:lineRule="auto"/>
              <w:jc w:val="both"/>
              <w:rPr>
                <w:rFonts w:ascii="Arial" w:hAnsi="Arial" w:cs="Arial"/>
              </w:rPr>
            </w:pPr>
            <w:r w:rsidRPr="00F429F4">
              <w:rPr>
                <w:rFonts w:ascii="Arial" w:hAnsi="Arial" w:cs="Arial"/>
              </w:rPr>
              <w:t>£354522</w:t>
            </w:r>
          </w:p>
        </w:tc>
        <w:tc>
          <w:tcPr>
            <w:tcW w:w="2267" w:type="dxa"/>
          </w:tcPr>
          <w:p w14:paraId="0484D489" w14:textId="77777777" w:rsidR="004942B6" w:rsidRPr="00F429F4" w:rsidRDefault="004942B6" w:rsidP="0062184C">
            <w:pPr>
              <w:spacing w:line="360" w:lineRule="auto"/>
              <w:jc w:val="both"/>
              <w:rPr>
                <w:rFonts w:ascii="Arial" w:hAnsi="Arial" w:cs="Arial"/>
              </w:rPr>
            </w:pPr>
            <w:r w:rsidRPr="00F429F4">
              <w:rPr>
                <w:rFonts w:ascii="Arial" w:hAnsi="Arial" w:cs="Arial"/>
              </w:rPr>
              <w:t>£2706.2</w:t>
            </w:r>
          </w:p>
        </w:tc>
      </w:tr>
      <w:tr w:rsidR="004942B6" w:rsidRPr="0062184C" w14:paraId="37F1DB89" w14:textId="77777777" w:rsidTr="002C2525">
        <w:trPr>
          <w:trHeight w:val="302"/>
        </w:trPr>
        <w:tc>
          <w:tcPr>
            <w:tcW w:w="2411" w:type="dxa"/>
            <w:vMerge/>
          </w:tcPr>
          <w:p w14:paraId="2C323726" w14:textId="77777777" w:rsidR="004942B6" w:rsidRPr="00F429F4" w:rsidRDefault="004942B6" w:rsidP="0062184C">
            <w:pPr>
              <w:spacing w:line="360" w:lineRule="auto"/>
              <w:jc w:val="both"/>
              <w:rPr>
                <w:rFonts w:ascii="Arial" w:hAnsi="Arial" w:cs="Arial"/>
                <w:b/>
                <w:bCs/>
              </w:rPr>
            </w:pPr>
          </w:p>
        </w:tc>
        <w:tc>
          <w:tcPr>
            <w:tcW w:w="2551" w:type="dxa"/>
          </w:tcPr>
          <w:p w14:paraId="1D7A775C" w14:textId="77777777" w:rsidR="004942B6" w:rsidRPr="00F429F4" w:rsidRDefault="004942B6" w:rsidP="0062184C">
            <w:pPr>
              <w:spacing w:line="360" w:lineRule="auto"/>
              <w:jc w:val="both"/>
              <w:rPr>
                <w:rFonts w:ascii="Arial" w:hAnsi="Arial" w:cs="Arial"/>
              </w:rPr>
            </w:pPr>
            <w:r w:rsidRPr="00F429F4">
              <w:rPr>
                <w:rFonts w:ascii="Arial" w:hAnsi="Arial" w:cs="Arial"/>
              </w:rPr>
              <w:t>CABG (n=10)</w:t>
            </w:r>
          </w:p>
        </w:tc>
        <w:tc>
          <w:tcPr>
            <w:tcW w:w="2450" w:type="dxa"/>
          </w:tcPr>
          <w:p w14:paraId="7E41D3FE" w14:textId="77777777" w:rsidR="004942B6" w:rsidRPr="00F429F4" w:rsidRDefault="004942B6" w:rsidP="0062184C">
            <w:pPr>
              <w:spacing w:line="360" w:lineRule="auto"/>
              <w:jc w:val="both"/>
              <w:rPr>
                <w:rFonts w:ascii="Arial" w:hAnsi="Arial" w:cs="Arial"/>
              </w:rPr>
            </w:pPr>
            <w:r w:rsidRPr="00F429F4">
              <w:rPr>
                <w:rFonts w:ascii="Arial" w:hAnsi="Arial" w:cs="Arial"/>
              </w:rPr>
              <w:t>£159203</w:t>
            </w:r>
          </w:p>
        </w:tc>
        <w:tc>
          <w:tcPr>
            <w:tcW w:w="2267" w:type="dxa"/>
          </w:tcPr>
          <w:p w14:paraId="3E6EB3BB" w14:textId="77777777" w:rsidR="004942B6" w:rsidRPr="00F429F4" w:rsidRDefault="004942B6" w:rsidP="0062184C">
            <w:pPr>
              <w:spacing w:line="360" w:lineRule="auto"/>
              <w:jc w:val="both"/>
              <w:rPr>
                <w:rFonts w:ascii="Arial" w:hAnsi="Arial" w:cs="Arial"/>
              </w:rPr>
            </w:pPr>
            <w:r w:rsidRPr="00F429F4">
              <w:rPr>
                <w:rFonts w:ascii="Arial" w:hAnsi="Arial" w:cs="Arial"/>
              </w:rPr>
              <w:t>£15920.3</w:t>
            </w:r>
          </w:p>
        </w:tc>
      </w:tr>
      <w:tr w:rsidR="004942B6" w:rsidRPr="0062184C" w14:paraId="489AE0BC" w14:textId="77777777" w:rsidTr="002C2525">
        <w:trPr>
          <w:trHeight w:val="315"/>
        </w:trPr>
        <w:tc>
          <w:tcPr>
            <w:tcW w:w="9679" w:type="dxa"/>
            <w:gridSpan w:val="4"/>
          </w:tcPr>
          <w:p w14:paraId="547FDF00" w14:textId="77777777" w:rsidR="004942B6" w:rsidRPr="00F429F4" w:rsidRDefault="004942B6" w:rsidP="0062184C">
            <w:pPr>
              <w:spacing w:line="360" w:lineRule="auto"/>
              <w:jc w:val="both"/>
              <w:rPr>
                <w:rFonts w:ascii="Arial" w:hAnsi="Arial" w:cs="Arial"/>
              </w:rPr>
            </w:pPr>
          </w:p>
        </w:tc>
      </w:tr>
      <w:tr w:rsidR="004942B6" w:rsidRPr="0062184C" w14:paraId="23164D14" w14:textId="77777777" w:rsidTr="002C2525">
        <w:trPr>
          <w:trHeight w:val="302"/>
        </w:trPr>
        <w:tc>
          <w:tcPr>
            <w:tcW w:w="2411" w:type="dxa"/>
            <w:vMerge w:val="restart"/>
          </w:tcPr>
          <w:p w14:paraId="78AC6F0D" w14:textId="77777777" w:rsidR="004942B6" w:rsidRPr="00F429F4" w:rsidRDefault="004942B6" w:rsidP="0062184C">
            <w:pPr>
              <w:spacing w:line="360" w:lineRule="auto"/>
              <w:jc w:val="both"/>
              <w:rPr>
                <w:rFonts w:ascii="Arial" w:hAnsi="Arial" w:cs="Arial"/>
                <w:b/>
                <w:bCs/>
              </w:rPr>
            </w:pPr>
            <w:r w:rsidRPr="00F429F4">
              <w:rPr>
                <w:rFonts w:ascii="Arial" w:hAnsi="Arial" w:cs="Arial"/>
                <w:b/>
                <w:bCs/>
              </w:rPr>
              <w:t>CCS (n=86)</w:t>
            </w:r>
          </w:p>
        </w:tc>
        <w:tc>
          <w:tcPr>
            <w:tcW w:w="2551" w:type="dxa"/>
          </w:tcPr>
          <w:p w14:paraId="0A2D2F00" w14:textId="77777777" w:rsidR="004942B6" w:rsidRPr="00F429F4" w:rsidRDefault="004942B6" w:rsidP="0062184C">
            <w:pPr>
              <w:spacing w:line="360" w:lineRule="auto"/>
              <w:jc w:val="both"/>
              <w:rPr>
                <w:rFonts w:ascii="Arial" w:hAnsi="Arial" w:cs="Arial"/>
              </w:rPr>
            </w:pPr>
            <w:r w:rsidRPr="00F429F4">
              <w:rPr>
                <w:rFonts w:ascii="Arial" w:hAnsi="Arial" w:cs="Arial"/>
              </w:rPr>
              <w:t>OMT (n=54)</w:t>
            </w:r>
          </w:p>
        </w:tc>
        <w:tc>
          <w:tcPr>
            <w:tcW w:w="2450" w:type="dxa"/>
          </w:tcPr>
          <w:p w14:paraId="0270CE6C" w14:textId="77777777" w:rsidR="004942B6" w:rsidRPr="00F429F4" w:rsidRDefault="004942B6" w:rsidP="0062184C">
            <w:pPr>
              <w:spacing w:line="360" w:lineRule="auto"/>
              <w:jc w:val="both"/>
              <w:rPr>
                <w:rFonts w:ascii="Arial" w:hAnsi="Arial" w:cs="Arial"/>
              </w:rPr>
            </w:pPr>
            <w:r w:rsidRPr="00F429F4">
              <w:rPr>
                <w:rFonts w:ascii="Arial" w:hAnsi="Arial" w:cs="Arial"/>
              </w:rPr>
              <w:t>£55341</w:t>
            </w:r>
          </w:p>
        </w:tc>
        <w:tc>
          <w:tcPr>
            <w:tcW w:w="2267" w:type="dxa"/>
          </w:tcPr>
          <w:p w14:paraId="3CABBA49" w14:textId="77777777" w:rsidR="004942B6" w:rsidRPr="00F429F4" w:rsidRDefault="004942B6" w:rsidP="0062184C">
            <w:pPr>
              <w:spacing w:line="360" w:lineRule="auto"/>
              <w:jc w:val="both"/>
              <w:rPr>
                <w:rFonts w:ascii="Arial" w:hAnsi="Arial" w:cs="Arial"/>
              </w:rPr>
            </w:pPr>
            <w:r w:rsidRPr="00F429F4">
              <w:rPr>
                <w:rFonts w:ascii="Arial" w:hAnsi="Arial" w:cs="Arial"/>
              </w:rPr>
              <w:t>£1024.8</w:t>
            </w:r>
          </w:p>
        </w:tc>
      </w:tr>
      <w:tr w:rsidR="004942B6" w:rsidRPr="0062184C" w14:paraId="28CFFB8C" w14:textId="77777777" w:rsidTr="002C2525">
        <w:trPr>
          <w:trHeight w:val="302"/>
        </w:trPr>
        <w:tc>
          <w:tcPr>
            <w:tcW w:w="2411" w:type="dxa"/>
            <w:vMerge/>
          </w:tcPr>
          <w:p w14:paraId="2997B87B" w14:textId="77777777" w:rsidR="004942B6" w:rsidRPr="00F429F4" w:rsidRDefault="004942B6" w:rsidP="0062184C">
            <w:pPr>
              <w:spacing w:line="360" w:lineRule="auto"/>
              <w:jc w:val="both"/>
              <w:rPr>
                <w:rFonts w:ascii="Arial" w:hAnsi="Arial" w:cs="Arial"/>
                <w:b/>
                <w:bCs/>
              </w:rPr>
            </w:pPr>
          </w:p>
        </w:tc>
        <w:tc>
          <w:tcPr>
            <w:tcW w:w="2551" w:type="dxa"/>
          </w:tcPr>
          <w:p w14:paraId="3C8D13B6" w14:textId="77777777" w:rsidR="004942B6" w:rsidRPr="00F429F4" w:rsidRDefault="004942B6" w:rsidP="0062184C">
            <w:pPr>
              <w:spacing w:line="360" w:lineRule="auto"/>
              <w:jc w:val="both"/>
              <w:rPr>
                <w:rFonts w:ascii="Arial" w:hAnsi="Arial" w:cs="Arial"/>
              </w:rPr>
            </w:pPr>
            <w:r w:rsidRPr="00F429F4">
              <w:rPr>
                <w:rFonts w:ascii="Arial" w:hAnsi="Arial" w:cs="Arial"/>
              </w:rPr>
              <w:t>PCI (n=22)</w:t>
            </w:r>
          </w:p>
        </w:tc>
        <w:tc>
          <w:tcPr>
            <w:tcW w:w="2450" w:type="dxa"/>
          </w:tcPr>
          <w:p w14:paraId="0B39FC78" w14:textId="77777777" w:rsidR="004942B6" w:rsidRPr="00F429F4" w:rsidRDefault="004942B6" w:rsidP="0062184C">
            <w:pPr>
              <w:spacing w:line="360" w:lineRule="auto"/>
              <w:jc w:val="both"/>
              <w:rPr>
                <w:rFonts w:ascii="Arial" w:hAnsi="Arial" w:cs="Arial"/>
              </w:rPr>
            </w:pPr>
            <w:r w:rsidRPr="00F429F4">
              <w:rPr>
                <w:rFonts w:ascii="Arial" w:hAnsi="Arial" w:cs="Arial"/>
              </w:rPr>
              <w:t>£48511</w:t>
            </w:r>
          </w:p>
        </w:tc>
        <w:tc>
          <w:tcPr>
            <w:tcW w:w="2267" w:type="dxa"/>
          </w:tcPr>
          <w:p w14:paraId="4A9748C8" w14:textId="77777777" w:rsidR="004942B6" w:rsidRPr="00F429F4" w:rsidRDefault="004942B6" w:rsidP="0062184C">
            <w:pPr>
              <w:spacing w:line="360" w:lineRule="auto"/>
              <w:jc w:val="both"/>
              <w:rPr>
                <w:rFonts w:ascii="Arial" w:hAnsi="Arial" w:cs="Arial"/>
              </w:rPr>
            </w:pPr>
            <w:r w:rsidRPr="00F429F4">
              <w:rPr>
                <w:rFonts w:ascii="Arial" w:hAnsi="Arial" w:cs="Arial"/>
              </w:rPr>
              <w:t>£2205.2</w:t>
            </w:r>
          </w:p>
        </w:tc>
      </w:tr>
      <w:tr w:rsidR="004942B6" w:rsidRPr="0062184C" w14:paraId="58C5C945" w14:textId="77777777" w:rsidTr="002C2525">
        <w:trPr>
          <w:trHeight w:val="302"/>
        </w:trPr>
        <w:tc>
          <w:tcPr>
            <w:tcW w:w="2411" w:type="dxa"/>
            <w:vMerge/>
          </w:tcPr>
          <w:p w14:paraId="4DF1E9FF" w14:textId="77777777" w:rsidR="004942B6" w:rsidRPr="00F429F4" w:rsidRDefault="004942B6" w:rsidP="0062184C">
            <w:pPr>
              <w:spacing w:line="360" w:lineRule="auto"/>
              <w:jc w:val="both"/>
              <w:rPr>
                <w:rFonts w:ascii="Arial" w:hAnsi="Arial" w:cs="Arial"/>
                <w:b/>
                <w:bCs/>
              </w:rPr>
            </w:pPr>
          </w:p>
        </w:tc>
        <w:tc>
          <w:tcPr>
            <w:tcW w:w="2551" w:type="dxa"/>
          </w:tcPr>
          <w:p w14:paraId="54AAC80F" w14:textId="77777777" w:rsidR="004942B6" w:rsidRPr="00F429F4" w:rsidRDefault="004942B6" w:rsidP="0062184C">
            <w:pPr>
              <w:spacing w:line="360" w:lineRule="auto"/>
              <w:jc w:val="both"/>
              <w:rPr>
                <w:rFonts w:ascii="Arial" w:hAnsi="Arial" w:cs="Arial"/>
              </w:rPr>
            </w:pPr>
            <w:r w:rsidRPr="00F429F4">
              <w:rPr>
                <w:rFonts w:ascii="Arial" w:hAnsi="Arial" w:cs="Arial"/>
              </w:rPr>
              <w:t>CABG (n=10)</w:t>
            </w:r>
          </w:p>
        </w:tc>
        <w:tc>
          <w:tcPr>
            <w:tcW w:w="2450" w:type="dxa"/>
          </w:tcPr>
          <w:p w14:paraId="36C9BAEC" w14:textId="77777777" w:rsidR="004942B6" w:rsidRPr="00F429F4" w:rsidRDefault="004942B6" w:rsidP="0062184C">
            <w:pPr>
              <w:spacing w:line="360" w:lineRule="auto"/>
              <w:jc w:val="both"/>
              <w:rPr>
                <w:rFonts w:ascii="Arial" w:hAnsi="Arial" w:cs="Arial"/>
              </w:rPr>
            </w:pPr>
            <w:r w:rsidRPr="00F429F4">
              <w:rPr>
                <w:rFonts w:ascii="Arial" w:hAnsi="Arial" w:cs="Arial"/>
              </w:rPr>
              <w:t>£103611</w:t>
            </w:r>
          </w:p>
        </w:tc>
        <w:tc>
          <w:tcPr>
            <w:tcW w:w="2267" w:type="dxa"/>
          </w:tcPr>
          <w:p w14:paraId="7414B08B" w14:textId="77777777" w:rsidR="004942B6" w:rsidRPr="00F429F4" w:rsidRDefault="004942B6" w:rsidP="0062184C">
            <w:pPr>
              <w:spacing w:line="360" w:lineRule="auto"/>
              <w:jc w:val="both"/>
              <w:rPr>
                <w:rFonts w:ascii="Arial" w:hAnsi="Arial" w:cs="Arial"/>
              </w:rPr>
            </w:pPr>
            <w:r w:rsidRPr="00F429F4">
              <w:rPr>
                <w:rFonts w:ascii="Arial" w:hAnsi="Arial" w:cs="Arial"/>
              </w:rPr>
              <w:t>£10361.1</w:t>
            </w:r>
          </w:p>
        </w:tc>
      </w:tr>
      <w:tr w:rsidR="004942B6" w:rsidRPr="0062184C" w14:paraId="12A85FC0" w14:textId="77777777" w:rsidTr="002C2525">
        <w:trPr>
          <w:trHeight w:val="315"/>
        </w:trPr>
        <w:tc>
          <w:tcPr>
            <w:tcW w:w="9679" w:type="dxa"/>
            <w:gridSpan w:val="4"/>
          </w:tcPr>
          <w:p w14:paraId="36C730D0" w14:textId="77777777" w:rsidR="004942B6" w:rsidRPr="00F429F4" w:rsidRDefault="004942B6" w:rsidP="0062184C">
            <w:pPr>
              <w:spacing w:line="360" w:lineRule="auto"/>
              <w:jc w:val="both"/>
              <w:rPr>
                <w:rFonts w:ascii="Arial" w:hAnsi="Arial" w:cs="Arial"/>
              </w:rPr>
            </w:pPr>
          </w:p>
        </w:tc>
      </w:tr>
      <w:tr w:rsidR="004942B6" w:rsidRPr="0062184C" w14:paraId="111BA146" w14:textId="77777777" w:rsidTr="002C2525">
        <w:trPr>
          <w:trHeight w:val="302"/>
        </w:trPr>
        <w:tc>
          <w:tcPr>
            <w:tcW w:w="2411" w:type="dxa"/>
            <w:vMerge w:val="restart"/>
          </w:tcPr>
          <w:p w14:paraId="606E0777" w14:textId="77777777" w:rsidR="004942B6" w:rsidRPr="00F429F4" w:rsidRDefault="004942B6" w:rsidP="0062184C">
            <w:pPr>
              <w:spacing w:line="360" w:lineRule="auto"/>
              <w:jc w:val="both"/>
              <w:rPr>
                <w:rFonts w:ascii="Arial" w:hAnsi="Arial" w:cs="Arial"/>
                <w:b/>
                <w:bCs/>
              </w:rPr>
            </w:pPr>
            <w:r w:rsidRPr="00F429F4">
              <w:rPr>
                <w:rFonts w:ascii="Arial" w:hAnsi="Arial" w:cs="Arial"/>
                <w:b/>
                <w:bCs/>
              </w:rPr>
              <w:t>ACS and CCS combined (n=266)</w:t>
            </w:r>
          </w:p>
        </w:tc>
        <w:tc>
          <w:tcPr>
            <w:tcW w:w="2551" w:type="dxa"/>
          </w:tcPr>
          <w:p w14:paraId="78213B57" w14:textId="77777777" w:rsidR="004942B6" w:rsidRPr="00F429F4" w:rsidRDefault="004942B6" w:rsidP="0062184C">
            <w:pPr>
              <w:spacing w:line="360" w:lineRule="auto"/>
              <w:jc w:val="both"/>
              <w:rPr>
                <w:rFonts w:ascii="Arial" w:hAnsi="Arial" w:cs="Arial"/>
              </w:rPr>
            </w:pPr>
            <w:r w:rsidRPr="00F429F4">
              <w:rPr>
                <w:rFonts w:ascii="Arial" w:hAnsi="Arial" w:cs="Arial"/>
              </w:rPr>
              <w:t>OMT (n=93)</w:t>
            </w:r>
          </w:p>
        </w:tc>
        <w:tc>
          <w:tcPr>
            <w:tcW w:w="2450" w:type="dxa"/>
          </w:tcPr>
          <w:p w14:paraId="2DEE7404" w14:textId="77777777" w:rsidR="004942B6" w:rsidRPr="00F429F4" w:rsidRDefault="004942B6" w:rsidP="0062184C">
            <w:pPr>
              <w:spacing w:line="360" w:lineRule="auto"/>
              <w:jc w:val="both"/>
              <w:rPr>
                <w:rFonts w:ascii="Arial" w:hAnsi="Arial" w:cs="Arial"/>
              </w:rPr>
            </w:pPr>
            <w:r w:rsidRPr="00F429F4">
              <w:rPr>
                <w:rFonts w:ascii="Arial" w:hAnsi="Arial" w:cs="Arial"/>
              </w:rPr>
              <w:t>£135857</w:t>
            </w:r>
          </w:p>
        </w:tc>
        <w:tc>
          <w:tcPr>
            <w:tcW w:w="2267" w:type="dxa"/>
          </w:tcPr>
          <w:p w14:paraId="2FE57739" w14:textId="77777777" w:rsidR="004942B6" w:rsidRPr="00F429F4" w:rsidRDefault="004942B6" w:rsidP="0062184C">
            <w:pPr>
              <w:spacing w:line="360" w:lineRule="auto"/>
              <w:jc w:val="both"/>
              <w:rPr>
                <w:rFonts w:ascii="Arial" w:hAnsi="Arial" w:cs="Arial"/>
              </w:rPr>
            </w:pPr>
            <w:r w:rsidRPr="00F429F4">
              <w:rPr>
                <w:rFonts w:ascii="Arial" w:hAnsi="Arial" w:cs="Arial"/>
              </w:rPr>
              <w:t>£1460.8</w:t>
            </w:r>
          </w:p>
        </w:tc>
      </w:tr>
      <w:tr w:rsidR="004942B6" w:rsidRPr="0062184C" w14:paraId="7B717C75" w14:textId="77777777" w:rsidTr="002C2525">
        <w:trPr>
          <w:trHeight w:val="302"/>
        </w:trPr>
        <w:tc>
          <w:tcPr>
            <w:tcW w:w="2411" w:type="dxa"/>
            <w:vMerge/>
          </w:tcPr>
          <w:p w14:paraId="6C06AC8E" w14:textId="77777777" w:rsidR="004942B6" w:rsidRPr="00F429F4" w:rsidRDefault="004942B6" w:rsidP="0062184C">
            <w:pPr>
              <w:spacing w:line="360" w:lineRule="auto"/>
              <w:jc w:val="both"/>
              <w:rPr>
                <w:rFonts w:ascii="Arial" w:hAnsi="Arial" w:cs="Arial"/>
              </w:rPr>
            </w:pPr>
          </w:p>
        </w:tc>
        <w:tc>
          <w:tcPr>
            <w:tcW w:w="2551" w:type="dxa"/>
          </w:tcPr>
          <w:p w14:paraId="5716B148" w14:textId="77777777" w:rsidR="004942B6" w:rsidRPr="00F429F4" w:rsidRDefault="004942B6" w:rsidP="0062184C">
            <w:pPr>
              <w:spacing w:line="360" w:lineRule="auto"/>
              <w:jc w:val="both"/>
              <w:rPr>
                <w:rFonts w:ascii="Arial" w:hAnsi="Arial" w:cs="Arial"/>
              </w:rPr>
            </w:pPr>
            <w:r w:rsidRPr="00F429F4">
              <w:rPr>
                <w:rFonts w:ascii="Arial" w:hAnsi="Arial" w:cs="Arial"/>
              </w:rPr>
              <w:t>PCI (n=153)</w:t>
            </w:r>
          </w:p>
        </w:tc>
        <w:tc>
          <w:tcPr>
            <w:tcW w:w="2450" w:type="dxa"/>
          </w:tcPr>
          <w:p w14:paraId="1C9BEE00" w14:textId="77777777" w:rsidR="004942B6" w:rsidRPr="00F429F4" w:rsidRDefault="004942B6" w:rsidP="0062184C">
            <w:pPr>
              <w:spacing w:line="360" w:lineRule="auto"/>
              <w:jc w:val="both"/>
              <w:rPr>
                <w:rFonts w:ascii="Arial" w:hAnsi="Arial" w:cs="Arial"/>
              </w:rPr>
            </w:pPr>
            <w:r w:rsidRPr="00F429F4">
              <w:rPr>
                <w:rFonts w:ascii="Arial" w:hAnsi="Arial" w:cs="Arial"/>
              </w:rPr>
              <w:t>£403033</w:t>
            </w:r>
          </w:p>
        </w:tc>
        <w:tc>
          <w:tcPr>
            <w:tcW w:w="2267" w:type="dxa"/>
          </w:tcPr>
          <w:p w14:paraId="25063D7C" w14:textId="77777777" w:rsidR="004942B6" w:rsidRPr="00F429F4" w:rsidRDefault="004942B6" w:rsidP="0062184C">
            <w:pPr>
              <w:spacing w:line="360" w:lineRule="auto"/>
              <w:jc w:val="both"/>
              <w:rPr>
                <w:rFonts w:ascii="Arial" w:hAnsi="Arial" w:cs="Arial"/>
              </w:rPr>
            </w:pPr>
            <w:r w:rsidRPr="00F429F4">
              <w:rPr>
                <w:rFonts w:ascii="Arial" w:hAnsi="Arial" w:cs="Arial"/>
              </w:rPr>
              <w:t>£2634.2</w:t>
            </w:r>
          </w:p>
        </w:tc>
      </w:tr>
      <w:tr w:rsidR="004942B6" w:rsidRPr="0062184C" w14:paraId="6E269E66" w14:textId="77777777" w:rsidTr="002C2525">
        <w:trPr>
          <w:trHeight w:val="302"/>
        </w:trPr>
        <w:tc>
          <w:tcPr>
            <w:tcW w:w="2411" w:type="dxa"/>
            <w:vMerge/>
          </w:tcPr>
          <w:p w14:paraId="4BC0A078" w14:textId="77777777" w:rsidR="004942B6" w:rsidRPr="00F429F4" w:rsidRDefault="004942B6" w:rsidP="0062184C">
            <w:pPr>
              <w:spacing w:line="360" w:lineRule="auto"/>
              <w:jc w:val="both"/>
              <w:rPr>
                <w:rFonts w:ascii="Arial" w:hAnsi="Arial" w:cs="Arial"/>
              </w:rPr>
            </w:pPr>
          </w:p>
        </w:tc>
        <w:tc>
          <w:tcPr>
            <w:tcW w:w="2551" w:type="dxa"/>
          </w:tcPr>
          <w:p w14:paraId="37D9011F" w14:textId="77777777" w:rsidR="004942B6" w:rsidRPr="00F429F4" w:rsidRDefault="004942B6" w:rsidP="0062184C">
            <w:pPr>
              <w:spacing w:line="360" w:lineRule="auto"/>
              <w:jc w:val="both"/>
              <w:rPr>
                <w:rFonts w:ascii="Arial" w:hAnsi="Arial" w:cs="Arial"/>
              </w:rPr>
            </w:pPr>
            <w:r w:rsidRPr="00F429F4">
              <w:rPr>
                <w:rFonts w:ascii="Arial" w:hAnsi="Arial" w:cs="Arial"/>
              </w:rPr>
              <w:t>CABG (n=20)</w:t>
            </w:r>
          </w:p>
        </w:tc>
        <w:tc>
          <w:tcPr>
            <w:tcW w:w="2450" w:type="dxa"/>
          </w:tcPr>
          <w:p w14:paraId="1B0CE0D3" w14:textId="77777777" w:rsidR="004942B6" w:rsidRPr="00F429F4" w:rsidRDefault="004942B6" w:rsidP="0062184C">
            <w:pPr>
              <w:spacing w:line="360" w:lineRule="auto"/>
              <w:jc w:val="both"/>
              <w:rPr>
                <w:rFonts w:ascii="Arial" w:hAnsi="Arial" w:cs="Arial"/>
              </w:rPr>
            </w:pPr>
            <w:r w:rsidRPr="00F429F4">
              <w:rPr>
                <w:rFonts w:ascii="Arial" w:hAnsi="Arial" w:cs="Arial"/>
              </w:rPr>
              <w:t>£262814</w:t>
            </w:r>
          </w:p>
        </w:tc>
        <w:tc>
          <w:tcPr>
            <w:tcW w:w="2267" w:type="dxa"/>
          </w:tcPr>
          <w:p w14:paraId="5819BAF8" w14:textId="77777777" w:rsidR="004942B6" w:rsidRPr="00F429F4" w:rsidRDefault="004942B6" w:rsidP="0062184C">
            <w:pPr>
              <w:spacing w:line="360" w:lineRule="auto"/>
              <w:jc w:val="both"/>
              <w:rPr>
                <w:rFonts w:ascii="Arial" w:hAnsi="Arial" w:cs="Arial"/>
              </w:rPr>
            </w:pPr>
            <w:r w:rsidRPr="00F429F4">
              <w:rPr>
                <w:rFonts w:ascii="Arial" w:hAnsi="Arial" w:cs="Arial"/>
              </w:rPr>
              <w:t>£13140.7</w:t>
            </w:r>
          </w:p>
        </w:tc>
      </w:tr>
      <w:tr w:rsidR="004942B6" w:rsidRPr="0062184C" w14:paraId="04377640" w14:textId="77777777" w:rsidTr="002C2525">
        <w:trPr>
          <w:trHeight w:val="315"/>
        </w:trPr>
        <w:tc>
          <w:tcPr>
            <w:tcW w:w="9679" w:type="dxa"/>
            <w:gridSpan w:val="4"/>
          </w:tcPr>
          <w:p w14:paraId="5A9794E2" w14:textId="77777777" w:rsidR="004942B6" w:rsidRPr="00F429F4" w:rsidRDefault="004942B6" w:rsidP="0062184C">
            <w:pPr>
              <w:spacing w:line="360" w:lineRule="auto"/>
              <w:jc w:val="both"/>
              <w:rPr>
                <w:rFonts w:ascii="Arial" w:hAnsi="Arial" w:cs="Arial"/>
              </w:rPr>
            </w:pPr>
          </w:p>
        </w:tc>
      </w:tr>
      <w:tr w:rsidR="004942B6" w:rsidRPr="0062184C" w14:paraId="7B5E8568" w14:textId="77777777" w:rsidTr="002C2525">
        <w:trPr>
          <w:trHeight w:val="630"/>
        </w:trPr>
        <w:tc>
          <w:tcPr>
            <w:tcW w:w="4962" w:type="dxa"/>
            <w:gridSpan w:val="2"/>
          </w:tcPr>
          <w:p w14:paraId="5EC0280D" w14:textId="77777777" w:rsidR="004942B6" w:rsidRPr="00F429F4" w:rsidRDefault="004942B6" w:rsidP="0062184C">
            <w:pPr>
              <w:spacing w:line="360" w:lineRule="auto"/>
              <w:jc w:val="both"/>
              <w:rPr>
                <w:rFonts w:ascii="Arial" w:hAnsi="Arial" w:cs="Arial"/>
                <w:b/>
                <w:bCs/>
              </w:rPr>
            </w:pPr>
            <w:r w:rsidRPr="00F429F4">
              <w:rPr>
                <w:rFonts w:ascii="Arial" w:hAnsi="Arial" w:cs="Arial"/>
                <w:b/>
                <w:bCs/>
              </w:rPr>
              <w:t>Total (n=266)</w:t>
            </w:r>
          </w:p>
        </w:tc>
        <w:tc>
          <w:tcPr>
            <w:tcW w:w="2450" w:type="dxa"/>
          </w:tcPr>
          <w:p w14:paraId="0CCD5A69" w14:textId="77777777" w:rsidR="004942B6" w:rsidRPr="00F429F4" w:rsidRDefault="004942B6" w:rsidP="0062184C">
            <w:pPr>
              <w:spacing w:line="360" w:lineRule="auto"/>
              <w:jc w:val="both"/>
              <w:rPr>
                <w:rFonts w:ascii="Arial" w:hAnsi="Arial" w:cs="Arial"/>
              </w:rPr>
            </w:pPr>
            <w:r w:rsidRPr="00F429F4">
              <w:rPr>
                <w:rFonts w:ascii="Arial" w:hAnsi="Arial" w:cs="Arial"/>
              </w:rPr>
              <w:t>£801704</w:t>
            </w:r>
          </w:p>
        </w:tc>
        <w:tc>
          <w:tcPr>
            <w:tcW w:w="2267" w:type="dxa"/>
          </w:tcPr>
          <w:p w14:paraId="3D121FE6" w14:textId="77777777" w:rsidR="004942B6" w:rsidRPr="00F429F4" w:rsidRDefault="004942B6" w:rsidP="0062184C">
            <w:pPr>
              <w:spacing w:line="360" w:lineRule="auto"/>
              <w:jc w:val="both"/>
              <w:rPr>
                <w:rFonts w:ascii="Arial" w:hAnsi="Arial" w:cs="Arial"/>
              </w:rPr>
            </w:pPr>
            <w:r w:rsidRPr="00F429F4">
              <w:rPr>
                <w:rFonts w:ascii="Arial" w:hAnsi="Arial" w:cs="Arial"/>
              </w:rPr>
              <w:t>£3013.9</w:t>
            </w:r>
          </w:p>
        </w:tc>
      </w:tr>
    </w:tbl>
    <w:p w14:paraId="7430D23A" w14:textId="77777777" w:rsidR="004942B6" w:rsidRDefault="004942B6" w:rsidP="004942B6">
      <w:pPr>
        <w:rPr>
          <w:color w:val="000000" w:themeColor="text1"/>
        </w:rPr>
      </w:pPr>
    </w:p>
    <w:p w14:paraId="5E95F7B9" w14:textId="77777777" w:rsidR="0062184C" w:rsidRDefault="0062184C" w:rsidP="004942B6">
      <w:pPr>
        <w:rPr>
          <w:color w:val="000000" w:themeColor="text1"/>
        </w:rPr>
      </w:pPr>
    </w:p>
    <w:p w14:paraId="0FFDE732" w14:textId="77777777" w:rsidR="004942B6" w:rsidRDefault="004942B6" w:rsidP="004942B6">
      <w:pPr>
        <w:keepNext/>
      </w:pPr>
      <w:r>
        <w:rPr>
          <w:noProof/>
          <w:sz w:val="16"/>
          <w:szCs w:val="16"/>
          <w:lang w:eastAsia="en-GB"/>
        </w:rPr>
        <w:lastRenderedPageBreak/>
        <w:drawing>
          <wp:inline distT="0" distB="0" distL="0" distR="0" wp14:anchorId="43735B00" wp14:editId="3B76FABF">
            <wp:extent cx="6006465" cy="3503919"/>
            <wp:effectExtent l="0" t="0" r="0" b="0"/>
            <wp:docPr id="228999158" name="Picture 2" descr="A graph with numbers and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99158" name="Picture 2" descr="A graph with numbers and a black background"/>
                    <pic:cNvPicPr/>
                  </pic:nvPicPr>
                  <pic:blipFill rotWithShape="1">
                    <a:blip r:embed="rId69" cstate="print">
                      <a:extLst>
                        <a:ext uri="{BEBA8EAE-BF5A-486C-A8C5-ECC9F3942E4B}">
                          <a14:imgProps xmlns:a14="http://schemas.microsoft.com/office/drawing/2010/main">
                            <a14:imgLayer r:embed="rId7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743" t="2874" r="2372" b="18409"/>
                    <a:stretch/>
                  </pic:blipFill>
                  <pic:spPr bwMode="auto">
                    <a:xfrm>
                      <a:off x="0" y="0"/>
                      <a:ext cx="6024900" cy="3514673"/>
                    </a:xfrm>
                    <a:prstGeom prst="rect">
                      <a:avLst/>
                    </a:prstGeom>
                    <a:ln>
                      <a:noFill/>
                    </a:ln>
                    <a:extLst>
                      <a:ext uri="{53640926-AAD7-44D8-BBD7-CCE9431645EC}">
                        <a14:shadowObscured xmlns:a14="http://schemas.microsoft.com/office/drawing/2010/main"/>
                      </a:ext>
                    </a:extLst>
                  </pic:spPr>
                </pic:pic>
              </a:graphicData>
            </a:graphic>
          </wp:inline>
        </w:drawing>
      </w:r>
    </w:p>
    <w:p w14:paraId="1A9B20D7" w14:textId="77777777" w:rsidR="004942B6" w:rsidRDefault="004942B6" w:rsidP="004942B6">
      <w:pPr>
        <w:pStyle w:val="Caption"/>
        <w:jc w:val="both"/>
        <w:rPr>
          <w:rFonts w:ascii="Arial" w:hAnsi="Arial" w:cs="Arial"/>
          <w:b/>
          <w:bCs/>
          <w:color w:val="auto"/>
          <w:sz w:val="20"/>
          <w:szCs w:val="20"/>
        </w:rPr>
      </w:pPr>
      <w:bookmarkStart w:id="1094" w:name="_Toc150518917"/>
      <w:bookmarkStart w:id="1095" w:name="_Toc151222854"/>
      <w:bookmarkStart w:id="1096" w:name="_Toc151626694"/>
      <w:bookmarkStart w:id="1097" w:name="_Toc152340488"/>
      <w:bookmarkStart w:id="1098" w:name="_Toc152492281"/>
    </w:p>
    <w:p w14:paraId="4C478A02" w14:textId="1A654A82" w:rsidR="004942B6" w:rsidRPr="00E83766" w:rsidRDefault="004942B6" w:rsidP="004942B6">
      <w:pPr>
        <w:pStyle w:val="Caption"/>
        <w:jc w:val="both"/>
        <w:rPr>
          <w:rFonts w:ascii="Arial" w:hAnsi="Arial" w:cs="Arial"/>
          <w:color w:val="auto"/>
          <w:sz w:val="20"/>
          <w:szCs w:val="20"/>
        </w:rPr>
      </w:pPr>
      <w:bookmarkStart w:id="1099" w:name="_Toc152596969"/>
      <w:bookmarkStart w:id="1100" w:name="_Toc153409676"/>
      <w:bookmarkStart w:id="1101" w:name="_Toc153724923"/>
      <w:bookmarkStart w:id="1102" w:name="_Toc159318515"/>
      <w:bookmarkStart w:id="1103" w:name="_Toc159612041"/>
      <w:bookmarkStart w:id="1104" w:name="_Toc160982687"/>
      <w:bookmarkStart w:id="1105" w:name="_Toc164697513"/>
      <w:bookmarkStart w:id="1106" w:name="_Toc170744605"/>
      <w:bookmarkStart w:id="1107" w:name="_Toc196153236"/>
      <w:r w:rsidRPr="00DD1DB1">
        <w:rPr>
          <w:rFonts w:ascii="Arial" w:hAnsi="Arial" w:cs="Arial"/>
          <w:b/>
          <w:bCs/>
          <w:color w:val="auto"/>
          <w:sz w:val="20"/>
          <w:szCs w:val="20"/>
        </w:rPr>
        <w:t xml:space="preserve">Figure </w:t>
      </w:r>
      <w:r w:rsidRPr="00DD1DB1">
        <w:rPr>
          <w:rFonts w:ascii="Arial" w:hAnsi="Arial" w:cs="Arial"/>
          <w:b/>
          <w:bCs/>
          <w:color w:val="auto"/>
          <w:sz w:val="20"/>
          <w:szCs w:val="20"/>
        </w:rPr>
        <w:fldChar w:fldCharType="begin"/>
      </w:r>
      <w:r w:rsidRPr="00DD1DB1">
        <w:rPr>
          <w:rFonts w:ascii="Arial" w:hAnsi="Arial" w:cs="Arial"/>
          <w:b/>
          <w:bCs/>
          <w:color w:val="auto"/>
          <w:sz w:val="20"/>
          <w:szCs w:val="20"/>
        </w:rPr>
        <w:instrText xml:space="preserve"> SEQ Figure \* ARABIC </w:instrText>
      </w:r>
      <w:r w:rsidRPr="00DD1DB1">
        <w:rPr>
          <w:rFonts w:ascii="Arial" w:hAnsi="Arial" w:cs="Arial"/>
          <w:b/>
          <w:bCs/>
          <w:color w:val="auto"/>
          <w:sz w:val="20"/>
          <w:szCs w:val="20"/>
        </w:rPr>
        <w:fldChar w:fldCharType="separate"/>
      </w:r>
      <w:r w:rsidR="001823B4">
        <w:rPr>
          <w:rFonts w:ascii="Arial" w:hAnsi="Arial" w:cs="Arial"/>
          <w:b/>
          <w:bCs/>
          <w:noProof/>
          <w:color w:val="auto"/>
          <w:sz w:val="20"/>
          <w:szCs w:val="20"/>
        </w:rPr>
        <w:t>44</w:t>
      </w:r>
      <w:r w:rsidRPr="00DD1DB1">
        <w:rPr>
          <w:rFonts w:ascii="Arial" w:hAnsi="Arial" w:cs="Arial"/>
          <w:b/>
          <w:bCs/>
          <w:noProof/>
          <w:color w:val="auto"/>
          <w:sz w:val="20"/>
          <w:szCs w:val="20"/>
        </w:rPr>
        <w:fldChar w:fldCharType="end"/>
      </w:r>
      <w:r w:rsidRPr="00E83766">
        <w:rPr>
          <w:rFonts w:ascii="Arial" w:hAnsi="Arial" w:cs="Arial"/>
          <w:color w:val="auto"/>
          <w:sz w:val="20"/>
          <w:szCs w:val="20"/>
        </w:rPr>
        <w:t xml:space="preserve">: </w:t>
      </w:r>
      <w:r>
        <w:rPr>
          <w:rFonts w:ascii="Arial" w:hAnsi="Arial" w:cs="Arial"/>
          <w:color w:val="auto"/>
          <w:sz w:val="20"/>
          <w:szCs w:val="20"/>
        </w:rPr>
        <w:t>T</w:t>
      </w:r>
      <w:r w:rsidRPr="00E83766">
        <w:rPr>
          <w:rFonts w:ascii="Arial" w:hAnsi="Arial" w:cs="Arial"/>
          <w:color w:val="auto"/>
          <w:sz w:val="20"/>
          <w:szCs w:val="20"/>
        </w:rPr>
        <w:t xml:space="preserve">otal </w:t>
      </w:r>
      <w:r>
        <w:rPr>
          <w:rFonts w:ascii="Arial" w:hAnsi="Arial" w:cs="Arial"/>
          <w:color w:val="auto"/>
          <w:sz w:val="20"/>
          <w:szCs w:val="20"/>
        </w:rPr>
        <w:t xml:space="preserve">healthcare </w:t>
      </w:r>
      <w:r w:rsidRPr="00E83766">
        <w:rPr>
          <w:rFonts w:ascii="Arial" w:hAnsi="Arial" w:cs="Arial"/>
          <w:color w:val="auto"/>
          <w:sz w:val="20"/>
          <w:szCs w:val="20"/>
        </w:rPr>
        <w:t>cost</w:t>
      </w:r>
      <w:r>
        <w:rPr>
          <w:rFonts w:ascii="Arial" w:hAnsi="Arial" w:cs="Arial"/>
          <w:color w:val="auto"/>
          <w:sz w:val="20"/>
          <w:szCs w:val="20"/>
        </w:rPr>
        <w:t>s</w:t>
      </w:r>
      <w:r w:rsidRPr="00E83766">
        <w:rPr>
          <w:rFonts w:ascii="Arial" w:hAnsi="Arial" w:cs="Arial"/>
          <w:color w:val="auto"/>
          <w:sz w:val="20"/>
          <w:szCs w:val="20"/>
        </w:rPr>
        <w:t xml:space="preserve"> </w:t>
      </w:r>
      <w:r>
        <w:rPr>
          <w:rFonts w:ascii="Arial" w:hAnsi="Arial" w:cs="Arial"/>
          <w:color w:val="auto"/>
          <w:sz w:val="20"/>
          <w:szCs w:val="20"/>
        </w:rPr>
        <w:t>of followed-up patients in VIRTU-4</w:t>
      </w:r>
      <w:r w:rsidRPr="00E83766">
        <w:rPr>
          <w:rFonts w:ascii="Arial" w:hAnsi="Arial" w:cs="Arial"/>
          <w:color w:val="auto"/>
          <w:sz w:val="20"/>
          <w:szCs w:val="20"/>
        </w:rPr>
        <w:t xml:space="preserve"> at </w:t>
      </w:r>
      <w:r>
        <w:rPr>
          <w:rFonts w:ascii="Arial" w:hAnsi="Arial" w:cs="Arial"/>
          <w:color w:val="auto"/>
          <w:sz w:val="20"/>
          <w:szCs w:val="20"/>
        </w:rPr>
        <w:t>one year</w:t>
      </w:r>
      <w:r w:rsidRPr="00E83766">
        <w:rPr>
          <w:rFonts w:ascii="Arial" w:hAnsi="Arial" w:cs="Arial"/>
          <w:color w:val="auto"/>
          <w:sz w:val="20"/>
          <w:szCs w:val="20"/>
        </w:rPr>
        <w:t xml:space="preserve"> according to the management plans (OMT, PCI, CABG)</w:t>
      </w:r>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p>
    <w:p w14:paraId="6F864784" w14:textId="77777777" w:rsidR="004942B6" w:rsidRPr="00C827CD" w:rsidRDefault="004942B6" w:rsidP="004942B6">
      <w:pPr>
        <w:jc w:val="both"/>
      </w:pPr>
    </w:p>
    <w:p w14:paraId="0D727629" w14:textId="2D4E3EC8" w:rsidR="004942B6" w:rsidRPr="0062184C" w:rsidRDefault="004942B6" w:rsidP="004942B6">
      <w:pPr>
        <w:pStyle w:val="Heading3"/>
        <w:spacing w:line="360" w:lineRule="auto"/>
        <w:jc w:val="both"/>
        <w:rPr>
          <w:rFonts w:ascii="Arial" w:hAnsi="Arial" w:cs="Arial"/>
          <w:color w:val="4472C4" w:themeColor="accent1"/>
          <w:sz w:val="24"/>
          <w:szCs w:val="24"/>
        </w:rPr>
      </w:pPr>
      <w:bookmarkStart w:id="1108" w:name="_Toc159613619"/>
      <w:bookmarkStart w:id="1109" w:name="_Toc160981280"/>
      <w:bookmarkStart w:id="1110" w:name="_Toc164676075"/>
      <w:bookmarkStart w:id="1111" w:name="_Toc164680520"/>
      <w:bookmarkStart w:id="1112" w:name="_Toc164681418"/>
      <w:bookmarkStart w:id="1113" w:name="_Toc170075096"/>
      <w:bookmarkStart w:id="1114" w:name="_Toc170076083"/>
      <w:bookmarkStart w:id="1115" w:name="_Toc170577782"/>
      <w:bookmarkStart w:id="1116" w:name="_Toc171203158"/>
      <w:bookmarkStart w:id="1117" w:name="_Toc171203930"/>
      <w:r w:rsidRPr="0062184C">
        <w:rPr>
          <w:rFonts w:ascii="Arial" w:hAnsi="Arial" w:cs="Arial"/>
          <w:color w:val="4472C4" w:themeColor="accent1"/>
          <w:sz w:val="24"/>
          <w:szCs w:val="24"/>
        </w:rPr>
        <w:t>3.</w:t>
      </w:r>
      <w:r w:rsidR="00890A1F">
        <w:rPr>
          <w:rFonts w:ascii="Arial" w:hAnsi="Arial" w:cs="Arial"/>
          <w:color w:val="4472C4" w:themeColor="accent1"/>
          <w:sz w:val="24"/>
          <w:szCs w:val="24"/>
        </w:rPr>
        <w:t>3</w:t>
      </w:r>
      <w:r w:rsidRPr="0062184C">
        <w:rPr>
          <w:rFonts w:ascii="Arial" w:hAnsi="Arial" w:cs="Arial"/>
          <w:color w:val="4472C4" w:themeColor="accent1"/>
          <w:sz w:val="24"/>
          <w:szCs w:val="24"/>
        </w:rPr>
        <w:t xml:space="preserve">.2 </w:t>
      </w:r>
      <w:r w:rsidR="004E5D54">
        <w:rPr>
          <w:rFonts w:ascii="Arial" w:hAnsi="Arial" w:cs="Arial"/>
          <w:color w:val="4472C4" w:themeColor="accent1"/>
          <w:sz w:val="24"/>
          <w:szCs w:val="24"/>
        </w:rPr>
        <w:t>M</w:t>
      </w:r>
      <w:r w:rsidRPr="0062184C">
        <w:rPr>
          <w:rFonts w:ascii="Arial" w:hAnsi="Arial" w:cs="Arial"/>
          <w:color w:val="4472C4" w:themeColor="accent1"/>
          <w:sz w:val="24"/>
          <w:szCs w:val="24"/>
        </w:rPr>
        <w:t>ean cost per patient according to the management plans (OMT, PCI, CABG)</w:t>
      </w:r>
      <w:bookmarkEnd w:id="1108"/>
      <w:bookmarkEnd w:id="1109"/>
      <w:bookmarkEnd w:id="1110"/>
      <w:bookmarkEnd w:id="1111"/>
      <w:bookmarkEnd w:id="1112"/>
      <w:bookmarkEnd w:id="1113"/>
      <w:bookmarkEnd w:id="1114"/>
      <w:bookmarkEnd w:id="1115"/>
      <w:bookmarkEnd w:id="1116"/>
      <w:bookmarkEnd w:id="1117"/>
    </w:p>
    <w:p w14:paraId="7B2BC940" w14:textId="07D11C1F" w:rsidR="004942B6" w:rsidRPr="000C5505" w:rsidRDefault="004942B6" w:rsidP="004942B6">
      <w:pPr>
        <w:spacing w:line="360" w:lineRule="auto"/>
        <w:jc w:val="both"/>
        <w:rPr>
          <w:rFonts w:ascii="Arial" w:hAnsi="Arial" w:cs="Arial"/>
          <w:sz w:val="24"/>
          <w:szCs w:val="24"/>
        </w:rPr>
      </w:pPr>
      <w:r w:rsidRPr="00E83766">
        <w:rPr>
          <w:rFonts w:ascii="Arial" w:hAnsi="Arial" w:cs="Arial"/>
          <w:sz w:val="24"/>
          <w:szCs w:val="24"/>
        </w:rPr>
        <w:t xml:space="preserve">The mean cost per patient for </w:t>
      </w:r>
      <w:r>
        <w:rPr>
          <w:rFonts w:ascii="Arial" w:hAnsi="Arial" w:cs="Arial"/>
          <w:sz w:val="24"/>
          <w:szCs w:val="24"/>
        </w:rPr>
        <w:t>VIRTU-4</w:t>
      </w:r>
      <w:r w:rsidRPr="000C5505">
        <w:rPr>
          <w:rFonts w:ascii="Arial" w:hAnsi="Arial" w:cs="Arial"/>
          <w:sz w:val="24"/>
          <w:szCs w:val="24"/>
        </w:rPr>
        <w:t xml:space="preserve"> </w:t>
      </w:r>
      <w:r w:rsidR="004E5D54">
        <w:rPr>
          <w:rFonts w:ascii="Arial" w:hAnsi="Arial" w:cs="Arial"/>
          <w:sz w:val="24"/>
          <w:szCs w:val="24"/>
        </w:rPr>
        <w:t xml:space="preserve">HE </w:t>
      </w:r>
      <w:r w:rsidRPr="000C5505">
        <w:rPr>
          <w:rFonts w:ascii="Arial" w:hAnsi="Arial" w:cs="Arial"/>
          <w:sz w:val="24"/>
          <w:szCs w:val="24"/>
        </w:rPr>
        <w:t>patients (both for ACS and CCS</w:t>
      </w:r>
      <w:r>
        <w:rPr>
          <w:rFonts w:ascii="Arial" w:hAnsi="Arial" w:cs="Arial"/>
          <w:sz w:val="24"/>
          <w:szCs w:val="24"/>
        </w:rPr>
        <w:t xml:space="preserve"> cohorts</w:t>
      </w:r>
      <w:r w:rsidRPr="000C5505">
        <w:rPr>
          <w:rFonts w:ascii="Arial" w:hAnsi="Arial" w:cs="Arial"/>
          <w:sz w:val="24"/>
          <w:szCs w:val="24"/>
        </w:rPr>
        <w:t>) was calculated according to the management plans (OMT, PCI and CABG)</w:t>
      </w:r>
      <w:r>
        <w:rPr>
          <w:rFonts w:ascii="Arial" w:hAnsi="Arial" w:cs="Arial"/>
          <w:sz w:val="24"/>
          <w:szCs w:val="24"/>
        </w:rPr>
        <w:t xml:space="preserve"> </w:t>
      </w:r>
      <w:r w:rsidRPr="000C5505">
        <w:rPr>
          <w:rFonts w:ascii="Arial" w:hAnsi="Arial" w:cs="Arial"/>
          <w:sz w:val="24"/>
          <w:szCs w:val="24"/>
        </w:rPr>
        <w:t xml:space="preserve">summarised in </w:t>
      </w:r>
      <w:r>
        <w:rPr>
          <w:rFonts w:ascii="Arial" w:hAnsi="Arial" w:cs="Arial"/>
          <w:sz w:val="24"/>
          <w:szCs w:val="24"/>
        </w:rPr>
        <w:t>F</w:t>
      </w:r>
      <w:r w:rsidRPr="000C5505">
        <w:rPr>
          <w:rFonts w:ascii="Arial" w:hAnsi="Arial" w:cs="Arial"/>
          <w:sz w:val="24"/>
          <w:szCs w:val="24"/>
        </w:rPr>
        <w:t xml:space="preserve">igure </w:t>
      </w:r>
      <w:r w:rsidR="00F87BD0">
        <w:rPr>
          <w:rFonts w:ascii="Arial" w:hAnsi="Arial" w:cs="Arial"/>
          <w:sz w:val="24"/>
          <w:szCs w:val="24"/>
        </w:rPr>
        <w:t>4</w:t>
      </w:r>
      <w:r w:rsidR="001823B4">
        <w:rPr>
          <w:rFonts w:ascii="Arial" w:hAnsi="Arial" w:cs="Arial"/>
          <w:sz w:val="24"/>
          <w:szCs w:val="24"/>
        </w:rPr>
        <w:t>5</w:t>
      </w:r>
      <w:r w:rsidRPr="000C5505">
        <w:rPr>
          <w:rFonts w:ascii="Arial" w:hAnsi="Arial" w:cs="Arial"/>
          <w:sz w:val="24"/>
          <w:szCs w:val="24"/>
        </w:rPr>
        <w:t xml:space="preserve">. </w:t>
      </w:r>
    </w:p>
    <w:p w14:paraId="59D48B98" w14:textId="77777777" w:rsidR="004942B6" w:rsidRDefault="004942B6" w:rsidP="004942B6">
      <w:pPr>
        <w:keepNext/>
      </w:pPr>
      <w:r>
        <w:rPr>
          <w:noProof/>
          <w:lang w:eastAsia="en-GB"/>
        </w:rPr>
        <w:lastRenderedPageBreak/>
        <w:drawing>
          <wp:inline distT="0" distB="0" distL="0" distR="0" wp14:anchorId="5E7E52DE" wp14:editId="2F3DF48D">
            <wp:extent cx="6110868" cy="3465499"/>
            <wp:effectExtent l="0" t="0" r="4445" b="1905"/>
            <wp:docPr id="493892452"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92452" name="Picture 3" descr="A screenshot of a graph&#10;&#10;Description automatically generated"/>
                    <pic:cNvPicPr/>
                  </pic:nvPicPr>
                  <pic:blipFill rotWithShape="1">
                    <a:blip r:embed="rId71" cstate="print">
                      <a:extLst>
                        <a:ext uri="{BEBA8EAE-BF5A-486C-A8C5-ECC9F3942E4B}">
                          <a14:imgProps xmlns:a14="http://schemas.microsoft.com/office/drawing/2010/main">
                            <a14:imgLayer r:embed="rId7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218" t="1150" r="2667" b="23962"/>
                    <a:stretch/>
                  </pic:blipFill>
                  <pic:spPr bwMode="auto">
                    <a:xfrm>
                      <a:off x="0" y="0"/>
                      <a:ext cx="6122583" cy="3472143"/>
                    </a:xfrm>
                    <a:prstGeom prst="rect">
                      <a:avLst/>
                    </a:prstGeom>
                    <a:ln>
                      <a:noFill/>
                    </a:ln>
                    <a:extLst>
                      <a:ext uri="{53640926-AAD7-44D8-BBD7-CCE9431645EC}">
                        <a14:shadowObscured xmlns:a14="http://schemas.microsoft.com/office/drawing/2010/main"/>
                      </a:ext>
                    </a:extLst>
                  </pic:spPr>
                </pic:pic>
              </a:graphicData>
            </a:graphic>
          </wp:inline>
        </w:drawing>
      </w:r>
    </w:p>
    <w:p w14:paraId="49FC1D0F" w14:textId="663C8D33" w:rsidR="004942B6" w:rsidRPr="00572640" w:rsidRDefault="004942B6" w:rsidP="004942B6">
      <w:pPr>
        <w:pStyle w:val="Caption"/>
        <w:rPr>
          <w:rFonts w:ascii="Arial" w:hAnsi="Arial" w:cs="Arial"/>
          <w:color w:val="auto"/>
          <w:sz w:val="20"/>
          <w:szCs w:val="20"/>
        </w:rPr>
      </w:pPr>
      <w:bookmarkStart w:id="1118" w:name="_Toc150518918"/>
      <w:bookmarkStart w:id="1119" w:name="_Toc151222855"/>
      <w:bookmarkStart w:id="1120" w:name="_Toc151626695"/>
      <w:bookmarkStart w:id="1121" w:name="_Toc152340489"/>
      <w:bookmarkStart w:id="1122" w:name="_Toc152492282"/>
      <w:bookmarkStart w:id="1123" w:name="_Toc152596970"/>
      <w:bookmarkStart w:id="1124" w:name="_Toc153409677"/>
      <w:bookmarkStart w:id="1125" w:name="_Toc153724924"/>
      <w:bookmarkStart w:id="1126" w:name="_Toc159318516"/>
      <w:bookmarkStart w:id="1127" w:name="_Toc159612042"/>
      <w:bookmarkStart w:id="1128" w:name="_Toc160982688"/>
      <w:bookmarkStart w:id="1129" w:name="_Toc164697514"/>
      <w:bookmarkStart w:id="1130" w:name="_Toc170744606"/>
      <w:bookmarkStart w:id="1131" w:name="_Toc196153237"/>
      <w:r w:rsidRPr="00DD1DB1">
        <w:rPr>
          <w:rFonts w:ascii="Arial" w:hAnsi="Arial" w:cs="Arial"/>
          <w:b/>
          <w:bCs/>
          <w:color w:val="auto"/>
          <w:sz w:val="20"/>
          <w:szCs w:val="20"/>
        </w:rPr>
        <w:t xml:space="preserve">Figure </w:t>
      </w:r>
      <w:r w:rsidRPr="00DD1DB1">
        <w:rPr>
          <w:rFonts w:ascii="Arial" w:hAnsi="Arial" w:cs="Arial"/>
          <w:b/>
          <w:bCs/>
          <w:color w:val="auto"/>
          <w:sz w:val="20"/>
          <w:szCs w:val="20"/>
        </w:rPr>
        <w:fldChar w:fldCharType="begin"/>
      </w:r>
      <w:r w:rsidRPr="00DD1DB1">
        <w:rPr>
          <w:rFonts w:ascii="Arial" w:hAnsi="Arial" w:cs="Arial"/>
          <w:b/>
          <w:bCs/>
          <w:color w:val="auto"/>
          <w:sz w:val="20"/>
          <w:szCs w:val="20"/>
        </w:rPr>
        <w:instrText xml:space="preserve"> SEQ Figure \* ARABIC </w:instrText>
      </w:r>
      <w:r w:rsidRPr="00DD1DB1">
        <w:rPr>
          <w:rFonts w:ascii="Arial" w:hAnsi="Arial" w:cs="Arial"/>
          <w:b/>
          <w:bCs/>
          <w:color w:val="auto"/>
          <w:sz w:val="20"/>
          <w:szCs w:val="20"/>
        </w:rPr>
        <w:fldChar w:fldCharType="separate"/>
      </w:r>
      <w:r w:rsidR="001823B4">
        <w:rPr>
          <w:rFonts w:ascii="Arial" w:hAnsi="Arial" w:cs="Arial"/>
          <w:b/>
          <w:bCs/>
          <w:noProof/>
          <w:color w:val="auto"/>
          <w:sz w:val="20"/>
          <w:szCs w:val="20"/>
        </w:rPr>
        <w:t>45</w:t>
      </w:r>
      <w:r w:rsidRPr="00DD1DB1">
        <w:rPr>
          <w:rFonts w:ascii="Arial" w:hAnsi="Arial" w:cs="Arial"/>
          <w:b/>
          <w:bCs/>
          <w:color w:val="auto"/>
          <w:sz w:val="20"/>
          <w:szCs w:val="20"/>
        </w:rPr>
        <w:fldChar w:fldCharType="end"/>
      </w:r>
      <w:r w:rsidRPr="00E83766">
        <w:rPr>
          <w:rFonts w:ascii="Arial" w:hAnsi="Arial" w:cs="Arial"/>
          <w:color w:val="auto"/>
          <w:sz w:val="20"/>
          <w:szCs w:val="20"/>
        </w:rPr>
        <w:t xml:space="preserve">: </w:t>
      </w:r>
      <w:r>
        <w:rPr>
          <w:rFonts w:ascii="Arial" w:hAnsi="Arial" w:cs="Arial"/>
          <w:color w:val="auto"/>
          <w:sz w:val="20"/>
          <w:szCs w:val="20"/>
        </w:rPr>
        <w:t>M</w:t>
      </w:r>
      <w:r w:rsidRPr="00E83766">
        <w:rPr>
          <w:rFonts w:ascii="Arial" w:hAnsi="Arial" w:cs="Arial"/>
          <w:color w:val="auto"/>
          <w:sz w:val="20"/>
          <w:szCs w:val="20"/>
        </w:rPr>
        <w:t xml:space="preserve">ean cost per patient in </w:t>
      </w:r>
      <w:r>
        <w:rPr>
          <w:rFonts w:ascii="Arial" w:hAnsi="Arial" w:cs="Arial"/>
          <w:color w:val="auto"/>
          <w:sz w:val="20"/>
          <w:szCs w:val="20"/>
        </w:rPr>
        <w:t>VIRTU-4</w:t>
      </w:r>
      <w:r w:rsidRPr="00E83766">
        <w:rPr>
          <w:rFonts w:ascii="Arial" w:hAnsi="Arial" w:cs="Arial"/>
          <w:color w:val="auto"/>
          <w:sz w:val="20"/>
          <w:szCs w:val="20"/>
        </w:rPr>
        <w:t xml:space="preserve"> according to the management plans (OMT, PCI</w:t>
      </w:r>
      <w:r>
        <w:rPr>
          <w:rFonts w:ascii="Arial" w:hAnsi="Arial" w:cs="Arial"/>
          <w:color w:val="auto"/>
          <w:sz w:val="20"/>
          <w:szCs w:val="20"/>
        </w:rPr>
        <w:t>,</w:t>
      </w:r>
      <w:r w:rsidRPr="00E83766">
        <w:rPr>
          <w:rFonts w:ascii="Arial" w:hAnsi="Arial" w:cs="Arial"/>
          <w:color w:val="auto"/>
          <w:sz w:val="20"/>
          <w:szCs w:val="20"/>
        </w:rPr>
        <w:t xml:space="preserve"> and CABG)</w:t>
      </w:r>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p>
    <w:p w14:paraId="67F3B64B" w14:textId="77777777" w:rsidR="004942B6" w:rsidRDefault="004942B6" w:rsidP="004942B6">
      <w:pPr>
        <w:rPr>
          <w:color w:val="000000" w:themeColor="text1"/>
        </w:rPr>
      </w:pPr>
    </w:p>
    <w:p w14:paraId="0BA54007" w14:textId="2E073727" w:rsidR="004942B6" w:rsidRPr="00437D6D" w:rsidRDefault="004942B6" w:rsidP="004E5D54">
      <w:pPr>
        <w:pStyle w:val="Heading3"/>
        <w:spacing w:line="360" w:lineRule="auto"/>
        <w:jc w:val="both"/>
        <w:rPr>
          <w:rFonts w:ascii="Arial" w:hAnsi="Arial" w:cs="Arial"/>
          <w:color w:val="4472C4" w:themeColor="accent1"/>
          <w:sz w:val="24"/>
          <w:szCs w:val="24"/>
        </w:rPr>
      </w:pPr>
      <w:bookmarkStart w:id="1132" w:name="_Toc159613620"/>
      <w:bookmarkStart w:id="1133" w:name="_Toc160981281"/>
      <w:bookmarkStart w:id="1134" w:name="_Toc164676076"/>
      <w:bookmarkStart w:id="1135" w:name="_Toc164680521"/>
      <w:bookmarkStart w:id="1136" w:name="_Toc164681419"/>
      <w:bookmarkStart w:id="1137" w:name="_Toc170075097"/>
      <w:bookmarkStart w:id="1138" w:name="_Toc170076084"/>
      <w:bookmarkStart w:id="1139" w:name="_Toc170577783"/>
      <w:bookmarkStart w:id="1140" w:name="_Toc171203159"/>
      <w:bookmarkStart w:id="1141" w:name="_Toc171203931"/>
      <w:r w:rsidRPr="00437D6D">
        <w:rPr>
          <w:rFonts w:ascii="Arial" w:hAnsi="Arial" w:cs="Arial"/>
          <w:color w:val="4472C4" w:themeColor="accent1"/>
          <w:sz w:val="24"/>
          <w:szCs w:val="24"/>
        </w:rPr>
        <w:t>3.</w:t>
      </w:r>
      <w:r w:rsidR="00890A1F">
        <w:rPr>
          <w:rFonts w:ascii="Arial" w:hAnsi="Arial" w:cs="Arial"/>
          <w:color w:val="4472C4" w:themeColor="accent1"/>
          <w:sz w:val="24"/>
          <w:szCs w:val="24"/>
        </w:rPr>
        <w:t>3</w:t>
      </w:r>
      <w:r w:rsidRPr="00437D6D">
        <w:rPr>
          <w:rFonts w:ascii="Arial" w:hAnsi="Arial" w:cs="Arial"/>
          <w:color w:val="4472C4" w:themeColor="accent1"/>
          <w:sz w:val="24"/>
          <w:szCs w:val="24"/>
        </w:rPr>
        <w:t xml:space="preserve">.3 Total costs of healthcare resources used in VIRTU-4 </w:t>
      </w:r>
      <w:r w:rsidR="004E5D54">
        <w:rPr>
          <w:rFonts w:ascii="Arial" w:hAnsi="Arial" w:cs="Arial"/>
          <w:color w:val="4472C4" w:themeColor="accent1"/>
          <w:sz w:val="24"/>
          <w:szCs w:val="24"/>
        </w:rPr>
        <w:t xml:space="preserve">HE </w:t>
      </w:r>
      <w:bookmarkEnd w:id="1132"/>
      <w:bookmarkEnd w:id="1133"/>
      <w:bookmarkEnd w:id="1134"/>
      <w:bookmarkEnd w:id="1135"/>
      <w:bookmarkEnd w:id="1136"/>
      <w:r w:rsidR="00852145">
        <w:rPr>
          <w:rFonts w:ascii="Arial" w:hAnsi="Arial" w:cs="Arial"/>
          <w:color w:val="4472C4" w:themeColor="accent1"/>
          <w:sz w:val="24"/>
          <w:szCs w:val="24"/>
        </w:rPr>
        <w:t>w</w:t>
      </w:r>
      <w:r w:rsidR="00E2228E">
        <w:rPr>
          <w:rFonts w:ascii="Arial" w:hAnsi="Arial" w:cs="Arial"/>
          <w:color w:val="4472C4" w:themeColor="accent1"/>
          <w:sz w:val="24"/>
          <w:szCs w:val="24"/>
        </w:rPr>
        <w:t xml:space="preserve">ithin </w:t>
      </w:r>
      <w:r w:rsidR="00852145">
        <w:rPr>
          <w:rFonts w:ascii="Arial" w:hAnsi="Arial" w:cs="Arial"/>
          <w:color w:val="4472C4" w:themeColor="accent1"/>
          <w:sz w:val="24"/>
          <w:szCs w:val="24"/>
        </w:rPr>
        <w:t>one</w:t>
      </w:r>
      <w:r w:rsidR="00E2228E">
        <w:rPr>
          <w:rFonts w:ascii="Arial" w:hAnsi="Arial" w:cs="Arial"/>
          <w:color w:val="4472C4" w:themeColor="accent1"/>
          <w:sz w:val="24"/>
          <w:szCs w:val="24"/>
        </w:rPr>
        <w:t xml:space="preserve"> year</w:t>
      </w:r>
      <w:r w:rsidR="00852145">
        <w:rPr>
          <w:rFonts w:ascii="Arial" w:hAnsi="Arial" w:cs="Arial"/>
          <w:color w:val="4472C4" w:themeColor="accent1"/>
          <w:sz w:val="24"/>
          <w:szCs w:val="24"/>
        </w:rPr>
        <w:t xml:space="preserve"> </w:t>
      </w:r>
      <w:bookmarkEnd w:id="1137"/>
      <w:bookmarkEnd w:id="1138"/>
      <w:bookmarkEnd w:id="1139"/>
      <w:bookmarkEnd w:id="1140"/>
      <w:bookmarkEnd w:id="1141"/>
    </w:p>
    <w:p w14:paraId="5D960BC8" w14:textId="382F0609" w:rsidR="004942B6" w:rsidRDefault="004942B6" w:rsidP="004942B6">
      <w:pPr>
        <w:spacing w:line="360" w:lineRule="auto"/>
        <w:jc w:val="both"/>
        <w:rPr>
          <w:rFonts w:ascii="Arial" w:hAnsi="Arial" w:cs="Arial"/>
          <w:color w:val="000000" w:themeColor="text1"/>
          <w:sz w:val="24"/>
          <w:szCs w:val="24"/>
        </w:rPr>
      </w:pPr>
      <w:r w:rsidRPr="008215EC">
        <w:rPr>
          <w:rFonts w:ascii="Arial" w:hAnsi="Arial" w:cs="Arial"/>
          <w:sz w:val="24"/>
          <w:szCs w:val="24"/>
        </w:rPr>
        <w:t>The total healthcare resources used within one</w:t>
      </w:r>
      <w:r>
        <w:rPr>
          <w:rFonts w:ascii="Arial" w:hAnsi="Arial" w:cs="Arial"/>
          <w:sz w:val="24"/>
          <w:szCs w:val="24"/>
        </w:rPr>
        <w:t xml:space="preserve"> </w:t>
      </w:r>
      <w:r w:rsidRPr="008215EC">
        <w:rPr>
          <w:rFonts w:ascii="Arial" w:hAnsi="Arial" w:cs="Arial"/>
          <w:sz w:val="24"/>
          <w:szCs w:val="24"/>
        </w:rPr>
        <w:t>year after the index procedure</w:t>
      </w:r>
      <w:r>
        <w:rPr>
          <w:rFonts w:ascii="Arial" w:hAnsi="Arial" w:cs="Arial"/>
          <w:sz w:val="24"/>
          <w:szCs w:val="24"/>
        </w:rPr>
        <w:t xml:space="preserve"> </w:t>
      </w:r>
      <w:r w:rsidRPr="008215EC">
        <w:rPr>
          <w:rFonts w:ascii="Arial" w:hAnsi="Arial" w:cs="Arial"/>
          <w:sz w:val="24"/>
          <w:szCs w:val="24"/>
        </w:rPr>
        <w:t>including the costs of any repeat revascularisation, hospital admission, outpatient visits, outpatient investigations and cardiac rehabilitation</w:t>
      </w:r>
      <w:r w:rsidR="00C9451C">
        <w:rPr>
          <w:rFonts w:ascii="Arial" w:hAnsi="Arial" w:cs="Arial"/>
          <w:sz w:val="24"/>
          <w:szCs w:val="24"/>
        </w:rPr>
        <w:t xml:space="preserve"> for the full cohort (n=266)</w:t>
      </w:r>
      <w:r w:rsidRPr="008215EC">
        <w:rPr>
          <w:rFonts w:ascii="Arial" w:hAnsi="Arial" w:cs="Arial"/>
          <w:sz w:val="24"/>
          <w:szCs w:val="24"/>
        </w:rPr>
        <w:t xml:space="preserve"> </w:t>
      </w:r>
      <w:r>
        <w:rPr>
          <w:rFonts w:ascii="Arial" w:hAnsi="Arial" w:cs="Arial"/>
          <w:sz w:val="24"/>
          <w:szCs w:val="24"/>
        </w:rPr>
        <w:t>is shown</w:t>
      </w:r>
      <w:r w:rsidRPr="008215EC">
        <w:rPr>
          <w:rFonts w:ascii="Arial" w:hAnsi="Arial" w:cs="Arial"/>
          <w:sz w:val="24"/>
          <w:szCs w:val="24"/>
        </w:rPr>
        <w:t xml:space="preserve"> in Figure </w:t>
      </w:r>
      <w:r w:rsidR="00F87BD0">
        <w:rPr>
          <w:rFonts w:ascii="Arial" w:hAnsi="Arial" w:cs="Arial"/>
          <w:sz w:val="24"/>
          <w:szCs w:val="24"/>
        </w:rPr>
        <w:t>4</w:t>
      </w:r>
      <w:r w:rsidR="001823B4">
        <w:rPr>
          <w:rFonts w:ascii="Arial" w:hAnsi="Arial" w:cs="Arial"/>
          <w:sz w:val="24"/>
          <w:szCs w:val="24"/>
        </w:rPr>
        <w:t>6</w:t>
      </w:r>
      <w:r w:rsidR="00C9451C">
        <w:rPr>
          <w:rFonts w:ascii="Arial" w:hAnsi="Arial" w:cs="Arial"/>
          <w:color w:val="000000" w:themeColor="text1"/>
          <w:sz w:val="24"/>
          <w:szCs w:val="24"/>
        </w:rPr>
        <w:t xml:space="preserve"> along with the average cost per patient in Figure </w:t>
      </w:r>
      <w:r w:rsidR="00F87BD0">
        <w:rPr>
          <w:rFonts w:ascii="Arial" w:hAnsi="Arial" w:cs="Arial"/>
          <w:color w:val="000000" w:themeColor="text1"/>
          <w:sz w:val="24"/>
          <w:szCs w:val="24"/>
        </w:rPr>
        <w:t>4</w:t>
      </w:r>
      <w:r w:rsidR="001823B4">
        <w:rPr>
          <w:rFonts w:ascii="Arial" w:hAnsi="Arial" w:cs="Arial"/>
          <w:color w:val="000000" w:themeColor="text1"/>
          <w:sz w:val="24"/>
          <w:szCs w:val="24"/>
        </w:rPr>
        <w:t>7</w:t>
      </w:r>
      <w:r w:rsidR="00C9451C">
        <w:rPr>
          <w:rFonts w:ascii="Arial" w:hAnsi="Arial" w:cs="Arial"/>
          <w:color w:val="000000" w:themeColor="text1"/>
          <w:sz w:val="24"/>
          <w:szCs w:val="24"/>
        </w:rPr>
        <w:t xml:space="preserve">.  </w:t>
      </w:r>
    </w:p>
    <w:p w14:paraId="604EDD2F" w14:textId="77777777" w:rsidR="004942B6" w:rsidRPr="00D224F1" w:rsidRDefault="004942B6" w:rsidP="004942B6">
      <w:pPr>
        <w:spacing w:line="360" w:lineRule="auto"/>
        <w:rPr>
          <w:rFonts w:ascii="Arial" w:hAnsi="Arial" w:cs="Arial"/>
          <w:color w:val="000000" w:themeColor="text1"/>
          <w:sz w:val="24"/>
          <w:szCs w:val="24"/>
        </w:rPr>
      </w:pPr>
      <w:r w:rsidRPr="00D224F1">
        <w:rPr>
          <w:rFonts w:ascii="Arial" w:hAnsi="Arial" w:cs="Arial"/>
          <w:color w:val="000000" w:themeColor="text1"/>
          <w:sz w:val="24"/>
          <w:szCs w:val="24"/>
        </w:rPr>
        <w:t xml:space="preserve"> </w:t>
      </w:r>
    </w:p>
    <w:p w14:paraId="4C8832A2" w14:textId="77777777" w:rsidR="004942B6" w:rsidRDefault="004942B6" w:rsidP="004942B6">
      <w:pPr>
        <w:rPr>
          <w:color w:val="000000" w:themeColor="text1"/>
        </w:rPr>
      </w:pPr>
    </w:p>
    <w:p w14:paraId="200B5389" w14:textId="77777777" w:rsidR="004942B6" w:rsidRDefault="004942B6" w:rsidP="004942B6">
      <w:pPr>
        <w:rPr>
          <w:color w:val="000000" w:themeColor="text1"/>
        </w:rPr>
      </w:pPr>
    </w:p>
    <w:p w14:paraId="0F55DC0F" w14:textId="77777777" w:rsidR="00AF67B1" w:rsidRDefault="00AF67B1" w:rsidP="004942B6">
      <w:pPr>
        <w:keepNext/>
      </w:pPr>
    </w:p>
    <w:p w14:paraId="6D906AB6" w14:textId="7B8DF0A5" w:rsidR="004942B6" w:rsidRDefault="004942B6" w:rsidP="004942B6">
      <w:pPr>
        <w:keepNext/>
      </w:pPr>
      <w:r>
        <w:rPr>
          <w:noProof/>
          <w:sz w:val="16"/>
          <w:szCs w:val="16"/>
          <w:lang w:eastAsia="en-GB"/>
        </w:rPr>
        <w:drawing>
          <wp:inline distT="0" distB="0" distL="0" distR="0" wp14:anchorId="76DBA042" wp14:editId="629FF86A">
            <wp:extent cx="5960180" cy="3778512"/>
            <wp:effectExtent l="0" t="0" r="2540" b="0"/>
            <wp:docPr id="53370710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07106" name="Picture 1" descr="A screenshot of a graph&#10;&#10;Description automatically generated"/>
                    <pic:cNvPicPr/>
                  </pic:nvPicPr>
                  <pic:blipFill rotWithShape="1">
                    <a:blip r:embed="rId73" cstate="print">
                      <a:extLst>
                        <a:ext uri="{28A0092B-C50C-407E-A947-70E740481C1C}">
                          <a14:useLocalDpi xmlns:a14="http://schemas.microsoft.com/office/drawing/2010/main" val="0"/>
                        </a:ext>
                      </a:extLst>
                    </a:blip>
                    <a:srcRect l="4879" t="1884" r="5066" b="16555"/>
                    <a:stretch/>
                  </pic:blipFill>
                  <pic:spPr bwMode="auto">
                    <a:xfrm>
                      <a:off x="0" y="0"/>
                      <a:ext cx="5964941" cy="3781530"/>
                    </a:xfrm>
                    <a:prstGeom prst="rect">
                      <a:avLst/>
                    </a:prstGeom>
                    <a:ln>
                      <a:noFill/>
                    </a:ln>
                    <a:extLst>
                      <a:ext uri="{53640926-AAD7-44D8-BBD7-CCE9431645EC}">
                        <a14:shadowObscured xmlns:a14="http://schemas.microsoft.com/office/drawing/2010/main"/>
                      </a:ext>
                    </a:extLst>
                  </pic:spPr>
                </pic:pic>
              </a:graphicData>
            </a:graphic>
          </wp:inline>
        </w:drawing>
      </w:r>
    </w:p>
    <w:p w14:paraId="585AADF2" w14:textId="65D1E828" w:rsidR="004942B6" w:rsidRDefault="004942B6" w:rsidP="004942B6">
      <w:pPr>
        <w:pStyle w:val="Caption"/>
        <w:jc w:val="both"/>
        <w:rPr>
          <w:rFonts w:ascii="Arial" w:hAnsi="Arial" w:cs="Arial"/>
          <w:color w:val="auto"/>
          <w:sz w:val="20"/>
          <w:szCs w:val="20"/>
        </w:rPr>
      </w:pPr>
      <w:bookmarkStart w:id="1142" w:name="_Toc150518919"/>
      <w:bookmarkStart w:id="1143" w:name="_Toc151222856"/>
      <w:bookmarkStart w:id="1144" w:name="_Toc151626696"/>
      <w:bookmarkStart w:id="1145" w:name="_Toc152340490"/>
      <w:bookmarkStart w:id="1146" w:name="_Toc152492283"/>
      <w:bookmarkStart w:id="1147" w:name="_Toc152596971"/>
      <w:bookmarkStart w:id="1148" w:name="_Toc153409678"/>
      <w:bookmarkStart w:id="1149" w:name="_Toc153724925"/>
      <w:bookmarkStart w:id="1150" w:name="_Toc159318517"/>
      <w:bookmarkStart w:id="1151" w:name="_Toc159612043"/>
      <w:bookmarkStart w:id="1152" w:name="_Toc160982689"/>
      <w:bookmarkStart w:id="1153" w:name="_Toc164697515"/>
      <w:bookmarkStart w:id="1154" w:name="_Toc170744607"/>
      <w:bookmarkStart w:id="1155" w:name="_Toc196153238"/>
      <w:r w:rsidRPr="00DD1DB1">
        <w:rPr>
          <w:rFonts w:ascii="Arial" w:hAnsi="Arial" w:cs="Arial"/>
          <w:b/>
          <w:bCs/>
          <w:color w:val="auto"/>
          <w:sz w:val="20"/>
          <w:szCs w:val="20"/>
        </w:rPr>
        <w:t xml:space="preserve">Figure </w:t>
      </w:r>
      <w:r w:rsidRPr="00DD1DB1">
        <w:rPr>
          <w:rFonts w:ascii="Arial" w:hAnsi="Arial" w:cs="Arial"/>
          <w:b/>
          <w:bCs/>
          <w:color w:val="auto"/>
          <w:sz w:val="20"/>
          <w:szCs w:val="20"/>
        </w:rPr>
        <w:fldChar w:fldCharType="begin"/>
      </w:r>
      <w:r w:rsidRPr="00DD1DB1">
        <w:rPr>
          <w:rFonts w:ascii="Arial" w:hAnsi="Arial" w:cs="Arial"/>
          <w:b/>
          <w:bCs/>
          <w:color w:val="auto"/>
          <w:sz w:val="20"/>
          <w:szCs w:val="20"/>
        </w:rPr>
        <w:instrText xml:space="preserve"> SEQ Figure \* ARABIC </w:instrText>
      </w:r>
      <w:r w:rsidRPr="00DD1DB1">
        <w:rPr>
          <w:rFonts w:ascii="Arial" w:hAnsi="Arial" w:cs="Arial"/>
          <w:b/>
          <w:bCs/>
          <w:color w:val="auto"/>
          <w:sz w:val="20"/>
          <w:szCs w:val="20"/>
        </w:rPr>
        <w:fldChar w:fldCharType="separate"/>
      </w:r>
      <w:r w:rsidR="001823B4">
        <w:rPr>
          <w:rFonts w:ascii="Arial" w:hAnsi="Arial" w:cs="Arial"/>
          <w:b/>
          <w:bCs/>
          <w:noProof/>
          <w:color w:val="auto"/>
          <w:sz w:val="20"/>
          <w:szCs w:val="20"/>
        </w:rPr>
        <w:t>46</w:t>
      </w:r>
      <w:r w:rsidRPr="00DD1DB1">
        <w:rPr>
          <w:rFonts w:ascii="Arial" w:hAnsi="Arial" w:cs="Arial"/>
          <w:b/>
          <w:bCs/>
          <w:color w:val="auto"/>
          <w:sz w:val="20"/>
          <w:szCs w:val="20"/>
        </w:rPr>
        <w:fldChar w:fldCharType="end"/>
      </w:r>
      <w:r w:rsidRPr="00E83766">
        <w:rPr>
          <w:rFonts w:ascii="Arial" w:hAnsi="Arial" w:cs="Arial"/>
          <w:color w:val="auto"/>
          <w:sz w:val="20"/>
          <w:szCs w:val="20"/>
        </w:rPr>
        <w:t>: Summary of the total cost of resources used after the index procedure at one-year follow-up</w:t>
      </w:r>
      <w:bookmarkEnd w:id="1142"/>
      <w:bookmarkEnd w:id="1143"/>
      <w:bookmarkEnd w:id="1144"/>
      <w:bookmarkEnd w:id="1145"/>
      <w:bookmarkEnd w:id="1146"/>
      <w:bookmarkEnd w:id="1147"/>
      <w:bookmarkEnd w:id="1148"/>
      <w:bookmarkEnd w:id="1149"/>
      <w:r>
        <w:rPr>
          <w:rFonts w:ascii="Arial" w:hAnsi="Arial" w:cs="Arial"/>
          <w:color w:val="auto"/>
          <w:sz w:val="20"/>
          <w:szCs w:val="20"/>
        </w:rPr>
        <w:t>.</w:t>
      </w:r>
      <w:bookmarkEnd w:id="1150"/>
      <w:bookmarkEnd w:id="1151"/>
      <w:bookmarkEnd w:id="1152"/>
      <w:bookmarkEnd w:id="1153"/>
      <w:bookmarkEnd w:id="1154"/>
      <w:bookmarkEnd w:id="1155"/>
    </w:p>
    <w:p w14:paraId="07DDDC3D" w14:textId="77777777" w:rsidR="0000211E" w:rsidRDefault="0000211E" w:rsidP="0000211E"/>
    <w:p w14:paraId="26185C1D" w14:textId="77777777" w:rsidR="00C95BFA" w:rsidRDefault="0000211E" w:rsidP="00C95BFA">
      <w:pPr>
        <w:keepNext/>
      </w:pPr>
      <w:r>
        <w:rPr>
          <w:noProof/>
          <w:lang w:eastAsia="en-GB"/>
        </w:rPr>
        <w:drawing>
          <wp:inline distT="0" distB="0" distL="0" distR="0" wp14:anchorId="0B9A8853" wp14:editId="67826847">
            <wp:extent cx="5899454" cy="3444240"/>
            <wp:effectExtent l="0" t="0" r="6350" b="3810"/>
            <wp:docPr id="362823343" name="Picture 6" descr="A graph with black and white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23343" name="Picture 6" descr="A graph with black and white bars"/>
                    <pic:cNvPicPr/>
                  </pic:nvPicPr>
                  <pic:blipFill rotWithShape="1">
                    <a:blip r:embed="rId74" cstate="print">
                      <a:extLst>
                        <a:ext uri="{28A0092B-C50C-407E-A947-70E740481C1C}">
                          <a14:useLocalDpi xmlns:a14="http://schemas.microsoft.com/office/drawing/2010/main" val="0"/>
                        </a:ext>
                      </a:extLst>
                    </a:blip>
                    <a:srcRect l="2659" t="7218" r="6935" b="17379"/>
                    <a:stretch/>
                  </pic:blipFill>
                  <pic:spPr bwMode="auto">
                    <a:xfrm>
                      <a:off x="0" y="0"/>
                      <a:ext cx="5901853" cy="3445641"/>
                    </a:xfrm>
                    <a:prstGeom prst="rect">
                      <a:avLst/>
                    </a:prstGeom>
                    <a:ln>
                      <a:noFill/>
                    </a:ln>
                    <a:extLst>
                      <a:ext uri="{53640926-AAD7-44D8-BBD7-CCE9431645EC}">
                        <a14:shadowObscured xmlns:a14="http://schemas.microsoft.com/office/drawing/2010/main"/>
                      </a:ext>
                    </a:extLst>
                  </pic:spPr>
                </pic:pic>
              </a:graphicData>
            </a:graphic>
          </wp:inline>
        </w:drawing>
      </w:r>
    </w:p>
    <w:p w14:paraId="4F17594E" w14:textId="58D4421E" w:rsidR="0000211E" w:rsidRPr="00C95BFA" w:rsidRDefault="00C95BFA" w:rsidP="00C95BFA">
      <w:pPr>
        <w:pStyle w:val="Caption"/>
        <w:rPr>
          <w:rFonts w:ascii="Arial" w:hAnsi="Arial" w:cs="Arial"/>
          <w:color w:val="auto"/>
          <w:sz w:val="20"/>
          <w:szCs w:val="20"/>
        </w:rPr>
      </w:pPr>
      <w:bookmarkStart w:id="1156" w:name="_Toc170744608"/>
      <w:bookmarkStart w:id="1157" w:name="_Toc196153239"/>
      <w:r w:rsidRPr="00C95BFA">
        <w:rPr>
          <w:rFonts w:ascii="Arial" w:hAnsi="Arial" w:cs="Arial"/>
          <w:b/>
          <w:bCs/>
          <w:color w:val="auto"/>
          <w:sz w:val="20"/>
          <w:szCs w:val="20"/>
        </w:rPr>
        <w:t xml:space="preserve">Figure </w:t>
      </w:r>
      <w:r w:rsidRPr="00C95BFA">
        <w:rPr>
          <w:rFonts w:ascii="Arial" w:hAnsi="Arial" w:cs="Arial"/>
          <w:b/>
          <w:bCs/>
          <w:color w:val="auto"/>
          <w:sz w:val="20"/>
          <w:szCs w:val="20"/>
        </w:rPr>
        <w:fldChar w:fldCharType="begin"/>
      </w:r>
      <w:r w:rsidRPr="00C95BFA">
        <w:rPr>
          <w:rFonts w:ascii="Arial" w:hAnsi="Arial" w:cs="Arial"/>
          <w:b/>
          <w:bCs/>
          <w:color w:val="auto"/>
          <w:sz w:val="20"/>
          <w:szCs w:val="20"/>
        </w:rPr>
        <w:instrText xml:space="preserve"> SEQ Figure \* ARABIC </w:instrText>
      </w:r>
      <w:r w:rsidRPr="00C95BFA">
        <w:rPr>
          <w:rFonts w:ascii="Arial" w:hAnsi="Arial" w:cs="Arial"/>
          <w:b/>
          <w:bCs/>
          <w:color w:val="auto"/>
          <w:sz w:val="20"/>
          <w:szCs w:val="20"/>
        </w:rPr>
        <w:fldChar w:fldCharType="separate"/>
      </w:r>
      <w:r w:rsidR="001823B4">
        <w:rPr>
          <w:rFonts w:ascii="Arial" w:hAnsi="Arial" w:cs="Arial"/>
          <w:b/>
          <w:bCs/>
          <w:noProof/>
          <w:color w:val="auto"/>
          <w:sz w:val="20"/>
          <w:szCs w:val="20"/>
        </w:rPr>
        <w:t>47</w:t>
      </w:r>
      <w:r w:rsidRPr="00C95BFA">
        <w:rPr>
          <w:rFonts w:ascii="Arial" w:hAnsi="Arial" w:cs="Arial"/>
          <w:b/>
          <w:bCs/>
          <w:color w:val="auto"/>
          <w:sz w:val="20"/>
          <w:szCs w:val="20"/>
        </w:rPr>
        <w:fldChar w:fldCharType="end"/>
      </w:r>
      <w:r w:rsidRPr="00C95BFA">
        <w:rPr>
          <w:rFonts w:ascii="Arial" w:hAnsi="Arial" w:cs="Arial"/>
          <w:color w:val="auto"/>
          <w:sz w:val="20"/>
          <w:szCs w:val="20"/>
        </w:rPr>
        <w:t>: Summary of the average cost of resources used per patient at one-year for ACS and CCS patients.</w:t>
      </w:r>
      <w:bookmarkEnd w:id="1156"/>
      <w:bookmarkEnd w:id="1157"/>
    </w:p>
    <w:p w14:paraId="46054049" w14:textId="5D474052" w:rsidR="00C9451C" w:rsidRPr="000A337E" w:rsidRDefault="004942B6" w:rsidP="000A337E">
      <w:pPr>
        <w:pStyle w:val="Heading2"/>
        <w:spacing w:line="360" w:lineRule="auto"/>
        <w:jc w:val="both"/>
        <w:rPr>
          <w:rFonts w:ascii="Arial" w:hAnsi="Arial" w:cs="Arial"/>
          <w:color w:val="4472C4" w:themeColor="accent1"/>
          <w:sz w:val="28"/>
          <w:szCs w:val="28"/>
        </w:rPr>
      </w:pPr>
      <w:bookmarkStart w:id="1158" w:name="_Toc171203932"/>
      <w:r w:rsidRPr="00A07585">
        <w:rPr>
          <w:rFonts w:ascii="Arial" w:hAnsi="Arial" w:cs="Arial"/>
          <w:color w:val="4472C4" w:themeColor="accent1"/>
          <w:sz w:val="28"/>
          <w:szCs w:val="28"/>
        </w:rPr>
        <w:lastRenderedPageBreak/>
        <w:t>3.</w:t>
      </w:r>
      <w:r w:rsidR="00A07585" w:rsidRPr="00A07585">
        <w:rPr>
          <w:rFonts w:ascii="Arial" w:hAnsi="Arial" w:cs="Arial"/>
          <w:color w:val="4472C4" w:themeColor="accent1"/>
          <w:sz w:val="28"/>
          <w:szCs w:val="28"/>
        </w:rPr>
        <w:t>4</w:t>
      </w:r>
      <w:r w:rsidRPr="00A07585">
        <w:rPr>
          <w:rFonts w:ascii="Arial" w:hAnsi="Arial" w:cs="Arial"/>
          <w:color w:val="4472C4" w:themeColor="accent1"/>
          <w:sz w:val="28"/>
          <w:szCs w:val="28"/>
        </w:rPr>
        <w:t xml:space="preserve"> Clinical outcomes from the virtual change subset</w:t>
      </w:r>
      <w:bookmarkEnd w:id="1158"/>
      <w:r w:rsidRPr="00A07585">
        <w:rPr>
          <w:rFonts w:ascii="Arial" w:hAnsi="Arial" w:cs="Arial"/>
          <w:color w:val="4472C4" w:themeColor="accent1"/>
          <w:sz w:val="28"/>
          <w:szCs w:val="28"/>
        </w:rPr>
        <w:t xml:space="preserve"> </w:t>
      </w:r>
    </w:p>
    <w:p w14:paraId="48447938" w14:textId="0FE5443D" w:rsidR="004942B6" w:rsidRPr="00437D6D" w:rsidRDefault="004942B6" w:rsidP="004942B6">
      <w:pPr>
        <w:pStyle w:val="Heading3"/>
        <w:spacing w:line="360" w:lineRule="auto"/>
        <w:jc w:val="both"/>
        <w:rPr>
          <w:rFonts w:ascii="Arial" w:hAnsi="Arial" w:cs="Arial"/>
          <w:color w:val="4472C4" w:themeColor="accent1"/>
          <w:sz w:val="24"/>
          <w:szCs w:val="24"/>
        </w:rPr>
      </w:pPr>
      <w:bookmarkStart w:id="1159" w:name="_Toc159613622"/>
      <w:bookmarkStart w:id="1160" w:name="_Toc160981283"/>
      <w:bookmarkStart w:id="1161" w:name="_Toc170075099"/>
      <w:bookmarkStart w:id="1162" w:name="_Toc170076086"/>
      <w:bookmarkStart w:id="1163" w:name="_Toc170577785"/>
      <w:bookmarkStart w:id="1164" w:name="_Toc171203161"/>
      <w:bookmarkStart w:id="1165" w:name="_Toc171203933"/>
      <w:r w:rsidRPr="00437D6D">
        <w:rPr>
          <w:rFonts w:ascii="Arial" w:hAnsi="Arial" w:cs="Arial"/>
          <w:color w:val="4472C4" w:themeColor="accent1"/>
          <w:sz w:val="24"/>
          <w:szCs w:val="24"/>
        </w:rPr>
        <w:t>3.</w:t>
      </w:r>
      <w:r w:rsidR="00A07585">
        <w:rPr>
          <w:rFonts w:ascii="Arial" w:hAnsi="Arial" w:cs="Arial"/>
          <w:color w:val="4472C4" w:themeColor="accent1"/>
          <w:sz w:val="24"/>
          <w:szCs w:val="24"/>
        </w:rPr>
        <w:t>4</w:t>
      </w:r>
      <w:r w:rsidRPr="00437D6D">
        <w:rPr>
          <w:rFonts w:ascii="Arial" w:hAnsi="Arial" w:cs="Arial"/>
          <w:color w:val="4472C4" w:themeColor="accent1"/>
          <w:sz w:val="24"/>
          <w:szCs w:val="24"/>
        </w:rPr>
        <w:t xml:space="preserve">.1 Summary of the virtual changes in management plans </w:t>
      </w:r>
      <w:r w:rsidR="00A07585">
        <w:rPr>
          <w:rFonts w:ascii="Arial" w:hAnsi="Arial" w:cs="Arial"/>
          <w:color w:val="4472C4" w:themeColor="accent1"/>
          <w:sz w:val="24"/>
          <w:szCs w:val="24"/>
        </w:rPr>
        <w:t>within</w:t>
      </w:r>
      <w:r w:rsidRPr="00437D6D">
        <w:rPr>
          <w:rFonts w:ascii="Arial" w:hAnsi="Arial" w:cs="Arial"/>
          <w:color w:val="4472C4" w:themeColor="accent1"/>
          <w:sz w:val="24"/>
          <w:szCs w:val="24"/>
        </w:rPr>
        <w:t xml:space="preserve"> the virtual change subset</w:t>
      </w:r>
      <w:bookmarkEnd w:id="1159"/>
      <w:bookmarkEnd w:id="1160"/>
      <w:bookmarkEnd w:id="1161"/>
      <w:bookmarkEnd w:id="1162"/>
      <w:bookmarkEnd w:id="1163"/>
      <w:r w:rsidRPr="00437D6D">
        <w:rPr>
          <w:rFonts w:ascii="Arial" w:hAnsi="Arial" w:cs="Arial"/>
          <w:color w:val="4472C4" w:themeColor="accent1"/>
          <w:sz w:val="24"/>
          <w:szCs w:val="24"/>
        </w:rPr>
        <w:t xml:space="preserve"> </w:t>
      </w:r>
      <w:r w:rsidR="00BE6623">
        <w:rPr>
          <w:rFonts w:ascii="Arial" w:hAnsi="Arial" w:cs="Arial"/>
          <w:color w:val="4472C4" w:themeColor="accent1"/>
          <w:sz w:val="24"/>
          <w:szCs w:val="24"/>
        </w:rPr>
        <w:t>according to the parent cardiologists</w:t>
      </w:r>
      <w:bookmarkEnd w:id="1164"/>
      <w:bookmarkEnd w:id="1165"/>
    </w:p>
    <w:p w14:paraId="05EB44CB" w14:textId="5514D5F6" w:rsidR="004942B6" w:rsidRDefault="004544E9" w:rsidP="004942B6">
      <w:pPr>
        <w:spacing w:line="360" w:lineRule="auto"/>
        <w:jc w:val="both"/>
        <w:rPr>
          <w:rFonts w:ascii="Arial" w:hAnsi="Arial" w:cs="Arial"/>
          <w:sz w:val="24"/>
          <w:szCs w:val="24"/>
        </w:rPr>
      </w:pPr>
      <w:r w:rsidRPr="00C55DD5">
        <w:rPr>
          <w:rFonts w:ascii="Arial" w:hAnsi="Arial" w:cs="Arial"/>
          <w:sz w:val="24"/>
          <w:szCs w:val="24"/>
        </w:rPr>
        <w:t>65/266 (24.4%) patients</w:t>
      </w:r>
      <w:r>
        <w:rPr>
          <w:rFonts w:ascii="Arial" w:hAnsi="Arial" w:cs="Arial"/>
          <w:sz w:val="24"/>
          <w:szCs w:val="24"/>
        </w:rPr>
        <w:t xml:space="preserve"> in VIRTU-4 HE had a virtual change in management plan after vFFR disclosure (</w:t>
      </w:r>
      <w:r w:rsidRPr="00C55DD5">
        <w:rPr>
          <w:rFonts w:ascii="Arial" w:hAnsi="Arial" w:cs="Arial"/>
          <w:sz w:val="24"/>
          <w:szCs w:val="24"/>
        </w:rPr>
        <w:t>39 ACS and 26</w:t>
      </w:r>
      <w:r>
        <w:rPr>
          <w:rFonts w:ascii="Arial" w:hAnsi="Arial" w:cs="Arial"/>
          <w:sz w:val="24"/>
          <w:szCs w:val="24"/>
        </w:rPr>
        <w:t xml:space="preserve"> CCS patients). </w:t>
      </w:r>
      <w:r w:rsidR="004942B6" w:rsidRPr="00C73345">
        <w:rPr>
          <w:rFonts w:ascii="Arial" w:hAnsi="Arial" w:cs="Arial"/>
          <w:sz w:val="24"/>
          <w:szCs w:val="24"/>
        </w:rPr>
        <w:t xml:space="preserve">The virtual changes in the management plans of the </w:t>
      </w:r>
      <w:r w:rsidR="004942B6">
        <w:rPr>
          <w:rFonts w:ascii="Arial" w:hAnsi="Arial" w:cs="Arial"/>
          <w:sz w:val="24"/>
          <w:szCs w:val="24"/>
        </w:rPr>
        <w:t>ACS</w:t>
      </w:r>
      <w:r w:rsidR="004942B6" w:rsidRPr="00C73345">
        <w:rPr>
          <w:rFonts w:ascii="Arial" w:hAnsi="Arial" w:cs="Arial"/>
          <w:sz w:val="24"/>
          <w:szCs w:val="24"/>
        </w:rPr>
        <w:t xml:space="preserve"> and </w:t>
      </w:r>
      <w:r w:rsidR="004942B6">
        <w:rPr>
          <w:rFonts w:ascii="Arial" w:hAnsi="Arial" w:cs="Arial"/>
          <w:sz w:val="24"/>
          <w:szCs w:val="24"/>
        </w:rPr>
        <w:t>CCS</w:t>
      </w:r>
      <w:r w:rsidR="004942B6" w:rsidRPr="00C73345">
        <w:rPr>
          <w:rFonts w:ascii="Arial" w:hAnsi="Arial" w:cs="Arial"/>
          <w:sz w:val="24"/>
          <w:szCs w:val="24"/>
        </w:rPr>
        <w:t xml:space="preserve"> patients</w:t>
      </w:r>
      <w:r w:rsidR="00C9451C">
        <w:rPr>
          <w:rFonts w:ascii="Arial" w:hAnsi="Arial" w:cs="Arial"/>
          <w:sz w:val="24"/>
          <w:szCs w:val="24"/>
        </w:rPr>
        <w:t xml:space="preserve"> post-vFFR</w:t>
      </w:r>
      <w:r w:rsidR="004942B6" w:rsidRPr="00C73345">
        <w:rPr>
          <w:rFonts w:ascii="Arial" w:hAnsi="Arial" w:cs="Arial"/>
          <w:sz w:val="24"/>
          <w:szCs w:val="24"/>
        </w:rPr>
        <w:t xml:space="preserve"> </w:t>
      </w:r>
      <w:r w:rsidR="00C9451C">
        <w:rPr>
          <w:rFonts w:ascii="Arial" w:hAnsi="Arial" w:cs="Arial"/>
          <w:sz w:val="24"/>
          <w:szCs w:val="24"/>
        </w:rPr>
        <w:t>with</w:t>
      </w:r>
      <w:r w:rsidR="004942B6" w:rsidRPr="00C73345">
        <w:rPr>
          <w:rFonts w:ascii="Arial" w:hAnsi="Arial" w:cs="Arial"/>
          <w:sz w:val="24"/>
          <w:szCs w:val="24"/>
        </w:rPr>
        <w:t xml:space="preserve">in the </w:t>
      </w:r>
      <w:r w:rsidR="004942B6">
        <w:rPr>
          <w:rFonts w:ascii="Arial" w:hAnsi="Arial" w:cs="Arial"/>
          <w:sz w:val="24"/>
          <w:szCs w:val="24"/>
        </w:rPr>
        <w:t>virtual change subset</w:t>
      </w:r>
      <w:r w:rsidR="004942B6" w:rsidRPr="00C73345">
        <w:rPr>
          <w:rFonts w:ascii="Arial" w:hAnsi="Arial" w:cs="Arial"/>
          <w:sz w:val="24"/>
          <w:szCs w:val="24"/>
        </w:rPr>
        <w:t xml:space="preserve"> </w:t>
      </w:r>
      <w:r w:rsidR="004942B6">
        <w:rPr>
          <w:rFonts w:ascii="Arial" w:hAnsi="Arial" w:cs="Arial"/>
          <w:sz w:val="24"/>
          <w:szCs w:val="24"/>
        </w:rPr>
        <w:t>are</w:t>
      </w:r>
      <w:r w:rsidR="004942B6" w:rsidRPr="00C73345">
        <w:rPr>
          <w:rFonts w:ascii="Arial" w:hAnsi="Arial" w:cs="Arial"/>
          <w:sz w:val="24"/>
          <w:szCs w:val="24"/>
        </w:rPr>
        <w:t xml:space="preserve"> </w:t>
      </w:r>
      <w:r w:rsidR="004942B6">
        <w:rPr>
          <w:rFonts w:ascii="Arial" w:hAnsi="Arial" w:cs="Arial"/>
          <w:sz w:val="24"/>
          <w:szCs w:val="24"/>
        </w:rPr>
        <w:t>shown</w:t>
      </w:r>
      <w:r w:rsidR="004942B6" w:rsidRPr="00C73345">
        <w:rPr>
          <w:rFonts w:ascii="Arial" w:hAnsi="Arial" w:cs="Arial"/>
          <w:sz w:val="24"/>
          <w:szCs w:val="24"/>
        </w:rPr>
        <w:t xml:space="preserve"> in </w:t>
      </w:r>
      <w:r w:rsidR="004942B6">
        <w:rPr>
          <w:rFonts w:ascii="Arial" w:hAnsi="Arial" w:cs="Arial"/>
          <w:sz w:val="24"/>
          <w:szCs w:val="24"/>
        </w:rPr>
        <w:t xml:space="preserve">Figure </w:t>
      </w:r>
      <w:r w:rsidR="00F87BD0">
        <w:rPr>
          <w:rFonts w:ascii="Arial" w:hAnsi="Arial" w:cs="Arial"/>
          <w:sz w:val="24"/>
          <w:szCs w:val="24"/>
        </w:rPr>
        <w:t>4</w:t>
      </w:r>
      <w:r w:rsidR="001823B4">
        <w:rPr>
          <w:rFonts w:ascii="Arial" w:hAnsi="Arial" w:cs="Arial"/>
          <w:sz w:val="24"/>
          <w:szCs w:val="24"/>
        </w:rPr>
        <w:t>8,</w:t>
      </w:r>
      <w:r w:rsidR="005D41DE">
        <w:rPr>
          <w:rFonts w:ascii="Arial" w:hAnsi="Arial" w:cs="Arial"/>
          <w:sz w:val="24"/>
          <w:szCs w:val="24"/>
        </w:rPr>
        <w:t xml:space="preserve"> and its detailed economic impact is shown in Table 22 (see </w:t>
      </w:r>
      <w:r w:rsidR="001823B4">
        <w:rPr>
          <w:rFonts w:ascii="Arial" w:hAnsi="Arial" w:cs="Arial"/>
          <w:sz w:val="24"/>
          <w:szCs w:val="24"/>
        </w:rPr>
        <w:t xml:space="preserve">Appendix </w:t>
      </w:r>
      <w:r w:rsidR="005D41DE">
        <w:rPr>
          <w:rFonts w:ascii="Arial" w:hAnsi="Arial" w:cs="Arial"/>
          <w:sz w:val="24"/>
          <w:szCs w:val="24"/>
        </w:rPr>
        <w:t>6.2).</w:t>
      </w:r>
    </w:p>
    <w:p w14:paraId="6BC26155" w14:textId="77777777" w:rsidR="00756636" w:rsidRPr="00542290" w:rsidRDefault="00756636" w:rsidP="004942B6">
      <w:pPr>
        <w:spacing w:line="360" w:lineRule="auto"/>
        <w:jc w:val="both"/>
        <w:rPr>
          <w:rFonts w:ascii="Arial" w:hAnsi="Arial" w:cs="Arial"/>
          <w:sz w:val="24"/>
          <w:szCs w:val="24"/>
        </w:rPr>
      </w:pPr>
    </w:p>
    <w:p w14:paraId="2DBAE55B" w14:textId="77777777" w:rsidR="004942B6" w:rsidRDefault="004942B6" w:rsidP="004942B6">
      <w:pPr>
        <w:keepNext/>
      </w:pPr>
      <w:r>
        <w:rPr>
          <w:noProof/>
          <w:color w:val="000000" w:themeColor="text1"/>
          <w:lang w:eastAsia="en-GB"/>
        </w:rPr>
        <w:drawing>
          <wp:inline distT="0" distB="0" distL="0" distR="0" wp14:anchorId="2E09DED7" wp14:editId="269AB075">
            <wp:extent cx="5745480" cy="3070509"/>
            <wp:effectExtent l="0" t="0" r="7620" b="0"/>
            <wp:docPr id="1962863686"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63686" name="Picture 5" descr="A screenshot of a computer&#10;&#10;Description automatically generated"/>
                    <pic:cNvPicPr/>
                  </pic:nvPicPr>
                  <pic:blipFill rotWithShape="1">
                    <a:blip r:embed="rId75" cstate="print">
                      <a:extLst>
                        <a:ext uri="{28A0092B-C50C-407E-A947-70E740481C1C}">
                          <a14:useLocalDpi xmlns:a14="http://schemas.microsoft.com/office/drawing/2010/main" val="0"/>
                        </a:ext>
                      </a:extLst>
                    </a:blip>
                    <a:srcRect l="3494" t="2540" r="2361" b="15597"/>
                    <a:stretch/>
                  </pic:blipFill>
                  <pic:spPr bwMode="auto">
                    <a:xfrm>
                      <a:off x="0" y="0"/>
                      <a:ext cx="5772538" cy="3084969"/>
                    </a:xfrm>
                    <a:prstGeom prst="rect">
                      <a:avLst/>
                    </a:prstGeom>
                    <a:ln>
                      <a:noFill/>
                    </a:ln>
                    <a:extLst>
                      <a:ext uri="{53640926-AAD7-44D8-BBD7-CCE9431645EC}">
                        <a14:shadowObscured xmlns:a14="http://schemas.microsoft.com/office/drawing/2010/main"/>
                      </a:ext>
                    </a:extLst>
                  </pic:spPr>
                </pic:pic>
              </a:graphicData>
            </a:graphic>
          </wp:inline>
        </w:drawing>
      </w:r>
    </w:p>
    <w:p w14:paraId="109BECEB" w14:textId="157FD80F" w:rsidR="00F47465" w:rsidRDefault="004942B6" w:rsidP="00F47465">
      <w:pPr>
        <w:pStyle w:val="Caption"/>
        <w:jc w:val="both"/>
        <w:rPr>
          <w:rFonts w:ascii="Arial" w:hAnsi="Arial" w:cs="Arial"/>
          <w:color w:val="auto"/>
          <w:sz w:val="20"/>
          <w:szCs w:val="20"/>
        </w:rPr>
      </w:pPr>
      <w:bookmarkStart w:id="1166" w:name="_Toc159318518"/>
      <w:bookmarkStart w:id="1167" w:name="_Toc159612044"/>
      <w:bookmarkStart w:id="1168" w:name="_Toc160982690"/>
      <w:bookmarkStart w:id="1169" w:name="_Toc164697516"/>
      <w:bookmarkStart w:id="1170" w:name="_Toc170744609"/>
      <w:bookmarkStart w:id="1171" w:name="_Toc196153240"/>
      <w:r w:rsidRPr="002F5C60">
        <w:rPr>
          <w:rFonts w:ascii="Arial" w:hAnsi="Arial" w:cs="Arial"/>
          <w:b/>
          <w:bCs/>
          <w:color w:val="auto"/>
          <w:sz w:val="20"/>
          <w:szCs w:val="20"/>
        </w:rPr>
        <w:t xml:space="preserve">Figure </w:t>
      </w:r>
      <w:r w:rsidRPr="002F5C60">
        <w:rPr>
          <w:rFonts w:ascii="Arial" w:hAnsi="Arial" w:cs="Arial"/>
          <w:b/>
          <w:bCs/>
          <w:color w:val="auto"/>
          <w:sz w:val="20"/>
          <w:szCs w:val="20"/>
        </w:rPr>
        <w:fldChar w:fldCharType="begin"/>
      </w:r>
      <w:r w:rsidRPr="002F5C60">
        <w:rPr>
          <w:rFonts w:ascii="Arial" w:hAnsi="Arial" w:cs="Arial"/>
          <w:b/>
          <w:bCs/>
          <w:color w:val="auto"/>
          <w:sz w:val="20"/>
          <w:szCs w:val="20"/>
        </w:rPr>
        <w:instrText xml:space="preserve"> SEQ Figure \* ARABIC </w:instrText>
      </w:r>
      <w:r w:rsidRPr="002F5C60">
        <w:rPr>
          <w:rFonts w:ascii="Arial" w:hAnsi="Arial" w:cs="Arial"/>
          <w:b/>
          <w:bCs/>
          <w:color w:val="auto"/>
          <w:sz w:val="20"/>
          <w:szCs w:val="20"/>
        </w:rPr>
        <w:fldChar w:fldCharType="separate"/>
      </w:r>
      <w:r w:rsidR="001823B4">
        <w:rPr>
          <w:rFonts w:ascii="Arial" w:hAnsi="Arial" w:cs="Arial"/>
          <w:b/>
          <w:bCs/>
          <w:noProof/>
          <w:color w:val="auto"/>
          <w:sz w:val="20"/>
          <w:szCs w:val="20"/>
        </w:rPr>
        <w:t>48</w:t>
      </w:r>
      <w:r w:rsidRPr="002F5C60">
        <w:rPr>
          <w:rFonts w:ascii="Arial" w:hAnsi="Arial" w:cs="Arial"/>
          <w:b/>
          <w:bCs/>
          <w:color w:val="auto"/>
          <w:sz w:val="20"/>
          <w:szCs w:val="20"/>
        </w:rPr>
        <w:fldChar w:fldCharType="end"/>
      </w:r>
      <w:r w:rsidRPr="002F5C60">
        <w:rPr>
          <w:rFonts w:ascii="Arial" w:hAnsi="Arial" w:cs="Arial"/>
          <w:b/>
          <w:bCs/>
          <w:color w:val="auto"/>
          <w:sz w:val="20"/>
          <w:szCs w:val="20"/>
        </w:rPr>
        <w:t>:</w:t>
      </w:r>
      <w:r w:rsidRPr="002F5C60">
        <w:rPr>
          <w:rFonts w:ascii="Arial" w:hAnsi="Arial" w:cs="Arial"/>
          <w:color w:val="auto"/>
          <w:sz w:val="20"/>
          <w:szCs w:val="20"/>
        </w:rPr>
        <w:t xml:space="preserve"> Virtual change in the management plans for the patients included in virtual change subset according to the </w:t>
      </w:r>
      <w:r w:rsidR="007C2D89">
        <w:rPr>
          <w:rFonts w:ascii="Arial" w:hAnsi="Arial" w:cs="Arial"/>
          <w:color w:val="auto"/>
          <w:sz w:val="20"/>
          <w:szCs w:val="20"/>
        </w:rPr>
        <w:t xml:space="preserve">parent </w:t>
      </w:r>
      <w:r w:rsidR="00A07585">
        <w:rPr>
          <w:rFonts w:ascii="Arial" w:hAnsi="Arial" w:cs="Arial"/>
          <w:color w:val="auto"/>
          <w:sz w:val="20"/>
          <w:szCs w:val="20"/>
        </w:rPr>
        <w:t>cardiologists</w:t>
      </w:r>
      <w:r>
        <w:rPr>
          <w:rFonts w:ascii="Arial" w:hAnsi="Arial" w:cs="Arial"/>
          <w:color w:val="auto"/>
          <w:sz w:val="20"/>
          <w:szCs w:val="20"/>
        </w:rPr>
        <w:t xml:space="preserve"> (red arrows represents a</w:t>
      </w:r>
      <w:r w:rsidR="00996D69">
        <w:rPr>
          <w:rFonts w:ascii="Arial" w:hAnsi="Arial" w:cs="Arial"/>
          <w:color w:val="auto"/>
          <w:sz w:val="20"/>
          <w:szCs w:val="20"/>
        </w:rPr>
        <w:t xml:space="preserve"> higher </w:t>
      </w:r>
      <w:r w:rsidR="00C9451C">
        <w:rPr>
          <w:rFonts w:ascii="Arial" w:hAnsi="Arial" w:cs="Arial"/>
          <w:color w:val="auto"/>
          <w:sz w:val="20"/>
          <w:szCs w:val="20"/>
        </w:rPr>
        <w:t>complexity of procedure</w:t>
      </w:r>
      <w:r w:rsidR="00996D69">
        <w:rPr>
          <w:rFonts w:ascii="Arial" w:hAnsi="Arial" w:cs="Arial"/>
          <w:color w:val="auto"/>
          <w:sz w:val="20"/>
          <w:szCs w:val="20"/>
        </w:rPr>
        <w:t xml:space="preserve"> and therefore, representing higher</w:t>
      </w:r>
      <w:r w:rsidR="00C9451C">
        <w:rPr>
          <w:rFonts w:ascii="Arial" w:hAnsi="Arial" w:cs="Arial"/>
          <w:color w:val="auto"/>
          <w:sz w:val="20"/>
          <w:szCs w:val="20"/>
        </w:rPr>
        <w:t xml:space="preserve"> procedural costs </w:t>
      </w:r>
      <w:r w:rsidR="00996D69">
        <w:rPr>
          <w:rFonts w:ascii="Arial" w:hAnsi="Arial" w:cs="Arial"/>
          <w:color w:val="auto"/>
          <w:sz w:val="20"/>
          <w:szCs w:val="20"/>
        </w:rPr>
        <w:t xml:space="preserve">with a virtual change in treatment plan, </w:t>
      </w:r>
      <w:r w:rsidR="00C9451C">
        <w:rPr>
          <w:rFonts w:ascii="Arial" w:hAnsi="Arial" w:cs="Arial"/>
          <w:color w:val="auto"/>
          <w:sz w:val="20"/>
          <w:szCs w:val="20"/>
        </w:rPr>
        <w:t xml:space="preserve">whereas </w:t>
      </w:r>
      <w:r>
        <w:rPr>
          <w:rFonts w:ascii="Arial" w:hAnsi="Arial" w:cs="Arial"/>
          <w:color w:val="auto"/>
          <w:sz w:val="20"/>
          <w:szCs w:val="20"/>
        </w:rPr>
        <w:t xml:space="preserve">green arrows </w:t>
      </w:r>
      <w:r w:rsidR="00C9451C">
        <w:rPr>
          <w:rFonts w:ascii="Arial" w:hAnsi="Arial" w:cs="Arial"/>
          <w:color w:val="auto"/>
          <w:sz w:val="20"/>
          <w:szCs w:val="20"/>
        </w:rPr>
        <w:t>represent a</w:t>
      </w:r>
      <w:r>
        <w:rPr>
          <w:rFonts w:ascii="Arial" w:hAnsi="Arial" w:cs="Arial"/>
          <w:color w:val="auto"/>
          <w:sz w:val="20"/>
          <w:szCs w:val="20"/>
        </w:rPr>
        <w:t xml:space="preserve"> </w:t>
      </w:r>
      <w:r w:rsidR="00996D69">
        <w:rPr>
          <w:rFonts w:ascii="Arial" w:hAnsi="Arial" w:cs="Arial"/>
          <w:color w:val="auto"/>
          <w:sz w:val="20"/>
          <w:szCs w:val="20"/>
        </w:rPr>
        <w:t>lesser</w:t>
      </w:r>
      <w:r>
        <w:rPr>
          <w:rFonts w:ascii="Arial" w:hAnsi="Arial" w:cs="Arial"/>
          <w:color w:val="auto"/>
          <w:sz w:val="20"/>
          <w:szCs w:val="20"/>
        </w:rPr>
        <w:t xml:space="preserve"> </w:t>
      </w:r>
      <w:r w:rsidR="00996D69">
        <w:rPr>
          <w:rFonts w:ascii="Arial" w:hAnsi="Arial" w:cs="Arial"/>
          <w:color w:val="auto"/>
          <w:sz w:val="20"/>
          <w:szCs w:val="20"/>
        </w:rPr>
        <w:t xml:space="preserve">complex procedure and therefore, lower </w:t>
      </w:r>
      <w:r>
        <w:rPr>
          <w:rFonts w:ascii="Arial" w:hAnsi="Arial" w:cs="Arial"/>
          <w:color w:val="auto"/>
          <w:sz w:val="20"/>
          <w:szCs w:val="20"/>
        </w:rPr>
        <w:t xml:space="preserve">index procedural costs associated with a </w:t>
      </w:r>
      <w:r w:rsidR="00996D69">
        <w:rPr>
          <w:rFonts w:ascii="Arial" w:hAnsi="Arial" w:cs="Arial"/>
          <w:color w:val="auto"/>
          <w:sz w:val="20"/>
          <w:szCs w:val="20"/>
        </w:rPr>
        <w:t xml:space="preserve">virtual </w:t>
      </w:r>
      <w:r>
        <w:rPr>
          <w:rFonts w:ascii="Arial" w:hAnsi="Arial" w:cs="Arial"/>
          <w:color w:val="auto"/>
          <w:sz w:val="20"/>
          <w:szCs w:val="20"/>
        </w:rPr>
        <w:t>change in treatment decision).</w:t>
      </w:r>
      <w:bookmarkEnd w:id="1166"/>
      <w:bookmarkEnd w:id="1167"/>
      <w:bookmarkEnd w:id="1168"/>
      <w:bookmarkEnd w:id="1169"/>
      <w:bookmarkEnd w:id="1170"/>
      <w:bookmarkEnd w:id="1171"/>
    </w:p>
    <w:p w14:paraId="17FA8EAD" w14:textId="77777777" w:rsidR="00F47465" w:rsidRPr="00F47465" w:rsidRDefault="00F47465" w:rsidP="00F47465"/>
    <w:p w14:paraId="11F6B4DC" w14:textId="447D6AA4" w:rsidR="004942B6" w:rsidRPr="00437D6D" w:rsidRDefault="004942B6" w:rsidP="004942B6">
      <w:pPr>
        <w:pStyle w:val="Heading3"/>
        <w:spacing w:line="360" w:lineRule="auto"/>
        <w:jc w:val="both"/>
        <w:rPr>
          <w:rFonts w:ascii="Arial" w:hAnsi="Arial" w:cs="Arial"/>
          <w:color w:val="4472C4" w:themeColor="accent1"/>
          <w:sz w:val="24"/>
          <w:szCs w:val="24"/>
        </w:rPr>
      </w:pPr>
      <w:bookmarkStart w:id="1172" w:name="_Toc159613623"/>
      <w:bookmarkStart w:id="1173" w:name="_Toc160981284"/>
      <w:bookmarkStart w:id="1174" w:name="_Toc170075100"/>
      <w:bookmarkStart w:id="1175" w:name="_Toc170076087"/>
      <w:bookmarkStart w:id="1176" w:name="_Toc170577786"/>
      <w:bookmarkStart w:id="1177" w:name="_Toc171203162"/>
      <w:bookmarkStart w:id="1178" w:name="_Toc171203934"/>
      <w:r w:rsidRPr="00437D6D">
        <w:rPr>
          <w:rFonts w:ascii="Arial" w:hAnsi="Arial" w:cs="Arial"/>
          <w:color w:val="4472C4" w:themeColor="accent1"/>
          <w:sz w:val="24"/>
          <w:szCs w:val="24"/>
        </w:rPr>
        <w:t>3.</w:t>
      </w:r>
      <w:r w:rsidR="00A07585">
        <w:rPr>
          <w:rFonts w:ascii="Arial" w:hAnsi="Arial" w:cs="Arial"/>
          <w:color w:val="4472C4" w:themeColor="accent1"/>
          <w:sz w:val="24"/>
          <w:szCs w:val="24"/>
        </w:rPr>
        <w:t>4</w:t>
      </w:r>
      <w:r w:rsidRPr="00437D6D">
        <w:rPr>
          <w:rFonts w:ascii="Arial" w:hAnsi="Arial" w:cs="Arial"/>
          <w:color w:val="4472C4" w:themeColor="accent1"/>
          <w:sz w:val="24"/>
          <w:szCs w:val="24"/>
        </w:rPr>
        <w:t xml:space="preserve">.2 Comparison between the pre- and post-vFFR plans from parent </w:t>
      </w:r>
      <w:r w:rsidR="00996D69">
        <w:rPr>
          <w:rFonts w:ascii="Arial" w:hAnsi="Arial" w:cs="Arial"/>
          <w:color w:val="4472C4" w:themeColor="accent1"/>
          <w:sz w:val="24"/>
          <w:szCs w:val="24"/>
        </w:rPr>
        <w:t>cardiologists</w:t>
      </w:r>
      <w:r w:rsidRPr="00437D6D">
        <w:rPr>
          <w:rFonts w:ascii="Arial" w:hAnsi="Arial" w:cs="Arial"/>
          <w:color w:val="4472C4" w:themeColor="accent1"/>
          <w:sz w:val="24"/>
          <w:szCs w:val="24"/>
        </w:rPr>
        <w:t xml:space="preserve"> and expert </w:t>
      </w:r>
      <w:r w:rsidR="00996D69">
        <w:rPr>
          <w:rFonts w:ascii="Arial" w:hAnsi="Arial" w:cs="Arial"/>
          <w:color w:val="4472C4" w:themeColor="accent1"/>
          <w:sz w:val="24"/>
          <w:szCs w:val="24"/>
        </w:rPr>
        <w:t>MDTs</w:t>
      </w:r>
      <w:r w:rsidRPr="00437D6D">
        <w:rPr>
          <w:rFonts w:ascii="Arial" w:hAnsi="Arial" w:cs="Arial"/>
          <w:color w:val="4472C4" w:themeColor="accent1"/>
          <w:sz w:val="24"/>
          <w:szCs w:val="24"/>
        </w:rPr>
        <w:t xml:space="preserve"> </w:t>
      </w:r>
      <w:r w:rsidR="0013685B">
        <w:rPr>
          <w:rFonts w:ascii="Arial" w:hAnsi="Arial" w:cs="Arial"/>
          <w:color w:val="4472C4" w:themeColor="accent1"/>
          <w:sz w:val="24"/>
          <w:szCs w:val="24"/>
        </w:rPr>
        <w:t>within</w:t>
      </w:r>
      <w:r w:rsidRPr="00437D6D">
        <w:rPr>
          <w:rFonts w:ascii="Arial" w:hAnsi="Arial" w:cs="Arial"/>
          <w:color w:val="4472C4" w:themeColor="accent1"/>
          <w:sz w:val="24"/>
          <w:szCs w:val="24"/>
        </w:rPr>
        <w:t xml:space="preserve"> the virtual change subset</w:t>
      </w:r>
      <w:bookmarkEnd w:id="1172"/>
      <w:bookmarkEnd w:id="1173"/>
      <w:bookmarkEnd w:id="1174"/>
      <w:bookmarkEnd w:id="1175"/>
      <w:bookmarkEnd w:id="1176"/>
      <w:bookmarkEnd w:id="1177"/>
      <w:bookmarkEnd w:id="1178"/>
    </w:p>
    <w:p w14:paraId="40852667" w14:textId="4C95F174" w:rsidR="004942B6" w:rsidRDefault="004942B6" w:rsidP="004942B6">
      <w:pPr>
        <w:spacing w:line="360" w:lineRule="auto"/>
        <w:jc w:val="both"/>
        <w:rPr>
          <w:rFonts w:ascii="Arial" w:hAnsi="Arial" w:cs="Arial"/>
          <w:sz w:val="24"/>
          <w:szCs w:val="24"/>
        </w:rPr>
      </w:pPr>
      <w:r w:rsidRPr="00D07F4B">
        <w:rPr>
          <w:rFonts w:ascii="Arial" w:hAnsi="Arial" w:cs="Arial"/>
          <w:sz w:val="24"/>
          <w:szCs w:val="24"/>
        </w:rPr>
        <w:t xml:space="preserve">A comparison was performed for the pre-and post-vFFR plans from the </w:t>
      </w:r>
      <w:r w:rsidR="007C2D89">
        <w:rPr>
          <w:rFonts w:ascii="Arial" w:hAnsi="Arial" w:cs="Arial"/>
          <w:sz w:val="24"/>
          <w:szCs w:val="24"/>
        </w:rPr>
        <w:t>parent cardiologists</w:t>
      </w:r>
      <w:r w:rsidRPr="00D07F4B">
        <w:rPr>
          <w:rFonts w:ascii="Arial" w:hAnsi="Arial" w:cs="Arial"/>
          <w:sz w:val="24"/>
          <w:szCs w:val="24"/>
        </w:rPr>
        <w:t xml:space="preserve"> with the expert </w:t>
      </w:r>
      <w:r w:rsidR="0012399F">
        <w:rPr>
          <w:rFonts w:ascii="Arial" w:hAnsi="Arial" w:cs="Arial"/>
          <w:sz w:val="24"/>
          <w:szCs w:val="24"/>
        </w:rPr>
        <w:t>MDT</w:t>
      </w:r>
      <w:r>
        <w:rPr>
          <w:rFonts w:ascii="Arial" w:hAnsi="Arial" w:cs="Arial"/>
          <w:sz w:val="24"/>
          <w:szCs w:val="24"/>
        </w:rPr>
        <w:t>s</w:t>
      </w:r>
      <w:r w:rsidRPr="00D07F4B">
        <w:rPr>
          <w:rFonts w:ascii="Arial" w:hAnsi="Arial" w:cs="Arial"/>
          <w:sz w:val="24"/>
          <w:szCs w:val="24"/>
        </w:rPr>
        <w:t>.</w:t>
      </w:r>
      <w:r>
        <w:rPr>
          <w:rFonts w:ascii="Arial" w:hAnsi="Arial" w:cs="Arial"/>
          <w:sz w:val="24"/>
          <w:szCs w:val="24"/>
        </w:rPr>
        <w:t xml:space="preserve"> </w:t>
      </w:r>
      <w:r w:rsidRPr="00D07F4B">
        <w:rPr>
          <w:rFonts w:ascii="Arial" w:hAnsi="Arial" w:cs="Arial"/>
          <w:sz w:val="24"/>
          <w:szCs w:val="24"/>
        </w:rPr>
        <w:t>The pre-vFFR c</w:t>
      </w:r>
      <w:r>
        <w:rPr>
          <w:rFonts w:ascii="Arial" w:hAnsi="Arial" w:cs="Arial"/>
          <w:sz w:val="24"/>
          <w:szCs w:val="24"/>
        </w:rPr>
        <w:t>omparison of the parent team with 1</w:t>
      </w:r>
      <w:r w:rsidRPr="0072110D">
        <w:rPr>
          <w:rFonts w:ascii="Arial" w:hAnsi="Arial" w:cs="Arial"/>
          <w:sz w:val="24"/>
          <w:szCs w:val="24"/>
          <w:vertAlign w:val="superscript"/>
        </w:rPr>
        <w:t>st</w:t>
      </w:r>
      <w:r>
        <w:rPr>
          <w:rFonts w:ascii="Arial" w:hAnsi="Arial" w:cs="Arial"/>
          <w:sz w:val="24"/>
          <w:szCs w:val="24"/>
        </w:rPr>
        <w:t xml:space="preserve"> expert team’s plans </w:t>
      </w:r>
      <w:r w:rsidR="00181296">
        <w:rPr>
          <w:rFonts w:ascii="Arial" w:hAnsi="Arial" w:cs="Arial"/>
          <w:sz w:val="24"/>
          <w:szCs w:val="24"/>
        </w:rPr>
        <w:t xml:space="preserve">of ACS group (n=39) </w:t>
      </w:r>
      <w:r w:rsidRPr="00D07F4B">
        <w:rPr>
          <w:rFonts w:ascii="Arial" w:hAnsi="Arial" w:cs="Arial"/>
          <w:sz w:val="24"/>
          <w:szCs w:val="24"/>
        </w:rPr>
        <w:t>showed that 16/39 (41%)</w:t>
      </w:r>
      <w:r w:rsidR="00181296">
        <w:rPr>
          <w:rFonts w:ascii="Arial" w:hAnsi="Arial" w:cs="Arial"/>
          <w:sz w:val="24"/>
          <w:szCs w:val="24"/>
        </w:rPr>
        <w:t xml:space="preserve"> patients </w:t>
      </w:r>
      <w:r w:rsidR="009F054E">
        <w:rPr>
          <w:rFonts w:ascii="Arial" w:hAnsi="Arial" w:cs="Arial"/>
          <w:sz w:val="24"/>
          <w:szCs w:val="24"/>
        </w:rPr>
        <w:t xml:space="preserve">had </w:t>
      </w:r>
      <w:r w:rsidR="00181296">
        <w:rPr>
          <w:rFonts w:ascii="Arial" w:hAnsi="Arial" w:cs="Arial"/>
          <w:sz w:val="24"/>
          <w:szCs w:val="24"/>
        </w:rPr>
        <w:t xml:space="preserve">identical plans, which increased to 26/39 (66.6%) post-vFFR disclosure (p=0.04). In </w:t>
      </w:r>
      <w:r w:rsidR="00181296">
        <w:rPr>
          <w:rFonts w:ascii="Arial" w:hAnsi="Arial" w:cs="Arial"/>
          <w:sz w:val="24"/>
          <w:szCs w:val="24"/>
        </w:rPr>
        <w:lastRenderedPageBreak/>
        <w:t xml:space="preserve">CCS group (n=26), </w:t>
      </w:r>
      <w:r w:rsidRPr="00D07F4B">
        <w:rPr>
          <w:rFonts w:ascii="Arial" w:hAnsi="Arial" w:cs="Arial"/>
          <w:sz w:val="24"/>
          <w:szCs w:val="24"/>
        </w:rPr>
        <w:t>13/26 (50%)</w:t>
      </w:r>
      <w:r w:rsidR="00181296">
        <w:rPr>
          <w:rFonts w:ascii="Arial" w:hAnsi="Arial" w:cs="Arial"/>
          <w:sz w:val="24"/>
          <w:szCs w:val="24"/>
        </w:rPr>
        <w:t xml:space="preserve"> </w:t>
      </w:r>
      <w:r>
        <w:rPr>
          <w:rFonts w:ascii="Arial" w:hAnsi="Arial" w:cs="Arial"/>
          <w:sz w:val="24"/>
          <w:szCs w:val="24"/>
        </w:rPr>
        <w:t>patients</w:t>
      </w:r>
      <w:r w:rsidRPr="00D07F4B">
        <w:rPr>
          <w:rFonts w:ascii="Arial" w:hAnsi="Arial" w:cs="Arial"/>
          <w:sz w:val="24"/>
          <w:szCs w:val="24"/>
        </w:rPr>
        <w:t xml:space="preserve"> had </w:t>
      </w:r>
      <w:r>
        <w:rPr>
          <w:rFonts w:ascii="Arial" w:hAnsi="Arial" w:cs="Arial"/>
          <w:sz w:val="24"/>
          <w:szCs w:val="24"/>
        </w:rPr>
        <w:t>identical</w:t>
      </w:r>
      <w:r w:rsidRPr="00D07F4B">
        <w:rPr>
          <w:rFonts w:ascii="Arial" w:hAnsi="Arial" w:cs="Arial"/>
          <w:sz w:val="24"/>
          <w:szCs w:val="24"/>
        </w:rPr>
        <w:t xml:space="preserve"> </w:t>
      </w:r>
      <w:r w:rsidR="00181296">
        <w:rPr>
          <w:rFonts w:ascii="Arial" w:hAnsi="Arial" w:cs="Arial"/>
          <w:sz w:val="24"/>
          <w:szCs w:val="24"/>
        </w:rPr>
        <w:t xml:space="preserve">pre-vFFR </w:t>
      </w:r>
      <w:r w:rsidRPr="00D07F4B">
        <w:rPr>
          <w:rFonts w:ascii="Arial" w:hAnsi="Arial" w:cs="Arial"/>
          <w:sz w:val="24"/>
          <w:szCs w:val="24"/>
        </w:rPr>
        <w:t>plan</w:t>
      </w:r>
      <w:r w:rsidR="00181296">
        <w:rPr>
          <w:rFonts w:ascii="Arial" w:hAnsi="Arial" w:cs="Arial"/>
          <w:sz w:val="24"/>
          <w:szCs w:val="24"/>
        </w:rPr>
        <w:t>s, increasing to 17/26 (66.6%) post-vFFR disclosure (p=0.4)</w:t>
      </w:r>
      <w:r>
        <w:rPr>
          <w:rFonts w:ascii="Arial" w:hAnsi="Arial" w:cs="Arial"/>
          <w:sz w:val="24"/>
          <w:szCs w:val="24"/>
        </w:rPr>
        <w:t>. When compared with the 2</w:t>
      </w:r>
      <w:r w:rsidRPr="008C6A64">
        <w:rPr>
          <w:rFonts w:ascii="Arial" w:hAnsi="Arial" w:cs="Arial"/>
          <w:sz w:val="24"/>
          <w:szCs w:val="24"/>
          <w:vertAlign w:val="superscript"/>
        </w:rPr>
        <w:t>nd</w:t>
      </w:r>
      <w:r>
        <w:rPr>
          <w:rFonts w:ascii="Arial" w:hAnsi="Arial" w:cs="Arial"/>
          <w:sz w:val="24"/>
          <w:szCs w:val="24"/>
        </w:rPr>
        <w:t xml:space="preserve"> expert team, 18/39 (46%)</w:t>
      </w:r>
      <w:r w:rsidR="00181296">
        <w:rPr>
          <w:rFonts w:ascii="Arial" w:hAnsi="Arial" w:cs="Arial"/>
          <w:sz w:val="24"/>
          <w:szCs w:val="24"/>
        </w:rPr>
        <w:t xml:space="preserve"> patients from the ACS group (n=39) had identical </w:t>
      </w:r>
      <w:r w:rsidR="007C2D89">
        <w:rPr>
          <w:rFonts w:ascii="Arial" w:hAnsi="Arial" w:cs="Arial"/>
          <w:sz w:val="24"/>
          <w:szCs w:val="24"/>
        </w:rPr>
        <w:t>parent cardiologists</w:t>
      </w:r>
      <w:r w:rsidR="00181296">
        <w:rPr>
          <w:rFonts w:ascii="Arial" w:hAnsi="Arial" w:cs="Arial"/>
          <w:sz w:val="24"/>
          <w:szCs w:val="24"/>
        </w:rPr>
        <w:t xml:space="preserve"> plans as those of the 2</w:t>
      </w:r>
      <w:r w:rsidR="00181296" w:rsidRPr="00181296">
        <w:rPr>
          <w:rFonts w:ascii="Arial" w:hAnsi="Arial" w:cs="Arial"/>
          <w:sz w:val="24"/>
          <w:szCs w:val="24"/>
          <w:vertAlign w:val="superscript"/>
        </w:rPr>
        <w:t>nd</w:t>
      </w:r>
      <w:r w:rsidR="00181296">
        <w:rPr>
          <w:rFonts w:ascii="Arial" w:hAnsi="Arial" w:cs="Arial"/>
          <w:sz w:val="24"/>
          <w:szCs w:val="24"/>
        </w:rPr>
        <w:t xml:space="preserve"> expert team, which increased to 24/39 (61.5%) post-vFFR disclosure (p=0.2). In the CCS group (n=26), 9/26 </w:t>
      </w:r>
      <w:r>
        <w:rPr>
          <w:rFonts w:ascii="Arial" w:hAnsi="Arial" w:cs="Arial"/>
          <w:sz w:val="24"/>
          <w:szCs w:val="24"/>
        </w:rPr>
        <w:t>(34%)</w:t>
      </w:r>
      <w:r w:rsidR="00181296">
        <w:rPr>
          <w:rFonts w:ascii="Arial" w:hAnsi="Arial" w:cs="Arial"/>
          <w:sz w:val="24"/>
          <w:szCs w:val="24"/>
        </w:rPr>
        <w:t xml:space="preserve"> </w:t>
      </w:r>
      <w:r>
        <w:rPr>
          <w:rFonts w:ascii="Arial" w:hAnsi="Arial" w:cs="Arial"/>
          <w:sz w:val="24"/>
          <w:szCs w:val="24"/>
        </w:rPr>
        <w:t xml:space="preserve">patients had identical </w:t>
      </w:r>
      <w:r w:rsidR="00181296">
        <w:rPr>
          <w:rFonts w:ascii="Arial" w:hAnsi="Arial" w:cs="Arial"/>
          <w:sz w:val="24"/>
          <w:szCs w:val="24"/>
        </w:rPr>
        <w:t xml:space="preserve">pre-vFFR </w:t>
      </w:r>
      <w:r>
        <w:rPr>
          <w:rFonts w:ascii="Arial" w:hAnsi="Arial" w:cs="Arial"/>
          <w:sz w:val="24"/>
          <w:szCs w:val="24"/>
        </w:rPr>
        <w:t>plans</w:t>
      </w:r>
      <w:r w:rsidR="00181296">
        <w:rPr>
          <w:rFonts w:ascii="Arial" w:hAnsi="Arial" w:cs="Arial"/>
          <w:sz w:val="24"/>
          <w:szCs w:val="24"/>
        </w:rPr>
        <w:t xml:space="preserve"> as those for the 2</w:t>
      </w:r>
      <w:r w:rsidR="00181296" w:rsidRPr="00181296">
        <w:rPr>
          <w:rFonts w:ascii="Arial" w:hAnsi="Arial" w:cs="Arial"/>
          <w:sz w:val="24"/>
          <w:szCs w:val="24"/>
          <w:vertAlign w:val="superscript"/>
        </w:rPr>
        <w:t>nd</w:t>
      </w:r>
      <w:r w:rsidR="00181296">
        <w:rPr>
          <w:rFonts w:ascii="Arial" w:hAnsi="Arial" w:cs="Arial"/>
          <w:sz w:val="24"/>
          <w:szCs w:val="24"/>
        </w:rPr>
        <w:t xml:space="preserve"> expert team; this number increased to 10/26 (38%) post-vFFR disclosure (p=0.9).</w:t>
      </w:r>
      <w:r>
        <w:rPr>
          <w:rFonts w:ascii="Arial" w:hAnsi="Arial" w:cs="Arial"/>
          <w:sz w:val="24"/>
          <w:szCs w:val="24"/>
        </w:rPr>
        <w:t xml:space="preserve"> </w:t>
      </w:r>
      <w:r w:rsidRPr="00D07F4B">
        <w:rPr>
          <w:rFonts w:ascii="Arial" w:hAnsi="Arial" w:cs="Arial"/>
          <w:sz w:val="24"/>
          <w:szCs w:val="24"/>
        </w:rPr>
        <w:t>The comparison of the pre-</w:t>
      </w:r>
      <w:r>
        <w:rPr>
          <w:rFonts w:ascii="Arial" w:hAnsi="Arial" w:cs="Arial"/>
          <w:sz w:val="24"/>
          <w:szCs w:val="24"/>
        </w:rPr>
        <w:t xml:space="preserve"> </w:t>
      </w:r>
      <w:r w:rsidRPr="00D07F4B">
        <w:rPr>
          <w:rFonts w:ascii="Arial" w:hAnsi="Arial" w:cs="Arial"/>
          <w:sz w:val="24"/>
          <w:szCs w:val="24"/>
        </w:rPr>
        <w:t xml:space="preserve">and post-vFFR treatment strategies from the </w:t>
      </w:r>
      <w:r w:rsidR="007C2D89">
        <w:rPr>
          <w:rFonts w:ascii="Arial" w:hAnsi="Arial" w:cs="Arial"/>
          <w:sz w:val="24"/>
          <w:szCs w:val="24"/>
        </w:rPr>
        <w:t>parent cardiologists</w:t>
      </w:r>
      <w:r w:rsidRPr="00D07F4B">
        <w:rPr>
          <w:rFonts w:ascii="Arial" w:hAnsi="Arial" w:cs="Arial"/>
          <w:sz w:val="24"/>
          <w:szCs w:val="24"/>
        </w:rPr>
        <w:t xml:space="preserve"> and the expert </w:t>
      </w:r>
      <w:r w:rsidR="0012399F">
        <w:rPr>
          <w:rFonts w:ascii="Arial" w:hAnsi="Arial" w:cs="Arial"/>
          <w:sz w:val="24"/>
          <w:szCs w:val="24"/>
        </w:rPr>
        <w:t>MDT</w:t>
      </w:r>
      <w:r>
        <w:rPr>
          <w:rFonts w:ascii="Arial" w:hAnsi="Arial" w:cs="Arial"/>
          <w:sz w:val="24"/>
          <w:szCs w:val="24"/>
        </w:rPr>
        <w:t>s</w:t>
      </w:r>
      <w:r w:rsidRPr="00D07F4B">
        <w:rPr>
          <w:rFonts w:ascii="Arial" w:hAnsi="Arial" w:cs="Arial"/>
          <w:sz w:val="24"/>
          <w:szCs w:val="24"/>
        </w:rPr>
        <w:t xml:space="preserve"> is shown in Figures</w:t>
      </w:r>
      <w:r w:rsidR="0008140A">
        <w:rPr>
          <w:rFonts w:ascii="Arial" w:hAnsi="Arial" w:cs="Arial"/>
          <w:sz w:val="24"/>
          <w:szCs w:val="24"/>
        </w:rPr>
        <w:t>49</w:t>
      </w:r>
      <w:r w:rsidR="001823B4">
        <w:rPr>
          <w:rFonts w:ascii="Arial" w:hAnsi="Arial" w:cs="Arial"/>
          <w:sz w:val="24"/>
          <w:szCs w:val="24"/>
        </w:rPr>
        <w:t xml:space="preserve"> and 50</w:t>
      </w:r>
      <w:r w:rsidRPr="00D07F4B">
        <w:rPr>
          <w:rFonts w:ascii="Arial" w:hAnsi="Arial" w:cs="Arial"/>
          <w:sz w:val="24"/>
          <w:szCs w:val="24"/>
        </w:rPr>
        <w:t>.</w:t>
      </w:r>
    </w:p>
    <w:p w14:paraId="4F1F0606" w14:textId="28A1589D" w:rsidR="004942B6" w:rsidRPr="00A1108A" w:rsidRDefault="004942B6" w:rsidP="004942B6">
      <w:pPr>
        <w:spacing w:line="360" w:lineRule="auto"/>
        <w:jc w:val="both"/>
        <w:rPr>
          <w:rFonts w:ascii="Arial" w:hAnsi="Arial" w:cs="Arial"/>
          <w:sz w:val="24"/>
          <w:szCs w:val="24"/>
        </w:rPr>
      </w:pPr>
      <w:r>
        <w:rPr>
          <w:rFonts w:ascii="Arial" w:hAnsi="Arial" w:cs="Arial"/>
          <w:sz w:val="24"/>
          <w:szCs w:val="24"/>
        </w:rPr>
        <w:t xml:space="preserve"> </w:t>
      </w:r>
      <w:r w:rsidR="00F85DAC">
        <w:rPr>
          <w:rFonts w:ascii="Arial" w:hAnsi="Arial" w:cs="Arial"/>
          <w:noProof/>
          <w:sz w:val="24"/>
          <w:szCs w:val="24"/>
          <w:lang w:eastAsia="en-GB"/>
        </w:rPr>
        <w:drawing>
          <wp:inline distT="0" distB="0" distL="0" distR="0" wp14:anchorId="50D14205" wp14:editId="2FAE057E">
            <wp:extent cx="5962386" cy="4330175"/>
            <wp:effectExtent l="0" t="0" r="635" b="0"/>
            <wp:docPr id="2086129786" name="Picture 7" descr="A collage of a black background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29786" name="Picture 7" descr="A collage of a black background with white text"/>
                    <pic:cNvPicPr/>
                  </pic:nvPicPr>
                  <pic:blipFill rotWithShape="1">
                    <a:blip r:embed="rId76" cstate="print">
                      <a:extLst>
                        <a:ext uri="{BEBA8EAE-BF5A-486C-A8C5-ECC9F3942E4B}">
                          <a14:imgProps xmlns:a14="http://schemas.microsoft.com/office/drawing/2010/main">
                            <a14:imgLayer r:embed="rId7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582" r="2035"/>
                    <a:stretch/>
                  </pic:blipFill>
                  <pic:spPr bwMode="auto">
                    <a:xfrm>
                      <a:off x="0" y="0"/>
                      <a:ext cx="5968585" cy="4334677"/>
                    </a:xfrm>
                    <a:prstGeom prst="rect">
                      <a:avLst/>
                    </a:prstGeom>
                    <a:ln>
                      <a:noFill/>
                    </a:ln>
                    <a:extLst>
                      <a:ext uri="{53640926-AAD7-44D8-BBD7-CCE9431645EC}">
                        <a14:shadowObscured xmlns:a14="http://schemas.microsoft.com/office/drawing/2010/main"/>
                      </a:ext>
                    </a:extLst>
                  </pic:spPr>
                </pic:pic>
              </a:graphicData>
            </a:graphic>
          </wp:inline>
        </w:drawing>
      </w:r>
    </w:p>
    <w:p w14:paraId="7436EE64" w14:textId="4BCB0813" w:rsidR="004942B6" w:rsidRPr="006852E2" w:rsidRDefault="004942B6" w:rsidP="004942B6">
      <w:pPr>
        <w:pStyle w:val="Caption"/>
        <w:jc w:val="both"/>
        <w:rPr>
          <w:rFonts w:ascii="Arial" w:hAnsi="Arial" w:cs="Arial"/>
          <w:color w:val="auto"/>
          <w:sz w:val="24"/>
          <w:szCs w:val="24"/>
        </w:rPr>
      </w:pPr>
      <w:bookmarkStart w:id="1179" w:name="_Toc153724926"/>
      <w:bookmarkStart w:id="1180" w:name="_Toc159318519"/>
      <w:bookmarkStart w:id="1181" w:name="_Toc159612045"/>
      <w:bookmarkStart w:id="1182" w:name="_Toc160982691"/>
      <w:bookmarkStart w:id="1183" w:name="_Toc164697517"/>
      <w:bookmarkStart w:id="1184" w:name="_Toc170744610"/>
      <w:bookmarkStart w:id="1185" w:name="_Toc196153241"/>
      <w:r w:rsidRPr="006852E2">
        <w:rPr>
          <w:rFonts w:ascii="Arial" w:hAnsi="Arial" w:cs="Arial"/>
          <w:b/>
          <w:bCs/>
          <w:color w:val="auto"/>
        </w:rPr>
        <w:t xml:space="preserve">Figure </w:t>
      </w:r>
      <w:r w:rsidRPr="006852E2">
        <w:rPr>
          <w:rFonts w:ascii="Arial" w:hAnsi="Arial" w:cs="Arial"/>
          <w:b/>
          <w:bCs/>
          <w:color w:val="auto"/>
        </w:rPr>
        <w:fldChar w:fldCharType="begin"/>
      </w:r>
      <w:r w:rsidRPr="006852E2">
        <w:rPr>
          <w:rFonts w:ascii="Arial" w:hAnsi="Arial" w:cs="Arial"/>
          <w:b/>
          <w:bCs/>
          <w:color w:val="auto"/>
        </w:rPr>
        <w:instrText xml:space="preserve"> SEQ Figure \* ARABIC </w:instrText>
      </w:r>
      <w:r w:rsidRPr="006852E2">
        <w:rPr>
          <w:rFonts w:ascii="Arial" w:hAnsi="Arial" w:cs="Arial"/>
          <w:b/>
          <w:bCs/>
          <w:color w:val="auto"/>
        </w:rPr>
        <w:fldChar w:fldCharType="separate"/>
      </w:r>
      <w:r w:rsidR="001823B4">
        <w:rPr>
          <w:rFonts w:ascii="Arial" w:hAnsi="Arial" w:cs="Arial"/>
          <w:b/>
          <w:bCs/>
          <w:noProof/>
          <w:color w:val="auto"/>
        </w:rPr>
        <w:t>49</w:t>
      </w:r>
      <w:r w:rsidRPr="006852E2">
        <w:rPr>
          <w:rFonts w:ascii="Arial" w:hAnsi="Arial" w:cs="Arial"/>
          <w:b/>
          <w:bCs/>
          <w:color w:val="auto"/>
        </w:rPr>
        <w:fldChar w:fldCharType="end"/>
      </w:r>
      <w:r w:rsidRPr="006852E2">
        <w:rPr>
          <w:rFonts w:ascii="Arial" w:hAnsi="Arial" w:cs="Arial"/>
          <w:color w:val="auto"/>
        </w:rPr>
        <w:t xml:space="preserve">: </w:t>
      </w:r>
      <w:bookmarkEnd w:id="1179"/>
      <w:r>
        <w:rPr>
          <w:rFonts w:ascii="Arial" w:hAnsi="Arial" w:cs="Arial"/>
          <w:color w:val="auto"/>
          <w:sz w:val="20"/>
          <w:szCs w:val="20"/>
        </w:rPr>
        <w:t>Concordance</w:t>
      </w:r>
      <w:r w:rsidRPr="006D41B3">
        <w:rPr>
          <w:rFonts w:ascii="Arial" w:hAnsi="Arial" w:cs="Arial"/>
          <w:color w:val="auto"/>
          <w:sz w:val="20"/>
          <w:szCs w:val="20"/>
        </w:rPr>
        <w:t xml:space="preserve"> between the </w:t>
      </w:r>
      <w:r>
        <w:rPr>
          <w:rFonts w:ascii="Arial" w:hAnsi="Arial" w:cs="Arial"/>
          <w:color w:val="auto"/>
          <w:sz w:val="20"/>
          <w:szCs w:val="20"/>
        </w:rPr>
        <w:t>pre-</w:t>
      </w:r>
      <w:r w:rsidRPr="006D41B3">
        <w:rPr>
          <w:rFonts w:ascii="Arial" w:hAnsi="Arial" w:cs="Arial"/>
          <w:color w:val="auto"/>
          <w:sz w:val="20"/>
          <w:szCs w:val="20"/>
        </w:rPr>
        <w:t>vFFR-</w:t>
      </w:r>
      <w:r>
        <w:rPr>
          <w:rFonts w:ascii="Arial" w:hAnsi="Arial" w:cs="Arial"/>
          <w:color w:val="auto"/>
          <w:sz w:val="20"/>
          <w:szCs w:val="20"/>
        </w:rPr>
        <w:t xml:space="preserve">management </w:t>
      </w:r>
      <w:r w:rsidRPr="006D41B3">
        <w:rPr>
          <w:rFonts w:ascii="Arial" w:hAnsi="Arial" w:cs="Arial"/>
          <w:color w:val="auto"/>
          <w:sz w:val="20"/>
          <w:szCs w:val="20"/>
        </w:rPr>
        <w:t xml:space="preserve">plans </w:t>
      </w:r>
      <w:r>
        <w:rPr>
          <w:rFonts w:ascii="Arial" w:hAnsi="Arial" w:cs="Arial"/>
          <w:color w:val="auto"/>
          <w:sz w:val="20"/>
          <w:szCs w:val="20"/>
        </w:rPr>
        <w:t xml:space="preserve">of </w:t>
      </w:r>
      <w:r w:rsidR="007C2D89">
        <w:rPr>
          <w:rFonts w:ascii="Arial" w:hAnsi="Arial" w:cs="Arial"/>
          <w:color w:val="auto"/>
          <w:sz w:val="20"/>
          <w:szCs w:val="20"/>
        </w:rPr>
        <w:t>parent cardiologists</w:t>
      </w:r>
      <w:r>
        <w:rPr>
          <w:rFonts w:ascii="Arial" w:hAnsi="Arial" w:cs="Arial"/>
          <w:color w:val="auto"/>
          <w:sz w:val="20"/>
          <w:szCs w:val="20"/>
        </w:rPr>
        <w:t xml:space="preserve"> and both </w:t>
      </w:r>
      <w:r w:rsidRPr="006D41B3">
        <w:rPr>
          <w:rFonts w:ascii="Arial" w:hAnsi="Arial" w:cs="Arial"/>
          <w:color w:val="auto"/>
          <w:sz w:val="20"/>
          <w:szCs w:val="20"/>
        </w:rPr>
        <w:t xml:space="preserve">expert </w:t>
      </w:r>
      <w:r w:rsidR="0012399F">
        <w:rPr>
          <w:rFonts w:ascii="Arial" w:hAnsi="Arial" w:cs="Arial"/>
          <w:color w:val="auto"/>
          <w:sz w:val="20"/>
          <w:szCs w:val="20"/>
        </w:rPr>
        <w:t>MDT</w:t>
      </w:r>
      <w:r w:rsidRPr="006D41B3">
        <w:rPr>
          <w:rFonts w:ascii="Arial" w:hAnsi="Arial" w:cs="Arial"/>
          <w:color w:val="auto"/>
          <w:sz w:val="20"/>
          <w:szCs w:val="20"/>
        </w:rPr>
        <w:t xml:space="preserve"> plans </w:t>
      </w:r>
      <w:r>
        <w:rPr>
          <w:rFonts w:ascii="Arial" w:hAnsi="Arial" w:cs="Arial"/>
          <w:color w:val="auto"/>
          <w:sz w:val="20"/>
          <w:szCs w:val="20"/>
        </w:rPr>
        <w:t>for the ACS and CCS patients in</w:t>
      </w:r>
      <w:r w:rsidRPr="006D41B3">
        <w:rPr>
          <w:rFonts w:ascii="Arial" w:hAnsi="Arial" w:cs="Arial"/>
          <w:color w:val="auto"/>
          <w:sz w:val="20"/>
          <w:szCs w:val="20"/>
        </w:rPr>
        <w:t xml:space="preserve"> the virtual change subset</w:t>
      </w:r>
      <w:bookmarkEnd w:id="1180"/>
      <w:bookmarkEnd w:id="1181"/>
      <w:bookmarkEnd w:id="1182"/>
      <w:bookmarkEnd w:id="1183"/>
      <w:bookmarkEnd w:id="1184"/>
      <w:bookmarkEnd w:id="1185"/>
    </w:p>
    <w:p w14:paraId="7A6466D7" w14:textId="77777777" w:rsidR="004942B6" w:rsidRDefault="004942B6" w:rsidP="004942B6">
      <w:pPr>
        <w:spacing w:line="360" w:lineRule="auto"/>
        <w:jc w:val="both"/>
        <w:rPr>
          <w:rFonts w:ascii="Arial" w:hAnsi="Arial" w:cs="Arial"/>
          <w:sz w:val="24"/>
          <w:szCs w:val="24"/>
        </w:rPr>
      </w:pPr>
    </w:p>
    <w:p w14:paraId="78CA3153" w14:textId="77777777" w:rsidR="004942B6" w:rsidRDefault="004942B6" w:rsidP="004942B6">
      <w:pPr>
        <w:spacing w:line="360" w:lineRule="auto"/>
        <w:jc w:val="both"/>
        <w:rPr>
          <w:rFonts w:ascii="Arial" w:hAnsi="Arial" w:cs="Arial"/>
          <w:sz w:val="24"/>
          <w:szCs w:val="24"/>
        </w:rPr>
      </w:pPr>
    </w:p>
    <w:p w14:paraId="7FD33AA7" w14:textId="12DE0692" w:rsidR="004942B6" w:rsidRDefault="00F85DAC" w:rsidP="004942B6">
      <w:pPr>
        <w:keepNext/>
        <w:spacing w:line="360" w:lineRule="auto"/>
        <w:jc w:val="both"/>
      </w:pPr>
      <w:r>
        <w:rPr>
          <w:noProof/>
          <w:lang w:eastAsia="en-GB"/>
        </w:rPr>
        <w:lastRenderedPageBreak/>
        <w:drawing>
          <wp:inline distT="0" distB="0" distL="0" distR="0" wp14:anchorId="6AAEC150" wp14:editId="763D7B3F">
            <wp:extent cx="5882059" cy="4398188"/>
            <wp:effectExtent l="0" t="0" r="4445" b="2540"/>
            <wp:docPr id="733424393" name="Picture 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24393" name="Picture 6" descr="A screenshot of a computer"/>
                    <pic:cNvPicPr/>
                  </pic:nvPicPr>
                  <pic:blipFill rotWithShape="1">
                    <a:blip r:embed="rId78" cstate="print">
                      <a:extLst>
                        <a:ext uri="{BEBA8EAE-BF5A-486C-A8C5-ECC9F3942E4B}">
                          <a14:imgProps xmlns:a14="http://schemas.microsoft.com/office/drawing/2010/main">
                            <a14:imgLayer r:embed="rId7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582" r="4804"/>
                    <a:stretch/>
                  </pic:blipFill>
                  <pic:spPr bwMode="auto">
                    <a:xfrm>
                      <a:off x="0" y="0"/>
                      <a:ext cx="5891782" cy="4405458"/>
                    </a:xfrm>
                    <a:prstGeom prst="rect">
                      <a:avLst/>
                    </a:prstGeom>
                    <a:ln>
                      <a:noFill/>
                    </a:ln>
                    <a:extLst>
                      <a:ext uri="{53640926-AAD7-44D8-BBD7-CCE9431645EC}">
                        <a14:shadowObscured xmlns:a14="http://schemas.microsoft.com/office/drawing/2010/main"/>
                      </a:ext>
                    </a:extLst>
                  </pic:spPr>
                </pic:pic>
              </a:graphicData>
            </a:graphic>
          </wp:inline>
        </w:drawing>
      </w:r>
    </w:p>
    <w:p w14:paraId="32FCE435" w14:textId="03F51B66" w:rsidR="004942B6" w:rsidRPr="00F85DAC" w:rsidRDefault="004942B6" w:rsidP="00F85DAC">
      <w:pPr>
        <w:pStyle w:val="Caption"/>
        <w:jc w:val="both"/>
        <w:rPr>
          <w:rFonts w:ascii="Arial" w:hAnsi="Arial" w:cs="Arial"/>
          <w:color w:val="auto"/>
          <w:sz w:val="20"/>
          <w:szCs w:val="20"/>
        </w:rPr>
      </w:pPr>
      <w:bookmarkStart w:id="1186" w:name="_Toc152492284"/>
      <w:bookmarkStart w:id="1187" w:name="_Toc152596972"/>
      <w:bookmarkStart w:id="1188" w:name="_Toc153409679"/>
      <w:bookmarkStart w:id="1189" w:name="_Toc153724927"/>
      <w:bookmarkStart w:id="1190" w:name="_Toc152340491"/>
      <w:bookmarkStart w:id="1191" w:name="_Toc159318520"/>
      <w:bookmarkStart w:id="1192" w:name="_Toc159612046"/>
      <w:bookmarkStart w:id="1193" w:name="_Toc160982692"/>
      <w:bookmarkStart w:id="1194" w:name="_Toc164697518"/>
      <w:bookmarkStart w:id="1195" w:name="_Toc170744611"/>
      <w:bookmarkStart w:id="1196" w:name="_Toc196153242"/>
      <w:r w:rsidRPr="006D41B3">
        <w:rPr>
          <w:rFonts w:ascii="Arial" w:hAnsi="Arial" w:cs="Arial"/>
          <w:b/>
          <w:bCs/>
          <w:color w:val="auto"/>
          <w:sz w:val="20"/>
          <w:szCs w:val="20"/>
        </w:rPr>
        <w:t xml:space="preserve">Figure </w:t>
      </w:r>
      <w:r w:rsidRPr="006D41B3">
        <w:rPr>
          <w:rFonts w:ascii="Arial" w:hAnsi="Arial" w:cs="Arial"/>
          <w:b/>
          <w:bCs/>
          <w:color w:val="auto"/>
          <w:sz w:val="20"/>
          <w:szCs w:val="20"/>
        </w:rPr>
        <w:fldChar w:fldCharType="begin"/>
      </w:r>
      <w:r w:rsidRPr="006D41B3">
        <w:rPr>
          <w:rFonts w:ascii="Arial" w:hAnsi="Arial" w:cs="Arial"/>
          <w:b/>
          <w:bCs/>
          <w:color w:val="auto"/>
          <w:sz w:val="20"/>
          <w:szCs w:val="20"/>
        </w:rPr>
        <w:instrText xml:space="preserve"> SEQ Figure \* ARABIC </w:instrText>
      </w:r>
      <w:r w:rsidRPr="006D41B3">
        <w:rPr>
          <w:rFonts w:ascii="Arial" w:hAnsi="Arial" w:cs="Arial"/>
          <w:b/>
          <w:bCs/>
          <w:color w:val="auto"/>
          <w:sz w:val="20"/>
          <w:szCs w:val="20"/>
        </w:rPr>
        <w:fldChar w:fldCharType="separate"/>
      </w:r>
      <w:r w:rsidR="001823B4">
        <w:rPr>
          <w:rFonts w:ascii="Arial" w:hAnsi="Arial" w:cs="Arial"/>
          <w:b/>
          <w:bCs/>
          <w:noProof/>
          <w:color w:val="auto"/>
          <w:sz w:val="20"/>
          <w:szCs w:val="20"/>
        </w:rPr>
        <w:t>50</w:t>
      </w:r>
      <w:r w:rsidRPr="006D41B3">
        <w:rPr>
          <w:rFonts w:ascii="Arial" w:hAnsi="Arial" w:cs="Arial"/>
          <w:b/>
          <w:bCs/>
          <w:color w:val="auto"/>
          <w:sz w:val="20"/>
          <w:szCs w:val="20"/>
        </w:rPr>
        <w:fldChar w:fldCharType="end"/>
      </w:r>
      <w:r w:rsidRPr="006D41B3">
        <w:rPr>
          <w:rFonts w:ascii="Arial" w:hAnsi="Arial" w:cs="Arial"/>
          <w:b/>
          <w:bCs/>
          <w:color w:val="auto"/>
          <w:sz w:val="20"/>
          <w:szCs w:val="20"/>
        </w:rPr>
        <w:t>:</w:t>
      </w:r>
      <w:r w:rsidRPr="006D41B3">
        <w:rPr>
          <w:rFonts w:ascii="Arial" w:hAnsi="Arial" w:cs="Arial"/>
          <w:color w:val="auto"/>
          <w:sz w:val="20"/>
          <w:szCs w:val="20"/>
        </w:rPr>
        <w:t xml:space="preserve"> </w:t>
      </w:r>
      <w:r>
        <w:rPr>
          <w:rFonts w:ascii="Arial" w:hAnsi="Arial" w:cs="Arial"/>
          <w:color w:val="auto"/>
          <w:sz w:val="20"/>
          <w:szCs w:val="20"/>
        </w:rPr>
        <w:t>Concordance</w:t>
      </w:r>
      <w:r w:rsidRPr="006D41B3">
        <w:rPr>
          <w:rFonts w:ascii="Arial" w:hAnsi="Arial" w:cs="Arial"/>
          <w:color w:val="auto"/>
          <w:sz w:val="20"/>
          <w:szCs w:val="20"/>
        </w:rPr>
        <w:t xml:space="preserve"> between the </w:t>
      </w:r>
      <w:r>
        <w:rPr>
          <w:rFonts w:ascii="Arial" w:hAnsi="Arial" w:cs="Arial"/>
          <w:color w:val="auto"/>
          <w:sz w:val="20"/>
          <w:szCs w:val="20"/>
        </w:rPr>
        <w:t>post-</w:t>
      </w:r>
      <w:r w:rsidRPr="006D41B3">
        <w:rPr>
          <w:rFonts w:ascii="Arial" w:hAnsi="Arial" w:cs="Arial"/>
          <w:color w:val="auto"/>
          <w:sz w:val="20"/>
          <w:szCs w:val="20"/>
        </w:rPr>
        <w:t>vFFR-</w:t>
      </w:r>
      <w:r>
        <w:rPr>
          <w:rFonts w:ascii="Arial" w:hAnsi="Arial" w:cs="Arial"/>
          <w:color w:val="auto"/>
          <w:sz w:val="20"/>
          <w:szCs w:val="20"/>
        </w:rPr>
        <w:t xml:space="preserve">management </w:t>
      </w:r>
      <w:r w:rsidRPr="006D41B3">
        <w:rPr>
          <w:rFonts w:ascii="Arial" w:hAnsi="Arial" w:cs="Arial"/>
          <w:color w:val="auto"/>
          <w:sz w:val="20"/>
          <w:szCs w:val="20"/>
        </w:rPr>
        <w:t xml:space="preserve">plans </w:t>
      </w:r>
      <w:r>
        <w:rPr>
          <w:rFonts w:ascii="Arial" w:hAnsi="Arial" w:cs="Arial"/>
          <w:color w:val="auto"/>
          <w:sz w:val="20"/>
          <w:szCs w:val="20"/>
        </w:rPr>
        <w:t xml:space="preserve">of </w:t>
      </w:r>
      <w:r w:rsidR="007C2D89">
        <w:rPr>
          <w:rFonts w:ascii="Arial" w:hAnsi="Arial" w:cs="Arial"/>
          <w:color w:val="auto"/>
          <w:sz w:val="20"/>
          <w:szCs w:val="20"/>
        </w:rPr>
        <w:t>parent cardiologists</w:t>
      </w:r>
      <w:r>
        <w:rPr>
          <w:rFonts w:ascii="Arial" w:hAnsi="Arial" w:cs="Arial"/>
          <w:color w:val="auto"/>
          <w:sz w:val="20"/>
          <w:szCs w:val="20"/>
        </w:rPr>
        <w:t xml:space="preserve"> and</w:t>
      </w:r>
      <w:r w:rsidRPr="006D41B3">
        <w:rPr>
          <w:rFonts w:ascii="Arial" w:hAnsi="Arial" w:cs="Arial"/>
          <w:color w:val="auto"/>
          <w:sz w:val="20"/>
          <w:szCs w:val="20"/>
        </w:rPr>
        <w:t xml:space="preserve"> </w:t>
      </w:r>
      <w:r>
        <w:rPr>
          <w:rFonts w:ascii="Arial" w:hAnsi="Arial" w:cs="Arial"/>
          <w:color w:val="auto"/>
          <w:sz w:val="20"/>
          <w:szCs w:val="20"/>
        </w:rPr>
        <w:t xml:space="preserve">both </w:t>
      </w:r>
      <w:r w:rsidRPr="006D41B3">
        <w:rPr>
          <w:rFonts w:ascii="Arial" w:hAnsi="Arial" w:cs="Arial"/>
          <w:color w:val="auto"/>
          <w:sz w:val="20"/>
          <w:szCs w:val="20"/>
        </w:rPr>
        <w:t xml:space="preserve">expert </w:t>
      </w:r>
      <w:r w:rsidR="0012399F">
        <w:rPr>
          <w:rFonts w:ascii="Arial" w:hAnsi="Arial" w:cs="Arial"/>
          <w:color w:val="auto"/>
          <w:sz w:val="20"/>
          <w:szCs w:val="20"/>
        </w:rPr>
        <w:t>MDT</w:t>
      </w:r>
      <w:r w:rsidRPr="006D41B3">
        <w:rPr>
          <w:rFonts w:ascii="Arial" w:hAnsi="Arial" w:cs="Arial"/>
          <w:color w:val="auto"/>
          <w:sz w:val="20"/>
          <w:szCs w:val="20"/>
        </w:rPr>
        <w:t xml:space="preserve"> plans </w:t>
      </w:r>
      <w:r>
        <w:rPr>
          <w:rFonts w:ascii="Arial" w:hAnsi="Arial" w:cs="Arial"/>
          <w:color w:val="auto"/>
          <w:sz w:val="20"/>
          <w:szCs w:val="20"/>
        </w:rPr>
        <w:t>for the ACS and CCS patients in</w:t>
      </w:r>
      <w:r w:rsidRPr="006D41B3">
        <w:rPr>
          <w:rFonts w:ascii="Arial" w:hAnsi="Arial" w:cs="Arial"/>
          <w:color w:val="auto"/>
          <w:sz w:val="20"/>
          <w:szCs w:val="20"/>
        </w:rPr>
        <w:t xml:space="preserve"> the virtual change subset</w:t>
      </w:r>
      <w:bookmarkEnd w:id="1186"/>
      <w:bookmarkEnd w:id="1187"/>
      <w:bookmarkEnd w:id="1188"/>
      <w:bookmarkEnd w:id="1189"/>
      <w:bookmarkEnd w:id="1190"/>
      <w:bookmarkEnd w:id="1191"/>
      <w:bookmarkEnd w:id="1192"/>
      <w:bookmarkEnd w:id="1193"/>
      <w:bookmarkEnd w:id="1194"/>
      <w:bookmarkEnd w:id="1195"/>
      <w:bookmarkEnd w:id="1196"/>
    </w:p>
    <w:p w14:paraId="5D4D73CD" w14:textId="6C119537" w:rsidR="004942B6" w:rsidRDefault="004942B6" w:rsidP="00437D6D">
      <w:pPr>
        <w:pStyle w:val="Heading3"/>
        <w:spacing w:line="360" w:lineRule="auto"/>
        <w:jc w:val="both"/>
        <w:rPr>
          <w:rFonts w:ascii="Arial" w:hAnsi="Arial" w:cs="Arial"/>
          <w:color w:val="4472C4" w:themeColor="accent1"/>
          <w:sz w:val="24"/>
          <w:szCs w:val="24"/>
        </w:rPr>
      </w:pPr>
    </w:p>
    <w:p w14:paraId="7F605530" w14:textId="3A5839EA" w:rsidR="004942B6" w:rsidRPr="00437D6D" w:rsidRDefault="004942B6" w:rsidP="004942B6">
      <w:pPr>
        <w:pStyle w:val="Heading4"/>
        <w:spacing w:line="360" w:lineRule="auto"/>
        <w:rPr>
          <w:rFonts w:ascii="Arial" w:hAnsi="Arial" w:cs="Arial"/>
          <w:i w:val="0"/>
          <w:iCs w:val="0"/>
          <w:color w:val="4472C4" w:themeColor="accent1"/>
          <w:sz w:val="24"/>
          <w:szCs w:val="24"/>
        </w:rPr>
      </w:pPr>
      <w:r w:rsidRPr="00437D6D">
        <w:rPr>
          <w:rFonts w:ascii="Arial" w:hAnsi="Arial" w:cs="Arial"/>
          <w:i w:val="0"/>
          <w:iCs w:val="0"/>
          <w:color w:val="4472C4" w:themeColor="accent1"/>
          <w:sz w:val="24"/>
          <w:szCs w:val="24"/>
        </w:rPr>
        <w:t>3.</w:t>
      </w:r>
      <w:r w:rsidR="00A07585">
        <w:rPr>
          <w:rFonts w:ascii="Arial" w:hAnsi="Arial" w:cs="Arial"/>
          <w:i w:val="0"/>
          <w:iCs w:val="0"/>
          <w:color w:val="4472C4" w:themeColor="accent1"/>
          <w:sz w:val="24"/>
          <w:szCs w:val="24"/>
        </w:rPr>
        <w:t>4.3</w:t>
      </w:r>
      <w:r w:rsidRPr="00437D6D">
        <w:rPr>
          <w:rFonts w:ascii="Arial" w:hAnsi="Arial" w:cs="Arial"/>
          <w:i w:val="0"/>
          <w:iCs w:val="0"/>
          <w:color w:val="4472C4" w:themeColor="accent1"/>
          <w:sz w:val="24"/>
          <w:szCs w:val="24"/>
        </w:rPr>
        <w:t xml:space="preserve"> Comparison of the “actual” and </w:t>
      </w:r>
      <w:r w:rsidR="00C81916">
        <w:rPr>
          <w:rFonts w:ascii="Arial" w:hAnsi="Arial" w:cs="Arial"/>
          <w:i w:val="0"/>
          <w:iCs w:val="0"/>
          <w:color w:val="4472C4" w:themeColor="accent1"/>
          <w:sz w:val="24"/>
          <w:szCs w:val="24"/>
        </w:rPr>
        <w:t xml:space="preserve">post-vFFR </w:t>
      </w:r>
      <w:r w:rsidRPr="00437D6D">
        <w:rPr>
          <w:rFonts w:ascii="Arial" w:hAnsi="Arial" w:cs="Arial"/>
          <w:i w:val="0"/>
          <w:iCs w:val="0"/>
          <w:color w:val="4472C4" w:themeColor="accent1"/>
          <w:sz w:val="24"/>
          <w:szCs w:val="24"/>
        </w:rPr>
        <w:t>“virtual” change in the NYHA and CCS class at one-year follow-up</w:t>
      </w:r>
      <w:r w:rsidR="00B77208">
        <w:rPr>
          <w:rFonts w:ascii="Arial" w:hAnsi="Arial" w:cs="Arial"/>
          <w:i w:val="0"/>
          <w:iCs w:val="0"/>
          <w:color w:val="4472C4" w:themeColor="accent1"/>
          <w:sz w:val="24"/>
          <w:szCs w:val="24"/>
        </w:rPr>
        <w:t xml:space="preserve"> </w:t>
      </w:r>
    </w:p>
    <w:p w14:paraId="2DB10AD9" w14:textId="77777777" w:rsidR="004942B6" w:rsidRPr="009C61AE" w:rsidRDefault="004942B6" w:rsidP="004942B6">
      <w:pPr>
        <w:pStyle w:val="Caption"/>
        <w:keepNext/>
        <w:spacing w:line="360" w:lineRule="auto"/>
        <w:rPr>
          <w:rFonts w:ascii="Arial" w:hAnsi="Arial" w:cs="Arial"/>
          <w:i w:val="0"/>
          <w:iCs w:val="0"/>
          <w:color w:val="auto"/>
          <w:sz w:val="24"/>
          <w:szCs w:val="24"/>
        </w:rPr>
      </w:pPr>
      <w:r w:rsidRPr="00494AC2">
        <w:rPr>
          <w:rFonts w:ascii="Arial" w:hAnsi="Arial" w:cs="Arial"/>
          <w:i w:val="0"/>
          <w:iCs w:val="0"/>
          <w:color w:val="auto"/>
          <w:sz w:val="24"/>
          <w:szCs w:val="24"/>
        </w:rPr>
        <w:t>The</w:t>
      </w:r>
      <w:r>
        <w:rPr>
          <w:rFonts w:ascii="Arial" w:hAnsi="Arial" w:cs="Arial"/>
          <w:i w:val="0"/>
          <w:iCs w:val="0"/>
          <w:color w:val="auto"/>
          <w:sz w:val="24"/>
          <w:szCs w:val="24"/>
        </w:rPr>
        <w:t xml:space="preserve"> virtual outcomes extrapolated from the published literature regarding the potential changes in the NYHA and CCS classes compared to the actual outcomes, if vFFR-suggested plan would have been followed, is shown </w:t>
      </w:r>
      <w:r w:rsidRPr="00494AC2">
        <w:rPr>
          <w:rFonts w:ascii="Arial" w:hAnsi="Arial" w:cs="Arial"/>
          <w:i w:val="0"/>
          <w:iCs w:val="0"/>
          <w:color w:val="auto"/>
          <w:sz w:val="24"/>
          <w:szCs w:val="24"/>
        </w:rPr>
        <w:t>in Table 1</w:t>
      </w:r>
      <w:r>
        <w:rPr>
          <w:rFonts w:ascii="Arial" w:hAnsi="Arial" w:cs="Arial"/>
          <w:i w:val="0"/>
          <w:iCs w:val="0"/>
          <w:color w:val="auto"/>
          <w:sz w:val="24"/>
          <w:szCs w:val="24"/>
        </w:rPr>
        <w:t>4</w:t>
      </w:r>
      <w:r w:rsidRPr="00494AC2">
        <w:rPr>
          <w:rFonts w:ascii="Arial" w:hAnsi="Arial" w:cs="Arial"/>
          <w:i w:val="0"/>
          <w:iCs w:val="0"/>
          <w:color w:val="auto"/>
          <w:sz w:val="24"/>
          <w:szCs w:val="24"/>
        </w:rPr>
        <w:t>.</w:t>
      </w:r>
    </w:p>
    <w:p w14:paraId="7BF9FCC5" w14:textId="77777777" w:rsidR="004942B6" w:rsidRDefault="004942B6" w:rsidP="004942B6">
      <w:pPr>
        <w:tabs>
          <w:tab w:val="left" w:pos="5318"/>
        </w:tabs>
      </w:pPr>
      <w:bookmarkStart w:id="1197" w:name="_Toc151222944"/>
      <w:r>
        <w:tab/>
      </w:r>
    </w:p>
    <w:p w14:paraId="40631EE2" w14:textId="77777777" w:rsidR="004942B6" w:rsidRDefault="004942B6" w:rsidP="004942B6">
      <w:pPr>
        <w:tabs>
          <w:tab w:val="left" w:pos="5318"/>
        </w:tabs>
      </w:pPr>
    </w:p>
    <w:p w14:paraId="7E4E3FB2" w14:textId="77777777" w:rsidR="00F85DAC" w:rsidRDefault="00F85DAC" w:rsidP="004942B6">
      <w:pPr>
        <w:tabs>
          <w:tab w:val="left" w:pos="5318"/>
        </w:tabs>
      </w:pPr>
    </w:p>
    <w:p w14:paraId="35A48DC2" w14:textId="77777777" w:rsidR="004942B6" w:rsidRDefault="004942B6" w:rsidP="004942B6">
      <w:pPr>
        <w:tabs>
          <w:tab w:val="left" w:pos="5318"/>
        </w:tabs>
      </w:pPr>
    </w:p>
    <w:p w14:paraId="7D1523B6" w14:textId="77777777" w:rsidR="004942B6" w:rsidRDefault="004942B6" w:rsidP="004942B6">
      <w:pPr>
        <w:tabs>
          <w:tab w:val="left" w:pos="5318"/>
        </w:tabs>
      </w:pPr>
    </w:p>
    <w:p w14:paraId="52898691" w14:textId="77777777" w:rsidR="00B77208" w:rsidRDefault="00B77208" w:rsidP="004942B6">
      <w:pPr>
        <w:tabs>
          <w:tab w:val="left" w:pos="5318"/>
        </w:tabs>
      </w:pPr>
    </w:p>
    <w:p w14:paraId="4D5EFE92" w14:textId="77777777" w:rsidR="00B77208" w:rsidRPr="00D675B7" w:rsidRDefault="00B77208" w:rsidP="004942B6">
      <w:pPr>
        <w:tabs>
          <w:tab w:val="left" w:pos="5318"/>
        </w:tabs>
      </w:pPr>
    </w:p>
    <w:p w14:paraId="2F07ED83" w14:textId="1DA2C1A8" w:rsidR="004942B6" w:rsidRPr="00B51915" w:rsidRDefault="004942B6" w:rsidP="004942B6">
      <w:pPr>
        <w:pStyle w:val="Caption"/>
        <w:keepNext/>
        <w:jc w:val="both"/>
        <w:rPr>
          <w:rFonts w:ascii="Arial" w:hAnsi="Arial" w:cs="Arial"/>
          <w:color w:val="auto"/>
          <w:sz w:val="20"/>
          <w:szCs w:val="20"/>
        </w:rPr>
      </w:pPr>
      <w:bookmarkStart w:id="1198" w:name="_Toc152598063"/>
      <w:bookmarkStart w:id="1199" w:name="_Toc153725849"/>
      <w:bookmarkStart w:id="1200" w:name="_Toc159318289"/>
      <w:bookmarkStart w:id="1201" w:name="_Toc159610324"/>
      <w:bookmarkStart w:id="1202" w:name="_Toc164699081"/>
      <w:bookmarkStart w:id="1203" w:name="_Toc171206724"/>
      <w:bookmarkStart w:id="1204" w:name="_Toc151630627"/>
      <w:bookmarkStart w:id="1205" w:name="_Toc152340587"/>
      <w:r w:rsidRPr="00673306">
        <w:rPr>
          <w:rFonts w:ascii="Arial" w:hAnsi="Arial" w:cs="Arial"/>
          <w:b/>
          <w:bCs/>
          <w:color w:val="auto"/>
          <w:sz w:val="20"/>
          <w:szCs w:val="20"/>
        </w:rPr>
        <w:lastRenderedPageBreak/>
        <w:t xml:space="preserve">Table </w:t>
      </w:r>
      <w:r w:rsidR="0008140A">
        <w:rPr>
          <w:rFonts w:ascii="Arial" w:hAnsi="Arial" w:cs="Arial"/>
          <w:b/>
          <w:bCs/>
          <w:color w:val="auto"/>
          <w:sz w:val="20"/>
          <w:szCs w:val="20"/>
        </w:rPr>
        <w:t>14</w:t>
      </w:r>
      <w:r w:rsidRPr="00B51915">
        <w:rPr>
          <w:rFonts w:ascii="Arial" w:hAnsi="Arial" w:cs="Arial"/>
          <w:color w:val="auto"/>
          <w:sz w:val="20"/>
          <w:szCs w:val="20"/>
        </w:rPr>
        <w:t>: Comparison of the “</w:t>
      </w:r>
      <w:r>
        <w:rPr>
          <w:rFonts w:ascii="Arial" w:hAnsi="Arial" w:cs="Arial"/>
          <w:color w:val="auto"/>
          <w:sz w:val="20"/>
          <w:szCs w:val="20"/>
        </w:rPr>
        <w:t>a</w:t>
      </w:r>
      <w:r w:rsidRPr="00B51915">
        <w:rPr>
          <w:rFonts w:ascii="Arial" w:hAnsi="Arial" w:cs="Arial"/>
          <w:color w:val="auto"/>
          <w:sz w:val="20"/>
          <w:szCs w:val="20"/>
        </w:rPr>
        <w:t>ctual” and “</w:t>
      </w:r>
      <w:r>
        <w:rPr>
          <w:rFonts w:ascii="Arial" w:hAnsi="Arial" w:cs="Arial"/>
          <w:color w:val="auto"/>
          <w:sz w:val="20"/>
          <w:szCs w:val="20"/>
        </w:rPr>
        <w:t>v</w:t>
      </w:r>
      <w:r w:rsidRPr="00B51915">
        <w:rPr>
          <w:rFonts w:ascii="Arial" w:hAnsi="Arial" w:cs="Arial"/>
          <w:color w:val="auto"/>
          <w:sz w:val="20"/>
          <w:szCs w:val="20"/>
        </w:rPr>
        <w:t xml:space="preserve">irtual” </w:t>
      </w:r>
      <w:r w:rsidR="00B77208">
        <w:rPr>
          <w:rFonts w:ascii="Arial" w:hAnsi="Arial" w:cs="Arial"/>
          <w:color w:val="auto"/>
          <w:sz w:val="20"/>
          <w:szCs w:val="20"/>
        </w:rPr>
        <w:t xml:space="preserve">change in </w:t>
      </w:r>
      <w:r>
        <w:rPr>
          <w:rFonts w:ascii="Arial" w:hAnsi="Arial" w:cs="Arial"/>
          <w:color w:val="auto"/>
          <w:sz w:val="20"/>
          <w:szCs w:val="20"/>
        </w:rPr>
        <w:t>NYHA and CCS classes</w:t>
      </w:r>
      <w:r w:rsidRPr="00B51915">
        <w:rPr>
          <w:rFonts w:ascii="Arial" w:hAnsi="Arial" w:cs="Arial"/>
          <w:color w:val="auto"/>
          <w:sz w:val="20"/>
          <w:szCs w:val="20"/>
        </w:rPr>
        <w:t xml:space="preserve"> </w:t>
      </w:r>
      <w:r>
        <w:rPr>
          <w:rFonts w:ascii="Arial" w:hAnsi="Arial" w:cs="Arial"/>
          <w:color w:val="auto"/>
          <w:sz w:val="20"/>
          <w:szCs w:val="20"/>
        </w:rPr>
        <w:t>at one yea</w:t>
      </w:r>
      <w:r w:rsidR="00B77208">
        <w:rPr>
          <w:rFonts w:ascii="Arial" w:hAnsi="Arial" w:cs="Arial"/>
          <w:color w:val="auto"/>
          <w:sz w:val="20"/>
          <w:szCs w:val="20"/>
        </w:rPr>
        <w:t>r (according to the parent cardiologists</w:t>
      </w:r>
      <w:r w:rsidR="00DE0202">
        <w:rPr>
          <w:rFonts w:ascii="Arial" w:hAnsi="Arial" w:cs="Arial"/>
          <w:color w:val="auto"/>
          <w:sz w:val="20"/>
          <w:szCs w:val="20"/>
        </w:rPr>
        <w:t>’ plans</w:t>
      </w:r>
      <w:r w:rsidR="00B77208">
        <w:rPr>
          <w:rFonts w:ascii="Arial" w:hAnsi="Arial" w:cs="Arial"/>
          <w:color w:val="auto"/>
          <w:sz w:val="20"/>
          <w:szCs w:val="20"/>
        </w:rPr>
        <w:t xml:space="preserve">) </w:t>
      </w:r>
      <w:bookmarkEnd w:id="1198"/>
      <w:bookmarkEnd w:id="1199"/>
      <w:bookmarkEnd w:id="1200"/>
      <w:bookmarkEnd w:id="1201"/>
      <w:bookmarkEnd w:id="1202"/>
      <w:r w:rsidR="00B77208">
        <w:rPr>
          <w:rFonts w:ascii="Arial" w:hAnsi="Arial" w:cs="Arial"/>
          <w:color w:val="auto"/>
          <w:sz w:val="20"/>
          <w:szCs w:val="20"/>
        </w:rPr>
        <w:t xml:space="preserve">within the virtual change subset showed </w:t>
      </w:r>
      <w:r w:rsidR="00DE0202">
        <w:rPr>
          <w:rFonts w:ascii="Arial" w:hAnsi="Arial" w:cs="Arial"/>
          <w:color w:val="auto"/>
          <w:sz w:val="20"/>
          <w:szCs w:val="20"/>
        </w:rPr>
        <w:t>that the CCS and NYHa classes would have virtually improved significantly in CCS patients</w:t>
      </w:r>
      <w:r w:rsidR="00B77208">
        <w:rPr>
          <w:rFonts w:ascii="Arial" w:hAnsi="Arial" w:cs="Arial"/>
          <w:color w:val="auto"/>
          <w:sz w:val="20"/>
          <w:szCs w:val="20"/>
        </w:rPr>
        <w:t xml:space="preserve">, however, no significant change was demonstrated in the ACS </w:t>
      </w:r>
      <w:r w:rsidR="00DE0202">
        <w:rPr>
          <w:rFonts w:ascii="Arial" w:hAnsi="Arial" w:cs="Arial"/>
          <w:color w:val="auto"/>
          <w:sz w:val="20"/>
          <w:szCs w:val="20"/>
        </w:rPr>
        <w:t>patients.</w:t>
      </w:r>
      <w:bookmarkEnd w:id="1203"/>
      <w:r w:rsidR="00B77208">
        <w:rPr>
          <w:rFonts w:ascii="Arial" w:hAnsi="Arial" w:cs="Arial"/>
          <w:color w:val="auto"/>
          <w:sz w:val="20"/>
          <w:szCs w:val="20"/>
        </w:rPr>
        <w:t xml:space="preserve">  </w:t>
      </w:r>
      <w:r>
        <w:rPr>
          <w:rFonts w:ascii="Arial" w:hAnsi="Arial" w:cs="Arial"/>
          <w:color w:val="auto"/>
          <w:sz w:val="20"/>
          <w:szCs w:val="20"/>
        </w:rPr>
        <w:t xml:space="preserve"> </w:t>
      </w:r>
      <w:bookmarkEnd w:id="1197"/>
      <w:bookmarkEnd w:id="1204"/>
      <w:bookmarkEnd w:id="1205"/>
    </w:p>
    <w:tbl>
      <w:tblPr>
        <w:tblStyle w:val="TableGrid"/>
        <w:tblW w:w="9243" w:type="dxa"/>
        <w:tblInd w:w="-34" w:type="dxa"/>
        <w:tblLook w:val="04A0" w:firstRow="1" w:lastRow="0" w:firstColumn="1" w:lastColumn="0" w:noHBand="0" w:noVBand="1"/>
      </w:tblPr>
      <w:tblGrid>
        <w:gridCol w:w="1589"/>
        <w:gridCol w:w="1275"/>
        <w:gridCol w:w="1276"/>
        <w:gridCol w:w="1134"/>
        <w:gridCol w:w="1559"/>
        <w:gridCol w:w="1276"/>
        <w:gridCol w:w="1134"/>
      </w:tblGrid>
      <w:tr w:rsidR="004942B6" w:rsidRPr="009978C5" w14:paraId="42ED04AA" w14:textId="77777777" w:rsidTr="00B77208">
        <w:tc>
          <w:tcPr>
            <w:tcW w:w="1589" w:type="dxa"/>
          </w:tcPr>
          <w:p w14:paraId="5E2F7FBF" w14:textId="276CEDD2" w:rsidR="004942B6" w:rsidRPr="004C6B3A" w:rsidRDefault="00AC2473" w:rsidP="002C2525">
            <w:pPr>
              <w:spacing w:line="360" w:lineRule="auto"/>
              <w:jc w:val="both"/>
              <w:rPr>
                <w:b/>
                <w:bCs/>
                <w:sz w:val="24"/>
                <w:szCs w:val="24"/>
              </w:rPr>
            </w:pPr>
            <w:r>
              <w:rPr>
                <w:b/>
                <w:bCs/>
                <w:sz w:val="24"/>
                <w:szCs w:val="24"/>
              </w:rPr>
              <w:t xml:space="preserve">  </w:t>
            </w:r>
            <w:r w:rsidR="004942B6" w:rsidRPr="004C6B3A">
              <w:rPr>
                <w:b/>
                <w:bCs/>
                <w:sz w:val="24"/>
                <w:szCs w:val="24"/>
              </w:rPr>
              <w:t>Outcome</w:t>
            </w:r>
          </w:p>
        </w:tc>
        <w:tc>
          <w:tcPr>
            <w:tcW w:w="2551" w:type="dxa"/>
            <w:gridSpan w:val="2"/>
          </w:tcPr>
          <w:p w14:paraId="5F44B553" w14:textId="0A8CBCCE" w:rsidR="004942B6" w:rsidRPr="004C6B3A" w:rsidRDefault="004942B6" w:rsidP="002C2525">
            <w:pPr>
              <w:spacing w:line="360" w:lineRule="auto"/>
              <w:jc w:val="both"/>
              <w:rPr>
                <w:b/>
                <w:bCs/>
                <w:sz w:val="24"/>
                <w:szCs w:val="24"/>
              </w:rPr>
            </w:pPr>
            <w:r w:rsidRPr="004C6B3A">
              <w:rPr>
                <w:b/>
                <w:bCs/>
                <w:sz w:val="24"/>
                <w:szCs w:val="24"/>
              </w:rPr>
              <w:t xml:space="preserve">   ACS patients (n=39)</w:t>
            </w:r>
          </w:p>
        </w:tc>
        <w:tc>
          <w:tcPr>
            <w:tcW w:w="1134" w:type="dxa"/>
          </w:tcPr>
          <w:p w14:paraId="69ED236A" w14:textId="491FC9CE" w:rsidR="004942B6" w:rsidRPr="004C6B3A" w:rsidRDefault="00AC2473" w:rsidP="002C2525">
            <w:pPr>
              <w:spacing w:line="360" w:lineRule="auto"/>
              <w:jc w:val="both"/>
              <w:rPr>
                <w:b/>
                <w:bCs/>
                <w:sz w:val="24"/>
                <w:szCs w:val="24"/>
              </w:rPr>
            </w:pPr>
            <w:r>
              <w:rPr>
                <w:b/>
                <w:bCs/>
                <w:sz w:val="24"/>
                <w:szCs w:val="24"/>
              </w:rPr>
              <w:t xml:space="preserve">  </w:t>
            </w:r>
            <w:r w:rsidR="004942B6" w:rsidRPr="004C6B3A">
              <w:rPr>
                <w:b/>
                <w:bCs/>
                <w:sz w:val="24"/>
                <w:szCs w:val="24"/>
              </w:rPr>
              <w:t>p-value</w:t>
            </w:r>
          </w:p>
        </w:tc>
        <w:tc>
          <w:tcPr>
            <w:tcW w:w="2835" w:type="dxa"/>
            <w:gridSpan w:val="2"/>
          </w:tcPr>
          <w:p w14:paraId="497499C9" w14:textId="024D2E3A" w:rsidR="004942B6" w:rsidRPr="004C6B3A" w:rsidRDefault="004942B6" w:rsidP="002C2525">
            <w:pPr>
              <w:spacing w:line="360" w:lineRule="auto"/>
              <w:jc w:val="both"/>
              <w:rPr>
                <w:b/>
                <w:bCs/>
                <w:sz w:val="24"/>
                <w:szCs w:val="24"/>
              </w:rPr>
            </w:pPr>
            <w:r w:rsidRPr="004C6B3A">
              <w:rPr>
                <w:b/>
                <w:bCs/>
                <w:sz w:val="24"/>
                <w:szCs w:val="24"/>
              </w:rPr>
              <w:t xml:space="preserve"> </w:t>
            </w:r>
            <w:r w:rsidR="00AC2473">
              <w:rPr>
                <w:b/>
                <w:bCs/>
                <w:sz w:val="24"/>
                <w:szCs w:val="24"/>
              </w:rPr>
              <w:t xml:space="preserve">   </w:t>
            </w:r>
            <w:r w:rsidRPr="004C6B3A">
              <w:rPr>
                <w:b/>
                <w:bCs/>
                <w:sz w:val="24"/>
                <w:szCs w:val="24"/>
              </w:rPr>
              <w:t>CCS patients (n=26)</w:t>
            </w:r>
          </w:p>
        </w:tc>
        <w:tc>
          <w:tcPr>
            <w:tcW w:w="1134" w:type="dxa"/>
          </w:tcPr>
          <w:p w14:paraId="193C8CAA" w14:textId="783D135C" w:rsidR="004942B6" w:rsidRPr="004C6B3A" w:rsidRDefault="00AC2473" w:rsidP="002C2525">
            <w:pPr>
              <w:spacing w:line="360" w:lineRule="auto"/>
              <w:jc w:val="both"/>
              <w:rPr>
                <w:b/>
                <w:bCs/>
                <w:sz w:val="24"/>
                <w:szCs w:val="24"/>
              </w:rPr>
            </w:pPr>
            <w:r>
              <w:rPr>
                <w:b/>
                <w:bCs/>
                <w:sz w:val="24"/>
                <w:szCs w:val="24"/>
              </w:rPr>
              <w:t xml:space="preserve">   </w:t>
            </w:r>
            <w:r w:rsidR="004942B6" w:rsidRPr="004C6B3A">
              <w:rPr>
                <w:b/>
                <w:bCs/>
                <w:sz w:val="24"/>
                <w:szCs w:val="24"/>
              </w:rPr>
              <w:t>p-value</w:t>
            </w:r>
          </w:p>
        </w:tc>
      </w:tr>
      <w:tr w:rsidR="004942B6" w:rsidRPr="009978C5" w14:paraId="2BE96C07" w14:textId="77777777" w:rsidTr="00B77208">
        <w:tc>
          <w:tcPr>
            <w:tcW w:w="1589" w:type="dxa"/>
          </w:tcPr>
          <w:p w14:paraId="19D8BC5C" w14:textId="3C8F73EF" w:rsidR="004942B6" w:rsidRPr="00E42491" w:rsidRDefault="00AC2473" w:rsidP="002C2525">
            <w:pPr>
              <w:spacing w:line="360" w:lineRule="auto"/>
              <w:jc w:val="both"/>
              <w:rPr>
                <w:b/>
                <w:bCs/>
                <w:sz w:val="24"/>
                <w:szCs w:val="24"/>
              </w:rPr>
            </w:pPr>
            <w:r>
              <w:rPr>
                <w:b/>
                <w:bCs/>
                <w:sz w:val="24"/>
                <w:szCs w:val="24"/>
              </w:rPr>
              <w:t xml:space="preserve">  </w:t>
            </w:r>
            <w:r w:rsidR="004942B6" w:rsidRPr="00E42491">
              <w:rPr>
                <w:b/>
                <w:bCs/>
                <w:sz w:val="24"/>
                <w:szCs w:val="24"/>
              </w:rPr>
              <w:t>CCS class</w:t>
            </w:r>
          </w:p>
        </w:tc>
        <w:tc>
          <w:tcPr>
            <w:tcW w:w="1275" w:type="dxa"/>
          </w:tcPr>
          <w:p w14:paraId="2ABEDDA8" w14:textId="77777777" w:rsidR="004942B6" w:rsidRPr="00B443B2" w:rsidRDefault="004942B6" w:rsidP="002C2525">
            <w:pPr>
              <w:spacing w:line="360" w:lineRule="auto"/>
              <w:jc w:val="both"/>
              <w:rPr>
                <w:b/>
                <w:bCs/>
                <w:sz w:val="24"/>
                <w:szCs w:val="24"/>
              </w:rPr>
            </w:pPr>
            <w:r w:rsidRPr="00B443B2">
              <w:rPr>
                <w:b/>
                <w:bCs/>
                <w:sz w:val="24"/>
                <w:szCs w:val="24"/>
              </w:rPr>
              <w:t xml:space="preserve">   Actual </w:t>
            </w:r>
          </w:p>
        </w:tc>
        <w:tc>
          <w:tcPr>
            <w:tcW w:w="1276" w:type="dxa"/>
          </w:tcPr>
          <w:p w14:paraId="774A2D66" w14:textId="77777777" w:rsidR="004942B6" w:rsidRPr="00B443B2" w:rsidRDefault="004942B6" w:rsidP="002C2525">
            <w:pPr>
              <w:spacing w:line="360" w:lineRule="auto"/>
              <w:jc w:val="both"/>
              <w:rPr>
                <w:b/>
                <w:bCs/>
                <w:sz w:val="24"/>
                <w:szCs w:val="24"/>
              </w:rPr>
            </w:pPr>
            <w:r w:rsidRPr="00B443B2">
              <w:rPr>
                <w:b/>
                <w:bCs/>
                <w:sz w:val="24"/>
                <w:szCs w:val="24"/>
              </w:rPr>
              <w:t xml:space="preserve">   Virtual</w:t>
            </w:r>
          </w:p>
        </w:tc>
        <w:tc>
          <w:tcPr>
            <w:tcW w:w="1134" w:type="dxa"/>
            <w:vMerge w:val="restart"/>
          </w:tcPr>
          <w:p w14:paraId="73BCAB2C" w14:textId="77777777" w:rsidR="004942B6" w:rsidRPr="00E42491" w:rsidRDefault="004942B6" w:rsidP="002C2525">
            <w:pPr>
              <w:spacing w:line="360" w:lineRule="auto"/>
              <w:jc w:val="both"/>
              <w:rPr>
                <w:b/>
                <w:bCs/>
                <w:sz w:val="24"/>
                <w:szCs w:val="24"/>
              </w:rPr>
            </w:pPr>
          </w:p>
          <w:p w14:paraId="27FFA069" w14:textId="77777777" w:rsidR="004942B6" w:rsidRPr="00E42491" w:rsidRDefault="004942B6" w:rsidP="002C2525">
            <w:pPr>
              <w:spacing w:line="360" w:lineRule="auto"/>
              <w:jc w:val="both"/>
              <w:rPr>
                <w:b/>
                <w:bCs/>
                <w:sz w:val="24"/>
                <w:szCs w:val="24"/>
              </w:rPr>
            </w:pPr>
          </w:p>
          <w:p w14:paraId="14B9A581" w14:textId="0D030D3E" w:rsidR="004942B6" w:rsidRPr="00E42491" w:rsidRDefault="00AC2473" w:rsidP="002C2525">
            <w:pPr>
              <w:spacing w:line="360" w:lineRule="auto"/>
              <w:jc w:val="both"/>
              <w:rPr>
                <w:b/>
                <w:bCs/>
                <w:sz w:val="24"/>
                <w:szCs w:val="24"/>
              </w:rPr>
            </w:pPr>
            <w:r>
              <w:rPr>
                <w:b/>
                <w:bCs/>
                <w:sz w:val="24"/>
                <w:szCs w:val="24"/>
              </w:rPr>
              <w:t xml:space="preserve">  </w:t>
            </w:r>
            <w:r w:rsidR="004942B6" w:rsidRPr="00E42491">
              <w:rPr>
                <w:b/>
                <w:bCs/>
                <w:sz w:val="24"/>
                <w:szCs w:val="24"/>
              </w:rPr>
              <w:t>p=0.99</w:t>
            </w:r>
          </w:p>
        </w:tc>
        <w:tc>
          <w:tcPr>
            <w:tcW w:w="1559" w:type="dxa"/>
          </w:tcPr>
          <w:p w14:paraId="310EF2AC" w14:textId="77777777" w:rsidR="004942B6" w:rsidRPr="00B443B2" w:rsidRDefault="004942B6" w:rsidP="002C2525">
            <w:pPr>
              <w:spacing w:line="360" w:lineRule="auto"/>
              <w:jc w:val="both"/>
              <w:rPr>
                <w:b/>
                <w:bCs/>
                <w:sz w:val="24"/>
                <w:szCs w:val="24"/>
              </w:rPr>
            </w:pPr>
            <w:r w:rsidRPr="00B443B2">
              <w:rPr>
                <w:b/>
                <w:bCs/>
                <w:sz w:val="24"/>
                <w:szCs w:val="24"/>
              </w:rPr>
              <w:t xml:space="preserve">    Actual</w:t>
            </w:r>
          </w:p>
        </w:tc>
        <w:tc>
          <w:tcPr>
            <w:tcW w:w="1276" w:type="dxa"/>
          </w:tcPr>
          <w:p w14:paraId="25807BCA" w14:textId="77777777" w:rsidR="004942B6" w:rsidRPr="00B443B2" w:rsidRDefault="004942B6" w:rsidP="002C2525">
            <w:pPr>
              <w:spacing w:line="360" w:lineRule="auto"/>
              <w:jc w:val="both"/>
              <w:rPr>
                <w:b/>
                <w:bCs/>
                <w:sz w:val="24"/>
                <w:szCs w:val="24"/>
              </w:rPr>
            </w:pPr>
            <w:r w:rsidRPr="00B443B2">
              <w:rPr>
                <w:b/>
                <w:bCs/>
                <w:sz w:val="24"/>
                <w:szCs w:val="24"/>
              </w:rPr>
              <w:t xml:space="preserve">   Virtual</w:t>
            </w:r>
          </w:p>
        </w:tc>
        <w:tc>
          <w:tcPr>
            <w:tcW w:w="1134" w:type="dxa"/>
            <w:vMerge w:val="restart"/>
          </w:tcPr>
          <w:p w14:paraId="4D19BCEA" w14:textId="77777777" w:rsidR="004942B6" w:rsidRPr="00E42491" w:rsidRDefault="004942B6" w:rsidP="002C2525">
            <w:pPr>
              <w:spacing w:line="360" w:lineRule="auto"/>
              <w:jc w:val="both"/>
              <w:rPr>
                <w:sz w:val="24"/>
                <w:szCs w:val="24"/>
              </w:rPr>
            </w:pPr>
          </w:p>
          <w:p w14:paraId="6F713040" w14:textId="77777777" w:rsidR="004942B6" w:rsidRPr="00E42491" w:rsidRDefault="004942B6" w:rsidP="002C2525">
            <w:pPr>
              <w:spacing w:line="360" w:lineRule="auto"/>
              <w:jc w:val="both"/>
              <w:rPr>
                <w:sz w:val="24"/>
                <w:szCs w:val="24"/>
              </w:rPr>
            </w:pPr>
          </w:p>
          <w:p w14:paraId="6454FFE2" w14:textId="36A26070" w:rsidR="004942B6" w:rsidRPr="00E42491" w:rsidRDefault="00AC2473" w:rsidP="002C2525">
            <w:pPr>
              <w:spacing w:line="360" w:lineRule="auto"/>
              <w:jc w:val="both"/>
              <w:rPr>
                <w:b/>
                <w:bCs/>
                <w:sz w:val="24"/>
                <w:szCs w:val="24"/>
              </w:rPr>
            </w:pPr>
            <w:r>
              <w:rPr>
                <w:b/>
                <w:bCs/>
                <w:sz w:val="24"/>
                <w:szCs w:val="24"/>
              </w:rPr>
              <w:t xml:space="preserve">   </w:t>
            </w:r>
            <w:r w:rsidR="004942B6" w:rsidRPr="00E42491">
              <w:rPr>
                <w:b/>
                <w:bCs/>
                <w:sz w:val="24"/>
                <w:szCs w:val="24"/>
              </w:rPr>
              <w:t>p=0.004</w:t>
            </w:r>
          </w:p>
        </w:tc>
      </w:tr>
      <w:tr w:rsidR="004942B6" w:rsidRPr="009978C5" w14:paraId="700DF7E5" w14:textId="77777777" w:rsidTr="00B77208">
        <w:tc>
          <w:tcPr>
            <w:tcW w:w="1589" w:type="dxa"/>
          </w:tcPr>
          <w:p w14:paraId="34E203BD" w14:textId="77777777" w:rsidR="004942B6" w:rsidRPr="00C31679" w:rsidRDefault="004942B6" w:rsidP="002C2525">
            <w:pPr>
              <w:spacing w:line="360" w:lineRule="auto"/>
              <w:jc w:val="both"/>
              <w:rPr>
                <w:sz w:val="24"/>
                <w:szCs w:val="24"/>
              </w:rPr>
            </w:pPr>
            <w:r w:rsidRPr="00C31679">
              <w:rPr>
                <w:sz w:val="24"/>
                <w:szCs w:val="24"/>
              </w:rPr>
              <w:t>No angina</w:t>
            </w:r>
          </w:p>
        </w:tc>
        <w:tc>
          <w:tcPr>
            <w:tcW w:w="1275" w:type="dxa"/>
          </w:tcPr>
          <w:p w14:paraId="5DB6302B" w14:textId="77777777" w:rsidR="004942B6" w:rsidRPr="00C31679" w:rsidRDefault="004942B6" w:rsidP="002C2525">
            <w:pPr>
              <w:spacing w:line="360" w:lineRule="auto"/>
              <w:jc w:val="both"/>
              <w:rPr>
                <w:sz w:val="24"/>
                <w:szCs w:val="24"/>
              </w:rPr>
            </w:pPr>
            <w:r w:rsidRPr="00C31679">
              <w:rPr>
                <w:sz w:val="24"/>
                <w:szCs w:val="24"/>
              </w:rPr>
              <w:t>30 (77.7%)</w:t>
            </w:r>
          </w:p>
        </w:tc>
        <w:tc>
          <w:tcPr>
            <w:tcW w:w="1276" w:type="dxa"/>
          </w:tcPr>
          <w:p w14:paraId="3162B88A" w14:textId="77777777" w:rsidR="004942B6" w:rsidRPr="00C31679" w:rsidRDefault="004942B6" w:rsidP="002C2525">
            <w:pPr>
              <w:spacing w:line="360" w:lineRule="auto"/>
              <w:jc w:val="both"/>
              <w:rPr>
                <w:sz w:val="24"/>
                <w:szCs w:val="24"/>
              </w:rPr>
            </w:pPr>
            <w:r w:rsidRPr="00C31679">
              <w:rPr>
                <w:sz w:val="24"/>
                <w:szCs w:val="24"/>
              </w:rPr>
              <w:t>31 (80.5%)</w:t>
            </w:r>
          </w:p>
        </w:tc>
        <w:tc>
          <w:tcPr>
            <w:tcW w:w="1134" w:type="dxa"/>
            <w:vMerge/>
          </w:tcPr>
          <w:p w14:paraId="334E5495" w14:textId="77777777" w:rsidR="004942B6" w:rsidRPr="00C31679" w:rsidRDefault="004942B6" w:rsidP="002C2525">
            <w:pPr>
              <w:spacing w:line="360" w:lineRule="auto"/>
              <w:jc w:val="both"/>
              <w:rPr>
                <w:sz w:val="24"/>
                <w:szCs w:val="24"/>
              </w:rPr>
            </w:pPr>
          </w:p>
        </w:tc>
        <w:tc>
          <w:tcPr>
            <w:tcW w:w="1559" w:type="dxa"/>
          </w:tcPr>
          <w:p w14:paraId="5F0FB8C9" w14:textId="77777777" w:rsidR="004942B6" w:rsidRPr="00C31679" w:rsidRDefault="004942B6" w:rsidP="002C2525">
            <w:pPr>
              <w:spacing w:line="360" w:lineRule="auto"/>
              <w:jc w:val="both"/>
              <w:rPr>
                <w:sz w:val="24"/>
                <w:szCs w:val="24"/>
              </w:rPr>
            </w:pPr>
            <w:r w:rsidRPr="00C31679">
              <w:rPr>
                <w:sz w:val="24"/>
                <w:szCs w:val="24"/>
              </w:rPr>
              <w:t>16 (61.5%)</w:t>
            </w:r>
          </w:p>
        </w:tc>
        <w:tc>
          <w:tcPr>
            <w:tcW w:w="1276" w:type="dxa"/>
          </w:tcPr>
          <w:p w14:paraId="7930DCFE" w14:textId="77777777" w:rsidR="004942B6" w:rsidRPr="00C31679" w:rsidRDefault="004942B6" w:rsidP="002C2525">
            <w:pPr>
              <w:spacing w:line="360" w:lineRule="auto"/>
              <w:jc w:val="both"/>
              <w:rPr>
                <w:sz w:val="24"/>
                <w:szCs w:val="24"/>
              </w:rPr>
            </w:pPr>
            <w:r w:rsidRPr="00C31679">
              <w:rPr>
                <w:sz w:val="24"/>
                <w:szCs w:val="24"/>
              </w:rPr>
              <w:t>25 (96%)</w:t>
            </w:r>
          </w:p>
        </w:tc>
        <w:tc>
          <w:tcPr>
            <w:tcW w:w="1134" w:type="dxa"/>
            <w:vMerge/>
          </w:tcPr>
          <w:p w14:paraId="629B04A4" w14:textId="77777777" w:rsidR="004942B6" w:rsidRPr="00E42491" w:rsidRDefault="004942B6" w:rsidP="002C2525">
            <w:pPr>
              <w:spacing w:line="360" w:lineRule="auto"/>
              <w:jc w:val="both"/>
              <w:rPr>
                <w:sz w:val="24"/>
                <w:szCs w:val="24"/>
              </w:rPr>
            </w:pPr>
          </w:p>
        </w:tc>
      </w:tr>
      <w:tr w:rsidR="004942B6" w:rsidRPr="009978C5" w14:paraId="73319C5F" w14:textId="77777777" w:rsidTr="00B77208">
        <w:tc>
          <w:tcPr>
            <w:tcW w:w="1589" w:type="dxa"/>
          </w:tcPr>
          <w:p w14:paraId="62EBF0BE" w14:textId="77777777" w:rsidR="004942B6" w:rsidRPr="009978C5" w:rsidRDefault="004942B6" w:rsidP="002C2525">
            <w:pPr>
              <w:spacing w:line="360" w:lineRule="auto"/>
              <w:jc w:val="both"/>
              <w:rPr>
                <w:sz w:val="24"/>
                <w:szCs w:val="24"/>
              </w:rPr>
            </w:pPr>
            <w:r>
              <w:rPr>
                <w:sz w:val="24"/>
                <w:szCs w:val="24"/>
              </w:rPr>
              <w:t xml:space="preserve">CCS class </w:t>
            </w:r>
            <w:r w:rsidRPr="009978C5">
              <w:rPr>
                <w:sz w:val="24"/>
                <w:szCs w:val="24"/>
              </w:rPr>
              <w:t>1</w:t>
            </w:r>
          </w:p>
        </w:tc>
        <w:tc>
          <w:tcPr>
            <w:tcW w:w="1275" w:type="dxa"/>
          </w:tcPr>
          <w:p w14:paraId="107FA03D" w14:textId="77777777" w:rsidR="004942B6" w:rsidRPr="009978C5" w:rsidRDefault="004942B6" w:rsidP="002C2525">
            <w:pPr>
              <w:spacing w:line="360" w:lineRule="auto"/>
              <w:jc w:val="both"/>
              <w:rPr>
                <w:sz w:val="24"/>
                <w:szCs w:val="24"/>
              </w:rPr>
            </w:pPr>
            <w:r>
              <w:rPr>
                <w:sz w:val="24"/>
                <w:szCs w:val="24"/>
              </w:rPr>
              <w:t>6</w:t>
            </w:r>
            <w:r w:rsidRPr="009978C5">
              <w:rPr>
                <w:sz w:val="24"/>
                <w:szCs w:val="24"/>
              </w:rPr>
              <w:t xml:space="preserve"> (</w:t>
            </w:r>
            <w:r>
              <w:rPr>
                <w:sz w:val="24"/>
                <w:szCs w:val="24"/>
              </w:rPr>
              <w:t>13.8</w:t>
            </w:r>
            <w:r w:rsidRPr="009978C5">
              <w:rPr>
                <w:sz w:val="24"/>
                <w:szCs w:val="24"/>
              </w:rPr>
              <w:t>%)</w:t>
            </w:r>
          </w:p>
        </w:tc>
        <w:tc>
          <w:tcPr>
            <w:tcW w:w="1276" w:type="dxa"/>
          </w:tcPr>
          <w:p w14:paraId="0B32F744" w14:textId="77777777" w:rsidR="004942B6" w:rsidRPr="009978C5" w:rsidRDefault="004942B6" w:rsidP="002C2525">
            <w:pPr>
              <w:spacing w:line="360" w:lineRule="auto"/>
              <w:jc w:val="both"/>
              <w:rPr>
                <w:sz w:val="24"/>
                <w:szCs w:val="24"/>
              </w:rPr>
            </w:pPr>
            <w:r>
              <w:rPr>
                <w:sz w:val="24"/>
                <w:szCs w:val="24"/>
              </w:rPr>
              <w:t>5</w:t>
            </w:r>
            <w:r w:rsidRPr="009978C5">
              <w:rPr>
                <w:sz w:val="24"/>
                <w:szCs w:val="24"/>
              </w:rPr>
              <w:t xml:space="preserve"> (</w:t>
            </w:r>
            <w:r>
              <w:rPr>
                <w:sz w:val="24"/>
                <w:szCs w:val="24"/>
              </w:rPr>
              <w:t>11.1</w:t>
            </w:r>
            <w:r w:rsidRPr="009978C5">
              <w:rPr>
                <w:sz w:val="24"/>
                <w:szCs w:val="24"/>
              </w:rPr>
              <w:t>%)</w:t>
            </w:r>
          </w:p>
        </w:tc>
        <w:tc>
          <w:tcPr>
            <w:tcW w:w="1134" w:type="dxa"/>
            <w:vMerge/>
          </w:tcPr>
          <w:p w14:paraId="3D449A89" w14:textId="77777777" w:rsidR="004942B6" w:rsidRPr="009978C5" w:rsidRDefault="004942B6" w:rsidP="002C2525">
            <w:pPr>
              <w:spacing w:line="360" w:lineRule="auto"/>
              <w:jc w:val="both"/>
              <w:rPr>
                <w:sz w:val="28"/>
                <w:szCs w:val="28"/>
              </w:rPr>
            </w:pPr>
          </w:p>
        </w:tc>
        <w:tc>
          <w:tcPr>
            <w:tcW w:w="1559" w:type="dxa"/>
          </w:tcPr>
          <w:p w14:paraId="0BE94168" w14:textId="77777777" w:rsidR="004942B6" w:rsidRPr="009978C5" w:rsidRDefault="004942B6" w:rsidP="002C2525">
            <w:pPr>
              <w:spacing w:line="360" w:lineRule="auto"/>
              <w:jc w:val="both"/>
              <w:rPr>
                <w:sz w:val="24"/>
                <w:szCs w:val="24"/>
              </w:rPr>
            </w:pPr>
            <w:r>
              <w:rPr>
                <w:sz w:val="24"/>
                <w:szCs w:val="24"/>
              </w:rPr>
              <w:t>5</w:t>
            </w:r>
            <w:r w:rsidRPr="009978C5">
              <w:rPr>
                <w:sz w:val="24"/>
                <w:szCs w:val="24"/>
              </w:rPr>
              <w:t xml:space="preserve"> (</w:t>
            </w:r>
            <w:r>
              <w:rPr>
                <w:sz w:val="24"/>
                <w:szCs w:val="24"/>
              </w:rPr>
              <w:t>19.2</w:t>
            </w:r>
            <w:r w:rsidRPr="009978C5">
              <w:rPr>
                <w:sz w:val="24"/>
                <w:szCs w:val="24"/>
              </w:rPr>
              <w:t>%)</w:t>
            </w:r>
          </w:p>
        </w:tc>
        <w:tc>
          <w:tcPr>
            <w:tcW w:w="1276" w:type="dxa"/>
          </w:tcPr>
          <w:p w14:paraId="0E7ED8C6" w14:textId="77777777" w:rsidR="004942B6" w:rsidRPr="009978C5" w:rsidRDefault="004942B6" w:rsidP="002C2525">
            <w:pPr>
              <w:spacing w:line="360" w:lineRule="auto"/>
              <w:jc w:val="both"/>
              <w:rPr>
                <w:sz w:val="24"/>
                <w:szCs w:val="24"/>
              </w:rPr>
            </w:pPr>
            <w:r>
              <w:rPr>
                <w:sz w:val="24"/>
                <w:szCs w:val="24"/>
              </w:rPr>
              <w:t>1</w:t>
            </w:r>
            <w:r w:rsidRPr="009978C5">
              <w:rPr>
                <w:sz w:val="24"/>
                <w:szCs w:val="24"/>
              </w:rPr>
              <w:t xml:space="preserve"> (</w:t>
            </w:r>
            <w:r>
              <w:rPr>
                <w:sz w:val="24"/>
                <w:szCs w:val="24"/>
              </w:rPr>
              <w:t>4</w:t>
            </w:r>
            <w:r w:rsidRPr="009978C5">
              <w:rPr>
                <w:sz w:val="24"/>
                <w:szCs w:val="24"/>
              </w:rPr>
              <w:t>%)</w:t>
            </w:r>
          </w:p>
        </w:tc>
        <w:tc>
          <w:tcPr>
            <w:tcW w:w="1134" w:type="dxa"/>
            <w:vMerge/>
          </w:tcPr>
          <w:p w14:paraId="334EDAEE" w14:textId="77777777" w:rsidR="004942B6" w:rsidRPr="009978C5" w:rsidRDefault="004942B6" w:rsidP="002C2525">
            <w:pPr>
              <w:spacing w:line="360" w:lineRule="auto"/>
              <w:jc w:val="both"/>
              <w:rPr>
                <w:sz w:val="28"/>
                <w:szCs w:val="28"/>
              </w:rPr>
            </w:pPr>
          </w:p>
        </w:tc>
      </w:tr>
      <w:tr w:rsidR="004942B6" w:rsidRPr="009978C5" w14:paraId="25977B8B" w14:textId="77777777" w:rsidTr="00B77208">
        <w:tc>
          <w:tcPr>
            <w:tcW w:w="1589" w:type="dxa"/>
          </w:tcPr>
          <w:p w14:paraId="5148E664" w14:textId="77777777" w:rsidR="004942B6" w:rsidRPr="009978C5" w:rsidRDefault="004942B6" w:rsidP="002C2525">
            <w:pPr>
              <w:spacing w:line="360" w:lineRule="auto"/>
              <w:jc w:val="both"/>
              <w:rPr>
                <w:sz w:val="24"/>
                <w:szCs w:val="24"/>
              </w:rPr>
            </w:pPr>
            <w:r w:rsidRPr="009978C5">
              <w:rPr>
                <w:sz w:val="24"/>
                <w:szCs w:val="24"/>
              </w:rPr>
              <w:t>CCS class 2</w:t>
            </w:r>
          </w:p>
        </w:tc>
        <w:tc>
          <w:tcPr>
            <w:tcW w:w="1275" w:type="dxa"/>
          </w:tcPr>
          <w:p w14:paraId="74BB6A29" w14:textId="77777777" w:rsidR="004942B6" w:rsidRPr="009978C5" w:rsidRDefault="004942B6" w:rsidP="002C2525">
            <w:pPr>
              <w:spacing w:line="360" w:lineRule="auto"/>
              <w:jc w:val="both"/>
              <w:rPr>
                <w:sz w:val="24"/>
                <w:szCs w:val="24"/>
              </w:rPr>
            </w:pPr>
            <w:r>
              <w:rPr>
                <w:sz w:val="24"/>
                <w:szCs w:val="24"/>
              </w:rPr>
              <w:t>3</w:t>
            </w:r>
            <w:r w:rsidRPr="009978C5">
              <w:rPr>
                <w:sz w:val="24"/>
                <w:szCs w:val="24"/>
              </w:rPr>
              <w:t xml:space="preserve"> (8</w:t>
            </w:r>
            <w:r>
              <w:rPr>
                <w:sz w:val="24"/>
                <w:szCs w:val="24"/>
              </w:rPr>
              <w:t>.3</w:t>
            </w:r>
            <w:r w:rsidRPr="009978C5">
              <w:rPr>
                <w:sz w:val="24"/>
                <w:szCs w:val="24"/>
              </w:rPr>
              <w:t>%)</w:t>
            </w:r>
          </w:p>
        </w:tc>
        <w:tc>
          <w:tcPr>
            <w:tcW w:w="1276" w:type="dxa"/>
          </w:tcPr>
          <w:p w14:paraId="54E48CF2" w14:textId="77777777" w:rsidR="004942B6" w:rsidRPr="009978C5" w:rsidRDefault="004942B6" w:rsidP="002C2525">
            <w:pPr>
              <w:spacing w:line="360" w:lineRule="auto"/>
              <w:jc w:val="both"/>
              <w:rPr>
                <w:sz w:val="24"/>
                <w:szCs w:val="24"/>
              </w:rPr>
            </w:pPr>
            <w:r>
              <w:rPr>
                <w:sz w:val="24"/>
                <w:szCs w:val="24"/>
              </w:rPr>
              <w:t>3</w:t>
            </w:r>
            <w:r w:rsidRPr="009978C5">
              <w:rPr>
                <w:sz w:val="24"/>
                <w:szCs w:val="24"/>
              </w:rPr>
              <w:t xml:space="preserve"> (</w:t>
            </w:r>
            <w:r>
              <w:rPr>
                <w:sz w:val="24"/>
                <w:szCs w:val="24"/>
              </w:rPr>
              <w:t>8.3</w:t>
            </w:r>
            <w:r w:rsidRPr="009978C5">
              <w:rPr>
                <w:sz w:val="24"/>
                <w:szCs w:val="24"/>
              </w:rPr>
              <w:t>%)</w:t>
            </w:r>
          </w:p>
        </w:tc>
        <w:tc>
          <w:tcPr>
            <w:tcW w:w="1134" w:type="dxa"/>
            <w:vMerge/>
          </w:tcPr>
          <w:p w14:paraId="5F000909" w14:textId="77777777" w:rsidR="004942B6" w:rsidRPr="009978C5" w:rsidRDefault="004942B6" w:rsidP="002C2525">
            <w:pPr>
              <w:spacing w:line="360" w:lineRule="auto"/>
              <w:jc w:val="both"/>
              <w:rPr>
                <w:sz w:val="28"/>
                <w:szCs w:val="28"/>
              </w:rPr>
            </w:pPr>
          </w:p>
        </w:tc>
        <w:tc>
          <w:tcPr>
            <w:tcW w:w="1559" w:type="dxa"/>
          </w:tcPr>
          <w:p w14:paraId="1F679868" w14:textId="77777777" w:rsidR="004942B6" w:rsidRPr="009978C5" w:rsidRDefault="004942B6" w:rsidP="002C2525">
            <w:pPr>
              <w:spacing w:line="360" w:lineRule="auto"/>
              <w:jc w:val="both"/>
              <w:rPr>
                <w:sz w:val="24"/>
                <w:szCs w:val="24"/>
              </w:rPr>
            </w:pPr>
            <w:r>
              <w:rPr>
                <w:sz w:val="24"/>
                <w:szCs w:val="24"/>
              </w:rPr>
              <w:t>4</w:t>
            </w:r>
            <w:r w:rsidRPr="009978C5">
              <w:rPr>
                <w:sz w:val="24"/>
                <w:szCs w:val="24"/>
              </w:rPr>
              <w:t xml:space="preserve"> (</w:t>
            </w:r>
            <w:r>
              <w:rPr>
                <w:sz w:val="24"/>
                <w:szCs w:val="24"/>
              </w:rPr>
              <w:t>15.3</w:t>
            </w:r>
            <w:r w:rsidRPr="009978C5">
              <w:rPr>
                <w:sz w:val="24"/>
                <w:szCs w:val="24"/>
              </w:rPr>
              <w:t>%)</w:t>
            </w:r>
          </w:p>
        </w:tc>
        <w:tc>
          <w:tcPr>
            <w:tcW w:w="1276" w:type="dxa"/>
          </w:tcPr>
          <w:p w14:paraId="644E841A" w14:textId="77777777" w:rsidR="004942B6" w:rsidRPr="009978C5" w:rsidRDefault="004942B6" w:rsidP="002C2525">
            <w:pPr>
              <w:spacing w:line="360" w:lineRule="auto"/>
              <w:jc w:val="both"/>
              <w:rPr>
                <w:sz w:val="24"/>
                <w:szCs w:val="24"/>
              </w:rPr>
            </w:pPr>
            <w:r>
              <w:rPr>
                <w:sz w:val="24"/>
                <w:szCs w:val="24"/>
              </w:rPr>
              <w:t>0</w:t>
            </w:r>
          </w:p>
        </w:tc>
        <w:tc>
          <w:tcPr>
            <w:tcW w:w="1134" w:type="dxa"/>
            <w:vMerge/>
          </w:tcPr>
          <w:p w14:paraId="332ECDBC" w14:textId="77777777" w:rsidR="004942B6" w:rsidRPr="009978C5" w:rsidRDefault="004942B6" w:rsidP="002C2525">
            <w:pPr>
              <w:spacing w:line="360" w:lineRule="auto"/>
              <w:jc w:val="both"/>
              <w:rPr>
                <w:sz w:val="28"/>
                <w:szCs w:val="28"/>
              </w:rPr>
            </w:pPr>
          </w:p>
        </w:tc>
      </w:tr>
      <w:tr w:rsidR="004942B6" w:rsidRPr="009978C5" w14:paraId="44572B24" w14:textId="77777777" w:rsidTr="00B77208">
        <w:tc>
          <w:tcPr>
            <w:tcW w:w="1589" w:type="dxa"/>
          </w:tcPr>
          <w:p w14:paraId="3F6B3998" w14:textId="77777777" w:rsidR="004942B6" w:rsidRPr="009978C5" w:rsidRDefault="004942B6" w:rsidP="002C2525">
            <w:pPr>
              <w:spacing w:line="360" w:lineRule="auto"/>
              <w:jc w:val="both"/>
              <w:rPr>
                <w:sz w:val="24"/>
                <w:szCs w:val="24"/>
              </w:rPr>
            </w:pPr>
            <w:r w:rsidRPr="009978C5">
              <w:rPr>
                <w:sz w:val="24"/>
                <w:szCs w:val="24"/>
              </w:rPr>
              <w:t>CCS class 3</w:t>
            </w:r>
          </w:p>
        </w:tc>
        <w:tc>
          <w:tcPr>
            <w:tcW w:w="1275" w:type="dxa"/>
          </w:tcPr>
          <w:p w14:paraId="0F8D5B9B" w14:textId="77777777" w:rsidR="004942B6" w:rsidRPr="009978C5" w:rsidRDefault="004942B6" w:rsidP="002C2525">
            <w:pPr>
              <w:spacing w:line="360" w:lineRule="auto"/>
              <w:jc w:val="both"/>
              <w:rPr>
                <w:sz w:val="24"/>
                <w:szCs w:val="24"/>
              </w:rPr>
            </w:pPr>
            <w:r>
              <w:rPr>
                <w:sz w:val="24"/>
                <w:szCs w:val="24"/>
              </w:rPr>
              <w:t>0</w:t>
            </w:r>
          </w:p>
        </w:tc>
        <w:tc>
          <w:tcPr>
            <w:tcW w:w="1276" w:type="dxa"/>
          </w:tcPr>
          <w:p w14:paraId="3D00058D" w14:textId="77777777" w:rsidR="004942B6" w:rsidRPr="009978C5" w:rsidRDefault="004942B6" w:rsidP="002C2525">
            <w:pPr>
              <w:spacing w:line="360" w:lineRule="auto"/>
              <w:jc w:val="both"/>
              <w:rPr>
                <w:sz w:val="24"/>
                <w:szCs w:val="24"/>
              </w:rPr>
            </w:pPr>
            <w:r>
              <w:rPr>
                <w:sz w:val="24"/>
                <w:szCs w:val="24"/>
              </w:rPr>
              <w:t>0</w:t>
            </w:r>
          </w:p>
        </w:tc>
        <w:tc>
          <w:tcPr>
            <w:tcW w:w="1134" w:type="dxa"/>
            <w:vMerge/>
          </w:tcPr>
          <w:p w14:paraId="44E1CD8F" w14:textId="77777777" w:rsidR="004942B6" w:rsidRPr="009978C5" w:rsidRDefault="004942B6" w:rsidP="002C2525">
            <w:pPr>
              <w:spacing w:line="360" w:lineRule="auto"/>
              <w:jc w:val="both"/>
              <w:rPr>
                <w:sz w:val="28"/>
                <w:szCs w:val="28"/>
              </w:rPr>
            </w:pPr>
          </w:p>
        </w:tc>
        <w:tc>
          <w:tcPr>
            <w:tcW w:w="1559" w:type="dxa"/>
          </w:tcPr>
          <w:p w14:paraId="2597D0E6" w14:textId="77777777" w:rsidR="004942B6" w:rsidRPr="009978C5" w:rsidRDefault="004942B6" w:rsidP="002C2525">
            <w:pPr>
              <w:spacing w:line="360" w:lineRule="auto"/>
              <w:jc w:val="both"/>
              <w:rPr>
                <w:sz w:val="24"/>
                <w:szCs w:val="24"/>
              </w:rPr>
            </w:pPr>
            <w:r>
              <w:rPr>
                <w:sz w:val="24"/>
                <w:szCs w:val="24"/>
              </w:rPr>
              <w:t>1</w:t>
            </w:r>
            <w:r w:rsidRPr="009978C5">
              <w:rPr>
                <w:sz w:val="24"/>
                <w:szCs w:val="24"/>
              </w:rPr>
              <w:t xml:space="preserve"> (</w:t>
            </w:r>
            <w:r>
              <w:rPr>
                <w:sz w:val="24"/>
                <w:szCs w:val="24"/>
              </w:rPr>
              <w:t>3.8</w:t>
            </w:r>
            <w:r w:rsidRPr="009978C5">
              <w:rPr>
                <w:sz w:val="24"/>
                <w:szCs w:val="24"/>
              </w:rPr>
              <w:t>%)</w:t>
            </w:r>
          </w:p>
        </w:tc>
        <w:tc>
          <w:tcPr>
            <w:tcW w:w="1276" w:type="dxa"/>
          </w:tcPr>
          <w:p w14:paraId="4C35DB40" w14:textId="77777777" w:rsidR="004942B6" w:rsidRPr="009978C5" w:rsidRDefault="004942B6" w:rsidP="002C2525">
            <w:pPr>
              <w:spacing w:line="360" w:lineRule="auto"/>
              <w:jc w:val="both"/>
              <w:rPr>
                <w:sz w:val="24"/>
                <w:szCs w:val="24"/>
              </w:rPr>
            </w:pPr>
            <w:r w:rsidRPr="009978C5">
              <w:rPr>
                <w:sz w:val="24"/>
                <w:szCs w:val="24"/>
              </w:rPr>
              <w:t>0</w:t>
            </w:r>
          </w:p>
        </w:tc>
        <w:tc>
          <w:tcPr>
            <w:tcW w:w="1134" w:type="dxa"/>
            <w:vMerge/>
          </w:tcPr>
          <w:p w14:paraId="4928FBF8" w14:textId="77777777" w:rsidR="004942B6" w:rsidRPr="009978C5" w:rsidRDefault="004942B6" w:rsidP="002C2525">
            <w:pPr>
              <w:spacing w:line="360" w:lineRule="auto"/>
              <w:jc w:val="both"/>
              <w:rPr>
                <w:sz w:val="28"/>
                <w:szCs w:val="28"/>
              </w:rPr>
            </w:pPr>
          </w:p>
        </w:tc>
      </w:tr>
      <w:tr w:rsidR="004942B6" w:rsidRPr="009978C5" w14:paraId="3C3519C2" w14:textId="77777777" w:rsidTr="00B77208">
        <w:tc>
          <w:tcPr>
            <w:tcW w:w="1589" w:type="dxa"/>
          </w:tcPr>
          <w:p w14:paraId="5F1ED9F2" w14:textId="77777777" w:rsidR="004942B6" w:rsidRPr="009978C5" w:rsidRDefault="004942B6" w:rsidP="002C2525">
            <w:pPr>
              <w:spacing w:line="360" w:lineRule="auto"/>
              <w:jc w:val="both"/>
              <w:rPr>
                <w:sz w:val="24"/>
                <w:szCs w:val="24"/>
              </w:rPr>
            </w:pPr>
            <w:r w:rsidRPr="009978C5">
              <w:rPr>
                <w:sz w:val="24"/>
                <w:szCs w:val="24"/>
              </w:rPr>
              <w:t>CCS class 4</w:t>
            </w:r>
          </w:p>
        </w:tc>
        <w:tc>
          <w:tcPr>
            <w:tcW w:w="1275" w:type="dxa"/>
          </w:tcPr>
          <w:p w14:paraId="3D9BF8E6" w14:textId="77777777" w:rsidR="004942B6" w:rsidRPr="009978C5" w:rsidRDefault="004942B6" w:rsidP="002C2525">
            <w:pPr>
              <w:spacing w:line="360" w:lineRule="auto"/>
              <w:jc w:val="both"/>
              <w:rPr>
                <w:sz w:val="24"/>
                <w:szCs w:val="24"/>
              </w:rPr>
            </w:pPr>
            <w:r w:rsidRPr="009978C5">
              <w:rPr>
                <w:sz w:val="24"/>
                <w:szCs w:val="24"/>
              </w:rPr>
              <w:t>0</w:t>
            </w:r>
          </w:p>
        </w:tc>
        <w:tc>
          <w:tcPr>
            <w:tcW w:w="1276" w:type="dxa"/>
          </w:tcPr>
          <w:p w14:paraId="23A85D2F" w14:textId="77777777" w:rsidR="004942B6" w:rsidRPr="009978C5" w:rsidRDefault="004942B6" w:rsidP="002C2525">
            <w:pPr>
              <w:spacing w:line="360" w:lineRule="auto"/>
              <w:jc w:val="both"/>
              <w:rPr>
                <w:sz w:val="24"/>
                <w:szCs w:val="24"/>
              </w:rPr>
            </w:pPr>
            <w:r w:rsidRPr="009978C5">
              <w:rPr>
                <w:sz w:val="24"/>
                <w:szCs w:val="24"/>
              </w:rPr>
              <w:t>0</w:t>
            </w:r>
          </w:p>
        </w:tc>
        <w:tc>
          <w:tcPr>
            <w:tcW w:w="1134" w:type="dxa"/>
            <w:vMerge/>
          </w:tcPr>
          <w:p w14:paraId="0D0B8E72" w14:textId="77777777" w:rsidR="004942B6" w:rsidRPr="009978C5" w:rsidRDefault="004942B6" w:rsidP="002C2525">
            <w:pPr>
              <w:spacing w:line="360" w:lineRule="auto"/>
              <w:jc w:val="both"/>
              <w:rPr>
                <w:sz w:val="28"/>
                <w:szCs w:val="28"/>
              </w:rPr>
            </w:pPr>
          </w:p>
        </w:tc>
        <w:tc>
          <w:tcPr>
            <w:tcW w:w="1559" w:type="dxa"/>
          </w:tcPr>
          <w:p w14:paraId="0F647200" w14:textId="77777777" w:rsidR="004942B6" w:rsidRPr="009978C5" w:rsidRDefault="004942B6" w:rsidP="002C2525">
            <w:pPr>
              <w:spacing w:line="360" w:lineRule="auto"/>
              <w:jc w:val="both"/>
              <w:rPr>
                <w:sz w:val="24"/>
                <w:szCs w:val="24"/>
              </w:rPr>
            </w:pPr>
            <w:r>
              <w:rPr>
                <w:sz w:val="24"/>
                <w:szCs w:val="24"/>
              </w:rPr>
              <w:t>0</w:t>
            </w:r>
          </w:p>
        </w:tc>
        <w:tc>
          <w:tcPr>
            <w:tcW w:w="1276" w:type="dxa"/>
          </w:tcPr>
          <w:p w14:paraId="1B762186" w14:textId="77777777" w:rsidR="004942B6" w:rsidRPr="009978C5" w:rsidRDefault="004942B6" w:rsidP="002C2525">
            <w:pPr>
              <w:spacing w:line="360" w:lineRule="auto"/>
              <w:jc w:val="both"/>
              <w:rPr>
                <w:sz w:val="24"/>
                <w:szCs w:val="24"/>
              </w:rPr>
            </w:pPr>
            <w:r w:rsidRPr="009978C5">
              <w:rPr>
                <w:sz w:val="24"/>
                <w:szCs w:val="24"/>
              </w:rPr>
              <w:t>0</w:t>
            </w:r>
          </w:p>
        </w:tc>
        <w:tc>
          <w:tcPr>
            <w:tcW w:w="1134" w:type="dxa"/>
            <w:vMerge/>
          </w:tcPr>
          <w:p w14:paraId="1DF0DC03" w14:textId="77777777" w:rsidR="004942B6" w:rsidRPr="009978C5" w:rsidRDefault="004942B6" w:rsidP="002C2525">
            <w:pPr>
              <w:spacing w:line="360" w:lineRule="auto"/>
              <w:jc w:val="both"/>
              <w:rPr>
                <w:sz w:val="28"/>
                <w:szCs w:val="28"/>
              </w:rPr>
            </w:pPr>
          </w:p>
        </w:tc>
      </w:tr>
      <w:tr w:rsidR="004942B6" w:rsidRPr="009978C5" w14:paraId="53CBE339" w14:textId="77777777" w:rsidTr="00B77208">
        <w:tc>
          <w:tcPr>
            <w:tcW w:w="9243" w:type="dxa"/>
            <w:gridSpan w:val="7"/>
          </w:tcPr>
          <w:p w14:paraId="5C2A09EE" w14:textId="77777777" w:rsidR="004942B6" w:rsidRPr="009978C5" w:rsidRDefault="004942B6" w:rsidP="002C2525">
            <w:pPr>
              <w:spacing w:line="360" w:lineRule="auto"/>
              <w:jc w:val="both"/>
              <w:rPr>
                <w:sz w:val="28"/>
                <w:szCs w:val="28"/>
              </w:rPr>
            </w:pPr>
          </w:p>
        </w:tc>
      </w:tr>
      <w:tr w:rsidR="004942B6" w:rsidRPr="009978C5" w14:paraId="3954F635" w14:textId="77777777" w:rsidTr="00B77208">
        <w:tc>
          <w:tcPr>
            <w:tcW w:w="1589" w:type="dxa"/>
          </w:tcPr>
          <w:p w14:paraId="4FD8F3E6" w14:textId="4425CC29" w:rsidR="004942B6" w:rsidRPr="00E42491" w:rsidRDefault="00AC2473" w:rsidP="002C2525">
            <w:pPr>
              <w:spacing w:line="360" w:lineRule="auto"/>
              <w:jc w:val="both"/>
              <w:rPr>
                <w:b/>
                <w:bCs/>
                <w:sz w:val="24"/>
                <w:szCs w:val="24"/>
              </w:rPr>
            </w:pPr>
            <w:r>
              <w:rPr>
                <w:b/>
                <w:bCs/>
                <w:sz w:val="24"/>
                <w:szCs w:val="24"/>
              </w:rPr>
              <w:t xml:space="preserve">   </w:t>
            </w:r>
            <w:r w:rsidR="004942B6" w:rsidRPr="00E42491">
              <w:rPr>
                <w:b/>
                <w:bCs/>
                <w:sz w:val="24"/>
                <w:szCs w:val="24"/>
              </w:rPr>
              <w:t>Outcome</w:t>
            </w:r>
          </w:p>
        </w:tc>
        <w:tc>
          <w:tcPr>
            <w:tcW w:w="2551" w:type="dxa"/>
            <w:gridSpan w:val="2"/>
          </w:tcPr>
          <w:p w14:paraId="51119180" w14:textId="610A9955" w:rsidR="004942B6" w:rsidRPr="00806741" w:rsidRDefault="004942B6" w:rsidP="002C2525">
            <w:pPr>
              <w:spacing w:line="360" w:lineRule="auto"/>
              <w:jc w:val="both"/>
              <w:rPr>
                <w:sz w:val="24"/>
                <w:szCs w:val="24"/>
              </w:rPr>
            </w:pPr>
            <w:r w:rsidRPr="00E42491">
              <w:rPr>
                <w:b/>
                <w:bCs/>
                <w:sz w:val="24"/>
                <w:szCs w:val="24"/>
              </w:rPr>
              <w:t xml:space="preserve"> </w:t>
            </w:r>
            <w:r w:rsidR="00AC2473">
              <w:rPr>
                <w:b/>
                <w:bCs/>
                <w:sz w:val="24"/>
                <w:szCs w:val="24"/>
              </w:rPr>
              <w:t xml:space="preserve">  </w:t>
            </w:r>
            <w:r w:rsidRPr="00E42491">
              <w:rPr>
                <w:b/>
                <w:bCs/>
                <w:sz w:val="24"/>
                <w:szCs w:val="24"/>
              </w:rPr>
              <w:t>ACS patients (n=39)</w:t>
            </w:r>
          </w:p>
        </w:tc>
        <w:tc>
          <w:tcPr>
            <w:tcW w:w="1134" w:type="dxa"/>
          </w:tcPr>
          <w:p w14:paraId="2A07B843" w14:textId="1821F0D4" w:rsidR="004942B6" w:rsidRPr="00E42491" w:rsidRDefault="00AC2473" w:rsidP="002C2525">
            <w:pPr>
              <w:spacing w:line="360" w:lineRule="auto"/>
              <w:jc w:val="both"/>
              <w:rPr>
                <w:sz w:val="24"/>
                <w:szCs w:val="24"/>
              </w:rPr>
            </w:pPr>
            <w:r>
              <w:rPr>
                <w:b/>
                <w:bCs/>
                <w:sz w:val="24"/>
                <w:szCs w:val="24"/>
              </w:rPr>
              <w:t xml:space="preserve"> </w:t>
            </w:r>
            <w:r w:rsidR="004942B6" w:rsidRPr="00E42491">
              <w:rPr>
                <w:b/>
                <w:bCs/>
                <w:sz w:val="24"/>
                <w:szCs w:val="24"/>
              </w:rPr>
              <w:t>p-value</w:t>
            </w:r>
          </w:p>
        </w:tc>
        <w:tc>
          <w:tcPr>
            <w:tcW w:w="2835" w:type="dxa"/>
            <w:gridSpan w:val="2"/>
          </w:tcPr>
          <w:p w14:paraId="0534B73D" w14:textId="65F32509" w:rsidR="004942B6" w:rsidRPr="00806741" w:rsidRDefault="004942B6" w:rsidP="002C2525">
            <w:pPr>
              <w:spacing w:line="360" w:lineRule="auto"/>
              <w:jc w:val="both"/>
              <w:rPr>
                <w:sz w:val="24"/>
                <w:szCs w:val="24"/>
              </w:rPr>
            </w:pPr>
            <w:r w:rsidRPr="00E42491">
              <w:rPr>
                <w:b/>
                <w:bCs/>
                <w:sz w:val="24"/>
                <w:szCs w:val="24"/>
              </w:rPr>
              <w:t xml:space="preserve"> </w:t>
            </w:r>
            <w:r w:rsidR="00AC2473">
              <w:rPr>
                <w:b/>
                <w:bCs/>
                <w:sz w:val="24"/>
                <w:szCs w:val="24"/>
              </w:rPr>
              <w:t xml:space="preserve"> </w:t>
            </w:r>
            <w:r w:rsidRPr="00E42491">
              <w:rPr>
                <w:b/>
                <w:bCs/>
                <w:sz w:val="24"/>
                <w:szCs w:val="24"/>
              </w:rPr>
              <w:t>CCS patients (n=26)</w:t>
            </w:r>
          </w:p>
        </w:tc>
        <w:tc>
          <w:tcPr>
            <w:tcW w:w="1134" w:type="dxa"/>
          </w:tcPr>
          <w:p w14:paraId="52664AEB" w14:textId="755F0C5C" w:rsidR="004942B6" w:rsidRPr="00E42491" w:rsidRDefault="00AC2473" w:rsidP="002C2525">
            <w:pPr>
              <w:spacing w:line="360" w:lineRule="auto"/>
              <w:jc w:val="both"/>
              <w:rPr>
                <w:b/>
                <w:bCs/>
                <w:sz w:val="24"/>
                <w:szCs w:val="24"/>
              </w:rPr>
            </w:pPr>
            <w:r>
              <w:rPr>
                <w:b/>
                <w:bCs/>
                <w:sz w:val="24"/>
                <w:szCs w:val="24"/>
              </w:rPr>
              <w:t xml:space="preserve">   </w:t>
            </w:r>
            <w:r w:rsidR="004942B6" w:rsidRPr="00E42491">
              <w:rPr>
                <w:b/>
                <w:bCs/>
                <w:sz w:val="24"/>
                <w:szCs w:val="24"/>
              </w:rPr>
              <w:t>p-value</w:t>
            </w:r>
          </w:p>
        </w:tc>
      </w:tr>
      <w:tr w:rsidR="004942B6" w:rsidRPr="009978C5" w14:paraId="78185F62" w14:textId="77777777" w:rsidTr="00B77208">
        <w:tc>
          <w:tcPr>
            <w:tcW w:w="1589" w:type="dxa"/>
          </w:tcPr>
          <w:p w14:paraId="0B762B1F" w14:textId="79160800" w:rsidR="004942B6" w:rsidRPr="00E42491" w:rsidRDefault="00AC2473" w:rsidP="002C2525">
            <w:pPr>
              <w:spacing w:line="360" w:lineRule="auto"/>
              <w:jc w:val="both"/>
              <w:rPr>
                <w:b/>
                <w:bCs/>
                <w:sz w:val="24"/>
                <w:szCs w:val="24"/>
              </w:rPr>
            </w:pPr>
            <w:r>
              <w:rPr>
                <w:b/>
                <w:bCs/>
                <w:sz w:val="24"/>
                <w:szCs w:val="24"/>
              </w:rPr>
              <w:t xml:space="preserve"> </w:t>
            </w:r>
            <w:r w:rsidR="004942B6" w:rsidRPr="00E42491">
              <w:rPr>
                <w:b/>
                <w:bCs/>
                <w:sz w:val="24"/>
                <w:szCs w:val="24"/>
              </w:rPr>
              <w:t>NYHA class</w:t>
            </w:r>
          </w:p>
        </w:tc>
        <w:tc>
          <w:tcPr>
            <w:tcW w:w="1275" w:type="dxa"/>
          </w:tcPr>
          <w:p w14:paraId="4F60EBE6" w14:textId="0421AE06" w:rsidR="004942B6" w:rsidRPr="00806741" w:rsidRDefault="00AC2473" w:rsidP="002C2525">
            <w:pPr>
              <w:spacing w:line="360" w:lineRule="auto"/>
              <w:jc w:val="both"/>
              <w:rPr>
                <w:b/>
                <w:bCs/>
                <w:sz w:val="24"/>
                <w:szCs w:val="24"/>
              </w:rPr>
            </w:pPr>
            <w:r>
              <w:rPr>
                <w:b/>
                <w:bCs/>
                <w:sz w:val="24"/>
                <w:szCs w:val="24"/>
              </w:rPr>
              <w:t xml:space="preserve">   </w:t>
            </w:r>
            <w:r w:rsidR="004942B6" w:rsidRPr="00806741">
              <w:rPr>
                <w:b/>
                <w:bCs/>
                <w:sz w:val="24"/>
                <w:szCs w:val="24"/>
              </w:rPr>
              <w:t>Actual</w:t>
            </w:r>
          </w:p>
        </w:tc>
        <w:tc>
          <w:tcPr>
            <w:tcW w:w="1276" w:type="dxa"/>
          </w:tcPr>
          <w:p w14:paraId="5446B3C4" w14:textId="6A831DC4" w:rsidR="004942B6" w:rsidRPr="00806741" w:rsidRDefault="00AC2473" w:rsidP="002C2525">
            <w:pPr>
              <w:spacing w:line="360" w:lineRule="auto"/>
              <w:jc w:val="both"/>
              <w:rPr>
                <w:b/>
                <w:bCs/>
                <w:sz w:val="24"/>
                <w:szCs w:val="24"/>
              </w:rPr>
            </w:pPr>
            <w:r>
              <w:rPr>
                <w:b/>
                <w:bCs/>
                <w:sz w:val="24"/>
                <w:szCs w:val="24"/>
              </w:rPr>
              <w:t xml:space="preserve">  </w:t>
            </w:r>
            <w:r w:rsidR="004942B6" w:rsidRPr="00806741">
              <w:rPr>
                <w:b/>
                <w:bCs/>
                <w:sz w:val="24"/>
                <w:szCs w:val="24"/>
              </w:rPr>
              <w:t>Virtual</w:t>
            </w:r>
          </w:p>
        </w:tc>
        <w:tc>
          <w:tcPr>
            <w:tcW w:w="1134" w:type="dxa"/>
            <w:vMerge w:val="restart"/>
          </w:tcPr>
          <w:p w14:paraId="376B3E8B" w14:textId="77777777" w:rsidR="004942B6" w:rsidRPr="00E42491" w:rsidRDefault="004942B6" w:rsidP="002C2525">
            <w:pPr>
              <w:spacing w:line="360" w:lineRule="auto"/>
              <w:jc w:val="both"/>
              <w:rPr>
                <w:sz w:val="24"/>
                <w:szCs w:val="24"/>
              </w:rPr>
            </w:pPr>
          </w:p>
          <w:p w14:paraId="284B3A42" w14:textId="77777777" w:rsidR="004942B6" w:rsidRPr="00E42491" w:rsidRDefault="004942B6" w:rsidP="002C2525">
            <w:pPr>
              <w:spacing w:line="360" w:lineRule="auto"/>
              <w:jc w:val="both"/>
              <w:rPr>
                <w:sz w:val="24"/>
                <w:szCs w:val="24"/>
              </w:rPr>
            </w:pPr>
          </w:p>
          <w:p w14:paraId="6906AEB2" w14:textId="4C9F0EAE" w:rsidR="004942B6" w:rsidRPr="00E42491" w:rsidRDefault="00AC2473" w:rsidP="002C2525">
            <w:pPr>
              <w:spacing w:line="360" w:lineRule="auto"/>
              <w:jc w:val="both"/>
              <w:rPr>
                <w:b/>
                <w:bCs/>
                <w:sz w:val="24"/>
                <w:szCs w:val="24"/>
              </w:rPr>
            </w:pPr>
            <w:r>
              <w:rPr>
                <w:b/>
                <w:bCs/>
                <w:sz w:val="24"/>
                <w:szCs w:val="24"/>
              </w:rPr>
              <w:t xml:space="preserve">  </w:t>
            </w:r>
            <w:r w:rsidR="004942B6" w:rsidRPr="00E42491">
              <w:rPr>
                <w:b/>
                <w:bCs/>
                <w:sz w:val="24"/>
                <w:szCs w:val="24"/>
              </w:rPr>
              <w:t>p=0.96</w:t>
            </w:r>
          </w:p>
        </w:tc>
        <w:tc>
          <w:tcPr>
            <w:tcW w:w="1559" w:type="dxa"/>
          </w:tcPr>
          <w:p w14:paraId="4068CFC3" w14:textId="033C7506" w:rsidR="004942B6" w:rsidRPr="00806741" w:rsidRDefault="00AC2473" w:rsidP="002C2525">
            <w:pPr>
              <w:spacing w:line="360" w:lineRule="auto"/>
              <w:jc w:val="both"/>
              <w:rPr>
                <w:b/>
                <w:bCs/>
                <w:sz w:val="24"/>
                <w:szCs w:val="24"/>
              </w:rPr>
            </w:pPr>
            <w:r>
              <w:rPr>
                <w:b/>
                <w:bCs/>
                <w:sz w:val="24"/>
                <w:szCs w:val="24"/>
              </w:rPr>
              <w:t xml:space="preserve">   </w:t>
            </w:r>
            <w:r w:rsidR="004942B6" w:rsidRPr="00806741">
              <w:rPr>
                <w:b/>
                <w:bCs/>
                <w:sz w:val="24"/>
                <w:szCs w:val="24"/>
              </w:rPr>
              <w:t>Actual</w:t>
            </w:r>
          </w:p>
        </w:tc>
        <w:tc>
          <w:tcPr>
            <w:tcW w:w="1276" w:type="dxa"/>
          </w:tcPr>
          <w:p w14:paraId="0FF7314D" w14:textId="77777777" w:rsidR="004942B6" w:rsidRPr="00806741" w:rsidRDefault="004942B6" w:rsidP="002C2525">
            <w:pPr>
              <w:spacing w:line="360" w:lineRule="auto"/>
              <w:jc w:val="both"/>
              <w:rPr>
                <w:b/>
                <w:bCs/>
                <w:sz w:val="24"/>
                <w:szCs w:val="24"/>
              </w:rPr>
            </w:pPr>
            <w:r w:rsidRPr="00806741">
              <w:rPr>
                <w:b/>
                <w:bCs/>
                <w:sz w:val="24"/>
                <w:szCs w:val="24"/>
              </w:rPr>
              <w:t>Virtual</w:t>
            </w:r>
          </w:p>
        </w:tc>
        <w:tc>
          <w:tcPr>
            <w:tcW w:w="1134" w:type="dxa"/>
            <w:vMerge w:val="restart"/>
          </w:tcPr>
          <w:p w14:paraId="192B1910" w14:textId="77777777" w:rsidR="004942B6" w:rsidRPr="00E42491" w:rsidRDefault="004942B6" w:rsidP="002C2525">
            <w:pPr>
              <w:spacing w:line="360" w:lineRule="auto"/>
              <w:jc w:val="both"/>
              <w:rPr>
                <w:sz w:val="24"/>
                <w:szCs w:val="24"/>
              </w:rPr>
            </w:pPr>
          </w:p>
          <w:p w14:paraId="256D363C" w14:textId="77777777" w:rsidR="004942B6" w:rsidRPr="00E42491" w:rsidRDefault="004942B6" w:rsidP="002C2525">
            <w:pPr>
              <w:spacing w:line="360" w:lineRule="auto"/>
              <w:jc w:val="both"/>
              <w:rPr>
                <w:sz w:val="24"/>
                <w:szCs w:val="24"/>
              </w:rPr>
            </w:pPr>
          </w:p>
          <w:p w14:paraId="69C650D8" w14:textId="3260BD42" w:rsidR="004942B6" w:rsidRPr="00E42491" w:rsidRDefault="00AC2473" w:rsidP="002C2525">
            <w:pPr>
              <w:spacing w:line="360" w:lineRule="auto"/>
              <w:jc w:val="both"/>
              <w:rPr>
                <w:sz w:val="24"/>
                <w:szCs w:val="24"/>
              </w:rPr>
            </w:pPr>
            <w:r>
              <w:rPr>
                <w:b/>
                <w:bCs/>
                <w:sz w:val="24"/>
                <w:szCs w:val="24"/>
              </w:rPr>
              <w:t xml:space="preserve">  </w:t>
            </w:r>
            <w:r w:rsidR="004942B6" w:rsidRPr="00E42491">
              <w:rPr>
                <w:b/>
                <w:bCs/>
                <w:sz w:val="24"/>
                <w:szCs w:val="24"/>
              </w:rPr>
              <w:t>p=0.005</w:t>
            </w:r>
          </w:p>
        </w:tc>
      </w:tr>
      <w:tr w:rsidR="004942B6" w:rsidRPr="009978C5" w14:paraId="70043059" w14:textId="77777777" w:rsidTr="00B77208">
        <w:tc>
          <w:tcPr>
            <w:tcW w:w="1589" w:type="dxa"/>
          </w:tcPr>
          <w:p w14:paraId="5A10288A" w14:textId="77777777" w:rsidR="004942B6" w:rsidRPr="009978C5" w:rsidRDefault="004942B6" w:rsidP="002C2525">
            <w:pPr>
              <w:spacing w:line="360" w:lineRule="auto"/>
              <w:jc w:val="both"/>
              <w:rPr>
                <w:sz w:val="24"/>
                <w:szCs w:val="24"/>
              </w:rPr>
            </w:pPr>
            <w:r w:rsidRPr="009978C5">
              <w:rPr>
                <w:sz w:val="24"/>
                <w:szCs w:val="24"/>
              </w:rPr>
              <w:t>NYHA class 1</w:t>
            </w:r>
          </w:p>
        </w:tc>
        <w:tc>
          <w:tcPr>
            <w:tcW w:w="1275" w:type="dxa"/>
          </w:tcPr>
          <w:p w14:paraId="38F00C60" w14:textId="77777777" w:rsidR="004942B6" w:rsidRPr="009978C5" w:rsidRDefault="004942B6" w:rsidP="002C2525">
            <w:pPr>
              <w:spacing w:line="360" w:lineRule="auto"/>
              <w:jc w:val="both"/>
              <w:rPr>
                <w:sz w:val="24"/>
                <w:szCs w:val="24"/>
              </w:rPr>
            </w:pPr>
            <w:r>
              <w:rPr>
                <w:sz w:val="24"/>
                <w:szCs w:val="24"/>
              </w:rPr>
              <w:t>21</w:t>
            </w:r>
            <w:r w:rsidRPr="009978C5">
              <w:rPr>
                <w:sz w:val="24"/>
                <w:szCs w:val="24"/>
              </w:rPr>
              <w:t xml:space="preserve"> (50%)</w:t>
            </w:r>
          </w:p>
        </w:tc>
        <w:tc>
          <w:tcPr>
            <w:tcW w:w="1276" w:type="dxa"/>
          </w:tcPr>
          <w:p w14:paraId="6C179B56" w14:textId="77777777" w:rsidR="004942B6" w:rsidRPr="009978C5" w:rsidRDefault="004942B6" w:rsidP="002C2525">
            <w:pPr>
              <w:spacing w:line="360" w:lineRule="auto"/>
              <w:jc w:val="both"/>
              <w:rPr>
                <w:sz w:val="24"/>
                <w:szCs w:val="24"/>
              </w:rPr>
            </w:pPr>
            <w:r w:rsidRPr="009978C5">
              <w:rPr>
                <w:sz w:val="24"/>
                <w:szCs w:val="24"/>
              </w:rPr>
              <w:t>2</w:t>
            </w:r>
            <w:r>
              <w:rPr>
                <w:sz w:val="24"/>
                <w:szCs w:val="24"/>
              </w:rPr>
              <w:t>3</w:t>
            </w:r>
            <w:r w:rsidRPr="009978C5">
              <w:rPr>
                <w:sz w:val="24"/>
                <w:szCs w:val="24"/>
              </w:rPr>
              <w:t xml:space="preserve"> (55.5%)</w:t>
            </w:r>
          </w:p>
        </w:tc>
        <w:tc>
          <w:tcPr>
            <w:tcW w:w="1134" w:type="dxa"/>
            <w:vMerge/>
          </w:tcPr>
          <w:p w14:paraId="60AF11A0" w14:textId="77777777" w:rsidR="004942B6" w:rsidRPr="009978C5" w:rsidRDefault="004942B6" w:rsidP="002C2525">
            <w:pPr>
              <w:spacing w:line="360" w:lineRule="auto"/>
              <w:jc w:val="both"/>
              <w:rPr>
                <w:b/>
                <w:bCs/>
                <w:sz w:val="28"/>
                <w:szCs w:val="28"/>
              </w:rPr>
            </w:pPr>
          </w:p>
        </w:tc>
        <w:tc>
          <w:tcPr>
            <w:tcW w:w="1559" w:type="dxa"/>
          </w:tcPr>
          <w:p w14:paraId="374409CE" w14:textId="77777777" w:rsidR="004942B6" w:rsidRPr="009978C5" w:rsidRDefault="004942B6" w:rsidP="002C2525">
            <w:pPr>
              <w:spacing w:line="360" w:lineRule="auto"/>
              <w:jc w:val="both"/>
              <w:rPr>
                <w:sz w:val="24"/>
                <w:szCs w:val="24"/>
              </w:rPr>
            </w:pPr>
            <w:r w:rsidRPr="009978C5">
              <w:rPr>
                <w:sz w:val="24"/>
                <w:szCs w:val="24"/>
              </w:rPr>
              <w:t>1</w:t>
            </w:r>
            <w:r>
              <w:rPr>
                <w:sz w:val="24"/>
                <w:szCs w:val="24"/>
              </w:rPr>
              <w:t>3</w:t>
            </w:r>
            <w:r w:rsidRPr="009978C5">
              <w:rPr>
                <w:sz w:val="24"/>
                <w:szCs w:val="24"/>
              </w:rPr>
              <w:t xml:space="preserve"> (48%)</w:t>
            </w:r>
          </w:p>
        </w:tc>
        <w:tc>
          <w:tcPr>
            <w:tcW w:w="1276" w:type="dxa"/>
          </w:tcPr>
          <w:p w14:paraId="48390624" w14:textId="77777777" w:rsidR="004942B6" w:rsidRPr="009978C5" w:rsidRDefault="004942B6" w:rsidP="002C2525">
            <w:pPr>
              <w:spacing w:line="360" w:lineRule="auto"/>
              <w:jc w:val="both"/>
              <w:rPr>
                <w:sz w:val="24"/>
                <w:szCs w:val="24"/>
              </w:rPr>
            </w:pPr>
            <w:r w:rsidRPr="009978C5">
              <w:rPr>
                <w:sz w:val="24"/>
                <w:szCs w:val="24"/>
              </w:rPr>
              <w:t>2</w:t>
            </w:r>
            <w:r>
              <w:rPr>
                <w:sz w:val="24"/>
                <w:szCs w:val="24"/>
              </w:rPr>
              <w:t>3</w:t>
            </w:r>
            <w:r w:rsidRPr="009978C5">
              <w:rPr>
                <w:sz w:val="24"/>
                <w:szCs w:val="24"/>
              </w:rPr>
              <w:t xml:space="preserve"> (88%)</w:t>
            </w:r>
          </w:p>
        </w:tc>
        <w:tc>
          <w:tcPr>
            <w:tcW w:w="1134" w:type="dxa"/>
            <w:vMerge/>
          </w:tcPr>
          <w:p w14:paraId="4EAD78E8" w14:textId="77777777" w:rsidR="004942B6" w:rsidRPr="009978C5" w:rsidRDefault="004942B6" w:rsidP="002C2525">
            <w:pPr>
              <w:spacing w:line="360" w:lineRule="auto"/>
              <w:jc w:val="both"/>
              <w:rPr>
                <w:b/>
                <w:bCs/>
                <w:sz w:val="28"/>
                <w:szCs w:val="28"/>
              </w:rPr>
            </w:pPr>
          </w:p>
        </w:tc>
      </w:tr>
      <w:tr w:rsidR="004942B6" w:rsidRPr="009978C5" w14:paraId="5DF5244F" w14:textId="77777777" w:rsidTr="00B77208">
        <w:tc>
          <w:tcPr>
            <w:tcW w:w="1589" w:type="dxa"/>
          </w:tcPr>
          <w:p w14:paraId="6BBFBEE4" w14:textId="77777777" w:rsidR="004942B6" w:rsidRPr="009978C5" w:rsidRDefault="004942B6" w:rsidP="002C2525">
            <w:pPr>
              <w:spacing w:line="360" w:lineRule="auto"/>
              <w:jc w:val="both"/>
              <w:rPr>
                <w:sz w:val="24"/>
                <w:szCs w:val="24"/>
              </w:rPr>
            </w:pPr>
            <w:r w:rsidRPr="009978C5">
              <w:rPr>
                <w:sz w:val="24"/>
                <w:szCs w:val="24"/>
              </w:rPr>
              <w:t>NYHA class 2</w:t>
            </w:r>
          </w:p>
        </w:tc>
        <w:tc>
          <w:tcPr>
            <w:tcW w:w="1275" w:type="dxa"/>
          </w:tcPr>
          <w:p w14:paraId="360B14B5" w14:textId="77777777" w:rsidR="004942B6" w:rsidRPr="009978C5" w:rsidRDefault="004942B6" w:rsidP="002C2525">
            <w:pPr>
              <w:spacing w:line="360" w:lineRule="auto"/>
              <w:jc w:val="both"/>
              <w:rPr>
                <w:sz w:val="24"/>
                <w:szCs w:val="24"/>
              </w:rPr>
            </w:pPr>
            <w:r w:rsidRPr="009978C5">
              <w:rPr>
                <w:sz w:val="24"/>
                <w:szCs w:val="24"/>
              </w:rPr>
              <w:t>15 (41.6%)</w:t>
            </w:r>
          </w:p>
        </w:tc>
        <w:tc>
          <w:tcPr>
            <w:tcW w:w="1276" w:type="dxa"/>
          </w:tcPr>
          <w:p w14:paraId="62264289" w14:textId="77777777" w:rsidR="004942B6" w:rsidRPr="009978C5" w:rsidRDefault="004942B6" w:rsidP="002C2525">
            <w:pPr>
              <w:spacing w:line="360" w:lineRule="auto"/>
              <w:jc w:val="both"/>
              <w:rPr>
                <w:sz w:val="24"/>
                <w:szCs w:val="24"/>
              </w:rPr>
            </w:pPr>
            <w:r w:rsidRPr="009978C5">
              <w:rPr>
                <w:sz w:val="24"/>
                <w:szCs w:val="24"/>
              </w:rPr>
              <w:t>13 (36.1%)</w:t>
            </w:r>
          </w:p>
        </w:tc>
        <w:tc>
          <w:tcPr>
            <w:tcW w:w="1134" w:type="dxa"/>
            <w:vMerge/>
          </w:tcPr>
          <w:p w14:paraId="70D3795A" w14:textId="77777777" w:rsidR="004942B6" w:rsidRPr="009978C5" w:rsidRDefault="004942B6" w:rsidP="002C2525">
            <w:pPr>
              <w:spacing w:line="360" w:lineRule="auto"/>
              <w:jc w:val="both"/>
              <w:rPr>
                <w:sz w:val="24"/>
                <w:szCs w:val="24"/>
              </w:rPr>
            </w:pPr>
          </w:p>
        </w:tc>
        <w:tc>
          <w:tcPr>
            <w:tcW w:w="1559" w:type="dxa"/>
          </w:tcPr>
          <w:p w14:paraId="7BE36DFF" w14:textId="77777777" w:rsidR="004942B6" w:rsidRPr="009978C5" w:rsidRDefault="004942B6" w:rsidP="002C2525">
            <w:pPr>
              <w:spacing w:line="360" w:lineRule="auto"/>
              <w:jc w:val="both"/>
              <w:rPr>
                <w:sz w:val="24"/>
                <w:szCs w:val="24"/>
              </w:rPr>
            </w:pPr>
            <w:r w:rsidRPr="009978C5">
              <w:rPr>
                <w:sz w:val="24"/>
                <w:szCs w:val="24"/>
              </w:rPr>
              <w:t>7 (28%)</w:t>
            </w:r>
          </w:p>
        </w:tc>
        <w:tc>
          <w:tcPr>
            <w:tcW w:w="1276" w:type="dxa"/>
          </w:tcPr>
          <w:p w14:paraId="5EFFDD06" w14:textId="77777777" w:rsidR="004942B6" w:rsidRPr="009978C5" w:rsidRDefault="004942B6" w:rsidP="002C2525">
            <w:pPr>
              <w:spacing w:line="360" w:lineRule="auto"/>
              <w:jc w:val="both"/>
              <w:rPr>
                <w:sz w:val="24"/>
                <w:szCs w:val="24"/>
              </w:rPr>
            </w:pPr>
            <w:r w:rsidRPr="009978C5">
              <w:rPr>
                <w:sz w:val="24"/>
                <w:szCs w:val="24"/>
              </w:rPr>
              <w:t>3 (12%)</w:t>
            </w:r>
          </w:p>
        </w:tc>
        <w:tc>
          <w:tcPr>
            <w:tcW w:w="1134" w:type="dxa"/>
            <w:vMerge/>
          </w:tcPr>
          <w:p w14:paraId="18CF2618" w14:textId="77777777" w:rsidR="004942B6" w:rsidRPr="009978C5" w:rsidRDefault="004942B6" w:rsidP="002C2525">
            <w:pPr>
              <w:spacing w:line="360" w:lineRule="auto"/>
              <w:jc w:val="both"/>
              <w:rPr>
                <w:sz w:val="24"/>
                <w:szCs w:val="24"/>
              </w:rPr>
            </w:pPr>
          </w:p>
        </w:tc>
      </w:tr>
      <w:tr w:rsidR="004942B6" w:rsidRPr="009978C5" w14:paraId="5762AAC1" w14:textId="77777777" w:rsidTr="00B77208">
        <w:tc>
          <w:tcPr>
            <w:tcW w:w="1589" w:type="dxa"/>
          </w:tcPr>
          <w:p w14:paraId="207ED061" w14:textId="77777777" w:rsidR="004942B6" w:rsidRPr="009978C5" w:rsidRDefault="004942B6" w:rsidP="002C2525">
            <w:pPr>
              <w:spacing w:line="360" w:lineRule="auto"/>
              <w:jc w:val="both"/>
              <w:rPr>
                <w:sz w:val="24"/>
                <w:szCs w:val="24"/>
              </w:rPr>
            </w:pPr>
            <w:r w:rsidRPr="009978C5">
              <w:rPr>
                <w:sz w:val="24"/>
                <w:szCs w:val="24"/>
              </w:rPr>
              <w:t>NYHA class 3</w:t>
            </w:r>
          </w:p>
        </w:tc>
        <w:tc>
          <w:tcPr>
            <w:tcW w:w="1275" w:type="dxa"/>
          </w:tcPr>
          <w:p w14:paraId="3C0CDF5F" w14:textId="77777777" w:rsidR="004942B6" w:rsidRPr="009978C5" w:rsidRDefault="004942B6" w:rsidP="002C2525">
            <w:pPr>
              <w:spacing w:line="360" w:lineRule="auto"/>
              <w:jc w:val="both"/>
              <w:rPr>
                <w:sz w:val="24"/>
                <w:szCs w:val="24"/>
              </w:rPr>
            </w:pPr>
            <w:r w:rsidRPr="009978C5">
              <w:rPr>
                <w:sz w:val="24"/>
                <w:szCs w:val="24"/>
              </w:rPr>
              <w:t>2 (5.5%)</w:t>
            </w:r>
          </w:p>
        </w:tc>
        <w:tc>
          <w:tcPr>
            <w:tcW w:w="1276" w:type="dxa"/>
          </w:tcPr>
          <w:p w14:paraId="54E219F3" w14:textId="77777777" w:rsidR="004942B6" w:rsidRPr="009978C5" w:rsidRDefault="004942B6" w:rsidP="002C2525">
            <w:pPr>
              <w:spacing w:line="360" w:lineRule="auto"/>
              <w:jc w:val="both"/>
              <w:rPr>
                <w:sz w:val="24"/>
                <w:szCs w:val="24"/>
              </w:rPr>
            </w:pPr>
            <w:r w:rsidRPr="009978C5">
              <w:rPr>
                <w:sz w:val="24"/>
                <w:szCs w:val="24"/>
              </w:rPr>
              <w:t>2 (5.5%)</w:t>
            </w:r>
          </w:p>
        </w:tc>
        <w:tc>
          <w:tcPr>
            <w:tcW w:w="1134" w:type="dxa"/>
            <w:vMerge/>
          </w:tcPr>
          <w:p w14:paraId="010A6256" w14:textId="77777777" w:rsidR="004942B6" w:rsidRPr="009978C5" w:rsidRDefault="004942B6" w:rsidP="002C2525">
            <w:pPr>
              <w:spacing w:line="360" w:lineRule="auto"/>
              <w:jc w:val="both"/>
              <w:rPr>
                <w:sz w:val="24"/>
                <w:szCs w:val="24"/>
              </w:rPr>
            </w:pPr>
          </w:p>
        </w:tc>
        <w:tc>
          <w:tcPr>
            <w:tcW w:w="1559" w:type="dxa"/>
          </w:tcPr>
          <w:p w14:paraId="066B35AB" w14:textId="77777777" w:rsidR="004942B6" w:rsidRPr="009978C5" w:rsidRDefault="004942B6" w:rsidP="002C2525">
            <w:pPr>
              <w:spacing w:line="360" w:lineRule="auto"/>
              <w:jc w:val="both"/>
              <w:rPr>
                <w:sz w:val="24"/>
                <w:szCs w:val="24"/>
              </w:rPr>
            </w:pPr>
            <w:r w:rsidRPr="009978C5">
              <w:rPr>
                <w:sz w:val="24"/>
                <w:szCs w:val="24"/>
              </w:rPr>
              <w:t>6 (24%)</w:t>
            </w:r>
          </w:p>
        </w:tc>
        <w:tc>
          <w:tcPr>
            <w:tcW w:w="1276" w:type="dxa"/>
          </w:tcPr>
          <w:p w14:paraId="59F68BFB" w14:textId="77777777" w:rsidR="004942B6" w:rsidRPr="009978C5" w:rsidRDefault="004942B6" w:rsidP="002C2525">
            <w:pPr>
              <w:spacing w:line="360" w:lineRule="auto"/>
              <w:jc w:val="both"/>
              <w:rPr>
                <w:sz w:val="24"/>
                <w:szCs w:val="24"/>
              </w:rPr>
            </w:pPr>
            <w:r w:rsidRPr="009978C5">
              <w:rPr>
                <w:sz w:val="24"/>
                <w:szCs w:val="24"/>
              </w:rPr>
              <w:t>0</w:t>
            </w:r>
          </w:p>
        </w:tc>
        <w:tc>
          <w:tcPr>
            <w:tcW w:w="1134" w:type="dxa"/>
            <w:vMerge/>
          </w:tcPr>
          <w:p w14:paraId="6264FD9F" w14:textId="77777777" w:rsidR="004942B6" w:rsidRPr="009978C5" w:rsidRDefault="004942B6" w:rsidP="002C2525">
            <w:pPr>
              <w:spacing w:line="360" w:lineRule="auto"/>
              <w:jc w:val="both"/>
              <w:rPr>
                <w:sz w:val="24"/>
                <w:szCs w:val="24"/>
              </w:rPr>
            </w:pPr>
          </w:p>
        </w:tc>
      </w:tr>
      <w:tr w:rsidR="004942B6" w:rsidRPr="009978C5" w14:paraId="44B24013" w14:textId="77777777" w:rsidTr="00B77208">
        <w:tc>
          <w:tcPr>
            <w:tcW w:w="1589" w:type="dxa"/>
          </w:tcPr>
          <w:p w14:paraId="7F3DA0D3" w14:textId="77777777" w:rsidR="004942B6" w:rsidRPr="009978C5" w:rsidRDefault="004942B6" w:rsidP="002C2525">
            <w:pPr>
              <w:spacing w:line="360" w:lineRule="auto"/>
              <w:jc w:val="both"/>
              <w:rPr>
                <w:sz w:val="24"/>
                <w:szCs w:val="24"/>
              </w:rPr>
            </w:pPr>
            <w:r w:rsidRPr="009978C5">
              <w:rPr>
                <w:sz w:val="24"/>
                <w:szCs w:val="24"/>
              </w:rPr>
              <w:t>NYHA class 4</w:t>
            </w:r>
          </w:p>
        </w:tc>
        <w:tc>
          <w:tcPr>
            <w:tcW w:w="1275" w:type="dxa"/>
          </w:tcPr>
          <w:p w14:paraId="7A4FC260" w14:textId="77777777" w:rsidR="004942B6" w:rsidRPr="009978C5" w:rsidRDefault="004942B6" w:rsidP="002C2525">
            <w:pPr>
              <w:spacing w:line="360" w:lineRule="auto"/>
              <w:jc w:val="both"/>
              <w:rPr>
                <w:sz w:val="24"/>
                <w:szCs w:val="24"/>
              </w:rPr>
            </w:pPr>
            <w:r w:rsidRPr="009978C5">
              <w:rPr>
                <w:sz w:val="24"/>
                <w:szCs w:val="24"/>
              </w:rPr>
              <w:t>1 (2.7%)</w:t>
            </w:r>
          </w:p>
        </w:tc>
        <w:tc>
          <w:tcPr>
            <w:tcW w:w="1276" w:type="dxa"/>
          </w:tcPr>
          <w:p w14:paraId="60E0C34D" w14:textId="77777777" w:rsidR="004942B6" w:rsidRPr="009978C5" w:rsidRDefault="004942B6" w:rsidP="002C2525">
            <w:pPr>
              <w:spacing w:line="360" w:lineRule="auto"/>
              <w:jc w:val="both"/>
              <w:rPr>
                <w:sz w:val="24"/>
                <w:szCs w:val="24"/>
              </w:rPr>
            </w:pPr>
            <w:r w:rsidRPr="009978C5">
              <w:rPr>
                <w:sz w:val="24"/>
                <w:szCs w:val="24"/>
              </w:rPr>
              <w:t>1 (2.7%)</w:t>
            </w:r>
          </w:p>
        </w:tc>
        <w:tc>
          <w:tcPr>
            <w:tcW w:w="1134" w:type="dxa"/>
            <w:vMerge/>
          </w:tcPr>
          <w:p w14:paraId="29B14681" w14:textId="77777777" w:rsidR="004942B6" w:rsidRPr="009978C5" w:rsidRDefault="004942B6" w:rsidP="002C2525">
            <w:pPr>
              <w:spacing w:line="360" w:lineRule="auto"/>
              <w:jc w:val="both"/>
              <w:rPr>
                <w:sz w:val="24"/>
                <w:szCs w:val="24"/>
              </w:rPr>
            </w:pPr>
          </w:p>
        </w:tc>
        <w:tc>
          <w:tcPr>
            <w:tcW w:w="1559" w:type="dxa"/>
          </w:tcPr>
          <w:p w14:paraId="10EA7B10" w14:textId="77777777" w:rsidR="004942B6" w:rsidRPr="009978C5" w:rsidRDefault="004942B6" w:rsidP="002C2525">
            <w:pPr>
              <w:spacing w:line="360" w:lineRule="auto"/>
              <w:jc w:val="both"/>
              <w:rPr>
                <w:sz w:val="24"/>
                <w:szCs w:val="24"/>
              </w:rPr>
            </w:pPr>
            <w:r w:rsidRPr="009978C5">
              <w:rPr>
                <w:sz w:val="24"/>
                <w:szCs w:val="24"/>
              </w:rPr>
              <w:t>0</w:t>
            </w:r>
          </w:p>
        </w:tc>
        <w:tc>
          <w:tcPr>
            <w:tcW w:w="1276" w:type="dxa"/>
          </w:tcPr>
          <w:p w14:paraId="0E7FD122" w14:textId="77777777" w:rsidR="004942B6" w:rsidRPr="009978C5" w:rsidRDefault="004942B6" w:rsidP="002C2525">
            <w:pPr>
              <w:spacing w:line="360" w:lineRule="auto"/>
              <w:jc w:val="both"/>
              <w:rPr>
                <w:sz w:val="24"/>
                <w:szCs w:val="24"/>
              </w:rPr>
            </w:pPr>
            <w:r w:rsidRPr="009978C5">
              <w:rPr>
                <w:sz w:val="24"/>
                <w:szCs w:val="24"/>
              </w:rPr>
              <w:t>0</w:t>
            </w:r>
          </w:p>
        </w:tc>
        <w:tc>
          <w:tcPr>
            <w:tcW w:w="1134" w:type="dxa"/>
            <w:vMerge/>
          </w:tcPr>
          <w:p w14:paraId="5886C14B" w14:textId="77777777" w:rsidR="004942B6" w:rsidRPr="009978C5" w:rsidRDefault="004942B6" w:rsidP="002C2525">
            <w:pPr>
              <w:spacing w:line="360" w:lineRule="auto"/>
              <w:jc w:val="both"/>
              <w:rPr>
                <w:sz w:val="24"/>
                <w:szCs w:val="24"/>
              </w:rPr>
            </w:pPr>
          </w:p>
        </w:tc>
      </w:tr>
    </w:tbl>
    <w:p w14:paraId="0550ECFA" w14:textId="77777777" w:rsidR="004942B6" w:rsidRDefault="004942B6" w:rsidP="004942B6">
      <w:pPr>
        <w:pStyle w:val="Heading4"/>
        <w:spacing w:line="360" w:lineRule="auto"/>
        <w:jc w:val="both"/>
        <w:rPr>
          <w:rFonts w:ascii="Arial" w:hAnsi="Arial" w:cs="Arial"/>
          <w:i w:val="0"/>
          <w:iCs w:val="0"/>
          <w:color w:val="4472C4" w:themeColor="accent1"/>
          <w:sz w:val="24"/>
          <w:szCs w:val="24"/>
        </w:rPr>
      </w:pPr>
    </w:p>
    <w:p w14:paraId="4C0C7517" w14:textId="2B5B6E1A" w:rsidR="00F85DAC" w:rsidRPr="00F605C6" w:rsidRDefault="00A07585" w:rsidP="00A07585">
      <w:pPr>
        <w:pStyle w:val="Heading2"/>
        <w:jc w:val="both"/>
        <w:rPr>
          <w:rFonts w:ascii="Arial" w:hAnsi="Arial" w:cs="Arial"/>
          <w:color w:val="4472C4" w:themeColor="accent1"/>
          <w:sz w:val="28"/>
          <w:szCs w:val="28"/>
        </w:rPr>
      </w:pPr>
      <w:bookmarkStart w:id="1206" w:name="_Toc171203935"/>
      <w:r w:rsidRPr="00F605C6">
        <w:rPr>
          <w:rFonts w:ascii="Arial" w:hAnsi="Arial" w:cs="Arial"/>
          <w:color w:val="4472C4" w:themeColor="accent1"/>
          <w:sz w:val="28"/>
          <w:szCs w:val="28"/>
        </w:rPr>
        <w:t xml:space="preserve">3.5 QOL </w:t>
      </w:r>
      <w:r w:rsidR="00E730C2" w:rsidRPr="00F605C6">
        <w:rPr>
          <w:rFonts w:ascii="Arial" w:hAnsi="Arial" w:cs="Arial"/>
          <w:color w:val="4472C4" w:themeColor="accent1"/>
          <w:sz w:val="28"/>
          <w:szCs w:val="28"/>
        </w:rPr>
        <w:t>outcomes</w:t>
      </w:r>
      <w:r w:rsidRPr="00F605C6">
        <w:rPr>
          <w:rFonts w:ascii="Arial" w:hAnsi="Arial" w:cs="Arial"/>
          <w:color w:val="4472C4" w:themeColor="accent1"/>
          <w:sz w:val="28"/>
          <w:szCs w:val="28"/>
        </w:rPr>
        <w:t xml:space="preserve"> for the virtual change subset</w:t>
      </w:r>
      <w:bookmarkEnd w:id="1206"/>
    </w:p>
    <w:p w14:paraId="12773B33" w14:textId="77777777" w:rsidR="00A07585" w:rsidRPr="00F605C6" w:rsidRDefault="00A07585" w:rsidP="00F85DAC">
      <w:pPr>
        <w:rPr>
          <w:color w:val="4472C4" w:themeColor="accent1"/>
        </w:rPr>
      </w:pPr>
    </w:p>
    <w:p w14:paraId="0C9FDEA8" w14:textId="62042EE3" w:rsidR="004942B6" w:rsidRPr="00F605C6" w:rsidRDefault="004942B6" w:rsidP="004942B6">
      <w:pPr>
        <w:pStyle w:val="Heading4"/>
        <w:spacing w:line="360" w:lineRule="auto"/>
        <w:jc w:val="both"/>
        <w:rPr>
          <w:rFonts w:ascii="Arial" w:hAnsi="Arial" w:cs="Arial"/>
          <w:i w:val="0"/>
          <w:iCs w:val="0"/>
          <w:color w:val="4472C4" w:themeColor="accent1"/>
          <w:sz w:val="24"/>
          <w:szCs w:val="24"/>
        </w:rPr>
      </w:pPr>
      <w:r w:rsidRPr="00F605C6">
        <w:rPr>
          <w:rFonts w:ascii="Arial" w:hAnsi="Arial" w:cs="Arial"/>
          <w:i w:val="0"/>
          <w:iCs w:val="0"/>
          <w:color w:val="4472C4" w:themeColor="accent1"/>
          <w:sz w:val="24"/>
          <w:szCs w:val="24"/>
        </w:rPr>
        <w:t>3.</w:t>
      </w:r>
      <w:r w:rsidR="00221C46" w:rsidRPr="00F605C6">
        <w:rPr>
          <w:rFonts w:ascii="Arial" w:hAnsi="Arial" w:cs="Arial"/>
          <w:i w:val="0"/>
          <w:iCs w:val="0"/>
          <w:color w:val="4472C4" w:themeColor="accent1"/>
          <w:sz w:val="24"/>
          <w:szCs w:val="24"/>
        </w:rPr>
        <w:t>5.1</w:t>
      </w:r>
      <w:r w:rsidRPr="00F605C6">
        <w:rPr>
          <w:rFonts w:ascii="Arial" w:hAnsi="Arial" w:cs="Arial"/>
          <w:i w:val="0"/>
          <w:iCs w:val="0"/>
          <w:color w:val="4472C4" w:themeColor="accent1"/>
          <w:sz w:val="24"/>
          <w:szCs w:val="24"/>
        </w:rPr>
        <w:t xml:space="preserve"> </w:t>
      </w:r>
      <w:r w:rsidR="00221C46" w:rsidRPr="00F605C6">
        <w:rPr>
          <w:rFonts w:ascii="Arial" w:hAnsi="Arial" w:cs="Arial"/>
          <w:i w:val="0"/>
          <w:iCs w:val="0"/>
          <w:color w:val="4472C4" w:themeColor="accent1"/>
          <w:sz w:val="24"/>
          <w:szCs w:val="24"/>
        </w:rPr>
        <w:t>I</w:t>
      </w:r>
      <w:r w:rsidRPr="00F605C6">
        <w:rPr>
          <w:rFonts w:ascii="Arial" w:hAnsi="Arial" w:cs="Arial"/>
          <w:i w:val="0"/>
          <w:iCs w:val="0"/>
          <w:color w:val="4472C4" w:themeColor="accent1"/>
          <w:sz w:val="24"/>
          <w:szCs w:val="24"/>
        </w:rPr>
        <w:t xml:space="preserve">ndividualised “actual” and </w:t>
      </w:r>
      <w:r w:rsidR="00D465E9" w:rsidRPr="00F605C6">
        <w:rPr>
          <w:rFonts w:ascii="Arial" w:hAnsi="Arial" w:cs="Arial"/>
          <w:i w:val="0"/>
          <w:iCs w:val="0"/>
          <w:color w:val="4472C4" w:themeColor="accent1"/>
          <w:sz w:val="24"/>
          <w:szCs w:val="24"/>
        </w:rPr>
        <w:t xml:space="preserve">post-vFFR </w:t>
      </w:r>
      <w:r w:rsidRPr="00F605C6">
        <w:rPr>
          <w:rFonts w:ascii="Arial" w:hAnsi="Arial" w:cs="Arial"/>
          <w:i w:val="0"/>
          <w:iCs w:val="0"/>
          <w:color w:val="4472C4" w:themeColor="accent1"/>
          <w:sz w:val="24"/>
          <w:szCs w:val="24"/>
        </w:rPr>
        <w:t xml:space="preserve">“virtual” EQ-VAS and EQ-indexed scores </w:t>
      </w:r>
      <w:r w:rsidR="00221C46" w:rsidRPr="00F605C6">
        <w:rPr>
          <w:rFonts w:ascii="Arial" w:hAnsi="Arial" w:cs="Arial"/>
          <w:i w:val="0"/>
          <w:iCs w:val="0"/>
          <w:color w:val="4472C4" w:themeColor="accent1"/>
          <w:sz w:val="24"/>
          <w:szCs w:val="24"/>
        </w:rPr>
        <w:t>with</w:t>
      </w:r>
      <w:r w:rsidRPr="00F605C6">
        <w:rPr>
          <w:rFonts w:ascii="Arial" w:hAnsi="Arial" w:cs="Arial"/>
          <w:i w:val="0"/>
          <w:iCs w:val="0"/>
          <w:color w:val="4472C4" w:themeColor="accent1"/>
          <w:sz w:val="24"/>
          <w:szCs w:val="24"/>
        </w:rPr>
        <w:t>in the virtual change subset</w:t>
      </w:r>
    </w:p>
    <w:p w14:paraId="6C2D9078" w14:textId="77777777" w:rsidR="004942B6" w:rsidRDefault="004942B6" w:rsidP="004942B6">
      <w:pPr>
        <w:spacing w:line="360" w:lineRule="auto"/>
        <w:jc w:val="both"/>
        <w:rPr>
          <w:color w:val="000000" w:themeColor="text1"/>
        </w:rPr>
      </w:pPr>
      <w:r w:rsidRPr="00F96063">
        <w:rPr>
          <w:rFonts w:ascii="Arial" w:hAnsi="Arial" w:cs="Arial"/>
          <w:color w:val="000000" w:themeColor="text1"/>
          <w:sz w:val="24"/>
          <w:szCs w:val="24"/>
        </w:rPr>
        <w:t xml:space="preserve">The individualised </w:t>
      </w:r>
      <w:r>
        <w:rPr>
          <w:rFonts w:ascii="Arial" w:hAnsi="Arial" w:cs="Arial"/>
          <w:color w:val="000000" w:themeColor="text1"/>
          <w:sz w:val="24"/>
          <w:szCs w:val="24"/>
        </w:rPr>
        <w:t>QOL scores</w:t>
      </w:r>
      <w:r w:rsidRPr="00F96063">
        <w:rPr>
          <w:rFonts w:ascii="Arial" w:hAnsi="Arial" w:cs="Arial"/>
          <w:color w:val="000000" w:themeColor="text1"/>
          <w:sz w:val="24"/>
          <w:szCs w:val="24"/>
        </w:rPr>
        <w:t xml:space="preserve"> of the </w:t>
      </w:r>
      <w:r>
        <w:rPr>
          <w:rFonts w:ascii="Arial" w:hAnsi="Arial" w:cs="Arial"/>
          <w:color w:val="000000" w:themeColor="text1"/>
          <w:sz w:val="24"/>
          <w:szCs w:val="24"/>
        </w:rPr>
        <w:t>ACS (n=39)</w:t>
      </w:r>
      <w:r w:rsidRPr="00F96063">
        <w:rPr>
          <w:rFonts w:ascii="Arial" w:hAnsi="Arial" w:cs="Arial"/>
          <w:color w:val="000000" w:themeColor="text1"/>
          <w:sz w:val="24"/>
          <w:szCs w:val="24"/>
        </w:rPr>
        <w:t xml:space="preserve"> and </w:t>
      </w:r>
      <w:r>
        <w:rPr>
          <w:rFonts w:ascii="Arial" w:hAnsi="Arial" w:cs="Arial"/>
          <w:color w:val="000000" w:themeColor="text1"/>
          <w:sz w:val="24"/>
          <w:szCs w:val="24"/>
        </w:rPr>
        <w:t>CCS</w:t>
      </w:r>
      <w:r w:rsidRPr="00F96063">
        <w:rPr>
          <w:rFonts w:ascii="Arial" w:hAnsi="Arial" w:cs="Arial"/>
          <w:color w:val="000000" w:themeColor="text1"/>
          <w:sz w:val="24"/>
          <w:szCs w:val="24"/>
        </w:rPr>
        <w:t xml:space="preserve"> </w:t>
      </w:r>
      <w:r>
        <w:rPr>
          <w:rFonts w:ascii="Arial" w:hAnsi="Arial" w:cs="Arial"/>
          <w:color w:val="000000" w:themeColor="text1"/>
          <w:sz w:val="24"/>
          <w:szCs w:val="24"/>
        </w:rPr>
        <w:t xml:space="preserve">(n=26) </w:t>
      </w:r>
      <w:r w:rsidRPr="00F96063">
        <w:rPr>
          <w:rFonts w:ascii="Arial" w:hAnsi="Arial" w:cs="Arial"/>
          <w:color w:val="000000" w:themeColor="text1"/>
          <w:sz w:val="24"/>
          <w:szCs w:val="24"/>
        </w:rPr>
        <w:t xml:space="preserve">patients from the </w:t>
      </w:r>
      <w:r>
        <w:rPr>
          <w:rFonts w:ascii="Arial" w:hAnsi="Arial" w:cs="Arial"/>
          <w:color w:val="000000" w:themeColor="text1"/>
          <w:sz w:val="24"/>
          <w:szCs w:val="24"/>
        </w:rPr>
        <w:t>virtual change subset</w:t>
      </w:r>
      <w:r w:rsidRPr="00F96063">
        <w:rPr>
          <w:rFonts w:ascii="Arial" w:hAnsi="Arial" w:cs="Arial"/>
          <w:color w:val="000000" w:themeColor="text1"/>
          <w:sz w:val="24"/>
          <w:szCs w:val="24"/>
        </w:rPr>
        <w:t xml:space="preserve"> </w:t>
      </w:r>
      <w:r>
        <w:rPr>
          <w:rFonts w:ascii="Arial" w:hAnsi="Arial" w:cs="Arial"/>
          <w:color w:val="000000" w:themeColor="text1"/>
          <w:sz w:val="24"/>
          <w:szCs w:val="24"/>
        </w:rPr>
        <w:t>are</w:t>
      </w:r>
      <w:r w:rsidRPr="00F96063">
        <w:rPr>
          <w:rFonts w:ascii="Arial" w:hAnsi="Arial" w:cs="Arial"/>
          <w:color w:val="000000" w:themeColor="text1"/>
          <w:sz w:val="24"/>
          <w:szCs w:val="24"/>
        </w:rPr>
        <w:t xml:space="preserve"> shown in Tables </w:t>
      </w:r>
      <w:r>
        <w:rPr>
          <w:rFonts w:ascii="Arial" w:hAnsi="Arial" w:cs="Arial"/>
          <w:color w:val="000000" w:themeColor="text1"/>
          <w:sz w:val="24"/>
          <w:szCs w:val="24"/>
        </w:rPr>
        <w:t>22</w:t>
      </w:r>
      <w:r w:rsidRPr="00F96063">
        <w:rPr>
          <w:rFonts w:ascii="Arial" w:hAnsi="Arial" w:cs="Arial"/>
          <w:color w:val="000000" w:themeColor="text1"/>
          <w:sz w:val="24"/>
          <w:szCs w:val="24"/>
        </w:rPr>
        <w:t xml:space="preserve"> and </w:t>
      </w:r>
      <w:r>
        <w:rPr>
          <w:rFonts w:ascii="Arial" w:hAnsi="Arial" w:cs="Arial"/>
          <w:color w:val="000000" w:themeColor="text1"/>
          <w:sz w:val="24"/>
          <w:szCs w:val="24"/>
        </w:rPr>
        <w:t>23</w:t>
      </w:r>
      <w:r w:rsidRPr="00F96063">
        <w:rPr>
          <w:rFonts w:ascii="Arial" w:hAnsi="Arial" w:cs="Arial"/>
          <w:color w:val="000000" w:themeColor="text1"/>
          <w:sz w:val="24"/>
          <w:szCs w:val="24"/>
        </w:rPr>
        <w:t>, respectively</w:t>
      </w:r>
      <w:r>
        <w:rPr>
          <w:rFonts w:ascii="Arial" w:hAnsi="Arial" w:cs="Arial"/>
          <w:color w:val="000000" w:themeColor="text1"/>
          <w:sz w:val="24"/>
          <w:szCs w:val="24"/>
        </w:rPr>
        <w:t xml:space="preserve"> (see appendix)</w:t>
      </w:r>
      <w:r w:rsidRPr="00F96063">
        <w:rPr>
          <w:rFonts w:ascii="Arial" w:hAnsi="Arial" w:cs="Arial"/>
          <w:color w:val="000000" w:themeColor="text1"/>
          <w:sz w:val="24"/>
          <w:szCs w:val="24"/>
        </w:rPr>
        <w:t>.</w:t>
      </w:r>
    </w:p>
    <w:p w14:paraId="2B0C49B3" w14:textId="77777777" w:rsidR="004942B6" w:rsidRDefault="004942B6" w:rsidP="004942B6"/>
    <w:p w14:paraId="1174267B" w14:textId="4D93704E" w:rsidR="004942B6" w:rsidRPr="00063024" w:rsidRDefault="004942B6" w:rsidP="004942B6">
      <w:pPr>
        <w:pStyle w:val="Heading4"/>
        <w:spacing w:line="360" w:lineRule="auto"/>
        <w:jc w:val="both"/>
        <w:rPr>
          <w:rFonts w:ascii="Arial" w:hAnsi="Arial" w:cs="Arial"/>
          <w:i w:val="0"/>
          <w:iCs w:val="0"/>
          <w:color w:val="4472C4" w:themeColor="accent1"/>
          <w:sz w:val="24"/>
          <w:szCs w:val="24"/>
        </w:rPr>
      </w:pPr>
      <w:r w:rsidRPr="00063024">
        <w:rPr>
          <w:rFonts w:ascii="Arial" w:hAnsi="Arial" w:cs="Arial"/>
          <w:i w:val="0"/>
          <w:iCs w:val="0"/>
          <w:color w:val="4472C4" w:themeColor="accent1"/>
          <w:sz w:val="24"/>
          <w:szCs w:val="24"/>
        </w:rPr>
        <w:t>3.</w:t>
      </w:r>
      <w:r w:rsidR="00221C46">
        <w:rPr>
          <w:rFonts w:ascii="Arial" w:hAnsi="Arial" w:cs="Arial"/>
          <w:i w:val="0"/>
          <w:iCs w:val="0"/>
          <w:color w:val="4472C4" w:themeColor="accent1"/>
          <w:sz w:val="24"/>
          <w:szCs w:val="24"/>
        </w:rPr>
        <w:t>5.</w:t>
      </w:r>
      <w:r w:rsidRPr="00063024">
        <w:rPr>
          <w:rFonts w:ascii="Arial" w:hAnsi="Arial" w:cs="Arial"/>
          <w:i w:val="0"/>
          <w:iCs w:val="0"/>
          <w:color w:val="4472C4" w:themeColor="accent1"/>
          <w:sz w:val="24"/>
          <w:szCs w:val="24"/>
        </w:rPr>
        <w:t xml:space="preserve">2 Comparison of the </w:t>
      </w:r>
      <w:r w:rsidR="00221C46">
        <w:rPr>
          <w:rFonts w:ascii="Arial" w:hAnsi="Arial" w:cs="Arial"/>
          <w:i w:val="0"/>
          <w:iCs w:val="0"/>
          <w:color w:val="4472C4" w:themeColor="accent1"/>
          <w:sz w:val="24"/>
          <w:szCs w:val="24"/>
        </w:rPr>
        <w:t>mean</w:t>
      </w:r>
      <w:r w:rsidR="00C81916">
        <w:rPr>
          <w:rFonts w:ascii="Arial" w:hAnsi="Arial" w:cs="Arial"/>
          <w:i w:val="0"/>
          <w:iCs w:val="0"/>
          <w:color w:val="4472C4" w:themeColor="accent1"/>
          <w:sz w:val="24"/>
          <w:szCs w:val="24"/>
        </w:rPr>
        <w:t xml:space="preserve"> interval change in the</w:t>
      </w:r>
      <w:r w:rsidR="00221C46">
        <w:rPr>
          <w:rFonts w:ascii="Arial" w:hAnsi="Arial" w:cs="Arial"/>
          <w:i w:val="0"/>
          <w:iCs w:val="0"/>
          <w:color w:val="4472C4" w:themeColor="accent1"/>
          <w:sz w:val="24"/>
          <w:szCs w:val="24"/>
        </w:rPr>
        <w:t xml:space="preserve"> </w:t>
      </w:r>
      <w:r w:rsidRPr="00063024">
        <w:rPr>
          <w:rFonts w:ascii="Arial" w:hAnsi="Arial" w:cs="Arial"/>
          <w:i w:val="0"/>
          <w:iCs w:val="0"/>
          <w:color w:val="4472C4" w:themeColor="accent1"/>
          <w:sz w:val="24"/>
          <w:szCs w:val="24"/>
        </w:rPr>
        <w:t>“actual” and “</w:t>
      </w:r>
      <w:r w:rsidR="00C81916">
        <w:rPr>
          <w:rFonts w:ascii="Arial" w:hAnsi="Arial" w:cs="Arial"/>
          <w:i w:val="0"/>
          <w:iCs w:val="0"/>
          <w:color w:val="4472C4" w:themeColor="accent1"/>
          <w:sz w:val="24"/>
          <w:szCs w:val="24"/>
        </w:rPr>
        <w:t xml:space="preserve">post-vFFR </w:t>
      </w:r>
      <w:r w:rsidRPr="00063024">
        <w:rPr>
          <w:rFonts w:ascii="Arial" w:hAnsi="Arial" w:cs="Arial"/>
          <w:i w:val="0"/>
          <w:iCs w:val="0"/>
          <w:color w:val="4472C4" w:themeColor="accent1"/>
          <w:sz w:val="24"/>
          <w:szCs w:val="24"/>
        </w:rPr>
        <w:t>virtual”</w:t>
      </w:r>
      <w:r w:rsidR="00C81916">
        <w:rPr>
          <w:rFonts w:ascii="Arial" w:hAnsi="Arial" w:cs="Arial"/>
          <w:i w:val="0"/>
          <w:iCs w:val="0"/>
          <w:color w:val="4472C4" w:themeColor="accent1"/>
          <w:sz w:val="24"/>
          <w:szCs w:val="24"/>
        </w:rPr>
        <w:t xml:space="preserve"> </w:t>
      </w:r>
      <w:r w:rsidRPr="00063024">
        <w:rPr>
          <w:rFonts w:ascii="Arial" w:hAnsi="Arial" w:cs="Arial"/>
          <w:i w:val="0"/>
          <w:iCs w:val="0"/>
          <w:color w:val="4472C4" w:themeColor="accent1"/>
          <w:sz w:val="24"/>
          <w:szCs w:val="24"/>
        </w:rPr>
        <w:t xml:space="preserve">EQ-VAS and EQ-indexed scores </w:t>
      </w:r>
      <w:r w:rsidR="00221C46">
        <w:rPr>
          <w:rFonts w:ascii="Arial" w:hAnsi="Arial" w:cs="Arial"/>
          <w:i w:val="0"/>
          <w:iCs w:val="0"/>
          <w:color w:val="4472C4" w:themeColor="accent1"/>
          <w:sz w:val="24"/>
          <w:szCs w:val="24"/>
        </w:rPr>
        <w:t>with</w:t>
      </w:r>
      <w:r w:rsidRPr="00063024">
        <w:rPr>
          <w:rFonts w:ascii="Arial" w:hAnsi="Arial" w:cs="Arial"/>
          <w:i w:val="0"/>
          <w:iCs w:val="0"/>
          <w:color w:val="4472C4" w:themeColor="accent1"/>
          <w:sz w:val="24"/>
          <w:szCs w:val="24"/>
        </w:rPr>
        <w:t>in the virtual change subset</w:t>
      </w:r>
    </w:p>
    <w:p w14:paraId="2FF4F6FB" w14:textId="0AFD7AB3" w:rsidR="004942B6" w:rsidRDefault="004942B6" w:rsidP="004942B6">
      <w:pPr>
        <w:keepNext/>
        <w:spacing w:line="360" w:lineRule="auto"/>
        <w:jc w:val="both"/>
        <w:rPr>
          <w:rFonts w:ascii="Arial" w:hAnsi="Arial" w:cs="Arial"/>
          <w:sz w:val="24"/>
          <w:szCs w:val="24"/>
        </w:rPr>
      </w:pPr>
      <w:r w:rsidRPr="001823B4">
        <w:rPr>
          <w:rFonts w:ascii="Arial" w:hAnsi="Arial" w:cs="Arial"/>
          <w:sz w:val="24"/>
          <w:szCs w:val="24"/>
        </w:rPr>
        <w:t xml:space="preserve">The mean “actual” scores from the virtual change subset patients were compared against the “virtual” scores deduced from the available literature. It demonstrated that in the CCS patients (n=26), there was a virtual improvement in the QOL scores (EQ-VAS; p=0.03, EQ-indexed; p=0.02) at one year when compared to the actual scores. </w:t>
      </w:r>
      <w:r w:rsidRPr="001823B4">
        <w:rPr>
          <w:rFonts w:ascii="Arial" w:hAnsi="Arial" w:cs="Arial"/>
          <w:sz w:val="24"/>
          <w:szCs w:val="24"/>
        </w:rPr>
        <w:lastRenderedPageBreak/>
        <w:t>However, the QOL scores for ACS remained non-significant (EQ-VAS; p=0.98, EQ-indexed; p=0.96). When segregated for ACS and CCS patients, ACS (n=39) patients had a non-significant notional increase of EQ-VAS 0.33 ± 0.01; p=0.98, EQ-indexed 0.01 ± 0.01; p=0.96, whereas CCS patients had virtual improvement of EQ-VAS 6.20 ± 0.17; p=0.03, EQ-indexed 0.05 ± 0.01; p=0.02.</w:t>
      </w:r>
      <w:r w:rsidR="001823B4" w:rsidRPr="001823B4">
        <w:rPr>
          <w:rFonts w:ascii="Arial" w:hAnsi="Arial" w:cs="Arial"/>
          <w:sz w:val="24"/>
          <w:szCs w:val="24"/>
        </w:rPr>
        <w:t xml:space="preserve"> A one-way ANOVA was conducted to compare the</w:t>
      </w:r>
      <w:r w:rsidR="001823B4">
        <w:rPr>
          <w:rFonts w:ascii="Arial" w:hAnsi="Arial" w:cs="Arial"/>
          <w:sz w:val="24"/>
          <w:szCs w:val="24"/>
        </w:rPr>
        <w:t xml:space="preserve"> change</w:t>
      </w:r>
      <w:r w:rsidR="001823B4" w:rsidRPr="001823B4">
        <w:rPr>
          <w:rFonts w:ascii="Arial" w:hAnsi="Arial" w:cs="Arial"/>
          <w:sz w:val="24"/>
          <w:szCs w:val="24"/>
        </w:rPr>
        <w:t xml:space="preserve"> in</w:t>
      </w:r>
      <w:r w:rsidR="001823B4">
        <w:rPr>
          <w:rFonts w:ascii="Arial" w:hAnsi="Arial" w:cs="Arial"/>
          <w:sz w:val="24"/>
          <w:szCs w:val="24"/>
        </w:rPr>
        <w:t xml:space="preserve"> </w:t>
      </w:r>
      <w:r w:rsidR="001823B4" w:rsidRPr="001823B4">
        <w:rPr>
          <w:rFonts w:ascii="Arial" w:hAnsi="Arial" w:cs="Arial"/>
          <w:sz w:val="24"/>
          <w:szCs w:val="24"/>
        </w:rPr>
        <w:t>QOL scores between ACS and CCS patients within the virtual change subset</w:t>
      </w:r>
      <w:r w:rsidR="001823B4">
        <w:rPr>
          <w:rFonts w:ascii="Arial" w:hAnsi="Arial" w:cs="Arial"/>
          <w:sz w:val="24"/>
          <w:szCs w:val="24"/>
        </w:rPr>
        <w:t xml:space="preserve">, which </w:t>
      </w:r>
      <w:r w:rsidR="001823B4" w:rsidRPr="001823B4">
        <w:rPr>
          <w:rFonts w:ascii="Arial" w:hAnsi="Arial" w:cs="Arial"/>
          <w:sz w:val="24"/>
          <w:szCs w:val="24"/>
        </w:rPr>
        <w:t>revealed no significant differences in either EQ-VAS (p = 0.38) or EQ-indexed scores (p = 0.47)</w:t>
      </w:r>
      <w:r w:rsidR="001823B4">
        <w:rPr>
          <w:rFonts w:ascii="Arial" w:hAnsi="Arial" w:cs="Arial"/>
          <w:sz w:val="24"/>
          <w:szCs w:val="24"/>
        </w:rPr>
        <w:t>, shown in Figure 51</w:t>
      </w:r>
      <w:r w:rsidR="001823B4" w:rsidRPr="001823B4">
        <w:rPr>
          <w:rFonts w:ascii="Arial" w:hAnsi="Arial" w:cs="Arial"/>
          <w:sz w:val="24"/>
          <w:szCs w:val="24"/>
        </w:rPr>
        <w:t>.</w:t>
      </w:r>
      <w:r w:rsidR="001823B4">
        <w:rPr>
          <w:rFonts w:ascii="Arial" w:hAnsi="Arial" w:cs="Arial"/>
        </w:rPr>
        <w:t xml:space="preserve"> </w:t>
      </w:r>
      <w:r w:rsidR="001823B4">
        <w:rPr>
          <w:rFonts w:ascii="Arial" w:hAnsi="Arial" w:cs="Arial"/>
          <w:sz w:val="24"/>
          <w:szCs w:val="24"/>
        </w:rPr>
        <w:t>A further c</w:t>
      </w:r>
      <w:r w:rsidRPr="00063024">
        <w:rPr>
          <w:rFonts w:ascii="Arial" w:hAnsi="Arial" w:cs="Arial"/>
          <w:sz w:val="24"/>
          <w:szCs w:val="24"/>
        </w:rPr>
        <w:t>omparison of mean “actual” and “virtual” EQ-VAS and EQ-indexed scores for the</w:t>
      </w:r>
      <w:r w:rsidR="001823B4">
        <w:rPr>
          <w:rFonts w:ascii="Arial" w:hAnsi="Arial" w:cs="Arial"/>
          <w:sz w:val="24"/>
          <w:szCs w:val="24"/>
        </w:rPr>
        <w:t xml:space="preserve"> entire</w:t>
      </w:r>
      <w:r w:rsidRPr="00063024">
        <w:rPr>
          <w:rFonts w:ascii="Arial" w:hAnsi="Arial" w:cs="Arial"/>
          <w:sz w:val="24"/>
          <w:szCs w:val="24"/>
        </w:rPr>
        <w:t xml:space="preserve"> virtual change</w:t>
      </w:r>
      <w:r w:rsidR="001823B4">
        <w:rPr>
          <w:rFonts w:ascii="Arial" w:hAnsi="Arial" w:cs="Arial"/>
          <w:sz w:val="24"/>
          <w:szCs w:val="24"/>
        </w:rPr>
        <w:t xml:space="preserve"> </w:t>
      </w:r>
      <w:r w:rsidRPr="00063024">
        <w:rPr>
          <w:rFonts w:ascii="Arial" w:hAnsi="Arial" w:cs="Arial"/>
          <w:sz w:val="24"/>
          <w:szCs w:val="24"/>
        </w:rPr>
        <w:t>subset and the ACS (n=39) and CCS (26) patients separately is shown in Figures</w:t>
      </w:r>
      <w:r w:rsidR="009C461B">
        <w:rPr>
          <w:rFonts w:ascii="Arial" w:hAnsi="Arial" w:cs="Arial"/>
          <w:sz w:val="24"/>
          <w:szCs w:val="24"/>
        </w:rPr>
        <w:t>5</w:t>
      </w:r>
      <w:r w:rsidR="0008140A">
        <w:rPr>
          <w:rFonts w:ascii="Arial" w:hAnsi="Arial" w:cs="Arial"/>
          <w:sz w:val="24"/>
          <w:szCs w:val="24"/>
        </w:rPr>
        <w:t>2</w:t>
      </w:r>
      <w:r w:rsidRPr="00063024">
        <w:rPr>
          <w:rFonts w:ascii="Arial" w:hAnsi="Arial" w:cs="Arial"/>
          <w:sz w:val="24"/>
          <w:szCs w:val="24"/>
        </w:rPr>
        <w:t xml:space="preserve">, </w:t>
      </w:r>
      <w:r w:rsidR="001823B4">
        <w:rPr>
          <w:rFonts w:ascii="Arial" w:hAnsi="Arial" w:cs="Arial"/>
          <w:sz w:val="24"/>
          <w:szCs w:val="24"/>
        </w:rPr>
        <w:t xml:space="preserve">53 and 54, </w:t>
      </w:r>
      <w:r w:rsidRPr="00063024">
        <w:rPr>
          <w:rFonts w:ascii="Arial" w:hAnsi="Arial" w:cs="Arial"/>
          <w:sz w:val="24"/>
          <w:szCs w:val="24"/>
        </w:rPr>
        <w:t xml:space="preserve">respectively.  </w:t>
      </w:r>
    </w:p>
    <w:p w14:paraId="2A838C7C" w14:textId="77777777" w:rsidR="001823B4" w:rsidRDefault="001823B4" w:rsidP="004942B6">
      <w:pPr>
        <w:keepNext/>
        <w:spacing w:line="360" w:lineRule="auto"/>
        <w:jc w:val="both"/>
        <w:rPr>
          <w:rFonts w:ascii="Arial" w:hAnsi="Arial" w:cs="Arial"/>
          <w:sz w:val="24"/>
          <w:szCs w:val="24"/>
        </w:rPr>
      </w:pPr>
    </w:p>
    <w:p w14:paraId="3957044A" w14:textId="77777777" w:rsidR="001823B4" w:rsidRDefault="001823B4" w:rsidP="001823B4">
      <w:pPr>
        <w:keepNext/>
        <w:spacing w:line="360" w:lineRule="auto"/>
        <w:jc w:val="both"/>
      </w:pPr>
      <w:r w:rsidRPr="001823B4">
        <w:rPr>
          <w:rFonts w:ascii="Arial" w:hAnsi="Arial" w:cs="Arial"/>
          <w:noProof/>
        </w:rPr>
        <w:drawing>
          <wp:inline distT="0" distB="0" distL="0" distR="0" wp14:anchorId="7A797E99" wp14:editId="7EBAED71">
            <wp:extent cx="6142355" cy="3444240"/>
            <wp:effectExtent l="0" t="0" r="0" b="3810"/>
            <wp:docPr id="389653557" name="Picture 1" descr="A comparison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653557" name="Picture 1" descr="A comparison of a graph"/>
                    <pic:cNvPicPr/>
                  </pic:nvPicPr>
                  <pic:blipFill rotWithShape="1">
                    <a:blip r:embed="rId80"/>
                    <a:srcRect l="3324" t="1240" r="3080" b="4853"/>
                    <a:stretch/>
                  </pic:blipFill>
                  <pic:spPr bwMode="auto">
                    <a:xfrm>
                      <a:off x="0" y="0"/>
                      <a:ext cx="6149464" cy="3448226"/>
                    </a:xfrm>
                    <a:prstGeom prst="rect">
                      <a:avLst/>
                    </a:prstGeom>
                    <a:ln>
                      <a:noFill/>
                    </a:ln>
                    <a:extLst>
                      <a:ext uri="{53640926-AAD7-44D8-BBD7-CCE9431645EC}">
                        <a14:shadowObscured xmlns:a14="http://schemas.microsoft.com/office/drawing/2010/main"/>
                      </a:ext>
                    </a:extLst>
                  </pic:spPr>
                </pic:pic>
              </a:graphicData>
            </a:graphic>
          </wp:inline>
        </w:drawing>
      </w:r>
    </w:p>
    <w:p w14:paraId="2ECB1A63" w14:textId="58D023B1" w:rsidR="001823B4" w:rsidRPr="001823B4" w:rsidRDefault="001823B4" w:rsidP="001823B4">
      <w:pPr>
        <w:pStyle w:val="Caption"/>
        <w:jc w:val="both"/>
        <w:rPr>
          <w:rFonts w:ascii="Arial" w:hAnsi="Arial" w:cs="Arial"/>
          <w:color w:val="auto"/>
          <w:sz w:val="20"/>
          <w:szCs w:val="20"/>
        </w:rPr>
      </w:pPr>
      <w:bookmarkStart w:id="1207" w:name="_Toc196153243"/>
      <w:r w:rsidRPr="001823B4">
        <w:rPr>
          <w:rFonts w:ascii="Arial" w:hAnsi="Arial" w:cs="Arial"/>
          <w:b/>
          <w:bCs/>
          <w:color w:val="auto"/>
          <w:sz w:val="20"/>
          <w:szCs w:val="20"/>
        </w:rPr>
        <w:t xml:space="preserve">Figure </w:t>
      </w:r>
      <w:r w:rsidRPr="001823B4">
        <w:rPr>
          <w:rFonts w:ascii="Arial" w:hAnsi="Arial" w:cs="Arial"/>
          <w:b/>
          <w:bCs/>
          <w:color w:val="auto"/>
          <w:sz w:val="20"/>
          <w:szCs w:val="20"/>
        </w:rPr>
        <w:fldChar w:fldCharType="begin"/>
      </w:r>
      <w:r w:rsidRPr="001823B4">
        <w:rPr>
          <w:rFonts w:ascii="Arial" w:hAnsi="Arial" w:cs="Arial"/>
          <w:b/>
          <w:bCs/>
          <w:color w:val="auto"/>
          <w:sz w:val="20"/>
          <w:szCs w:val="20"/>
        </w:rPr>
        <w:instrText xml:space="preserve"> SEQ Figure \* ARABIC </w:instrText>
      </w:r>
      <w:r w:rsidRPr="001823B4">
        <w:rPr>
          <w:rFonts w:ascii="Arial" w:hAnsi="Arial" w:cs="Arial"/>
          <w:b/>
          <w:bCs/>
          <w:color w:val="auto"/>
          <w:sz w:val="20"/>
          <w:szCs w:val="20"/>
        </w:rPr>
        <w:fldChar w:fldCharType="separate"/>
      </w:r>
      <w:r w:rsidRPr="001823B4">
        <w:rPr>
          <w:rFonts w:ascii="Arial" w:hAnsi="Arial" w:cs="Arial"/>
          <w:b/>
          <w:bCs/>
          <w:noProof/>
          <w:color w:val="auto"/>
          <w:sz w:val="20"/>
          <w:szCs w:val="20"/>
        </w:rPr>
        <w:t>51</w:t>
      </w:r>
      <w:r w:rsidRPr="001823B4">
        <w:rPr>
          <w:rFonts w:ascii="Arial" w:hAnsi="Arial" w:cs="Arial"/>
          <w:b/>
          <w:bCs/>
          <w:color w:val="auto"/>
          <w:sz w:val="20"/>
          <w:szCs w:val="20"/>
        </w:rPr>
        <w:fldChar w:fldCharType="end"/>
      </w:r>
      <w:r w:rsidRPr="001823B4">
        <w:rPr>
          <w:rFonts w:ascii="Arial" w:hAnsi="Arial" w:cs="Arial"/>
          <w:b/>
          <w:bCs/>
          <w:color w:val="auto"/>
          <w:sz w:val="20"/>
          <w:szCs w:val="20"/>
        </w:rPr>
        <w:t>:</w:t>
      </w:r>
      <w:r w:rsidRPr="001823B4">
        <w:rPr>
          <w:rFonts w:ascii="Arial" w:hAnsi="Arial" w:cs="Arial"/>
          <w:color w:val="auto"/>
          <w:sz w:val="20"/>
          <w:szCs w:val="20"/>
        </w:rPr>
        <w:t xml:space="preserve"> One-way ANOVA analysis of EQ-VAS and EQ-indexed scores of ACS (n=39) and CCS (n=26) patients from the virtual change subset of VIRTU-4</w:t>
      </w:r>
      <w:r>
        <w:rPr>
          <w:rFonts w:ascii="Arial" w:hAnsi="Arial" w:cs="Arial"/>
          <w:color w:val="auto"/>
          <w:sz w:val="20"/>
          <w:szCs w:val="20"/>
        </w:rPr>
        <w:t>.</w:t>
      </w:r>
      <w:bookmarkEnd w:id="1207"/>
    </w:p>
    <w:p w14:paraId="63B3BACC" w14:textId="77777777" w:rsidR="004942B6" w:rsidRPr="00063024" w:rsidRDefault="004942B6" w:rsidP="004942B6">
      <w:pPr>
        <w:keepNext/>
        <w:spacing w:line="360" w:lineRule="auto"/>
        <w:jc w:val="both"/>
        <w:rPr>
          <w:rFonts w:ascii="Arial" w:hAnsi="Arial" w:cs="Arial"/>
          <w:sz w:val="24"/>
          <w:szCs w:val="24"/>
        </w:rPr>
      </w:pPr>
    </w:p>
    <w:p w14:paraId="0112061F" w14:textId="77777777" w:rsidR="004942B6" w:rsidRDefault="004942B6" w:rsidP="004942B6">
      <w:pPr>
        <w:keepNext/>
      </w:pPr>
      <w:r>
        <w:rPr>
          <w:noProof/>
          <w:lang w:eastAsia="en-GB"/>
        </w:rPr>
        <w:drawing>
          <wp:inline distT="0" distB="0" distL="0" distR="0" wp14:anchorId="34E72A90" wp14:editId="2358A0F1">
            <wp:extent cx="5877870" cy="4091940"/>
            <wp:effectExtent l="0" t="0" r="8890" b="0"/>
            <wp:docPr id="1815767801" name="Picture 1815767801"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767801" name="Picture 17" descr="A screenshot of a graph"/>
                    <pic:cNvPicPr/>
                  </pic:nvPicPr>
                  <pic:blipFill rotWithShape="1">
                    <a:blip r:embed="rId81" cstate="print">
                      <a:extLst>
                        <a:ext uri="{28A0092B-C50C-407E-A947-70E740481C1C}">
                          <a14:useLocalDpi xmlns:a14="http://schemas.microsoft.com/office/drawing/2010/main" val="0"/>
                        </a:ext>
                      </a:extLst>
                    </a:blip>
                    <a:srcRect l="10636" t="1139" r="9728" b="19658"/>
                    <a:stretch/>
                  </pic:blipFill>
                  <pic:spPr bwMode="auto">
                    <a:xfrm>
                      <a:off x="0" y="0"/>
                      <a:ext cx="5884621" cy="4096640"/>
                    </a:xfrm>
                    <a:prstGeom prst="rect">
                      <a:avLst/>
                    </a:prstGeom>
                    <a:ln>
                      <a:noFill/>
                    </a:ln>
                    <a:extLst>
                      <a:ext uri="{53640926-AAD7-44D8-BBD7-CCE9431645EC}">
                        <a14:shadowObscured xmlns:a14="http://schemas.microsoft.com/office/drawing/2010/main"/>
                      </a:ext>
                    </a:extLst>
                  </pic:spPr>
                </pic:pic>
              </a:graphicData>
            </a:graphic>
          </wp:inline>
        </w:drawing>
      </w:r>
    </w:p>
    <w:p w14:paraId="2B8176DB" w14:textId="062F8765" w:rsidR="004942B6" w:rsidRPr="00580DBE" w:rsidRDefault="004942B6" w:rsidP="004942B6">
      <w:pPr>
        <w:pStyle w:val="Caption"/>
        <w:rPr>
          <w:rFonts w:ascii="Arial" w:hAnsi="Arial" w:cs="Arial"/>
          <w:color w:val="auto"/>
          <w:sz w:val="20"/>
          <w:szCs w:val="20"/>
        </w:rPr>
      </w:pPr>
      <w:bookmarkStart w:id="1208" w:name="_Toc151222857"/>
      <w:bookmarkStart w:id="1209" w:name="_Toc151626697"/>
      <w:bookmarkStart w:id="1210" w:name="_Toc152340493"/>
      <w:bookmarkStart w:id="1211" w:name="_Toc152492286"/>
      <w:bookmarkStart w:id="1212" w:name="_Toc152596974"/>
      <w:bookmarkStart w:id="1213" w:name="_Toc153409681"/>
      <w:bookmarkStart w:id="1214" w:name="_Toc153724928"/>
      <w:bookmarkStart w:id="1215" w:name="_Toc159318521"/>
      <w:bookmarkStart w:id="1216" w:name="_Toc159612047"/>
      <w:bookmarkStart w:id="1217" w:name="_Toc160982693"/>
      <w:bookmarkStart w:id="1218" w:name="_Toc164697519"/>
      <w:bookmarkStart w:id="1219" w:name="_Toc170744612"/>
      <w:bookmarkStart w:id="1220" w:name="_Toc196153244"/>
      <w:r w:rsidRPr="00673306">
        <w:rPr>
          <w:rFonts w:ascii="Arial" w:hAnsi="Arial" w:cs="Arial"/>
          <w:b/>
          <w:bCs/>
          <w:color w:val="auto"/>
          <w:sz w:val="20"/>
          <w:szCs w:val="20"/>
        </w:rPr>
        <w:t xml:space="preserve">Figure </w:t>
      </w:r>
      <w:r w:rsidRPr="00673306">
        <w:rPr>
          <w:rFonts w:ascii="Arial" w:hAnsi="Arial" w:cs="Arial"/>
          <w:b/>
          <w:bCs/>
          <w:color w:val="auto"/>
          <w:sz w:val="20"/>
          <w:szCs w:val="20"/>
        </w:rPr>
        <w:fldChar w:fldCharType="begin"/>
      </w:r>
      <w:r w:rsidRPr="00673306">
        <w:rPr>
          <w:rFonts w:ascii="Arial" w:hAnsi="Arial" w:cs="Arial"/>
          <w:b/>
          <w:bCs/>
          <w:color w:val="auto"/>
          <w:sz w:val="20"/>
          <w:szCs w:val="20"/>
        </w:rPr>
        <w:instrText xml:space="preserve"> SEQ Figure \* ARABIC </w:instrText>
      </w:r>
      <w:r w:rsidRPr="00673306">
        <w:rPr>
          <w:rFonts w:ascii="Arial" w:hAnsi="Arial" w:cs="Arial"/>
          <w:b/>
          <w:bCs/>
          <w:color w:val="auto"/>
          <w:sz w:val="20"/>
          <w:szCs w:val="20"/>
        </w:rPr>
        <w:fldChar w:fldCharType="separate"/>
      </w:r>
      <w:r w:rsidR="001823B4">
        <w:rPr>
          <w:rFonts w:ascii="Arial" w:hAnsi="Arial" w:cs="Arial"/>
          <w:b/>
          <w:bCs/>
          <w:noProof/>
          <w:color w:val="auto"/>
          <w:sz w:val="20"/>
          <w:szCs w:val="20"/>
        </w:rPr>
        <w:t>52</w:t>
      </w:r>
      <w:r w:rsidRPr="00673306">
        <w:rPr>
          <w:rFonts w:ascii="Arial" w:hAnsi="Arial" w:cs="Arial"/>
          <w:b/>
          <w:bCs/>
          <w:color w:val="auto"/>
          <w:sz w:val="20"/>
          <w:szCs w:val="20"/>
        </w:rPr>
        <w:fldChar w:fldCharType="end"/>
      </w:r>
      <w:r w:rsidRPr="004D1244">
        <w:rPr>
          <w:rFonts w:ascii="Arial" w:hAnsi="Arial" w:cs="Arial"/>
          <w:color w:val="auto"/>
          <w:sz w:val="20"/>
          <w:szCs w:val="20"/>
        </w:rPr>
        <w:t>: Comparison of the "</w:t>
      </w:r>
      <w:r>
        <w:rPr>
          <w:rFonts w:ascii="Arial" w:hAnsi="Arial" w:cs="Arial"/>
          <w:color w:val="auto"/>
          <w:sz w:val="20"/>
          <w:szCs w:val="20"/>
        </w:rPr>
        <w:t>a</w:t>
      </w:r>
      <w:r w:rsidRPr="004D1244">
        <w:rPr>
          <w:rFonts w:ascii="Arial" w:hAnsi="Arial" w:cs="Arial"/>
          <w:color w:val="auto"/>
          <w:sz w:val="20"/>
          <w:szCs w:val="20"/>
        </w:rPr>
        <w:t>ctual" and "</w:t>
      </w:r>
      <w:r>
        <w:rPr>
          <w:rFonts w:ascii="Arial" w:hAnsi="Arial" w:cs="Arial"/>
          <w:color w:val="auto"/>
          <w:sz w:val="20"/>
          <w:szCs w:val="20"/>
        </w:rPr>
        <w:t>v</w:t>
      </w:r>
      <w:r w:rsidRPr="004D1244">
        <w:rPr>
          <w:rFonts w:ascii="Arial" w:hAnsi="Arial" w:cs="Arial"/>
          <w:color w:val="auto"/>
          <w:sz w:val="20"/>
          <w:szCs w:val="20"/>
        </w:rPr>
        <w:t xml:space="preserve">irtual" EQ-VAS and EQ-indexed scores </w:t>
      </w:r>
      <w:r>
        <w:rPr>
          <w:rFonts w:ascii="Arial" w:hAnsi="Arial" w:cs="Arial"/>
          <w:color w:val="auto"/>
          <w:sz w:val="20"/>
          <w:szCs w:val="20"/>
        </w:rPr>
        <w:t>at one year in</w:t>
      </w:r>
      <w:r w:rsidRPr="004D1244">
        <w:rPr>
          <w:rFonts w:ascii="Arial" w:hAnsi="Arial" w:cs="Arial"/>
          <w:color w:val="auto"/>
          <w:sz w:val="20"/>
          <w:szCs w:val="20"/>
        </w:rPr>
        <w:t xml:space="preserve"> the </w:t>
      </w:r>
      <w:r>
        <w:rPr>
          <w:rFonts w:ascii="Arial" w:hAnsi="Arial" w:cs="Arial"/>
          <w:color w:val="auto"/>
          <w:sz w:val="20"/>
          <w:szCs w:val="20"/>
        </w:rPr>
        <w:t>virtual change subset</w:t>
      </w:r>
      <w:bookmarkEnd w:id="1208"/>
      <w:bookmarkEnd w:id="1209"/>
      <w:bookmarkEnd w:id="1210"/>
      <w:bookmarkEnd w:id="1211"/>
      <w:bookmarkEnd w:id="1212"/>
      <w:bookmarkEnd w:id="1213"/>
      <w:bookmarkEnd w:id="1214"/>
      <w:bookmarkEnd w:id="1215"/>
      <w:bookmarkEnd w:id="1216"/>
      <w:bookmarkEnd w:id="1217"/>
      <w:bookmarkEnd w:id="1218"/>
      <w:bookmarkEnd w:id="1219"/>
      <w:bookmarkEnd w:id="1220"/>
    </w:p>
    <w:p w14:paraId="20B96DC1" w14:textId="3C092ACE" w:rsidR="004942B6" w:rsidRPr="00BF624A" w:rsidRDefault="004942B6" w:rsidP="004942B6">
      <w:pPr>
        <w:keepNext/>
      </w:pPr>
      <w:bookmarkStart w:id="1221" w:name="_Toc159318522"/>
      <w:bookmarkStart w:id="1222" w:name="_Toc159612048"/>
      <w:bookmarkStart w:id="1223" w:name="_Toc160982694"/>
      <w:bookmarkStart w:id="1224" w:name="_Toc164697520"/>
      <w:bookmarkStart w:id="1225" w:name="_Toc170744613"/>
      <w:bookmarkStart w:id="1226" w:name="_Toc196153245"/>
      <w:r>
        <w:rPr>
          <w:noProof/>
          <w:lang w:eastAsia="en-GB"/>
        </w:rPr>
        <w:lastRenderedPageBreak/>
        <w:drawing>
          <wp:inline distT="0" distB="0" distL="0" distR="0" wp14:anchorId="1A231418" wp14:editId="4EC6AEB1">
            <wp:extent cx="5812239" cy="3893820"/>
            <wp:effectExtent l="0" t="0" r="0" b="0"/>
            <wp:docPr id="269233486" name="Picture 26923348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33486" name="Picture 19" descr="A screenshot of a graph&#10;&#10;Description automatically generated"/>
                    <pic:cNvPicPr/>
                  </pic:nvPicPr>
                  <pic:blipFill rotWithShape="1">
                    <a:blip r:embed="rId82" cstate="print">
                      <a:extLst>
                        <a:ext uri="{28A0092B-C50C-407E-A947-70E740481C1C}">
                          <a14:useLocalDpi xmlns:a14="http://schemas.microsoft.com/office/drawing/2010/main" val="0"/>
                        </a:ext>
                      </a:extLst>
                    </a:blip>
                    <a:srcRect l="7313" t="3988" r="11322" b="18139"/>
                    <a:stretch/>
                  </pic:blipFill>
                  <pic:spPr bwMode="auto">
                    <a:xfrm>
                      <a:off x="0" y="0"/>
                      <a:ext cx="5817259" cy="3897183"/>
                    </a:xfrm>
                    <a:prstGeom prst="rect">
                      <a:avLst/>
                    </a:prstGeom>
                    <a:ln>
                      <a:noFill/>
                    </a:ln>
                    <a:extLst>
                      <a:ext uri="{53640926-AAD7-44D8-BBD7-CCE9431645EC}">
                        <a14:shadowObscured xmlns:a14="http://schemas.microsoft.com/office/drawing/2010/main"/>
                      </a:ext>
                    </a:extLst>
                  </pic:spPr>
                </pic:pic>
              </a:graphicData>
            </a:graphic>
          </wp:inline>
        </w:drawing>
      </w:r>
      <w:bookmarkStart w:id="1227" w:name="_Toc151222858"/>
      <w:bookmarkStart w:id="1228" w:name="_Toc151626698"/>
      <w:bookmarkStart w:id="1229" w:name="_Toc152340494"/>
      <w:bookmarkStart w:id="1230" w:name="_Toc152492287"/>
      <w:bookmarkStart w:id="1231" w:name="_Toc152596975"/>
      <w:bookmarkStart w:id="1232" w:name="_Toc153409682"/>
      <w:bookmarkStart w:id="1233" w:name="_Toc153724929"/>
      <w:r w:rsidRPr="00BF624A">
        <w:rPr>
          <w:rFonts w:ascii="Arial" w:hAnsi="Arial" w:cs="Arial"/>
          <w:b/>
          <w:bCs/>
          <w:i/>
          <w:iCs/>
          <w:sz w:val="20"/>
          <w:szCs w:val="20"/>
        </w:rPr>
        <w:t xml:space="preserve">Figure </w:t>
      </w:r>
      <w:r w:rsidRPr="00BF624A">
        <w:rPr>
          <w:rFonts w:ascii="Arial" w:hAnsi="Arial" w:cs="Arial"/>
          <w:b/>
          <w:bCs/>
          <w:i/>
          <w:iCs/>
          <w:sz w:val="20"/>
          <w:szCs w:val="20"/>
        </w:rPr>
        <w:fldChar w:fldCharType="begin"/>
      </w:r>
      <w:r w:rsidRPr="00BF624A">
        <w:rPr>
          <w:rFonts w:ascii="Arial" w:hAnsi="Arial" w:cs="Arial"/>
          <w:b/>
          <w:bCs/>
          <w:i/>
          <w:iCs/>
          <w:sz w:val="20"/>
          <w:szCs w:val="20"/>
        </w:rPr>
        <w:instrText xml:space="preserve"> SEQ Figure \* ARABIC </w:instrText>
      </w:r>
      <w:r w:rsidRPr="00BF624A">
        <w:rPr>
          <w:rFonts w:ascii="Arial" w:hAnsi="Arial" w:cs="Arial"/>
          <w:b/>
          <w:bCs/>
          <w:i/>
          <w:iCs/>
          <w:sz w:val="20"/>
          <w:szCs w:val="20"/>
        </w:rPr>
        <w:fldChar w:fldCharType="separate"/>
      </w:r>
      <w:r w:rsidR="001823B4">
        <w:rPr>
          <w:rFonts w:ascii="Arial" w:hAnsi="Arial" w:cs="Arial"/>
          <w:b/>
          <w:bCs/>
          <w:i/>
          <w:iCs/>
          <w:noProof/>
          <w:sz w:val="20"/>
          <w:szCs w:val="20"/>
        </w:rPr>
        <w:t>53</w:t>
      </w:r>
      <w:r w:rsidRPr="00BF624A">
        <w:rPr>
          <w:rFonts w:ascii="Arial" w:hAnsi="Arial" w:cs="Arial"/>
          <w:b/>
          <w:bCs/>
          <w:i/>
          <w:iCs/>
          <w:sz w:val="20"/>
          <w:szCs w:val="20"/>
        </w:rPr>
        <w:fldChar w:fldCharType="end"/>
      </w:r>
      <w:r w:rsidRPr="00BF624A">
        <w:rPr>
          <w:rFonts w:ascii="Arial" w:hAnsi="Arial" w:cs="Arial"/>
          <w:i/>
          <w:iCs/>
          <w:sz w:val="20"/>
          <w:szCs w:val="20"/>
        </w:rPr>
        <w:t>: Comparison of the "actual" and "virtual" EQ-VAS scores of ACS and CCS patients at one year in the virtual change subset</w:t>
      </w:r>
      <w:bookmarkEnd w:id="1221"/>
      <w:bookmarkEnd w:id="1222"/>
      <w:bookmarkEnd w:id="1223"/>
      <w:bookmarkEnd w:id="1224"/>
      <w:bookmarkEnd w:id="1225"/>
      <w:bookmarkEnd w:id="1226"/>
      <w:bookmarkEnd w:id="1227"/>
      <w:bookmarkEnd w:id="1228"/>
      <w:bookmarkEnd w:id="1229"/>
      <w:bookmarkEnd w:id="1230"/>
      <w:bookmarkEnd w:id="1231"/>
      <w:bookmarkEnd w:id="1232"/>
      <w:bookmarkEnd w:id="1233"/>
      <w:r>
        <w:rPr>
          <w:rFonts w:ascii="Arial" w:hAnsi="Arial" w:cs="Arial"/>
          <w:sz w:val="20"/>
          <w:szCs w:val="20"/>
        </w:rPr>
        <w:t xml:space="preserve"> </w:t>
      </w:r>
    </w:p>
    <w:p w14:paraId="04B43AF4" w14:textId="77777777" w:rsidR="004942B6" w:rsidRDefault="004942B6" w:rsidP="004942B6">
      <w:pPr>
        <w:rPr>
          <w:color w:val="000000" w:themeColor="text1"/>
        </w:rPr>
      </w:pPr>
    </w:p>
    <w:p w14:paraId="11465675" w14:textId="77777777" w:rsidR="004942B6" w:rsidRDefault="004942B6" w:rsidP="004942B6">
      <w:pPr>
        <w:rPr>
          <w:color w:val="000000" w:themeColor="text1"/>
        </w:rPr>
      </w:pPr>
    </w:p>
    <w:p w14:paraId="526F7DFD" w14:textId="77777777" w:rsidR="004942B6" w:rsidRDefault="004942B6" w:rsidP="004942B6">
      <w:pPr>
        <w:rPr>
          <w:color w:val="000000" w:themeColor="text1"/>
        </w:rPr>
      </w:pPr>
    </w:p>
    <w:p w14:paraId="1A412CF0" w14:textId="77777777" w:rsidR="004942B6" w:rsidRDefault="004942B6" w:rsidP="004942B6">
      <w:pPr>
        <w:rPr>
          <w:color w:val="000000" w:themeColor="text1"/>
        </w:rPr>
      </w:pPr>
      <w:r>
        <w:rPr>
          <w:noProof/>
          <w:color w:val="000000" w:themeColor="text1"/>
          <w:lang w:eastAsia="en-GB"/>
        </w:rPr>
        <w:lastRenderedPageBreak/>
        <w:drawing>
          <wp:inline distT="0" distB="0" distL="0" distR="0" wp14:anchorId="37288B33" wp14:editId="297107A2">
            <wp:extent cx="5827654" cy="3825240"/>
            <wp:effectExtent l="0" t="0" r="0" b="0"/>
            <wp:docPr id="689497197" name="Picture 68949719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497197" name="Picture 16" descr="A screenshot of a computer screen&#10;&#10;Description automatically generated"/>
                    <pic:cNvPicPr/>
                  </pic:nvPicPr>
                  <pic:blipFill rotWithShape="1">
                    <a:blip r:embed="rId83" cstate="print">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rcRect l="6115" t="2659" r="7601" b="16430"/>
                    <a:stretch/>
                  </pic:blipFill>
                  <pic:spPr bwMode="auto">
                    <a:xfrm>
                      <a:off x="0" y="0"/>
                      <a:ext cx="5830835" cy="3827328"/>
                    </a:xfrm>
                    <a:prstGeom prst="rect">
                      <a:avLst/>
                    </a:prstGeom>
                    <a:ln>
                      <a:noFill/>
                    </a:ln>
                    <a:extLst>
                      <a:ext uri="{53640926-AAD7-44D8-BBD7-CCE9431645EC}">
                        <a14:shadowObscured xmlns:a14="http://schemas.microsoft.com/office/drawing/2010/main"/>
                      </a:ext>
                    </a:extLst>
                  </pic:spPr>
                </pic:pic>
              </a:graphicData>
            </a:graphic>
          </wp:inline>
        </w:drawing>
      </w:r>
    </w:p>
    <w:p w14:paraId="5165C30F" w14:textId="1F868E9F" w:rsidR="004942B6" w:rsidRPr="004D1244" w:rsidRDefault="004942B6" w:rsidP="004942B6">
      <w:pPr>
        <w:pStyle w:val="Caption"/>
        <w:rPr>
          <w:rFonts w:ascii="Arial" w:hAnsi="Arial" w:cs="Arial"/>
          <w:color w:val="auto"/>
          <w:sz w:val="20"/>
          <w:szCs w:val="20"/>
        </w:rPr>
      </w:pPr>
      <w:bookmarkStart w:id="1234" w:name="_Toc151222859"/>
      <w:bookmarkStart w:id="1235" w:name="_Toc151626699"/>
      <w:bookmarkStart w:id="1236" w:name="_Toc152340495"/>
      <w:bookmarkStart w:id="1237" w:name="_Toc152492288"/>
      <w:bookmarkStart w:id="1238" w:name="_Toc152596976"/>
      <w:bookmarkStart w:id="1239" w:name="_Toc153409683"/>
      <w:bookmarkStart w:id="1240" w:name="_Toc153724930"/>
      <w:bookmarkStart w:id="1241" w:name="_Toc159318523"/>
      <w:bookmarkStart w:id="1242" w:name="_Toc159612049"/>
      <w:bookmarkStart w:id="1243" w:name="_Toc160982695"/>
      <w:bookmarkStart w:id="1244" w:name="_Toc164697521"/>
      <w:bookmarkStart w:id="1245" w:name="_Toc170744614"/>
      <w:bookmarkStart w:id="1246" w:name="_Toc196153246"/>
      <w:r w:rsidRPr="00673306">
        <w:rPr>
          <w:rFonts w:ascii="Arial" w:hAnsi="Arial" w:cs="Arial"/>
          <w:b/>
          <w:bCs/>
          <w:color w:val="auto"/>
          <w:sz w:val="20"/>
          <w:szCs w:val="20"/>
        </w:rPr>
        <w:t xml:space="preserve">Figure </w:t>
      </w:r>
      <w:r w:rsidRPr="00673306">
        <w:rPr>
          <w:rFonts w:ascii="Arial" w:hAnsi="Arial" w:cs="Arial"/>
          <w:b/>
          <w:bCs/>
          <w:color w:val="auto"/>
          <w:sz w:val="20"/>
          <w:szCs w:val="20"/>
        </w:rPr>
        <w:fldChar w:fldCharType="begin"/>
      </w:r>
      <w:r w:rsidRPr="00673306">
        <w:rPr>
          <w:rFonts w:ascii="Arial" w:hAnsi="Arial" w:cs="Arial"/>
          <w:b/>
          <w:bCs/>
          <w:color w:val="auto"/>
          <w:sz w:val="20"/>
          <w:szCs w:val="20"/>
        </w:rPr>
        <w:instrText xml:space="preserve"> SEQ Figure \* ARABIC </w:instrText>
      </w:r>
      <w:r w:rsidRPr="00673306">
        <w:rPr>
          <w:rFonts w:ascii="Arial" w:hAnsi="Arial" w:cs="Arial"/>
          <w:b/>
          <w:bCs/>
          <w:color w:val="auto"/>
          <w:sz w:val="20"/>
          <w:szCs w:val="20"/>
        </w:rPr>
        <w:fldChar w:fldCharType="separate"/>
      </w:r>
      <w:r w:rsidR="001823B4">
        <w:rPr>
          <w:rFonts w:ascii="Arial" w:hAnsi="Arial" w:cs="Arial"/>
          <w:b/>
          <w:bCs/>
          <w:noProof/>
          <w:color w:val="auto"/>
          <w:sz w:val="20"/>
          <w:szCs w:val="20"/>
        </w:rPr>
        <w:t>54</w:t>
      </w:r>
      <w:r w:rsidRPr="00673306">
        <w:rPr>
          <w:rFonts w:ascii="Arial" w:hAnsi="Arial" w:cs="Arial"/>
          <w:b/>
          <w:bCs/>
          <w:color w:val="auto"/>
          <w:sz w:val="20"/>
          <w:szCs w:val="20"/>
        </w:rPr>
        <w:fldChar w:fldCharType="end"/>
      </w:r>
      <w:r w:rsidRPr="004D1244">
        <w:rPr>
          <w:rFonts w:ascii="Arial" w:hAnsi="Arial" w:cs="Arial"/>
          <w:color w:val="auto"/>
          <w:sz w:val="20"/>
          <w:szCs w:val="20"/>
        </w:rPr>
        <w:t>: Comparison of the "</w:t>
      </w:r>
      <w:r>
        <w:rPr>
          <w:rFonts w:ascii="Arial" w:hAnsi="Arial" w:cs="Arial"/>
          <w:color w:val="auto"/>
          <w:sz w:val="20"/>
          <w:szCs w:val="20"/>
        </w:rPr>
        <w:t>a</w:t>
      </w:r>
      <w:r w:rsidRPr="004D1244">
        <w:rPr>
          <w:rFonts w:ascii="Arial" w:hAnsi="Arial" w:cs="Arial"/>
          <w:color w:val="auto"/>
          <w:sz w:val="20"/>
          <w:szCs w:val="20"/>
        </w:rPr>
        <w:t>ctual" and "</w:t>
      </w:r>
      <w:r>
        <w:rPr>
          <w:rFonts w:ascii="Arial" w:hAnsi="Arial" w:cs="Arial"/>
          <w:color w:val="auto"/>
          <w:sz w:val="20"/>
          <w:szCs w:val="20"/>
        </w:rPr>
        <w:t>v</w:t>
      </w:r>
      <w:r w:rsidRPr="004D1244">
        <w:rPr>
          <w:rFonts w:ascii="Arial" w:hAnsi="Arial" w:cs="Arial"/>
          <w:color w:val="auto"/>
          <w:sz w:val="20"/>
          <w:szCs w:val="20"/>
        </w:rPr>
        <w:t xml:space="preserve">irtual" EQ-indexed scores of </w:t>
      </w:r>
      <w:r>
        <w:rPr>
          <w:rFonts w:ascii="Arial" w:hAnsi="Arial" w:cs="Arial"/>
          <w:color w:val="auto"/>
          <w:sz w:val="20"/>
          <w:szCs w:val="20"/>
        </w:rPr>
        <w:t>ACS</w:t>
      </w:r>
      <w:r w:rsidRPr="004D1244">
        <w:rPr>
          <w:rFonts w:ascii="Arial" w:hAnsi="Arial" w:cs="Arial"/>
          <w:color w:val="auto"/>
          <w:sz w:val="20"/>
          <w:szCs w:val="20"/>
        </w:rPr>
        <w:t xml:space="preserve"> and </w:t>
      </w:r>
      <w:r>
        <w:rPr>
          <w:rFonts w:ascii="Arial" w:hAnsi="Arial" w:cs="Arial"/>
          <w:color w:val="auto"/>
          <w:sz w:val="20"/>
          <w:szCs w:val="20"/>
        </w:rPr>
        <w:t>CCS</w:t>
      </w:r>
      <w:r w:rsidRPr="004D1244">
        <w:rPr>
          <w:rFonts w:ascii="Arial" w:hAnsi="Arial" w:cs="Arial"/>
          <w:color w:val="auto"/>
          <w:sz w:val="20"/>
          <w:szCs w:val="20"/>
        </w:rPr>
        <w:t xml:space="preserve"> patients </w:t>
      </w:r>
      <w:r>
        <w:rPr>
          <w:rFonts w:ascii="Arial" w:hAnsi="Arial" w:cs="Arial"/>
          <w:color w:val="auto"/>
          <w:sz w:val="20"/>
          <w:szCs w:val="20"/>
        </w:rPr>
        <w:t>at one year in</w:t>
      </w:r>
      <w:r w:rsidRPr="004D1244">
        <w:rPr>
          <w:rFonts w:ascii="Arial" w:hAnsi="Arial" w:cs="Arial"/>
          <w:color w:val="auto"/>
          <w:sz w:val="20"/>
          <w:szCs w:val="20"/>
        </w:rPr>
        <w:t xml:space="preserve"> the </w:t>
      </w:r>
      <w:r>
        <w:rPr>
          <w:rFonts w:ascii="Arial" w:hAnsi="Arial" w:cs="Arial"/>
          <w:color w:val="auto"/>
          <w:sz w:val="20"/>
          <w:szCs w:val="20"/>
        </w:rPr>
        <w:t>virtual change subset</w:t>
      </w:r>
      <w:bookmarkEnd w:id="1234"/>
      <w:bookmarkEnd w:id="1235"/>
      <w:bookmarkEnd w:id="1236"/>
      <w:bookmarkEnd w:id="1237"/>
      <w:bookmarkEnd w:id="1238"/>
      <w:bookmarkEnd w:id="1239"/>
      <w:bookmarkEnd w:id="1240"/>
      <w:bookmarkEnd w:id="1241"/>
      <w:bookmarkEnd w:id="1242"/>
      <w:bookmarkEnd w:id="1243"/>
      <w:bookmarkEnd w:id="1244"/>
      <w:bookmarkEnd w:id="1245"/>
      <w:bookmarkEnd w:id="1246"/>
      <w:r>
        <w:rPr>
          <w:rFonts w:ascii="Arial" w:hAnsi="Arial" w:cs="Arial"/>
          <w:color w:val="auto"/>
          <w:sz w:val="20"/>
          <w:szCs w:val="20"/>
        </w:rPr>
        <w:t xml:space="preserve"> </w:t>
      </w:r>
    </w:p>
    <w:p w14:paraId="47F9086A" w14:textId="77777777" w:rsidR="004942B6" w:rsidRDefault="004942B6" w:rsidP="004942B6">
      <w:pPr>
        <w:rPr>
          <w:color w:val="000000" w:themeColor="text1"/>
        </w:rPr>
      </w:pPr>
    </w:p>
    <w:p w14:paraId="37C4AEEA" w14:textId="1D53E871" w:rsidR="004942B6" w:rsidRPr="00AA4DCF" w:rsidRDefault="004942B6" w:rsidP="00591C57">
      <w:pPr>
        <w:pStyle w:val="Heading4"/>
        <w:spacing w:line="360" w:lineRule="auto"/>
        <w:jc w:val="both"/>
        <w:rPr>
          <w:rFonts w:ascii="Arial" w:hAnsi="Arial" w:cs="Arial"/>
          <w:i w:val="0"/>
          <w:iCs w:val="0"/>
          <w:color w:val="4472C4" w:themeColor="accent1"/>
          <w:sz w:val="24"/>
          <w:szCs w:val="24"/>
        </w:rPr>
      </w:pPr>
      <w:r w:rsidRPr="00AA4DCF">
        <w:rPr>
          <w:rFonts w:ascii="Arial" w:hAnsi="Arial" w:cs="Arial"/>
          <w:i w:val="0"/>
          <w:iCs w:val="0"/>
          <w:color w:val="4472C4" w:themeColor="accent1"/>
          <w:sz w:val="24"/>
          <w:szCs w:val="24"/>
        </w:rPr>
        <w:t>3.</w:t>
      </w:r>
      <w:r w:rsidR="00221C46">
        <w:rPr>
          <w:rFonts w:ascii="Arial" w:hAnsi="Arial" w:cs="Arial"/>
          <w:i w:val="0"/>
          <w:iCs w:val="0"/>
          <w:color w:val="4472C4" w:themeColor="accent1"/>
          <w:sz w:val="24"/>
          <w:szCs w:val="24"/>
        </w:rPr>
        <w:t>5.3</w:t>
      </w:r>
      <w:r w:rsidRPr="00AA4DCF">
        <w:rPr>
          <w:i w:val="0"/>
          <w:iCs w:val="0"/>
          <w:color w:val="4472C4" w:themeColor="accent1"/>
        </w:rPr>
        <w:t xml:space="preserve"> </w:t>
      </w:r>
      <w:r w:rsidRPr="00AA4DCF">
        <w:rPr>
          <w:rFonts w:ascii="Arial" w:hAnsi="Arial" w:cs="Arial"/>
          <w:i w:val="0"/>
          <w:iCs w:val="0"/>
          <w:color w:val="4472C4" w:themeColor="accent1"/>
          <w:sz w:val="24"/>
          <w:szCs w:val="24"/>
        </w:rPr>
        <w:t xml:space="preserve">Comparison of the </w:t>
      </w:r>
      <w:r w:rsidR="00591C57">
        <w:rPr>
          <w:rFonts w:ascii="Arial" w:hAnsi="Arial" w:cs="Arial"/>
          <w:i w:val="0"/>
          <w:iCs w:val="0"/>
          <w:color w:val="4472C4" w:themeColor="accent1"/>
          <w:sz w:val="24"/>
          <w:szCs w:val="24"/>
        </w:rPr>
        <w:t xml:space="preserve">interval change in </w:t>
      </w:r>
      <w:r w:rsidRPr="00AA4DCF">
        <w:rPr>
          <w:rFonts w:ascii="Arial" w:hAnsi="Arial" w:cs="Arial"/>
          <w:i w:val="0"/>
          <w:iCs w:val="0"/>
          <w:color w:val="4472C4" w:themeColor="accent1"/>
          <w:sz w:val="24"/>
          <w:szCs w:val="24"/>
        </w:rPr>
        <w:t xml:space="preserve">“actual” and </w:t>
      </w:r>
      <w:r w:rsidR="009226A6">
        <w:rPr>
          <w:rFonts w:ascii="Arial" w:hAnsi="Arial" w:cs="Arial"/>
          <w:i w:val="0"/>
          <w:iCs w:val="0"/>
          <w:color w:val="4472C4" w:themeColor="accent1"/>
          <w:sz w:val="24"/>
          <w:szCs w:val="24"/>
        </w:rPr>
        <w:t xml:space="preserve">post-vFFR </w:t>
      </w:r>
      <w:r w:rsidRPr="00AA4DCF">
        <w:rPr>
          <w:rFonts w:ascii="Arial" w:hAnsi="Arial" w:cs="Arial"/>
          <w:i w:val="0"/>
          <w:iCs w:val="0"/>
          <w:color w:val="4472C4" w:themeColor="accent1"/>
          <w:sz w:val="24"/>
          <w:szCs w:val="24"/>
        </w:rPr>
        <w:t xml:space="preserve">“virtual” EQ-VAS and EQ-indexed scores </w:t>
      </w:r>
      <w:r w:rsidR="00591C57">
        <w:rPr>
          <w:rFonts w:ascii="Arial" w:hAnsi="Arial" w:cs="Arial"/>
          <w:i w:val="0"/>
          <w:iCs w:val="0"/>
          <w:color w:val="4472C4" w:themeColor="accent1"/>
          <w:sz w:val="24"/>
          <w:szCs w:val="24"/>
        </w:rPr>
        <w:t>with</w:t>
      </w:r>
      <w:r w:rsidRPr="00AA4DCF">
        <w:rPr>
          <w:rFonts w:ascii="Arial" w:hAnsi="Arial" w:cs="Arial"/>
          <w:i w:val="0"/>
          <w:iCs w:val="0"/>
          <w:color w:val="4472C4" w:themeColor="accent1"/>
          <w:sz w:val="24"/>
          <w:szCs w:val="24"/>
        </w:rPr>
        <w:t>in the virtual change subset after the exclusion of patients with non-cardiac reasons for reduction in QOL</w:t>
      </w:r>
    </w:p>
    <w:p w14:paraId="0F7709C6" w14:textId="17B099D4" w:rsidR="004942B6" w:rsidRDefault="004942B6" w:rsidP="004942B6">
      <w:pPr>
        <w:spacing w:line="360" w:lineRule="auto"/>
        <w:jc w:val="both"/>
        <w:rPr>
          <w:rFonts w:ascii="Arial" w:hAnsi="Arial" w:cs="Arial"/>
          <w:color w:val="000000" w:themeColor="text1"/>
          <w:sz w:val="24"/>
          <w:szCs w:val="24"/>
        </w:rPr>
      </w:pPr>
      <w:r w:rsidRPr="00262C71">
        <w:rPr>
          <w:rFonts w:ascii="Arial" w:hAnsi="Arial" w:cs="Arial"/>
          <w:color w:val="000000" w:themeColor="text1"/>
          <w:sz w:val="24"/>
          <w:szCs w:val="24"/>
        </w:rPr>
        <w:t xml:space="preserve">Like the </w:t>
      </w:r>
      <w:r>
        <w:rPr>
          <w:rFonts w:ascii="Arial" w:hAnsi="Arial" w:cs="Arial"/>
          <w:color w:val="000000" w:themeColor="text1"/>
          <w:sz w:val="24"/>
          <w:szCs w:val="24"/>
        </w:rPr>
        <w:t xml:space="preserve">entire </w:t>
      </w:r>
      <w:r w:rsidRPr="00262C71">
        <w:rPr>
          <w:rFonts w:ascii="Arial" w:hAnsi="Arial" w:cs="Arial"/>
          <w:color w:val="000000" w:themeColor="text1"/>
          <w:sz w:val="24"/>
          <w:szCs w:val="24"/>
        </w:rPr>
        <w:t>VIRTU-4 QOL scores, the virtual change subset had the QOL scores evaluated after excluding non-cardiac reasons for reduction in QOL. It demonstrated that in the virtual change subset, 16/65 (24.6%) had a decrease in EQ-5D scores for non-cardiac reasons (13 ACS and 3 CCS patients). Therefore, a repeat analysis was performed in 49/65 (75.3%) patients after exclusion of non-cardiac causes (summarised in Table 1</w:t>
      </w:r>
      <w:r w:rsidR="008A3E77">
        <w:rPr>
          <w:rFonts w:ascii="Arial" w:hAnsi="Arial" w:cs="Arial"/>
          <w:color w:val="000000" w:themeColor="text1"/>
          <w:sz w:val="24"/>
          <w:szCs w:val="24"/>
        </w:rPr>
        <w:t>5</w:t>
      </w:r>
      <w:r w:rsidRPr="00262C71">
        <w:rPr>
          <w:rFonts w:ascii="Arial" w:hAnsi="Arial" w:cs="Arial"/>
          <w:color w:val="000000" w:themeColor="text1"/>
          <w:sz w:val="24"/>
          <w:szCs w:val="24"/>
        </w:rPr>
        <w:t>).</w:t>
      </w:r>
      <w:r>
        <w:rPr>
          <w:rFonts w:ascii="Arial" w:hAnsi="Arial" w:cs="Arial"/>
          <w:color w:val="000000" w:themeColor="text1"/>
          <w:sz w:val="24"/>
          <w:szCs w:val="24"/>
        </w:rPr>
        <w:t xml:space="preserve"> </w:t>
      </w:r>
      <w:r w:rsidRPr="00D72B9F">
        <w:rPr>
          <w:rFonts w:ascii="Arial" w:hAnsi="Arial" w:cs="Arial"/>
          <w:color w:val="000000" w:themeColor="text1"/>
          <w:sz w:val="24"/>
          <w:szCs w:val="24"/>
        </w:rPr>
        <w:t xml:space="preserve">The </w:t>
      </w:r>
      <w:r>
        <w:rPr>
          <w:rFonts w:ascii="Arial" w:hAnsi="Arial" w:cs="Arial"/>
          <w:color w:val="000000" w:themeColor="text1"/>
          <w:sz w:val="24"/>
          <w:szCs w:val="24"/>
        </w:rPr>
        <w:t xml:space="preserve">interval change in the </w:t>
      </w:r>
      <w:r w:rsidRPr="00D72B9F">
        <w:rPr>
          <w:rFonts w:ascii="Arial" w:hAnsi="Arial" w:cs="Arial"/>
          <w:color w:val="000000" w:themeColor="text1"/>
          <w:sz w:val="24"/>
          <w:szCs w:val="24"/>
        </w:rPr>
        <w:t>EQ-VAS and EQ-indexed scores for the</w:t>
      </w:r>
      <w:r>
        <w:rPr>
          <w:rFonts w:ascii="Arial" w:hAnsi="Arial" w:cs="Arial"/>
          <w:color w:val="000000" w:themeColor="text1"/>
          <w:sz w:val="24"/>
          <w:szCs w:val="24"/>
        </w:rPr>
        <w:t xml:space="preserve"> </w:t>
      </w:r>
      <w:r w:rsidRPr="00D72B9F">
        <w:rPr>
          <w:rFonts w:ascii="Arial" w:hAnsi="Arial" w:cs="Arial"/>
          <w:color w:val="000000" w:themeColor="text1"/>
          <w:sz w:val="24"/>
          <w:szCs w:val="24"/>
        </w:rPr>
        <w:t xml:space="preserve">virtual change subset </w:t>
      </w:r>
      <w:r>
        <w:rPr>
          <w:rFonts w:ascii="Arial" w:hAnsi="Arial" w:cs="Arial"/>
          <w:color w:val="000000" w:themeColor="text1"/>
          <w:sz w:val="24"/>
          <w:szCs w:val="24"/>
        </w:rPr>
        <w:t>is</w:t>
      </w:r>
      <w:r w:rsidRPr="00D72B9F">
        <w:rPr>
          <w:rFonts w:ascii="Arial" w:hAnsi="Arial" w:cs="Arial"/>
          <w:color w:val="000000" w:themeColor="text1"/>
          <w:sz w:val="24"/>
          <w:szCs w:val="24"/>
        </w:rPr>
        <w:t xml:space="preserve"> shown in Figures</w:t>
      </w:r>
      <w:r>
        <w:rPr>
          <w:rFonts w:ascii="Arial" w:hAnsi="Arial" w:cs="Arial"/>
          <w:color w:val="000000" w:themeColor="text1"/>
          <w:sz w:val="24"/>
          <w:szCs w:val="24"/>
        </w:rPr>
        <w:t xml:space="preserve"> </w:t>
      </w:r>
      <w:r w:rsidR="00D92CB5">
        <w:rPr>
          <w:rFonts w:ascii="Arial" w:hAnsi="Arial" w:cs="Arial"/>
          <w:color w:val="000000" w:themeColor="text1"/>
          <w:sz w:val="24"/>
          <w:szCs w:val="24"/>
        </w:rPr>
        <w:t>5</w:t>
      </w:r>
      <w:r w:rsidR="001823B4">
        <w:rPr>
          <w:rFonts w:ascii="Arial" w:hAnsi="Arial" w:cs="Arial"/>
          <w:color w:val="000000" w:themeColor="text1"/>
          <w:sz w:val="24"/>
          <w:szCs w:val="24"/>
        </w:rPr>
        <w:t>5</w:t>
      </w:r>
      <w:r>
        <w:rPr>
          <w:rFonts w:ascii="Arial" w:hAnsi="Arial" w:cs="Arial"/>
          <w:color w:val="000000" w:themeColor="text1"/>
          <w:sz w:val="24"/>
          <w:szCs w:val="24"/>
        </w:rPr>
        <w:t>,</w:t>
      </w:r>
      <w:r w:rsidR="00D92CB5">
        <w:rPr>
          <w:rFonts w:ascii="Arial" w:hAnsi="Arial" w:cs="Arial"/>
          <w:color w:val="000000" w:themeColor="text1"/>
          <w:sz w:val="24"/>
          <w:szCs w:val="24"/>
        </w:rPr>
        <w:t xml:space="preserve"> 5</w:t>
      </w:r>
      <w:r w:rsidR="001823B4">
        <w:rPr>
          <w:rFonts w:ascii="Arial" w:hAnsi="Arial" w:cs="Arial"/>
          <w:color w:val="000000" w:themeColor="text1"/>
          <w:sz w:val="24"/>
          <w:szCs w:val="24"/>
        </w:rPr>
        <w:t>6</w:t>
      </w:r>
      <w:r w:rsidR="00D92CB5">
        <w:rPr>
          <w:rFonts w:ascii="Arial" w:hAnsi="Arial" w:cs="Arial"/>
          <w:color w:val="000000" w:themeColor="text1"/>
          <w:sz w:val="24"/>
          <w:szCs w:val="24"/>
        </w:rPr>
        <w:t>,</w:t>
      </w:r>
      <w:r>
        <w:rPr>
          <w:rFonts w:ascii="Arial" w:hAnsi="Arial" w:cs="Arial"/>
          <w:color w:val="000000" w:themeColor="text1"/>
          <w:sz w:val="24"/>
          <w:szCs w:val="24"/>
        </w:rPr>
        <w:t xml:space="preserve"> and 5</w:t>
      </w:r>
      <w:r w:rsidR="001823B4">
        <w:rPr>
          <w:rFonts w:ascii="Arial" w:hAnsi="Arial" w:cs="Arial"/>
          <w:color w:val="000000" w:themeColor="text1"/>
          <w:sz w:val="24"/>
          <w:szCs w:val="24"/>
        </w:rPr>
        <w:t>7</w:t>
      </w:r>
      <w:r>
        <w:rPr>
          <w:rFonts w:ascii="Arial" w:hAnsi="Arial" w:cs="Arial"/>
          <w:color w:val="000000" w:themeColor="text1"/>
          <w:sz w:val="24"/>
          <w:szCs w:val="24"/>
        </w:rPr>
        <w:t>, respectively.</w:t>
      </w:r>
    </w:p>
    <w:p w14:paraId="64BE9E56" w14:textId="77777777" w:rsidR="004942B6" w:rsidRDefault="004942B6" w:rsidP="004942B6">
      <w:pPr>
        <w:spacing w:line="360" w:lineRule="auto"/>
        <w:jc w:val="both"/>
        <w:rPr>
          <w:color w:val="000000" w:themeColor="text1"/>
        </w:rPr>
      </w:pPr>
    </w:p>
    <w:p w14:paraId="14EA5136" w14:textId="7A47B1A8" w:rsidR="004942B6" w:rsidRPr="004D1244" w:rsidRDefault="004942B6" w:rsidP="004942B6">
      <w:pPr>
        <w:pStyle w:val="Caption"/>
        <w:keepNext/>
        <w:jc w:val="both"/>
        <w:rPr>
          <w:rFonts w:ascii="Arial" w:hAnsi="Arial" w:cs="Arial"/>
          <w:color w:val="auto"/>
          <w:sz w:val="20"/>
          <w:szCs w:val="20"/>
        </w:rPr>
      </w:pPr>
      <w:bookmarkStart w:id="1247" w:name="_Toc151222947"/>
      <w:bookmarkStart w:id="1248" w:name="_Toc151630630"/>
      <w:bookmarkStart w:id="1249" w:name="_Toc152340590"/>
      <w:bookmarkStart w:id="1250" w:name="_Toc152598066"/>
      <w:bookmarkStart w:id="1251" w:name="_Toc153725850"/>
      <w:bookmarkStart w:id="1252" w:name="_Toc159318290"/>
      <w:bookmarkStart w:id="1253" w:name="_Toc159610325"/>
      <w:bookmarkStart w:id="1254" w:name="_Toc164699082"/>
      <w:bookmarkStart w:id="1255" w:name="_Toc171206725"/>
      <w:r w:rsidRPr="00673306">
        <w:rPr>
          <w:rFonts w:ascii="Arial" w:hAnsi="Arial" w:cs="Arial"/>
          <w:b/>
          <w:bCs/>
          <w:color w:val="auto"/>
          <w:sz w:val="20"/>
          <w:szCs w:val="20"/>
        </w:rPr>
        <w:lastRenderedPageBreak/>
        <w:t xml:space="preserve">Table </w:t>
      </w:r>
      <w:r w:rsidR="008A3E77">
        <w:rPr>
          <w:rFonts w:ascii="Arial" w:hAnsi="Arial" w:cs="Arial"/>
          <w:b/>
          <w:bCs/>
          <w:color w:val="auto"/>
          <w:sz w:val="20"/>
          <w:szCs w:val="20"/>
        </w:rPr>
        <w:t>15</w:t>
      </w:r>
      <w:r w:rsidRPr="004D1244">
        <w:rPr>
          <w:rFonts w:ascii="Arial" w:hAnsi="Arial" w:cs="Arial"/>
          <w:color w:val="auto"/>
          <w:sz w:val="20"/>
          <w:szCs w:val="20"/>
        </w:rPr>
        <w:t>: Non-cardiac reasons for exclusion from QOL analysis</w:t>
      </w:r>
      <w:r>
        <w:rPr>
          <w:rFonts w:ascii="Arial" w:hAnsi="Arial" w:cs="Arial"/>
          <w:color w:val="auto"/>
          <w:sz w:val="20"/>
          <w:szCs w:val="20"/>
        </w:rPr>
        <w:t xml:space="preserve"> of the ACS and CCS patients</w:t>
      </w:r>
      <w:r w:rsidRPr="004D1244">
        <w:rPr>
          <w:rFonts w:ascii="Arial" w:hAnsi="Arial" w:cs="Arial"/>
          <w:color w:val="auto"/>
          <w:sz w:val="20"/>
          <w:szCs w:val="20"/>
        </w:rPr>
        <w:t xml:space="preserve"> in the </w:t>
      </w:r>
      <w:r>
        <w:rPr>
          <w:rFonts w:ascii="Arial" w:hAnsi="Arial" w:cs="Arial"/>
          <w:color w:val="auto"/>
          <w:sz w:val="20"/>
          <w:szCs w:val="20"/>
        </w:rPr>
        <w:t>virtual change subset</w:t>
      </w:r>
      <w:bookmarkEnd w:id="1247"/>
      <w:bookmarkEnd w:id="1248"/>
      <w:bookmarkEnd w:id="1249"/>
      <w:bookmarkEnd w:id="1250"/>
      <w:bookmarkEnd w:id="1251"/>
      <w:bookmarkEnd w:id="1252"/>
      <w:bookmarkEnd w:id="1253"/>
      <w:bookmarkEnd w:id="1254"/>
      <w:bookmarkEnd w:id="1255"/>
    </w:p>
    <w:tbl>
      <w:tblPr>
        <w:tblStyle w:val="TableGrid"/>
        <w:tblW w:w="9464" w:type="dxa"/>
        <w:tblLook w:val="04A0" w:firstRow="1" w:lastRow="0" w:firstColumn="1" w:lastColumn="0" w:noHBand="0" w:noVBand="1"/>
      </w:tblPr>
      <w:tblGrid>
        <w:gridCol w:w="5382"/>
        <w:gridCol w:w="2097"/>
        <w:gridCol w:w="1985"/>
      </w:tblGrid>
      <w:tr w:rsidR="004942B6" w:rsidRPr="009222F3" w14:paraId="11AC1B1D" w14:textId="77777777" w:rsidTr="002C2525">
        <w:trPr>
          <w:trHeight w:val="642"/>
        </w:trPr>
        <w:tc>
          <w:tcPr>
            <w:tcW w:w="5382" w:type="dxa"/>
          </w:tcPr>
          <w:p w14:paraId="7C3A3AC9" w14:textId="77777777" w:rsidR="004942B6" w:rsidRPr="002470AD" w:rsidRDefault="004942B6" w:rsidP="002C2525">
            <w:pPr>
              <w:spacing w:line="360" w:lineRule="auto"/>
              <w:rPr>
                <w:rFonts w:ascii="Arial" w:hAnsi="Arial" w:cs="Arial"/>
                <w:b/>
                <w:bCs/>
                <w:color w:val="000000" w:themeColor="text1"/>
                <w:sz w:val="28"/>
                <w:szCs w:val="28"/>
              </w:rPr>
            </w:pPr>
            <w:r>
              <w:rPr>
                <w:rFonts w:ascii="Arial" w:hAnsi="Arial" w:cs="Arial"/>
                <w:b/>
                <w:bCs/>
                <w:color w:val="000000" w:themeColor="text1"/>
                <w:sz w:val="28"/>
                <w:szCs w:val="28"/>
              </w:rPr>
              <w:t xml:space="preserve">Non-cardiac reasons for exclusion of patients from QOL analysis in the virtual change subset </w:t>
            </w:r>
          </w:p>
        </w:tc>
        <w:tc>
          <w:tcPr>
            <w:tcW w:w="2097" w:type="dxa"/>
          </w:tcPr>
          <w:p w14:paraId="60EE3DBC" w14:textId="77777777" w:rsidR="004942B6" w:rsidRPr="009222F3" w:rsidRDefault="004942B6" w:rsidP="002C2525">
            <w:pPr>
              <w:spacing w:line="360" w:lineRule="auto"/>
              <w:jc w:val="both"/>
              <w:rPr>
                <w:rFonts w:ascii="Arial" w:hAnsi="Arial" w:cs="Arial"/>
                <w:b/>
                <w:bCs/>
                <w:color w:val="000000" w:themeColor="text1"/>
                <w:sz w:val="28"/>
                <w:szCs w:val="28"/>
              </w:rPr>
            </w:pPr>
            <w:r w:rsidRPr="009222F3">
              <w:rPr>
                <w:rFonts w:ascii="Arial" w:hAnsi="Arial" w:cs="Arial"/>
                <w:b/>
                <w:bCs/>
                <w:color w:val="000000" w:themeColor="text1"/>
                <w:sz w:val="28"/>
                <w:szCs w:val="28"/>
              </w:rPr>
              <w:t xml:space="preserve">   </w:t>
            </w:r>
            <w:r>
              <w:rPr>
                <w:rFonts w:ascii="Arial" w:hAnsi="Arial" w:cs="Arial"/>
                <w:b/>
                <w:bCs/>
                <w:color w:val="000000" w:themeColor="text1"/>
                <w:sz w:val="28"/>
                <w:szCs w:val="28"/>
              </w:rPr>
              <w:t>ACS (n=39)</w:t>
            </w:r>
          </w:p>
        </w:tc>
        <w:tc>
          <w:tcPr>
            <w:tcW w:w="1985" w:type="dxa"/>
          </w:tcPr>
          <w:p w14:paraId="2EC333EF" w14:textId="77777777" w:rsidR="004942B6" w:rsidRPr="009222F3" w:rsidRDefault="004942B6" w:rsidP="002C2525">
            <w:pPr>
              <w:spacing w:line="360" w:lineRule="auto"/>
              <w:jc w:val="both"/>
              <w:rPr>
                <w:rFonts w:ascii="Arial" w:hAnsi="Arial" w:cs="Arial"/>
                <w:b/>
                <w:bCs/>
                <w:color w:val="000000" w:themeColor="text1"/>
                <w:sz w:val="28"/>
                <w:szCs w:val="28"/>
              </w:rPr>
            </w:pPr>
            <w:r w:rsidRPr="009222F3">
              <w:rPr>
                <w:rFonts w:ascii="Arial" w:hAnsi="Arial" w:cs="Arial"/>
                <w:b/>
                <w:bCs/>
                <w:color w:val="000000" w:themeColor="text1"/>
                <w:sz w:val="28"/>
                <w:szCs w:val="28"/>
              </w:rPr>
              <w:t xml:space="preserve">  </w:t>
            </w:r>
            <w:r>
              <w:rPr>
                <w:rFonts w:ascii="Arial" w:hAnsi="Arial" w:cs="Arial"/>
                <w:b/>
                <w:bCs/>
                <w:color w:val="000000" w:themeColor="text1"/>
                <w:sz w:val="28"/>
                <w:szCs w:val="28"/>
              </w:rPr>
              <w:t>CCS (n=26)</w:t>
            </w:r>
          </w:p>
        </w:tc>
      </w:tr>
      <w:tr w:rsidR="004942B6" w:rsidRPr="009222F3" w14:paraId="0507066C" w14:textId="77777777" w:rsidTr="002C2525">
        <w:tc>
          <w:tcPr>
            <w:tcW w:w="5382" w:type="dxa"/>
          </w:tcPr>
          <w:p w14:paraId="1298DF5C"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Mental Stress</w:t>
            </w:r>
          </w:p>
        </w:tc>
        <w:tc>
          <w:tcPr>
            <w:tcW w:w="2097" w:type="dxa"/>
          </w:tcPr>
          <w:p w14:paraId="0DBD8C44"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 xml:space="preserve">        5 (7.6</w:t>
            </w:r>
            <w:r>
              <w:rPr>
                <w:rFonts w:ascii="Arial" w:hAnsi="Arial" w:cs="Arial"/>
                <w:color w:val="000000" w:themeColor="text1"/>
              </w:rPr>
              <w:t>%</w:t>
            </w:r>
            <w:r w:rsidRPr="00A736C3">
              <w:rPr>
                <w:rFonts w:ascii="Arial" w:hAnsi="Arial" w:cs="Arial"/>
                <w:color w:val="000000" w:themeColor="text1"/>
              </w:rPr>
              <w:t>)</w:t>
            </w:r>
          </w:p>
        </w:tc>
        <w:tc>
          <w:tcPr>
            <w:tcW w:w="1985" w:type="dxa"/>
          </w:tcPr>
          <w:p w14:paraId="3BBAB6E3"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 xml:space="preserve">          </w:t>
            </w:r>
            <w:r>
              <w:rPr>
                <w:rFonts w:ascii="Arial" w:hAnsi="Arial" w:cs="Arial"/>
                <w:color w:val="000000" w:themeColor="text1"/>
              </w:rPr>
              <w:t xml:space="preserve"> </w:t>
            </w:r>
            <w:r w:rsidRPr="00A736C3">
              <w:rPr>
                <w:rFonts w:ascii="Arial" w:hAnsi="Arial" w:cs="Arial"/>
                <w:color w:val="000000" w:themeColor="text1"/>
              </w:rPr>
              <w:t>0</w:t>
            </w:r>
          </w:p>
        </w:tc>
      </w:tr>
      <w:tr w:rsidR="004942B6" w:rsidRPr="009222F3" w14:paraId="0A1D3F32" w14:textId="77777777" w:rsidTr="002C2525">
        <w:tc>
          <w:tcPr>
            <w:tcW w:w="5382" w:type="dxa"/>
          </w:tcPr>
          <w:p w14:paraId="798E1C8C"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Arthritis</w:t>
            </w:r>
          </w:p>
        </w:tc>
        <w:tc>
          <w:tcPr>
            <w:tcW w:w="2097" w:type="dxa"/>
          </w:tcPr>
          <w:p w14:paraId="5BEA135B"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 xml:space="preserve">        3 (4.6</w:t>
            </w:r>
            <w:r>
              <w:rPr>
                <w:rFonts w:ascii="Arial" w:hAnsi="Arial" w:cs="Arial"/>
                <w:color w:val="000000" w:themeColor="text1"/>
              </w:rPr>
              <w:t>%</w:t>
            </w:r>
            <w:r w:rsidRPr="00A736C3">
              <w:rPr>
                <w:rFonts w:ascii="Arial" w:hAnsi="Arial" w:cs="Arial"/>
                <w:color w:val="000000" w:themeColor="text1"/>
              </w:rPr>
              <w:t>)</w:t>
            </w:r>
          </w:p>
        </w:tc>
        <w:tc>
          <w:tcPr>
            <w:tcW w:w="1985" w:type="dxa"/>
          </w:tcPr>
          <w:p w14:paraId="3DF5647F"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 xml:space="preserve">       </w:t>
            </w:r>
            <w:r>
              <w:rPr>
                <w:rFonts w:ascii="Arial" w:hAnsi="Arial" w:cs="Arial"/>
                <w:color w:val="000000" w:themeColor="text1"/>
              </w:rPr>
              <w:t xml:space="preserve"> </w:t>
            </w:r>
            <w:r w:rsidRPr="00A736C3">
              <w:rPr>
                <w:rFonts w:ascii="Arial" w:hAnsi="Arial" w:cs="Arial"/>
                <w:color w:val="000000" w:themeColor="text1"/>
              </w:rPr>
              <w:t>2 (3</w:t>
            </w:r>
            <w:r>
              <w:rPr>
                <w:rFonts w:ascii="Arial" w:hAnsi="Arial" w:cs="Arial"/>
                <w:color w:val="000000" w:themeColor="text1"/>
              </w:rPr>
              <w:t>%</w:t>
            </w:r>
            <w:r w:rsidRPr="00A736C3">
              <w:rPr>
                <w:rFonts w:ascii="Arial" w:hAnsi="Arial" w:cs="Arial"/>
                <w:color w:val="000000" w:themeColor="text1"/>
              </w:rPr>
              <w:t>)</w:t>
            </w:r>
          </w:p>
        </w:tc>
      </w:tr>
      <w:tr w:rsidR="004942B6" w:rsidRPr="009222F3" w14:paraId="7E6C7042" w14:textId="77777777" w:rsidTr="002C2525">
        <w:tc>
          <w:tcPr>
            <w:tcW w:w="5382" w:type="dxa"/>
          </w:tcPr>
          <w:p w14:paraId="1F0E1996"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Financial stress</w:t>
            </w:r>
          </w:p>
        </w:tc>
        <w:tc>
          <w:tcPr>
            <w:tcW w:w="2097" w:type="dxa"/>
          </w:tcPr>
          <w:p w14:paraId="7AF860B6"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 xml:space="preserve">        3 (4.6</w:t>
            </w:r>
            <w:r>
              <w:rPr>
                <w:rFonts w:ascii="Arial" w:hAnsi="Arial" w:cs="Arial"/>
                <w:color w:val="000000" w:themeColor="text1"/>
              </w:rPr>
              <w:t>%</w:t>
            </w:r>
            <w:r w:rsidRPr="00A736C3">
              <w:rPr>
                <w:rFonts w:ascii="Arial" w:hAnsi="Arial" w:cs="Arial"/>
                <w:color w:val="000000" w:themeColor="text1"/>
              </w:rPr>
              <w:t>)</w:t>
            </w:r>
          </w:p>
        </w:tc>
        <w:tc>
          <w:tcPr>
            <w:tcW w:w="1985" w:type="dxa"/>
          </w:tcPr>
          <w:p w14:paraId="25A3226D"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 xml:space="preserve">       </w:t>
            </w:r>
            <w:r>
              <w:rPr>
                <w:rFonts w:ascii="Arial" w:hAnsi="Arial" w:cs="Arial"/>
                <w:color w:val="000000" w:themeColor="text1"/>
              </w:rPr>
              <w:t xml:space="preserve"> </w:t>
            </w:r>
            <w:r w:rsidRPr="00A736C3">
              <w:rPr>
                <w:rFonts w:ascii="Arial" w:hAnsi="Arial" w:cs="Arial"/>
                <w:color w:val="000000" w:themeColor="text1"/>
              </w:rPr>
              <w:t>1 (1.5</w:t>
            </w:r>
            <w:r>
              <w:rPr>
                <w:rFonts w:ascii="Arial" w:hAnsi="Arial" w:cs="Arial"/>
                <w:color w:val="000000" w:themeColor="text1"/>
              </w:rPr>
              <w:t>%</w:t>
            </w:r>
            <w:r w:rsidRPr="00A736C3">
              <w:rPr>
                <w:rFonts w:ascii="Arial" w:hAnsi="Arial" w:cs="Arial"/>
                <w:color w:val="000000" w:themeColor="text1"/>
              </w:rPr>
              <w:t>)</w:t>
            </w:r>
          </w:p>
        </w:tc>
      </w:tr>
      <w:tr w:rsidR="004942B6" w:rsidRPr="009222F3" w14:paraId="11AEBAF0" w14:textId="77777777" w:rsidTr="002C2525">
        <w:tc>
          <w:tcPr>
            <w:tcW w:w="5382" w:type="dxa"/>
          </w:tcPr>
          <w:p w14:paraId="211B8AD1"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Inflammatory bowel disease</w:t>
            </w:r>
          </w:p>
        </w:tc>
        <w:tc>
          <w:tcPr>
            <w:tcW w:w="2097" w:type="dxa"/>
          </w:tcPr>
          <w:p w14:paraId="38A92AB3"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 xml:space="preserve">        1 (1.5</w:t>
            </w:r>
            <w:r>
              <w:rPr>
                <w:rFonts w:ascii="Arial" w:hAnsi="Arial" w:cs="Arial"/>
                <w:color w:val="000000" w:themeColor="text1"/>
              </w:rPr>
              <w:t>%</w:t>
            </w:r>
            <w:r w:rsidRPr="00A736C3">
              <w:rPr>
                <w:rFonts w:ascii="Arial" w:hAnsi="Arial" w:cs="Arial"/>
                <w:color w:val="000000" w:themeColor="text1"/>
              </w:rPr>
              <w:t>)</w:t>
            </w:r>
          </w:p>
        </w:tc>
        <w:tc>
          <w:tcPr>
            <w:tcW w:w="1985" w:type="dxa"/>
          </w:tcPr>
          <w:p w14:paraId="4CD7E666"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 xml:space="preserve">          </w:t>
            </w:r>
            <w:r>
              <w:rPr>
                <w:rFonts w:ascii="Arial" w:hAnsi="Arial" w:cs="Arial"/>
                <w:color w:val="000000" w:themeColor="text1"/>
              </w:rPr>
              <w:t xml:space="preserve"> </w:t>
            </w:r>
            <w:r w:rsidRPr="00A736C3">
              <w:rPr>
                <w:rFonts w:ascii="Arial" w:hAnsi="Arial" w:cs="Arial"/>
                <w:color w:val="000000" w:themeColor="text1"/>
              </w:rPr>
              <w:t>0</w:t>
            </w:r>
          </w:p>
        </w:tc>
      </w:tr>
      <w:tr w:rsidR="004942B6" w:rsidRPr="009222F3" w14:paraId="587277F8" w14:textId="77777777" w:rsidTr="002C2525">
        <w:tc>
          <w:tcPr>
            <w:tcW w:w="5382" w:type="dxa"/>
          </w:tcPr>
          <w:p w14:paraId="77464188"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Frailty</w:t>
            </w:r>
          </w:p>
        </w:tc>
        <w:tc>
          <w:tcPr>
            <w:tcW w:w="2097" w:type="dxa"/>
          </w:tcPr>
          <w:p w14:paraId="5D4CEF06"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 xml:space="preserve">        1 (1.5</w:t>
            </w:r>
            <w:r>
              <w:rPr>
                <w:rFonts w:ascii="Arial" w:hAnsi="Arial" w:cs="Arial"/>
                <w:color w:val="000000" w:themeColor="text1"/>
              </w:rPr>
              <w:t>%</w:t>
            </w:r>
            <w:r w:rsidRPr="00A736C3">
              <w:rPr>
                <w:rFonts w:ascii="Arial" w:hAnsi="Arial" w:cs="Arial"/>
                <w:color w:val="000000" w:themeColor="text1"/>
              </w:rPr>
              <w:t>)</w:t>
            </w:r>
          </w:p>
        </w:tc>
        <w:tc>
          <w:tcPr>
            <w:tcW w:w="1985" w:type="dxa"/>
          </w:tcPr>
          <w:p w14:paraId="6B7A9351" w14:textId="77777777" w:rsidR="004942B6" w:rsidRPr="00A736C3" w:rsidRDefault="004942B6" w:rsidP="002C2525">
            <w:pPr>
              <w:spacing w:line="360" w:lineRule="auto"/>
              <w:jc w:val="both"/>
              <w:rPr>
                <w:rFonts w:ascii="Arial" w:hAnsi="Arial" w:cs="Arial"/>
                <w:color w:val="000000" w:themeColor="text1"/>
              </w:rPr>
            </w:pPr>
            <w:r w:rsidRPr="00A736C3">
              <w:rPr>
                <w:rFonts w:ascii="Arial" w:hAnsi="Arial" w:cs="Arial"/>
                <w:color w:val="000000" w:themeColor="text1"/>
              </w:rPr>
              <w:t xml:space="preserve">         </w:t>
            </w:r>
            <w:r>
              <w:rPr>
                <w:rFonts w:ascii="Arial" w:hAnsi="Arial" w:cs="Arial"/>
                <w:color w:val="000000" w:themeColor="text1"/>
              </w:rPr>
              <w:t xml:space="preserve"> </w:t>
            </w:r>
            <w:r w:rsidRPr="00A736C3">
              <w:rPr>
                <w:rFonts w:ascii="Arial" w:hAnsi="Arial" w:cs="Arial"/>
                <w:color w:val="000000" w:themeColor="text1"/>
              </w:rPr>
              <w:t xml:space="preserve"> 0</w:t>
            </w:r>
          </w:p>
        </w:tc>
      </w:tr>
      <w:tr w:rsidR="004942B6" w:rsidRPr="009222F3" w14:paraId="3C6568AA" w14:textId="77777777" w:rsidTr="002C2525">
        <w:tc>
          <w:tcPr>
            <w:tcW w:w="5382" w:type="dxa"/>
          </w:tcPr>
          <w:p w14:paraId="3A715483" w14:textId="77777777" w:rsidR="004942B6" w:rsidRPr="009222F3" w:rsidRDefault="004942B6" w:rsidP="002C2525">
            <w:pPr>
              <w:spacing w:line="360" w:lineRule="auto"/>
              <w:jc w:val="both"/>
              <w:rPr>
                <w:rFonts w:ascii="Arial" w:hAnsi="Arial" w:cs="Arial"/>
                <w:color w:val="000000" w:themeColor="text1"/>
                <w:sz w:val="24"/>
                <w:szCs w:val="24"/>
              </w:rPr>
            </w:pPr>
            <w:r w:rsidRPr="004A5DCA">
              <w:rPr>
                <w:rFonts w:ascii="Arial" w:hAnsi="Arial" w:cs="Arial"/>
                <w:b/>
                <w:bCs/>
                <w:color w:val="000000" w:themeColor="text1"/>
                <w:sz w:val="24"/>
                <w:szCs w:val="24"/>
              </w:rPr>
              <w:t>Total</w:t>
            </w:r>
          </w:p>
        </w:tc>
        <w:tc>
          <w:tcPr>
            <w:tcW w:w="2097" w:type="dxa"/>
          </w:tcPr>
          <w:p w14:paraId="28C40340" w14:textId="77777777" w:rsidR="004942B6" w:rsidRPr="009222F3" w:rsidRDefault="004942B6" w:rsidP="002C2525">
            <w:pPr>
              <w:spacing w:line="360" w:lineRule="auto"/>
              <w:jc w:val="both"/>
              <w:rPr>
                <w:rFonts w:ascii="Arial" w:hAnsi="Arial" w:cs="Arial"/>
                <w:color w:val="000000" w:themeColor="text1"/>
                <w:sz w:val="24"/>
                <w:szCs w:val="24"/>
              </w:rPr>
            </w:pPr>
            <w:r>
              <w:rPr>
                <w:rFonts w:ascii="Arial" w:hAnsi="Arial" w:cs="Arial"/>
                <w:b/>
                <w:bCs/>
                <w:color w:val="000000" w:themeColor="text1"/>
                <w:sz w:val="24"/>
                <w:szCs w:val="24"/>
              </w:rPr>
              <w:t xml:space="preserve">      13 (20%)</w:t>
            </w:r>
          </w:p>
        </w:tc>
        <w:tc>
          <w:tcPr>
            <w:tcW w:w="1985" w:type="dxa"/>
          </w:tcPr>
          <w:p w14:paraId="02BD8A0B" w14:textId="77777777" w:rsidR="004942B6" w:rsidRPr="009222F3" w:rsidRDefault="004942B6" w:rsidP="002C2525">
            <w:pPr>
              <w:spacing w:line="360" w:lineRule="auto"/>
              <w:jc w:val="both"/>
              <w:rPr>
                <w:rFonts w:ascii="Arial" w:hAnsi="Arial" w:cs="Arial"/>
                <w:color w:val="000000" w:themeColor="text1"/>
                <w:sz w:val="24"/>
                <w:szCs w:val="24"/>
              </w:rPr>
            </w:pPr>
            <w:r>
              <w:rPr>
                <w:rFonts w:ascii="Arial" w:hAnsi="Arial" w:cs="Arial"/>
                <w:b/>
                <w:bCs/>
                <w:color w:val="000000" w:themeColor="text1"/>
                <w:sz w:val="24"/>
                <w:szCs w:val="24"/>
              </w:rPr>
              <w:t xml:space="preserve">      </w:t>
            </w:r>
            <w:r w:rsidRPr="004A5DCA">
              <w:rPr>
                <w:rFonts w:ascii="Arial" w:hAnsi="Arial" w:cs="Arial"/>
                <w:b/>
                <w:bCs/>
                <w:color w:val="000000" w:themeColor="text1"/>
                <w:sz w:val="24"/>
                <w:szCs w:val="24"/>
              </w:rPr>
              <w:t>3</w:t>
            </w:r>
            <w:r>
              <w:rPr>
                <w:rFonts w:ascii="Arial" w:hAnsi="Arial" w:cs="Arial"/>
                <w:b/>
                <w:bCs/>
                <w:color w:val="000000" w:themeColor="text1"/>
                <w:sz w:val="24"/>
                <w:szCs w:val="24"/>
              </w:rPr>
              <w:t xml:space="preserve"> (4.6%)</w:t>
            </w:r>
          </w:p>
        </w:tc>
      </w:tr>
    </w:tbl>
    <w:p w14:paraId="0AE81854" w14:textId="77777777" w:rsidR="004942B6" w:rsidRDefault="004942B6" w:rsidP="004942B6">
      <w:pPr>
        <w:spacing w:line="360" w:lineRule="auto"/>
        <w:jc w:val="both"/>
        <w:rPr>
          <w:rFonts w:ascii="Arial" w:hAnsi="Arial" w:cs="Arial"/>
          <w:color w:val="000000" w:themeColor="text1"/>
          <w:sz w:val="24"/>
          <w:szCs w:val="24"/>
        </w:rPr>
      </w:pPr>
    </w:p>
    <w:p w14:paraId="11D2124D" w14:textId="77777777" w:rsidR="001C34B1" w:rsidRDefault="001C34B1" w:rsidP="004942B6">
      <w:pPr>
        <w:spacing w:line="360" w:lineRule="auto"/>
        <w:jc w:val="both"/>
        <w:rPr>
          <w:rFonts w:ascii="Arial" w:hAnsi="Arial" w:cs="Arial"/>
          <w:color w:val="000000" w:themeColor="text1"/>
          <w:sz w:val="24"/>
          <w:szCs w:val="24"/>
        </w:rPr>
      </w:pPr>
    </w:p>
    <w:p w14:paraId="111462DB" w14:textId="77777777" w:rsidR="001C34B1" w:rsidRDefault="001C34B1" w:rsidP="004942B6">
      <w:pPr>
        <w:spacing w:line="360" w:lineRule="auto"/>
        <w:jc w:val="both"/>
        <w:rPr>
          <w:rFonts w:ascii="Arial" w:hAnsi="Arial" w:cs="Arial"/>
          <w:color w:val="000000" w:themeColor="text1"/>
          <w:sz w:val="24"/>
          <w:szCs w:val="24"/>
        </w:rPr>
      </w:pPr>
    </w:p>
    <w:p w14:paraId="28304C46" w14:textId="77777777" w:rsidR="001C34B1" w:rsidRDefault="001C34B1" w:rsidP="004942B6">
      <w:pPr>
        <w:spacing w:line="360" w:lineRule="auto"/>
        <w:jc w:val="both"/>
        <w:rPr>
          <w:rFonts w:ascii="Arial" w:hAnsi="Arial" w:cs="Arial"/>
          <w:color w:val="000000" w:themeColor="text1"/>
          <w:sz w:val="24"/>
          <w:szCs w:val="24"/>
        </w:rPr>
      </w:pPr>
    </w:p>
    <w:p w14:paraId="0451CBF6" w14:textId="77777777" w:rsidR="001C34B1" w:rsidRDefault="001C34B1" w:rsidP="004942B6">
      <w:pPr>
        <w:spacing w:line="360" w:lineRule="auto"/>
        <w:jc w:val="both"/>
        <w:rPr>
          <w:rFonts w:ascii="Arial" w:hAnsi="Arial" w:cs="Arial"/>
          <w:color w:val="000000" w:themeColor="text1"/>
          <w:sz w:val="24"/>
          <w:szCs w:val="24"/>
        </w:rPr>
      </w:pPr>
    </w:p>
    <w:p w14:paraId="32206561" w14:textId="77777777" w:rsidR="001C34B1" w:rsidRDefault="001C34B1" w:rsidP="004942B6">
      <w:pPr>
        <w:spacing w:line="360" w:lineRule="auto"/>
        <w:jc w:val="both"/>
        <w:rPr>
          <w:rFonts w:ascii="Arial" w:hAnsi="Arial" w:cs="Arial"/>
          <w:color w:val="000000" w:themeColor="text1"/>
          <w:sz w:val="24"/>
          <w:szCs w:val="24"/>
        </w:rPr>
      </w:pPr>
    </w:p>
    <w:p w14:paraId="5336D783" w14:textId="77777777" w:rsidR="001C34B1" w:rsidRDefault="004942B6" w:rsidP="001C34B1">
      <w:pPr>
        <w:keepNext/>
        <w:spacing w:line="276" w:lineRule="auto"/>
        <w:jc w:val="both"/>
      </w:pPr>
      <w:bookmarkStart w:id="1256" w:name="_Toc159318524"/>
      <w:bookmarkStart w:id="1257" w:name="_Toc159612050"/>
      <w:bookmarkStart w:id="1258" w:name="_Toc160982696"/>
      <w:bookmarkStart w:id="1259" w:name="_Toc164697522"/>
      <w:bookmarkStart w:id="1260" w:name="_Toc170744615"/>
      <w:r>
        <w:rPr>
          <w:noProof/>
          <w:lang w:eastAsia="en-GB"/>
        </w:rPr>
        <w:lastRenderedPageBreak/>
        <w:drawing>
          <wp:inline distT="0" distB="0" distL="0" distR="0" wp14:anchorId="703E9F1A" wp14:editId="2D6A8CB3">
            <wp:extent cx="5846359" cy="4008120"/>
            <wp:effectExtent l="0" t="0" r="2540" b="0"/>
            <wp:docPr id="575564275" name="Picture 575564275"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64275" name="Picture 22" descr="A screenshot of a graph"/>
                    <pic:cNvPicPr/>
                  </pic:nvPicPr>
                  <pic:blipFill rotWithShape="1">
                    <a:blip r:embed="rId85" cstate="print">
                      <a:extLst>
                        <a:ext uri="{28A0092B-C50C-407E-A947-70E740481C1C}">
                          <a14:useLocalDpi xmlns:a14="http://schemas.microsoft.com/office/drawing/2010/main" val="0"/>
                        </a:ext>
                      </a:extLst>
                    </a:blip>
                    <a:srcRect l="8376" t="2849" r="9593" b="16809"/>
                    <a:stretch/>
                  </pic:blipFill>
                  <pic:spPr bwMode="auto">
                    <a:xfrm>
                      <a:off x="0" y="0"/>
                      <a:ext cx="5849854" cy="4010516"/>
                    </a:xfrm>
                    <a:prstGeom prst="rect">
                      <a:avLst/>
                    </a:prstGeom>
                    <a:ln>
                      <a:noFill/>
                    </a:ln>
                    <a:extLst>
                      <a:ext uri="{53640926-AAD7-44D8-BBD7-CCE9431645EC}">
                        <a14:shadowObscured xmlns:a14="http://schemas.microsoft.com/office/drawing/2010/main"/>
                      </a:ext>
                    </a:extLst>
                  </pic:spPr>
                </pic:pic>
              </a:graphicData>
            </a:graphic>
          </wp:inline>
        </w:drawing>
      </w:r>
      <w:bookmarkEnd w:id="1256"/>
      <w:bookmarkEnd w:id="1257"/>
      <w:bookmarkEnd w:id="1258"/>
      <w:bookmarkEnd w:id="1259"/>
      <w:bookmarkEnd w:id="1260"/>
    </w:p>
    <w:p w14:paraId="6B7AB4C1" w14:textId="174150AC" w:rsidR="004942B6" w:rsidRPr="001C34B1" w:rsidRDefault="001C34B1" w:rsidP="001C34B1">
      <w:pPr>
        <w:pStyle w:val="Caption"/>
        <w:jc w:val="both"/>
        <w:rPr>
          <w:rFonts w:ascii="Arial" w:hAnsi="Arial" w:cs="Arial"/>
          <w:i w:val="0"/>
          <w:iCs w:val="0"/>
          <w:color w:val="auto"/>
          <w:sz w:val="20"/>
          <w:szCs w:val="20"/>
        </w:rPr>
      </w:pPr>
      <w:bookmarkStart w:id="1261" w:name="_Toc196153247"/>
      <w:r w:rsidRPr="001C34B1">
        <w:rPr>
          <w:rFonts w:ascii="Arial" w:hAnsi="Arial" w:cs="Arial"/>
          <w:b/>
          <w:bCs/>
          <w:color w:val="auto"/>
          <w:sz w:val="20"/>
          <w:szCs w:val="20"/>
        </w:rPr>
        <w:t xml:space="preserve">Figure </w:t>
      </w:r>
      <w:r w:rsidRPr="001C34B1">
        <w:rPr>
          <w:rFonts w:ascii="Arial" w:hAnsi="Arial" w:cs="Arial"/>
          <w:b/>
          <w:bCs/>
          <w:color w:val="auto"/>
          <w:sz w:val="20"/>
          <w:szCs w:val="20"/>
        </w:rPr>
        <w:fldChar w:fldCharType="begin"/>
      </w:r>
      <w:r w:rsidRPr="001C34B1">
        <w:rPr>
          <w:rFonts w:ascii="Arial" w:hAnsi="Arial" w:cs="Arial"/>
          <w:b/>
          <w:bCs/>
          <w:color w:val="auto"/>
          <w:sz w:val="20"/>
          <w:szCs w:val="20"/>
        </w:rPr>
        <w:instrText xml:space="preserve"> SEQ Figure \* ARABIC </w:instrText>
      </w:r>
      <w:r w:rsidRPr="001C34B1">
        <w:rPr>
          <w:rFonts w:ascii="Arial" w:hAnsi="Arial" w:cs="Arial"/>
          <w:b/>
          <w:bCs/>
          <w:color w:val="auto"/>
          <w:sz w:val="20"/>
          <w:szCs w:val="20"/>
        </w:rPr>
        <w:fldChar w:fldCharType="separate"/>
      </w:r>
      <w:r w:rsidR="001823B4">
        <w:rPr>
          <w:rFonts w:ascii="Arial" w:hAnsi="Arial" w:cs="Arial"/>
          <w:b/>
          <w:bCs/>
          <w:noProof/>
          <w:color w:val="auto"/>
          <w:sz w:val="20"/>
          <w:szCs w:val="20"/>
        </w:rPr>
        <w:t>55</w:t>
      </w:r>
      <w:r w:rsidRPr="001C34B1">
        <w:rPr>
          <w:rFonts w:ascii="Arial" w:hAnsi="Arial" w:cs="Arial"/>
          <w:b/>
          <w:bCs/>
          <w:color w:val="auto"/>
          <w:sz w:val="20"/>
          <w:szCs w:val="20"/>
        </w:rPr>
        <w:fldChar w:fldCharType="end"/>
      </w:r>
      <w:r w:rsidRPr="001C34B1">
        <w:rPr>
          <w:rFonts w:ascii="Arial" w:hAnsi="Arial" w:cs="Arial"/>
          <w:b/>
          <w:bCs/>
          <w:color w:val="auto"/>
          <w:sz w:val="20"/>
          <w:szCs w:val="20"/>
        </w:rPr>
        <w:t>:</w:t>
      </w:r>
      <w:r w:rsidRPr="001C34B1">
        <w:rPr>
          <w:rFonts w:ascii="Arial" w:hAnsi="Arial" w:cs="Arial"/>
          <w:color w:val="auto"/>
          <w:sz w:val="20"/>
          <w:szCs w:val="20"/>
        </w:rPr>
        <w:t xml:space="preserve"> Comparison of the "actual" and "virtual" EQ-VAS and EQ-indexed scores </w:t>
      </w:r>
      <w:r>
        <w:rPr>
          <w:rFonts w:ascii="Arial" w:hAnsi="Arial" w:cs="Arial"/>
          <w:color w:val="auto"/>
          <w:sz w:val="20"/>
          <w:szCs w:val="20"/>
        </w:rPr>
        <w:t>with</w:t>
      </w:r>
      <w:r w:rsidRPr="001C34B1">
        <w:rPr>
          <w:rFonts w:ascii="Arial" w:hAnsi="Arial" w:cs="Arial"/>
          <w:color w:val="auto"/>
          <w:sz w:val="20"/>
          <w:szCs w:val="20"/>
        </w:rPr>
        <w:t>in the virtual change subset at one year after exclusion of patients with non-cardiac reasons for reduction in QOL demonstrated statistically significant change</w:t>
      </w:r>
      <w:r>
        <w:rPr>
          <w:rFonts w:ascii="Arial" w:hAnsi="Arial" w:cs="Arial"/>
          <w:color w:val="auto"/>
          <w:sz w:val="20"/>
          <w:szCs w:val="20"/>
        </w:rPr>
        <w:t xml:space="preserve"> in both parameters.</w:t>
      </w:r>
      <w:bookmarkEnd w:id="1261"/>
    </w:p>
    <w:p w14:paraId="5D754693" w14:textId="77777777" w:rsidR="004942B6" w:rsidRDefault="004942B6" w:rsidP="004942B6">
      <w:pPr>
        <w:keepNext/>
      </w:pPr>
      <w:r>
        <w:rPr>
          <w:noProof/>
          <w:lang w:eastAsia="en-GB"/>
        </w:rPr>
        <w:lastRenderedPageBreak/>
        <w:drawing>
          <wp:inline distT="0" distB="0" distL="0" distR="0" wp14:anchorId="6BA48A5D" wp14:editId="564816AC">
            <wp:extent cx="5935980" cy="3792930"/>
            <wp:effectExtent l="0" t="0" r="7620" b="0"/>
            <wp:docPr id="433468330" name="Picture 43346833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68330" name="Picture 21" descr="A screenshot of a graph&#10;&#10;Description automatically generated"/>
                    <pic:cNvPicPr/>
                  </pic:nvPicPr>
                  <pic:blipFill rotWithShape="1">
                    <a:blip r:embed="rId86" cstate="print">
                      <a:extLst>
                        <a:ext uri="{28A0092B-C50C-407E-A947-70E740481C1C}">
                          <a14:useLocalDpi xmlns:a14="http://schemas.microsoft.com/office/drawing/2010/main" val="0"/>
                        </a:ext>
                      </a:extLst>
                    </a:blip>
                    <a:srcRect l="4653" t="6267" r="7334" b="13390"/>
                    <a:stretch/>
                  </pic:blipFill>
                  <pic:spPr bwMode="auto">
                    <a:xfrm>
                      <a:off x="0" y="0"/>
                      <a:ext cx="5941650" cy="3796553"/>
                    </a:xfrm>
                    <a:prstGeom prst="rect">
                      <a:avLst/>
                    </a:prstGeom>
                    <a:ln>
                      <a:noFill/>
                    </a:ln>
                    <a:extLst>
                      <a:ext uri="{53640926-AAD7-44D8-BBD7-CCE9431645EC}">
                        <a14:shadowObscured xmlns:a14="http://schemas.microsoft.com/office/drawing/2010/main"/>
                      </a:ext>
                    </a:extLst>
                  </pic:spPr>
                </pic:pic>
              </a:graphicData>
            </a:graphic>
          </wp:inline>
        </w:drawing>
      </w:r>
    </w:p>
    <w:p w14:paraId="772155FB" w14:textId="04FD217C" w:rsidR="004942B6" w:rsidRDefault="004942B6" w:rsidP="004942B6">
      <w:pPr>
        <w:pStyle w:val="Caption"/>
        <w:jc w:val="both"/>
        <w:rPr>
          <w:color w:val="000000" w:themeColor="text1"/>
        </w:rPr>
      </w:pPr>
      <w:bookmarkStart w:id="1262" w:name="_Toc151222861"/>
      <w:bookmarkStart w:id="1263" w:name="_Toc151626701"/>
      <w:bookmarkStart w:id="1264" w:name="_Toc152340497"/>
      <w:bookmarkStart w:id="1265" w:name="_Toc152492290"/>
      <w:bookmarkStart w:id="1266" w:name="_Toc152596978"/>
      <w:bookmarkStart w:id="1267" w:name="_Toc153409685"/>
      <w:bookmarkStart w:id="1268" w:name="_Toc153724932"/>
      <w:bookmarkStart w:id="1269" w:name="_Toc159318525"/>
      <w:bookmarkStart w:id="1270" w:name="_Toc159612051"/>
      <w:bookmarkStart w:id="1271" w:name="_Toc160982697"/>
      <w:bookmarkStart w:id="1272" w:name="_Toc164697523"/>
      <w:bookmarkStart w:id="1273" w:name="_Toc170744616"/>
      <w:bookmarkStart w:id="1274" w:name="_Toc196153248"/>
      <w:r w:rsidRPr="00383BDE">
        <w:rPr>
          <w:rFonts w:ascii="Arial" w:hAnsi="Arial" w:cs="Arial"/>
          <w:b/>
          <w:bCs/>
          <w:color w:val="auto"/>
          <w:sz w:val="20"/>
          <w:szCs w:val="20"/>
        </w:rPr>
        <w:t xml:space="preserve">Figure </w:t>
      </w:r>
      <w:r w:rsidRPr="00383BDE">
        <w:rPr>
          <w:rFonts w:ascii="Arial" w:hAnsi="Arial" w:cs="Arial"/>
          <w:b/>
          <w:bCs/>
          <w:color w:val="auto"/>
          <w:sz w:val="20"/>
          <w:szCs w:val="20"/>
        </w:rPr>
        <w:fldChar w:fldCharType="begin"/>
      </w:r>
      <w:r w:rsidRPr="00383BDE">
        <w:rPr>
          <w:rFonts w:ascii="Arial" w:hAnsi="Arial" w:cs="Arial"/>
          <w:b/>
          <w:bCs/>
          <w:color w:val="auto"/>
          <w:sz w:val="20"/>
          <w:szCs w:val="20"/>
        </w:rPr>
        <w:instrText xml:space="preserve"> SEQ Figure \* ARABIC </w:instrText>
      </w:r>
      <w:r w:rsidRPr="00383BDE">
        <w:rPr>
          <w:rFonts w:ascii="Arial" w:hAnsi="Arial" w:cs="Arial"/>
          <w:b/>
          <w:bCs/>
          <w:color w:val="auto"/>
          <w:sz w:val="20"/>
          <w:szCs w:val="20"/>
        </w:rPr>
        <w:fldChar w:fldCharType="separate"/>
      </w:r>
      <w:r w:rsidR="001823B4">
        <w:rPr>
          <w:rFonts w:ascii="Arial" w:hAnsi="Arial" w:cs="Arial"/>
          <w:b/>
          <w:bCs/>
          <w:noProof/>
          <w:color w:val="auto"/>
          <w:sz w:val="20"/>
          <w:szCs w:val="20"/>
        </w:rPr>
        <w:t>56</w:t>
      </w:r>
      <w:r w:rsidRPr="00383BDE">
        <w:rPr>
          <w:rFonts w:ascii="Arial" w:hAnsi="Arial" w:cs="Arial"/>
          <w:b/>
          <w:bCs/>
          <w:color w:val="auto"/>
          <w:sz w:val="20"/>
          <w:szCs w:val="20"/>
        </w:rPr>
        <w:fldChar w:fldCharType="end"/>
      </w:r>
      <w:r w:rsidRPr="004D1244">
        <w:rPr>
          <w:rFonts w:ascii="Arial" w:hAnsi="Arial" w:cs="Arial"/>
          <w:color w:val="auto"/>
          <w:sz w:val="20"/>
          <w:szCs w:val="20"/>
        </w:rPr>
        <w:t xml:space="preserve">: </w:t>
      </w:r>
      <w:bookmarkEnd w:id="1262"/>
      <w:bookmarkEnd w:id="1263"/>
      <w:bookmarkEnd w:id="1264"/>
      <w:r w:rsidRPr="004D1244">
        <w:rPr>
          <w:rFonts w:ascii="Arial" w:hAnsi="Arial" w:cs="Arial"/>
          <w:color w:val="auto"/>
          <w:sz w:val="20"/>
          <w:szCs w:val="20"/>
        </w:rPr>
        <w:t>Comparison of the "</w:t>
      </w:r>
      <w:r>
        <w:rPr>
          <w:rFonts w:ascii="Arial" w:hAnsi="Arial" w:cs="Arial"/>
          <w:color w:val="auto"/>
          <w:sz w:val="20"/>
          <w:szCs w:val="20"/>
        </w:rPr>
        <w:t>a</w:t>
      </w:r>
      <w:r w:rsidRPr="004D1244">
        <w:rPr>
          <w:rFonts w:ascii="Arial" w:hAnsi="Arial" w:cs="Arial"/>
          <w:color w:val="auto"/>
          <w:sz w:val="20"/>
          <w:szCs w:val="20"/>
        </w:rPr>
        <w:t>ctual" and "</w:t>
      </w:r>
      <w:r>
        <w:rPr>
          <w:rFonts w:ascii="Arial" w:hAnsi="Arial" w:cs="Arial"/>
          <w:color w:val="auto"/>
          <w:sz w:val="20"/>
          <w:szCs w:val="20"/>
        </w:rPr>
        <w:t>v</w:t>
      </w:r>
      <w:r w:rsidRPr="004D1244">
        <w:rPr>
          <w:rFonts w:ascii="Arial" w:hAnsi="Arial" w:cs="Arial"/>
          <w:color w:val="auto"/>
          <w:sz w:val="20"/>
          <w:szCs w:val="20"/>
        </w:rPr>
        <w:t xml:space="preserve">irtual" EQ-indexed scores </w:t>
      </w:r>
      <w:r>
        <w:rPr>
          <w:rFonts w:ascii="Arial" w:hAnsi="Arial" w:cs="Arial"/>
          <w:color w:val="auto"/>
          <w:sz w:val="20"/>
          <w:szCs w:val="20"/>
        </w:rPr>
        <w:t xml:space="preserve">of ACS and CCS patients in the </w:t>
      </w:r>
      <w:r w:rsidRPr="004D1244">
        <w:rPr>
          <w:rFonts w:ascii="Arial" w:hAnsi="Arial" w:cs="Arial"/>
          <w:color w:val="auto"/>
          <w:sz w:val="20"/>
          <w:szCs w:val="20"/>
        </w:rPr>
        <w:t xml:space="preserve">virtual change subset </w:t>
      </w:r>
      <w:r>
        <w:rPr>
          <w:rFonts w:ascii="Arial" w:hAnsi="Arial" w:cs="Arial"/>
          <w:color w:val="auto"/>
          <w:sz w:val="20"/>
          <w:szCs w:val="20"/>
        </w:rPr>
        <w:t xml:space="preserve">at one year </w:t>
      </w:r>
      <w:r w:rsidRPr="004D1244">
        <w:rPr>
          <w:rFonts w:ascii="Arial" w:hAnsi="Arial" w:cs="Arial"/>
          <w:color w:val="auto"/>
          <w:sz w:val="20"/>
          <w:szCs w:val="20"/>
        </w:rPr>
        <w:t>after</w:t>
      </w:r>
      <w:r>
        <w:rPr>
          <w:rFonts w:ascii="Arial" w:hAnsi="Arial" w:cs="Arial"/>
          <w:color w:val="auto"/>
          <w:sz w:val="20"/>
          <w:szCs w:val="20"/>
        </w:rPr>
        <w:t xml:space="preserve"> exclusion of patients with</w:t>
      </w:r>
      <w:r w:rsidRPr="004D1244">
        <w:rPr>
          <w:rFonts w:ascii="Arial" w:hAnsi="Arial" w:cs="Arial"/>
          <w:color w:val="auto"/>
          <w:sz w:val="20"/>
          <w:szCs w:val="20"/>
        </w:rPr>
        <w:t xml:space="preserve"> non-cardiac </w:t>
      </w:r>
      <w:r>
        <w:rPr>
          <w:rFonts w:ascii="Arial" w:hAnsi="Arial" w:cs="Arial"/>
          <w:color w:val="auto"/>
          <w:sz w:val="20"/>
          <w:szCs w:val="20"/>
        </w:rPr>
        <w:t>reasons of reduction in QOL</w:t>
      </w:r>
      <w:bookmarkEnd w:id="1265"/>
      <w:bookmarkEnd w:id="1266"/>
      <w:bookmarkEnd w:id="1267"/>
      <w:bookmarkEnd w:id="1268"/>
      <w:r>
        <w:rPr>
          <w:rFonts w:ascii="Arial" w:hAnsi="Arial" w:cs="Arial"/>
          <w:color w:val="auto"/>
          <w:sz w:val="20"/>
          <w:szCs w:val="20"/>
        </w:rPr>
        <w:t>.</w:t>
      </w:r>
      <w:bookmarkEnd w:id="1269"/>
      <w:bookmarkEnd w:id="1270"/>
      <w:bookmarkEnd w:id="1271"/>
      <w:bookmarkEnd w:id="1272"/>
      <w:bookmarkEnd w:id="1273"/>
      <w:bookmarkEnd w:id="1274"/>
    </w:p>
    <w:p w14:paraId="54EC838E" w14:textId="77777777" w:rsidR="004942B6" w:rsidRDefault="004942B6" w:rsidP="004942B6">
      <w:pPr>
        <w:rPr>
          <w:color w:val="000000" w:themeColor="text1"/>
        </w:rPr>
      </w:pPr>
    </w:p>
    <w:p w14:paraId="107FC4B7" w14:textId="77777777" w:rsidR="004942B6" w:rsidRPr="00BF624A" w:rsidRDefault="004942B6" w:rsidP="004942B6">
      <w:pPr>
        <w:keepNext/>
      </w:pPr>
      <w:r>
        <w:rPr>
          <w:noProof/>
          <w:lang w:eastAsia="en-GB"/>
        </w:rPr>
        <w:lastRenderedPageBreak/>
        <w:drawing>
          <wp:inline distT="0" distB="0" distL="0" distR="0" wp14:anchorId="64322F24" wp14:editId="74475BBB">
            <wp:extent cx="5919234" cy="4213860"/>
            <wp:effectExtent l="0" t="0" r="5715" b="0"/>
            <wp:docPr id="2050709547" name="Picture 2050709547"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09547" name="Picture 20" descr="A screenshot of a graph"/>
                    <pic:cNvPicPr/>
                  </pic:nvPicPr>
                  <pic:blipFill rotWithShape="1">
                    <a:blip r:embed="rId87" cstate="print">
                      <a:extLst>
                        <a:ext uri="{28A0092B-C50C-407E-A947-70E740481C1C}">
                          <a14:useLocalDpi xmlns:a14="http://schemas.microsoft.com/office/drawing/2010/main" val="0"/>
                        </a:ext>
                      </a:extLst>
                    </a:blip>
                    <a:srcRect l="9838" t="2468" r="10791" b="16810"/>
                    <a:stretch/>
                  </pic:blipFill>
                  <pic:spPr bwMode="auto">
                    <a:xfrm>
                      <a:off x="0" y="0"/>
                      <a:ext cx="5926253" cy="4218857"/>
                    </a:xfrm>
                    <a:prstGeom prst="rect">
                      <a:avLst/>
                    </a:prstGeom>
                    <a:ln>
                      <a:noFill/>
                    </a:ln>
                    <a:extLst>
                      <a:ext uri="{53640926-AAD7-44D8-BBD7-CCE9431645EC}">
                        <a14:shadowObscured xmlns:a14="http://schemas.microsoft.com/office/drawing/2010/main"/>
                      </a:ext>
                    </a:extLst>
                  </pic:spPr>
                </pic:pic>
              </a:graphicData>
            </a:graphic>
          </wp:inline>
        </w:drawing>
      </w:r>
      <w:bookmarkStart w:id="1275" w:name="_Toc151222862"/>
      <w:bookmarkStart w:id="1276" w:name="_Toc151626702"/>
      <w:bookmarkStart w:id="1277" w:name="_Toc152340498"/>
      <w:bookmarkStart w:id="1278" w:name="_Toc152492291"/>
    </w:p>
    <w:p w14:paraId="10AA6A10" w14:textId="6AB057EB" w:rsidR="004942B6" w:rsidRDefault="004942B6" w:rsidP="004942B6">
      <w:pPr>
        <w:pStyle w:val="Caption"/>
        <w:jc w:val="both"/>
        <w:rPr>
          <w:rFonts w:ascii="Arial" w:hAnsi="Arial" w:cs="Arial"/>
          <w:color w:val="auto"/>
          <w:sz w:val="20"/>
          <w:szCs w:val="20"/>
        </w:rPr>
      </w:pPr>
      <w:bookmarkStart w:id="1279" w:name="_Toc152596979"/>
      <w:bookmarkStart w:id="1280" w:name="_Toc153409686"/>
      <w:bookmarkStart w:id="1281" w:name="_Toc153724933"/>
      <w:bookmarkStart w:id="1282" w:name="_Toc159318526"/>
      <w:bookmarkStart w:id="1283" w:name="_Toc159612052"/>
      <w:bookmarkStart w:id="1284" w:name="_Toc160982698"/>
      <w:bookmarkStart w:id="1285" w:name="_Toc164697524"/>
      <w:bookmarkStart w:id="1286" w:name="_Toc170744617"/>
      <w:bookmarkStart w:id="1287" w:name="_Toc196153249"/>
      <w:r w:rsidRPr="00383BDE">
        <w:rPr>
          <w:rFonts w:ascii="Arial" w:hAnsi="Arial" w:cs="Arial"/>
          <w:b/>
          <w:bCs/>
          <w:color w:val="auto"/>
          <w:sz w:val="20"/>
          <w:szCs w:val="20"/>
        </w:rPr>
        <w:t xml:space="preserve">Figure </w:t>
      </w:r>
      <w:r w:rsidRPr="00383BDE">
        <w:rPr>
          <w:rFonts w:ascii="Arial" w:hAnsi="Arial" w:cs="Arial"/>
          <w:b/>
          <w:bCs/>
          <w:color w:val="auto"/>
          <w:sz w:val="20"/>
          <w:szCs w:val="20"/>
        </w:rPr>
        <w:fldChar w:fldCharType="begin"/>
      </w:r>
      <w:r w:rsidRPr="00383BDE">
        <w:rPr>
          <w:rFonts w:ascii="Arial" w:hAnsi="Arial" w:cs="Arial"/>
          <w:b/>
          <w:bCs/>
          <w:color w:val="auto"/>
          <w:sz w:val="20"/>
          <w:szCs w:val="20"/>
        </w:rPr>
        <w:instrText xml:space="preserve"> SEQ Figure \* ARABIC </w:instrText>
      </w:r>
      <w:r w:rsidRPr="00383BDE">
        <w:rPr>
          <w:rFonts w:ascii="Arial" w:hAnsi="Arial" w:cs="Arial"/>
          <w:b/>
          <w:bCs/>
          <w:color w:val="auto"/>
          <w:sz w:val="20"/>
          <w:szCs w:val="20"/>
        </w:rPr>
        <w:fldChar w:fldCharType="separate"/>
      </w:r>
      <w:r w:rsidR="001823B4">
        <w:rPr>
          <w:rFonts w:ascii="Arial" w:hAnsi="Arial" w:cs="Arial"/>
          <w:b/>
          <w:bCs/>
          <w:noProof/>
          <w:color w:val="auto"/>
          <w:sz w:val="20"/>
          <w:szCs w:val="20"/>
        </w:rPr>
        <w:t>57</w:t>
      </w:r>
      <w:r w:rsidRPr="00383BDE">
        <w:rPr>
          <w:rFonts w:ascii="Arial" w:hAnsi="Arial" w:cs="Arial"/>
          <w:b/>
          <w:bCs/>
          <w:color w:val="auto"/>
          <w:sz w:val="20"/>
          <w:szCs w:val="20"/>
        </w:rPr>
        <w:fldChar w:fldCharType="end"/>
      </w:r>
      <w:r w:rsidRPr="004D1244">
        <w:rPr>
          <w:rFonts w:ascii="Arial" w:hAnsi="Arial" w:cs="Arial"/>
          <w:color w:val="auto"/>
          <w:sz w:val="20"/>
          <w:szCs w:val="20"/>
        </w:rPr>
        <w:t xml:space="preserve">: </w:t>
      </w:r>
      <w:bookmarkEnd w:id="1275"/>
      <w:bookmarkEnd w:id="1276"/>
      <w:bookmarkEnd w:id="1277"/>
      <w:r w:rsidRPr="004D1244">
        <w:rPr>
          <w:rFonts w:ascii="Arial" w:hAnsi="Arial" w:cs="Arial"/>
          <w:color w:val="auto"/>
          <w:sz w:val="20"/>
          <w:szCs w:val="20"/>
        </w:rPr>
        <w:t>Comparison of the "</w:t>
      </w:r>
      <w:r>
        <w:rPr>
          <w:rFonts w:ascii="Arial" w:hAnsi="Arial" w:cs="Arial"/>
          <w:color w:val="auto"/>
          <w:sz w:val="20"/>
          <w:szCs w:val="20"/>
        </w:rPr>
        <w:t>a</w:t>
      </w:r>
      <w:r w:rsidRPr="004D1244">
        <w:rPr>
          <w:rFonts w:ascii="Arial" w:hAnsi="Arial" w:cs="Arial"/>
          <w:color w:val="auto"/>
          <w:sz w:val="20"/>
          <w:szCs w:val="20"/>
        </w:rPr>
        <w:t>ctual" and "</w:t>
      </w:r>
      <w:r>
        <w:rPr>
          <w:rFonts w:ascii="Arial" w:hAnsi="Arial" w:cs="Arial"/>
          <w:color w:val="auto"/>
          <w:sz w:val="20"/>
          <w:szCs w:val="20"/>
        </w:rPr>
        <w:t>v</w:t>
      </w:r>
      <w:r w:rsidRPr="004D1244">
        <w:rPr>
          <w:rFonts w:ascii="Arial" w:hAnsi="Arial" w:cs="Arial"/>
          <w:color w:val="auto"/>
          <w:sz w:val="20"/>
          <w:szCs w:val="20"/>
        </w:rPr>
        <w:t>irtual" EQ-</w:t>
      </w:r>
      <w:r>
        <w:rPr>
          <w:rFonts w:ascii="Arial" w:hAnsi="Arial" w:cs="Arial"/>
          <w:color w:val="auto"/>
          <w:sz w:val="20"/>
          <w:szCs w:val="20"/>
        </w:rPr>
        <w:t>VAS</w:t>
      </w:r>
      <w:r w:rsidRPr="004D1244">
        <w:rPr>
          <w:rFonts w:ascii="Arial" w:hAnsi="Arial" w:cs="Arial"/>
          <w:color w:val="auto"/>
          <w:sz w:val="20"/>
          <w:szCs w:val="20"/>
        </w:rPr>
        <w:t xml:space="preserve"> scores </w:t>
      </w:r>
      <w:r>
        <w:rPr>
          <w:rFonts w:ascii="Arial" w:hAnsi="Arial" w:cs="Arial"/>
          <w:color w:val="auto"/>
          <w:sz w:val="20"/>
          <w:szCs w:val="20"/>
        </w:rPr>
        <w:t>of ACS and CCS patients in</w:t>
      </w:r>
      <w:r w:rsidRPr="004D1244">
        <w:rPr>
          <w:rFonts w:ascii="Arial" w:hAnsi="Arial" w:cs="Arial"/>
          <w:color w:val="auto"/>
          <w:sz w:val="20"/>
          <w:szCs w:val="20"/>
        </w:rPr>
        <w:t xml:space="preserve"> the virtual change subset </w:t>
      </w:r>
      <w:r>
        <w:rPr>
          <w:rFonts w:ascii="Arial" w:hAnsi="Arial" w:cs="Arial"/>
          <w:color w:val="auto"/>
          <w:sz w:val="20"/>
          <w:szCs w:val="20"/>
        </w:rPr>
        <w:t xml:space="preserve">at one year, </w:t>
      </w:r>
      <w:r w:rsidRPr="004D1244">
        <w:rPr>
          <w:rFonts w:ascii="Arial" w:hAnsi="Arial" w:cs="Arial"/>
          <w:color w:val="auto"/>
          <w:sz w:val="20"/>
          <w:szCs w:val="20"/>
        </w:rPr>
        <w:t>after</w:t>
      </w:r>
      <w:r>
        <w:rPr>
          <w:rFonts w:ascii="Arial" w:hAnsi="Arial" w:cs="Arial"/>
          <w:color w:val="auto"/>
          <w:sz w:val="20"/>
          <w:szCs w:val="20"/>
        </w:rPr>
        <w:t xml:space="preserve"> exclusion of patients with</w:t>
      </w:r>
      <w:r w:rsidRPr="004D1244">
        <w:rPr>
          <w:rFonts w:ascii="Arial" w:hAnsi="Arial" w:cs="Arial"/>
          <w:color w:val="auto"/>
          <w:sz w:val="20"/>
          <w:szCs w:val="20"/>
        </w:rPr>
        <w:t xml:space="preserve"> non-cardiac</w:t>
      </w:r>
      <w:r>
        <w:rPr>
          <w:rFonts w:ascii="Arial" w:hAnsi="Arial" w:cs="Arial"/>
          <w:color w:val="auto"/>
          <w:sz w:val="20"/>
          <w:szCs w:val="20"/>
        </w:rPr>
        <w:t xml:space="preserve"> reasons of</w:t>
      </w:r>
      <w:r w:rsidRPr="004D1244">
        <w:rPr>
          <w:rFonts w:ascii="Arial" w:hAnsi="Arial" w:cs="Arial"/>
          <w:color w:val="auto"/>
          <w:sz w:val="20"/>
          <w:szCs w:val="20"/>
        </w:rPr>
        <w:t xml:space="preserve"> </w:t>
      </w:r>
      <w:r>
        <w:rPr>
          <w:rFonts w:ascii="Arial" w:hAnsi="Arial" w:cs="Arial"/>
          <w:color w:val="auto"/>
          <w:sz w:val="20"/>
          <w:szCs w:val="20"/>
        </w:rPr>
        <w:t>reduction in QOL</w:t>
      </w:r>
      <w:bookmarkEnd w:id="1278"/>
      <w:bookmarkEnd w:id="1279"/>
      <w:bookmarkEnd w:id="1280"/>
      <w:bookmarkEnd w:id="1281"/>
      <w:bookmarkEnd w:id="1282"/>
      <w:bookmarkEnd w:id="1283"/>
      <w:bookmarkEnd w:id="1284"/>
      <w:bookmarkEnd w:id="1285"/>
      <w:bookmarkEnd w:id="1286"/>
      <w:bookmarkEnd w:id="1287"/>
    </w:p>
    <w:p w14:paraId="74B3A986" w14:textId="77777777" w:rsidR="004942B6" w:rsidRDefault="004942B6" w:rsidP="004942B6">
      <w:pPr>
        <w:pStyle w:val="Heading2"/>
        <w:spacing w:line="360" w:lineRule="auto"/>
        <w:rPr>
          <w:rFonts w:asciiTheme="minorHAnsi" w:eastAsiaTheme="minorHAnsi" w:hAnsiTheme="minorHAnsi" w:cstheme="minorBidi"/>
          <w:color w:val="auto"/>
          <w:sz w:val="22"/>
          <w:szCs w:val="22"/>
        </w:rPr>
      </w:pPr>
    </w:p>
    <w:p w14:paraId="2B7B5EFC" w14:textId="4E200BAB" w:rsidR="004942B6" w:rsidRPr="00221C46" w:rsidRDefault="004942B6" w:rsidP="004942B6">
      <w:pPr>
        <w:pStyle w:val="Heading2"/>
        <w:spacing w:line="360" w:lineRule="auto"/>
        <w:rPr>
          <w:rFonts w:ascii="Arial" w:hAnsi="Arial" w:cs="Arial"/>
          <w:color w:val="4472C4" w:themeColor="accent1"/>
          <w:sz w:val="28"/>
          <w:szCs w:val="28"/>
        </w:rPr>
      </w:pPr>
      <w:bookmarkStart w:id="1288" w:name="_Toc171203936"/>
      <w:r w:rsidRPr="00221C46">
        <w:rPr>
          <w:rFonts w:ascii="Arial" w:hAnsi="Arial" w:cs="Arial"/>
          <w:color w:val="4472C4" w:themeColor="accent1"/>
          <w:sz w:val="28"/>
          <w:szCs w:val="28"/>
        </w:rPr>
        <w:t>3.</w:t>
      </w:r>
      <w:r w:rsidR="00221C46">
        <w:rPr>
          <w:rFonts w:ascii="Arial" w:hAnsi="Arial" w:cs="Arial"/>
          <w:color w:val="4472C4" w:themeColor="accent1"/>
          <w:sz w:val="28"/>
          <w:szCs w:val="28"/>
        </w:rPr>
        <w:t>6</w:t>
      </w:r>
      <w:r w:rsidRPr="00221C46">
        <w:rPr>
          <w:rFonts w:ascii="Arial" w:hAnsi="Arial" w:cs="Arial"/>
          <w:color w:val="4472C4" w:themeColor="accent1"/>
          <w:sz w:val="28"/>
          <w:szCs w:val="28"/>
        </w:rPr>
        <w:t xml:space="preserve"> Health economics outcomes from the virtual change subset</w:t>
      </w:r>
      <w:bookmarkEnd w:id="1288"/>
      <w:r w:rsidRPr="00221C46">
        <w:rPr>
          <w:rFonts w:ascii="Arial" w:hAnsi="Arial" w:cs="Arial"/>
          <w:color w:val="4472C4" w:themeColor="accent1"/>
          <w:sz w:val="28"/>
          <w:szCs w:val="28"/>
        </w:rPr>
        <w:t xml:space="preserve"> </w:t>
      </w:r>
    </w:p>
    <w:p w14:paraId="36F7B334" w14:textId="77777777" w:rsidR="004942B6" w:rsidRPr="00BD2419" w:rsidRDefault="004942B6" w:rsidP="004942B6">
      <w:pPr>
        <w:spacing w:line="360" w:lineRule="auto"/>
        <w:rPr>
          <w:rFonts w:ascii="Arial" w:hAnsi="Arial" w:cs="Arial"/>
          <w:color w:val="4472C4" w:themeColor="accent1"/>
          <w:sz w:val="24"/>
          <w:szCs w:val="24"/>
        </w:rPr>
      </w:pPr>
    </w:p>
    <w:p w14:paraId="57A29A92" w14:textId="6204AB90" w:rsidR="004942B6" w:rsidRPr="00BD2419" w:rsidRDefault="004942B6" w:rsidP="00BD2419">
      <w:pPr>
        <w:pStyle w:val="Heading3"/>
        <w:spacing w:line="360" w:lineRule="auto"/>
        <w:jc w:val="both"/>
        <w:rPr>
          <w:rFonts w:ascii="Arial" w:hAnsi="Arial" w:cs="Arial"/>
          <w:color w:val="4472C4" w:themeColor="accent1"/>
          <w:sz w:val="24"/>
          <w:szCs w:val="24"/>
        </w:rPr>
      </w:pPr>
      <w:bookmarkStart w:id="1289" w:name="_Toc159613626"/>
      <w:bookmarkStart w:id="1290" w:name="_Toc160981287"/>
      <w:bookmarkStart w:id="1291" w:name="_Toc170075103"/>
      <w:bookmarkStart w:id="1292" w:name="_Toc170076090"/>
      <w:bookmarkStart w:id="1293" w:name="_Toc171203165"/>
      <w:bookmarkStart w:id="1294" w:name="_Toc171203937"/>
      <w:r w:rsidRPr="00BD2419">
        <w:rPr>
          <w:rFonts w:ascii="Arial" w:hAnsi="Arial" w:cs="Arial"/>
          <w:color w:val="4472C4" w:themeColor="accent1"/>
          <w:sz w:val="24"/>
          <w:szCs w:val="24"/>
        </w:rPr>
        <w:t>3.</w:t>
      </w:r>
      <w:r w:rsidR="00221C46">
        <w:rPr>
          <w:rFonts w:ascii="Arial" w:hAnsi="Arial" w:cs="Arial"/>
          <w:color w:val="4472C4" w:themeColor="accent1"/>
          <w:sz w:val="24"/>
          <w:szCs w:val="24"/>
        </w:rPr>
        <w:t>6</w:t>
      </w:r>
      <w:r w:rsidRPr="00BD2419">
        <w:rPr>
          <w:rFonts w:ascii="Arial" w:hAnsi="Arial" w:cs="Arial"/>
          <w:color w:val="4472C4" w:themeColor="accent1"/>
          <w:sz w:val="24"/>
          <w:szCs w:val="24"/>
        </w:rPr>
        <w:t>.1 Total cost of the virtual change subset according to the management plans (OMT, PCI, CABG)</w:t>
      </w:r>
      <w:bookmarkEnd w:id="1289"/>
      <w:bookmarkEnd w:id="1290"/>
      <w:bookmarkEnd w:id="1291"/>
      <w:bookmarkEnd w:id="1292"/>
      <w:bookmarkEnd w:id="1293"/>
      <w:bookmarkEnd w:id="1294"/>
    </w:p>
    <w:p w14:paraId="1410B439" w14:textId="78E6FC1D" w:rsidR="004942B6" w:rsidRDefault="004942B6" w:rsidP="004942B6">
      <w:pPr>
        <w:spacing w:line="360" w:lineRule="auto"/>
        <w:jc w:val="both"/>
      </w:pPr>
      <w:r w:rsidRPr="005020E9">
        <w:rPr>
          <w:rFonts w:ascii="Arial" w:hAnsi="Arial" w:cs="Arial"/>
          <w:sz w:val="24"/>
          <w:szCs w:val="24"/>
        </w:rPr>
        <w:t>The total cost</w:t>
      </w:r>
      <w:r>
        <w:rPr>
          <w:rFonts w:ascii="Arial" w:hAnsi="Arial" w:cs="Arial"/>
          <w:sz w:val="24"/>
          <w:szCs w:val="24"/>
        </w:rPr>
        <w:t>,</w:t>
      </w:r>
      <w:r w:rsidRPr="005020E9">
        <w:rPr>
          <w:rFonts w:ascii="Arial" w:hAnsi="Arial" w:cs="Arial"/>
          <w:sz w:val="24"/>
          <w:szCs w:val="24"/>
        </w:rPr>
        <w:t xml:space="preserve"> including any hospital re-admission, repeat revascularisation, outpatient visit and investigations, and cardiac rehabilitation</w:t>
      </w:r>
      <w:r>
        <w:rPr>
          <w:rFonts w:ascii="Arial" w:hAnsi="Arial" w:cs="Arial"/>
          <w:sz w:val="24"/>
          <w:szCs w:val="24"/>
        </w:rPr>
        <w:t>,</w:t>
      </w:r>
      <w:r w:rsidRPr="005020E9">
        <w:rPr>
          <w:rFonts w:ascii="Arial" w:hAnsi="Arial" w:cs="Arial"/>
          <w:sz w:val="24"/>
          <w:szCs w:val="24"/>
        </w:rPr>
        <w:t xml:space="preserve"> of all the patients in the </w:t>
      </w:r>
      <w:r>
        <w:rPr>
          <w:rFonts w:ascii="Arial" w:hAnsi="Arial" w:cs="Arial"/>
          <w:sz w:val="24"/>
          <w:szCs w:val="24"/>
        </w:rPr>
        <w:t>virtual change subset</w:t>
      </w:r>
      <w:r w:rsidRPr="005020E9">
        <w:rPr>
          <w:rFonts w:ascii="Arial" w:hAnsi="Arial" w:cs="Arial"/>
          <w:sz w:val="24"/>
          <w:szCs w:val="24"/>
        </w:rPr>
        <w:t xml:space="preserve">, according to the management plans (OMT, PCI, CABG), </w:t>
      </w:r>
      <w:r>
        <w:rPr>
          <w:rFonts w:ascii="Arial" w:hAnsi="Arial" w:cs="Arial"/>
          <w:sz w:val="24"/>
          <w:szCs w:val="24"/>
        </w:rPr>
        <w:t>are</w:t>
      </w:r>
      <w:r w:rsidRPr="005020E9">
        <w:rPr>
          <w:rFonts w:ascii="Arial" w:hAnsi="Arial" w:cs="Arial"/>
          <w:sz w:val="24"/>
          <w:szCs w:val="24"/>
        </w:rPr>
        <w:t xml:space="preserve"> summarised in Figure </w:t>
      </w:r>
      <w:r w:rsidR="008A3E77">
        <w:rPr>
          <w:rFonts w:ascii="Arial" w:hAnsi="Arial" w:cs="Arial"/>
          <w:sz w:val="24"/>
          <w:szCs w:val="24"/>
        </w:rPr>
        <w:t>5</w:t>
      </w:r>
      <w:r w:rsidR="001823B4">
        <w:rPr>
          <w:rFonts w:ascii="Arial" w:hAnsi="Arial" w:cs="Arial"/>
          <w:sz w:val="24"/>
          <w:szCs w:val="24"/>
        </w:rPr>
        <w:t>8</w:t>
      </w:r>
      <w:r w:rsidRPr="005020E9">
        <w:rPr>
          <w:rFonts w:ascii="Arial" w:hAnsi="Arial" w:cs="Arial"/>
          <w:sz w:val="24"/>
          <w:szCs w:val="24"/>
        </w:rPr>
        <w:t>.</w:t>
      </w:r>
    </w:p>
    <w:p w14:paraId="5FDEB8BC" w14:textId="77777777" w:rsidR="004942B6" w:rsidRDefault="004942B6" w:rsidP="004942B6">
      <w:pPr>
        <w:keepNext/>
        <w:jc w:val="both"/>
      </w:pPr>
      <w:r>
        <w:rPr>
          <w:noProof/>
          <w:lang w:eastAsia="en-GB"/>
        </w:rPr>
        <w:lastRenderedPageBreak/>
        <w:drawing>
          <wp:inline distT="0" distB="0" distL="0" distR="0" wp14:anchorId="70970519" wp14:editId="6CAB8D23">
            <wp:extent cx="6122348" cy="3995697"/>
            <wp:effectExtent l="0" t="0" r="0" b="0"/>
            <wp:docPr id="1877650773" name="Picture 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50773" name="Picture 6" descr="A screenshot of a computer"/>
                    <pic:cNvPicPr/>
                  </pic:nvPicPr>
                  <pic:blipFill rotWithShape="1">
                    <a:blip r:embed="rId88" cstate="print">
                      <a:extLst>
                        <a:ext uri="{28A0092B-C50C-407E-A947-70E740481C1C}">
                          <a14:useLocalDpi xmlns:a14="http://schemas.microsoft.com/office/drawing/2010/main" val="0"/>
                        </a:ext>
                      </a:extLst>
                    </a:blip>
                    <a:srcRect l="5497" t="1341" r="5751" b="15910"/>
                    <a:stretch/>
                  </pic:blipFill>
                  <pic:spPr bwMode="auto">
                    <a:xfrm>
                      <a:off x="0" y="0"/>
                      <a:ext cx="6130154" cy="4000791"/>
                    </a:xfrm>
                    <a:prstGeom prst="rect">
                      <a:avLst/>
                    </a:prstGeom>
                    <a:ln>
                      <a:noFill/>
                    </a:ln>
                    <a:extLst>
                      <a:ext uri="{53640926-AAD7-44D8-BBD7-CCE9431645EC}">
                        <a14:shadowObscured xmlns:a14="http://schemas.microsoft.com/office/drawing/2010/main"/>
                      </a:ext>
                    </a:extLst>
                  </pic:spPr>
                </pic:pic>
              </a:graphicData>
            </a:graphic>
          </wp:inline>
        </w:drawing>
      </w:r>
    </w:p>
    <w:p w14:paraId="7E61EFD1" w14:textId="23083974" w:rsidR="004942B6" w:rsidRPr="004D1244" w:rsidRDefault="004942B6" w:rsidP="004942B6">
      <w:pPr>
        <w:pStyle w:val="Caption"/>
        <w:jc w:val="both"/>
        <w:rPr>
          <w:rFonts w:ascii="Arial" w:hAnsi="Arial" w:cs="Arial"/>
          <w:color w:val="auto"/>
          <w:sz w:val="20"/>
          <w:szCs w:val="20"/>
        </w:rPr>
      </w:pPr>
      <w:bookmarkStart w:id="1295" w:name="_Toc151222863"/>
      <w:bookmarkStart w:id="1296" w:name="_Toc151626703"/>
      <w:bookmarkStart w:id="1297" w:name="_Toc152340499"/>
      <w:bookmarkStart w:id="1298" w:name="_Toc152492292"/>
      <w:bookmarkStart w:id="1299" w:name="_Toc152596980"/>
      <w:bookmarkStart w:id="1300" w:name="_Toc153409687"/>
      <w:bookmarkStart w:id="1301" w:name="_Toc153724934"/>
      <w:bookmarkStart w:id="1302" w:name="_Toc159318527"/>
      <w:bookmarkStart w:id="1303" w:name="_Toc159612053"/>
      <w:bookmarkStart w:id="1304" w:name="_Toc160982699"/>
      <w:bookmarkStart w:id="1305" w:name="_Toc164697525"/>
      <w:bookmarkStart w:id="1306" w:name="_Toc170744618"/>
      <w:bookmarkStart w:id="1307" w:name="_Toc196153250"/>
      <w:r w:rsidRPr="00383BDE">
        <w:rPr>
          <w:rFonts w:ascii="Arial" w:hAnsi="Arial" w:cs="Arial"/>
          <w:b/>
          <w:bCs/>
          <w:color w:val="auto"/>
          <w:sz w:val="20"/>
          <w:szCs w:val="20"/>
        </w:rPr>
        <w:t xml:space="preserve">Figure </w:t>
      </w:r>
      <w:r w:rsidRPr="00383BDE">
        <w:rPr>
          <w:rFonts w:ascii="Arial" w:hAnsi="Arial" w:cs="Arial"/>
          <w:b/>
          <w:bCs/>
          <w:color w:val="auto"/>
          <w:sz w:val="20"/>
          <w:szCs w:val="20"/>
        </w:rPr>
        <w:fldChar w:fldCharType="begin"/>
      </w:r>
      <w:r w:rsidRPr="00383BDE">
        <w:rPr>
          <w:rFonts w:ascii="Arial" w:hAnsi="Arial" w:cs="Arial"/>
          <w:b/>
          <w:bCs/>
          <w:color w:val="auto"/>
          <w:sz w:val="20"/>
          <w:szCs w:val="20"/>
        </w:rPr>
        <w:instrText xml:space="preserve"> SEQ Figure \* ARABIC </w:instrText>
      </w:r>
      <w:r w:rsidRPr="00383BDE">
        <w:rPr>
          <w:rFonts w:ascii="Arial" w:hAnsi="Arial" w:cs="Arial"/>
          <w:b/>
          <w:bCs/>
          <w:color w:val="auto"/>
          <w:sz w:val="20"/>
          <w:szCs w:val="20"/>
        </w:rPr>
        <w:fldChar w:fldCharType="separate"/>
      </w:r>
      <w:r w:rsidR="001823B4">
        <w:rPr>
          <w:rFonts w:ascii="Arial" w:hAnsi="Arial" w:cs="Arial"/>
          <w:b/>
          <w:bCs/>
          <w:noProof/>
          <w:color w:val="auto"/>
          <w:sz w:val="20"/>
          <w:szCs w:val="20"/>
        </w:rPr>
        <w:t>58</w:t>
      </w:r>
      <w:r w:rsidRPr="00383BDE">
        <w:rPr>
          <w:rFonts w:ascii="Arial" w:hAnsi="Arial" w:cs="Arial"/>
          <w:b/>
          <w:bCs/>
          <w:color w:val="auto"/>
          <w:sz w:val="20"/>
          <w:szCs w:val="20"/>
        </w:rPr>
        <w:fldChar w:fldCharType="end"/>
      </w:r>
      <w:r w:rsidRPr="004D1244">
        <w:rPr>
          <w:rFonts w:ascii="Arial" w:hAnsi="Arial" w:cs="Arial"/>
          <w:color w:val="auto"/>
          <w:sz w:val="20"/>
          <w:szCs w:val="20"/>
        </w:rPr>
        <w:t xml:space="preserve">: </w:t>
      </w:r>
      <w:r>
        <w:rPr>
          <w:rFonts w:ascii="Arial" w:hAnsi="Arial" w:cs="Arial"/>
          <w:color w:val="auto"/>
          <w:sz w:val="20"/>
          <w:szCs w:val="20"/>
        </w:rPr>
        <w:t>T</w:t>
      </w:r>
      <w:r w:rsidRPr="004D1244">
        <w:rPr>
          <w:rFonts w:ascii="Arial" w:hAnsi="Arial" w:cs="Arial"/>
          <w:color w:val="auto"/>
          <w:sz w:val="20"/>
          <w:szCs w:val="20"/>
        </w:rPr>
        <w:t>otal cost f</w:t>
      </w:r>
      <w:r>
        <w:rPr>
          <w:rFonts w:ascii="Arial" w:hAnsi="Arial" w:cs="Arial"/>
          <w:color w:val="auto"/>
          <w:sz w:val="20"/>
          <w:szCs w:val="20"/>
        </w:rPr>
        <w:t>or</w:t>
      </w:r>
      <w:r w:rsidRPr="004D1244">
        <w:rPr>
          <w:rFonts w:ascii="Arial" w:hAnsi="Arial" w:cs="Arial"/>
          <w:color w:val="auto"/>
          <w:sz w:val="20"/>
          <w:szCs w:val="20"/>
        </w:rPr>
        <w:t xml:space="preserve"> the </w:t>
      </w:r>
      <w:r>
        <w:rPr>
          <w:rFonts w:ascii="Arial" w:hAnsi="Arial" w:cs="Arial"/>
          <w:color w:val="auto"/>
          <w:sz w:val="20"/>
          <w:szCs w:val="20"/>
        </w:rPr>
        <w:t>virtual change subset</w:t>
      </w:r>
      <w:r w:rsidRPr="004D1244">
        <w:rPr>
          <w:rFonts w:ascii="Arial" w:hAnsi="Arial" w:cs="Arial"/>
          <w:color w:val="auto"/>
          <w:sz w:val="20"/>
          <w:szCs w:val="20"/>
        </w:rPr>
        <w:t xml:space="preserve"> according to the management plans (OMT, PCI</w:t>
      </w:r>
      <w:r>
        <w:rPr>
          <w:rFonts w:ascii="Arial" w:hAnsi="Arial" w:cs="Arial"/>
          <w:color w:val="auto"/>
          <w:sz w:val="20"/>
          <w:szCs w:val="20"/>
        </w:rPr>
        <w:t>,</w:t>
      </w:r>
      <w:r w:rsidRPr="004D1244">
        <w:rPr>
          <w:rFonts w:ascii="Arial" w:hAnsi="Arial" w:cs="Arial"/>
          <w:color w:val="auto"/>
          <w:sz w:val="20"/>
          <w:szCs w:val="20"/>
        </w:rPr>
        <w:t xml:space="preserve"> and CABG)</w:t>
      </w:r>
      <w:bookmarkEnd w:id="1295"/>
      <w:bookmarkEnd w:id="1296"/>
      <w:bookmarkEnd w:id="1297"/>
      <w:bookmarkEnd w:id="1298"/>
      <w:bookmarkEnd w:id="1299"/>
      <w:bookmarkEnd w:id="1300"/>
      <w:bookmarkEnd w:id="1301"/>
      <w:bookmarkEnd w:id="1302"/>
      <w:bookmarkEnd w:id="1303"/>
      <w:bookmarkEnd w:id="1304"/>
      <w:bookmarkEnd w:id="1305"/>
      <w:bookmarkEnd w:id="1306"/>
      <w:bookmarkEnd w:id="1307"/>
    </w:p>
    <w:p w14:paraId="0E3A17DF" w14:textId="77777777" w:rsidR="004942B6" w:rsidRDefault="004942B6" w:rsidP="004942B6">
      <w:pPr>
        <w:jc w:val="both"/>
      </w:pPr>
    </w:p>
    <w:p w14:paraId="65B26BB3" w14:textId="6C1223A7" w:rsidR="004942B6" w:rsidRPr="00BD2419" w:rsidRDefault="004942B6" w:rsidP="004942B6">
      <w:pPr>
        <w:pStyle w:val="Heading3"/>
        <w:spacing w:line="360" w:lineRule="auto"/>
        <w:jc w:val="both"/>
        <w:rPr>
          <w:rFonts w:ascii="Arial" w:hAnsi="Arial" w:cs="Arial"/>
          <w:color w:val="4472C4" w:themeColor="accent1"/>
          <w:sz w:val="24"/>
          <w:szCs w:val="24"/>
        </w:rPr>
      </w:pPr>
      <w:bookmarkStart w:id="1308" w:name="_Toc159613627"/>
      <w:bookmarkStart w:id="1309" w:name="_Toc160981288"/>
      <w:bookmarkStart w:id="1310" w:name="_Toc170075104"/>
      <w:bookmarkStart w:id="1311" w:name="_Toc170076091"/>
      <w:bookmarkStart w:id="1312" w:name="_Toc170577790"/>
      <w:bookmarkStart w:id="1313" w:name="_Toc171203166"/>
      <w:bookmarkStart w:id="1314" w:name="_Toc171203938"/>
      <w:r w:rsidRPr="00BD2419">
        <w:rPr>
          <w:rFonts w:ascii="Arial" w:hAnsi="Arial" w:cs="Arial"/>
          <w:color w:val="4472C4" w:themeColor="accent1"/>
          <w:sz w:val="24"/>
          <w:szCs w:val="24"/>
        </w:rPr>
        <w:t>3.</w:t>
      </w:r>
      <w:r w:rsidR="00221C46">
        <w:rPr>
          <w:rFonts w:ascii="Arial" w:hAnsi="Arial" w:cs="Arial"/>
          <w:color w:val="4472C4" w:themeColor="accent1"/>
          <w:sz w:val="24"/>
          <w:szCs w:val="24"/>
        </w:rPr>
        <w:t>6</w:t>
      </w:r>
      <w:r w:rsidRPr="00BD2419">
        <w:rPr>
          <w:rFonts w:ascii="Arial" w:hAnsi="Arial" w:cs="Arial"/>
          <w:color w:val="4472C4" w:themeColor="accent1"/>
          <w:sz w:val="24"/>
          <w:szCs w:val="24"/>
        </w:rPr>
        <w:t xml:space="preserve">.2 Comparison of individualised "actual" and </w:t>
      </w:r>
      <w:r w:rsidR="00223BED">
        <w:rPr>
          <w:rFonts w:ascii="Arial" w:hAnsi="Arial" w:cs="Arial"/>
          <w:color w:val="4472C4" w:themeColor="accent1"/>
          <w:sz w:val="24"/>
          <w:szCs w:val="24"/>
        </w:rPr>
        <w:t xml:space="preserve">post-vFFR </w:t>
      </w:r>
      <w:r w:rsidRPr="00BD2419">
        <w:rPr>
          <w:rFonts w:ascii="Arial" w:hAnsi="Arial" w:cs="Arial"/>
          <w:color w:val="4472C4" w:themeColor="accent1"/>
          <w:sz w:val="24"/>
          <w:szCs w:val="24"/>
        </w:rPr>
        <w:t>"virtual" costs of the index procedure</w:t>
      </w:r>
      <w:r w:rsidR="00221C46">
        <w:rPr>
          <w:rFonts w:ascii="Arial" w:hAnsi="Arial" w:cs="Arial"/>
          <w:color w:val="4472C4" w:themeColor="accent1"/>
          <w:sz w:val="24"/>
          <w:szCs w:val="24"/>
        </w:rPr>
        <w:t xml:space="preserve"> with</w:t>
      </w:r>
      <w:r w:rsidRPr="00BD2419">
        <w:rPr>
          <w:rFonts w:ascii="Arial" w:hAnsi="Arial" w:cs="Arial"/>
          <w:color w:val="4472C4" w:themeColor="accent1"/>
          <w:sz w:val="24"/>
          <w:szCs w:val="24"/>
        </w:rPr>
        <w:t>in the virtual change subset</w:t>
      </w:r>
      <w:bookmarkEnd w:id="1308"/>
      <w:bookmarkEnd w:id="1309"/>
      <w:r w:rsidRPr="00BD2419">
        <w:rPr>
          <w:rFonts w:ascii="Arial" w:hAnsi="Arial" w:cs="Arial"/>
          <w:color w:val="4472C4" w:themeColor="accent1"/>
          <w:sz w:val="24"/>
          <w:szCs w:val="24"/>
        </w:rPr>
        <w:t xml:space="preserve"> </w:t>
      </w:r>
      <w:r w:rsidR="00221C46">
        <w:rPr>
          <w:rFonts w:ascii="Arial" w:hAnsi="Arial" w:cs="Arial"/>
          <w:color w:val="4472C4" w:themeColor="accent1"/>
          <w:sz w:val="24"/>
          <w:szCs w:val="24"/>
        </w:rPr>
        <w:t>– according to the parent cardiologists’ plan</w:t>
      </w:r>
      <w:bookmarkEnd w:id="1310"/>
      <w:bookmarkEnd w:id="1311"/>
      <w:bookmarkEnd w:id="1312"/>
      <w:bookmarkEnd w:id="1313"/>
      <w:bookmarkEnd w:id="1314"/>
    </w:p>
    <w:p w14:paraId="08DA99E2" w14:textId="77777777" w:rsidR="004942B6" w:rsidRPr="00C31679" w:rsidRDefault="004942B6" w:rsidP="004942B6">
      <w:pPr>
        <w:spacing w:line="360" w:lineRule="auto"/>
        <w:jc w:val="both"/>
        <w:rPr>
          <w:rFonts w:ascii="Arial" w:hAnsi="Arial" w:cs="Arial"/>
          <w:sz w:val="24"/>
          <w:szCs w:val="24"/>
        </w:rPr>
      </w:pPr>
      <w:r>
        <w:rPr>
          <w:rFonts w:ascii="Arial" w:hAnsi="Arial" w:cs="Arial"/>
          <w:sz w:val="24"/>
          <w:szCs w:val="24"/>
        </w:rPr>
        <w:t>Following the vFFR-suggested plans in ACS patients (n=39), 30</w:t>
      </w:r>
      <w:r w:rsidRPr="004042D4">
        <w:rPr>
          <w:rFonts w:ascii="Arial" w:hAnsi="Arial" w:cs="Arial"/>
          <w:sz w:val="24"/>
          <w:szCs w:val="24"/>
        </w:rPr>
        <w:t>/39 (7</w:t>
      </w:r>
      <w:r>
        <w:rPr>
          <w:rFonts w:ascii="Arial" w:hAnsi="Arial" w:cs="Arial"/>
          <w:sz w:val="24"/>
          <w:szCs w:val="24"/>
        </w:rPr>
        <w:t>6.9</w:t>
      </w:r>
      <w:r w:rsidRPr="004042D4">
        <w:rPr>
          <w:rFonts w:ascii="Arial" w:hAnsi="Arial" w:cs="Arial"/>
          <w:sz w:val="24"/>
          <w:szCs w:val="24"/>
        </w:rPr>
        <w:t xml:space="preserve">%) </w:t>
      </w:r>
      <w:r>
        <w:rPr>
          <w:rFonts w:ascii="Arial" w:hAnsi="Arial" w:cs="Arial"/>
          <w:sz w:val="24"/>
          <w:szCs w:val="24"/>
        </w:rPr>
        <w:t>patients would have</w:t>
      </w:r>
      <w:r w:rsidRPr="004042D4">
        <w:rPr>
          <w:rFonts w:ascii="Arial" w:hAnsi="Arial" w:cs="Arial"/>
          <w:sz w:val="24"/>
          <w:szCs w:val="24"/>
        </w:rPr>
        <w:t xml:space="preserve"> a virtual decrease</w:t>
      </w:r>
      <w:r>
        <w:rPr>
          <w:rFonts w:ascii="Arial" w:hAnsi="Arial" w:cs="Arial"/>
          <w:sz w:val="24"/>
          <w:szCs w:val="24"/>
        </w:rPr>
        <w:t>, while 9</w:t>
      </w:r>
      <w:r w:rsidRPr="004042D4">
        <w:rPr>
          <w:rFonts w:ascii="Arial" w:hAnsi="Arial" w:cs="Arial"/>
          <w:sz w:val="24"/>
          <w:szCs w:val="24"/>
        </w:rPr>
        <w:t>/39 (2</w:t>
      </w:r>
      <w:r>
        <w:rPr>
          <w:rFonts w:ascii="Arial" w:hAnsi="Arial" w:cs="Arial"/>
          <w:sz w:val="24"/>
          <w:szCs w:val="24"/>
        </w:rPr>
        <w:t>3</w:t>
      </w:r>
      <w:r w:rsidRPr="004042D4">
        <w:rPr>
          <w:rFonts w:ascii="Arial" w:hAnsi="Arial" w:cs="Arial"/>
          <w:sz w:val="24"/>
          <w:szCs w:val="24"/>
        </w:rPr>
        <w:t xml:space="preserve">%) patients had </w:t>
      </w:r>
      <w:r>
        <w:rPr>
          <w:rFonts w:ascii="Arial" w:hAnsi="Arial" w:cs="Arial"/>
          <w:sz w:val="24"/>
          <w:szCs w:val="24"/>
        </w:rPr>
        <w:t>a virtual</w:t>
      </w:r>
      <w:r w:rsidRPr="004042D4">
        <w:rPr>
          <w:rFonts w:ascii="Arial" w:hAnsi="Arial" w:cs="Arial"/>
          <w:sz w:val="24"/>
          <w:szCs w:val="24"/>
        </w:rPr>
        <w:t xml:space="preserve"> increase</w:t>
      </w:r>
      <w:r>
        <w:rPr>
          <w:rFonts w:ascii="Arial" w:hAnsi="Arial" w:cs="Arial"/>
          <w:sz w:val="24"/>
          <w:szCs w:val="24"/>
        </w:rPr>
        <w:t xml:space="preserve"> </w:t>
      </w:r>
      <w:r w:rsidRPr="004042D4">
        <w:rPr>
          <w:rFonts w:ascii="Arial" w:hAnsi="Arial" w:cs="Arial"/>
          <w:sz w:val="24"/>
          <w:szCs w:val="24"/>
        </w:rPr>
        <w:t>in the</w:t>
      </w:r>
      <w:r>
        <w:rPr>
          <w:rFonts w:ascii="Arial" w:hAnsi="Arial" w:cs="Arial"/>
          <w:sz w:val="24"/>
          <w:szCs w:val="24"/>
        </w:rPr>
        <w:t xml:space="preserve"> </w:t>
      </w:r>
      <w:r w:rsidRPr="004042D4">
        <w:rPr>
          <w:rFonts w:ascii="Arial" w:hAnsi="Arial" w:cs="Arial"/>
          <w:sz w:val="24"/>
          <w:szCs w:val="24"/>
        </w:rPr>
        <w:t>cost of indexed procedure</w:t>
      </w:r>
      <w:r>
        <w:rPr>
          <w:rFonts w:ascii="Arial" w:hAnsi="Arial" w:cs="Arial"/>
          <w:sz w:val="24"/>
          <w:szCs w:val="24"/>
        </w:rPr>
        <w:t>s</w:t>
      </w:r>
      <w:r w:rsidRPr="004042D4">
        <w:rPr>
          <w:rFonts w:ascii="Arial" w:hAnsi="Arial" w:cs="Arial"/>
          <w:sz w:val="24"/>
          <w:szCs w:val="24"/>
        </w:rPr>
        <w:t>.</w:t>
      </w:r>
      <w:r>
        <w:rPr>
          <w:rFonts w:ascii="Arial" w:hAnsi="Arial" w:cs="Arial"/>
          <w:sz w:val="24"/>
          <w:szCs w:val="24"/>
        </w:rPr>
        <w:t xml:space="preserve"> In addition</w:t>
      </w:r>
      <w:r w:rsidRPr="004042D4">
        <w:rPr>
          <w:rFonts w:ascii="Arial" w:hAnsi="Arial" w:cs="Arial"/>
          <w:sz w:val="24"/>
          <w:szCs w:val="24"/>
        </w:rPr>
        <w:t>, 2</w:t>
      </w:r>
      <w:r>
        <w:rPr>
          <w:rFonts w:ascii="Arial" w:hAnsi="Arial" w:cs="Arial"/>
          <w:sz w:val="24"/>
          <w:szCs w:val="24"/>
        </w:rPr>
        <w:t>6</w:t>
      </w:r>
      <w:r w:rsidRPr="004042D4">
        <w:rPr>
          <w:rFonts w:ascii="Arial" w:hAnsi="Arial" w:cs="Arial"/>
          <w:sz w:val="24"/>
          <w:szCs w:val="24"/>
        </w:rPr>
        <w:t xml:space="preserve"> invasive pressure wire assessments could be saved in the 39 </w:t>
      </w:r>
      <w:r>
        <w:rPr>
          <w:rFonts w:ascii="Arial" w:hAnsi="Arial" w:cs="Arial"/>
          <w:sz w:val="24"/>
          <w:szCs w:val="24"/>
        </w:rPr>
        <w:t xml:space="preserve">ACS </w:t>
      </w:r>
      <w:r w:rsidRPr="004042D4">
        <w:rPr>
          <w:rFonts w:ascii="Arial" w:hAnsi="Arial" w:cs="Arial"/>
          <w:sz w:val="24"/>
          <w:szCs w:val="24"/>
        </w:rPr>
        <w:t>patients</w:t>
      </w:r>
      <w:r>
        <w:rPr>
          <w:rFonts w:ascii="Arial" w:hAnsi="Arial" w:cs="Arial"/>
          <w:sz w:val="24"/>
          <w:szCs w:val="24"/>
        </w:rPr>
        <w:t xml:space="preserve"> (each pressure wire costs £586)</w:t>
      </w:r>
      <w:r w:rsidRPr="004042D4">
        <w:rPr>
          <w:rFonts w:ascii="Arial" w:hAnsi="Arial" w:cs="Arial"/>
          <w:sz w:val="24"/>
          <w:szCs w:val="24"/>
        </w:rPr>
        <w:t xml:space="preserve">. The </w:t>
      </w:r>
      <w:r>
        <w:rPr>
          <w:rFonts w:ascii="Arial" w:hAnsi="Arial" w:cs="Arial"/>
          <w:sz w:val="24"/>
          <w:szCs w:val="24"/>
        </w:rPr>
        <w:t xml:space="preserve">total savings in the ACS patients would have been significantly more had one patient’s plan not notionally changed from multivessel PCI to CABG </w:t>
      </w:r>
      <w:r w:rsidRPr="004042D4">
        <w:rPr>
          <w:rFonts w:ascii="Arial" w:hAnsi="Arial" w:cs="Arial"/>
          <w:sz w:val="24"/>
          <w:szCs w:val="24"/>
        </w:rPr>
        <w:t xml:space="preserve">(CABG </w:t>
      </w:r>
      <w:r>
        <w:rPr>
          <w:rFonts w:ascii="Arial" w:hAnsi="Arial" w:cs="Arial"/>
          <w:sz w:val="24"/>
          <w:szCs w:val="24"/>
        </w:rPr>
        <w:t>being the most expensive plan costing up to £10828</w:t>
      </w:r>
      <w:r w:rsidRPr="004042D4">
        <w:rPr>
          <w:rFonts w:ascii="Arial" w:hAnsi="Arial" w:cs="Arial"/>
          <w:sz w:val="24"/>
          <w:szCs w:val="24"/>
        </w:rPr>
        <w:t>).</w:t>
      </w:r>
      <w:r>
        <w:rPr>
          <w:rFonts w:ascii="Arial" w:hAnsi="Arial" w:cs="Arial"/>
          <w:sz w:val="24"/>
          <w:szCs w:val="24"/>
        </w:rPr>
        <w:t xml:space="preserve"> </w:t>
      </w:r>
      <w:r w:rsidRPr="00665839">
        <w:rPr>
          <w:rFonts w:ascii="Arial" w:hAnsi="Arial" w:cs="Arial"/>
          <w:sz w:val="24"/>
          <w:szCs w:val="24"/>
        </w:rPr>
        <w:t xml:space="preserve">This alteration in the management strategy of a single patient to CABG impacted the overall savings in ACS patients by £8972. However, this shows real-world clinical practice. </w:t>
      </w:r>
      <w:r w:rsidRPr="004042D4">
        <w:rPr>
          <w:rFonts w:ascii="Arial" w:hAnsi="Arial" w:cs="Arial"/>
          <w:sz w:val="24"/>
          <w:szCs w:val="24"/>
        </w:rPr>
        <w:t>In the CCS patients</w:t>
      </w:r>
      <w:r>
        <w:rPr>
          <w:rFonts w:ascii="Arial" w:hAnsi="Arial" w:cs="Arial"/>
          <w:sz w:val="24"/>
          <w:szCs w:val="24"/>
        </w:rPr>
        <w:t xml:space="preserve"> (n=26)</w:t>
      </w:r>
      <w:r w:rsidRPr="004042D4">
        <w:rPr>
          <w:rFonts w:ascii="Arial" w:hAnsi="Arial" w:cs="Arial"/>
          <w:sz w:val="24"/>
          <w:szCs w:val="24"/>
        </w:rPr>
        <w:t>, 21/26</w:t>
      </w:r>
      <w:r>
        <w:rPr>
          <w:rFonts w:ascii="Arial" w:hAnsi="Arial" w:cs="Arial"/>
          <w:sz w:val="24"/>
          <w:szCs w:val="24"/>
        </w:rPr>
        <w:t xml:space="preserve"> (80%)</w:t>
      </w:r>
      <w:r w:rsidRPr="004042D4">
        <w:rPr>
          <w:rFonts w:ascii="Arial" w:hAnsi="Arial" w:cs="Arial"/>
          <w:sz w:val="24"/>
          <w:szCs w:val="24"/>
        </w:rPr>
        <w:t xml:space="preserve"> patients had a</w:t>
      </w:r>
      <w:r>
        <w:rPr>
          <w:rFonts w:ascii="Arial" w:hAnsi="Arial" w:cs="Arial"/>
          <w:sz w:val="24"/>
          <w:szCs w:val="24"/>
        </w:rPr>
        <w:t xml:space="preserve"> virtual</w:t>
      </w:r>
      <w:r w:rsidRPr="004042D4">
        <w:rPr>
          <w:rFonts w:ascii="Arial" w:hAnsi="Arial" w:cs="Arial"/>
          <w:sz w:val="24"/>
          <w:szCs w:val="24"/>
        </w:rPr>
        <w:t xml:space="preserve"> increase, 4/26</w:t>
      </w:r>
      <w:r>
        <w:rPr>
          <w:rFonts w:ascii="Arial" w:hAnsi="Arial" w:cs="Arial"/>
          <w:sz w:val="24"/>
          <w:szCs w:val="24"/>
        </w:rPr>
        <w:t xml:space="preserve"> (15.3%)</w:t>
      </w:r>
      <w:r w:rsidRPr="004042D4">
        <w:rPr>
          <w:rFonts w:ascii="Arial" w:hAnsi="Arial" w:cs="Arial"/>
          <w:sz w:val="24"/>
          <w:szCs w:val="24"/>
        </w:rPr>
        <w:t xml:space="preserve"> had a decrease, and 1/26</w:t>
      </w:r>
      <w:r>
        <w:rPr>
          <w:rFonts w:ascii="Arial" w:hAnsi="Arial" w:cs="Arial"/>
          <w:sz w:val="24"/>
          <w:szCs w:val="24"/>
        </w:rPr>
        <w:t xml:space="preserve"> (3.8%)</w:t>
      </w:r>
      <w:r w:rsidRPr="004042D4">
        <w:rPr>
          <w:rFonts w:ascii="Arial" w:hAnsi="Arial" w:cs="Arial"/>
          <w:sz w:val="24"/>
          <w:szCs w:val="24"/>
        </w:rPr>
        <w:t xml:space="preserve"> had no change in the cost of the indexed procedure with vFFR. The individualised actual and virtual costs of the indexed procedures for the </w:t>
      </w:r>
      <w:r>
        <w:rPr>
          <w:rFonts w:ascii="Arial" w:hAnsi="Arial" w:cs="Arial"/>
          <w:sz w:val="24"/>
          <w:szCs w:val="24"/>
        </w:rPr>
        <w:t>ACS</w:t>
      </w:r>
      <w:r w:rsidRPr="004042D4">
        <w:rPr>
          <w:rFonts w:ascii="Arial" w:hAnsi="Arial" w:cs="Arial"/>
          <w:sz w:val="24"/>
          <w:szCs w:val="24"/>
        </w:rPr>
        <w:t xml:space="preserve"> and </w:t>
      </w:r>
      <w:r>
        <w:rPr>
          <w:rFonts w:ascii="Arial" w:hAnsi="Arial" w:cs="Arial"/>
          <w:sz w:val="24"/>
          <w:szCs w:val="24"/>
        </w:rPr>
        <w:t>CCS</w:t>
      </w:r>
      <w:r w:rsidRPr="004042D4">
        <w:rPr>
          <w:rFonts w:ascii="Arial" w:hAnsi="Arial" w:cs="Arial"/>
          <w:sz w:val="24"/>
          <w:szCs w:val="24"/>
        </w:rPr>
        <w:t xml:space="preserve"> patients from the virtual change subset have been shown in Tables </w:t>
      </w:r>
      <w:r>
        <w:rPr>
          <w:rFonts w:ascii="Arial" w:hAnsi="Arial" w:cs="Arial"/>
          <w:sz w:val="24"/>
          <w:szCs w:val="24"/>
        </w:rPr>
        <w:t>16</w:t>
      </w:r>
      <w:r w:rsidRPr="004042D4">
        <w:rPr>
          <w:rFonts w:ascii="Arial" w:hAnsi="Arial" w:cs="Arial"/>
          <w:sz w:val="24"/>
          <w:szCs w:val="24"/>
        </w:rPr>
        <w:t xml:space="preserve"> and </w:t>
      </w:r>
      <w:r>
        <w:rPr>
          <w:rFonts w:ascii="Arial" w:hAnsi="Arial" w:cs="Arial"/>
          <w:sz w:val="24"/>
          <w:szCs w:val="24"/>
        </w:rPr>
        <w:t>17</w:t>
      </w:r>
      <w:r w:rsidRPr="004042D4">
        <w:rPr>
          <w:rFonts w:ascii="Arial" w:hAnsi="Arial" w:cs="Arial"/>
          <w:sz w:val="24"/>
          <w:szCs w:val="24"/>
        </w:rPr>
        <w:t xml:space="preserve">.    </w:t>
      </w:r>
      <w:r>
        <w:rPr>
          <w:rFonts w:ascii="Arial" w:hAnsi="Arial" w:cs="Arial"/>
          <w:sz w:val="24"/>
          <w:szCs w:val="24"/>
        </w:rPr>
        <w:t xml:space="preserve">  </w:t>
      </w:r>
    </w:p>
    <w:p w14:paraId="454E1D23" w14:textId="23845AD8" w:rsidR="004942B6" w:rsidRPr="00C31679" w:rsidRDefault="004942B6" w:rsidP="004942B6">
      <w:pPr>
        <w:pStyle w:val="Caption"/>
        <w:keepNext/>
        <w:jc w:val="both"/>
        <w:rPr>
          <w:rFonts w:ascii="Arial" w:hAnsi="Arial" w:cs="Arial"/>
          <w:color w:val="auto"/>
          <w:sz w:val="20"/>
          <w:szCs w:val="20"/>
        </w:rPr>
      </w:pPr>
      <w:bookmarkStart w:id="1315" w:name="_Toc159318291"/>
      <w:bookmarkStart w:id="1316" w:name="_Toc159610326"/>
      <w:bookmarkStart w:id="1317" w:name="_Toc164699083"/>
      <w:bookmarkStart w:id="1318" w:name="_Toc171206726"/>
      <w:r w:rsidRPr="00C31679">
        <w:rPr>
          <w:rFonts w:ascii="Arial" w:hAnsi="Arial" w:cs="Arial"/>
          <w:b/>
          <w:bCs/>
          <w:color w:val="auto"/>
          <w:sz w:val="20"/>
          <w:szCs w:val="20"/>
        </w:rPr>
        <w:lastRenderedPageBreak/>
        <w:t xml:space="preserve">Table </w:t>
      </w:r>
      <w:r w:rsidR="00924BD5">
        <w:rPr>
          <w:rFonts w:ascii="Arial" w:hAnsi="Arial" w:cs="Arial"/>
          <w:b/>
          <w:bCs/>
          <w:color w:val="auto"/>
          <w:sz w:val="20"/>
          <w:szCs w:val="20"/>
        </w:rPr>
        <w:t>16</w:t>
      </w:r>
      <w:r w:rsidRPr="00C31679">
        <w:rPr>
          <w:rFonts w:ascii="Arial" w:hAnsi="Arial" w:cs="Arial"/>
          <w:color w:val="auto"/>
          <w:sz w:val="20"/>
          <w:szCs w:val="20"/>
        </w:rPr>
        <w:t>: Comparison of the individualised "actual" and "virtual" cost of the index procedure for the ACS patients (n=39) in the virtual change subset</w:t>
      </w:r>
      <w:bookmarkEnd w:id="1315"/>
      <w:bookmarkEnd w:id="1316"/>
      <w:bookmarkEnd w:id="1317"/>
      <w:r w:rsidR="00221C46">
        <w:rPr>
          <w:rFonts w:ascii="Arial" w:hAnsi="Arial" w:cs="Arial"/>
          <w:color w:val="auto"/>
          <w:sz w:val="20"/>
          <w:szCs w:val="20"/>
        </w:rPr>
        <w:t xml:space="preserve"> according to the parent cardiologists’ plan</w:t>
      </w:r>
      <w:bookmarkEnd w:id="1318"/>
    </w:p>
    <w:tbl>
      <w:tblPr>
        <w:tblpPr w:leftFromText="180" w:rightFromText="180" w:vertAnchor="text" w:horzAnchor="margin" w:tblpY="853"/>
        <w:tblW w:w="9747" w:type="dxa"/>
        <w:tblLook w:val="04A0" w:firstRow="1" w:lastRow="0" w:firstColumn="1" w:lastColumn="0" w:noHBand="0" w:noVBand="1"/>
      </w:tblPr>
      <w:tblGrid>
        <w:gridCol w:w="817"/>
        <w:gridCol w:w="1985"/>
        <w:gridCol w:w="1984"/>
        <w:gridCol w:w="1730"/>
        <w:gridCol w:w="1559"/>
        <w:gridCol w:w="1672"/>
      </w:tblGrid>
      <w:tr w:rsidR="004942B6" w:rsidRPr="00A024DA" w14:paraId="4C78CCFA" w14:textId="77777777" w:rsidTr="002C2525">
        <w:trPr>
          <w:trHeight w:val="960"/>
        </w:trPr>
        <w:tc>
          <w:tcPr>
            <w:tcW w:w="8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C09DBB" w14:textId="77777777" w:rsidR="004942B6" w:rsidRPr="00A16EF7" w:rsidRDefault="004942B6" w:rsidP="002C2525">
            <w:pPr>
              <w:spacing w:after="0" w:line="360" w:lineRule="auto"/>
              <w:jc w:val="both"/>
              <w:rPr>
                <w:b/>
                <w:bCs/>
                <w:sz w:val="24"/>
                <w:szCs w:val="24"/>
              </w:rPr>
            </w:pPr>
            <w:bookmarkStart w:id="1319" w:name="OLE_LINK85"/>
            <w:r w:rsidRPr="00A16EF7">
              <w:rPr>
                <w:b/>
                <w:bCs/>
                <w:sz w:val="24"/>
                <w:szCs w:val="24"/>
              </w:rPr>
              <w:t>Study ID</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14:paraId="586FFCDA" w14:textId="77777777" w:rsidR="004942B6" w:rsidRPr="00A16EF7" w:rsidRDefault="004942B6" w:rsidP="002C2525">
            <w:pPr>
              <w:spacing w:after="0" w:line="360" w:lineRule="auto"/>
              <w:jc w:val="both"/>
              <w:rPr>
                <w:b/>
                <w:bCs/>
                <w:sz w:val="24"/>
                <w:szCs w:val="24"/>
              </w:rPr>
            </w:pPr>
            <w:r>
              <w:rPr>
                <w:b/>
                <w:bCs/>
                <w:sz w:val="24"/>
                <w:szCs w:val="24"/>
              </w:rPr>
              <w:t xml:space="preserve">Actual </w:t>
            </w:r>
            <w:r w:rsidRPr="00A16EF7">
              <w:rPr>
                <w:b/>
                <w:bCs/>
                <w:sz w:val="24"/>
                <w:szCs w:val="24"/>
              </w:rPr>
              <w:t>management plan (A)</w:t>
            </w:r>
            <w:r>
              <w:rPr>
                <w:b/>
                <w:bCs/>
                <w:sz w:val="24"/>
                <w:szCs w:val="24"/>
              </w:rPr>
              <w:t xml:space="preserve"> </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14:paraId="5B4422F1" w14:textId="77777777" w:rsidR="004942B6" w:rsidRPr="00A16EF7" w:rsidRDefault="004942B6" w:rsidP="002C2525">
            <w:pPr>
              <w:spacing w:after="0" w:line="360" w:lineRule="auto"/>
              <w:jc w:val="both"/>
              <w:rPr>
                <w:b/>
                <w:bCs/>
                <w:sz w:val="24"/>
                <w:szCs w:val="24"/>
              </w:rPr>
            </w:pPr>
            <w:r>
              <w:rPr>
                <w:b/>
                <w:bCs/>
                <w:sz w:val="24"/>
                <w:szCs w:val="24"/>
              </w:rPr>
              <w:t>Virtual change in</w:t>
            </w:r>
            <w:r w:rsidRPr="00A16EF7">
              <w:rPr>
                <w:b/>
                <w:bCs/>
                <w:sz w:val="24"/>
                <w:szCs w:val="24"/>
              </w:rPr>
              <w:t xml:space="preserve"> management plan (B)</w:t>
            </w:r>
            <w:r>
              <w:rPr>
                <w:b/>
                <w:bCs/>
                <w:sz w:val="24"/>
                <w:szCs w:val="24"/>
              </w:rPr>
              <w:t xml:space="preserve"> </w:t>
            </w:r>
          </w:p>
        </w:tc>
        <w:tc>
          <w:tcPr>
            <w:tcW w:w="1730" w:type="dxa"/>
            <w:tcBorders>
              <w:top w:val="single" w:sz="4" w:space="0" w:color="auto"/>
              <w:left w:val="nil"/>
              <w:bottom w:val="single" w:sz="4" w:space="0" w:color="auto"/>
              <w:right w:val="single" w:sz="4" w:space="0" w:color="auto"/>
            </w:tcBorders>
            <w:shd w:val="clear" w:color="000000" w:fill="FFFFFF"/>
            <w:vAlign w:val="center"/>
            <w:hideMark/>
          </w:tcPr>
          <w:p w14:paraId="5FFD5908" w14:textId="77777777" w:rsidR="004942B6" w:rsidRPr="00A16EF7" w:rsidRDefault="004942B6" w:rsidP="002C2525">
            <w:pPr>
              <w:spacing w:after="0" w:line="360" w:lineRule="auto"/>
              <w:jc w:val="both"/>
              <w:rPr>
                <w:b/>
                <w:bCs/>
                <w:sz w:val="24"/>
                <w:szCs w:val="24"/>
              </w:rPr>
            </w:pPr>
            <w:r w:rsidRPr="00A16EF7">
              <w:rPr>
                <w:b/>
                <w:bCs/>
                <w:sz w:val="24"/>
                <w:szCs w:val="24"/>
              </w:rPr>
              <w:t xml:space="preserve">Cost of the </w:t>
            </w:r>
            <w:r>
              <w:rPr>
                <w:b/>
                <w:bCs/>
                <w:sz w:val="24"/>
                <w:szCs w:val="24"/>
              </w:rPr>
              <w:t>actual</w:t>
            </w:r>
            <w:r w:rsidRPr="00A16EF7">
              <w:rPr>
                <w:b/>
                <w:bCs/>
                <w:sz w:val="24"/>
                <w:szCs w:val="24"/>
              </w:rPr>
              <w:t xml:space="preserve"> management plan</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154D6DD0" w14:textId="76175D93" w:rsidR="004942B6" w:rsidRPr="00A16EF7" w:rsidRDefault="004942B6" w:rsidP="002C2525">
            <w:pPr>
              <w:spacing w:after="0" w:line="360" w:lineRule="auto"/>
              <w:jc w:val="both"/>
              <w:rPr>
                <w:b/>
                <w:bCs/>
                <w:sz w:val="24"/>
                <w:szCs w:val="24"/>
              </w:rPr>
            </w:pPr>
            <w:r w:rsidRPr="00A16EF7">
              <w:rPr>
                <w:b/>
                <w:bCs/>
                <w:sz w:val="24"/>
                <w:szCs w:val="24"/>
              </w:rPr>
              <w:t xml:space="preserve">Cost of the </w:t>
            </w:r>
            <w:r w:rsidR="008D04FC">
              <w:rPr>
                <w:b/>
                <w:bCs/>
                <w:sz w:val="24"/>
                <w:szCs w:val="24"/>
              </w:rPr>
              <w:t xml:space="preserve">post-vFFR </w:t>
            </w:r>
            <w:r>
              <w:rPr>
                <w:b/>
                <w:bCs/>
                <w:sz w:val="24"/>
                <w:szCs w:val="24"/>
              </w:rPr>
              <w:t>virtual</w:t>
            </w:r>
            <w:r w:rsidRPr="00A16EF7">
              <w:rPr>
                <w:b/>
                <w:bCs/>
                <w:sz w:val="24"/>
                <w:szCs w:val="24"/>
              </w:rPr>
              <w:t xml:space="preserve"> management plan</w:t>
            </w:r>
          </w:p>
        </w:tc>
        <w:tc>
          <w:tcPr>
            <w:tcW w:w="1672" w:type="dxa"/>
            <w:tcBorders>
              <w:top w:val="single" w:sz="4" w:space="0" w:color="auto"/>
              <w:left w:val="nil"/>
              <w:bottom w:val="single" w:sz="4" w:space="0" w:color="auto"/>
              <w:right w:val="single" w:sz="4" w:space="0" w:color="auto"/>
            </w:tcBorders>
            <w:shd w:val="clear" w:color="000000" w:fill="FFFFFF"/>
            <w:vAlign w:val="center"/>
            <w:hideMark/>
          </w:tcPr>
          <w:p w14:paraId="567A793C" w14:textId="77777777" w:rsidR="004942B6" w:rsidRDefault="004942B6" w:rsidP="002C2525">
            <w:pPr>
              <w:spacing w:after="0" w:line="360" w:lineRule="auto"/>
              <w:jc w:val="both"/>
              <w:rPr>
                <w:b/>
                <w:bCs/>
                <w:color w:val="000000" w:themeColor="text1"/>
                <w:sz w:val="24"/>
                <w:szCs w:val="24"/>
              </w:rPr>
            </w:pPr>
            <w:r>
              <w:rPr>
                <w:b/>
                <w:bCs/>
                <w:color w:val="000000" w:themeColor="text1"/>
                <w:sz w:val="24"/>
                <w:szCs w:val="24"/>
              </w:rPr>
              <w:t>Virtual c</w:t>
            </w:r>
            <w:r w:rsidRPr="00A16EF7">
              <w:rPr>
                <w:b/>
                <w:bCs/>
                <w:color w:val="000000" w:themeColor="text1"/>
                <w:sz w:val="24"/>
                <w:szCs w:val="24"/>
              </w:rPr>
              <w:t>hange in</w:t>
            </w:r>
            <w:r>
              <w:rPr>
                <w:b/>
                <w:bCs/>
                <w:color w:val="000000" w:themeColor="text1"/>
                <w:sz w:val="24"/>
                <w:szCs w:val="24"/>
              </w:rPr>
              <w:t xml:space="preserve"> the </w:t>
            </w:r>
            <w:r w:rsidRPr="00A16EF7">
              <w:rPr>
                <w:b/>
                <w:bCs/>
                <w:color w:val="000000" w:themeColor="text1"/>
                <w:sz w:val="24"/>
                <w:szCs w:val="24"/>
              </w:rPr>
              <w:t xml:space="preserve">cost </w:t>
            </w:r>
          </w:p>
          <w:p w14:paraId="3389E73D" w14:textId="77777777" w:rsidR="004942B6" w:rsidRPr="00A16EF7" w:rsidRDefault="004942B6" w:rsidP="002C2525">
            <w:pPr>
              <w:spacing w:after="0" w:line="360" w:lineRule="auto"/>
              <w:jc w:val="both"/>
              <w:rPr>
                <w:b/>
                <w:bCs/>
                <w:color w:val="000000" w:themeColor="text1"/>
                <w:sz w:val="24"/>
                <w:szCs w:val="24"/>
              </w:rPr>
            </w:pPr>
            <w:r w:rsidRPr="00A16EF7">
              <w:rPr>
                <w:b/>
                <w:bCs/>
                <w:color w:val="000000" w:themeColor="text1"/>
                <w:sz w:val="24"/>
                <w:szCs w:val="24"/>
              </w:rPr>
              <w:t>(B-A)</w:t>
            </w:r>
          </w:p>
        </w:tc>
      </w:tr>
      <w:tr w:rsidR="004942B6" w:rsidRPr="00A024DA" w14:paraId="46DBA92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15C670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6</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60E9CAC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04149CC5" w14:textId="77777777" w:rsidR="004942B6" w:rsidRPr="00A024DA" w:rsidRDefault="004942B6" w:rsidP="002C2525">
            <w:pPr>
              <w:spacing w:after="0" w:line="240" w:lineRule="auto"/>
              <w:rPr>
                <w:sz w:val="24"/>
                <w:szCs w:val="24"/>
              </w:rPr>
            </w:pPr>
            <w:r w:rsidRPr="00A024DA">
              <w:rPr>
                <w:sz w:val="24"/>
                <w:szCs w:val="24"/>
              </w:rPr>
              <w:t>mFFR + 2V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25CEE3B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£1856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D01EB0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£2442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DA10F7B" w14:textId="77777777" w:rsidR="004942B6" w:rsidRPr="00A024DA" w:rsidRDefault="004942B6" w:rsidP="002C2525">
            <w:pPr>
              <w:spacing w:after="0" w:line="240" w:lineRule="auto"/>
              <w:rPr>
                <w:b/>
                <w:bCs/>
                <w:color w:val="C0000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£586</w:t>
            </w:r>
          </w:p>
        </w:tc>
      </w:tr>
      <w:tr w:rsidR="004942B6" w:rsidRPr="00A024DA" w14:paraId="5BD46B3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3F5950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F635FE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261D38B" w14:textId="77777777" w:rsidR="004942B6" w:rsidRPr="00A024DA" w:rsidRDefault="004942B6" w:rsidP="002C2525">
            <w:pPr>
              <w:spacing w:after="0" w:line="240" w:lineRule="auto"/>
              <w:rPr>
                <w:sz w:val="24"/>
                <w:szCs w:val="24"/>
              </w:rPr>
            </w:pPr>
            <w:r w:rsidRPr="00A024DA">
              <w:rPr>
                <w:sz w:val="24"/>
                <w:szCs w:val="24"/>
              </w:rPr>
              <w:t>mFFR + 1V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4DFD33B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5B4EFF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£2022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967527E" w14:textId="77777777" w:rsidR="004942B6" w:rsidRPr="00A024DA" w:rsidRDefault="004942B6" w:rsidP="002C2525">
            <w:pPr>
              <w:spacing w:after="0" w:line="240" w:lineRule="auto"/>
              <w:rPr>
                <w:b/>
                <w:bCs/>
                <w:color w:val="C0000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£586</w:t>
            </w:r>
          </w:p>
        </w:tc>
      </w:tr>
      <w:tr w:rsidR="004942B6" w:rsidRPr="00A024DA" w14:paraId="3F79F8E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7F22D73A"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6A7C4A0"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CABG x 3/ AVR (+mFFR)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D2F385F" w14:textId="77777777" w:rsidR="004942B6" w:rsidRPr="00A024DA" w:rsidRDefault="004942B6" w:rsidP="002C2525">
            <w:pPr>
              <w:spacing w:after="0" w:line="240" w:lineRule="auto"/>
              <w:rPr>
                <w:sz w:val="24"/>
                <w:szCs w:val="24"/>
              </w:rPr>
            </w:pPr>
            <w:r>
              <w:rPr>
                <w:sz w:val="24"/>
                <w:szCs w:val="24"/>
              </w:rPr>
              <w:t>CABG x 3/ AVR</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7924CE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w:t>
            </w:r>
            <w:r>
              <w:rPr>
                <w:rFonts w:ascii="Calibri" w:hAnsi="Calibri" w:cs="Calibri"/>
                <w:color w:val="000000"/>
                <w:sz w:val="24"/>
                <w:szCs w:val="24"/>
              </w:rPr>
              <w:t>4315</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29E3E0D"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£13729</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BBF284E" w14:textId="77777777" w:rsidR="004942B6" w:rsidRPr="00A024DA" w:rsidRDefault="004942B6" w:rsidP="002C2525">
            <w:pPr>
              <w:spacing w:after="0" w:line="240" w:lineRule="auto"/>
              <w:rPr>
                <w:rFonts w:ascii="Calibri" w:hAnsi="Calibri" w:cs="Calibri"/>
                <w:b/>
                <w:bCs/>
                <w:color w:val="C00000"/>
                <w:sz w:val="24"/>
                <w:szCs w:val="24"/>
              </w:rPr>
            </w:pPr>
            <w:r w:rsidRPr="00041497">
              <w:rPr>
                <w:rFonts w:ascii="Calibri" w:hAnsi="Calibri" w:cs="Calibri"/>
                <w:b/>
                <w:bCs/>
                <w:color w:val="00B050"/>
                <w:sz w:val="24"/>
                <w:szCs w:val="24"/>
              </w:rPr>
              <w:t>- £586</w:t>
            </w:r>
          </w:p>
        </w:tc>
      </w:tr>
      <w:tr w:rsidR="004942B6" w:rsidRPr="00A024DA" w14:paraId="05C66953"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454F7C9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38</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156BC257"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20B4564"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mFFR + 1V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571F99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0814E7A"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£2022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BAC8DBD" w14:textId="77777777" w:rsidR="004942B6" w:rsidRPr="00A024DA" w:rsidRDefault="004942B6" w:rsidP="002C2525">
            <w:pPr>
              <w:spacing w:after="0" w:line="240" w:lineRule="auto"/>
              <w:rPr>
                <w:rFonts w:ascii="Calibri" w:hAnsi="Calibri" w:cs="Calibri"/>
                <w:b/>
                <w:bCs/>
                <w:color w:val="C00000"/>
                <w:sz w:val="24"/>
                <w:szCs w:val="24"/>
              </w:rPr>
            </w:pPr>
            <w:r w:rsidRPr="00A024DA">
              <w:rPr>
                <w:b/>
                <w:bCs/>
                <w:color w:val="C00000"/>
                <w:sz w:val="24"/>
                <w:szCs w:val="24"/>
              </w:rPr>
              <w:t>+</w:t>
            </w:r>
            <w:r>
              <w:rPr>
                <w:b/>
                <w:bCs/>
                <w:color w:val="C00000"/>
                <w:sz w:val="24"/>
                <w:szCs w:val="24"/>
              </w:rPr>
              <w:t xml:space="preserve"> </w:t>
            </w:r>
            <w:r w:rsidRPr="00A024DA">
              <w:rPr>
                <w:b/>
                <w:bCs/>
                <w:color w:val="C00000"/>
                <w:sz w:val="24"/>
                <w:szCs w:val="24"/>
              </w:rPr>
              <w:t>£586</w:t>
            </w:r>
          </w:p>
        </w:tc>
      </w:tr>
      <w:tr w:rsidR="004942B6" w:rsidRPr="00A024DA" w14:paraId="40AB53D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7C34A9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40</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0A10D6C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30D317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C2E940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1F140B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F4D39B3" w14:textId="77777777" w:rsidR="004942B6" w:rsidRPr="00A024DA"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A024DA" w14:paraId="370BB633"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7BCCB8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42</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0D7F09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 + 1V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2736FF0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03E2350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81897E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w:t>
            </w:r>
            <w:r>
              <w:rPr>
                <w:rFonts w:ascii="Calibri" w:hAnsi="Calibri" w:cs="Calibri"/>
                <w:color w:val="000000"/>
                <w:sz w:val="24"/>
                <w:szCs w:val="24"/>
              </w:rPr>
              <w:t>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28803F0" w14:textId="77777777" w:rsidR="004942B6" w:rsidRPr="00041497"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03EE697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7599C3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50</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3CAEB1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3AA95D3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0E69157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06948F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2208080" w14:textId="77777777" w:rsidR="004942B6" w:rsidRPr="00041497"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1FC727C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6C50F88F"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59</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95C693A"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93DC9D5"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274E2A6"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927ADDB"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2458333" w14:textId="77777777" w:rsidR="004942B6" w:rsidRPr="00041497"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726</w:t>
            </w:r>
          </w:p>
        </w:tc>
      </w:tr>
      <w:tr w:rsidR="004942B6" w:rsidRPr="00A024DA" w14:paraId="015E17C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64EA90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62</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02B67AC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2D91285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34C4873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284270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2D99CB8" w14:textId="77777777" w:rsidR="004942B6" w:rsidRPr="00041497"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0A9E71C6"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1C344C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66</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0B332A9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4F5B81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21A4024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BF8AE6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E47268A" w14:textId="77777777" w:rsidR="004942B6" w:rsidRPr="00041497"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1AA4AF4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B7F734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70</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6377178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ACF809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35862C0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753E17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7FE1CD3" w14:textId="77777777" w:rsidR="004942B6" w:rsidRPr="00041497"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7E0B927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3AE534D3"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77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06284A10"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 xml:space="preserve">1V 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2ADFF42"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mFFR + 1V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782670B3"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75BE682D"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£2022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4AF8EF2" w14:textId="77777777" w:rsidR="004942B6" w:rsidRPr="00041497" w:rsidRDefault="004942B6" w:rsidP="002C2525">
            <w:pPr>
              <w:spacing w:after="0" w:line="240" w:lineRule="auto"/>
              <w:rPr>
                <w:rFonts w:ascii="Calibri" w:hAnsi="Calibri" w:cs="Calibri"/>
                <w:b/>
                <w:bCs/>
                <w:color w:val="00B05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£586</w:t>
            </w:r>
          </w:p>
        </w:tc>
      </w:tr>
      <w:tr w:rsidR="004942B6" w:rsidRPr="00A024DA" w14:paraId="66C18115"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CFF7E3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78</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099851C" w14:textId="77777777" w:rsidR="004942B6" w:rsidRPr="00A024DA" w:rsidRDefault="004942B6" w:rsidP="002C2525">
            <w:pPr>
              <w:spacing w:after="0" w:line="240" w:lineRule="auto"/>
              <w:rPr>
                <w:sz w:val="24"/>
                <w:szCs w:val="24"/>
              </w:rPr>
            </w:pPr>
            <w:r w:rsidRPr="00A024DA">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C942C1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0B6C023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99DB0B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190B020" w14:textId="77777777" w:rsidR="004942B6" w:rsidRPr="001E0A9C"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A024DA" w14:paraId="0ECF2DD4"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2881EB15"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85</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1B24400D" w14:textId="77777777" w:rsidR="004942B6" w:rsidRPr="00A024DA" w:rsidRDefault="004942B6" w:rsidP="002C2525">
            <w:pPr>
              <w:spacing w:after="0" w:line="240" w:lineRule="auto"/>
              <w:rPr>
                <w:sz w:val="24"/>
                <w:szCs w:val="24"/>
              </w:rPr>
            </w:pPr>
            <w:r>
              <w:rPr>
                <w:sz w:val="24"/>
                <w:szCs w:val="24"/>
              </w:rPr>
              <w:t>1V</w:t>
            </w:r>
            <w:r w:rsidRPr="00A024DA">
              <w:rPr>
                <w:sz w:val="24"/>
                <w:szCs w:val="24"/>
              </w:rPr>
              <w:t xml:space="preserve"> PCI</w:t>
            </w:r>
            <w:r>
              <w:rPr>
                <w:sz w:val="24"/>
                <w:szCs w:val="24"/>
              </w:rPr>
              <w:t xml:space="preserve"> + OCT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8B9E7C5"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mFFR + 1V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EFD617B"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£2216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991A1A0"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£2022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F22701" w14:textId="77777777" w:rsidR="004942B6" w:rsidRPr="00041497"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194</w:t>
            </w:r>
          </w:p>
        </w:tc>
      </w:tr>
      <w:tr w:rsidR="004942B6" w:rsidRPr="00A024DA" w14:paraId="0CF53CC4"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3D1DD70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 xml:space="preserve">89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CCF56E0" w14:textId="77777777" w:rsidR="004942B6" w:rsidRPr="00A024DA" w:rsidRDefault="004942B6" w:rsidP="002C2525">
            <w:pPr>
              <w:spacing w:after="0" w:line="240" w:lineRule="auto"/>
              <w:rPr>
                <w:sz w:val="24"/>
                <w:szCs w:val="24"/>
              </w:rPr>
            </w:pPr>
            <w:r w:rsidRPr="00A024DA">
              <w:rPr>
                <w:sz w:val="24"/>
                <w:szCs w:val="24"/>
              </w:rPr>
              <w:t>mFFR + 1V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7944AAB6"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A55F211"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E344A06"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7088579" w14:textId="77777777" w:rsidR="004942B6" w:rsidRPr="00041497"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166</w:t>
            </w:r>
          </w:p>
        </w:tc>
      </w:tr>
      <w:tr w:rsidR="004942B6" w:rsidRPr="00A024DA" w14:paraId="6FA7E0A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3728DB75"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91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577F072" w14:textId="77777777" w:rsidR="004942B6" w:rsidRPr="00A024DA" w:rsidRDefault="004942B6" w:rsidP="002C2525">
            <w:pPr>
              <w:spacing w:after="0" w:line="240" w:lineRule="auto"/>
              <w:rPr>
                <w:sz w:val="24"/>
                <w:szCs w:val="24"/>
              </w:rPr>
            </w:pPr>
            <w:r w:rsidRPr="00A024DA">
              <w:rPr>
                <w:sz w:val="24"/>
                <w:szCs w:val="24"/>
              </w:rPr>
              <w:t>mFFR + 1V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5501031"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7B8A0C47"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7A05EFE2"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0D0A71D" w14:textId="77777777" w:rsidR="004942B6" w:rsidRPr="00A024DA"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£586</w:t>
            </w:r>
          </w:p>
        </w:tc>
      </w:tr>
      <w:tr w:rsidR="004942B6" w:rsidRPr="00A024DA" w14:paraId="5E1CD51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662F7D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95</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6DCB709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30AB172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2EA3823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1C846E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B552FF1" w14:textId="77777777" w:rsidR="004942B6" w:rsidRPr="002B1621"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45FD9F4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328ABF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108</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A597121" w14:textId="77777777" w:rsidR="004942B6" w:rsidRPr="00A024DA" w:rsidRDefault="004942B6" w:rsidP="002C2525">
            <w:pPr>
              <w:spacing w:after="0" w:line="240" w:lineRule="auto"/>
              <w:rPr>
                <w:sz w:val="24"/>
                <w:szCs w:val="24"/>
              </w:rPr>
            </w:pPr>
            <w:r w:rsidRPr="00A024DA">
              <w:rPr>
                <w:sz w:val="24"/>
                <w:szCs w:val="24"/>
              </w:rPr>
              <w:t>mFFR + 2V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7455CF6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1B01DEF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£2442</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1D4311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46C9E31" w14:textId="77777777" w:rsidR="004942B6" w:rsidRPr="002B1621"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57C8201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DD4730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125</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4A4EE17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F2D467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16F5E73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2B4704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F44A705"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00AC04B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383F1D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127</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67E0A222" w14:textId="77777777" w:rsidR="004942B6" w:rsidRPr="00A024DA" w:rsidRDefault="004942B6" w:rsidP="002C2525">
            <w:pPr>
              <w:spacing w:after="0" w:line="240" w:lineRule="auto"/>
              <w:rPr>
                <w:sz w:val="24"/>
                <w:szCs w:val="24"/>
              </w:rPr>
            </w:pPr>
            <w:r w:rsidRPr="00A024DA">
              <w:rPr>
                <w:sz w:val="24"/>
                <w:szCs w:val="24"/>
              </w:rPr>
              <w:t>mFFR + 1V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2FB8EFE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4D967C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36F5A3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1E3F146"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153805A2"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23DA4B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159</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1E5D2B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8D14C3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3065812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1192863" w14:textId="77777777" w:rsidR="004942B6" w:rsidRPr="00A024DA" w:rsidRDefault="004942B6" w:rsidP="002C2525">
            <w:pPr>
              <w:spacing w:after="0" w:line="240" w:lineRule="auto"/>
              <w:rPr>
                <w:sz w:val="24"/>
                <w:szCs w:val="24"/>
              </w:rPr>
            </w:pPr>
            <w:r>
              <w:rPr>
                <w:rFonts w:ascii="Calibri" w:hAnsi="Calibri" w:cs="Calibri"/>
                <w:color w:val="000000"/>
                <w:sz w:val="24"/>
                <w:szCs w:val="24"/>
              </w:rPr>
              <w:t>£</w:t>
            </w:r>
            <w:r w:rsidRPr="00A024DA">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D2F28AA" w14:textId="77777777" w:rsidR="004942B6" w:rsidRPr="00A024DA" w:rsidRDefault="004942B6" w:rsidP="002C2525">
            <w:pPr>
              <w:spacing w:after="0" w:line="240" w:lineRule="auto"/>
              <w:rPr>
                <w:b/>
                <w:bCs/>
                <w:color w:val="00B05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£420</w:t>
            </w:r>
          </w:p>
        </w:tc>
      </w:tr>
      <w:tr w:rsidR="004942B6" w:rsidRPr="00A024DA" w14:paraId="1F2359D2"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213CE5B4"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174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844F9AA"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mFFR + 1V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492ACF57"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A611B9E"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A6D3C2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BA9E0D6" w14:textId="77777777" w:rsidR="004942B6" w:rsidRPr="00A024DA" w:rsidRDefault="004942B6" w:rsidP="002C2525">
            <w:pPr>
              <w:spacing w:after="0" w:line="240" w:lineRule="auto"/>
              <w:rPr>
                <w:rFonts w:ascii="Calibri" w:hAnsi="Calibri" w:cs="Calibri"/>
                <w:b/>
                <w:bCs/>
                <w:color w:val="C00000"/>
                <w:sz w:val="24"/>
                <w:szCs w:val="24"/>
              </w:rPr>
            </w:pPr>
            <w:r w:rsidRPr="00041497">
              <w:rPr>
                <w:rFonts w:ascii="Calibri" w:hAnsi="Calibri" w:cs="Calibri"/>
                <w:b/>
                <w:bCs/>
                <w:color w:val="00B050"/>
                <w:sz w:val="24"/>
                <w:szCs w:val="24"/>
              </w:rPr>
              <w:t>- £586</w:t>
            </w:r>
          </w:p>
        </w:tc>
      </w:tr>
      <w:tr w:rsidR="004942B6" w:rsidRPr="00A024DA" w14:paraId="2FE3536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2A398C3B"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180</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CC57D16"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F5CA40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CABG</w:t>
            </w:r>
            <w:r>
              <w:rPr>
                <w:rFonts w:ascii="Calibri" w:hAnsi="Calibri" w:cs="Calibri"/>
                <w:color w:val="000000"/>
                <w:sz w:val="24"/>
                <w:szCs w:val="24"/>
              </w:rPr>
              <w:t xml:space="preserve"> x 2</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00DCE9A"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£1856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CBBC1EA"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£10828</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A0AEAED" w14:textId="77777777" w:rsidR="004942B6" w:rsidRPr="00A024DA" w:rsidRDefault="004942B6" w:rsidP="002C2525">
            <w:pPr>
              <w:spacing w:after="0" w:line="240" w:lineRule="auto"/>
              <w:rPr>
                <w:rFonts w:ascii="Calibri" w:hAnsi="Calibri" w:cs="Calibri"/>
                <w:b/>
                <w:bCs/>
                <w:color w:val="00B05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w:t>
            </w:r>
            <w:r>
              <w:rPr>
                <w:rFonts w:ascii="Calibri" w:hAnsi="Calibri" w:cs="Calibri"/>
                <w:b/>
                <w:bCs/>
                <w:color w:val="C00000"/>
                <w:sz w:val="24"/>
                <w:szCs w:val="24"/>
              </w:rPr>
              <w:t>8972</w:t>
            </w:r>
          </w:p>
        </w:tc>
      </w:tr>
      <w:tr w:rsidR="004942B6" w:rsidRPr="00A024DA" w14:paraId="62F84DEF"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F04417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181</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14FFC9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499496E" w14:textId="77777777" w:rsidR="004942B6" w:rsidRPr="00A024DA" w:rsidRDefault="004942B6" w:rsidP="002C2525">
            <w:pPr>
              <w:spacing w:after="0" w:line="240" w:lineRule="auto"/>
              <w:rPr>
                <w:sz w:val="24"/>
                <w:szCs w:val="24"/>
              </w:rPr>
            </w:pPr>
            <w:r w:rsidRPr="00A024DA">
              <w:rPr>
                <w:sz w:val="24"/>
                <w:szCs w:val="24"/>
              </w:rPr>
              <w:t>mFFR + 1V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7A2B30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7BA60D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£2022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4210CE3" w14:textId="77777777" w:rsidR="004942B6" w:rsidRPr="001E0A9C" w:rsidRDefault="004942B6" w:rsidP="002C2525">
            <w:pPr>
              <w:spacing w:after="0" w:line="240" w:lineRule="auto"/>
              <w:rPr>
                <w:b/>
                <w:bCs/>
                <w:color w:val="C0000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£586</w:t>
            </w:r>
          </w:p>
        </w:tc>
      </w:tr>
      <w:tr w:rsidR="004942B6" w:rsidRPr="00A024DA" w14:paraId="0FF6D90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AD2B21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189</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30084979" w14:textId="77777777" w:rsidR="004942B6" w:rsidRPr="00A024DA" w:rsidRDefault="004942B6" w:rsidP="002C2525">
            <w:pPr>
              <w:spacing w:after="0" w:line="240" w:lineRule="auto"/>
              <w:rPr>
                <w:sz w:val="24"/>
                <w:szCs w:val="24"/>
              </w:rPr>
            </w:pPr>
            <w:r>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8F7645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5D094E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DEE1A9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27F1288" w14:textId="77777777" w:rsidR="004942B6" w:rsidRPr="001E0A9C"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A024DA" w14:paraId="69CEC04C"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0BF0B17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192</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2BD6015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4BFE6D40"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7AB219B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1D92AB00"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EB6E729" w14:textId="77777777" w:rsidR="004942B6" w:rsidRPr="001E0A9C" w:rsidRDefault="004942B6" w:rsidP="002C2525">
            <w:pPr>
              <w:spacing w:after="0" w:line="240" w:lineRule="auto"/>
              <w:rPr>
                <w:rFonts w:ascii="Calibri" w:hAnsi="Calibri" w:cs="Calibri"/>
                <w:b/>
                <w:bCs/>
                <w:color w:val="00B05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w:t>
            </w:r>
            <w:r>
              <w:rPr>
                <w:rFonts w:ascii="Calibri" w:hAnsi="Calibri" w:cs="Calibri"/>
                <w:b/>
                <w:bCs/>
                <w:color w:val="C00000"/>
                <w:sz w:val="24"/>
                <w:szCs w:val="24"/>
              </w:rPr>
              <w:t>420</w:t>
            </w:r>
          </w:p>
        </w:tc>
      </w:tr>
      <w:tr w:rsidR="004942B6" w:rsidRPr="00A024DA" w14:paraId="372DD35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BB40A7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195</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05031FF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3ED6C2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265A8A2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A71E0C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DC98630" w14:textId="77777777" w:rsidR="004942B6" w:rsidRPr="001E0A9C"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A024DA" w14:paraId="144F1991"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7411FD88"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209</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1384270"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2V PCI</w:t>
            </w:r>
            <w:r>
              <w:rPr>
                <w:sz w:val="24"/>
                <w:szCs w:val="24"/>
              </w:rPr>
              <w:t xml:space="preserve"> + Staged 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659C298"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 xml:space="preserve">2V PCI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C8AF718"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5231</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A361E32"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9315323" w14:textId="77777777" w:rsidR="004942B6" w:rsidRPr="001E0A9C"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3375</w:t>
            </w:r>
          </w:p>
        </w:tc>
      </w:tr>
      <w:tr w:rsidR="004942B6" w:rsidRPr="00A024DA" w14:paraId="56049DE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9949DD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211</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57792C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27479293" w14:textId="77777777" w:rsidR="004942B6" w:rsidRPr="00A024DA" w:rsidRDefault="004942B6" w:rsidP="002C2525">
            <w:pPr>
              <w:spacing w:after="0" w:line="240" w:lineRule="auto"/>
              <w:rPr>
                <w:sz w:val="24"/>
                <w:szCs w:val="24"/>
              </w:rPr>
            </w:pPr>
            <w:r w:rsidRPr="00A024DA">
              <w:rPr>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7FCECB8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B6391E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5E10EE0"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794BF5EC"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0A2ADB46"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lastRenderedPageBreak/>
              <w:t>214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292AC7ED"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mFFR</w:t>
            </w:r>
            <w:r>
              <w:rPr>
                <w:rFonts w:ascii="Calibri" w:hAnsi="Calibri" w:cs="Calibri"/>
                <w:color w:val="000000"/>
                <w:sz w:val="24"/>
                <w:szCs w:val="24"/>
              </w:rPr>
              <w:t xml:space="preserve"> + 1V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9448B1D" w14:textId="77777777" w:rsidR="004942B6" w:rsidRPr="00A024DA" w:rsidRDefault="004942B6" w:rsidP="002C2525">
            <w:pPr>
              <w:spacing w:after="0" w:line="240" w:lineRule="auto"/>
              <w:rPr>
                <w:sz w:val="24"/>
                <w:szCs w:val="24"/>
              </w:rPr>
            </w:pPr>
            <w:r>
              <w:rPr>
                <w:rFonts w:ascii="Calibri" w:hAnsi="Calibri" w:cs="Calibr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599C456"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770DC0D3"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5AB5796" w14:textId="77777777" w:rsidR="004942B6" w:rsidRPr="00A024DA"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£586</w:t>
            </w:r>
          </w:p>
        </w:tc>
      </w:tr>
      <w:tr w:rsidR="004942B6" w:rsidRPr="00A024DA" w14:paraId="6856D8C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226562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242</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43C49E2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8F3A1E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597A23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536FCC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98B8415"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506D755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6C7C24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247</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8760D0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03DE34C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7E9ADC4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602706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69F1820"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7BF28BF1"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23C66C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248</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32407D2C" w14:textId="77777777" w:rsidR="004942B6" w:rsidRPr="00A024DA" w:rsidRDefault="004942B6" w:rsidP="002C2525">
            <w:pPr>
              <w:spacing w:after="0" w:line="240" w:lineRule="auto"/>
              <w:rPr>
                <w:sz w:val="24"/>
                <w:szCs w:val="24"/>
              </w:rPr>
            </w:pPr>
            <w:r>
              <w:rPr>
                <w:sz w:val="24"/>
                <w:szCs w:val="24"/>
              </w:rPr>
              <w:t>CABG x 2 + 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F0ECB6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CABG</w:t>
            </w:r>
            <w:r>
              <w:rPr>
                <w:rFonts w:ascii="Calibri" w:hAnsi="Calibri" w:cs="Calibri"/>
                <w:color w:val="000000"/>
                <w:sz w:val="24"/>
                <w:szCs w:val="24"/>
              </w:rPr>
              <w:t xml:space="preserve"> x 2</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259D7CF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11414</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5CFEE1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£10828</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4ECCFF4"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379BFD7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22EFA79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262</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EFE3708"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992178E"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49E80C5"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FBEEBC4"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A67B51D" w14:textId="77777777" w:rsidR="004942B6" w:rsidRPr="00A024DA" w:rsidRDefault="004942B6" w:rsidP="002C2525">
            <w:pPr>
              <w:spacing w:after="0" w:line="240" w:lineRule="auto"/>
              <w:rPr>
                <w:rFonts w:ascii="Calibri" w:hAnsi="Calibri" w:cs="Calibri"/>
                <w:b/>
                <w:bCs/>
                <w:color w:val="C00000"/>
                <w:sz w:val="24"/>
                <w:szCs w:val="24"/>
              </w:rPr>
            </w:pPr>
            <w:r w:rsidRPr="00041497">
              <w:rPr>
                <w:rFonts w:ascii="Calibri" w:hAnsi="Calibri" w:cs="Calibri"/>
                <w:b/>
                <w:bCs/>
                <w:color w:val="00B050"/>
                <w:sz w:val="24"/>
                <w:szCs w:val="24"/>
              </w:rPr>
              <w:t>- £586</w:t>
            </w:r>
          </w:p>
        </w:tc>
      </w:tr>
      <w:tr w:rsidR="004942B6" w:rsidRPr="00A024DA" w14:paraId="2F19F4E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6588A1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263</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3DB65A7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7BA47D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06332E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8A40D3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89D2179"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0F61365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11D50282"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266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3CDFEBB"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mFFR + 1V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00B22D0B"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4E76C20E"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3CFF82BB"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147179A" w14:textId="77777777" w:rsidR="004942B6" w:rsidRPr="00A024DA"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£586</w:t>
            </w:r>
          </w:p>
        </w:tc>
      </w:tr>
      <w:tr w:rsidR="004942B6" w:rsidRPr="00A024DA" w14:paraId="1D69A24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F6EF88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269</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F40569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2469DA5" w14:textId="77777777" w:rsidR="004942B6" w:rsidRPr="00A024DA" w:rsidRDefault="004942B6" w:rsidP="002C2525">
            <w:pPr>
              <w:spacing w:after="0" w:line="240" w:lineRule="auto"/>
              <w:rPr>
                <w:sz w:val="24"/>
                <w:szCs w:val="24"/>
              </w:rPr>
            </w:pPr>
            <w:r w:rsidRPr="00A024DA">
              <w:rPr>
                <w:sz w:val="24"/>
                <w:szCs w:val="24"/>
              </w:rPr>
              <w:t>mFFR + 1V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4A1AA52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B3F67D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£2022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A7FA1A9" w14:textId="77777777" w:rsidR="004942B6" w:rsidRPr="00A024DA" w:rsidRDefault="004942B6" w:rsidP="002C2525">
            <w:pPr>
              <w:spacing w:after="0" w:line="240" w:lineRule="auto"/>
              <w:rPr>
                <w:b/>
                <w:bCs/>
                <w:color w:val="00B05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£586</w:t>
            </w:r>
          </w:p>
        </w:tc>
      </w:tr>
      <w:tr w:rsidR="004942B6" w:rsidRPr="00A024DA" w14:paraId="0E98F5CC"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883DF2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274</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615A99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3817395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E00208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5EC343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19C91FA" w14:textId="77777777" w:rsidR="004942B6" w:rsidRPr="00A024DA"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A024DA" w14:paraId="5ED6365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D1A3BA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287</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26F0D0C" w14:textId="77777777" w:rsidR="004942B6" w:rsidRPr="00A024DA" w:rsidRDefault="004942B6" w:rsidP="002C2525">
            <w:pPr>
              <w:spacing w:after="0" w:line="240" w:lineRule="auto"/>
              <w:rPr>
                <w:sz w:val="24"/>
                <w:szCs w:val="24"/>
              </w:rPr>
            </w:pPr>
            <w:r w:rsidRPr="00A024DA">
              <w:rPr>
                <w:sz w:val="24"/>
                <w:szCs w:val="24"/>
              </w:rPr>
              <w:t>mFFR + 1V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954529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42F20EE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B33754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0274D88"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6509E8B5" w14:textId="77777777" w:rsidTr="002C2525">
        <w:trPr>
          <w:trHeight w:val="320"/>
        </w:trPr>
        <w:tc>
          <w:tcPr>
            <w:tcW w:w="4786" w:type="dxa"/>
            <w:gridSpan w:val="3"/>
            <w:tcBorders>
              <w:top w:val="nil"/>
              <w:left w:val="single" w:sz="4" w:space="0" w:color="auto"/>
              <w:bottom w:val="single" w:sz="4" w:space="0" w:color="auto"/>
              <w:right w:val="single" w:sz="4" w:space="0" w:color="auto"/>
            </w:tcBorders>
            <w:shd w:val="clear" w:color="auto" w:fill="FFFFFF" w:themeFill="background1"/>
            <w:noWrap/>
            <w:vAlign w:val="bottom"/>
          </w:tcPr>
          <w:p w14:paraId="5AEFA2F0" w14:textId="77777777" w:rsidR="004942B6" w:rsidRPr="00420CF1" w:rsidRDefault="004942B6" w:rsidP="002C2525">
            <w:pPr>
              <w:spacing w:after="0" w:line="240" w:lineRule="auto"/>
              <w:rPr>
                <w:rFonts w:ascii="Calibri" w:hAnsi="Calibri" w:cs="Calibri"/>
                <w:b/>
                <w:bCs/>
                <w:color w:val="000000"/>
                <w:sz w:val="24"/>
                <w:szCs w:val="24"/>
              </w:rPr>
            </w:pPr>
            <w:r w:rsidRPr="00420CF1">
              <w:rPr>
                <w:rFonts w:ascii="Calibri" w:hAnsi="Calibri" w:cs="Calibri"/>
                <w:b/>
                <w:bCs/>
                <w:color w:val="000000"/>
                <w:sz w:val="24"/>
                <w:szCs w:val="24"/>
              </w:rPr>
              <w:t xml:space="preserve">Average </w:t>
            </w:r>
            <w:r>
              <w:rPr>
                <w:rFonts w:ascii="Calibri" w:hAnsi="Calibri" w:cs="Calibri"/>
                <w:b/>
                <w:bCs/>
                <w:color w:val="000000"/>
                <w:sz w:val="24"/>
                <w:szCs w:val="24"/>
              </w:rPr>
              <w:t xml:space="preserve">cost </w:t>
            </w:r>
            <w:r w:rsidRPr="00420CF1">
              <w:rPr>
                <w:rFonts w:ascii="Calibri" w:hAnsi="Calibri" w:cs="Calibri"/>
                <w:b/>
                <w:bCs/>
                <w:color w:val="000000"/>
                <w:sz w:val="24"/>
                <w:szCs w:val="24"/>
              </w:rPr>
              <w:t>per patient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64AAA47" w14:textId="77777777" w:rsidR="004942B6" w:rsidRPr="00420CF1" w:rsidRDefault="004942B6" w:rsidP="002C2525">
            <w:pPr>
              <w:spacing w:after="0" w:line="240" w:lineRule="auto"/>
              <w:rPr>
                <w:rFonts w:ascii="Calibri" w:hAnsi="Calibri" w:cs="Calibri"/>
                <w:b/>
                <w:bCs/>
                <w:color w:val="000000"/>
                <w:sz w:val="24"/>
                <w:szCs w:val="24"/>
              </w:rPr>
            </w:pPr>
            <w:r w:rsidRPr="00420CF1">
              <w:rPr>
                <w:rFonts w:ascii="Calibri" w:hAnsi="Calibri" w:cs="Calibri"/>
                <w:b/>
                <w:bCs/>
                <w:color w:val="000000"/>
                <w:sz w:val="24"/>
                <w:szCs w:val="24"/>
              </w:rPr>
              <w:t>£2249.4</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9733E82" w14:textId="77777777" w:rsidR="004942B6" w:rsidRPr="00420CF1" w:rsidRDefault="004942B6" w:rsidP="002C2525">
            <w:pPr>
              <w:spacing w:after="0" w:line="240" w:lineRule="auto"/>
              <w:rPr>
                <w:rFonts w:ascii="Calibri" w:hAnsi="Calibri" w:cs="Calibri"/>
                <w:b/>
                <w:bCs/>
                <w:color w:val="000000"/>
                <w:sz w:val="24"/>
                <w:szCs w:val="24"/>
              </w:rPr>
            </w:pPr>
            <w:r w:rsidRPr="00420CF1">
              <w:rPr>
                <w:rFonts w:ascii="Calibri" w:hAnsi="Calibri" w:cs="Calibri"/>
                <w:b/>
                <w:bCs/>
                <w:color w:val="000000"/>
                <w:sz w:val="24"/>
                <w:szCs w:val="24"/>
              </w:rPr>
              <w:t>£2086.1</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531DD78" w14:textId="77777777" w:rsidR="004942B6" w:rsidRPr="00041497"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163.3</w:t>
            </w:r>
          </w:p>
        </w:tc>
      </w:tr>
      <w:tr w:rsidR="004942B6" w:rsidRPr="00A024DA" w14:paraId="43E6EA62" w14:textId="77777777" w:rsidTr="002C2525">
        <w:trPr>
          <w:trHeight w:val="320"/>
        </w:trPr>
        <w:tc>
          <w:tcPr>
            <w:tcW w:w="9747" w:type="dxa"/>
            <w:gridSpan w:val="6"/>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83156B9" w14:textId="77777777" w:rsidR="004942B6" w:rsidRDefault="004942B6" w:rsidP="002C2525">
            <w:pPr>
              <w:spacing w:after="0" w:line="240" w:lineRule="auto"/>
              <w:rPr>
                <w:rFonts w:eastAsia="Times New Roman" w:cstheme="minorHAnsi"/>
                <w:color w:val="000000" w:themeColor="text1"/>
                <w:sz w:val="24"/>
                <w:szCs w:val="24"/>
                <w:lang w:eastAsia="en-GB"/>
              </w:rPr>
            </w:pPr>
            <w:r w:rsidRPr="00913D9A">
              <w:rPr>
                <w:rFonts w:eastAsia="Times New Roman" w:cstheme="minorHAnsi"/>
                <w:color w:val="000000" w:themeColor="text1"/>
                <w:sz w:val="24"/>
                <w:szCs w:val="24"/>
                <w:lang w:eastAsia="en-GB"/>
              </w:rPr>
              <w:t xml:space="preserve">1V PCI represents PCI performed for </w:t>
            </w:r>
            <w:r>
              <w:rPr>
                <w:rFonts w:eastAsia="Times New Roman" w:cstheme="minorHAnsi"/>
                <w:color w:val="000000" w:themeColor="text1"/>
                <w:sz w:val="24"/>
                <w:szCs w:val="24"/>
                <w:lang w:eastAsia="en-GB"/>
              </w:rPr>
              <w:t>one vessel</w:t>
            </w:r>
            <w:r w:rsidRPr="00913D9A">
              <w:rPr>
                <w:rFonts w:eastAsia="Times New Roman" w:cstheme="minorHAnsi"/>
                <w:color w:val="000000" w:themeColor="text1"/>
                <w:sz w:val="24"/>
                <w:szCs w:val="24"/>
                <w:lang w:eastAsia="en-GB"/>
              </w:rPr>
              <w:t xml:space="preserve">, and 2V PCI denotes PCI performed for </w:t>
            </w:r>
            <w:r>
              <w:rPr>
                <w:rFonts w:eastAsia="Times New Roman" w:cstheme="minorHAnsi"/>
                <w:color w:val="000000" w:themeColor="text1"/>
                <w:sz w:val="24"/>
                <w:szCs w:val="24"/>
                <w:lang w:eastAsia="en-GB"/>
              </w:rPr>
              <w:t>two vessels.</w:t>
            </w:r>
          </w:p>
          <w:p w14:paraId="27D8D16C" w14:textId="77777777" w:rsidR="004942B6" w:rsidRPr="00823BDA" w:rsidRDefault="004942B6" w:rsidP="002C2525">
            <w:pPr>
              <w:spacing w:after="0" w:line="240" w:lineRule="auto"/>
              <w:rPr>
                <w:lang w:eastAsia="en-GB"/>
              </w:rPr>
            </w:pPr>
            <w:r w:rsidRPr="0030432E">
              <w:rPr>
                <w:rFonts w:eastAsia="Times New Roman" w:cstheme="minorHAnsi"/>
                <w:color w:val="000000" w:themeColor="text1"/>
                <w:sz w:val="24"/>
                <w:szCs w:val="24"/>
                <w:lang w:eastAsia="en-GB"/>
              </w:rPr>
              <w:t xml:space="preserve">"+" </w:t>
            </w:r>
            <w:r>
              <w:rPr>
                <w:rFonts w:eastAsia="Times New Roman" w:cstheme="minorHAnsi"/>
                <w:color w:val="000000" w:themeColor="text1"/>
                <w:sz w:val="24"/>
                <w:szCs w:val="24"/>
                <w:lang w:eastAsia="en-GB"/>
              </w:rPr>
              <w:t>shows a</w:t>
            </w:r>
            <w:r w:rsidRPr="0030432E">
              <w:rPr>
                <w:rFonts w:eastAsia="Times New Roman" w:cstheme="minorHAnsi"/>
                <w:color w:val="000000" w:themeColor="text1"/>
                <w:sz w:val="24"/>
                <w:szCs w:val="24"/>
                <w:lang w:eastAsia="en-GB"/>
              </w:rPr>
              <w:t xml:space="preserve"> virtual additional cost, whereas "-" represents a virtual reduction in the cost of the index procedure due to a notional change in the management plan.</w:t>
            </w:r>
          </w:p>
        </w:tc>
      </w:tr>
      <w:bookmarkEnd w:id="1319"/>
    </w:tbl>
    <w:p w14:paraId="0CBA9CC1" w14:textId="77777777" w:rsidR="004942B6" w:rsidRPr="00C31679" w:rsidRDefault="004942B6" w:rsidP="004942B6"/>
    <w:p w14:paraId="6E1C41D9" w14:textId="77777777" w:rsidR="004942B6" w:rsidRPr="0049096F" w:rsidRDefault="004942B6" w:rsidP="004942B6">
      <w:pPr>
        <w:tabs>
          <w:tab w:val="left" w:pos="3554"/>
        </w:tabs>
      </w:pPr>
      <w:r>
        <w:tab/>
      </w:r>
    </w:p>
    <w:p w14:paraId="4D170257" w14:textId="77777777" w:rsidR="004942B6" w:rsidRDefault="004942B6" w:rsidP="004942B6">
      <w:pPr>
        <w:pStyle w:val="Heading3"/>
        <w:spacing w:line="360" w:lineRule="auto"/>
        <w:jc w:val="both"/>
        <w:rPr>
          <w:rFonts w:ascii="Arial" w:hAnsi="Arial" w:cs="Arial"/>
          <w:color w:val="auto"/>
        </w:rPr>
      </w:pPr>
      <w:r>
        <w:rPr>
          <w:rFonts w:ascii="Arial" w:hAnsi="Arial" w:cs="Arial"/>
          <w:color w:val="auto"/>
        </w:rPr>
        <w:t xml:space="preserve"> </w:t>
      </w:r>
    </w:p>
    <w:p w14:paraId="06C19BA6" w14:textId="77777777" w:rsidR="004942B6" w:rsidRDefault="004942B6" w:rsidP="004942B6"/>
    <w:p w14:paraId="4C7CF330" w14:textId="77777777" w:rsidR="004942B6" w:rsidRDefault="004942B6" w:rsidP="004942B6"/>
    <w:p w14:paraId="708A6801" w14:textId="77777777" w:rsidR="004942B6" w:rsidRDefault="004942B6" w:rsidP="004942B6"/>
    <w:p w14:paraId="08C4D9F7" w14:textId="77777777" w:rsidR="004942B6" w:rsidRDefault="004942B6" w:rsidP="004942B6"/>
    <w:p w14:paraId="02EA85EB" w14:textId="77777777" w:rsidR="004942B6" w:rsidRDefault="004942B6" w:rsidP="004942B6"/>
    <w:p w14:paraId="7A2029C9" w14:textId="77777777" w:rsidR="004942B6" w:rsidRDefault="004942B6" w:rsidP="004942B6"/>
    <w:p w14:paraId="3EF004AD" w14:textId="77777777" w:rsidR="004942B6" w:rsidRDefault="004942B6" w:rsidP="004942B6"/>
    <w:p w14:paraId="18F0269C" w14:textId="77777777" w:rsidR="004942B6" w:rsidRDefault="004942B6" w:rsidP="004942B6"/>
    <w:p w14:paraId="5005E645" w14:textId="77777777" w:rsidR="004942B6" w:rsidRDefault="004942B6" w:rsidP="004942B6"/>
    <w:p w14:paraId="0D5FB65E" w14:textId="77777777" w:rsidR="004942B6" w:rsidRDefault="004942B6" w:rsidP="004942B6"/>
    <w:p w14:paraId="2BE3EAB3" w14:textId="77777777" w:rsidR="004942B6" w:rsidRDefault="004942B6" w:rsidP="004942B6"/>
    <w:p w14:paraId="61AF917E" w14:textId="77777777" w:rsidR="004942B6" w:rsidRDefault="004942B6" w:rsidP="004942B6"/>
    <w:p w14:paraId="276D7F05" w14:textId="77777777" w:rsidR="004942B6" w:rsidRDefault="004942B6" w:rsidP="004942B6"/>
    <w:p w14:paraId="2EAE9A0A" w14:textId="77777777" w:rsidR="004942B6" w:rsidRDefault="004942B6" w:rsidP="004942B6"/>
    <w:p w14:paraId="7B584673" w14:textId="77777777" w:rsidR="004942B6" w:rsidRDefault="004942B6" w:rsidP="004942B6"/>
    <w:p w14:paraId="04939B4C" w14:textId="77777777" w:rsidR="004942B6" w:rsidRDefault="004942B6" w:rsidP="004942B6"/>
    <w:p w14:paraId="2DB96D48" w14:textId="77777777" w:rsidR="004942B6" w:rsidRDefault="004942B6" w:rsidP="004942B6"/>
    <w:p w14:paraId="3DA21F40" w14:textId="77777777" w:rsidR="004942B6" w:rsidRDefault="004942B6" w:rsidP="004942B6"/>
    <w:p w14:paraId="0F95A7A7" w14:textId="145C0C51" w:rsidR="004942B6" w:rsidRPr="00822666" w:rsidRDefault="004942B6" w:rsidP="004942B6">
      <w:pPr>
        <w:pStyle w:val="NoSpacing"/>
        <w:jc w:val="both"/>
        <w:rPr>
          <w:rFonts w:ascii="Arial" w:hAnsi="Arial" w:cs="Arial"/>
          <w:i/>
          <w:iCs/>
          <w:sz w:val="20"/>
          <w:szCs w:val="20"/>
        </w:rPr>
      </w:pPr>
      <w:bookmarkStart w:id="1320" w:name="_Toc152340592"/>
      <w:bookmarkStart w:id="1321" w:name="_Toc152598068"/>
      <w:bookmarkStart w:id="1322" w:name="_Toc153725852"/>
      <w:bookmarkStart w:id="1323" w:name="_Toc159318292"/>
      <w:bookmarkStart w:id="1324" w:name="_Toc159610327"/>
      <w:bookmarkStart w:id="1325" w:name="_Toc164699084"/>
      <w:bookmarkStart w:id="1326" w:name="_Toc171206727"/>
      <w:r w:rsidRPr="00822666">
        <w:rPr>
          <w:rFonts w:ascii="Arial" w:hAnsi="Arial" w:cs="Arial"/>
          <w:b/>
          <w:bCs/>
          <w:i/>
          <w:iCs/>
          <w:sz w:val="20"/>
          <w:szCs w:val="20"/>
        </w:rPr>
        <w:t xml:space="preserve">Table </w:t>
      </w:r>
      <w:r w:rsidR="00924BD5">
        <w:rPr>
          <w:rFonts w:ascii="Arial" w:hAnsi="Arial" w:cs="Arial"/>
          <w:b/>
          <w:bCs/>
          <w:i/>
          <w:iCs/>
          <w:sz w:val="20"/>
          <w:szCs w:val="20"/>
        </w:rPr>
        <w:t>17</w:t>
      </w:r>
      <w:r w:rsidRPr="00822666">
        <w:rPr>
          <w:rFonts w:ascii="Arial" w:hAnsi="Arial" w:cs="Arial"/>
          <w:b/>
          <w:bCs/>
          <w:i/>
          <w:iCs/>
          <w:sz w:val="20"/>
          <w:szCs w:val="20"/>
        </w:rPr>
        <w:t>:</w:t>
      </w:r>
      <w:r w:rsidRPr="00822666">
        <w:rPr>
          <w:rFonts w:ascii="Arial" w:hAnsi="Arial" w:cs="Arial"/>
          <w:i/>
          <w:iCs/>
          <w:sz w:val="20"/>
          <w:szCs w:val="20"/>
        </w:rPr>
        <w:t xml:space="preserve"> Comparison of the individualised "actual" and "virtual" costs of the index procedure for the CCS patients (n=26) in the virtual change subset</w:t>
      </w:r>
      <w:bookmarkEnd w:id="1320"/>
      <w:bookmarkEnd w:id="1321"/>
      <w:bookmarkEnd w:id="1322"/>
      <w:bookmarkEnd w:id="1323"/>
      <w:bookmarkEnd w:id="1324"/>
      <w:bookmarkEnd w:id="1325"/>
      <w:r w:rsidR="00221C46">
        <w:rPr>
          <w:rFonts w:ascii="Arial" w:hAnsi="Arial" w:cs="Arial"/>
          <w:i/>
          <w:iCs/>
          <w:sz w:val="20"/>
          <w:szCs w:val="20"/>
        </w:rPr>
        <w:t xml:space="preserve"> according to parent cardiologists’ plans</w:t>
      </w:r>
      <w:bookmarkEnd w:id="1326"/>
    </w:p>
    <w:p w14:paraId="7B4D7D7E" w14:textId="77777777" w:rsidR="004942B6" w:rsidRDefault="004942B6" w:rsidP="004942B6">
      <w:pPr>
        <w:pStyle w:val="NoSpacing"/>
      </w:pPr>
    </w:p>
    <w:tbl>
      <w:tblPr>
        <w:tblW w:w="9879" w:type="dxa"/>
        <w:tblLook w:val="04A0" w:firstRow="1" w:lastRow="0" w:firstColumn="1" w:lastColumn="0" w:noHBand="0" w:noVBand="1"/>
      </w:tblPr>
      <w:tblGrid>
        <w:gridCol w:w="1009"/>
        <w:gridCol w:w="1869"/>
        <w:gridCol w:w="2100"/>
        <w:gridCol w:w="1559"/>
        <w:gridCol w:w="1559"/>
        <w:gridCol w:w="1783"/>
      </w:tblGrid>
      <w:tr w:rsidR="004942B6" w:rsidRPr="002A5BC1" w14:paraId="612E9999" w14:textId="77777777" w:rsidTr="002C2525">
        <w:trPr>
          <w:trHeight w:val="960"/>
        </w:trPr>
        <w:tc>
          <w:tcPr>
            <w:tcW w:w="10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6D44415" w14:textId="77777777" w:rsidR="004942B6" w:rsidRPr="002A5BC1" w:rsidRDefault="004942B6" w:rsidP="002C2525">
            <w:pPr>
              <w:pStyle w:val="NoSpacing"/>
              <w:rPr>
                <w:rFonts w:cstheme="minorHAnsi"/>
                <w:sz w:val="24"/>
                <w:szCs w:val="24"/>
              </w:rPr>
            </w:pPr>
            <w:r w:rsidRPr="00A16EF7">
              <w:rPr>
                <w:b/>
                <w:bCs/>
                <w:sz w:val="24"/>
                <w:szCs w:val="24"/>
              </w:rPr>
              <w:t>Study ID</w:t>
            </w:r>
          </w:p>
        </w:tc>
        <w:tc>
          <w:tcPr>
            <w:tcW w:w="1869" w:type="dxa"/>
            <w:tcBorders>
              <w:top w:val="single" w:sz="4" w:space="0" w:color="auto"/>
              <w:left w:val="nil"/>
              <w:bottom w:val="single" w:sz="4" w:space="0" w:color="auto"/>
              <w:right w:val="single" w:sz="4" w:space="0" w:color="auto"/>
            </w:tcBorders>
            <w:shd w:val="clear" w:color="000000" w:fill="FFFFFF"/>
            <w:vAlign w:val="center"/>
            <w:hideMark/>
          </w:tcPr>
          <w:p w14:paraId="7844B676" w14:textId="77777777" w:rsidR="004942B6" w:rsidRPr="002A5BC1" w:rsidRDefault="004942B6" w:rsidP="002C2525">
            <w:pPr>
              <w:pStyle w:val="NoSpacing"/>
              <w:rPr>
                <w:rFonts w:cstheme="minorHAnsi"/>
                <w:sz w:val="24"/>
                <w:szCs w:val="24"/>
              </w:rPr>
            </w:pPr>
            <w:r w:rsidRPr="00A16EF7">
              <w:rPr>
                <w:b/>
                <w:bCs/>
                <w:sz w:val="24"/>
                <w:szCs w:val="24"/>
              </w:rPr>
              <w:t>Pre-vFFR management plan (A)</w:t>
            </w:r>
          </w:p>
        </w:tc>
        <w:tc>
          <w:tcPr>
            <w:tcW w:w="2100" w:type="dxa"/>
            <w:tcBorders>
              <w:top w:val="single" w:sz="4" w:space="0" w:color="auto"/>
              <w:left w:val="nil"/>
              <w:bottom w:val="single" w:sz="4" w:space="0" w:color="auto"/>
              <w:right w:val="single" w:sz="4" w:space="0" w:color="auto"/>
            </w:tcBorders>
            <w:shd w:val="clear" w:color="000000" w:fill="FFFFFF"/>
            <w:vAlign w:val="center"/>
            <w:hideMark/>
          </w:tcPr>
          <w:p w14:paraId="7F18CF17" w14:textId="77777777" w:rsidR="004942B6" w:rsidRPr="00E42491" w:rsidRDefault="004942B6" w:rsidP="002C2525">
            <w:pPr>
              <w:pStyle w:val="NoSpacing"/>
              <w:rPr>
                <w:rFonts w:cstheme="minorHAnsi"/>
                <w:sz w:val="24"/>
                <w:szCs w:val="24"/>
                <w:lang w:val="fr-FR"/>
              </w:rPr>
            </w:pPr>
            <w:r w:rsidRPr="00E42491">
              <w:rPr>
                <w:b/>
                <w:bCs/>
                <w:sz w:val="24"/>
                <w:szCs w:val="24"/>
                <w:lang w:val="fr-FR"/>
              </w:rPr>
              <w:t>Post-vFFR management plan (B)</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75CD99DE" w14:textId="77777777" w:rsidR="004942B6" w:rsidRPr="002A5BC1" w:rsidRDefault="004942B6" w:rsidP="002C2525">
            <w:pPr>
              <w:pStyle w:val="NoSpacing"/>
              <w:rPr>
                <w:rFonts w:cstheme="minorHAnsi"/>
                <w:sz w:val="24"/>
                <w:szCs w:val="24"/>
              </w:rPr>
            </w:pPr>
            <w:r w:rsidRPr="00A16EF7">
              <w:rPr>
                <w:b/>
                <w:bCs/>
                <w:sz w:val="24"/>
                <w:szCs w:val="24"/>
              </w:rPr>
              <w:t>Cost of the pre-vFFR management plan</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6B94C4DE" w14:textId="77777777" w:rsidR="004942B6" w:rsidRPr="002A5BC1" w:rsidRDefault="004942B6" w:rsidP="002C2525">
            <w:pPr>
              <w:pStyle w:val="NoSpacing"/>
              <w:rPr>
                <w:rFonts w:cstheme="minorHAnsi"/>
                <w:sz w:val="24"/>
                <w:szCs w:val="24"/>
              </w:rPr>
            </w:pPr>
            <w:r w:rsidRPr="00A16EF7">
              <w:rPr>
                <w:b/>
                <w:bCs/>
                <w:sz w:val="24"/>
                <w:szCs w:val="24"/>
              </w:rPr>
              <w:t>Cost of the post-vFFR management plan</w:t>
            </w:r>
          </w:p>
        </w:tc>
        <w:tc>
          <w:tcPr>
            <w:tcW w:w="1783" w:type="dxa"/>
            <w:tcBorders>
              <w:top w:val="single" w:sz="4" w:space="0" w:color="auto"/>
              <w:left w:val="nil"/>
              <w:bottom w:val="single" w:sz="4" w:space="0" w:color="auto"/>
              <w:right w:val="single" w:sz="4" w:space="0" w:color="auto"/>
            </w:tcBorders>
            <w:shd w:val="clear" w:color="000000" w:fill="FFFFFF"/>
            <w:vAlign w:val="center"/>
            <w:hideMark/>
          </w:tcPr>
          <w:p w14:paraId="45517627" w14:textId="77777777" w:rsidR="004942B6" w:rsidRPr="002A5BC1" w:rsidRDefault="004942B6" w:rsidP="002C2525">
            <w:pPr>
              <w:pStyle w:val="NoSpacing"/>
              <w:rPr>
                <w:rFonts w:cstheme="minorHAnsi"/>
                <w:sz w:val="24"/>
                <w:szCs w:val="24"/>
              </w:rPr>
            </w:pPr>
            <w:r w:rsidRPr="00A16EF7">
              <w:rPr>
                <w:b/>
                <w:bCs/>
                <w:color w:val="000000" w:themeColor="text1"/>
                <w:sz w:val="24"/>
                <w:szCs w:val="24"/>
              </w:rPr>
              <w:t>Change in cost (B-A)</w:t>
            </w:r>
          </w:p>
        </w:tc>
      </w:tr>
      <w:tr w:rsidR="004942B6" w:rsidRPr="002A5BC1" w14:paraId="0C0911BB"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53C75DD8"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D1</w:t>
            </w:r>
          </w:p>
        </w:tc>
        <w:tc>
          <w:tcPr>
            <w:tcW w:w="1869" w:type="dxa"/>
            <w:tcBorders>
              <w:top w:val="nil"/>
              <w:left w:val="nil"/>
              <w:bottom w:val="single" w:sz="4" w:space="0" w:color="auto"/>
              <w:right w:val="single" w:sz="4" w:space="0" w:color="auto"/>
            </w:tcBorders>
            <w:shd w:val="clear" w:color="000000" w:fill="FFFFFF"/>
            <w:noWrap/>
            <w:vAlign w:val="bottom"/>
            <w:hideMark/>
          </w:tcPr>
          <w:p w14:paraId="22680A73"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0C65B599"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hideMark/>
          </w:tcPr>
          <w:p w14:paraId="34F45D90"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1DB632E2"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1CACC35" w14:textId="3FD56A79" w:rsidR="004942B6" w:rsidRPr="00B20897" w:rsidRDefault="004942B6" w:rsidP="002C2525">
            <w:pPr>
              <w:spacing w:after="0" w:line="240" w:lineRule="auto"/>
              <w:rPr>
                <w:rFonts w:cstheme="minorHAnsi"/>
                <w:b/>
                <w:bCs/>
                <w:color w:val="C00000"/>
                <w:sz w:val="24"/>
                <w:szCs w:val="24"/>
              </w:rPr>
            </w:pPr>
            <w:r w:rsidRPr="00B20897">
              <w:rPr>
                <w:rFonts w:cstheme="minorHAnsi"/>
                <w:b/>
                <w:bCs/>
                <w:color w:val="C00000"/>
                <w:sz w:val="24"/>
                <w:szCs w:val="24"/>
              </w:rPr>
              <w:t>+</w:t>
            </w:r>
            <w:r>
              <w:rPr>
                <w:rFonts w:cstheme="minorHAnsi"/>
                <w:b/>
                <w:bCs/>
                <w:color w:val="C00000"/>
                <w:sz w:val="24"/>
                <w:szCs w:val="24"/>
              </w:rPr>
              <w:t xml:space="preserve"> </w:t>
            </w:r>
            <w:r w:rsidRPr="00B20897">
              <w:rPr>
                <w:rFonts w:cstheme="minorHAnsi"/>
                <w:b/>
                <w:bCs/>
                <w:color w:val="C00000"/>
                <w:sz w:val="24"/>
                <w:szCs w:val="24"/>
              </w:rPr>
              <w:t>£1103</w:t>
            </w:r>
          </w:p>
        </w:tc>
      </w:tr>
      <w:tr w:rsidR="004942B6" w:rsidRPr="002A5BC1" w14:paraId="4FD5C37E"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tcPr>
          <w:p w14:paraId="52F9EBCE" w14:textId="77777777" w:rsidR="004942B6" w:rsidRPr="002A5BC1" w:rsidRDefault="004942B6" w:rsidP="002C2525">
            <w:pPr>
              <w:spacing w:after="0" w:line="240" w:lineRule="auto"/>
              <w:rPr>
                <w:rFonts w:cstheme="minorHAnsi"/>
                <w:color w:val="000000"/>
                <w:sz w:val="24"/>
                <w:szCs w:val="24"/>
              </w:rPr>
            </w:pPr>
            <w:r w:rsidRPr="002A5BC1">
              <w:rPr>
                <w:rFonts w:cstheme="minorHAnsi"/>
                <w:sz w:val="24"/>
                <w:szCs w:val="24"/>
              </w:rPr>
              <w:t>D7</w:t>
            </w:r>
          </w:p>
        </w:tc>
        <w:tc>
          <w:tcPr>
            <w:tcW w:w="1869" w:type="dxa"/>
            <w:tcBorders>
              <w:top w:val="nil"/>
              <w:left w:val="nil"/>
              <w:bottom w:val="single" w:sz="4" w:space="0" w:color="auto"/>
              <w:right w:val="single" w:sz="4" w:space="0" w:color="auto"/>
            </w:tcBorders>
            <w:shd w:val="clear" w:color="000000" w:fill="FFFFFF"/>
            <w:noWrap/>
            <w:vAlign w:val="bottom"/>
          </w:tcPr>
          <w:p w14:paraId="58D81281" w14:textId="77777777" w:rsidR="004942B6" w:rsidRPr="002A5BC1" w:rsidRDefault="004942B6" w:rsidP="002C2525">
            <w:pPr>
              <w:spacing w:after="0" w:line="240" w:lineRule="auto"/>
              <w:rPr>
                <w:rFonts w:cstheme="minorHAnsi"/>
                <w:color w:val="000000"/>
                <w:sz w:val="24"/>
                <w:szCs w:val="24"/>
              </w:rPr>
            </w:pPr>
            <w:r w:rsidRPr="002A5BC1">
              <w:rPr>
                <w:rFonts w:cstheme="minorHAnsi"/>
                <w:color w:val="000000"/>
                <w:sz w:val="24"/>
                <w:szCs w:val="24"/>
              </w:rPr>
              <w:t>CABG x 3</w:t>
            </w:r>
          </w:p>
        </w:tc>
        <w:tc>
          <w:tcPr>
            <w:tcW w:w="2100" w:type="dxa"/>
            <w:tcBorders>
              <w:top w:val="nil"/>
              <w:left w:val="nil"/>
              <w:bottom w:val="single" w:sz="4" w:space="0" w:color="auto"/>
              <w:right w:val="single" w:sz="4" w:space="0" w:color="auto"/>
            </w:tcBorders>
            <w:shd w:val="clear" w:color="000000" w:fill="FFFFFF"/>
            <w:noWrap/>
            <w:vAlign w:val="bottom"/>
          </w:tcPr>
          <w:p w14:paraId="744AC271" w14:textId="77777777" w:rsidR="004942B6" w:rsidRPr="002A5BC1" w:rsidRDefault="004942B6" w:rsidP="002C2525">
            <w:pPr>
              <w:spacing w:after="0" w:line="240" w:lineRule="auto"/>
              <w:rPr>
                <w:rFonts w:cstheme="minorHAnsi"/>
                <w:color w:val="000000"/>
                <w:sz w:val="24"/>
                <w:szCs w:val="24"/>
              </w:rPr>
            </w:pPr>
            <w:r w:rsidRPr="002A5BC1">
              <w:rPr>
                <w:rFonts w:cstheme="minorHAnsi"/>
                <w:color w:val="000000"/>
                <w:sz w:val="24"/>
                <w:szCs w:val="24"/>
              </w:rPr>
              <w:t xml:space="preserve">2V PCI </w:t>
            </w:r>
          </w:p>
        </w:tc>
        <w:tc>
          <w:tcPr>
            <w:tcW w:w="1559" w:type="dxa"/>
            <w:tcBorders>
              <w:top w:val="nil"/>
              <w:left w:val="nil"/>
              <w:bottom w:val="single" w:sz="4" w:space="0" w:color="auto"/>
              <w:right w:val="single" w:sz="4" w:space="0" w:color="auto"/>
            </w:tcBorders>
            <w:shd w:val="clear" w:color="000000" w:fill="FFFFFF"/>
            <w:noWrap/>
            <w:vAlign w:val="bottom"/>
          </w:tcPr>
          <w:p w14:paraId="7312523F" w14:textId="29B35B68" w:rsidR="004942B6" w:rsidRPr="002A5BC1" w:rsidRDefault="004942B6" w:rsidP="002C2525">
            <w:pPr>
              <w:spacing w:after="0" w:line="240" w:lineRule="auto"/>
              <w:rPr>
                <w:rFonts w:cstheme="minorHAnsi"/>
                <w:sz w:val="24"/>
                <w:szCs w:val="24"/>
              </w:rPr>
            </w:pPr>
            <w:r w:rsidRPr="002A5BC1">
              <w:rPr>
                <w:rFonts w:cstheme="minorHAnsi"/>
                <w:sz w:val="24"/>
                <w:szCs w:val="24"/>
              </w:rPr>
              <w:t>£8</w:t>
            </w:r>
            <w:r w:rsidR="00CC206D">
              <w:rPr>
                <w:rFonts w:cstheme="minorHAnsi"/>
                <w:sz w:val="24"/>
                <w:szCs w:val="24"/>
              </w:rPr>
              <w:t>544</w:t>
            </w:r>
          </w:p>
        </w:tc>
        <w:tc>
          <w:tcPr>
            <w:tcW w:w="1559" w:type="dxa"/>
            <w:tcBorders>
              <w:top w:val="nil"/>
              <w:left w:val="nil"/>
              <w:bottom w:val="single" w:sz="4" w:space="0" w:color="auto"/>
              <w:right w:val="single" w:sz="4" w:space="0" w:color="auto"/>
            </w:tcBorders>
            <w:shd w:val="clear" w:color="000000" w:fill="FFFFFF"/>
            <w:noWrap/>
            <w:vAlign w:val="bottom"/>
          </w:tcPr>
          <w:p w14:paraId="20EA3BFE" w14:textId="77777777" w:rsidR="004942B6" w:rsidRPr="002A5BC1" w:rsidRDefault="004942B6" w:rsidP="002C2525">
            <w:pPr>
              <w:spacing w:after="0" w:line="240" w:lineRule="auto"/>
              <w:rPr>
                <w:rFonts w:cstheme="minorHAnsi"/>
                <w:color w:val="000000"/>
                <w:sz w:val="24"/>
                <w:szCs w:val="24"/>
              </w:rPr>
            </w:pPr>
            <w:r w:rsidRPr="002A5BC1">
              <w:rPr>
                <w:rFonts w:cstheme="minorHAnsi"/>
                <w:color w:val="000000"/>
                <w:sz w:val="24"/>
                <w:szCs w:val="24"/>
              </w:rPr>
              <w:t>£1652</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50C318D" w14:textId="13389A7F" w:rsidR="004942B6" w:rsidRPr="002A5BC1" w:rsidRDefault="004942B6" w:rsidP="002C2525">
            <w:pPr>
              <w:spacing w:after="0" w:line="240" w:lineRule="auto"/>
              <w:rPr>
                <w:rFonts w:cstheme="minorHAnsi"/>
                <w:b/>
                <w:bCs/>
                <w:color w:val="00B050"/>
                <w:sz w:val="24"/>
                <w:szCs w:val="24"/>
              </w:rPr>
            </w:pPr>
            <w:r w:rsidRPr="002A5BC1">
              <w:rPr>
                <w:rFonts w:cstheme="minorHAnsi"/>
                <w:b/>
                <w:bCs/>
                <w:color w:val="00B050"/>
                <w:sz w:val="24"/>
                <w:szCs w:val="24"/>
              </w:rPr>
              <w:t>-</w:t>
            </w:r>
            <w:r>
              <w:rPr>
                <w:rFonts w:cstheme="minorHAnsi"/>
                <w:b/>
                <w:bCs/>
                <w:color w:val="00B050"/>
                <w:sz w:val="24"/>
                <w:szCs w:val="24"/>
              </w:rPr>
              <w:t xml:space="preserve"> </w:t>
            </w:r>
            <w:r w:rsidR="00C90103">
              <w:rPr>
                <w:rFonts w:cstheme="minorHAnsi"/>
                <w:b/>
                <w:bCs/>
                <w:color w:val="00B050"/>
                <w:sz w:val="24"/>
                <w:szCs w:val="24"/>
              </w:rPr>
              <w:t>£</w:t>
            </w:r>
            <w:r w:rsidRPr="002A5BC1">
              <w:rPr>
                <w:rFonts w:cstheme="minorHAnsi"/>
                <w:b/>
                <w:bCs/>
                <w:color w:val="00B050"/>
                <w:sz w:val="24"/>
                <w:szCs w:val="24"/>
              </w:rPr>
              <w:t>6</w:t>
            </w:r>
            <w:r w:rsidR="00CC206D">
              <w:rPr>
                <w:rFonts w:cstheme="minorHAnsi"/>
                <w:b/>
                <w:bCs/>
                <w:color w:val="00B050"/>
                <w:sz w:val="24"/>
                <w:szCs w:val="24"/>
              </w:rPr>
              <w:t>892</w:t>
            </w:r>
          </w:p>
        </w:tc>
      </w:tr>
      <w:tr w:rsidR="004942B6" w:rsidRPr="002A5BC1" w14:paraId="147A5269"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56B9875F"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 xml:space="preserve">D20 </w:t>
            </w:r>
          </w:p>
        </w:tc>
        <w:tc>
          <w:tcPr>
            <w:tcW w:w="1869" w:type="dxa"/>
            <w:tcBorders>
              <w:top w:val="nil"/>
              <w:left w:val="nil"/>
              <w:bottom w:val="single" w:sz="4" w:space="0" w:color="auto"/>
              <w:right w:val="single" w:sz="4" w:space="0" w:color="auto"/>
            </w:tcBorders>
            <w:shd w:val="clear" w:color="000000" w:fill="FFFFFF"/>
            <w:noWrap/>
            <w:vAlign w:val="bottom"/>
            <w:hideMark/>
          </w:tcPr>
          <w:p w14:paraId="268B361C"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2100" w:type="dxa"/>
            <w:tcBorders>
              <w:top w:val="nil"/>
              <w:left w:val="nil"/>
              <w:bottom w:val="single" w:sz="4" w:space="0" w:color="auto"/>
              <w:right w:val="single" w:sz="4" w:space="0" w:color="auto"/>
            </w:tcBorders>
            <w:shd w:val="clear" w:color="000000" w:fill="FFFFFF"/>
            <w:noWrap/>
            <w:vAlign w:val="bottom"/>
            <w:hideMark/>
          </w:tcPr>
          <w:p w14:paraId="45A7878B"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mFFR + 1V PCI</w:t>
            </w:r>
          </w:p>
        </w:tc>
        <w:tc>
          <w:tcPr>
            <w:tcW w:w="1559" w:type="dxa"/>
            <w:tcBorders>
              <w:top w:val="nil"/>
              <w:left w:val="nil"/>
              <w:bottom w:val="single" w:sz="4" w:space="0" w:color="auto"/>
              <w:right w:val="single" w:sz="4" w:space="0" w:color="auto"/>
            </w:tcBorders>
            <w:shd w:val="clear" w:color="000000" w:fill="FFFFFF"/>
            <w:noWrap/>
            <w:vAlign w:val="bottom"/>
            <w:hideMark/>
          </w:tcPr>
          <w:p w14:paraId="4707C240"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000000" w:fill="FFFFFF"/>
            <w:noWrap/>
            <w:vAlign w:val="bottom"/>
            <w:hideMark/>
          </w:tcPr>
          <w:p w14:paraId="0FB3FA87"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£1849</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69EC864" w14:textId="30AAFC7A"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£586</w:t>
            </w:r>
          </w:p>
        </w:tc>
      </w:tr>
      <w:tr w:rsidR="004942B6" w:rsidRPr="002A5BC1" w14:paraId="11A950D8"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33B854D2"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R4</w:t>
            </w:r>
          </w:p>
        </w:tc>
        <w:tc>
          <w:tcPr>
            <w:tcW w:w="1869" w:type="dxa"/>
            <w:tcBorders>
              <w:top w:val="nil"/>
              <w:left w:val="nil"/>
              <w:bottom w:val="single" w:sz="4" w:space="0" w:color="auto"/>
              <w:right w:val="single" w:sz="4" w:space="0" w:color="auto"/>
            </w:tcBorders>
            <w:shd w:val="clear" w:color="000000" w:fill="FFFFFF"/>
            <w:noWrap/>
            <w:vAlign w:val="bottom"/>
            <w:hideMark/>
          </w:tcPr>
          <w:p w14:paraId="419ACB7D"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6A7D5406"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hideMark/>
          </w:tcPr>
          <w:p w14:paraId="650D4D4F"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4A5BB574"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B4CF03E" w14:textId="77777777"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£1103</w:t>
            </w:r>
          </w:p>
        </w:tc>
      </w:tr>
      <w:tr w:rsidR="004942B6" w:rsidRPr="002A5BC1" w14:paraId="597C0CA6"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278F2B8A"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R6</w:t>
            </w:r>
          </w:p>
        </w:tc>
        <w:tc>
          <w:tcPr>
            <w:tcW w:w="1869" w:type="dxa"/>
            <w:tcBorders>
              <w:top w:val="nil"/>
              <w:left w:val="nil"/>
              <w:bottom w:val="single" w:sz="4" w:space="0" w:color="auto"/>
              <w:right w:val="single" w:sz="4" w:space="0" w:color="auto"/>
            </w:tcBorders>
            <w:shd w:val="clear" w:color="000000" w:fill="FFFFFF"/>
            <w:noWrap/>
            <w:vAlign w:val="bottom"/>
            <w:hideMark/>
          </w:tcPr>
          <w:p w14:paraId="3A860208"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4208CFE3"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hideMark/>
          </w:tcPr>
          <w:p w14:paraId="671C0F47"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3A831280"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1698E11" w14:textId="77777777"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£1103</w:t>
            </w:r>
          </w:p>
        </w:tc>
      </w:tr>
      <w:tr w:rsidR="004942B6" w:rsidRPr="002A5BC1" w14:paraId="31790AAA"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06FE1A6B"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 xml:space="preserve">D25 </w:t>
            </w:r>
          </w:p>
        </w:tc>
        <w:tc>
          <w:tcPr>
            <w:tcW w:w="1869" w:type="dxa"/>
            <w:tcBorders>
              <w:top w:val="nil"/>
              <w:left w:val="nil"/>
              <w:bottom w:val="single" w:sz="4" w:space="0" w:color="auto"/>
              <w:right w:val="single" w:sz="4" w:space="0" w:color="auto"/>
            </w:tcBorders>
            <w:shd w:val="clear" w:color="000000" w:fill="FFFFFF"/>
            <w:noWrap/>
            <w:vAlign w:val="bottom"/>
            <w:hideMark/>
          </w:tcPr>
          <w:p w14:paraId="5D4833BD"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1V PCI</w:t>
            </w:r>
          </w:p>
        </w:tc>
        <w:tc>
          <w:tcPr>
            <w:tcW w:w="2100" w:type="dxa"/>
            <w:tcBorders>
              <w:top w:val="nil"/>
              <w:left w:val="nil"/>
              <w:bottom w:val="single" w:sz="4" w:space="0" w:color="auto"/>
              <w:right w:val="single" w:sz="4" w:space="0" w:color="auto"/>
            </w:tcBorders>
            <w:shd w:val="clear" w:color="000000" w:fill="FFFFFF"/>
            <w:noWrap/>
            <w:vAlign w:val="bottom"/>
            <w:hideMark/>
          </w:tcPr>
          <w:p w14:paraId="35F5D4B1"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mFFR + 1V PCI</w:t>
            </w:r>
          </w:p>
        </w:tc>
        <w:tc>
          <w:tcPr>
            <w:tcW w:w="1559" w:type="dxa"/>
            <w:tcBorders>
              <w:top w:val="nil"/>
              <w:left w:val="nil"/>
              <w:bottom w:val="single" w:sz="4" w:space="0" w:color="auto"/>
              <w:right w:val="single" w:sz="4" w:space="0" w:color="auto"/>
            </w:tcBorders>
            <w:shd w:val="clear" w:color="000000" w:fill="FFFFFF"/>
            <w:noWrap/>
            <w:vAlign w:val="bottom"/>
            <w:hideMark/>
          </w:tcPr>
          <w:p w14:paraId="32ED6DE2"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000000" w:fill="FFFFFF"/>
            <w:noWrap/>
            <w:vAlign w:val="bottom"/>
            <w:hideMark/>
          </w:tcPr>
          <w:p w14:paraId="599D39F0"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£1849</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FC486EC" w14:textId="77777777"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£586</w:t>
            </w:r>
          </w:p>
        </w:tc>
      </w:tr>
      <w:tr w:rsidR="004942B6" w:rsidRPr="002A5BC1" w14:paraId="25AC3CB6"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0B9AEA36"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 xml:space="preserve">D26 </w:t>
            </w:r>
          </w:p>
        </w:tc>
        <w:tc>
          <w:tcPr>
            <w:tcW w:w="1869" w:type="dxa"/>
            <w:tcBorders>
              <w:top w:val="nil"/>
              <w:left w:val="nil"/>
              <w:bottom w:val="single" w:sz="4" w:space="0" w:color="auto"/>
              <w:right w:val="single" w:sz="4" w:space="0" w:color="auto"/>
            </w:tcBorders>
            <w:shd w:val="clear" w:color="000000" w:fill="FFFFFF"/>
            <w:noWrap/>
            <w:vAlign w:val="bottom"/>
            <w:hideMark/>
          </w:tcPr>
          <w:p w14:paraId="5117D3E9"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1V PCI</w:t>
            </w:r>
          </w:p>
        </w:tc>
        <w:tc>
          <w:tcPr>
            <w:tcW w:w="2100" w:type="dxa"/>
            <w:tcBorders>
              <w:top w:val="nil"/>
              <w:left w:val="nil"/>
              <w:bottom w:val="single" w:sz="4" w:space="0" w:color="auto"/>
              <w:right w:val="single" w:sz="4" w:space="0" w:color="auto"/>
            </w:tcBorders>
            <w:shd w:val="clear" w:color="000000" w:fill="FFFFFF"/>
            <w:noWrap/>
            <w:vAlign w:val="bottom"/>
            <w:hideMark/>
          </w:tcPr>
          <w:p w14:paraId="1A2977A0" w14:textId="77777777" w:rsidR="004942B6" w:rsidRPr="002A5BC1" w:rsidRDefault="004942B6" w:rsidP="002C2525">
            <w:pPr>
              <w:spacing w:after="0" w:line="240" w:lineRule="auto"/>
              <w:rPr>
                <w:rFonts w:cstheme="minorHAnsi"/>
                <w:sz w:val="24"/>
                <w:szCs w:val="24"/>
              </w:rPr>
            </w:pPr>
            <w:r>
              <w:rPr>
                <w:rFonts w:cstheme="minorHAnsi"/>
                <w:color w:val="000000"/>
                <w:sz w:val="24"/>
                <w:szCs w:val="24"/>
              </w:rPr>
              <w:t>2</w:t>
            </w:r>
            <w:r w:rsidRPr="002A5BC1">
              <w:rPr>
                <w:rFonts w:cstheme="minorHAnsi"/>
                <w:color w:val="000000"/>
                <w:sz w:val="24"/>
                <w:szCs w:val="24"/>
              </w:rPr>
              <w:t>V PCI</w:t>
            </w:r>
          </w:p>
        </w:tc>
        <w:tc>
          <w:tcPr>
            <w:tcW w:w="1559" w:type="dxa"/>
            <w:tcBorders>
              <w:top w:val="nil"/>
              <w:left w:val="nil"/>
              <w:bottom w:val="single" w:sz="4" w:space="0" w:color="auto"/>
              <w:right w:val="single" w:sz="4" w:space="0" w:color="auto"/>
            </w:tcBorders>
            <w:shd w:val="clear" w:color="000000" w:fill="FFFFFF"/>
            <w:noWrap/>
            <w:vAlign w:val="bottom"/>
            <w:hideMark/>
          </w:tcPr>
          <w:p w14:paraId="43DEF0C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000000" w:fill="FFFFFF"/>
            <w:noWrap/>
            <w:vAlign w:val="bottom"/>
            <w:hideMark/>
          </w:tcPr>
          <w:p w14:paraId="5AC77F85"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w:t>
            </w:r>
            <w:r>
              <w:rPr>
                <w:rFonts w:cstheme="minorHAnsi"/>
                <w:color w:val="000000"/>
                <w:sz w:val="24"/>
                <w:szCs w:val="24"/>
              </w:rPr>
              <w:t>652</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273F5DF" w14:textId="5B575669"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w:t>
            </w:r>
            <w:r>
              <w:rPr>
                <w:rFonts w:cstheme="minorHAnsi"/>
                <w:b/>
                <w:bCs/>
                <w:color w:val="C00000"/>
                <w:sz w:val="24"/>
                <w:szCs w:val="24"/>
              </w:rPr>
              <w:t>389</w:t>
            </w:r>
          </w:p>
        </w:tc>
      </w:tr>
      <w:tr w:rsidR="004942B6" w:rsidRPr="002A5BC1" w14:paraId="32C06614"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5BA1DDA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D27</w:t>
            </w:r>
          </w:p>
        </w:tc>
        <w:tc>
          <w:tcPr>
            <w:tcW w:w="1869" w:type="dxa"/>
            <w:tcBorders>
              <w:top w:val="nil"/>
              <w:left w:val="nil"/>
              <w:bottom w:val="single" w:sz="4" w:space="0" w:color="auto"/>
              <w:right w:val="single" w:sz="4" w:space="0" w:color="auto"/>
            </w:tcBorders>
            <w:shd w:val="clear" w:color="000000" w:fill="FFFFFF"/>
            <w:noWrap/>
            <w:vAlign w:val="bottom"/>
            <w:hideMark/>
          </w:tcPr>
          <w:p w14:paraId="6BC0E060"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616CB01E"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hideMark/>
          </w:tcPr>
          <w:p w14:paraId="21AD68CF"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149A94FC"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9523B7A" w14:textId="77777777"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£1103</w:t>
            </w:r>
          </w:p>
        </w:tc>
      </w:tr>
      <w:tr w:rsidR="004942B6" w:rsidRPr="002A5BC1" w14:paraId="7DD255FB"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1A18CDEE"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D28</w:t>
            </w:r>
          </w:p>
        </w:tc>
        <w:tc>
          <w:tcPr>
            <w:tcW w:w="1869" w:type="dxa"/>
            <w:tcBorders>
              <w:top w:val="nil"/>
              <w:left w:val="nil"/>
              <w:bottom w:val="single" w:sz="4" w:space="0" w:color="auto"/>
              <w:right w:val="single" w:sz="4" w:space="0" w:color="auto"/>
            </w:tcBorders>
            <w:shd w:val="clear" w:color="000000" w:fill="FFFFFF"/>
            <w:noWrap/>
            <w:vAlign w:val="bottom"/>
            <w:hideMark/>
          </w:tcPr>
          <w:p w14:paraId="44A0F3EF"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6DBAF4CF"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hideMark/>
          </w:tcPr>
          <w:p w14:paraId="384E9300"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396A2CC2"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943EC70" w14:textId="77777777"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£1103</w:t>
            </w:r>
          </w:p>
        </w:tc>
      </w:tr>
      <w:tr w:rsidR="004942B6" w:rsidRPr="002A5BC1" w14:paraId="137B36A8"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09398176"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D33</w:t>
            </w:r>
          </w:p>
        </w:tc>
        <w:tc>
          <w:tcPr>
            <w:tcW w:w="1869" w:type="dxa"/>
            <w:tcBorders>
              <w:top w:val="nil"/>
              <w:left w:val="nil"/>
              <w:bottom w:val="single" w:sz="4" w:space="0" w:color="auto"/>
              <w:right w:val="single" w:sz="4" w:space="0" w:color="auto"/>
            </w:tcBorders>
            <w:shd w:val="clear" w:color="000000" w:fill="FFFFFF"/>
            <w:noWrap/>
            <w:vAlign w:val="bottom"/>
            <w:hideMark/>
          </w:tcPr>
          <w:p w14:paraId="7E28485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1V PCI</w:t>
            </w:r>
          </w:p>
        </w:tc>
        <w:tc>
          <w:tcPr>
            <w:tcW w:w="2100" w:type="dxa"/>
            <w:tcBorders>
              <w:top w:val="nil"/>
              <w:left w:val="nil"/>
              <w:bottom w:val="single" w:sz="4" w:space="0" w:color="auto"/>
              <w:right w:val="single" w:sz="4" w:space="0" w:color="auto"/>
            </w:tcBorders>
            <w:shd w:val="clear" w:color="000000" w:fill="FFFFFF"/>
            <w:noWrap/>
            <w:vAlign w:val="bottom"/>
            <w:hideMark/>
          </w:tcPr>
          <w:p w14:paraId="6A6BD51F"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2V PCI</w:t>
            </w:r>
          </w:p>
        </w:tc>
        <w:tc>
          <w:tcPr>
            <w:tcW w:w="1559" w:type="dxa"/>
            <w:tcBorders>
              <w:top w:val="nil"/>
              <w:left w:val="nil"/>
              <w:bottom w:val="single" w:sz="4" w:space="0" w:color="auto"/>
              <w:right w:val="single" w:sz="4" w:space="0" w:color="auto"/>
            </w:tcBorders>
            <w:shd w:val="clear" w:color="000000" w:fill="FFFFFF"/>
            <w:noWrap/>
            <w:vAlign w:val="bottom"/>
            <w:hideMark/>
          </w:tcPr>
          <w:p w14:paraId="45DBE3FF"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000000" w:fill="FFFFFF"/>
            <w:noWrap/>
            <w:vAlign w:val="bottom"/>
            <w:hideMark/>
          </w:tcPr>
          <w:p w14:paraId="1FC6906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£1652</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F9E359B" w14:textId="77777777"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£389</w:t>
            </w:r>
          </w:p>
        </w:tc>
      </w:tr>
      <w:tr w:rsidR="004942B6" w:rsidRPr="002A5BC1" w14:paraId="62AAA68E"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78EC791C"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R12</w:t>
            </w:r>
          </w:p>
        </w:tc>
        <w:tc>
          <w:tcPr>
            <w:tcW w:w="1869" w:type="dxa"/>
            <w:tcBorders>
              <w:top w:val="nil"/>
              <w:left w:val="nil"/>
              <w:bottom w:val="single" w:sz="4" w:space="0" w:color="auto"/>
              <w:right w:val="single" w:sz="4" w:space="0" w:color="auto"/>
            </w:tcBorders>
            <w:shd w:val="clear" w:color="000000" w:fill="FFFFFF"/>
            <w:noWrap/>
            <w:vAlign w:val="bottom"/>
            <w:hideMark/>
          </w:tcPr>
          <w:p w14:paraId="22EF1C36"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4A1A12F7"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hideMark/>
          </w:tcPr>
          <w:p w14:paraId="65567548"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40DE260B"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5665A80" w14:textId="77777777"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£1103</w:t>
            </w:r>
          </w:p>
        </w:tc>
      </w:tr>
      <w:tr w:rsidR="004942B6" w:rsidRPr="002A5BC1" w14:paraId="3A156283"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47C48F6B"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B7</w:t>
            </w:r>
          </w:p>
          <w:p w14:paraId="5ABEE30C" w14:textId="77777777" w:rsidR="004942B6" w:rsidRPr="002A5BC1" w:rsidRDefault="004942B6" w:rsidP="002C2525">
            <w:pPr>
              <w:spacing w:after="0" w:line="240" w:lineRule="auto"/>
              <w:rPr>
                <w:rFonts w:cstheme="minorHAnsi"/>
                <w:sz w:val="24"/>
                <w:szCs w:val="24"/>
              </w:rPr>
            </w:pPr>
          </w:p>
        </w:tc>
        <w:tc>
          <w:tcPr>
            <w:tcW w:w="1869" w:type="dxa"/>
            <w:tcBorders>
              <w:top w:val="nil"/>
              <w:left w:val="nil"/>
              <w:bottom w:val="single" w:sz="4" w:space="0" w:color="auto"/>
              <w:right w:val="single" w:sz="4" w:space="0" w:color="auto"/>
            </w:tcBorders>
            <w:shd w:val="clear" w:color="000000" w:fill="FFFFFF"/>
            <w:noWrap/>
            <w:vAlign w:val="bottom"/>
            <w:hideMark/>
          </w:tcPr>
          <w:p w14:paraId="681921C4"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27315750"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hideMark/>
          </w:tcPr>
          <w:p w14:paraId="2AEF5C40"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3BB2C1F7"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3C7FBD8" w14:textId="77777777"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£1103</w:t>
            </w:r>
          </w:p>
        </w:tc>
      </w:tr>
      <w:tr w:rsidR="004942B6" w:rsidRPr="002A5BC1" w14:paraId="4575C5D4"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61711BA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B11</w:t>
            </w:r>
          </w:p>
          <w:p w14:paraId="4B3E83E6" w14:textId="77777777" w:rsidR="004942B6" w:rsidRPr="002A5BC1" w:rsidRDefault="004942B6" w:rsidP="002C2525">
            <w:pPr>
              <w:spacing w:after="0" w:line="240" w:lineRule="auto"/>
              <w:rPr>
                <w:rFonts w:cstheme="minorHAnsi"/>
                <w:sz w:val="24"/>
                <w:szCs w:val="24"/>
              </w:rPr>
            </w:pPr>
          </w:p>
        </w:tc>
        <w:tc>
          <w:tcPr>
            <w:tcW w:w="1869" w:type="dxa"/>
            <w:tcBorders>
              <w:top w:val="nil"/>
              <w:left w:val="nil"/>
              <w:bottom w:val="single" w:sz="4" w:space="0" w:color="auto"/>
              <w:right w:val="single" w:sz="4" w:space="0" w:color="auto"/>
            </w:tcBorders>
            <w:shd w:val="clear" w:color="000000" w:fill="FFFFFF"/>
            <w:noWrap/>
            <w:vAlign w:val="bottom"/>
            <w:hideMark/>
          </w:tcPr>
          <w:p w14:paraId="3856EB2B"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CABG x 4</w:t>
            </w:r>
          </w:p>
        </w:tc>
        <w:tc>
          <w:tcPr>
            <w:tcW w:w="2100" w:type="dxa"/>
            <w:tcBorders>
              <w:top w:val="nil"/>
              <w:left w:val="nil"/>
              <w:bottom w:val="single" w:sz="4" w:space="0" w:color="auto"/>
              <w:right w:val="single" w:sz="4" w:space="0" w:color="auto"/>
            </w:tcBorders>
            <w:shd w:val="clear" w:color="000000" w:fill="FFFFFF"/>
            <w:noWrap/>
            <w:vAlign w:val="bottom"/>
            <w:hideMark/>
          </w:tcPr>
          <w:p w14:paraId="79889793"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CABG x 2</w:t>
            </w:r>
          </w:p>
        </w:tc>
        <w:tc>
          <w:tcPr>
            <w:tcW w:w="1559" w:type="dxa"/>
            <w:tcBorders>
              <w:top w:val="nil"/>
              <w:left w:val="nil"/>
              <w:bottom w:val="single" w:sz="4" w:space="0" w:color="auto"/>
              <w:right w:val="single" w:sz="4" w:space="0" w:color="auto"/>
            </w:tcBorders>
            <w:shd w:val="clear" w:color="000000" w:fill="FFFFFF"/>
            <w:noWrap/>
            <w:vAlign w:val="bottom"/>
            <w:hideMark/>
          </w:tcPr>
          <w:p w14:paraId="082BE322"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£10407</w:t>
            </w:r>
          </w:p>
        </w:tc>
        <w:tc>
          <w:tcPr>
            <w:tcW w:w="1559" w:type="dxa"/>
            <w:tcBorders>
              <w:top w:val="nil"/>
              <w:left w:val="nil"/>
              <w:bottom w:val="single" w:sz="4" w:space="0" w:color="auto"/>
              <w:right w:val="single" w:sz="4" w:space="0" w:color="auto"/>
            </w:tcBorders>
            <w:shd w:val="clear" w:color="000000" w:fill="FFFFFF"/>
            <w:noWrap/>
            <w:vAlign w:val="bottom"/>
            <w:hideMark/>
          </w:tcPr>
          <w:p w14:paraId="16B5453A" w14:textId="122A09E3" w:rsidR="004942B6" w:rsidRPr="002A5BC1" w:rsidRDefault="004942B6" w:rsidP="002C2525">
            <w:pPr>
              <w:spacing w:after="0" w:line="240" w:lineRule="auto"/>
              <w:rPr>
                <w:rFonts w:cstheme="minorHAnsi"/>
                <w:sz w:val="24"/>
                <w:szCs w:val="24"/>
              </w:rPr>
            </w:pPr>
            <w:r w:rsidRPr="002A5BC1">
              <w:rPr>
                <w:rFonts w:cstheme="minorHAnsi"/>
                <w:sz w:val="24"/>
                <w:szCs w:val="24"/>
              </w:rPr>
              <w:t>£8</w:t>
            </w:r>
            <w:r w:rsidR="001E1159">
              <w:rPr>
                <w:rFonts w:cstheme="minorHAnsi"/>
                <w:sz w:val="24"/>
                <w:szCs w:val="24"/>
              </w:rPr>
              <w:t>544</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32D8C8D" w14:textId="1B94E712" w:rsidR="004942B6" w:rsidRPr="00272D07" w:rsidRDefault="004942B6" w:rsidP="002C2525">
            <w:pPr>
              <w:spacing w:after="0" w:line="240" w:lineRule="auto"/>
              <w:rPr>
                <w:rFonts w:cstheme="minorHAnsi"/>
                <w:b/>
                <w:bCs/>
                <w:color w:val="C00000"/>
                <w:sz w:val="24"/>
                <w:szCs w:val="24"/>
              </w:rPr>
            </w:pPr>
            <w:r w:rsidRPr="009A7C59">
              <w:rPr>
                <w:rFonts w:cstheme="minorHAnsi"/>
                <w:b/>
                <w:bCs/>
                <w:color w:val="00B050"/>
                <w:sz w:val="24"/>
                <w:szCs w:val="24"/>
              </w:rPr>
              <w:t>- £</w:t>
            </w:r>
            <w:r w:rsidR="001E1159">
              <w:rPr>
                <w:rFonts w:cstheme="minorHAnsi"/>
                <w:b/>
                <w:bCs/>
                <w:color w:val="00B050"/>
                <w:sz w:val="24"/>
                <w:szCs w:val="24"/>
              </w:rPr>
              <w:t>1863</w:t>
            </w:r>
          </w:p>
        </w:tc>
      </w:tr>
      <w:tr w:rsidR="004942B6" w:rsidRPr="002A5BC1" w14:paraId="5BB60FFC"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5233303A"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D59</w:t>
            </w:r>
          </w:p>
          <w:p w14:paraId="10CE1596" w14:textId="77777777" w:rsidR="004942B6" w:rsidRPr="002A5BC1" w:rsidRDefault="004942B6" w:rsidP="002C2525">
            <w:pPr>
              <w:spacing w:after="0" w:line="240" w:lineRule="auto"/>
              <w:rPr>
                <w:rFonts w:cstheme="minorHAnsi"/>
                <w:sz w:val="24"/>
                <w:szCs w:val="24"/>
              </w:rPr>
            </w:pPr>
          </w:p>
        </w:tc>
        <w:tc>
          <w:tcPr>
            <w:tcW w:w="1869" w:type="dxa"/>
            <w:tcBorders>
              <w:top w:val="nil"/>
              <w:left w:val="nil"/>
              <w:bottom w:val="single" w:sz="4" w:space="0" w:color="auto"/>
              <w:right w:val="single" w:sz="4" w:space="0" w:color="auto"/>
            </w:tcBorders>
            <w:shd w:val="clear" w:color="000000" w:fill="FFFFFF"/>
            <w:noWrap/>
            <w:vAlign w:val="bottom"/>
            <w:hideMark/>
          </w:tcPr>
          <w:p w14:paraId="4D1EE047"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348ED3E4"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 xml:space="preserve">mFFR </w:t>
            </w:r>
          </w:p>
        </w:tc>
        <w:tc>
          <w:tcPr>
            <w:tcW w:w="1559" w:type="dxa"/>
            <w:tcBorders>
              <w:top w:val="nil"/>
              <w:left w:val="nil"/>
              <w:bottom w:val="single" w:sz="4" w:space="0" w:color="auto"/>
              <w:right w:val="single" w:sz="4" w:space="0" w:color="auto"/>
            </w:tcBorders>
            <w:shd w:val="clear" w:color="000000" w:fill="FFFFFF"/>
            <w:noWrap/>
            <w:vAlign w:val="bottom"/>
            <w:hideMark/>
          </w:tcPr>
          <w:p w14:paraId="6663B25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19BD6549"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£746</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1E36568" w14:textId="77777777" w:rsidR="004942B6" w:rsidRPr="00B20897" w:rsidRDefault="004942B6" w:rsidP="002C2525">
            <w:pPr>
              <w:spacing w:after="0" w:line="240" w:lineRule="auto"/>
              <w:rPr>
                <w:rFonts w:cstheme="minorHAnsi"/>
                <w:b/>
                <w:bCs/>
                <w:color w:val="C00000"/>
                <w:sz w:val="24"/>
                <w:szCs w:val="24"/>
              </w:rPr>
            </w:pPr>
            <w:r>
              <w:rPr>
                <w:rFonts w:cstheme="minorHAnsi"/>
                <w:b/>
                <w:bCs/>
                <w:color w:val="C00000"/>
                <w:sz w:val="24"/>
                <w:szCs w:val="24"/>
              </w:rPr>
              <w:t xml:space="preserve">+ </w:t>
            </w:r>
            <w:r w:rsidRPr="00B20897">
              <w:rPr>
                <w:rFonts w:cstheme="minorHAnsi"/>
                <w:b/>
                <w:bCs/>
                <w:color w:val="C00000"/>
                <w:sz w:val="24"/>
                <w:szCs w:val="24"/>
              </w:rPr>
              <w:t>£586</w:t>
            </w:r>
          </w:p>
        </w:tc>
      </w:tr>
      <w:tr w:rsidR="004942B6" w:rsidRPr="002A5BC1" w14:paraId="497ACDE3"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72902224"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 xml:space="preserve">B15 </w:t>
            </w:r>
          </w:p>
        </w:tc>
        <w:tc>
          <w:tcPr>
            <w:tcW w:w="1869" w:type="dxa"/>
            <w:tcBorders>
              <w:top w:val="nil"/>
              <w:left w:val="nil"/>
              <w:bottom w:val="single" w:sz="4" w:space="0" w:color="auto"/>
              <w:right w:val="single" w:sz="4" w:space="0" w:color="auto"/>
            </w:tcBorders>
            <w:shd w:val="clear" w:color="000000" w:fill="FFFFFF"/>
            <w:noWrap/>
            <w:vAlign w:val="bottom"/>
            <w:hideMark/>
          </w:tcPr>
          <w:p w14:paraId="1E7AB8FD"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1V PCI</w:t>
            </w:r>
          </w:p>
        </w:tc>
        <w:tc>
          <w:tcPr>
            <w:tcW w:w="2100" w:type="dxa"/>
            <w:tcBorders>
              <w:top w:val="nil"/>
              <w:left w:val="nil"/>
              <w:bottom w:val="single" w:sz="4" w:space="0" w:color="auto"/>
              <w:right w:val="single" w:sz="4" w:space="0" w:color="auto"/>
            </w:tcBorders>
            <w:shd w:val="clear" w:color="000000" w:fill="FFFFFF"/>
            <w:noWrap/>
            <w:vAlign w:val="bottom"/>
            <w:hideMark/>
          </w:tcPr>
          <w:p w14:paraId="651789C4"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mFFR + 1V PCI</w:t>
            </w:r>
          </w:p>
        </w:tc>
        <w:tc>
          <w:tcPr>
            <w:tcW w:w="1559" w:type="dxa"/>
            <w:tcBorders>
              <w:top w:val="nil"/>
              <w:left w:val="nil"/>
              <w:bottom w:val="single" w:sz="4" w:space="0" w:color="auto"/>
              <w:right w:val="single" w:sz="4" w:space="0" w:color="auto"/>
            </w:tcBorders>
            <w:shd w:val="clear" w:color="000000" w:fill="FFFFFF"/>
            <w:noWrap/>
            <w:vAlign w:val="bottom"/>
            <w:hideMark/>
          </w:tcPr>
          <w:p w14:paraId="530D0576"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000000" w:fill="FFFFFF"/>
            <w:noWrap/>
            <w:vAlign w:val="bottom"/>
            <w:hideMark/>
          </w:tcPr>
          <w:p w14:paraId="359750DE"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£1849</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90615B1" w14:textId="77777777" w:rsidR="004942B6" w:rsidRPr="00B20897" w:rsidRDefault="004942B6" w:rsidP="002C2525">
            <w:pPr>
              <w:spacing w:after="0" w:line="240" w:lineRule="auto"/>
              <w:rPr>
                <w:rFonts w:cstheme="minorHAnsi"/>
                <w:b/>
                <w:bCs/>
                <w:color w:val="C00000"/>
                <w:sz w:val="24"/>
                <w:szCs w:val="24"/>
              </w:rPr>
            </w:pPr>
            <w:r w:rsidRPr="00B20897">
              <w:rPr>
                <w:rFonts w:cstheme="minorHAnsi"/>
                <w:b/>
                <w:bCs/>
                <w:color w:val="C00000"/>
                <w:sz w:val="24"/>
                <w:szCs w:val="24"/>
              </w:rPr>
              <w:t>+ £586</w:t>
            </w:r>
          </w:p>
        </w:tc>
      </w:tr>
      <w:tr w:rsidR="004942B6" w:rsidRPr="002A5BC1" w14:paraId="1E8519B3"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tcPr>
          <w:p w14:paraId="07396C36"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B16</w:t>
            </w:r>
          </w:p>
        </w:tc>
        <w:tc>
          <w:tcPr>
            <w:tcW w:w="1869" w:type="dxa"/>
            <w:tcBorders>
              <w:top w:val="nil"/>
              <w:left w:val="nil"/>
              <w:bottom w:val="single" w:sz="4" w:space="0" w:color="auto"/>
              <w:right w:val="single" w:sz="4" w:space="0" w:color="auto"/>
            </w:tcBorders>
            <w:shd w:val="clear" w:color="000000" w:fill="FFFFFF"/>
            <w:noWrap/>
            <w:vAlign w:val="bottom"/>
          </w:tcPr>
          <w:p w14:paraId="40F918ED"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mFFR + 1V PCI</w:t>
            </w:r>
          </w:p>
        </w:tc>
        <w:tc>
          <w:tcPr>
            <w:tcW w:w="2100" w:type="dxa"/>
            <w:tcBorders>
              <w:top w:val="nil"/>
              <w:left w:val="nil"/>
              <w:bottom w:val="single" w:sz="4" w:space="0" w:color="auto"/>
              <w:right w:val="single" w:sz="4" w:space="0" w:color="auto"/>
            </w:tcBorders>
            <w:shd w:val="clear" w:color="000000" w:fill="FFFFFF"/>
            <w:noWrap/>
            <w:vAlign w:val="bottom"/>
          </w:tcPr>
          <w:p w14:paraId="2F3E169D" w14:textId="77777777" w:rsidR="004942B6" w:rsidRPr="002A5BC1" w:rsidRDefault="004942B6" w:rsidP="002C2525">
            <w:pPr>
              <w:spacing w:after="0" w:line="240" w:lineRule="auto"/>
              <w:rPr>
                <w:rFonts w:cstheme="minorHAnsi"/>
                <w:color w:val="000000"/>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tcPr>
          <w:p w14:paraId="7BF648B1" w14:textId="77777777" w:rsidR="004942B6" w:rsidRPr="002A5BC1" w:rsidRDefault="004942B6" w:rsidP="002C2525">
            <w:pPr>
              <w:spacing w:after="0" w:line="240" w:lineRule="auto"/>
              <w:rPr>
                <w:rFonts w:cstheme="minorHAnsi"/>
                <w:color w:val="000000"/>
                <w:sz w:val="24"/>
                <w:szCs w:val="24"/>
              </w:rPr>
            </w:pPr>
            <w:r w:rsidRPr="002A5BC1">
              <w:rPr>
                <w:rFonts w:cstheme="minorHAnsi"/>
                <w:color w:val="000000"/>
                <w:sz w:val="24"/>
                <w:szCs w:val="24"/>
              </w:rPr>
              <w:t>£1849</w:t>
            </w:r>
          </w:p>
        </w:tc>
        <w:tc>
          <w:tcPr>
            <w:tcW w:w="1559" w:type="dxa"/>
            <w:tcBorders>
              <w:top w:val="nil"/>
              <w:left w:val="nil"/>
              <w:bottom w:val="single" w:sz="4" w:space="0" w:color="auto"/>
              <w:right w:val="single" w:sz="4" w:space="0" w:color="auto"/>
            </w:tcBorders>
            <w:shd w:val="clear" w:color="000000" w:fill="FFFFFF"/>
            <w:noWrap/>
            <w:vAlign w:val="bottom"/>
          </w:tcPr>
          <w:p w14:paraId="324FAF54" w14:textId="77777777" w:rsidR="004942B6" w:rsidRPr="002A5BC1" w:rsidRDefault="004942B6" w:rsidP="002C2525">
            <w:pPr>
              <w:spacing w:after="0" w:line="240" w:lineRule="auto"/>
              <w:rPr>
                <w:rFonts w:cstheme="minorHAnsi"/>
                <w:color w:val="000000"/>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605FB43" w14:textId="77777777" w:rsidR="004942B6" w:rsidRPr="00041497" w:rsidRDefault="004942B6" w:rsidP="002C2525">
            <w:pPr>
              <w:spacing w:after="0" w:line="240" w:lineRule="auto"/>
              <w:rPr>
                <w:rFonts w:cstheme="minorHAnsi"/>
                <w:b/>
                <w:bCs/>
                <w:color w:val="C00000"/>
                <w:sz w:val="24"/>
                <w:szCs w:val="24"/>
              </w:rPr>
            </w:pPr>
            <w:r w:rsidRPr="009A7C59">
              <w:rPr>
                <w:rFonts w:cstheme="minorHAnsi"/>
                <w:b/>
                <w:bCs/>
                <w:color w:val="00B050"/>
                <w:sz w:val="24"/>
                <w:szCs w:val="24"/>
              </w:rPr>
              <w:t>- £</w:t>
            </w:r>
            <w:r>
              <w:rPr>
                <w:rFonts w:cstheme="minorHAnsi"/>
                <w:b/>
                <w:bCs/>
                <w:color w:val="00B050"/>
                <w:sz w:val="24"/>
                <w:szCs w:val="24"/>
              </w:rPr>
              <w:t>586</w:t>
            </w:r>
          </w:p>
        </w:tc>
      </w:tr>
      <w:tr w:rsidR="004942B6" w:rsidRPr="002A5BC1" w14:paraId="73135D2B"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7337B221"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B21</w:t>
            </w:r>
          </w:p>
          <w:p w14:paraId="3AB98E7B" w14:textId="77777777" w:rsidR="004942B6" w:rsidRPr="002A5BC1" w:rsidRDefault="004942B6" w:rsidP="002C2525">
            <w:pPr>
              <w:spacing w:after="0" w:line="240" w:lineRule="auto"/>
              <w:rPr>
                <w:rFonts w:cstheme="minorHAnsi"/>
                <w:sz w:val="24"/>
                <w:szCs w:val="24"/>
              </w:rPr>
            </w:pPr>
          </w:p>
        </w:tc>
        <w:tc>
          <w:tcPr>
            <w:tcW w:w="1869" w:type="dxa"/>
            <w:tcBorders>
              <w:top w:val="nil"/>
              <w:left w:val="nil"/>
              <w:bottom w:val="single" w:sz="4" w:space="0" w:color="auto"/>
              <w:right w:val="single" w:sz="4" w:space="0" w:color="auto"/>
            </w:tcBorders>
            <w:shd w:val="clear" w:color="000000" w:fill="FFFFFF"/>
            <w:noWrap/>
            <w:vAlign w:val="bottom"/>
            <w:hideMark/>
          </w:tcPr>
          <w:p w14:paraId="7B9BCD23"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 xml:space="preserve">1V PCI </w:t>
            </w:r>
          </w:p>
        </w:tc>
        <w:tc>
          <w:tcPr>
            <w:tcW w:w="2100" w:type="dxa"/>
            <w:tcBorders>
              <w:top w:val="nil"/>
              <w:left w:val="nil"/>
              <w:bottom w:val="single" w:sz="4" w:space="0" w:color="auto"/>
              <w:right w:val="single" w:sz="4" w:space="0" w:color="auto"/>
            </w:tcBorders>
            <w:shd w:val="clear" w:color="000000" w:fill="FFFFFF"/>
            <w:noWrap/>
            <w:vAlign w:val="bottom"/>
            <w:hideMark/>
          </w:tcPr>
          <w:p w14:paraId="2319AA5B"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2V PCI</w:t>
            </w:r>
          </w:p>
        </w:tc>
        <w:tc>
          <w:tcPr>
            <w:tcW w:w="1559" w:type="dxa"/>
            <w:tcBorders>
              <w:top w:val="nil"/>
              <w:left w:val="nil"/>
              <w:bottom w:val="single" w:sz="4" w:space="0" w:color="auto"/>
              <w:right w:val="single" w:sz="4" w:space="0" w:color="auto"/>
            </w:tcBorders>
            <w:shd w:val="clear" w:color="000000" w:fill="FFFFFF"/>
            <w:noWrap/>
            <w:vAlign w:val="bottom"/>
            <w:hideMark/>
          </w:tcPr>
          <w:p w14:paraId="2AA93B9A"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000000" w:fill="FFFFFF"/>
            <w:noWrap/>
            <w:vAlign w:val="bottom"/>
            <w:hideMark/>
          </w:tcPr>
          <w:p w14:paraId="396054EB"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£1652</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FA68A45" w14:textId="77777777" w:rsidR="004942B6" w:rsidRPr="002A5BC1" w:rsidRDefault="004942B6" w:rsidP="002C2525">
            <w:pPr>
              <w:spacing w:after="0" w:line="240" w:lineRule="auto"/>
              <w:rPr>
                <w:rFonts w:cstheme="minorHAnsi"/>
                <w:b/>
                <w:bCs/>
                <w:color w:val="C0000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£389</w:t>
            </w:r>
          </w:p>
        </w:tc>
      </w:tr>
      <w:tr w:rsidR="004942B6" w:rsidRPr="002A5BC1" w14:paraId="50E55FCF"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48EA2E3C"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D73</w:t>
            </w:r>
          </w:p>
        </w:tc>
        <w:tc>
          <w:tcPr>
            <w:tcW w:w="1869" w:type="dxa"/>
            <w:tcBorders>
              <w:top w:val="nil"/>
              <w:left w:val="nil"/>
              <w:bottom w:val="single" w:sz="4" w:space="0" w:color="auto"/>
              <w:right w:val="single" w:sz="4" w:space="0" w:color="auto"/>
            </w:tcBorders>
            <w:shd w:val="clear" w:color="000000" w:fill="FFFFFF"/>
            <w:noWrap/>
            <w:vAlign w:val="bottom"/>
            <w:hideMark/>
          </w:tcPr>
          <w:p w14:paraId="5AFC9820"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2764E5C8"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mFFR + 1V PCI</w:t>
            </w:r>
          </w:p>
        </w:tc>
        <w:tc>
          <w:tcPr>
            <w:tcW w:w="1559" w:type="dxa"/>
            <w:tcBorders>
              <w:top w:val="nil"/>
              <w:left w:val="nil"/>
              <w:bottom w:val="single" w:sz="4" w:space="0" w:color="auto"/>
              <w:right w:val="single" w:sz="4" w:space="0" w:color="auto"/>
            </w:tcBorders>
            <w:shd w:val="clear" w:color="000000" w:fill="FFFFFF"/>
            <w:noWrap/>
            <w:vAlign w:val="bottom"/>
            <w:hideMark/>
          </w:tcPr>
          <w:p w14:paraId="64D0018C"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1AD8342C"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£1849</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3564D6E" w14:textId="77777777" w:rsidR="004942B6" w:rsidRPr="002A5BC1" w:rsidRDefault="004942B6" w:rsidP="002C2525">
            <w:pPr>
              <w:spacing w:after="0" w:line="240" w:lineRule="auto"/>
              <w:rPr>
                <w:rFonts w:cstheme="minorHAnsi"/>
                <w:b/>
                <w:bCs/>
                <w:color w:val="00B050"/>
                <w:sz w:val="24"/>
                <w:szCs w:val="24"/>
              </w:rPr>
            </w:pPr>
            <w:r w:rsidRPr="002A5BC1">
              <w:rPr>
                <w:rFonts w:cstheme="minorHAnsi"/>
                <w:b/>
                <w:bCs/>
                <w:color w:val="00B050"/>
                <w:sz w:val="24"/>
                <w:szCs w:val="24"/>
              </w:rPr>
              <w:t>+</w:t>
            </w:r>
            <w:r>
              <w:rPr>
                <w:rFonts w:cstheme="minorHAnsi"/>
                <w:b/>
                <w:bCs/>
                <w:color w:val="00B050"/>
                <w:sz w:val="24"/>
                <w:szCs w:val="24"/>
              </w:rPr>
              <w:t xml:space="preserve"> </w:t>
            </w:r>
            <w:r w:rsidRPr="002A5BC1">
              <w:rPr>
                <w:rFonts w:cstheme="minorHAnsi"/>
                <w:b/>
                <w:bCs/>
                <w:color w:val="00B050"/>
                <w:sz w:val="24"/>
                <w:szCs w:val="24"/>
              </w:rPr>
              <w:t>£1689</w:t>
            </w:r>
          </w:p>
        </w:tc>
      </w:tr>
      <w:tr w:rsidR="004942B6" w:rsidRPr="002A5BC1" w14:paraId="00A0BD14"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tcPr>
          <w:p w14:paraId="0A9962F1"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R14</w:t>
            </w:r>
          </w:p>
        </w:tc>
        <w:tc>
          <w:tcPr>
            <w:tcW w:w="1869" w:type="dxa"/>
            <w:tcBorders>
              <w:top w:val="nil"/>
              <w:left w:val="nil"/>
              <w:bottom w:val="single" w:sz="4" w:space="0" w:color="auto"/>
              <w:right w:val="single" w:sz="4" w:space="0" w:color="auto"/>
            </w:tcBorders>
            <w:shd w:val="clear" w:color="000000" w:fill="FFFFFF"/>
            <w:noWrap/>
            <w:vAlign w:val="bottom"/>
          </w:tcPr>
          <w:p w14:paraId="397569C1"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tcPr>
          <w:p w14:paraId="6866DF69" w14:textId="77777777" w:rsidR="004942B6" w:rsidRPr="002A5BC1" w:rsidRDefault="004942B6" w:rsidP="002C2525">
            <w:pPr>
              <w:spacing w:after="0" w:line="240" w:lineRule="auto"/>
              <w:rPr>
                <w:rFonts w:cstheme="minorHAnsi"/>
                <w:color w:val="000000"/>
                <w:sz w:val="24"/>
                <w:szCs w:val="24"/>
              </w:rPr>
            </w:pPr>
            <w:r w:rsidRPr="002A5BC1">
              <w:rPr>
                <w:rFonts w:cstheme="minorHAnsi"/>
                <w:color w:val="000000"/>
                <w:sz w:val="24"/>
                <w:szCs w:val="24"/>
              </w:rPr>
              <w:t>mFFR</w:t>
            </w:r>
          </w:p>
        </w:tc>
        <w:tc>
          <w:tcPr>
            <w:tcW w:w="1559" w:type="dxa"/>
            <w:tcBorders>
              <w:top w:val="nil"/>
              <w:left w:val="nil"/>
              <w:bottom w:val="single" w:sz="4" w:space="0" w:color="auto"/>
              <w:right w:val="single" w:sz="4" w:space="0" w:color="auto"/>
            </w:tcBorders>
            <w:shd w:val="clear" w:color="000000" w:fill="FFFFFF"/>
            <w:noWrap/>
            <w:vAlign w:val="bottom"/>
          </w:tcPr>
          <w:p w14:paraId="4D95B83A"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tcPr>
          <w:p w14:paraId="03C9774B" w14:textId="77777777" w:rsidR="004942B6" w:rsidRPr="002A5BC1" w:rsidRDefault="004942B6" w:rsidP="002C2525">
            <w:pPr>
              <w:spacing w:after="0" w:line="240" w:lineRule="auto"/>
              <w:rPr>
                <w:rFonts w:cstheme="minorHAnsi"/>
                <w:color w:val="000000"/>
                <w:sz w:val="24"/>
                <w:szCs w:val="24"/>
              </w:rPr>
            </w:pPr>
            <w:r w:rsidRPr="002A5BC1">
              <w:rPr>
                <w:rFonts w:cstheme="minorHAnsi"/>
                <w:color w:val="000000"/>
                <w:sz w:val="24"/>
                <w:szCs w:val="24"/>
              </w:rPr>
              <w:t>£746</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2F23323" w14:textId="77777777" w:rsidR="004942B6" w:rsidRPr="00041497" w:rsidRDefault="004942B6" w:rsidP="002C2525">
            <w:pPr>
              <w:spacing w:after="0" w:line="240" w:lineRule="auto"/>
              <w:rPr>
                <w:rFonts w:cstheme="minorHAnsi"/>
                <w:b/>
                <w:bCs/>
                <w:color w:val="C00000"/>
                <w:sz w:val="24"/>
                <w:szCs w:val="24"/>
              </w:rPr>
            </w:pPr>
            <w:r w:rsidRPr="00041497">
              <w:rPr>
                <w:rFonts w:cstheme="minorHAnsi"/>
                <w:b/>
                <w:bCs/>
                <w:color w:val="C00000"/>
                <w:sz w:val="24"/>
                <w:szCs w:val="24"/>
              </w:rPr>
              <w:t>+ £586</w:t>
            </w:r>
          </w:p>
        </w:tc>
      </w:tr>
      <w:tr w:rsidR="004942B6" w:rsidRPr="002A5BC1" w14:paraId="731A9B31"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3182694E"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S2</w:t>
            </w:r>
          </w:p>
          <w:p w14:paraId="730EA249" w14:textId="77777777" w:rsidR="004942B6" w:rsidRPr="002A5BC1" w:rsidRDefault="004942B6" w:rsidP="002C2525">
            <w:pPr>
              <w:spacing w:after="0" w:line="240" w:lineRule="auto"/>
              <w:rPr>
                <w:rFonts w:cstheme="minorHAnsi"/>
                <w:sz w:val="24"/>
                <w:szCs w:val="24"/>
              </w:rPr>
            </w:pPr>
          </w:p>
        </w:tc>
        <w:tc>
          <w:tcPr>
            <w:tcW w:w="1869" w:type="dxa"/>
            <w:tcBorders>
              <w:top w:val="nil"/>
              <w:left w:val="nil"/>
              <w:bottom w:val="single" w:sz="4" w:space="0" w:color="auto"/>
              <w:right w:val="single" w:sz="4" w:space="0" w:color="auto"/>
            </w:tcBorders>
            <w:shd w:val="clear" w:color="000000" w:fill="FFFFFF"/>
            <w:noWrap/>
            <w:vAlign w:val="bottom"/>
            <w:hideMark/>
          </w:tcPr>
          <w:p w14:paraId="1374C4C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01AD6734"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hideMark/>
          </w:tcPr>
          <w:p w14:paraId="745CDAC1"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2941060B"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E919C01" w14:textId="77777777" w:rsidR="004942B6" w:rsidRPr="00041497" w:rsidRDefault="004942B6" w:rsidP="002C2525">
            <w:pPr>
              <w:spacing w:after="0" w:line="240" w:lineRule="auto"/>
              <w:rPr>
                <w:rFonts w:cstheme="minorHAnsi"/>
                <w:b/>
                <w:bCs/>
                <w:color w:val="C00000"/>
                <w:sz w:val="24"/>
                <w:szCs w:val="24"/>
              </w:rPr>
            </w:pPr>
            <w:r w:rsidRPr="00041497">
              <w:rPr>
                <w:rFonts w:cstheme="minorHAnsi"/>
                <w:b/>
                <w:bCs/>
                <w:color w:val="C00000"/>
                <w:sz w:val="24"/>
                <w:szCs w:val="24"/>
              </w:rPr>
              <w:t>+ £1103</w:t>
            </w:r>
          </w:p>
        </w:tc>
      </w:tr>
      <w:tr w:rsidR="004942B6" w:rsidRPr="002A5BC1" w14:paraId="2DC44709"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tcPr>
          <w:p w14:paraId="5EC095EB"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D77</w:t>
            </w:r>
          </w:p>
        </w:tc>
        <w:tc>
          <w:tcPr>
            <w:tcW w:w="1869" w:type="dxa"/>
            <w:tcBorders>
              <w:top w:val="nil"/>
              <w:left w:val="nil"/>
              <w:bottom w:val="single" w:sz="4" w:space="0" w:color="auto"/>
              <w:right w:val="single" w:sz="4" w:space="0" w:color="auto"/>
            </w:tcBorders>
            <w:shd w:val="clear" w:color="000000" w:fill="FFFFFF"/>
            <w:noWrap/>
            <w:vAlign w:val="bottom"/>
          </w:tcPr>
          <w:p w14:paraId="1D444099"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tcPr>
          <w:p w14:paraId="5E6EFA75" w14:textId="77777777" w:rsidR="004942B6" w:rsidRPr="002A5BC1" w:rsidRDefault="004942B6" w:rsidP="002C2525">
            <w:pPr>
              <w:spacing w:after="0" w:line="240" w:lineRule="auto"/>
              <w:rPr>
                <w:rFonts w:cstheme="minorHAnsi"/>
                <w:color w:val="000000"/>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tcPr>
          <w:p w14:paraId="628B4247"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tcPr>
          <w:p w14:paraId="137A8D97"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F968DA1" w14:textId="77777777" w:rsidR="004942B6" w:rsidRPr="00041497" w:rsidRDefault="004942B6" w:rsidP="002C2525">
            <w:pPr>
              <w:spacing w:after="0" w:line="240" w:lineRule="auto"/>
              <w:rPr>
                <w:rFonts w:cstheme="minorHAnsi"/>
                <w:b/>
                <w:bCs/>
                <w:color w:val="C00000"/>
                <w:sz w:val="24"/>
                <w:szCs w:val="24"/>
              </w:rPr>
            </w:pPr>
            <w:r w:rsidRPr="00041497">
              <w:rPr>
                <w:rFonts w:cstheme="minorHAnsi"/>
                <w:b/>
                <w:bCs/>
                <w:color w:val="C00000"/>
                <w:sz w:val="24"/>
                <w:szCs w:val="24"/>
              </w:rPr>
              <w:t>+ £1103</w:t>
            </w:r>
          </w:p>
        </w:tc>
      </w:tr>
      <w:tr w:rsidR="004942B6" w:rsidRPr="002A5BC1" w14:paraId="61F9F612"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tcPr>
          <w:p w14:paraId="5DE5ED2C" w14:textId="77777777" w:rsidR="004942B6" w:rsidRPr="002A5BC1" w:rsidRDefault="004942B6" w:rsidP="002C2525">
            <w:pPr>
              <w:spacing w:after="0" w:line="240" w:lineRule="auto"/>
              <w:rPr>
                <w:rFonts w:cstheme="minorHAnsi"/>
                <w:sz w:val="24"/>
                <w:szCs w:val="24"/>
              </w:rPr>
            </w:pPr>
            <w:r>
              <w:rPr>
                <w:rFonts w:cstheme="minorHAnsi"/>
                <w:sz w:val="24"/>
                <w:szCs w:val="24"/>
              </w:rPr>
              <w:t>B34</w:t>
            </w:r>
          </w:p>
        </w:tc>
        <w:tc>
          <w:tcPr>
            <w:tcW w:w="1869" w:type="dxa"/>
            <w:tcBorders>
              <w:top w:val="nil"/>
              <w:left w:val="nil"/>
              <w:bottom w:val="single" w:sz="4" w:space="0" w:color="auto"/>
              <w:right w:val="single" w:sz="4" w:space="0" w:color="auto"/>
            </w:tcBorders>
            <w:shd w:val="clear" w:color="000000" w:fill="FFFFFF"/>
            <w:noWrap/>
            <w:vAlign w:val="bottom"/>
          </w:tcPr>
          <w:p w14:paraId="58C8A712" w14:textId="77777777" w:rsidR="004942B6" w:rsidRPr="002A5BC1" w:rsidRDefault="004942B6" w:rsidP="002C2525">
            <w:pPr>
              <w:spacing w:after="0" w:line="240" w:lineRule="auto"/>
              <w:rPr>
                <w:rFonts w:cstheme="minorHAnsi"/>
                <w:sz w:val="24"/>
                <w:szCs w:val="24"/>
              </w:rPr>
            </w:pPr>
            <w:r>
              <w:rPr>
                <w:rFonts w:cstheme="minorHAnsi"/>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tcPr>
          <w:p w14:paraId="24BE4192"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tcPr>
          <w:p w14:paraId="31E64453" w14:textId="77777777" w:rsidR="004942B6" w:rsidRPr="002A5BC1" w:rsidRDefault="004942B6" w:rsidP="002C2525">
            <w:pPr>
              <w:spacing w:after="0" w:line="240" w:lineRule="auto"/>
              <w:rPr>
                <w:rFonts w:cstheme="minorHAnsi"/>
                <w:sz w:val="24"/>
                <w:szCs w:val="24"/>
              </w:rPr>
            </w:pPr>
            <w:r>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tcPr>
          <w:p w14:paraId="69D7E629" w14:textId="77777777" w:rsidR="004942B6" w:rsidRPr="002A5BC1" w:rsidRDefault="004942B6" w:rsidP="002C2525">
            <w:pPr>
              <w:spacing w:after="0" w:line="240" w:lineRule="auto"/>
              <w:rPr>
                <w:rFonts w:cstheme="minorHAnsi"/>
                <w:sz w:val="24"/>
                <w:szCs w:val="24"/>
              </w:rPr>
            </w:pPr>
            <w:r>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AA5B413" w14:textId="77777777" w:rsidR="004942B6" w:rsidRPr="00041497" w:rsidRDefault="004942B6" w:rsidP="002C2525">
            <w:pPr>
              <w:spacing w:after="0" w:line="240" w:lineRule="auto"/>
              <w:rPr>
                <w:rFonts w:cstheme="minorHAnsi"/>
                <w:b/>
                <w:bCs/>
                <w:color w:val="C00000"/>
                <w:sz w:val="24"/>
                <w:szCs w:val="24"/>
              </w:rPr>
            </w:pPr>
            <w:r w:rsidRPr="00041497">
              <w:rPr>
                <w:rFonts w:cstheme="minorHAnsi"/>
                <w:b/>
                <w:bCs/>
                <w:color w:val="C00000"/>
                <w:sz w:val="24"/>
                <w:szCs w:val="24"/>
              </w:rPr>
              <w:t>+ £1103</w:t>
            </w:r>
          </w:p>
        </w:tc>
      </w:tr>
      <w:tr w:rsidR="004942B6" w:rsidRPr="002A5BC1" w14:paraId="57E6D5D8"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4D62011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C1</w:t>
            </w:r>
          </w:p>
          <w:p w14:paraId="43D055B9" w14:textId="77777777" w:rsidR="004942B6" w:rsidRPr="002A5BC1" w:rsidRDefault="004942B6" w:rsidP="002C2525">
            <w:pPr>
              <w:spacing w:after="0" w:line="240" w:lineRule="auto"/>
              <w:rPr>
                <w:rFonts w:cstheme="minorHAnsi"/>
                <w:sz w:val="24"/>
                <w:szCs w:val="24"/>
              </w:rPr>
            </w:pPr>
          </w:p>
        </w:tc>
        <w:tc>
          <w:tcPr>
            <w:tcW w:w="1869" w:type="dxa"/>
            <w:tcBorders>
              <w:top w:val="nil"/>
              <w:left w:val="nil"/>
              <w:bottom w:val="single" w:sz="4" w:space="0" w:color="auto"/>
              <w:right w:val="single" w:sz="4" w:space="0" w:color="auto"/>
            </w:tcBorders>
            <w:shd w:val="clear" w:color="000000" w:fill="FFFFFF"/>
            <w:noWrap/>
            <w:vAlign w:val="bottom"/>
            <w:hideMark/>
          </w:tcPr>
          <w:p w14:paraId="2A7584E8"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797884EE"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hideMark/>
          </w:tcPr>
          <w:p w14:paraId="1F9097B2"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09185D9C"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6CBEA44" w14:textId="77777777" w:rsidR="004942B6" w:rsidRPr="00041497" w:rsidRDefault="004942B6" w:rsidP="002C2525">
            <w:pPr>
              <w:spacing w:after="0" w:line="240" w:lineRule="auto"/>
              <w:rPr>
                <w:rFonts w:cstheme="minorHAnsi"/>
                <w:b/>
                <w:bCs/>
                <w:color w:val="C00000"/>
                <w:sz w:val="24"/>
                <w:szCs w:val="24"/>
              </w:rPr>
            </w:pPr>
            <w:r w:rsidRPr="00041497">
              <w:rPr>
                <w:rFonts w:cstheme="minorHAnsi"/>
                <w:b/>
                <w:bCs/>
                <w:color w:val="C00000"/>
                <w:sz w:val="24"/>
                <w:szCs w:val="24"/>
              </w:rPr>
              <w:t>+ £1103</w:t>
            </w:r>
          </w:p>
        </w:tc>
      </w:tr>
      <w:tr w:rsidR="004942B6" w:rsidRPr="002A5BC1" w14:paraId="1FCBA3DD"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4DA6A093"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D96</w:t>
            </w:r>
          </w:p>
          <w:p w14:paraId="0C6B10D4" w14:textId="77777777" w:rsidR="004942B6" w:rsidRPr="002A5BC1" w:rsidRDefault="004942B6" w:rsidP="002C2525">
            <w:pPr>
              <w:spacing w:after="0" w:line="240" w:lineRule="auto"/>
              <w:rPr>
                <w:rFonts w:cstheme="minorHAnsi"/>
                <w:sz w:val="24"/>
                <w:szCs w:val="24"/>
              </w:rPr>
            </w:pPr>
          </w:p>
        </w:tc>
        <w:tc>
          <w:tcPr>
            <w:tcW w:w="1869" w:type="dxa"/>
            <w:tcBorders>
              <w:top w:val="nil"/>
              <w:left w:val="nil"/>
              <w:bottom w:val="single" w:sz="4" w:space="0" w:color="auto"/>
              <w:right w:val="single" w:sz="4" w:space="0" w:color="auto"/>
            </w:tcBorders>
            <w:shd w:val="clear" w:color="000000" w:fill="FFFFFF"/>
            <w:noWrap/>
            <w:vAlign w:val="bottom"/>
            <w:hideMark/>
          </w:tcPr>
          <w:p w14:paraId="02715E4D"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523B55D0"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1V PCI</w:t>
            </w:r>
          </w:p>
        </w:tc>
        <w:tc>
          <w:tcPr>
            <w:tcW w:w="1559" w:type="dxa"/>
            <w:tcBorders>
              <w:top w:val="nil"/>
              <w:left w:val="nil"/>
              <w:bottom w:val="single" w:sz="4" w:space="0" w:color="auto"/>
              <w:right w:val="single" w:sz="4" w:space="0" w:color="auto"/>
            </w:tcBorders>
            <w:shd w:val="clear" w:color="000000" w:fill="FFFFFF"/>
            <w:noWrap/>
            <w:vAlign w:val="bottom"/>
            <w:hideMark/>
          </w:tcPr>
          <w:p w14:paraId="4957DBFD"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4A9F5812"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£1263</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E02783D" w14:textId="77777777" w:rsidR="004942B6" w:rsidRPr="00041497" w:rsidRDefault="004942B6" w:rsidP="002C2525">
            <w:pPr>
              <w:spacing w:after="0" w:line="240" w:lineRule="auto"/>
              <w:rPr>
                <w:rFonts w:cstheme="minorHAnsi"/>
                <w:b/>
                <w:bCs/>
                <w:color w:val="C00000"/>
                <w:sz w:val="24"/>
                <w:szCs w:val="24"/>
              </w:rPr>
            </w:pPr>
            <w:r w:rsidRPr="00041497">
              <w:rPr>
                <w:rFonts w:cstheme="minorHAnsi"/>
                <w:b/>
                <w:bCs/>
                <w:color w:val="C00000"/>
                <w:sz w:val="24"/>
                <w:szCs w:val="24"/>
              </w:rPr>
              <w:t>+ £1103</w:t>
            </w:r>
          </w:p>
        </w:tc>
      </w:tr>
      <w:tr w:rsidR="004942B6" w:rsidRPr="002A5BC1" w14:paraId="74C62B05"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625A17BF"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D106</w:t>
            </w:r>
          </w:p>
          <w:p w14:paraId="354DD8A6" w14:textId="77777777" w:rsidR="004942B6" w:rsidRPr="002A5BC1" w:rsidRDefault="004942B6" w:rsidP="002C2525">
            <w:pPr>
              <w:spacing w:after="0" w:line="240" w:lineRule="auto"/>
              <w:rPr>
                <w:rFonts w:cstheme="minorHAnsi"/>
                <w:sz w:val="24"/>
                <w:szCs w:val="24"/>
              </w:rPr>
            </w:pPr>
          </w:p>
        </w:tc>
        <w:tc>
          <w:tcPr>
            <w:tcW w:w="1869" w:type="dxa"/>
            <w:tcBorders>
              <w:top w:val="nil"/>
              <w:left w:val="nil"/>
              <w:bottom w:val="single" w:sz="4" w:space="0" w:color="auto"/>
              <w:right w:val="single" w:sz="4" w:space="0" w:color="auto"/>
            </w:tcBorders>
            <w:shd w:val="clear" w:color="000000" w:fill="FFFFFF"/>
            <w:noWrap/>
            <w:vAlign w:val="bottom"/>
            <w:hideMark/>
          </w:tcPr>
          <w:p w14:paraId="067D1F1E"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OMT</w:t>
            </w:r>
          </w:p>
        </w:tc>
        <w:tc>
          <w:tcPr>
            <w:tcW w:w="2100" w:type="dxa"/>
            <w:tcBorders>
              <w:top w:val="nil"/>
              <w:left w:val="nil"/>
              <w:bottom w:val="single" w:sz="4" w:space="0" w:color="auto"/>
              <w:right w:val="single" w:sz="4" w:space="0" w:color="auto"/>
            </w:tcBorders>
            <w:shd w:val="clear" w:color="000000" w:fill="FFFFFF"/>
            <w:noWrap/>
            <w:vAlign w:val="bottom"/>
            <w:hideMark/>
          </w:tcPr>
          <w:p w14:paraId="091F67F7"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 xml:space="preserve">mFFR </w:t>
            </w:r>
          </w:p>
        </w:tc>
        <w:tc>
          <w:tcPr>
            <w:tcW w:w="1559" w:type="dxa"/>
            <w:tcBorders>
              <w:top w:val="nil"/>
              <w:left w:val="nil"/>
              <w:bottom w:val="single" w:sz="4" w:space="0" w:color="auto"/>
              <w:right w:val="single" w:sz="4" w:space="0" w:color="auto"/>
            </w:tcBorders>
            <w:shd w:val="clear" w:color="000000" w:fill="FFFFFF"/>
            <w:noWrap/>
            <w:vAlign w:val="bottom"/>
            <w:hideMark/>
          </w:tcPr>
          <w:p w14:paraId="14E42CB3"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000000" w:fill="FFFFFF"/>
            <w:noWrap/>
            <w:vAlign w:val="bottom"/>
            <w:hideMark/>
          </w:tcPr>
          <w:p w14:paraId="10938AD3"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£746</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741722F" w14:textId="77777777" w:rsidR="004942B6" w:rsidRPr="00041497" w:rsidRDefault="004942B6" w:rsidP="002C2525">
            <w:pPr>
              <w:spacing w:after="0" w:line="240" w:lineRule="auto"/>
              <w:rPr>
                <w:rFonts w:cstheme="minorHAnsi"/>
                <w:b/>
                <w:bCs/>
                <w:color w:val="C00000"/>
                <w:sz w:val="24"/>
                <w:szCs w:val="24"/>
              </w:rPr>
            </w:pPr>
            <w:r w:rsidRPr="00041497">
              <w:rPr>
                <w:rFonts w:cstheme="minorHAnsi"/>
                <w:b/>
                <w:bCs/>
                <w:color w:val="C00000"/>
                <w:sz w:val="24"/>
                <w:szCs w:val="24"/>
              </w:rPr>
              <w:t>+ £586</w:t>
            </w:r>
          </w:p>
        </w:tc>
      </w:tr>
      <w:tr w:rsidR="004942B6" w:rsidRPr="002A5BC1" w14:paraId="245ADF7E" w14:textId="77777777" w:rsidTr="002C2525">
        <w:trPr>
          <w:trHeight w:val="320"/>
        </w:trPr>
        <w:tc>
          <w:tcPr>
            <w:tcW w:w="1009" w:type="dxa"/>
            <w:tcBorders>
              <w:top w:val="nil"/>
              <w:left w:val="single" w:sz="4" w:space="0" w:color="auto"/>
              <w:bottom w:val="single" w:sz="4" w:space="0" w:color="auto"/>
              <w:right w:val="single" w:sz="4" w:space="0" w:color="auto"/>
            </w:tcBorders>
            <w:shd w:val="clear" w:color="000000" w:fill="FFFFFF"/>
            <w:noWrap/>
            <w:hideMark/>
          </w:tcPr>
          <w:p w14:paraId="716D56A0"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B69</w:t>
            </w:r>
          </w:p>
          <w:p w14:paraId="0AA1230D" w14:textId="77777777" w:rsidR="004942B6" w:rsidRPr="002A5BC1" w:rsidRDefault="004942B6" w:rsidP="002C2525">
            <w:pPr>
              <w:spacing w:after="0" w:line="240" w:lineRule="auto"/>
              <w:rPr>
                <w:rFonts w:cstheme="minorHAnsi"/>
                <w:sz w:val="24"/>
                <w:szCs w:val="24"/>
              </w:rPr>
            </w:pPr>
          </w:p>
        </w:tc>
        <w:tc>
          <w:tcPr>
            <w:tcW w:w="1869" w:type="dxa"/>
            <w:tcBorders>
              <w:top w:val="nil"/>
              <w:left w:val="nil"/>
              <w:bottom w:val="single" w:sz="4" w:space="0" w:color="auto"/>
              <w:right w:val="single" w:sz="4" w:space="0" w:color="auto"/>
            </w:tcBorders>
            <w:shd w:val="clear" w:color="000000" w:fill="FFFFFF"/>
            <w:noWrap/>
            <w:vAlign w:val="bottom"/>
            <w:hideMark/>
          </w:tcPr>
          <w:p w14:paraId="62CA64FD"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CABG x 3</w:t>
            </w:r>
          </w:p>
        </w:tc>
        <w:tc>
          <w:tcPr>
            <w:tcW w:w="2100" w:type="dxa"/>
            <w:tcBorders>
              <w:top w:val="nil"/>
              <w:left w:val="nil"/>
              <w:bottom w:val="single" w:sz="4" w:space="0" w:color="auto"/>
              <w:right w:val="single" w:sz="4" w:space="0" w:color="auto"/>
            </w:tcBorders>
            <w:shd w:val="clear" w:color="000000" w:fill="FFFFFF"/>
            <w:noWrap/>
            <w:vAlign w:val="bottom"/>
            <w:hideMark/>
          </w:tcPr>
          <w:p w14:paraId="099131C1" w14:textId="77777777" w:rsidR="004942B6" w:rsidRPr="002A5BC1" w:rsidRDefault="004942B6" w:rsidP="002C2525">
            <w:pPr>
              <w:spacing w:after="0" w:line="240" w:lineRule="auto"/>
              <w:rPr>
                <w:rFonts w:cstheme="minorHAnsi"/>
                <w:sz w:val="24"/>
                <w:szCs w:val="24"/>
              </w:rPr>
            </w:pPr>
            <w:r w:rsidRPr="002A5BC1">
              <w:rPr>
                <w:rFonts w:cstheme="minorHAnsi"/>
                <w:color w:val="000000"/>
                <w:sz w:val="24"/>
                <w:szCs w:val="24"/>
              </w:rPr>
              <w:t>CABG x 2</w:t>
            </w:r>
          </w:p>
        </w:tc>
        <w:tc>
          <w:tcPr>
            <w:tcW w:w="1559" w:type="dxa"/>
            <w:tcBorders>
              <w:top w:val="nil"/>
              <w:left w:val="nil"/>
              <w:bottom w:val="single" w:sz="4" w:space="0" w:color="auto"/>
              <w:right w:val="single" w:sz="4" w:space="0" w:color="auto"/>
            </w:tcBorders>
            <w:shd w:val="clear" w:color="000000" w:fill="FFFFFF"/>
            <w:noWrap/>
            <w:vAlign w:val="bottom"/>
            <w:hideMark/>
          </w:tcPr>
          <w:p w14:paraId="222E658C"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£8384</w:t>
            </w:r>
          </w:p>
        </w:tc>
        <w:tc>
          <w:tcPr>
            <w:tcW w:w="1559" w:type="dxa"/>
            <w:tcBorders>
              <w:top w:val="nil"/>
              <w:left w:val="nil"/>
              <w:bottom w:val="single" w:sz="4" w:space="0" w:color="auto"/>
              <w:right w:val="single" w:sz="4" w:space="0" w:color="auto"/>
            </w:tcBorders>
            <w:shd w:val="clear" w:color="000000" w:fill="FFFFFF"/>
            <w:noWrap/>
            <w:vAlign w:val="bottom"/>
            <w:hideMark/>
          </w:tcPr>
          <w:p w14:paraId="68FA7AAF"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£8384</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C4168B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2A5BC1" w14:paraId="3D80C522" w14:textId="77777777" w:rsidTr="002C2525">
        <w:trPr>
          <w:trHeight w:val="320"/>
        </w:trPr>
        <w:tc>
          <w:tcPr>
            <w:tcW w:w="4978" w:type="dxa"/>
            <w:gridSpan w:val="3"/>
            <w:tcBorders>
              <w:top w:val="nil"/>
              <w:left w:val="single" w:sz="4" w:space="0" w:color="auto"/>
              <w:bottom w:val="single" w:sz="4" w:space="0" w:color="auto"/>
              <w:right w:val="single" w:sz="4" w:space="0" w:color="auto"/>
            </w:tcBorders>
            <w:shd w:val="clear" w:color="000000" w:fill="FFFFFF"/>
            <w:noWrap/>
          </w:tcPr>
          <w:p w14:paraId="4D3CA270" w14:textId="77777777" w:rsidR="004942B6" w:rsidRPr="008D2BD6" w:rsidRDefault="004942B6" w:rsidP="002C2525">
            <w:pPr>
              <w:spacing w:after="0" w:line="240" w:lineRule="auto"/>
              <w:rPr>
                <w:rFonts w:cstheme="minorHAnsi"/>
                <w:b/>
                <w:bCs/>
                <w:color w:val="000000"/>
                <w:sz w:val="24"/>
                <w:szCs w:val="24"/>
              </w:rPr>
            </w:pPr>
            <w:r w:rsidRPr="008D2BD6">
              <w:rPr>
                <w:rFonts w:cstheme="minorHAnsi"/>
                <w:b/>
                <w:bCs/>
                <w:color w:val="000000"/>
                <w:sz w:val="24"/>
                <w:szCs w:val="24"/>
              </w:rPr>
              <w:t xml:space="preserve">Average </w:t>
            </w:r>
            <w:r>
              <w:rPr>
                <w:rFonts w:cstheme="minorHAnsi"/>
                <w:b/>
                <w:bCs/>
                <w:color w:val="000000"/>
                <w:sz w:val="24"/>
                <w:szCs w:val="24"/>
              </w:rPr>
              <w:t xml:space="preserve">cost </w:t>
            </w:r>
            <w:r w:rsidRPr="008D2BD6">
              <w:rPr>
                <w:rFonts w:cstheme="minorHAnsi"/>
                <w:b/>
                <w:bCs/>
                <w:color w:val="000000"/>
                <w:sz w:val="24"/>
                <w:szCs w:val="24"/>
              </w:rPr>
              <w:t>per patient</w:t>
            </w:r>
          </w:p>
        </w:tc>
        <w:tc>
          <w:tcPr>
            <w:tcW w:w="1559" w:type="dxa"/>
            <w:tcBorders>
              <w:top w:val="nil"/>
              <w:left w:val="nil"/>
              <w:bottom w:val="single" w:sz="4" w:space="0" w:color="auto"/>
              <w:right w:val="single" w:sz="4" w:space="0" w:color="auto"/>
            </w:tcBorders>
            <w:shd w:val="clear" w:color="000000" w:fill="FFFFFF"/>
            <w:noWrap/>
            <w:vAlign w:val="bottom"/>
          </w:tcPr>
          <w:p w14:paraId="2A308F56" w14:textId="54A98DC9" w:rsidR="004942B6" w:rsidRPr="008D2BD6" w:rsidRDefault="004942B6" w:rsidP="002C2525">
            <w:pPr>
              <w:spacing w:after="0" w:line="240" w:lineRule="auto"/>
              <w:rPr>
                <w:rFonts w:cstheme="minorHAnsi"/>
                <w:b/>
                <w:bCs/>
                <w:sz w:val="24"/>
                <w:szCs w:val="24"/>
              </w:rPr>
            </w:pPr>
            <w:r w:rsidRPr="008D2BD6">
              <w:rPr>
                <w:rFonts w:cstheme="minorHAnsi"/>
                <w:b/>
                <w:bCs/>
                <w:sz w:val="24"/>
                <w:szCs w:val="24"/>
              </w:rPr>
              <w:t>£15</w:t>
            </w:r>
            <w:r w:rsidR="001E1159">
              <w:rPr>
                <w:rFonts w:cstheme="minorHAnsi"/>
                <w:b/>
                <w:bCs/>
                <w:sz w:val="24"/>
                <w:szCs w:val="24"/>
              </w:rPr>
              <w:t>12.3</w:t>
            </w:r>
          </w:p>
        </w:tc>
        <w:tc>
          <w:tcPr>
            <w:tcW w:w="1559" w:type="dxa"/>
            <w:tcBorders>
              <w:top w:val="nil"/>
              <w:left w:val="nil"/>
              <w:bottom w:val="single" w:sz="4" w:space="0" w:color="auto"/>
              <w:right w:val="single" w:sz="4" w:space="0" w:color="auto"/>
            </w:tcBorders>
            <w:shd w:val="clear" w:color="000000" w:fill="FFFFFF"/>
            <w:noWrap/>
            <w:vAlign w:val="bottom"/>
          </w:tcPr>
          <w:p w14:paraId="23F79842" w14:textId="5D0F840E" w:rsidR="004942B6" w:rsidRPr="008D2BD6" w:rsidRDefault="004942B6" w:rsidP="002C2525">
            <w:pPr>
              <w:spacing w:after="0" w:line="240" w:lineRule="auto"/>
              <w:rPr>
                <w:rFonts w:cstheme="minorHAnsi"/>
                <w:b/>
                <w:bCs/>
                <w:sz w:val="24"/>
                <w:szCs w:val="24"/>
              </w:rPr>
            </w:pPr>
            <w:r w:rsidRPr="008D2BD6">
              <w:rPr>
                <w:rFonts w:cstheme="minorHAnsi"/>
                <w:b/>
                <w:bCs/>
                <w:sz w:val="24"/>
                <w:szCs w:val="24"/>
              </w:rPr>
              <w:t>£190</w:t>
            </w:r>
            <w:r w:rsidR="001E1159">
              <w:rPr>
                <w:rFonts w:cstheme="minorHAnsi"/>
                <w:b/>
                <w:bCs/>
                <w:sz w:val="24"/>
                <w:szCs w:val="24"/>
              </w:rPr>
              <w:t>7</w:t>
            </w:r>
            <w:r w:rsidRPr="008D2BD6">
              <w:rPr>
                <w:rFonts w:cstheme="minorHAnsi"/>
                <w:b/>
                <w:bCs/>
                <w:sz w:val="24"/>
                <w:szCs w:val="24"/>
              </w:rPr>
              <w:t>.</w:t>
            </w:r>
            <w:r w:rsidR="001E1159">
              <w:rPr>
                <w:rFonts w:cstheme="minorHAnsi"/>
                <w:b/>
                <w:bCs/>
                <w:sz w:val="24"/>
                <w:szCs w:val="24"/>
              </w:rPr>
              <w:t>2</w:t>
            </w:r>
          </w:p>
        </w:tc>
        <w:tc>
          <w:tcPr>
            <w:tcW w:w="1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C98D06D" w14:textId="21B7E1F2" w:rsidR="004942B6" w:rsidRPr="002A5BC1" w:rsidRDefault="004942B6" w:rsidP="002C2525">
            <w:pPr>
              <w:spacing w:after="0" w:line="240" w:lineRule="auto"/>
              <w:rPr>
                <w:rFonts w:cstheme="minorHAnsi"/>
                <w:sz w:val="24"/>
                <w:szCs w:val="24"/>
              </w:rPr>
            </w:pPr>
            <w:r w:rsidRPr="00041497">
              <w:rPr>
                <w:rFonts w:cstheme="minorHAnsi"/>
                <w:b/>
                <w:bCs/>
                <w:color w:val="C00000"/>
                <w:sz w:val="24"/>
                <w:szCs w:val="24"/>
              </w:rPr>
              <w:t>+ £</w:t>
            </w:r>
            <w:r>
              <w:rPr>
                <w:rFonts w:cstheme="minorHAnsi"/>
                <w:b/>
                <w:bCs/>
                <w:color w:val="C00000"/>
                <w:sz w:val="24"/>
                <w:szCs w:val="24"/>
              </w:rPr>
              <w:t>3</w:t>
            </w:r>
            <w:r w:rsidR="00D148FC">
              <w:rPr>
                <w:rFonts w:cstheme="minorHAnsi"/>
                <w:b/>
                <w:bCs/>
                <w:color w:val="C00000"/>
                <w:sz w:val="24"/>
                <w:szCs w:val="24"/>
              </w:rPr>
              <w:t>94.8</w:t>
            </w:r>
          </w:p>
        </w:tc>
      </w:tr>
      <w:tr w:rsidR="004942B6" w:rsidRPr="002A5BC1" w14:paraId="117EB217" w14:textId="77777777" w:rsidTr="002C2525">
        <w:trPr>
          <w:trHeight w:val="320"/>
        </w:trPr>
        <w:tc>
          <w:tcPr>
            <w:tcW w:w="9879" w:type="dxa"/>
            <w:gridSpan w:val="6"/>
            <w:tcBorders>
              <w:top w:val="nil"/>
              <w:left w:val="single" w:sz="4" w:space="0" w:color="auto"/>
              <w:bottom w:val="single" w:sz="4" w:space="0" w:color="auto"/>
              <w:right w:val="single" w:sz="4" w:space="0" w:color="auto"/>
            </w:tcBorders>
            <w:shd w:val="clear" w:color="000000" w:fill="FFFFFF"/>
            <w:noWrap/>
          </w:tcPr>
          <w:p w14:paraId="1017739C" w14:textId="77777777" w:rsidR="004942B6" w:rsidRDefault="004942B6" w:rsidP="002C2525">
            <w:pPr>
              <w:spacing w:after="0" w:line="240" w:lineRule="auto"/>
              <w:rPr>
                <w:rFonts w:eastAsia="Times New Roman" w:cstheme="minorHAnsi"/>
                <w:color w:val="000000" w:themeColor="text1"/>
                <w:sz w:val="24"/>
                <w:szCs w:val="24"/>
                <w:lang w:eastAsia="en-GB"/>
              </w:rPr>
            </w:pPr>
            <w:r w:rsidRPr="00913D9A">
              <w:rPr>
                <w:rFonts w:eastAsia="Times New Roman" w:cstheme="minorHAnsi"/>
                <w:color w:val="000000" w:themeColor="text1"/>
                <w:sz w:val="24"/>
                <w:szCs w:val="24"/>
                <w:lang w:eastAsia="en-GB"/>
              </w:rPr>
              <w:t xml:space="preserve">1V PCI represents PCI performed for </w:t>
            </w:r>
            <w:r>
              <w:rPr>
                <w:rFonts w:eastAsia="Times New Roman" w:cstheme="minorHAnsi"/>
                <w:color w:val="000000" w:themeColor="text1"/>
                <w:sz w:val="24"/>
                <w:szCs w:val="24"/>
                <w:lang w:eastAsia="en-GB"/>
              </w:rPr>
              <w:t>one vessel</w:t>
            </w:r>
            <w:r w:rsidRPr="00913D9A">
              <w:rPr>
                <w:rFonts w:eastAsia="Times New Roman" w:cstheme="minorHAnsi"/>
                <w:color w:val="000000" w:themeColor="text1"/>
                <w:sz w:val="24"/>
                <w:szCs w:val="24"/>
                <w:lang w:eastAsia="en-GB"/>
              </w:rPr>
              <w:t xml:space="preserve">, and 2V PCI denotes PCI performed for </w:t>
            </w:r>
            <w:r>
              <w:rPr>
                <w:rFonts w:eastAsia="Times New Roman" w:cstheme="minorHAnsi"/>
                <w:color w:val="000000" w:themeColor="text1"/>
                <w:sz w:val="24"/>
                <w:szCs w:val="24"/>
                <w:lang w:eastAsia="en-GB"/>
              </w:rPr>
              <w:t>two vessels.</w:t>
            </w:r>
          </w:p>
          <w:p w14:paraId="6EBADB5F" w14:textId="77777777" w:rsidR="004942B6" w:rsidRPr="002A5BC1" w:rsidRDefault="004942B6" w:rsidP="002C2525">
            <w:pPr>
              <w:spacing w:after="0" w:line="240" w:lineRule="auto"/>
              <w:rPr>
                <w:rFonts w:cstheme="minorHAnsi"/>
                <w:sz w:val="24"/>
                <w:szCs w:val="24"/>
              </w:rPr>
            </w:pPr>
            <w:r w:rsidRPr="0030432E">
              <w:rPr>
                <w:rFonts w:eastAsia="Times New Roman" w:cstheme="minorHAnsi"/>
                <w:color w:val="000000" w:themeColor="text1"/>
                <w:sz w:val="24"/>
                <w:szCs w:val="24"/>
                <w:lang w:eastAsia="en-GB"/>
              </w:rPr>
              <w:t xml:space="preserve">"+" </w:t>
            </w:r>
            <w:r>
              <w:rPr>
                <w:rFonts w:eastAsia="Times New Roman" w:cstheme="minorHAnsi"/>
                <w:color w:val="000000" w:themeColor="text1"/>
                <w:sz w:val="24"/>
                <w:szCs w:val="24"/>
                <w:lang w:eastAsia="en-GB"/>
              </w:rPr>
              <w:t>shows a</w:t>
            </w:r>
            <w:r w:rsidRPr="0030432E">
              <w:rPr>
                <w:rFonts w:eastAsia="Times New Roman" w:cstheme="minorHAnsi"/>
                <w:color w:val="000000" w:themeColor="text1"/>
                <w:sz w:val="24"/>
                <w:szCs w:val="24"/>
                <w:lang w:eastAsia="en-GB"/>
              </w:rPr>
              <w:t xml:space="preserve"> virtual additional cost, whereas "-" represents a virtual reduction in the cost of the index procedure due to a notional change in the management plan.</w:t>
            </w:r>
          </w:p>
        </w:tc>
      </w:tr>
    </w:tbl>
    <w:p w14:paraId="4482E975" w14:textId="77777777" w:rsidR="004942B6" w:rsidRDefault="004942B6" w:rsidP="004942B6">
      <w:pPr>
        <w:pStyle w:val="Heading3"/>
        <w:spacing w:line="360" w:lineRule="auto"/>
        <w:jc w:val="both"/>
        <w:rPr>
          <w:rFonts w:ascii="Arial" w:hAnsi="Arial" w:cs="Arial"/>
          <w:color w:val="4472C4" w:themeColor="accent1"/>
        </w:rPr>
      </w:pPr>
    </w:p>
    <w:p w14:paraId="6D4303D2" w14:textId="77777777" w:rsidR="004942B6" w:rsidRPr="00231A95" w:rsidRDefault="004942B6" w:rsidP="004942B6"/>
    <w:p w14:paraId="3EF672B8" w14:textId="3722EC8D" w:rsidR="004942B6" w:rsidRPr="00BD2419" w:rsidRDefault="004942B6" w:rsidP="004942B6">
      <w:pPr>
        <w:pStyle w:val="Heading3"/>
        <w:spacing w:line="360" w:lineRule="auto"/>
        <w:jc w:val="both"/>
        <w:rPr>
          <w:rFonts w:ascii="Arial" w:hAnsi="Arial" w:cs="Arial"/>
          <w:color w:val="4472C4" w:themeColor="accent1"/>
          <w:sz w:val="24"/>
          <w:szCs w:val="24"/>
        </w:rPr>
      </w:pPr>
      <w:bookmarkStart w:id="1327" w:name="_Toc159613628"/>
      <w:bookmarkStart w:id="1328" w:name="_Toc160981289"/>
      <w:bookmarkStart w:id="1329" w:name="_Toc170076092"/>
      <w:bookmarkStart w:id="1330" w:name="_Toc170577791"/>
      <w:bookmarkStart w:id="1331" w:name="_Toc171203167"/>
      <w:bookmarkStart w:id="1332" w:name="_Toc171203939"/>
      <w:r w:rsidRPr="00BD2419">
        <w:rPr>
          <w:rFonts w:ascii="Arial" w:hAnsi="Arial" w:cs="Arial"/>
          <w:color w:val="4472C4" w:themeColor="accent1"/>
          <w:sz w:val="24"/>
          <w:szCs w:val="24"/>
        </w:rPr>
        <w:lastRenderedPageBreak/>
        <w:t>3.</w:t>
      </w:r>
      <w:r w:rsidR="00D41D7B">
        <w:rPr>
          <w:rFonts w:ascii="Arial" w:hAnsi="Arial" w:cs="Arial"/>
          <w:color w:val="4472C4" w:themeColor="accent1"/>
          <w:sz w:val="24"/>
          <w:szCs w:val="24"/>
        </w:rPr>
        <w:t>6</w:t>
      </w:r>
      <w:r w:rsidRPr="00BD2419">
        <w:rPr>
          <w:rFonts w:ascii="Arial" w:hAnsi="Arial" w:cs="Arial"/>
          <w:color w:val="4472C4" w:themeColor="accent1"/>
          <w:sz w:val="24"/>
          <w:szCs w:val="24"/>
        </w:rPr>
        <w:t xml:space="preserve">.3 Comparison of the </w:t>
      </w:r>
      <w:r w:rsidR="004C3112">
        <w:rPr>
          <w:rFonts w:ascii="Arial" w:hAnsi="Arial" w:cs="Arial"/>
          <w:color w:val="4472C4" w:themeColor="accent1"/>
          <w:sz w:val="24"/>
          <w:szCs w:val="24"/>
        </w:rPr>
        <w:t xml:space="preserve">total </w:t>
      </w:r>
      <w:r w:rsidRPr="00BD2419">
        <w:rPr>
          <w:rFonts w:ascii="Arial" w:hAnsi="Arial" w:cs="Arial"/>
          <w:color w:val="4472C4" w:themeColor="accent1"/>
          <w:sz w:val="24"/>
          <w:szCs w:val="24"/>
        </w:rPr>
        <w:t>cost</w:t>
      </w:r>
      <w:r w:rsidR="004C3112">
        <w:rPr>
          <w:rFonts w:ascii="Arial" w:hAnsi="Arial" w:cs="Arial"/>
          <w:color w:val="4472C4" w:themeColor="accent1"/>
          <w:sz w:val="24"/>
          <w:szCs w:val="24"/>
        </w:rPr>
        <w:t>s</w:t>
      </w:r>
      <w:r w:rsidRPr="00BD2419">
        <w:rPr>
          <w:rFonts w:ascii="Arial" w:hAnsi="Arial" w:cs="Arial"/>
          <w:color w:val="4472C4" w:themeColor="accent1"/>
          <w:sz w:val="24"/>
          <w:szCs w:val="24"/>
        </w:rPr>
        <w:t xml:space="preserve"> of the “</w:t>
      </w:r>
      <w:r w:rsidR="004C3112">
        <w:rPr>
          <w:rFonts w:ascii="Arial" w:hAnsi="Arial" w:cs="Arial"/>
          <w:color w:val="4472C4" w:themeColor="accent1"/>
          <w:sz w:val="24"/>
          <w:szCs w:val="24"/>
        </w:rPr>
        <w:t>actual</w:t>
      </w:r>
      <w:r w:rsidRPr="00BD2419">
        <w:rPr>
          <w:rFonts w:ascii="Arial" w:hAnsi="Arial" w:cs="Arial"/>
          <w:color w:val="4472C4" w:themeColor="accent1"/>
          <w:sz w:val="24"/>
          <w:szCs w:val="24"/>
        </w:rPr>
        <w:t xml:space="preserve">” and </w:t>
      </w:r>
      <w:r w:rsidR="002D6391">
        <w:rPr>
          <w:rFonts w:ascii="Arial" w:hAnsi="Arial" w:cs="Arial"/>
          <w:color w:val="4472C4" w:themeColor="accent1"/>
          <w:sz w:val="24"/>
          <w:szCs w:val="24"/>
        </w:rPr>
        <w:t xml:space="preserve">post-vFFR </w:t>
      </w:r>
      <w:r w:rsidRPr="00BD2419">
        <w:rPr>
          <w:rFonts w:ascii="Arial" w:hAnsi="Arial" w:cs="Arial"/>
          <w:color w:val="4472C4" w:themeColor="accent1"/>
          <w:sz w:val="24"/>
          <w:szCs w:val="24"/>
        </w:rPr>
        <w:t>“</w:t>
      </w:r>
      <w:r w:rsidR="004C3112">
        <w:rPr>
          <w:rFonts w:ascii="Arial" w:hAnsi="Arial" w:cs="Arial"/>
          <w:color w:val="4472C4" w:themeColor="accent1"/>
          <w:sz w:val="24"/>
          <w:szCs w:val="24"/>
        </w:rPr>
        <w:t>virtual</w:t>
      </w:r>
      <w:r w:rsidRPr="00BD2419">
        <w:rPr>
          <w:rFonts w:ascii="Arial" w:hAnsi="Arial" w:cs="Arial"/>
          <w:color w:val="4472C4" w:themeColor="accent1"/>
          <w:sz w:val="24"/>
          <w:szCs w:val="24"/>
        </w:rPr>
        <w:t xml:space="preserve">” </w:t>
      </w:r>
      <w:r w:rsidR="004C3112">
        <w:rPr>
          <w:rFonts w:ascii="Arial" w:hAnsi="Arial" w:cs="Arial"/>
          <w:color w:val="4472C4" w:themeColor="accent1"/>
          <w:sz w:val="24"/>
          <w:szCs w:val="24"/>
        </w:rPr>
        <w:t xml:space="preserve">plans </w:t>
      </w:r>
      <w:r w:rsidR="0075348E">
        <w:rPr>
          <w:rFonts w:ascii="Arial" w:hAnsi="Arial" w:cs="Arial"/>
          <w:color w:val="4472C4" w:themeColor="accent1"/>
          <w:sz w:val="24"/>
          <w:szCs w:val="24"/>
        </w:rPr>
        <w:t xml:space="preserve">from parent cardiologists </w:t>
      </w:r>
      <w:r w:rsidR="004C3112">
        <w:rPr>
          <w:rFonts w:ascii="Arial" w:hAnsi="Arial" w:cs="Arial"/>
          <w:color w:val="4472C4" w:themeColor="accent1"/>
          <w:sz w:val="24"/>
          <w:szCs w:val="24"/>
        </w:rPr>
        <w:t>with</w:t>
      </w:r>
      <w:r w:rsidRPr="00BD2419">
        <w:rPr>
          <w:rFonts w:ascii="Arial" w:hAnsi="Arial" w:cs="Arial"/>
          <w:color w:val="4472C4" w:themeColor="accent1"/>
          <w:sz w:val="24"/>
          <w:szCs w:val="24"/>
        </w:rPr>
        <w:t>in the virtual change subset</w:t>
      </w:r>
      <w:bookmarkEnd w:id="1327"/>
      <w:bookmarkEnd w:id="1328"/>
      <w:bookmarkEnd w:id="1329"/>
      <w:bookmarkEnd w:id="1330"/>
      <w:bookmarkEnd w:id="1331"/>
      <w:bookmarkEnd w:id="1332"/>
    </w:p>
    <w:p w14:paraId="0F9BD82F" w14:textId="57AD70D4" w:rsidR="004942B6" w:rsidRDefault="0075348E" w:rsidP="004942B6">
      <w:pPr>
        <w:spacing w:line="360" w:lineRule="auto"/>
        <w:jc w:val="both"/>
        <w:rPr>
          <w:rFonts w:ascii="Arial" w:hAnsi="Arial" w:cs="Arial"/>
          <w:sz w:val="24"/>
          <w:szCs w:val="24"/>
        </w:rPr>
      </w:pPr>
      <w:r>
        <w:rPr>
          <w:rFonts w:ascii="Arial" w:hAnsi="Arial" w:cs="Arial"/>
          <w:sz w:val="24"/>
          <w:szCs w:val="24"/>
        </w:rPr>
        <w:t>The t</w:t>
      </w:r>
      <w:r w:rsidR="004942B6" w:rsidRPr="008A6A61">
        <w:rPr>
          <w:rFonts w:ascii="Arial" w:hAnsi="Arial" w:cs="Arial"/>
          <w:sz w:val="24"/>
          <w:szCs w:val="24"/>
        </w:rPr>
        <w:t xml:space="preserve">otal cost of the virtual change subset (n=65) </w:t>
      </w:r>
      <w:r>
        <w:rPr>
          <w:rFonts w:ascii="Arial" w:hAnsi="Arial" w:cs="Arial"/>
          <w:sz w:val="24"/>
          <w:szCs w:val="24"/>
        </w:rPr>
        <w:t xml:space="preserve">in accordance </w:t>
      </w:r>
      <w:r w:rsidR="002D6391">
        <w:rPr>
          <w:rFonts w:ascii="Arial" w:hAnsi="Arial" w:cs="Arial"/>
          <w:sz w:val="24"/>
          <w:szCs w:val="24"/>
        </w:rPr>
        <w:t>with</w:t>
      </w:r>
      <w:r>
        <w:rPr>
          <w:rFonts w:ascii="Arial" w:hAnsi="Arial" w:cs="Arial"/>
          <w:sz w:val="24"/>
          <w:szCs w:val="24"/>
        </w:rPr>
        <w:t xml:space="preserve"> the management plans from parent cardiologists were estimated, which </w:t>
      </w:r>
      <w:r w:rsidR="004942B6" w:rsidRPr="008A6A61">
        <w:rPr>
          <w:rFonts w:ascii="Arial" w:hAnsi="Arial" w:cs="Arial"/>
          <w:sz w:val="24"/>
          <w:szCs w:val="24"/>
        </w:rPr>
        <w:t>showed that following the vFFR-</w:t>
      </w:r>
      <w:r w:rsidR="004942B6">
        <w:rPr>
          <w:rFonts w:ascii="Arial" w:hAnsi="Arial" w:cs="Arial"/>
          <w:sz w:val="24"/>
          <w:szCs w:val="24"/>
        </w:rPr>
        <w:t>suggested</w:t>
      </w:r>
      <w:r w:rsidR="004942B6" w:rsidRPr="008A6A61">
        <w:rPr>
          <w:rFonts w:ascii="Arial" w:hAnsi="Arial" w:cs="Arial"/>
          <w:sz w:val="24"/>
          <w:szCs w:val="24"/>
        </w:rPr>
        <w:t xml:space="preserve"> plans would result in an extra cost of £3898 (average extra cost of £59.9 per patient). For the ACS patients (n=39), vFFR would virtually save £6369 (average savings of £163.3 per patient), while for the CCS patients (n=26), vFFR would cause a hypothetical increase in the cost by an extra £10267 (average increase of £394.8 per patient). The increase in the CCS patients was owing to a virtual change in plans from conservative to invasive treatment; 16/26 (61.5%) patients from OMT to PCI, 3/26 (11.5%) additional vessel invasive mFFR, and 3/26 (11.5%) from single vessel to multivessel PCI. A summary of the total cost of the actual and virtual outcomes for both the ACS and CCS patients in the virtual change subset is shown in Figure </w:t>
      </w:r>
      <w:r w:rsidR="00D92CB5">
        <w:rPr>
          <w:rFonts w:ascii="Arial" w:hAnsi="Arial" w:cs="Arial"/>
          <w:sz w:val="24"/>
          <w:szCs w:val="24"/>
        </w:rPr>
        <w:t>5</w:t>
      </w:r>
      <w:r w:rsidR="001823B4">
        <w:rPr>
          <w:rFonts w:ascii="Arial" w:hAnsi="Arial" w:cs="Arial"/>
          <w:sz w:val="24"/>
          <w:szCs w:val="24"/>
        </w:rPr>
        <w:t>9</w:t>
      </w:r>
      <w:r w:rsidR="004942B6" w:rsidRPr="008A6A61">
        <w:rPr>
          <w:rFonts w:ascii="Arial" w:hAnsi="Arial" w:cs="Arial"/>
          <w:sz w:val="24"/>
          <w:szCs w:val="24"/>
        </w:rPr>
        <w:t>.</w:t>
      </w:r>
    </w:p>
    <w:p w14:paraId="68C146A8" w14:textId="77777777" w:rsidR="004942B6" w:rsidRDefault="004942B6" w:rsidP="004942B6">
      <w:pPr>
        <w:spacing w:line="360" w:lineRule="auto"/>
        <w:jc w:val="both"/>
        <w:rPr>
          <w:color w:val="000000" w:themeColor="text1"/>
        </w:rPr>
      </w:pPr>
    </w:p>
    <w:p w14:paraId="59C09517" w14:textId="252D170F" w:rsidR="004942B6" w:rsidRDefault="006336BB" w:rsidP="004942B6">
      <w:pPr>
        <w:keepNext/>
      </w:pPr>
      <w:r>
        <w:rPr>
          <w:noProof/>
          <w:lang w:eastAsia="en-GB"/>
        </w:rPr>
        <w:lastRenderedPageBreak/>
        <w:drawing>
          <wp:inline distT="0" distB="0" distL="0" distR="0" wp14:anchorId="4DDA5BB6" wp14:editId="7366C94B">
            <wp:extent cx="5676900" cy="4582807"/>
            <wp:effectExtent l="0" t="0" r="0" b="8255"/>
            <wp:docPr id="287402170" name="Picture 4" descr="A graph of the cost of a pati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02170" name="Picture 4" descr="A graph of the cost of a patient&#10;&#10;Description automatically generated with medium confidence"/>
                    <pic:cNvPicPr/>
                  </pic:nvPicPr>
                  <pic:blipFill rotWithShape="1">
                    <a:blip r:embed="rId89" cstate="print">
                      <a:extLst>
                        <a:ext uri="{28A0092B-C50C-407E-A947-70E740481C1C}">
                          <a14:useLocalDpi xmlns:a14="http://schemas.microsoft.com/office/drawing/2010/main" val="0"/>
                        </a:ext>
                      </a:extLst>
                    </a:blip>
                    <a:srcRect l="12897" r="13982" b="15670"/>
                    <a:stretch/>
                  </pic:blipFill>
                  <pic:spPr bwMode="auto">
                    <a:xfrm>
                      <a:off x="0" y="0"/>
                      <a:ext cx="5683529" cy="4588158"/>
                    </a:xfrm>
                    <a:prstGeom prst="rect">
                      <a:avLst/>
                    </a:prstGeom>
                    <a:ln>
                      <a:noFill/>
                    </a:ln>
                    <a:extLst>
                      <a:ext uri="{53640926-AAD7-44D8-BBD7-CCE9431645EC}">
                        <a14:shadowObscured xmlns:a14="http://schemas.microsoft.com/office/drawing/2010/main"/>
                      </a:ext>
                    </a:extLst>
                  </pic:spPr>
                </pic:pic>
              </a:graphicData>
            </a:graphic>
          </wp:inline>
        </w:drawing>
      </w:r>
    </w:p>
    <w:p w14:paraId="4C246913" w14:textId="11E9B766" w:rsidR="004942B6" w:rsidRPr="00E72085" w:rsidRDefault="004942B6" w:rsidP="00864DDB">
      <w:pPr>
        <w:pStyle w:val="Caption"/>
        <w:jc w:val="both"/>
        <w:rPr>
          <w:rFonts w:ascii="Arial" w:hAnsi="Arial" w:cs="Arial"/>
          <w:color w:val="auto"/>
          <w:sz w:val="20"/>
          <w:szCs w:val="20"/>
        </w:rPr>
      </w:pPr>
      <w:bookmarkStart w:id="1333" w:name="_Toc152492293"/>
      <w:bookmarkStart w:id="1334" w:name="_Toc152596981"/>
      <w:bookmarkStart w:id="1335" w:name="_Toc153409688"/>
      <w:bookmarkStart w:id="1336" w:name="_Toc153724935"/>
      <w:bookmarkStart w:id="1337" w:name="_Toc159318528"/>
      <w:bookmarkStart w:id="1338" w:name="_Toc159612054"/>
      <w:bookmarkStart w:id="1339" w:name="_Toc160982700"/>
      <w:bookmarkStart w:id="1340" w:name="_Toc164697526"/>
      <w:bookmarkStart w:id="1341" w:name="_Toc196153251"/>
      <w:bookmarkStart w:id="1342" w:name="_Toc151222864"/>
      <w:bookmarkStart w:id="1343" w:name="_Toc151626704"/>
      <w:bookmarkStart w:id="1344" w:name="_Toc152340500"/>
      <w:bookmarkStart w:id="1345" w:name="_Toc170744619"/>
      <w:r w:rsidRPr="00383BDE">
        <w:rPr>
          <w:rFonts w:ascii="Arial" w:hAnsi="Arial" w:cs="Arial"/>
          <w:b/>
          <w:bCs/>
          <w:color w:val="auto"/>
          <w:sz w:val="20"/>
          <w:szCs w:val="20"/>
        </w:rPr>
        <w:t xml:space="preserve">Figure </w:t>
      </w:r>
      <w:r w:rsidRPr="00383BDE">
        <w:rPr>
          <w:rFonts w:ascii="Arial" w:hAnsi="Arial" w:cs="Arial"/>
          <w:b/>
          <w:bCs/>
          <w:color w:val="auto"/>
          <w:sz w:val="20"/>
          <w:szCs w:val="20"/>
        </w:rPr>
        <w:fldChar w:fldCharType="begin"/>
      </w:r>
      <w:r w:rsidRPr="00383BDE">
        <w:rPr>
          <w:rFonts w:ascii="Arial" w:hAnsi="Arial" w:cs="Arial"/>
          <w:b/>
          <w:bCs/>
          <w:color w:val="auto"/>
          <w:sz w:val="20"/>
          <w:szCs w:val="20"/>
        </w:rPr>
        <w:instrText xml:space="preserve"> SEQ Figure \* ARABIC </w:instrText>
      </w:r>
      <w:r w:rsidRPr="00383BDE">
        <w:rPr>
          <w:rFonts w:ascii="Arial" w:hAnsi="Arial" w:cs="Arial"/>
          <w:b/>
          <w:bCs/>
          <w:color w:val="auto"/>
          <w:sz w:val="20"/>
          <w:szCs w:val="20"/>
        </w:rPr>
        <w:fldChar w:fldCharType="separate"/>
      </w:r>
      <w:r w:rsidR="001823B4">
        <w:rPr>
          <w:rFonts w:ascii="Arial" w:hAnsi="Arial" w:cs="Arial"/>
          <w:b/>
          <w:bCs/>
          <w:noProof/>
          <w:color w:val="auto"/>
          <w:sz w:val="20"/>
          <w:szCs w:val="20"/>
        </w:rPr>
        <w:t>59</w:t>
      </w:r>
      <w:r w:rsidRPr="00383BDE">
        <w:rPr>
          <w:rFonts w:ascii="Arial" w:hAnsi="Arial" w:cs="Arial"/>
          <w:b/>
          <w:bCs/>
          <w:color w:val="auto"/>
          <w:sz w:val="20"/>
          <w:szCs w:val="20"/>
        </w:rPr>
        <w:fldChar w:fldCharType="end"/>
      </w:r>
      <w:r w:rsidRPr="00E72085">
        <w:rPr>
          <w:rFonts w:ascii="Arial" w:hAnsi="Arial" w:cs="Arial"/>
          <w:color w:val="auto"/>
          <w:sz w:val="20"/>
          <w:szCs w:val="20"/>
        </w:rPr>
        <w:t xml:space="preserve">: Comparison of the total costs of </w:t>
      </w:r>
      <w:r>
        <w:rPr>
          <w:rFonts w:ascii="Arial" w:hAnsi="Arial" w:cs="Arial"/>
          <w:color w:val="auto"/>
          <w:sz w:val="20"/>
          <w:szCs w:val="20"/>
        </w:rPr>
        <w:t>“</w:t>
      </w:r>
      <w:r w:rsidRPr="00E72085">
        <w:rPr>
          <w:rFonts w:ascii="Arial" w:hAnsi="Arial" w:cs="Arial"/>
          <w:color w:val="auto"/>
          <w:sz w:val="20"/>
          <w:szCs w:val="20"/>
        </w:rPr>
        <w:t>actual</w:t>
      </w:r>
      <w:r>
        <w:rPr>
          <w:rFonts w:ascii="Arial" w:hAnsi="Arial" w:cs="Arial"/>
          <w:color w:val="auto"/>
          <w:sz w:val="20"/>
          <w:szCs w:val="20"/>
        </w:rPr>
        <w:t>”</w:t>
      </w:r>
      <w:r w:rsidRPr="00E72085">
        <w:rPr>
          <w:rFonts w:ascii="Arial" w:hAnsi="Arial" w:cs="Arial"/>
          <w:color w:val="auto"/>
          <w:sz w:val="20"/>
          <w:szCs w:val="20"/>
        </w:rPr>
        <w:t xml:space="preserve"> and </w:t>
      </w:r>
      <w:r w:rsidR="00BD7B9C">
        <w:rPr>
          <w:rFonts w:ascii="Arial" w:hAnsi="Arial" w:cs="Arial"/>
          <w:color w:val="auto"/>
          <w:sz w:val="20"/>
          <w:szCs w:val="20"/>
        </w:rPr>
        <w:t xml:space="preserve">post-vFFR </w:t>
      </w:r>
      <w:r>
        <w:rPr>
          <w:rFonts w:ascii="Arial" w:hAnsi="Arial" w:cs="Arial"/>
          <w:color w:val="auto"/>
          <w:sz w:val="20"/>
          <w:szCs w:val="20"/>
        </w:rPr>
        <w:t>“</w:t>
      </w:r>
      <w:r w:rsidRPr="00E72085">
        <w:rPr>
          <w:rFonts w:ascii="Arial" w:hAnsi="Arial" w:cs="Arial"/>
          <w:color w:val="auto"/>
          <w:sz w:val="20"/>
          <w:szCs w:val="20"/>
        </w:rPr>
        <w:t>virtual</w:t>
      </w:r>
      <w:r>
        <w:rPr>
          <w:rFonts w:ascii="Arial" w:hAnsi="Arial" w:cs="Arial"/>
          <w:color w:val="auto"/>
          <w:sz w:val="20"/>
          <w:szCs w:val="20"/>
        </w:rPr>
        <w:t>”</w:t>
      </w:r>
      <w:r w:rsidRPr="00E72085">
        <w:rPr>
          <w:rFonts w:ascii="Arial" w:hAnsi="Arial" w:cs="Arial"/>
          <w:color w:val="auto"/>
          <w:sz w:val="20"/>
          <w:szCs w:val="20"/>
        </w:rPr>
        <w:t xml:space="preserve"> </w:t>
      </w:r>
      <w:r w:rsidR="00BD7B9C">
        <w:rPr>
          <w:rFonts w:ascii="Arial" w:hAnsi="Arial" w:cs="Arial"/>
          <w:color w:val="auto"/>
          <w:sz w:val="20"/>
          <w:szCs w:val="20"/>
        </w:rPr>
        <w:t xml:space="preserve">treatment plans </w:t>
      </w:r>
      <w:r>
        <w:rPr>
          <w:rFonts w:ascii="Arial" w:hAnsi="Arial" w:cs="Arial"/>
          <w:color w:val="auto"/>
          <w:sz w:val="20"/>
          <w:szCs w:val="20"/>
        </w:rPr>
        <w:t>of</w:t>
      </w:r>
      <w:r w:rsidRPr="00E72085">
        <w:rPr>
          <w:rFonts w:ascii="Arial" w:hAnsi="Arial" w:cs="Arial"/>
          <w:color w:val="auto"/>
          <w:sz w:val="20"/>
          <w:szCs w:val="20"/>
        </w:rPr>
        <w:t xml:space="preserve"> </w:t>
      </w:r>
      <w:r>
        <w:rPr>
          <w:rFonts w:ascii="Arial" w:hAnsi="Arial" w:cs="Arial"/>
          <w:color w:val="auto"/>
          <w:sz w:val="20"/>
          <w:szCs w:val="20"/>
        </w:rPr>
        <w:t>ACS</w:t>
      </w:r>
      <w:r w:rsidRPr="00E72085">
        <w:rPr>
          <w:rFonts w:ascii="Arial" w:hAnsi="Arial" w:cs="Arial"/>
          <w:color w:val="auto"/>
          <w:sz w:val="20"/>
          <w:szCs w:val="20"/>
        </w:rPr>
        <w:t xml:space="preserve"> and </w:t>
      </w:r>
      <w:r>
        <w:rPr>
          <w:rFonts w:ascii="Arial" w:hAnsi="Arial" w:cs="Arial"/>
          <w:color w:val="auto"/>
          <w:sz w:val="20"/>
          <w:szCs w:val="20"/>
        </w:rPr>
        <w:t>CCS</w:t>
      </w:r>
      <w:r w:rsidRPr="00E72085">
        <w:rPr>
          <w:rFonts w:ascii="Arial" w:hAnsi="Arial" w:cs="Arial"/>
          <w:color w:val="auto"/>
          <w:sz w:val="20"/>
          <w:szCs w:val="20"/>
        </w:rPr>
        <w:t xml:space="preserve"> patients in the </w:t>
      </w:r>
      <w:r>
        <w:rPr>
          <w:rFonts w:ascii="Arial" w:hAnsi="Arial" w:cs="Arial"/>
          <w:color w:val="auto"/>
          <w:sz w:val="20"/>
          <w:szCs w:val="20"/>
        </w:rPr>
        <w:t>virtual change subset</w:t>
      </w:r>
      <w:bookmarkEnd w:id="1333"/>
      <w:bookmarkEnd w:id="1334"/>
      <w:bookmarkEnd w:id="1335"/>
      <w:bookmarkEnd w:id="1336"/>
      <w:bookmarkEnd w:id="1337"/>
      <w:bookmarkEnd w:id="1338"/>
      <w:bookmarkEnd w:id="1339"/>
      <w:bookmarkEnd w:id="1340"/>
      <w:r w:rsidR="00BD7B9C">
        <w:rPr>
          <w:rFonts w:ascii="Arial" w:hAnsi="Arial" w:cs="Arial"/>
          <w:color w:val="auto"/>
          <w:sz w:val="20"/>
          <w:szCs w:val="20"/>
        </w:rPr>
        <w:t xml:space="preserve"> show</w:t>
      </w:r>
      <w:r w:rsidR="00667C87">
        <w:rPr>
          <w:rFonts w:ascii="Arial" w:hAnsi="Arial" w:cs="Arial"/>
          <w:color w:val="auto"/>
          <w:sz w:val="20"/>
          <w:szCs w:val="20"/>
        </w:rPr>
        <w:t xml:space="preserve">ing that following the </w:t>
      </w:r>
      <w:r w:rsidR="00723D9A">
        <w:rPr>
          <w:rFonts w:ascii="Arial" w:hAnsi="Arial" w:cs="Arial"/>
          <w:color w:val="auto"/>
          <w:sz w:val="20"/>
          <w:szCs w:val="20"/>
        </w:rPr>
        <w:t>post-</w:t>
      </w:r>
      <w:r w:rsidR="00667C87">
        <w:rPr>
          <w:rFonts w:ascii="Arial" w:hAnsi="Arial" w:cs="Arial"/>
          <w:color w:val="auto"/>
          <w:sz w:val="20"/>
          <w:szCs w:val="20"/>
        </w:rPr>
        <w:t>vFFR</w:t>
      </w:r>
      <w:r w:rsidR="00723D9A">
        <w:rPr>
          <w:rFonts w:ascii="Arial" w:hAnsi="Arial" w:cs="Arial"/>
          <w:color w:val="auto"/>
          <w:sz w:val="20"/>
          <w:szCs w:val="20"/>
        </w:rPr>
        <w:t xml:space="preserve"> </w:t>
      </w:r>
      <w:r w:rsidR="00667C87">
        <w:rPr>
          <w:rFonts w:ascii="Arial" w:hAnsi="Arial" w:cs="Arial"/>
          <w:color w:val="auto"/>
          <w:sz w:val="20"/>
          <w:szCs w:val="20"/>
        </w:rPr>
        <w:t>plan</w:t>
      </w:r>
      <w:r w:rsidR="00723D9A">
        <w:rPr>
          <w:rFonts w:ascii="Arial" w:hAnsi="Arial" w:cs="Arial"/>
          <w:color w:val="auto"/>
          <w:sz w:val="20"/>
          <w:szCs w:val="20"/>
        </w:rPr>
        <w:t>s</w:t>
      </w:r>
      <w:r w:rsidR="00667C87">
        <w:rPr>
          <w:rFonts w:ascii="Arial" w:hAnsi="Arial" w:cs="Arial"/>
          <w:color w:val="auto"/>
          <w:sz w:val="20"/>
          <w:szCs w:val="20"/>
        </w:rPr>
        <w:t xml:space="preserve"> </w:t>
      </w:r>
      <w:r w:rsidR="00723D9A">
        <w:rPr>
          <w:rFonts w:ascii="Arial" w:hAnsi="Arial" w:cs="Arial"/>
          <w:color w:val="auto"/>
          <w:sz w:val="20"/>
          <w:szCs w:val="20"/>
        </w:rPr>
        <w:t xml:space="preserve">would have resulted in savings of £163 per person in ACS while it would lead to an extra spend of </w:t>
      </w:r>
      <w:r w:rsidR="0028163C">
        <w:rPr>
          <w:rFonts w:ascii="Arial" w:hAnsi="Arial" w:cs="Arial"/>
          <w:color w:val="auto"/>
          <w:sz w:val="20"/>
          <w:szCs w:val="20"/>
        </w:rPr>
        <w:t xml:space="preserve">£394 per person (equivalent to an overall extra spend of </w:t>
      </w:r>
      <w:r w:rsidR="00864DDB">
        <w:rPr>
          <w:rFonts w:ascii="Arial" w:hAnsi="Arial" w:cs="Arial"/>
          <w:color w:val="auto"/>
          <w:sz w:val="20"/>
          <w:szCs w:val="20"/>
        </w:rPr>
        <w:t>£59.9 person for the virtual change subset, n=65)</w:t>
      </w:r>
      <w:r w:rsidR="0075348E">
        <w:rPr>
          <w:rFonts w:ascii="Arial" w:hAnsi="Arial" w:cs="Arial"/>
          <w:color w:val="auto"/>
          <w:sz w:val="20"/>
          <w:szCs w:val="20"/>
        </w:rPr>
        <w:t>.</w:t>
      </w:r>
      <w:bookmarkEnd w:id="1341"/>
      <w:r>
        <w:rPr>
          <w:rFonts w:ascii="Arial" w:hAnsi="Arial" w:cs="Arial"/>
          <w:color w:val="auto"/>
          <w:sz w:val="20"/>
          <w:szCs w:val="20"/>
        </w:rPr>
        <w:t xml:space="preserve"> </w:t>
      </w:r>
      <w:bookmarkEnd w:id="1342"/>
      <w:bookmarkEnd w:id="1343"/>
      <w:bookmarkEnd w:id="1344"/>
      <w:bookmarkEnd w:id="1345"/>
    </w:p>
    <w:p w14:paraId="2BDFCFF3" w14:textId="77777777" w:rsidR="004942B6" w:rsidRDefault="004942B6" w:rsidP="004942B6">
      <w:pPr>
        <w:spacing w:line="360" w:lineRule="auto"/>
        <w:jc w:val="both"/>
        <w:rPr>
          <w:rFonts w:ascii="Arial" w:hAnsi="Arial" w:cs="Arial"/>
          <w:color w:val="4472C4" w:themeColor="accent1"/>
          <w:sz w:val="24"/>
          <w:szCs w:val="24"/>
        </w:rPr>
      </w:pPr>
    </w:p>
    <w:p w14:paraId="03F37B51" w14:textId="40B00401" w:rsidR="0075348E" w:rsidRPr="00242C1D" w:rsidRDefault="00CF324D" w:rsidP="0075348E">
      <w:pPr>
        <w:pStyle w:val="Heading3"/>
        <w:spacing w:line="360" w:lineRule="auto"/>
        <w:jc w:val="both"/>
        <w:rPr>
          <w:rFonts w:ascii="Arial" w:hAnsi="Arial" w:cs="Arial"/>
          <w:color w:val="4472C4" w:themeColor="accent1"/>
          <w:sz w:val="24"/>
          <w:szCs w:val="24"/>
        </w:rPr>
      </w:pPr>
      <w:bookmarkStart w:id="1346" w:name="_Toc159613631"/>
      <w:bookmarkStart w:id="1347" w:name="_Toc160981293"/>
      <w:bookmarkStart w:id="1348" w:name="_Toc170076096"/>
      <w:bookmarkStart w:id="1349" w:name="_Toc170577792"/>
      <w:bookmarkStart w:id="1350" w:name="_Toc171203168"/>
      <w:bookmarkStart w:id="1351" w:name="_Toc171203940"/>
      <w:r>
        <w:rPr>
          <w:rFonts w:ascii="Arial" w:hAnsi="Arial" w:cs="Arial"/>
          <w:color w:val="4472C4" w:themeColor="accent1"/>
          <w:sz w:val="24"/>
          <w:szCs w:val="24"/>
        </w:rPr>
        <w:t xml:space="preserve">3.6.4 </w:t>
      </w:r>
      <w:r w:rsidR="0075348E" w:rsidRPr="00242C1D">
        <w:rPr>
          <w:rFonts w:ascii="Arial" w:hAnsi="Arial" w:cs="Arial"/>
          <w:color w:val="4472C4" w:themeColor="accent1"/>
          <w:sz w:val="24"/>
          <w:szCs w:val="24"/>
        </w:rPr>
        <w:t xml:space="preserve">Comparison of the cost of actual outcomes </w:t>
      </w:r>
      <w:r w:rsidR="00E27C79">
        <w:rPr>
          <w:rFonts w:ascii="Arial" w:hAnsi="Arial" w:cs="Arial"/>
          <w:color w:val="4472C4" w:themeColor="accent1"/>
          <w:sz w:val="24"/>
          <w:szCs w:val="24"/>
        </w:rPr>
        <w:t>of</w:t>
      </w:r>
      <w:r w:rsidR="0075348E" w:rsidRPr="00242C1D">
        <w:rPr>
          <w:rFonts w:ascii="Arial" w:hAnsi="Arial" w:cs="Arial"/>
          <w:color w:val="4472C4" w:themeColor="accent1"/>
          <w:sz w:val="24"/>
          <w:szCs w:val="24"/>
        </w:rPr>
        <w:t xml:space="preserve"> the virtual change subset with that of patients without a virtual change in </w:t>
      </w:r>
      <w:bookmarkEnd w:id="1346"/>
      <w:bookmarkEnd w:id="1347"/>
      <w:bookmarkEnd w:id="1348"/>
      <w:r>
        <w:rPr>
          <w:rFonts w:ascii="Arial" w:hAnsi="Arial" w:cs="Arial"/>
          <w:color w:val="4472C4" w:themeColor="accent1"/>
          <w:sz w:val="24"/>
          <w:szCs w:val="24"/>
        </w:rPr>
        <w:t>treatment (according to parent cardiologists’ plans)</w:t>
      </w:r>
      <w:bookmarkEnd w:id="1349"/>
      <w:bookmarkEnd w:id="1350"/>
      <w:bookmarkEnd w:id="1351"/>
    </w:p>
    <w:p w14:paraId="2ECE97E3" w14:textId="0DE78B65" w:rsidR="0075348E" w:rsidRPr="005951D2" w:rsidRDefault="0075348E" w:rsidP="0075348E">
      <w:pPr>
        <w:spacing w:line="360" w:lineRule="auto"/>
        <w:jc w:val="both"/>
        <w:rPr>
          <w:rFonts w:ascii="Arial" w:hAnsi="Arial" w:cs="Arial"/>
          <w:sz w:val="24"/>
          <w:szCs w:val="24"/>
        </w:rPr>
      </w:pPr>
      <w:r w:rsidRPr="00E72085">
        <w:rPr>
          <w:rFonts w:ascii="Arial" w:hAnsi="Arial" w:cs="Arial"/>
          <w:sz w:val="24"/>
          <w:szCs w:val="24"/>
        </w:rPr>
        <w:t xml:space="preserve">The </w:t>
      </w:r>
      <w:r w:rsidR="00CF324D">
        <w:rPr>
          <w:rFonts w:ascii="Arial" w:hAnsi="Arial" w:cs="Arial"/>
          <w:sz w:val="24"/>
          <w:szCs w:val="24"/>
        </w:rPr>
        <w:t xml:space="preserve">total </w:t>
      </w:r>
      <w:r w:rsidRPr="00E72085">
        <w:rPr>
          <w:rFonts w:ascii="Arial" w:hAnsi="Arial" w:cs="Arial"/>
          <w:sz w:val="24"/>
          <w:szCs w:val="24"/>
        </w:rPr>
        <w:t xml:space="preserve">cost of the management plans for the </w:t>
      </w:r>
      <w:r>
        <w:rPr>
          <w:rFonts w:ascii="Arial" w:hAnsi="Arial" w:cs="Arial"/>
          <w:sz w:val="24"/>
          <w:szCs w:val="24"/>
        </w:rPr>
        <w:t>virtual change subset</w:t>
      </w:r>
      <w:r w:rsidRPr="00E72085">
        <w:rPr>
          <w:rFonts w:ascii="Arial" w:hAnsi="Arial" w:cs="Arial"/>
          <w:sz w:val="24"/>
          <w:szCs w:val="24"/>
        </w:rPr>
        <w:t xml:space="preserve"> </w:t>
      </w:r>
      <w:r>
        <w:rPr>
          <w:rFonts w:ascii="Arial" w:hAnsi="Arial" w:cs="Arial"/>
          <w:sz w:val="24"/>
          <w:szCs w:val="24"/>
        </w:rPr>
        <w:t xml:space="preserve">(n=65) </w:t>
      </w:r>
      <w:r w:rsidRPr="00E72085">
        <w:rPr>
          <w:rFonts w:ascii="Arial" w:hAnsi="Arial" w:cs="Arial"/>
          <w:sz w:val="24"/>
          <w:szCs w:val="24"/>
        </w:rPr>
        <w:t xml:space="preserve">and those without a virtual change in the management plans (n=201) </w:t>
      </w:r>
      <w:r>
        <w:rPr>
          <w:rFonts w:ascii="Arial" w:hAnsi="Arial" w:cs="Arial"/>
          <w:sz w:val="24"/>
          <w:szCs w:val="24"/>
        </w:rPr>
        <w:t>is shown</w:t>
      </w:r>
      <w:r w:rsidRPr="00E72085">
        <w:rPr>
          <w:rFonts w:ascii="Arial" w:hAnsi="Arial" w:cs="Arial"/>
          <w:sz w:val="24"/>
          <w:szCs w:val="24"/>
        </w:rPr>
        <w:t xml:space="preserve"> in</w:t>
      </w:r>
      <w:r>
        <w:rPr>
          <w:rFonts w:ascii="Arial" w:hAnsi="Arial" w:cs="Arial"/>
          <w:sz w:val="24"/>
          <w:szCs w:val="24"/>
        </w:rPr>
        <w:t xml:space="preserve"> F</w:t>
      </w:r>
      <w:r w:rsidRPr="00E72085">
        <w:rPr>
          <w:rFonts w:ascii="Arial" w:hAnsi="Arial" w:cs="Arial"/>
          <w:sz w:val="24"/>
          <w:szCs w:val="24"/>
        </w:rPr>
        <w:t xml:space="preserve">igure </w:t>
      </w:r>
      <w:r w:rsidR="001823B4">
        <w:rPr>
          <w:rFonts w:ascii="Arial" w:hAnsi="Arial" w:cs="Arial"/>
          <w:sz w:val="24"/>
          <w:szCs w:val="24"/>
        </w:rPr>
        <w:t>60</w:t>
      </w:r>
      <w:r>
        <w:rPr>
          <w:rFonts w:ascii="Arial" w:hAnsi="Arial" w:cs="Arial"/>
          <w:sz w:val="24"/>
          <w:szCs w:val="24"/>
        </w:rPr>
        <w:t>.</w:t>
      </w:r>
    </w:p>
    <w:p w14:paraId="46A5A18D" w14:textId="77777777" w:rsidR="0075348E" w:rsidRPr="00BF624A" w:rsidRDefault="0075348E" w:rsidP="0075348E">
      <w:pPr>
        <w:keepNext/>
      </w:pPr>
      <w:r>
        <w:rPr>
          <w:noProof/>
          <w:sz w:val="16"/>
          <w:szCs w:val="16"/>
          <w:lang w:eastAsia="en-GB"/>
        </w:rPr>
        <w:lastRenderedPageBreak/>
        <w:drawing>
          <wp:inline distT="0" distB="0" distL="0" distR="0" wp14:anchorId="31D368D9" wp14:editId="166A264D">
            <wp:extent cx="5819222" cy="4513811"/>
            <wp:effectExtent l="0" t="0" r="0" b="1270"/>
            <wp:docPr id="2121837471" name="Picture 1" descr="A graph with numbers and a black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37471" name="Picture 1" descr="A graph with numbers and a black rectangle"/>
                    <pic:cNvPicPr/>
                  </pic:nvPicPr>
                  <pic:blipFill rotWithShape="1">
                    <a:blip r:embed="rId90" cstate="print">
                      <a:extLst>
                        <a:ext uri="{28A0092B-C50C-407E-A947-70E740481C1C}">
                          <a14:useLocalDpi xmlns:a14="http://schemas.microsoft.com/office/drawing/2010/main" val="0"/>
                        </a:ext>
                      </a:extLst>
                    </a:blip>
                    <a:srcRect l="10152" r="10368" b="11926"/>
                    <a:stretch/>
                  </pic:blipFill>
                  <pic:spPr bwMode="auto">
                    <a:xfrm>
                      <a:off x="0" y="0"/>
                      <a:ext cx="5840646" cy="4530429"/>
                    </a:xfrm>
                    <a:prstGeom prst="rect">
                      <a:avLst/>
                    </a:prstGeom>
                    <a:ln>
                      <a:noFill/>
                    </a:ln>
                    <a:extLst>
                      <a:ext uri="{53640926-AAD7-44D8-BBD7-CCE9431645EC}">
                        <a14:shadowObscured xmlns:a14="http://schemas.microsoft.com/office/drawing/2010/main"/>
                      </a:ext>
                    </a:extLst>
                  </pic:spPr>
                </pic:pic>
              </a:graphicData>
            </a:graphic>
          </wp:inline>
        </w:drawing>
      </w:r>
      <w:bookmarkStart w:id="1352" w:name="_Toc151222865"/>
      <w:bookmarkStart w:id="1353" w:name="_Toc151626705"/>
      <w:bookmarkStart w:id="1354" w:name="_Toc152340501"/>
      <w:bookmarkStart w:id="1355" w:name="_Toc152492294"/>
    </w:p>
    <w:p w14:paraId="5B338001" w14:textId="193335C2" w:rsidR="0075348E" w:rsidRPr="00F06FA2" w:rsidRDefault="0075348E" w:rsidP="0075348E">
      <w:pPr>
        <w:pStyle w:val="Caption"/>
        <w:jc w:val="both"/>
        <w:rPr>
          <w:rFonts w:ascii="Arial" w:hAnsi="Arial" w:cs="Arial"/>
          <w:color w:val="auto"/>
          <w:sz w:val="20"/>
          <w:szCs w:val="20"/>
        </w:rPr>
      </w:pPr>
      <w:bookmarkStart w:id="1356" w:name="_Toc152596982"/>
      <w:bookmarkStart w:id="1357" w:name="_Toc153409689"/>
      <w:bookmarkStart w:id="1358" w:name="_Toc153724936"/>
      <w:bookmarkStart w:id="1359" w:name="_Toc159318530"/>
      <w:bookmarkStart w:id="1360" w:name="_Toc159612057"/>
      <w:bookmarkStart w:id="1361" w:name="_Toc160982708"/>
      <w:bookmarkStart w:id="1362" w:name="_Toc164697534"/>
      <w:bookmarkStart w:id="1363" w:name="_Toc170744620"/>
      <w:bookmarkStart w:id="1364" w:name="_Toc196153252"/>
      <w:r w:rsidRPr="00383BDE">
        <w:rPr>
          <w:rFonts w:ascii="Arial" w:hAnsi="Arial" w:cs="Arial"/>
          <w:b/>
          <w:bCs/>
          <w:color w:val="auto"/>
          <w:sz w:val="20"/>
          <w:szCs w:val="20"/>
        </w:rPr>
        <w:t xml:space="preserve">Figure </w:t>
      </w:r>
      <w:r w:rsidRPr="00383BDE">
        <w:rPr>
          <w:rFonts w:ascii="Arial" w:hAnsi="Arial" w:cs="Arial"/>
          <w:b/>
          <w:bCs/>
          <w:color w:val="auto"/>
          <w:sz w:val="20"/>
          <w:szCs w:val="20"/>
        </w:rPr>
        <w:fldChar w:fldCharType="begin"/>
      </w:r>
      <w:r w:rsidRPr="00383BDE">
        <w:rPr>
          <w:rFonts w:ascii="Arial" w:hAnsi="Arial" w:cs="Arial"/>
          <w:b/>
          <w:bCs/>
          <w:color w:val="auto"/>
          <w:sz w:val="20"/>
          <w:szCs w:val="20"/>
        </w:rPr>
        <w:instrText xml:space="preserve"> SEQ Figure \* ARABIC </w:instrText>
      </w:r>
      <w:r w:rsidRPr="00383BDE">
        <w:rPr>
          <w:rFonts w:ascii="Arial" w:hAnsi="Arial" w:cs="Arial"/>
          <w:b/>
          <w:bCs/>
          <w:color w:val="auto"/>
          <w:sz w:val="20"/>
          <w:szCs w:val="20"/>
        </w:rPr>
        <w:fldChar w:fldCharType="separate"/>
      </w:r>
      <w:r w:rsidR="001823B4">
        <w:rPr>
          <w:rFonts w:ascii="Arial" w:hAnsi="Arial" w:cs="Arial"/>
          <w:b/>
          <w:bCs/>
          <w:noProof/>
          <w:color w:val="auto"/>
          <w:sz w:val="20"/>
          <w:szCs w:val="20"/>
        </w:rPr>
        <w:t>60</w:t>
      </w:r>
      <w:r w:rsidRPr="00383BDE">
        <w:rPr>
          <w:rFonts w:ascii="Arial" w:hAnsi="Arial" w:cs="Arial"/>
          <w:b/>
          <w:bCs/>
          <w:color w:val="auto"/>
          <w:sz w:val="20"/>
          <w:szCs w:val="20"/>
        </w:rPr>
        <w:fldChar w:fldCharType="end"/>
      </w:r>
      <w:r w:rsidRPr="00F06FA2">
        <w:rPr>
          <w:rFonts w:ascii="Arial" w:hAnsi="Arial" w:cs="Arial"/>
          <w:color w:val="auto"/>
          <w:sz w:val="20"/>
          <w:szCs w:val="20"/>
        </w:rPr>
        <w:t xml:space="preserve">: Comparison of the cost of </w:t>
      </w:r>
      <w:r>
        <w:rPr>
          <w:rFonts w:ascii="Arial" w:hAnsi="Arial" w:cs="Arial"/>
          <w:color w:val="auto"/>
          <w:sz w:val="20"/>
          <w:szCs w:val="20"/>
        </w:rPr>
        <w:t>“</w:t>
      </w:r>
      <w:r w:rsidRPr="00F06FA2">
        <w:rPr>
          <w:rFonts w:ascii="Arial" w:hAnsi="Arial" w:cs="Arial"/>
          <w:color w:val="auto"/>
          <w:sz w:val="20"/>
          <w:szCs w:val="20"/>
        </w:rPr>
        <w:t>actual</w:t>
      </w:r>
      <w:r>
        <w:rPr>
          <w:rFonts w:ascii="Arial" w:hAnsi="Arial" w:cs="Arial"/>
          <w:color w:val="auto"/>
          <w:sz w:val="20"/>
          <w:szCs w:val="20"/>
        </w:rPr>
        <w:t>”</w:t>
      </w:r>
      <w:r w:rsidRPr="00F06FA2">
        <w:rPr>
          <w:rFonts w:ascii="Arial" w:hAnsi="Arial" w:cs="Arial"/>
          <w:color w:val="auto"/>
          <w:sz w:val="20"/>
          <w:szCs w:val="20"/>
        </w:rPr>
        <w:t xml:space="preserve"> outcome</w:t>
      </w:r>
      <w:r>
        <w:rPr>
          <w:rFonts w:ascii="Arial" w:hAnsi="Arial" w:cs="Arial"/>
          <w:color w:val="auto"/>
          <w:sz w:val="20"/>
          <w:szCs w:val="20"/>
        </w:rPr>
        <w:t>s</w:t>
      </w:r>
      <w:r w:rsidRPr="00F06FA2">
        <w:rPr>
          <w:rFonts w:ascii="Arial" w:hAnsi="Arial" w:cs="Arial"/>
          <w:color w:val="auto"/>
          <w:sz w:val="20"/>
          <w:szCs w:val="20"/>
        </w:rPr>
        <w:t xml:space="preserve"> </w:t>
      </w:r>
      <w:r>
        <w:rPr>
          <w:rFonts w:ascii="Arial" w:hAnsi="Arial" w:cs="Arial"/>
          <w:color w:val="auto"/>
          <w:sz w:val="20"/>
          <w:szCs w:val="20"/>
        </w:rPr>
        <w:t>in</w:t>
      </w:r>
      <w:r w:rsidRPr="00F06FA2">
        <w:rPr>
          <w:rFonts w:ascii="Arial" w:hAnsi="Arial" w:cs="Arial"/>
          <w:color w:val="auto"/>
          <w:sz w:val="20"/>
          <w:szCs w:val="20"/>
        </w:rPr>
        <w:t xml:space="preserve"> the </w:t>
      </w:r>
      <w:r>
        <w:rPr>
          <w:rFonts w:ascii="Arial" w:hAnsi="Arial" w:cs="Arial"/>
          <w:color w:val="auto"/>
          <w:sz w:val="20"/>
          <w:szCs w:val="20"/>
        </w:rPr>
        <w:t>virtual change subset</w:t>
      </w:r>
      <w:r w:rsidRPr="00F06FA2">
        <w:rPr>
          <w:rFonts w:ascii="Arial" w:hAnsi="Arial" w:cs="Arial"/>
          <w:color w:val="auto"/>
          <w:sz w:val="20"/>
          <w:szCs w:val="20"/>
        </w:rPr>
        <w:t xml:space="preserve"> </w:t>
      </w:r>
      <w:r>
        <w:rPr>
          <w:rFonts w:ascii="Arial" w:hAnsi="Arial" w:cs="Arial"/>
          <w:color w:val="auto"/>
          <w:sz w:val="20"/>
          <w:szCs w:val="20"/>
        </w:rPr>
        <w:t>with patients</w:t>
      </w:r>
      <w:r w:rsidRPr="00F06FA2">
        <w:rPr>
          <w:rFonts w:ascii="Arial" w:hAnsi="Arial" w:cs="Arial"/>
          <w:color w:val="auto"/>
          <w:sz w:val="20"/>
          <w:szCs w:val="20"/>
        </w:rPr>
        <w:t xml:space="preserve"> without a virtual change in management</w:t>
      </w:r>
      <w:bookmarkEnd w:id="1352"/>
      <w:bookmarkEnd w:id="1353"/>
      <w:bookmarkEnd w:id="1354"/>
      <w:bookmarkEnd w:id="1355"/>
      <w:bookmarkEnd w:id="1356"/>
      <w:bookmarkEnd w:id="1357"/>
      <w:bookmarkEnd w:id="1358"/>
      <w:bookmarkEnd w:id="1359"/>
      <w:bookmarkEnd w:id="1360"/>
      <w:bookmarkEnd w:id="1361"/>
      <w:bookmarkEnd w:id="1362"/>
      <w:bookmarkEnd w:id="1363"/>
      <w:bookmarkEnd w:id="1364"/>
    </w:p>
    <w:p w14:paraId="61C281C6" w14:textId="77777777" w:rsidR="0075348E" w:rsidRDefault="0075348E" w:rsidP="0075348E">
      <w:pPr>
        <w:jc w:val="both"/>
        <w:rPr>
          <w:color w:val="000000" w:themeColor="text1"/>
        </w:rPr>
      </w:pPr>
    </w:p>
    <w:p w14:paraId="7DF979D8" w14:textId="75BB2C26" w:rsidR="0075348E" w:rsidRPr="00242C1D" w:rsidRDefault="0075348E" w:rsidP="0075348E">
      <w:pPr>
        <w:pStyle w:val="Heading3"/>
        <w:spacing w:line="360" w:lineRule="auto"/>
        <w:jc w:val="both"/>
        <w:rPr>
          <w:rFonts w:ascii="Arial" w:hAnsi="Arial" w:cs="Arial"/>
          <w:color w:val="4472C4" w:themeColor="accent1"/>
          <w:sz w:val="24"/>
          <w:szCs w:val="24"/>
        </w:rPr>
      </w:pPr>
      <w:bookmarkStart w:id="1365" w:name="_Toc159613632"/>
      <w:bookmarkStart w:id="1366" w:name="_Toc160981294"/>
      <w:bookmarkStart w:id="1367" w:name="_Toc170076097"/>
      <w:bookmarkStart w:id="1368" w:name="_Toc170577793"/>
      <w:bookmarkStart w:id="1369" w:name="_Toc171203169"/>
      <w:bookmarkStart w:id="1370" w:name="_Toc171203941"/>
      <w:r w:rsidRPr="00242C1D">
        <w:rPr>
          <w:rFonts w:ascii="Arial" w:hAnsi="Arial" w:cs="Arial"/>
          <w:color w:val="4472C4" w:themeColor="accent1"/>
          <w:sz w:val="24"/>
          <w:szCs w:val="24"/>
        </w:rPr>
        <w:t>3.</w:t>
      </w:r>
      <w:r>
        <w:rPr>
          <w:rFonts w:ascii="Arial" w:hAnsi="Arial" w:cs="Arial"/>
          <w:color w:val="4472C4" w:themeColor="accent1"/>
          <w:sz w:val="24"/>
          <w:szCs w:val="24"/>
        </w:rPr>
        <w:t>6</w:t>
      </w:r>
      <w:r w:rsidRPr="00242C1D">
        <w:rPr>
          <w:rFonts w:ascii="Arial" w:hAnsi="Arial" w:cs="Arial"/>
          <w:color w:val="4472C4" w:themeColor="accent1"/>
          <w:sz w:val="24"/>
          <w:szCs w:val="24"/>
        </w:rPr>
        <w:t>.</w:t>
      </w:r>
      <w:r w:rsidR="00CF324D">
        <w:rPr>
          <w:rFonts w:ascii="Arial" w:hAnsi="Arial" w:cs="Arial"/>
          <w:color w:val="4472C4" w:themeColor="accent1"/>
          <w:sz w:val="24"/>
          <w:szCs w:val="24"/>
        </w:rPr>
        <w:t>5</w:t>
      </w:r>
      <w:r w:rsidRPr="00242C1D">
        <w:rPr>
          <w:rFonts w:ascii="Arial" w:hAnsi="Arial" w:cs="Arial"/>
          <w:color w:val="4472C4" w:themeColor="accent1"/>
          <w:sz w:val="24"/>
          <w:szCs w:val="24"/>
        </w:rPr>
        <w:t xml:space="preserve"> Comparison of the mean cost per patient in the virtual change subset, according to the management plans (OMT, PCI, CABG)</w:t>
      </w:r>
      <w:bookmarkEnd w:id="1365"/>
      <w:bookmarkEnd w:id="1366"/>
      <w:bookmarkEnd w:id="1367"/>
      <w:bookmarkEnd w:id="1368"/>
      <w:bookmarkEnd w:id="1369"/>
      <w:bookmarkEnd w:id="1370"/>
    </w:p>
    <w:p w14:paraId="66C44967" w14:textId="2A366393" w:rsidR="0075348E" w:rsidRDefault="0075348E" w:rsidP="0075348E">
      <w:pPr>
        <w:spacing w:line="360" w:lineRule="auto"/>
        <w:jc w:val="both"/>
        <w:rPr>
          <w:rFonts w:ascii="Arial" w:hAnsi="Arial" w:cs="Arial"/>
          <w:sz w:val="24"/>
          <w:szCs w:val="24"/>
        </w:rPr>
      </w:pPr>
      <w:r w:rsidRPr="00AB3272">
        <w:rPr>
          <w:rFonts w:ascii="Arial" w:hAnsi="Arial" w:cs="Arial"/>
          <w:sz w:val="24"/>
          <w:szCs w:val="24"/>
        </w:rPr>
        <w:t xml:space="preserve">In the </w:t>
      </w:r>
      <w:r>
        <w:rPr>
          <w:rFonts w:ascii="Arial" w:hAnsi="Arial" w:cs="Arial"/>
          <w:sz w:val="24"/>
          <w:szCs w:val="24"/>
        </w:rPr>
        <w:t>ACS</w:t>
      </w:r>
      <w:r w:rsidRPr="00AB3272">
        <w:rPr>
          <w:rFonts w:ascii="Arial" w:hAnsi="Arial" w:cs="Arial"/>
          <w:sz w:val="24"/>
          <w:szCs w:val="24"/>
        </w:rPr>
        <w:t xml:space="preserve"> </w:t>
      </w:r>
      <w:r>
        <w:rPr>
          <w:rFonts w:ascii="Arial" w:hAnsi="Arial" w:cs="Arial"/>
          <w:sz w:val="24"/>
          <w:szCs w:val="24"/>
        </w:rPr>
        <w:t>group</w:t>
      </w:r>
      <w:r w:rsidRPr="00AB3272">
        <w:rPr>
          <w:rFonts w:ascii="Arial" w:hAnsi="Arial" w:cs="Arial"/>
          <w:sz w:val="24"/>
          <w:szCs w:val="24"/>
        </w:rPr>
        <w:t xml:space="preserve">, vFFR would </w:t>
      </w:r>
      <w:r>
        <w:rPr>
          <w:rFonts w:ascii="Arial" w:hAnsi="Arial" w:cs="Arial"/>
          <w:sz w:val="24"/>
          <w:szCs w:val="24"/>
        </w:rPr>
        <w:t xml:space="preserve">have </w:t>
      </w:r>
      <w:r w:rsidRPr="00AB3272">
        <w:rPr>
          <w:rFonts w:ascii="Arial" w:hAnsi="Arial" w:cs="Arial"/>
          <w:sz w:val="24"/>
          <w:szCs w:val="24"/>
        </w:rPr>
        <w:t>reduce</w:t>
      </w:r>
      <w:r>
        <w:rPr>
          <w:rFonts w:ascii="Arial" w:hAnsi="Arial" w:cs="Arial"/>
          <w:sz w:val="24"/>
          <w:szCs w:val="24"/>
        </w:rPr>
        <w:t>d</w:t>
      </w:r>
      <w:r w:rsidRPr="00AB3272">
        <w:rPr>
          <w:rFonts w:ascii="Arial" w:hAnsi="Arial" w:cs="Arial"/>
          <w:sz w:val="24"/>
          <w:szCs w:val="24"/>
        </w:rPr>
        <w:t xml:space="preserve"> the cost per patient in the OMT-treated patients by £438 </w:t>
      </w:r>
      <w:bookmarkStart w:id="1371" w:name="OLE_LINK1"/>
      <w:r w:rsidRPr="00AB3272">
        <w:rPr>
          <w:rFonts w:ascii="Arial" w:hAnsi="Arial" w:cs="Arial"/>
          <w:sz w:val="24"/>
          <w:szCs w:val="24"/>
        </w:rPr>
        <w:t xml:space="preserve">± </w:t>
      </w:r>
      <w:bookmarkEnd w:id="1371"/>
      <w:r w:rsidRPr="00AB3272">
        <w:rPr>
          <w:rFonts w:ascii="Arial" w:hAnsi="Arial" w:cs="Arial"/>
          <w:sz w:val="24"/>
          <w:szCs w:val="24"/>
        </w:rPr>
        <w:t xml:space="preserve">590 (by reducing the number of invasive FFRs performed). However, in the PCI-treated patients, it would have increased the cost per patient, either by additional vessel stenting or increasing the number of stents per vessel (£802 ± 765). </w:t>
      </w:r>
      <w:r w:rsidRPr="00DB1CBC">
        <w:rPr>
          <w:rFonts w:ascii="Arial" w:hAnsi="Arial" w:cs="Arial"/>
          <w:sz w:val="24"/>
          <w:szCs w:val="24"/>
        </w:rPr>
        <w:t>In CABG-treated patients, vFFR would have reduced the number of grafts needed by non-invasively providing the physiological significance of lesions, hence avoiding invasive mFFR and saving the pressure wire cost (£586).</w:t>
      </w:r>
      <w:r>
        <w:rPr>
          <w:rFonts w:ascii="Arial" w:hAnsi="Arial" w:cs="Arial"/>
          <w:sz w:val="24"/>
          <w:szCs w:val="24"/>
        </w:rPr>
        <w:t xml:space="preserve"> I</w:t>
      </w:r>
      <w:r w:rsidRPr="00AB3272">
        <w:rPr>
          <w:rFonts w:ascii="Arial" w:hAnsi="Arial" w:cs="Arial"/>
          <w:sz w:val="24"/>
          <w:szCs w:val="24"/>
        </w:rPr>
        <w:t>n the CCS</w:t>
      </w:r>
      <w:r>
        <w:rPr>
          <w:rFonts w:ascii="Arial" w:hAnsi="Arial" w:cs="Arial"/>
          <w:sz w:val="24"/>
          <w:szCs w:val="24"/>
        </w:rPr>
        <w:t xml:space="preserve"> group</w:t>
      </w:r>
      <w:r w:rsidRPr="00AB3272">
        <w:rPr>
          <w:rFonts w:ascii="Arial" w:hAnsi="Arial" w:cs="Arial"/>
          <w:sz w:val="24"/>
          <w:szCs w:val="24"/>
        </w:rPr>
        <w:t xml:space="preserve">, vFFR would increase the </w:t>
      </w:r>
      <w:r>
        <w:rPr>
          <w:rFonts w:ascii="Arial" w:hAnsi="Arial" w:cs="Arial"/>
          <w:sz w:val="24"/>
          <w:szCs w:val="24"/>
        </w:rPr>
        <w:t xml:space="preserve">cost per </w:t>
      </w:r>
      <w:r w:rsidRPr="00AB3272">
        <w:rPr>
          <w:rFonts w:ascii="Arial" w:hAnsi="Arial" w:cs="Arial"/>
          <w:sz w:val="24"/>
          <w:szCs w:val="24"/>
        </w:rPr>
        <w:t>patient</w:t>
      </w:r>
      <w:r>
        <w:rPr>
          <w:rFonts w:ascii="Arial" w:hAnsi="Arial" w:cs="Arial"/>
          <w:sz w:val="24"/>
          <w:szCs w:val="24"/>
        </w:rPr>
        <w:t xml:space="preserve"> in the OMT-treated patients by recommending more</w:t>
      </w:r>
      <w:r w:rsidRPr="00AB3272">
        <w:rPr>
          <w:rFonts w:ascii="Arial" w:hAnsi="Arial" w:cs="Arial"/>
          <w:sz w:val="24"/>
          <w:szCs w:val="24"/>
        </w:rPr>
        <w:t xml:space="preserve"> PCI, therefore increasing the cost by £1047 ± 41.4. In the PCI-treated patients, the cost </w:t>
      </w:r>
      <w:r>
        <w:rPr>
          <w:rFonts w:ascii="Arial" w:hAnsi="Arial" w:cs="Arial"/>
          <w:sz w:val="24"/>
          <w:szCs w:val="24"/>
        </w:rPr>
        <w:t>w</w:t>
      </w:r>
      <w:r w:rsidRPr="00AB3272">
        <w:rPr>
          <w:rFonts w:ascii="Arial" w:hAnsi="Arial" w:cs="Arial"/>
          <w:sz w:val="24"/>
          <w:szCs w:val="24"/>
        </w:rPr>
        <w:t xml:space="preserve">ould increase by £521 ± 32 </w:t>
      </w:r>
      <w:r>
        <w:rPr>
          <w:rFonts w:ascii="Arial" w:hAnsi="Arial" w:cs="Arial"/>
          <w:sz w:val="24"/>
          <w:szCs w:val="24"/>
        </w:rPr>
        <w:t>by</w:t>
      </w:r>
      <w:r w:rsidRPr="00AB3272">
        <w:rPr>
          <w:rFonts w:ascii="Arial" w:hAnsi="Arial" w:cs="Arial"/>
          <w:sz w:val="24"/>
          <w:szCs w:val="24"/>
        </w:rPr>
        <w:t xml:space="preserve"> increasing the number of vessels to be treated with stents. In the CABG</w:t>
      </w:r>
      <w:r>
        <w:rPr>
          <w:rFonts w:ascii="Arial" w:hAnsi="Arial" w:cs="Arial"/>
          <w:sz w:val="24"/>
          <w:szCs w:val="24"/>
        </w:rPr>
        <w:t xml:space="preserve"> group</w:t>
      </w:r>
      <w:r w:rsidRPr="00AB3272">
        <w:rPr>
          <w:rFonts w:ascii="Arial" w:hAnsi="Arial" w:cs="Arial"/>
          <w:sz w:val="24"/>
          <w:szCs w:val="24"/>
        </w:rPr>
        <w:t xml:space="preserve">, the cost per patient would </w:t>
      </w:r>
      <w:r w:rsidRPr="00AB3272">
        <w:rPr>
          <w:rFonts w:ascii="Arial" w:hAnsi="Arial" w:cs="Arial"/>
          <w:sz w:val="24"/>
          <w:szCs w:val="24"/>
        </w:rPr>
        <w:lastRenderedPageBreak/>
        <w:t xml:space="preserve">decrease by £2919 by reducing the number of grafts needed. The comparison of the mean “actual” and “virtual” cost per patient of the ACS and CCS patients from the </w:t>
      </w:r>
      <w:r>
        <w:rPr>
          <w:rFonts w:ascii="Arial" w:hAnsi="Arial" w:cs="Arial"/>
          <w:sz w:val="24"/>
          <w:szCs w:val="24"/>
        </w:rPr>
        <w:t>virtual change subset</w:t>
      </w:r>
      <w:r w:rsidRPr="00AB3272">
        <w:rPr>
          <w:rFonts w:ascii="Arial" w:hAnsi="Arial" w:cs="Arial"/>
          <w:sz w:val="24"/>
          <w:szCs w:val="24"/>
        </w:rPr>
        <w:t xml:space="preserve"> </w:t>
      </w:r>
      <w:r>
        <w:rPr>
          <w:rFonts w:ascii="Arial" w:hAnsi="Arial" w:cs="Arial"/>
          <w:sz w:val="24"/>
          <w:szCs w:val="24"/>
        </w:rPr>
        <w:t>is</w:t>
      </w:r>
      <w:r w:rsidRPr="00AB3272">
        <w:rPr>
          <w:rFonts w:ascii="Arial" w:hAnsi="Arial" w:cs="Arial"/>
          <w:sz w:val="24"/>
          <w:szCs w:val="24"/>
        </w:rPr>
        <w:t xml:space="preserve"> shown in Figure </w:t>
      </w:r>
      <w:r w:rsidR="001823B4">
        <w:rPr>
          <w:rFonts w:ascii="Arial" w:hAnsi="Arial" w:cs="Arial"/>
          <w:sz w:val="24"/>
          <w:szCs w:val="24"/>
        </w:rPr>
        <w:t>61</w:t>
      </w:r>
      <w:r>
        <w:rPr>
          <w:rFonts w:ascii="Arial" w:hAnsi="Arial" w:cs="Arial"/>
          <w:sz w:val="24"/>
          <w:szCs w:val="24"/>
        </w:rPr>
        <w:t>.</w:t>
      </w:r>
    </w:p>
    <w:p w14:paraId="1340F107" w14:textId="77777777" w:rsidR="0075348E" w:rsidRPr="009A7AE4" w:rsidRDefault="0075348E" w:rsidP="0075348E">
      <w:pPr>
        <w:spacing w:line="360" w:lineRule="auto"/>
        <w:jc w:val="both"/>
        <w:rPr>
          <w:rFonts w:ascii="Arial" w:hAnsi="Arial" w:cs="Arial"/>
          <w:sz w:val="24"/>
          <w:szCs w:val="24"/>
        </w:rPr>
      </w:pPr>
    </w:p>
    <w:p w14:paraId="3D6B4FA4" w14:textId="77777777" w:rsidR="0075348E" w:rsidRDefault="0075348E" w:rsidP="0075348E">
      <w:pPr>
        <w:keepNext/>
      </w:pPr>
      <w:r>
        <w:rPr>
          <w:noProof/>
          <w:sz w:val="16"/>
          <w:szCs w:val="16"/>
          <w:lang w:eastAsia="en-GB"/>
        </w:rPr>
        <w:drawing>
          <wp:inline distT="0" distB="0" distL="0" distR="0" wp14:anchorId="014C06CF" wp14:editId="5CADD477">
            <wp:extent cx="6069049" cy="4227095"/>
            <wp:effectExtent l="0" t="0" r="8255" b="0"/>
            <wp:docPr id="2134664193" name="Picture 213466419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664193" name="Picture 3" descr="A screenshot of a computer&#10;&#10;Description automatically generated"/>
                    <pic:cNvPicPr/>
                  </pic:nvPicPr>
                  <pic:blipFill rotWithShape="1">
                    <a:blip r:embed="rId91" cstate="print">
                      <a:extLst>
                        <a:ext uri="{BEBA8EAE-BF5A-486C-A8C5-ECC9F3942E4B}">
                          <a14:imgProps xmlns:a14="http://schemas.microsoft.com/office/drawing/2010/main">
                            <a14:imgLayer r:embed="rId9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459" t="2399" r="3717" b="7227"/>
                    <a:stretch/>
                  </pic:blipFill>
                  <pic:spPr bwMode="auto">
                    <a:xfrm>
                      <a:off x="0" y="0"/>
                      <a:ext cx="6074284" cy="4230741"/>
                    </a:xfrm>
                    <a:prstGeom prst="rect">
                      <a:avLst/>
                    </a:prstGeom>
                    <a:ln>
                      <a:noFill/>
                    </a:ln>
                    <a:extLst>
                      <a:ext uri="{53640926-AAD7-44D8-BBD7-CCE9431645EC}">
                        <a14:shadowObscured xmlns:a14="http://schemas.microsoft.com/office/drawing/2010/main"/>
                      </a:ext>
                    </a:extLst>
                  </pic:spPr>
                </pic:pic>
              </a:graphicData>
            </a:graphic>
          </wp:inline>
        </w:drawing>
      </w:r>
    </w:p>
    <w:p w14:paraId="58DB25F6" w14:textId="1E9389B9" w:rsidR="0075348E" w:rsidRPr="00F06FA2" w:rsidRDefault="0075348E" w:rsidP="0075348E">
      <w:pPr>
        <w:pStyle w:val="Caption"/>
        <w:jc w:val="both"/>
        <w:rPr>
          <w:rFonts w:ascii="Arial" w:hAnsi="Arial" w:cs="Arial"/>
          <w:color w:val="auto"/>
          <w:sz w:val="20"/>
          <w:szCs w:val="20"/>
        </w:rPr>
      </w:pPr>
      <w:bookmarkStart w:id="1372" w:name="_Toc151222866"/>
      <w:bookmarkStart w:id="1373" w:name="_Toc151626706"/>
      <w:bookmarkStart w:id="1374" w:name="_Toc152340502"/>
      <w:bookmarkStart w:id="1375" w:name="_Toc152492295"/>
      <w:bookmarkStart w:id="1376" w:name="_Toc152596983"/>
      <w:bookmarkStart w:id="1377" w:name="_Toc153409690"/>
      <w:bookmarkStart w:id="1378" w:name="_Toc153724937"/>
      <w:bookmarkStart w:id="1379" w:name="_Toc159318531"/>
      <w:bookmarkStart w:id="1380" w:name="_Toc159612058"/>
      <w:bookmarkStart w:id="1381" w:name="_Toc160982709"/>
      <w:bookmarkStart w:id="1382" w:name="_Toc164697535"/>
      <w:bookmarkStart w:id="1383" w:name="_Toc170744621"/>
      <w:bookmarkStart w:id="1384" w:name="_Toc196153253"/>
      <w:r w:rsidRPr="00383BDE">
        <w:rPr>
          <w:rFonts w:ascii="Arial" w:hAnsi="Arial" w:cs="Arial"/>
          <w:b/>
          <w:bCs/>
          <w:color w:val="auto"/>
          <w:sz w:val="20"/>
          <w:szCs w:val="20"/>
        </w:rPr>
        <w:t xml:space="preserve">Figure </w:t>
      </w:r>
      <w:r w:rsidRPr="00383BDE">
        <w:rPr>
          <w:rFonts w:ascii="Arial" w:hAnsi="Arial" w:cs="Arial"/>
          <w:b/>
          <w:bCs/>
          <w:color w:val="auto"/>
          <w:sz w:val="20"/>
          <w:szCs w:val="20"/>
        </w:rPr>
        <w:fldChar w:fldCharType="begin"/>
      </w:r>
      <w:r w:rsidRPr="00383BDE">
        <w:rPr>
          <w:rFonts w:ascii="Arial" w:hAnsi="Arial" w:cs="Arial"/>
          <w:b/>
          <w:bCs/>
          <w:color w:val="auto"/>
          <w:sz w:val="20"/>
          <w:szCs w:val="20"/>
        </w:rPr>
        <w:instrText xml:space="preserve"> SEQ Figure \* ARABIC </w:instrText>
      </w:r>
      <w:r w:rsidRPr="00383BDE">
        <w:rPr>
          <w:rFonts w:ascii="Arial" w:hAnsi="Arial" w:cs="Arial"/>
          <w:b/>
          <w:bCs/>
          <w:color w:val="auto"/>
          <w:sz w:val="20"/>
          <w:szCs w:val="20"/>
        </w:rPr>
        <w:fldChar w:fldCharType="separate"/>
      </w:r>
      <w:r w:rsidR="001823B4">
        <w:rPr>
          <w:rFonts w:ascii="Arial" w:hAnsi="Arial" w:cs="Arial"/>
          <w:b/>
          <w:bCs/>
          <w:noProof/>
          <w:color w:val="auto"/>
          <w:sz w:val="20"/>
          <w:szCs w:val="20"/>
        </w:rPr>
        <w:t>61</w:t>
      </w:r>
      <w:r w:rsidRPr="00383BDE">
        <w:rPr>
          <w:rFonts w:ascii="Arial" w:hAnsi="Arial" w:cs="Arial"/>
          <w:b/>
          <w:bCs/>
          <w:color w:val="auto"/>
          <w:sz w:val="20"/>
          <w:szCs w:val="20"/>
        </w:rPr>
        <w:fldChar w:fldCharType="end"/>
      </w:r>
      <w:r w:rsidRPr="00F06FA2">
        <w:rPr>
          <w:rFonts w:ascii="Arial" w:hAnsi="Arial" w:cs="Arial"/>
          <w:color w:val="auto"/>
          <w:sz w:val="20"/>
          <w:szCs w:val="20"/>
        </w:rPr>
        <w:t>: Comparison of the "</w:t>
      </w:r>
      <w:r>
        <w:rPr>
          <w:rFonts w:ascii="Arial" w:hAnsi="Arial" w:cs="Arial"/>
          <w:color w:val="auto"/>
          <w:sz w:val="20"/>
          <w:szCs w:val="20"/>
        </w:rPr>
        <w:t>a</w:t>
      </w:r>
      <w:r w:rsidRPr="00F06FA2">
        <w:rPr>
          <w:rFonts w:ascii="Arial" w:hAnsi="Arial" w:cs="Arial"/>
          <w:color w:val="auto"/>
          <w:sz w:val="20"/>
          <w:szCs w:val="20"/>
        </w:rPr>
        <w:t>ctual" and "</w:t>
      </w:r>
      <w:r>
        <w:rPr>
          <w:rFonts w:ascii="Arial" w:hAnsi="Arial" w:cs="Arial"/>
          <w:color w:val="auto"/>
          <w:sz w:val="20"/>
          <w:szCs w:val="20"/>
        </w:rPr>
        <w:t>v</w:t>
      </w:r>
      <w:r w:rsidRPr="00F06FA2">
        <w:rPr>
          <w:rFonts w:ascii="Arial" w:hAnsi="Arial" w:cs="Arial"/>
          <w:color w:val="auto"/>
          <w:sz w:val="20"/>
          <w:szCs w:val="20"/>
        </w:rPr>
        <w:t xml:space="preserve">irtual" </w:t>
      </w:r>
      <w:r>
        <w:rPr>
          <w:rFonts w:ascii="Arial" w:hAnsi="Arial" w:cs="Arial"/>
          <w:color w:val="auto"/>
          <w:sz w:val="20"/>
          <w:szCs w:val="20"/>
        </w:rPr>
        <w:t xml:space="preserve">mean </w:t>
      </w:r>
      <w:r w:rsidRPr="00F06FA2">
        <w:rPr>
          <w:rFonts w:ascii="Arial" w:hAnsi="Arial" w:cs="Arial"/>
          <w:color w:val="auto"/>
          <w:sz w:val="20"/>
          <w:szCs w:val="20"/>
        </w:rPr>
        <w:t>cost per patient</w:t>
      </w:r>
      <w:r>
        <w:rPr>
          <w:rFonts w:ascii="Arial" w:hAnsi="Arial" w:cs="Arial"/>
          <w:color w:val="auto"/>
          <w:sz w:val="20"/>
          <w:szCs w:val="20"/>
        </w:rPr>
        <w:t xml:space="preserve"> </w:t>
      </w:r>
      <w:r w:rsidR="003B7EAE">
        <w:rPr>
          <w:rFonts w:ascii="Arial" w:hAnsi="Arial" w:cs="Arial"/>
          <w:color w:val="auto"/>
          <w:sz w:val="20"/>
          <w:szCs w:val="20"/>
        </w:rPr>
        <w:t>with</w:t>
      </w:r>
      <w:r>
        <w:rPr>
          <w:rFonts w:ascii="Arial" w:hAnsi="Arial" w:cs="Arial"/>
          <w:color w:val="auto"/>
          <w:sz w:val="20"/>
          <w:szCs w:val="20"/>
        </w:rPr>
        <w:t>in the virtual change subset according to</w:t>
      </w:r>
      <w:r w:rsidRPr="00F06FA2">
        <w:rPr>
          <w:rFonts w:ascii="Arial" w:hAnsi="Arial" w:cs="Arial"/>
          <w:color w:val="auto"/>
          <w:sz w:val="20"/>
          <w:szCs w:val="20"/>
        </w:rPr>
        <w:t xml:space="preserve"> management plans (OMT, PCI, CABG)</w:t>
      </w:r>
      <w:bookmarkEnd w:id="1372"/>
      <w:bookmarkEnd w:id="1373"/>
      <w:bookmarkEnd w:id="1374"/>
      <w:bookmarkEnd w:id="1375"/>
      <w:bookmarkEnd w:id="1376"/>
      <w:bookmarkEnd w:id="1377"/>
      <w:bookmarkEnd w:id="1378"/>
      <w:bookmarkEnd w:id="1379"/>
      <w:bookmarkEnd w:id="1380"/>
      <w:bookmarkEnd w:id="1381"/>
      <w:bookmarkEnd w:id="1382"/>
      <w:bookmarkEnd w:id="1383"/>
      <w:r w:rsidR="003B7EAE">
        <w:rPr>
          <w:rFonts w:ascii="Arial" w:hAnsi="Arial" w:cs="Arial"/>
          <w:color w:val="auto"/>
          <w:sz w:val="20"/>
          <w:szCs w:val="20"/>
        </w:rPr>
        <w:t>.</w:t>
      </w:r>
      <w:bookmarkEnd w:id="1384"/>
    </w:p>
    <w:p w14:paraId="6A4C30F8" w14:textId="77777777" w:rsidR="0075348E" w:rsidRDefault="0075348E" w:rsidP="0075348E">
      <w:pPr>
        <w:rPr>
          <w:color w:val="000000" w:themeColor="text1"/>
        </w:rPr>
      </w:pPr>
    </w:p>
    <w:p w14:paraId="0AA3145D" w14:textId="77777777" w:rsidR="0075348E" w:rsidRDefault="0075348E" w:rsidP="0075348E">
      <w:pPr>
        <w:spacing w:line="360" w:lineRule="auto"/>
        <w:jc w:val="both"/>
        <w:rPr>
          <w:rFonts w:ascii="Arial" w:hAnsi="Arial" w:cs="Arial"/>
          <w:color w:val="000000" w:themeColor="text1"/>
          <w:sz w:val="24"/>
          <w:szCs w:val="24"/>
        </w:rPr>
      </w:pPr>
      <w:bookmarkStart w:id="1385" w:name="_Toc151222948"/>
      <w:bookmarkStart w:id="1386" w:name="_Toc151630631"/>
      <w:bookmarkStart w:id="1387" w:name="_Toc152340593"/>
      <w:bookmarkStart w:id="1388" w:name="_Toc152598069"/>
      <w:bookmarkStart w:id="1389" w:name="_Toc153725853"/>
    </w:p>
    <w:p w14:paraId="1EDE67F9" w14:textId="05206B10" w:rsidR="0075348E" w:rsidRPr="00430A5C" w:rsidRDefault="0075348E" w:rsidP="0075348E">
      <w:pPr>
        <w:pStyle w:val="Heading3"/>
        <w:spacing w:line="360" w:lineRule="auto"/>
        <w:jc w:val="both"/>
        <w:rPr>
          <w:rFonts w:ascii="Arial" w:hAnsi="Arial" w:cs="Arial"/>
          <w:color w:val="4472C4" w:themeColor="accent1"/>
          <w:sz w:val="24"/>
          <w:szCs w:val="24"/>
        </w:rPr>
      </w:pPr>
      <w:bookmarkStart w:id="1390" w:name="_Toc159613634"/>
      <w:bookmarkStart w:id="1391" w:name="_Toc160981296"/>
      <w:bookmarkStart w:id="1392" w:name="_Toc170076099"/>
      <w:bookmarkStart w:id="1393" w:name="_Toc170577795"/>
      <w:bookmarkStart w:id="1394" w:name="_Toc171203171"/>
      <w:bookmarkStart w:id="1395" w:name="_Toc171203943"/>
      <w:bookmarkEnd w:id="1385"/>
      <w:bookmarkEnd w:id="1386"/>
      <w:bookmarkEnd w:id="1387"/>
      <w:bookmarkEnd w:id="1388"/>
      <w:bookmarkEnd w:id="1389"/>
      <w:r w:rsidRPr="00430A5C">
        <w:rPr>
          <w:rFonts w:ascii="Arial" w:hAnsi="Arial" w:cs="Arial"/>
          <w:color w:val="4472C4" w:themeColor="accent1"/>
          <w:sz w:val="24"/>
          <w:szCs w:val="24"/>
        </w:rPr>
        <w:t>3.</w:t>
      </w:r>
      <w:r>
        <w:rPr>
          <w:rFonts w:ascii="Arial" w:hAnsi="Arial" w:cs="Arial"/>
          <w:color w:val="4472C4" w:themeColor="accent1"/>
          <w:sz w:val="24"/>
          <w:szCs w:val="24"/>
        </w:rPr>
        <w:t>6</w:t>
      </w:r>
      <w:r w:rsidRPr="00430A5C">
        <w:rPr>
          <w:rFonts w:ascii="Arial" w:hAnsi="Arial" w:cs="Arial"/>
          <w:color w:val="4472C4" w:themeColor="accent1"/>
          <w:sz w:val="24"/>
          <w:szCs w:val="24"/>
        </w:rPr>
        <w:t>.</w:t>
      </w:r>
      <w:r w:rsidR="003F22A1">
        <w:rPr>
          <w:rFonts w:ascii="Arial" w:hAnsi="Arial" w:cs="Arial"/>
          <w:color w:val="4472C4" w:themeColor="accent1"/>
          <w:sz w:val="24"/>
          <w:szCs w:val="24"/>
        </w:rPr>
        <w:t>6</w:t>
      </w:r>
      <w:r w:rsidRPr="00430A5C">
        <w:rPr>
          <w:rFonts w:ascii="Arial" w:hAnsi="Arial" w:cs="Arial"/>
          <w:color w:val="4472C4" w:themeColor="accent1"/>
          <w:sz w:val="24"/>
          <w:szCs w:val="24"/>
        </w:rPr>
        <w:t xml:space="preserve"> Percentage change in the total cost in VIRTU-4 and the virtual change subset</w:t>
      </w:r>
      <w:bookmarkEnd w:id="1390"/>
      <w:bookmarkEnd w:id="1391"/>
      <w:bookmarkEnd w:id="1392"/>
      <w:bookmarkEnd w:id="1393"/>
      <w:bookmarkEnd w:id="1394"/>
      <w:bookmarkEnd w:id="1395"/>
    </w:p>
    <w:p w14:paraId="55477800" w14:textId="77777777" w:rsidR="0075348E" w:rsidRPr="00430A5C" w:rsidRDefault="0075348E" w:rsidP="0075348E">
      <w:pPr>
        <w:spacing w:line="360" w:lineRule="auto"/>
        <w:jc w:val="both"/>
        <w:rPr>
          <w:rFonts w:ascii="Arial" w:hAnsi="Arial" w:cs="Arial"/>
          <w:sz w:val="24"/>
          <w:szCs w:val="24"/>
        </w:rPr>
      </w:pPr>
      <w:r w:rsidRPr="00430A5C">
        <w:rPr>
          <w:rFonts w:ascii="Arial" w:hAnsi="Arial" w:cs="Arial"/>
          <w:sz w:val="24"/>
          <w:szCs w:val="24"/>
        </w:rPr>
        <w:t>The vFFR-driven plans would have led to a total increase of £3898 for the patients in the virtual change subset</w:t>
      </w:r>
      <w:r>
        <w:rPr>
          <w:rFonts w:ascii="Arial" w:hAnsi="Arial" w:cs="Arial"/>
          <w:sz w:val="24"/>
          <w:szCs w:val="24"/>
        </w:rPr>
        <w:t>.</w:t>
      </w:r>
      <w:r w:rsidRPr="0009036F">
        <w:t xml:space="preserve"> </w:t>
      </w:r>
      <w:r w:rsidRPr="00D53915">
        <w:rPr>
          <w:rFonts w:ascii="Arial" w:hAnsi="Arial" w:cs="Arial"/>
          <w:sz w:val="24"/>
          <w:szCs w:val="24"/>
        </w:rPr>
        <w:t>As a result, the virtual change subset and the entire VIRTU-4 cohort cost increased by 2% and 0.48%, respectively</w:t>
      </w:r>
      <w:r w:rsidRPr="0009036F">
        <w:rPr>
          <w:rFonts w:ascii="Arial" w:hAnsi="Arial" w:cs="Arial"/>
          <w:sz w:val="24"/>
          <w:szCs w:val="24"/>
        </w:rPr>
        <w:t>.</w:t>
      </w:r>
    </w:p>
    <w:p w14:paraId="14A47399" w14:textId="77777777" w:rsidR="0075348E" w:rsidRDefault="0075348E" w:rsidP="004942B6">
      <w:pPr>
        <w:spacing w:line="360" w:lineRule="auto"/>
        <w:jc w:val="both"/>
        <w:rPr>
          <w:rFonts w:ascii="Arial" w:hAnsi="Arial" w:cs="Arial"/>
          <w:color w:val="4472C4" w:themeColor="accent1"/>
          <w:sz w:val="24"/>
          <w:szCs w:val="24"/>
        </w:rPr>
      </w:pPr>
    </w:p>
    <w:p w14:paraId="78BCD50B" w14:textId="77777777" w:rsidR="003F22A1" w:rsidRDefault="003F22A1" w:rsidP="004942B6">
      <w:pPr>
        <w:spacing w:line="360" w:lineRule="auto"/>
        <w:jc w:val="both"/>
        <w:rPr>
          <w:rFonts w:ascii="Arial" w:hAnsi="Arial" w:cs="Arial"/>
          <w:color w:val="4472C4" w:themeColor="accent1"/>
          <w:sz w:val="24"/>
          <w:szCs w:val="24"/>
        </w:rPr>
      </w:pPr>
    </w:p>
    <w:p w14:paraId="0B3E18A2" w14:textId="0D31EF6D" w:rsidR="000578F7" w:rsidRPr="000578F7" w:rsidRDefault="000578F7" w:rsidP="000578F7">
      <w:pPr>
        <w:pStyle w:val="Heading2"/>
        <w:rPr>
          <w:rFonts w:ascii="Arial" w:hAnsi="Arial" w:cs="Arial"/>
          <w:color w:val="4472C4" w:themeColor="accent1"/>
          <w:sz w:val="28"/>
          <w:szCs w:val="28"/>
        </w:rPr>
      </w:pPr>
      <w:bookmarkStart w:id="1396" w:name="_Toc171203944"/>
      <w:r w:rsidRPr="000578F7">
        <w:rPr>
          <w:rFonts w:ascii="Arial" w:hAnsi="Arial" w:cs="Arial"/>
          <w:color w:val="4472C4" w:themeColor="accent1"/>
          <w:sz w:val="28"/>
          <w:szCs w:val="28"/>
        </w:rPr>
        <w:lastRenderedPageBreak/>
        <w:t xml:space="preserve">3.7 </w:t>
      </w:r>
      <w:r w:rsidR="00B41AC4">
        <w:rPr>
          <w:rFonts w:ascii="Arial" w:hAnsi="Arial" w:cs="Arial"/>
          <w:color w:val="4472C4" w:themeColor="accent1"/>
          <w:sz w:val="28"/>
          <w:szCs w:val="28"/>
        </w:rPr>
        <w:t>O</w:t>
      </w:r>
      <w:r w:rsidRPr="000578F7">
        <w:rPr>
          <w:rFonts w:ascii="Arial" w:hAnsi="Arial" w:cs="Arial"/>
          <w:color w:val="4472C4" w:themeColor="accent1"/>
          <w:sz w:val="28"/>
          <w:szCs w:val="28"/>
        </w:rPr>
        <w:t>utcomes from the expert MDTs</w:t>
      </w:r>
      <w:bookmarkEnd w:id="1396"/>
    </w:p>
    <w:p w14:paraId="18725ED0" w14:textId="77777777" w:rsidR="000578F7" w:rsidRPr="000578F7" w:rsidRDefault="000578F7" w:rsidP="000578F7"/>
    <w:p w14:paraId="5100BC55" w14:textId="272748CF" w:rsidR="004942B6" w:rsidRPr="006F7991" w:rsidRDefault="004942B6" w:rsidP="004942B6">
      <w:pPr>
        <w:pStyle w:val="Heading3"/>
        <w:spacing w:line="360" w:lineRule="auto"/>
        <w:jc w:val="both"/>
        <w:rPr>
          <w:rFonts w:ascii="Arial" w:hAnsi="Arial" w:cs="Arial"/>
          <w:color w:val="4472C4" w:themeColor="accent1"/>
          <w:sz w:val="24"/>
          <w:szCs w:val="24"/>
        </w:rPr>
      </w:pPr>
      <w:bookmarkStart w:id="1397" w:name="_Toc159613629"/>
      <w:bookmarkStart w:id="1398" w:name="_Toc160981291"/>
      <w:bookmarkStart w:id="1399" w:name="_Toc170076094"/>
      <w:bookmarkStart w:id="1400" w:name="_Toc170577797"/>
      <w:bookmarkStart w:id="1401" w:name="_Toc171203173"/>
      <w:bookmarkStart w:id="1402" w:name="_Toc171203945"/>
      <w:r w:rsidRPr="006F7991">
        <w:rPr>
          <w:rFonts w:ascii="Arial" w:hAnsi="Arial" w:cs="Arial"/>
          <w:color w:val="4472C4" w:themeColor="accent1"/>
          <w:sz w:val="24"/>
          <w:szCs w:val="24"/>
        </w:rPr>
        <w:t>3.</w:t>
      </w:r>
      <w:r w:rsidR="000578F7">
        <w:rPr>
          <w:rFonts w:ascii="Arial" w:hAnsi="Arial" w:cs="Arial"/>
          <w:color w:val="4472C4" w:themeColor="accent1"/>
          <w:sz w:val="24"/>
          <w:szCs w:val="24"/>
        </w:rPr>
        <w:t>7.1</w:t>
      </w:r>
      <w:r w:rsidRPr="006F7991">
        <w:rPr>
          <w:rFonts w:ascii="Arial" w:hAnsi="Arial" w:cs="Arial"/>
          <w:color w:val="4472C4" w:themeColor="accent1"/>
          <w:sz w:val="24"/>
          <w:szCs w:val="24"/>
        </w:rPr>
        <w:t xml:space="preserve"> Individualised pre- and post-vFFR management plans from the expert </w:t>
      </w:r>
      <w:bookmarkEnd w:id="1397"/>
      <w:bookmarkEnd w:id="1398"/>
      <w:r w:rsidR="000578F7">
        <w:rPr>
          <w:rFonts w:ascii="Arial" w:hAnsi="Arial" w:cs="Arial"/>
          <w:color w:val="4472C4" w:themeColor="accent1"/>
          <w:sz w:val="24"/>
          <w:szCs w:val="24"/>
        </w:rPr>
        <w:t>MDTs</w:t>
      </w:r>
      <w:bookmarkEnd w:id="1399"/>
      <w:bookmarkEnd w:id="1400"/>
      <w:bookmarkEnd w:id="1401"/>
      <w:bookmarkEnd w:id="1402"/>
    </w:p>
    <w:p w14:paraId="2445E125" w14:textId="0396D0FA" w:rsidR="004942B6" w:rsidRDefault="004942B6" w:rsidP="004942B6">
      <w:pPr>
        <w:spacing w:line="360" w:lineRule="auto"/>
        <w:jc w:val="both"/>
        <w:rPr>
          <w:rFonts w:ascii="Arial" w:hAnsi="Arial" w:cs="Arial"/>
          <w:sz w:val="24"/>
          <w:szCs w:val="24"/>
        </w:rPr>
      </w:pPr>
      <w:r w:rsidRPr="002044F2">
        <w:rPr>
          <w:rFonts w:ascii="Arial" w:hAnsi="Arial" w:cs="Arial"/>
          <w:sz w:val="24"/>
          <w:szCs w:val="24"/>
        </w:rPr>
        <w:t xml:space="preserve">The pre-and post-vFFR management plans from the expert </w:t>
      </w:r>
      <w:r w:rsidR="0012399F">
        <w:rPr>
          <w:rFonts w:ascii="Arial" w:hAnsi="Arial" w:cs="Arial"/>
          <w:sz w:val="24"/>
          <w:szCs w:val="24"/>
        </w:rPr>
        <w:t>MDT</w:t>
      </w:r>
      <w:r w:rsidRPr="002044F2">
        <w:rPr>
          <w:rFonts w:ascii="Arial" w:hAnsi="Arial" w:cs="Arial"/>
          <w:sz w:val="24"/>
          <w:szCs w:val="24"/>
        </w:rPr>
        <w:t xml:space="preserve"> were recorded the same way as those from the </w:t>
      </w:r>
      <w:r w:rsidR="007C2D89">
        <w:rPr>
          <w:rFonts w:ascii="Arial" w:hAnsi="Arial" w:cs="Arial"/>
          <w:sz w:val="24"/>
          <w:szCs w:val="24"/>
        </w:rPr>
        <w:t>parent cardiologists</w:t>
      </w:r>
      <w:r w:rsidRPr="002044F2">
        <w:rPr>
          <w:rFonts w:ascii="Arial" w:hAnsi="Arial" w:cs="Arial"/>
          <w:sz w:val="24"/>
          <w:szCs w:val="24"/>
        </w:rPr>
        <w:t xml:space="preserve"> in VIRTU-4. The patient’s clinical history was presented, followed by the CAG cine images. The pre-vFFR plans based on the visual assessment of the CAG were documented. The virtual change in the treatment strategy was noted after the vFFR results were disclosed to the expert teams. The concordance was then checked between the pre- and post-vFFR plans of two expert </w:t>
      </w:r>
      <w:r w:rsidR="0012399F">
        <w:rPr>
          <w:rFonts w:ascii="Arial" w:hAnsi="Arial" w:cs="Arial"/>
          <w:sz w:val="24"/>
          <w:szCs w:val="24"/>
        </w:rPr>
        <w:t>MDT</w:t>
      </w:r>
      <w:r w:rsidRPr="002044F2">
        <w:rPr>
          <w:rFonts w:ascii="Arial" w:hAnsi="Arial" w:cs="Arial"/>
          <w:sz w:val="24"/>
          <w:szCs w:val="24"/>
        </w:rPr>
        <w:t xml:space="preserve">s to evaluate the reproducibility rates of decisions amongst the expert teams. The pre-vFFR concordance showed that 24/39 (61.5%) ACS (r=0.53; p=0.25) and 14/26 (53.8%) CCS patients (r=0.49; p=0.35) had the same treatment plan from both </w:t>
      </w:r>
      <w:r w:rsidR="0012399F">
        <w:rPr>
          <w:rFonts w:ascii="Arial" w:hAnsi="Arial" w:cs="Arial"/>
          <w:sz w:val="24"/>
          <w:szCs w:val="24"/>
        </w:rPr>
        <w:t>MDT</w:t>
      </w:r>
      <w:r w:rsidRPr="002044F2">
        <w:rPr>
          <w:rFonts w:ascii="Arial" w:hAnsi="Arial" w:cs="Arial"/>
          <w:sz w:val="24"/>
          <w:szCs w:val="24"/>
        </w:rPr>
        <w:t xml:space="preserve">s. Post-vFFR concordance demonstrated that the numbers increased to 29/39 (74.3%) for ACS (r=0.89; p=0.02) and 16/26 (61.3%) for the CCS group (r=0.62; p=0.25). The individualised pre- and post-vFFR management decisions, their associated virtual costs of the index procedures, and the concordance of both expert </w:t>
      </w:r>
      <w:r w:rsidR="0012399F">
        <w:rPr>
          <w:rFonts w:ascii="Arial" w:hAnsi="Arial" w:cs="Arial"/>
          <w:sz w:val="24"/>
          <w:szCs w:val="24"/>
        </w:rPr>
        <w:t>MDT</w:t>
      </w:r>
      <w:r w:rsidRPr="002044F2">
        <w:rPr>
          <w:rFonts w:ascii="Arial" w:hAnsi="Arial" w:cs="Arial"/>
          <w:sz w:val="24"/>
          <w:szCs w:val="24"/>
        </w:rPr>
        <w:t xml:space="preserve"> plans have been shown in Figure </w:t>
      </w:r>
      <w:r w:rsidR="001823B4">
        <w:rPr>
          <w:rFonts w:ascii="Arial" w:hAnsi="Arial" w:cs="Arial"/>
          <w:sz w:val="24"/>
          <w:szCs w:val="24"/>
        </w:rPr>
        <w:t>62</w:t>
      </w:r>
      <w:r w:rsidRPr="002044F2">
        <w:rPr>
          <w:rFonts w:ascii="Arial" w:hAnsi="Arial" w:cs="Arial"/>
          <w:sz w:val="24"/>
          <w:szCs w:val="24"/>
        </w:rPr>
        <w:t>, Tables 18 and 19.</w:t>
      </w:r>
    </w:p>
    <w:p w14:paraId="27DB213C" w14:textId="77777777" w:rsidR="004942B6" w:rsidRDefault="004942B6" w:rsidP="004942B6">
      <w:pPr>
        <w:spacing w:line="360" w:lineRule="auto"/>
        <w:jc w:val="both"/>
        <w:rPr>
          <w:rFonts w:ascii="Arial" w:hAnsi="Arial" w:cs="Arial"/>
          <w:sz w:val="24"/>
          <w:szCs w:val="24"/>
        </w:rPr>
      </w:pPr>
    </w:p>
    <w:p w14:paraId="1C96B7A4" w14:textId="77777777" w:rsidR="004942B6" w:rsidRDefault="004942B6" w:rsidP="004942B6">
      <w:pPr>
        <w:keepNext/>
        <w:spacing w:line="360" w:lineRule="auto"/>
        <w:jc w:val="both"/>
      </w:pPr>
      <w:r>
        <w:rPr>
          <w:rFonts w:ascii="Arial" w:hAnsi="Arial" w:cs="Arial"/>
          <w:noProof/>
          <w:sz w:val="24"/>
          <w:szCs w:val="24"/>
          <w:lang w:eastAsia="en-GB"/>
        </w:rPr>
        <w:lastRenderedPageBreak/>
        <w:drawing>
          <wp:inline distT="0" distB="0" distL="0" distR="0" wp14:anchorId="656D9247" wp14:editId="37919605">
            <wp:extent cx="5858154" cy="4050565"/>
            <wp:effectExtent l="0" t="0" r="0" b="0"/>
            <wp:docPr id="20282865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86560" name="Picture 1" descr="A screenshot of a computer&#10;&#10;Description automatically generated"/>
                    <pic:cNvPicPr/>
                  </pic:nvPicPr>
                  <pic:blipFill rotWithShape="1">
                    <a:blip r:embed="rId93" cstate="print">
                      <a:extLst>
                        <a:ext uri="{28A0092B-C50C-407E-A947-70E740481C1C}">
                          <a14:useLocalDpi xmlns:a14="http://schemas.microsoft.com/office/drawing/2010/main" val="0"/>
                        </a:ext>
                      </a:extLst>
                    </a:blip>
                    <a:srcRect l="1319" t="4333" r="3618" b="3349"/>
                    <a:stretch/>
                  </pic:blipFill>
                  <pic:spPr bwMode="auto">
                    <a:xfrm>
                      <a:off x="0" y="0"/>
                      <a:ext cx="5871662" cy="4059905"/>
                    </a:xfrm>
                    <a:prstGeom prst="rect">
                      <a:avLst/>
                    </a:prstGeom>
                    <a:ln>
                      <a:noFill/>
                    </a:ln>
                    <a:extLst>
                      <a:ext uri="{53640926-AAD7-44D8-BBD7-CCE9431645EC}">
                        <a14:shadowObscured xmlns:a14="http://schemas.microsoft.com/office/drawing/2010/main"/>
                      </a:ext>
                    </a:extLst>
                  </pic:spPr>
                </pic:pic>
              </a:graphicData>
            </a:graphic>
          </wp:inline>
        </w:drawing>
      </w:r>
    </w:p>
    <w:p w14:paraId="5D0FD4EF" w14:textId="6CCDDF1D" w:rsidR="004942B6" w:rsidRDefault="004942B6" w:rsidP="004942B6">
      <w:pPr>
        <w:pStyle w:val="Caption"/>
        <w:jc w:val="both"/>
        <w:rPr>
          <w:rFonts w:ascii="Arial" w:hAnsi="Arial" w:cs="Arial"/>
          <w:color w:val="auto"/>
          <w:sz w:val="20"/>
          <w:szCs w:val="20"/>
        </w:rPr>
      </w:pPr>
      <w:bookmarkStart w:id="1403" w:name="_Toc159612055"/>
      <w:bookmarkStart w:id="1404" w:name="_Toc160982706"/>
      <w:bookmarkStart w:id="1405" w:name="_Toc164697532"/>
      <w:bookmarkStart w:id="1406" w:name="_Toc170744622"/>
      <w:bookmarkStart w:id="1407" w:name="_Toc196153254"/>
      <w:r w:rsidRPr="002044F2">
        <w:rPr>
          <w:rFonts w:ascii="Arial" w:hAnsi="Arial" w:cs="Arial"/>
          <w:b/>
          <w:bCs/>
          <w:color w:val="auto"/>
          <w:sz w:val="20"/>
          <w:szCs w:val="20"/>
        </w:rPr>
        <w:t xml:space="preserve">Figure </w:t>
      </w:r>
      <w:r w:rsidRPr="002044F2">
        <w:rPr>
          <w:rFonts w:ascii="Arial" w:hAnsi="Arial" w:cs="Arial"/>
          <w:b/>
          <w:bCs/>
          <w:color w:val="auto"/>
          <w:sz w:val="20"/>
          <w:szCs w:val="20"/>
        </w:rPr>
        <w:fldChar w:fldCharType="begin"/>
      </w:r>
      <w:r w:rsidRPr="002044F2">
        <w:rPr>
          <w:rFonts w:ascii="Arial" w:hAnsi="Arial" w:cs="Arial"/>
          <w:b/>
          <w:bCs/>
          <w:color w:val="auto"/>
          <w:sz w:val="20"/>
          <w:szCs w:val="20"/>
        </w:rPr>
        <w:instrText xml:space="preserve"> SEQ Figure \* ARABIC </w:instrText>
      </w:r>
      <w:r w:rsidRPr="002044F2">
        <w:rPr>
          <w:rFonts w:ascii="Arial" w:hAnsi="Arial" w:cs="Arial"/>
          <w:b/>
          <w:bCs/>
          <w:color w:val="auto"/>
          <w:sz w:val="20"/>
          <w:szCs w:val="20"/>
        </w:rPr>
        <w:fldChar w:fldCharType="separate"/>
      </w:r>
      <w:r w:rsidR="001823B4">
        <w:rPr>
          <w:rFonts w:ascii="Arial" w:hAnsi="Arial" w:cs="Arial"/>
          <w:b/>
          <w:bCs/>
          <w:noProof/>
          <w:color w:val="auto"/>
          <w:sz w:val="20"/>
          <w:szCs w:val="20"/>
        </w:rPr>
        <w:t>62</w:t>
      </w:r>
      <w:r w:rsidRPr="002044F2">
        <w:rPr>
          <w:rFonts w:ascii="Arial" w:hAnsi="Arial" w:cs="Arial"/>
          <w:b/>
          <w:bCs/>
          <w:color w:val="auto"/>
          <w:sz w:val="20"/>
          <w:szCs w:val="20"/>
        </w:rPr>
        <w:fldChar w:fldCharType="end"/>
      </w:r>
      <w:r w:rsidRPr="00DF140E">
        <w:rPr>
          <w:rFonts w:ascii="Arial" w:hAnsi="Arial" w:cs="Arial"/>
          <w:color w:val="auto"/>
          <w:sz w:val="20"/>
          <w:szCs w:val="20"/>
        </w:rPr>
        <w:t>: Concordance of the pre- and post-vFFR management plans from expert teams</w:t>
      </w:r>
      <w:r>
        <w:rPr>
          <w:rFonts w:ascii="Arial" w:hAnsi="Arial" w:cs="Arial"/>
          <w:color w:val="auto"/>
          <w:sz w:val="20"/>
          <w:szCs w:val="20"/>
        </w:rPr>
        <w:t>.</w:t>
      </w:r>
      <w:bookmarkEnd w:id="1403"/>
      <w:bookmarkEnd w:id="1404"/>
      <w:bookmarkEnd w:id="1405"/>
      <w:bookmarkEnd w:id="1406"/>
      <w:bookmarkEnd w:id="1407"/>
    </w:p>
    <w:p w14:paraId="186B5A9F" w14:textId="77777777" w:rsidR="000D4BB3" w:rsidRDefault="000D4BB3" w:rsidP="000D4BB3"/>
    <w:p w14:paraId="769F50A6" w14:textId="77777777" w:rsidR="000D4BB3" w:rsidRDefault="000D4BB3" w:rsidP="000D4BB3"/>
    <w:p w14:paraId="5DE56840" w14:textId="77777777" w:rsidR="000D4BB3" w:rsidRDefault="000D4BB3" w:rsidP="000D4BB3"/>
    <w:p w14:paraId="072924D7" w14:textId="77777777" w:rsidR="000D4BB3" w:rsidRDefault="000D4BB3" w:rsidP="000D4BB3"/>
    <w:p w14:paraId="4A717D4B" w14:textId="77777777" w:rsidR="000D4BB3" w:rsidRDefault="000D4BB3" w:rsidP="000D4BB3"/>
    <w:p w14:paraId="13F2AE5B" w14:textId="77777777" w:rsidR="000D4BB3" w:rsidRDefault="000D4BB3" w:rsidP="000D4BB3"/>
    <w:p w14:paraId="30D9E101" w14:textId="77777777" w:rsidR="000D4BB3" w:rsidRDefault="000D4BB3" w:rsidP="000D4BB3"/>
    <w:p w14:paraId="7512602D" w14:textId="77777777" w:rsidR="000D4BB3" w:rsidRDefault="000D4BB3" w:rsidP="000D4BB3"/>
    <w:p w14:paraId="2030F3F4" w14:textId="77777777" w:rsidR="000D4BB3" w:rsidRDefault="000D4BB3" w:rsidP="000D4BB3"/>
    <w:p w14:paraId="634C367B" w14:textId="77777777" w:rsidR="000D4BB3" w:rsidRDefault="000D4BB3" w:rsidP="000D4BB3"/>
    <w:p w14:paraId="1C8FDE1F" w14:textId="77777777" w:rsidR="000578F7" w:rsidRDefault="000578F7" w:rsidP="000D4BB3"/>
    <w:p w14:paraId="4E2153A0" w14:textId="77777777" w:rsidR="000578F7" w:rsidRDefault="000578F7" w:rsidP="000D4BB3"/>
    <w:p w14:paraId="517D6310" w14:textId="77777777" w:rsidR="000578F7" w:rsidRDefault="000578F7" w:rsidP="000D4BB3"/>
    <w:p w14:paraId="1C740346" w14:textId="77777777" w:rsidR="000578F7" w:rsidRDefault="000578F7" w:rsidP="000D4BB3"/>
    <w:p w14:paraId="0AAC4CAE" w14:textId="77777777" w:rsidR="000D4BB3" w:rsidRPr="000D4BB3" w:rsidRDefault="000D4BB3" w:rsidP="000D4BB3"/>
    <w:p w14:paraId="4368C42B" w14:textId="7E3D1E80" w:rsidR="004942B6" w:rsidRPr="004528AC" w:rsidRDefault="004942B6" w:rsidP="004942B6">
      <w:pPr>
        <w:pStyle w:val="Caption"/>
        <w:jc w:val="both"/>
        <w:rPr>
          <w:rFonts w:ascii="Arial" w:hAnsi="Arial" w:cs="Arial"/>
          <w:color w:val="auto"/>
          <w:sz w:val="20"/>
          <w:szCs w:val="20"/>
        </w:rPr>
      </w:pPr>
      <w:bookmarkStart w:id="1408" w:name="_Toc159318293"/>
      <w:bookmarkStart w:id="1409" w:name="_Toc159610328"/>
      <w:bookmarkStart w:id="1410" w:name="_Toc164699085"/>
      <w:bookmarkStart w:id="1411" w:name="_Toc171206728"/>
      <w:r w:rsidRPr="004528AC">
        <w:rPr>
          <w:rFonts w:ascii="Arial" w:hAnsi="Arial" w:cs="Arial"/>
          <w:b/>
          <w:bCs/>
          <w:color w:val="auto"/>
          <w:sz w:val="20"/>
          <w:szCs w:val="20"/>
        </w:rPr>
        <w:lastRenderedPageBreak/>
        <w:t xml:space="preserve">Table </w:t>
      </w:r>
      <w:r w:rsidR="006D6D70">
        <w:rPr>
          <w:rFonts w:ascii="Arial" w:hAnsi="Arial" w:cs="Arial"/>
          <w:b/>
          <w:bCs/>
          <w:color w:val="auto"/>
          <w:sz w:val="20"/>
          <w:szCs w:val="20"/>
        </w:rPr>
        <w:t>18</w:t>
      </w:r>
      <w:r w:rsidRPr="004528AC">
        <w:rPr>
          <w:rFonts w:ascii="Arial" w:hAnsi="Arial" w:cs="Arial"/>
          <w:color w:val="auto"/>
          <w:sz w:val="20"/>
          <w:szCs w:val="20"/>
        </w:rPr>
        <w:t xml:space="preserve">: </w:t>
      </w:r>
      <w:r>
        <w:rPr>
          <w:rFonts w:ascii="Arial" w:hAnsi="Arial" w:cs="Arial"/>
          <w:color w:val="auto"/>
          <w:sz w:val="20"/>
          <w:szCs w:val="20"/>
        </w:rPr>
        <w:t>I</w:t>
      </w:r>
      <w:r w:rsidRPr="004528AC">
        <w:rPr>
          <w:rFonts w:ascii="Arial" w:hAnsi="Arial" w:cs="Arial"/>
          <w:color w:val="auto"/>
          <w:sz w:val="20"/>
          <w:szCs w:val="20"/>
        </w:rPr>
        <w:t xml:space="preserve">ndividualised pre- and post-vFFR management plans </w:t>
      </w:r>
      <w:r>
        <w:rPr>
          <w:rFonts w:ascii="Arial" w:hAnsi="Arial" w:cs="Arial"/>
          <w:color w:val="auto"/>
          <w:sz w:val="20"/>
          <w:szCs w:val="20"/>
        </w:rPr>
        <w:t xml:space="preserve">and </w:t>
      </w:r>
      <w:r w:rsidR="006D6D70">
        <w:rPr>
          <w:rFonts w:ascii="Arial" w:hAnsi="Arial" w:cs="Arial"/>
          <w:color w:val="auto"/>
          <w:sz w:val="20"/>
          <w:szCs w:val="20"/>
        </w:rPr>
        <w:t xml:space="preserve">the </w:t>
      </w:r>
      <w:r>
        <w:rPr>
          <w:rFonts w:ascii="Arial" w:hAnsi="Arial" w:cs="Arial"/>
          <w:color w:val="auto"/>
          <w:sz w:val="20"/>
          <w:szCs w:val="20"/>
        </w:rPr>
        <w:t>associated change in the costs of indexed procedures according to</w:t>
      </w:r>
      <w:r w:rsidRPr="004528AC">
        <w:rPr>
          <w:rFonts w:ascii="Arial" w:hAnsi="Arial" w:cs="Arial"/>
          <w:color w:val="auto"/>
          <w:sz w:val="20"/>
          <w:szCs w:val="20"/>
        </w:rPr>
        <w:t xml:space="preserve"> the </w:t>
      </w:r>
      <w:r w:rsidR="008E5362">
        <w:rPr>
          <w:rFonts w:ascii="Arial" w:hAnsi="Arial" w:cs="Arial"/>
          <w:color w:val="auto"/>
          <w:sz w:val="20"/>
          <w:szCs w:val="20"/>
        </w:rPr>
        <w:t>expert MDT-1</w:t>
      </w:r>
      <w:r w:rsidRPr="004528AC">
        <w:rPr>
          <w:rFonts w:ascii="Arial" w:hAnsi="Arial" w:cs="Arial"/>
          <w:color w:val="auto"/>
          <w:sz w:val="20"/>
          <w:szCs w:val="20"/>
        </w:rPr>
        <w:t xml:space="preserve"> for the virtual change subset</w:t>
      </w:r>
      <w:r>
        <w:rPr>
          <w:rFonts w:ascii="Arial" w:hAnsi="Arial" w:cs="Arial"/>
          <w:color w:val="auto"/>
          <w:sz w:val="20"/>
          <w:szCs w:val="20"/>
        </w:rPr>
        <w:t xml:space="preserve"> patients</w:t>
      </w:r>
      <w:bookmarkEnd w:id="1408"/>
      <w:bookmarkEnd w:id="1409"/>
      <w:bookmarkEnd w:id="1410"/>
      <w:bookmarkEnd w:id="1411"/>
    </w:p>
    <w:tbl>
      <w:tblPr>
        <w:tblpPr w:leftFromText="180" w:rightFromText="180" w:vertAnchor="text" w:horzAnchor="margin" w:tblpY="853"/>
        <w:tblW w:w="9747" w:type="dxa"/>
        <w:tblLook w:val="04A0" w:firstRow="1" w:lastRow="0" w:firstColumn="1" w:lastColumn="0" w:noHBand="0" w:noVBand="1"/>
      </w:tblPr>
      <w:tblGrid>
        <w:gridCol w:w="817"/>
        <w:gridCol w:w="1985"/>
        <w:gridCol w:w="1984"/>
        <w:gridCol w:w="1730"/>
        <w:gridCol w:w="1559"/>
        <w:gridCol w:w="1672"/>
      </w:tblGrid>
      <w:tr w:rsidR="004942B6" w:rsidRPr="00BE53CD" w14:paraId="4FBFE8F8" w14:textId="77777777" w:rsidTr="002C2525">
        <w:trPr>
          <w:trHeight w:val="960"/>
        </w:trPr>
        <w:tc>
          <w:tcPr>
            <w:tcW w:w="9747"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253A7C51" w14:textId="2618257E" w:rsidR="004942B6" w:rsidRPr="00BE53CD" w:rsidRDefault="004942B6" w:rsidP="002C2525">
            <w:pPr>
              <w:spacing w:after="0" w:line="240" w:lineRule="auto"/>
              <w:jc w:val="both"/>
              <w:rPr>
                <w:b/>
                <w:bCs/>
                <w:color w:val="000000" w:themeColor="text1"/>
                <w:sz w:val="28"/>
                <w:szCs w:val="28"/>
              </w:rPr>
            </w:pPr>
            <w:r w:rsidRPr="00BE53CD">
              <w:rPr>
                <w:b/>
                <w:bCs/>
                <w:sz w:val="28"/>
                <w:szCs w:val="28"/>
              </w:rPr>
              <w:t xml:space="preserve">Pre- and post-vFFR management </w:t>
            </w:r>
            <w:r>
              <w:rPr>
                <w:b/>
                <w:bCs/>
                <w:sz w:val="28"/>
                <w:szCs w:val="28"/>
              </w:rPr>
              <w:t>for the “</w:t>
            </w:r>
            <w:r w:rsidRPr="002C3A1D">
              <w:rPr>
                <w:b/>
                <w:bCs/>
                <w:sz w:val="32"/>
                <w:szCs w:val="32"/>
              </w:rPr>
              <w:t>ACS patients</w:t>
            </w:r>
            <w:r>
              <w:rPr>
                <w:b/>
                <w:bCs/>
                <w:sz w:val="32"/>
                <w:szCs w:val="32"/>
              </w:rPr>
              <w:t>”</w:t>
            </w:r>
            <w:r w:rsidRPr="002C3A1D">
              <w:rPr>
                <w:b/>
                <w:bCs/>
                <w:sz w:val="28"/>
                <w:szCs w:val="28"/>
              </w:rPr>
              <w:t xml:space="preserve"> and impact on costs of the index procedures (based on </w:t>
            </w:r>
            <w:r w:rsidR="008E5362">
              <w:rPr>
                <w:b/>
                <w:bCs/>
                <w:sz w:val="32"/>
                <w:szCs w:val="32"/>
              </w:rPr>
              <w:t>expert MDT-1</w:t>
            </w:r>
            <w:r w:rsidRPr="002C3A1D">
              <w:rPr>
                <w:b/>
                <w:bCs/>
                <w:sz w:val="28"/>
                <w:szCs w:val="28"/>
              </w:rPr>
              <w:t>)</w:t>
            </w:r>
          </w:p>
        </w:tc>
      </w:tr>
      <w:tr w:rsidR="004942B6" w14:paraId="0F96E18B" w14:textId="77777777" w:rsidTr="002C2525">
        <w:trPr>
          <w:trHeight w:val="960"/>
        </w:trPr>
        <w:tc>
          <w:tcPr>
            <w:tcW w:w="817" w:type="dxa"/>
            <w:tcBorders>
              <w:top w:val="single" w:sz="4" w:space="0" w:color="auto"/>
              <w:left w:val="single" w:sz="4" w:space="0" w:color="auto"/>
              <w:bottom w:val="single" w:sz="4" w:space="0" w:color="auto"/>
              <w:right w:val="single" w:sz="4" w:space="0" w:color="auto"/>
            </w:tcBorders>
            <w:shd w:val="clear" w:color="000000" w:fill="FFFFFF"/>
            <w:vAlign w:val="center"/>
          </w:tcPr>
          <w:p w14:paraId="10595F1E" w14:textId="77777777" w:rsidR="004942B6" w:rsidRPr="00A16EF7" w:rsidRDefault="004942B6" w:rsidP="002C2525">
            <w:pPr>
              <w:spacing w:after="0" w:line="240" w:lineRule="auto"/>
              <w:jc w:val="both"/>
              <w:rPr>
                <w:b/>
                <w:bCs/>
                <w:sz w:val="24"/>
                <w:szCs w:val="24"/>
              </w:rPr>
            </w:pPr>
            <w:r w:rsidRPr="00A16EF7">
              <w:rPr>
                <w:b/>
                <w:bCs/>
                <w:sz w:val="24"/>
                <w:szCs w:val="24"/>
              </w:rPr>
              <w:t>Study ID</w:t>
            </w:r>
          </w:p>
        </w:tc>
        <w:tc>
          <w:tcPr>
            <w:tcW w:w="1985" w:type="dxa"/>
            <w:tcBorders>
              <w:top w:val="single" w:sz="4" w:space="0" w:color="auto"/>
              <w:left w:val="nil"/>
              <w:bottom w:val="single" w:sz="4" w:space="0" w:color="auto"/>
              <w:right w:val="single" w:sz="4" w:space="0" w:color="auto"/>
            </w:tcBorders>
            <w:shd w:val="clear" w:color="000000" w:fill="FFFFFF"/>
            <w:vAlign w:val="center"/>
          </w:tcPr>
          <w:p w14:paraId="4FA2C063" w14:textId="77777777" w:rsidR="004942B6" w:rsidRDefault="004942B6" w:rsidP="002C2525">
            <w:pPr>
              <w:spacing w:after="0" w:line="240" w:lineRule="auto"/>
              <w:jc w:val="both"/>
              <w:rPr>
                <w:b/>
                <w:bCs/>
                <w:sz w:val="24"/>
                <w:szCs w:val="24"/>
              </w:rPr>
            </w:pPr>
            <w:r>
              <w:rPr>
                <w:b/>
                <w:bCs/>
                <w:sz w:val="24"/>
                <w:szCs w:val="24"/>
              </w:rPr>
              <w:t>Pre-vFFR expert plans</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31BB828A" w14:textId="77777777" w:rsidR="004942B6" w:rsidRDefault="004942B6" w:rsidP="002C2525">
            <w:pPr>
              <w:spacing w:after="0" w:line="240" w:lineRule="auto"/>
              <w:jc w:val="both"/>
              <w:rPr>
                <w:b/>
                <w:bCs/>
                <w:sz w:val="24"/>
                <w:szCs w:val="24"/>
              </w:rPr>
            </w:pPr>
            <w:r>
              <w:rPr>
                <w:b/>
                <w:bCs/>
                <w:sz w:val="24"/>
                <w:szCs w:val="24"/>
              </w:rPr>
              <w:t xml:space="preserve">Post-vFFR expert plans </w:t>
            </w:r>
          </w:p>
        </w:tc>
        <w:tc>
          <w:tcPr>
            <w:tcW w:w="1730" w:type="dxa"/>
            <w:tcBorders>
              <w:top w:val="single" w:sz="4" w:space="0" w:color="auto"/>
              <w:left w:val="nil"/>
              <w:bottom w:val="single" w:sz="4" w:space="0" w:color="auto"/>
              <w:right w:val="single" w:sz="4" w:space="0" w:color="auto"/>
            </w:tcBorders>
            <w:shd w:val="clear" w:color="000000" w:fill="FFFFFF"/>
            <w:vAlign w:val="center"/>
          </w:tcPr>
          <w:p w14:paraId="018BA32E" w14:textId="77777777" w:rsidR="004942B6" w:rsidRPr="00A16EF7" w:rsidRDefault="004942B6" w:rsidP="002C2525">
            <w:pPr>
              <w:spacing w:after="0" w:line="240" w:lineRule="auto"/>
              <w:jc w:val="both"/>
              <w:rPr>
                <w:b/>
                <w:bCs/>
                <w:sz w:val="24"/>
                <w:szCs w:val="24"/>
              </w:rPr>
            </w:pPr>
            <w:r w:rsidRPr="00A16EF7">
              <w:rPr>
                <w:b/>
                <w:bCs/>
                <w:sz w:val="24"/>
                <w:szCs w:val="24"/>
              </w:rPr>
              <w:t xml:space="preserve">Cost of the </w:t>
            </w:r>
            <w:r>
              <w:rPr>
                <w:b/>
                <w:bCs/>
                <w:sz w:val="24"/>
                <w:szCs w:val="24"/>
              </w:rPr>
              <w:t>actual</w:t>
            </w:r>
            <w:r w:rsidRPr="00A16EF7">
              <w:rPr>
                <w:b/>
                <w:bCs/>
                <w:sz w:val="24"/>
                <w:szCs w:val="24"/>
              </w:rPr>
              <w:t xml:space="preserve"> management plan</w:t>
            </w:r>
            <w:r>
              <w:rPr>
                <w:b/>
                <w:bCs/>
                <w:sz w:val="24"/>
                <w:szCs w:val="24"/>
              </w:rPr>
              <w:t>s</w:t>
            </w:r>
          </w:p>
        </w:tc>
        <w:tc>
          <w:tcPr>
            <w:tcW w:w="1559" w:type="dxa"/>
            <w:tcBorders>
              <w:top w:val="single" w:sz="4" w:space="0" w:color="auto"/>
              <w:left w:val="nil"/>
              <w:bottom w:val="single" w:sz="4" w:space="0" w:color="auto"/>
              <w:right w:val="single" w:sz="4" w:space="0" w:color="auto"/>
            </w:tcBorders>
            <w:shd w:val="clear" w:color="000000" w:fill="FFFFFF"/>
            <w:vAlign w:val="center"/>
          </w:tcPr>
          <w:p w14:paraId="64FFD448" w14:textId="77777777" w:rsidR="004942B6" w:rsidRPr="00A16EF7" w:rsidRDefault="004942B6" w:rsidP="002C2525">
            <w:pPr>
              <w:spacing w:after="0" w:line="240" w:lineRule="auto"/>
              <w:jc w:val="both"/>
              <w:rPr>
                <w:b/>
                <w:bCs/>
                <w:sz w:val="24"/>
                <w:szCs w:val="24"/>
              </w:rPr>
            </w:pPr>
            <w:r w:rsidRPr="00A16EF7">
              <w:rPr>
                <w:b/>
                <w:bCs/>
                <w:sz w:val="24"/>
                <w:szCs w:val="24"/>
              </w:rPr>
              <w:t xml:space="preserve">Cost of the </w:t>
            </w:r>
            <w:r>
              <w:rPr>
                <w:b/>
                <w:bCs/>
                <w:sz w:val="24"/>
                <w:szCs w:val="24"/>
              </w:rPr>
              <w:t>virtual</w:t>
            </w:r>
            <w:r w:rsidRPr="00A16EF7">
              <w:rPr>
                <w:b/>
                <w:bCs/>
                <w:sz w:val="24"/>
                <w:szCs w:val="24"/>
              </w:rPr>
              <w:t xml:space="preserve"> management plan</w:t>
            </w:r>
            <w:r>
              <w:rPr>
                <w:b/>
                <w:bCs/>
                <w:sz w:val="24"/>
                <w:szCs w:val="24"/>
              </w:rPr>
              <w:t>s</w:t>
            </w:r>
          </w:p>
        </w:tc>
        <w:tc>
          <w:tcPr>
            <w:tcW w:w="1672" w:type="dxa"/>
            <w:tcBorders>
              <w:top w:val="single" w:sz="4" w:space="0" w:color="auto"/>
              <w:left w:val="nil"/>
              <w:bottom w:val="single" w:sz="4" w:space="0" w:color="auto"/>
              <w:right w:val="single" w:sz="4" w:space="0" w:color="auto"/>
            </w:tcBorders>
            <w:shd w:val="clear" w:color="000000" w:fill="FFFFFF"/>
            <w:vAlign w:val="center"/>
          </w:tcPr>
          <w:p w14:paraId="457FAD51" w14:textId="77777777" w:rsidR="004942B6" w:rsidRDefault="004942B6" w:rsidP="002C2525">
            <w:pPr>
              <w:spacing w:after="0" w:line="240" w:lineRule="auto"/>
              <w:jc w:val="both"/>
              <w:rPr>
                <w:b/>
                <w:bCs/>
                <w:color w:val="000000" w:themeColor="text1"/>
                <w:sz w:val="24"/>
                <w:szCs w:val="24"/>
              </w:rPr>
            </w:pPr>
            <w:r>
              <w:rPr>
                <w:b/>
                <w:bCs/>
                <w:color w:val="000000" w:themeColor="text1"/>
                <w:sz w:val="24"/>
                <w:szCs w:val="24"/>
              </w:rPr>
              <w:t>Virtual c</w:t>
            </w:r>
            <w:r w:rsidRPr="00A16EF7">
              <w:rPr>
                <w:b/>
                <w:bCs/>
                <w:color w:val="000000" w:themeColor="text1"/>
                <w:sz w:val="24"/>
                <w:szCs w:val="24"/>
              </w:rPr>
              <w:t>hange in</w:t>
            </w:r>
            <w:r>
              <w:rPr>
                <w:b/>
                <w:bCs/>
                <w:color w:val="000000" w:themeColor="text1"/>
                <w:sz w:val="24"/>
                <w:szCs w:val="24"/>
              </w:rPr>
              <w:t xml:space="preserve"> the </w:t>
            </w:r>
            <w:r w:rsidRPr="00A16EF7">
              <w:rPr>
                <w:b/>
                <w:bCs/>
                <w:color w:val="000000" w:themeColor="text1"/>
                <w:sz w:val="24"/>
                <w:szCs w:val="24"/>
              </w:rPr>
              <w:t xml:space="preserve">cost </w:t>
            </w:r>
          </w:p>
          <w:p w14:paraId="4E28D597" w14:textId="77777777" w:rsidR="004942B6" w:rsidRDefault="004942B6" w:rsidP="002C2525">
            <w:pPr>
              <w:spacing w:after="0" w:line="240" w:lineRule="auto"/>
              <w:jc w:val="both"/>
              <w:rPr>
                <w:b/>
                <w:bCs/>
                <w:color w:val="000000" w:themeColor="text1"/>
                <w:sz w:val="24"/>
                <w:szCs w:val="24"/>
              </w:rPr>
            </w:pPr>
            <w:r w:rsidRPr="00A16EF7">
              <w:rPr>
                <w:b/>
                <w:bCs/>
                <w:color w:val="000000" w:themeColor="text1"/>
                <w:sz w:val="24"/>
                <w:szCs w:val="24"/>
              </w:rPr>
              <w:t>(B-A)</w:t>
            </w:r>
          </w:p>
        </w:tc>
      </w:tr>
      <w:tr w:rsidR="004942B6" w:rsidRPr="00497243" w14:paraId="5DC1DB4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A57434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6</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0BBB91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CB905E4" w14:textId="77777777" w:rsidR="004942B6" w:rsidRPr="00A024DA" w:rsidRDefault="004942B6" w:rsidP="002C2525">
            <w:pPr>
              <w:spacing w:after="0" w:line="240" w:lineRule="auto"/>
              <w:rPr>
                <w:sz w:val="24"/>
                <w:szCs w:val="24"/>
              </w:rPr>
            </w:pPr>
            <w:r w:rsidRPr="00A024DA">
              <w:rPr>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1123E7F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£1856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986335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C6B5C55" w14:textId="77777777" w:rsidR="004942B6" w:rsidRPr="00497243" w:rsidRDefault="004942B6" w:rsidP="002C2525">
            <w:pPr>
              <w:spacing w:after="0" w:line="240" w:lineRule="auto"/>
              <w:rPr>
                <w:sz w:val="24"/>
                <w:szCs w:val="24"/>
              </w:rPr>
            </w:pPr>
            <w:r w:rsidRPr="00497243">
              <w:rPr>
                <w:rFonts w:ascii="Calibri" w:hAnsi="Calibri" w:cs="Calibri"/>
                <w:sz w:val="24"/>
                <w:szCs w:val="24"/>
              </w:rPr>
              <w:t>No change</w:t>
            </w:r>
          </w:p>
        </w:tc>
      </w:tr>
      <w:tr w:rsidR="004942B6" w:rsidRPr="00A024DA" w14:paraId="0A1CB852"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107228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39C4F4D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53F23E9D" w14:textId="77777777" w:rsidR="004942B6" w:rsidRPr="00A024DA" w:rsidRDefault="004942B6" w:rsidP="002C2525">
            <w:pPr>
              <w:spacing w:after="0" w:line="240" w:lineRule="auto"/>
              <w:rPr>
                <w:sz w:val="24"/>
                <w:szCs w:val="24"/>
              </w:rPr>
            </w:pPr>
            <w:r w:rsidRPr="00A024DA">
              <w:rPr>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0F58EAB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1308A7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E3C4B2D" w14:textId="77777777" w:rsidR="004942B6" w:rsidRPr="00A024DA" w:rsidRDefault="004942B6" w:rsidP="002C2525">
            <w:pPr>
              <w:spacing w:after="0" w:line="240" w:lineRule="auto"/>
              <w:rPr>
                <w:b/>
                <w:bCs/>
                <w:color w:val="C00000"/>
                <w:sz w:val="24"/>
                <w:szCs w:val="24"/>
              </w:rPr>
            </w:pPr>
            <w:r w:rsidRPr="00497243">
              <w:rPr>
                <w:rFonts w:ascii="Calibri" w:hAnsi="Calibri" w:cs="Calibri"/>
                <w:sz w:val="24"/>
                <w:szCs w:val="24"/>
              </w:rPr>
              <w:t>No change</w:t>
            </w:r>
          </w:p>
        </w:tc>
      </w:tr>
      <w:tr w:rsidR="004942B6" w:rsidRPr="00A024DA" w14:paraId="0F7B580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0AD7D365"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14D5869C"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CABG x 3 (+mFFR)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E99DBFF" w14:textId="77777777" w:rsidR="004942B6" w:rsidRPr="00A024DA" w:rsidRDefault="004942B6" w:rsidP="002C2525">
            <w:pPr>
              <w:spacing w:after="0" w:line="240" w:lineRule="auto"/>
              <w:rPr>
                <w:sz w:val="24"/>
                <w:szCs w:val="24"/>
              </w:rPr>
            </w:pPr>
            <w:r>
              <w:rPr>
                <w:sz w:val="24"/>
                <w:szCs w:val="24"/>
              </w:rPr>
              <w:t>CABG x 3</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4F99B0DC"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£12376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622BEFD"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£11790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E05CC4D" w14:textId="77777777" w:rsidR="004942B6" w:rsidRPr="00A024DA" w:rsidRDefault="004942B6" w:rsidP="002C2525">
            <w:pPr>
              <w:spacing w:after="0" w:line="240" w:lineRule="auto"/>
              <w:rPr>
                <w:rFonts w:ascii="Calibri" w:hAnsi="Calibri" w:cs="Calibri"/>
                <w:b/>
                <w:bCs/>
                <w:color w:val="C00000"/>
                <w:sz w:val="24"/>
                <w:szCs w:val="24"/>
              </w:rPr>
            </w:pPr>
            <w:r w:rsidRPr="00041497">
              <w:rPr>
                <w:rFonts w:ascii="Calibri" w:hAnsi="Calibri" w:cs="Calibri"/>
                <w:b/>
                <w:bCs/>
                <w:color w:val="00B050"/>
                <w:sz w:val="24"/>
                <w:szCs w:val="24"/>
              </w:rPr>
              <w:t>- £586</w:t>
            </w:r>
          </w:p>
        </w:tc>
      </w:tr>
      <w:tr w:rsidR="004942B6" w:rsidRPr="00A024DA" w14:paraId="41FF2B4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09ECC4E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38</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B4AD33E"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096DEFE"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16F59E94"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7D1413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1C0F18A" w14:textId="77777777" w:rsidR="004942B6" w:rsidRPr="00A024DA" w:rsidRDefault="004942B6" w:rsidP="002C2525">
            <w:pPr>
              <w:spacing w:after="0" w:line="240" w:lineRule="auto"/>
              <w:rPr>
                <w:rFonts w:ascii="Calibri" w:hAnsi="Calibri" w:cs="Calibri"/>
                <w:b/>
                <w:bCs/>
                <w:color w:val="C00000"/>
                <w:sz w:val="24"/>
                <w:szCs w:val="24"/>
              </w:rPr>
            </w:pPr>
            <w:r w:rsidRPr="00497243">
              <w:rPr>
                <w:rFonts w:ascii="Calibri" w:hAnsi="Calibri" w:cs="Calibri"/>
                <w:sz w:val="24"/>
                <w:szCs w:val="24"/>
              </w:rPr>
              <w:t>No change</w:t>
            </w:r>
          </w:p>
        </w:tc>
      </w:tr>
      <w:tr w:rsidR="004942B6" w:rsidRPr="00A024DA" w14:paraId="3FB5DF4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52CFF9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40</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5A561CC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349B88F7" w14:textId="77777777" w:rsidR="004942B6" w:rsidRPr="00A024DA" w:rsidRDefault="004942B6" w:rsidP="002C2525">
            <w:pPr>
              <w:spacing w:after="0" w:line="240" w:lineRule="auto"/>
              <w:rPr>
                <w:sz w:val="24"/>
                <w:szCs w:val="24"/>
              </w:rPr>
            </w:pPr>
            <w:r>
              <w:rPr>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4DE230D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977878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99762CA" w14:textId="77777777" w:rsidR="004942B6" w:rsidRPr="00A024DA"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041497" w14:paraId="53B0DB2C"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F43CFC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42</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7860FF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5D1EF29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1VPCI</w:t>
            </w:r>
            <w:r>
              <w:rPr>
                <w:rFonts w:ascii="Calibri" w:hAnsi="Calibri" w:cs="Calibri"/>
                <w:color w:val="000000"/>
                <w:sz w:val="24"/>
                <w:szCs w:val="24"/>
              </w:rPr>
              <w:t xml:space="preserve"> + mFFR</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074E24E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BE9E69D" w14:textId="77777777" w:rsidR="004942B6" w:rsidRPr="00A024DA" w:rsidRDefault="004942B6" w:rsidP="002C2525">
            <w:pPr>
              <w:spacing w:after="0" w:line="240" w:lineRule="auto"/>
              <w:rPr>
                <w:sz w:val="24"/>
                <w:szCs w:val="24"/>
              </w:rPr>
            </w:pPr>
            <w:r>
              <w:rPr>
                <w:sz w:val="24"/>
                <w:szCs w:val="24"/>
              </w:rPr>
              <w:t>£2022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741002F" w14:textId="77777777" w:rsidR="004942B6" w:rsidRPr="00041497" w:rsidRDefault="004942B6" w:rsidP="002C2525">
            <w:pPr>
              <w:spacing w:after="0" w:line="240" w:lineRule="auto"/>
              <w:rPr>
                <w:b/>
                <w:bCs/>
                <w:color w:val="00B050"/>
                <w:sz w:val="24"/>
                <w:szCs w:val="24"/>
              </w:rPr>
            </w:pPr>
            <w:r w:rsidRPr="00A024DA">
              <w:rPr>
                <w:b/>
                <w:bCs/>
                <w:color w:val="C00000"/>
                <w:sz w:val="24"/>
                <w:szCs w:val="24"/>
              </w:rPr>
              <w:t>+</w:t>
            </w:r>
            <w:r>
              <w:rPr>
                <w:b/>
                <w:bCs/>
                <w:color w:val="C00000"/>
                <w:sz w:val="24"/>
                <w:szCs w:val="24"/>
              </w:rPr>
              <w:t xml:space="preserve"> </w:t>
            </w:r>
            <w:r w:rsidRPr="00A024DA">
              <w:rPr>
                <w:b/>
                <w:bCs/>
                <w:color w:val="C00000"/>
                <w:sz w:val="24"/>
                <w:szCs w:val="24"/>
              </w:rPr>
              <w:t>£586</w:t>
            </w:r>
          </w:p>
        </w:tc>
      </w:tr>
      <w:tr w:rsidR="004942B6" w:rsidRPr="00041497" w14:paraId="3E58690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2D5077E" w14:textId="77777777" w:rsidR="004942B6" w:rsidRPr="00A024DA" w:rsidRDefault="004942B6" w:rsidP="002C2525">
            <w:pPr>
              <w:spacing w:after="0" w:line="240" w:lineRule="auto"/>
              <w:rPr>
                <w:sz w:val="24"/>
                <w:szCs w:val="24"/>
              </w:rPr>
            </w:pPr>
            <w:r>
              <w:rPr>
                <w:sz w:val="24"/>
                <w:szCs w:val="24"/>
              </w:rPr>
              <w:t>50</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018D44D1" w14:textId="77777777" w:rsidR="004942B6" w:rsidRPr="00A024DA" w:rsidRDefault="004942B6" w:rsidP="002C2525">
            <w:pPr>
              <w:spacing w:after="0" w:line="240" w:lineRule="auto"/>
              <w:rPr>
                <w:sz w:val="24"/>
                <w:szCs w:val="24"/>
              </w:rPr>
            </w:pPr>
            <w:r>
              <w:rPr>
                <w:rFonts w:ascii="Calibri" w:hAnsi="Calibri" w:cs="Calibr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2395C9D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446BF9C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D59CB4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8D92B20" w14:textId="77777777" w:rsidR="004942B6" w:rsidRPr="00041497"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041497" w14:paraId="0FC4E6C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60C21BDD"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59</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11B3E3D3"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D37D6C4"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236F120"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30CD1CE3"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7D9F626" w14:textId="77777777" w:rsidR="004942B6" w:rsidRPr="00041497"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726</w:t>
            </w:r>
          </w:p>
        </w:tc>
      </w:tr>
      <w:tr w:rsidR="004942B6" w:rsidRPr="00041497" w14:paraId="045D97D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FD6F58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62</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44961894"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D39CC1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3D58796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635805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D88637D" w14:textId="77777777" w:rsidR="004942B6" w:rsidRPr="00041497"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041497" w14:paraId="69B431A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597D0E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66</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C35082C"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987884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7F83F53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4632EA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C007C79" w14:textId="77777777" w:rsidR="004942B6" w:rsidRPr="00041497"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041497" w14:paraId="0380DD7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0E2C6A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70</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56EB40AB" w14:textId="77777777" w:rsidR="004942B6" w:rsidRPr="00A024DA" w:rsidRDefault="004942B6" w:rsidP="002C2525">
            <w:pPr>
              <w:spacing w:after="0" w:line="240" w:lineRule="auto"/>
              <w:rPr>
                <w:sz w:val="24"/>
                <w:szCs w:val="24"/>
              </w:rPr>
            </w:pPr>
            <w:r>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A1CB7B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AC0A7E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BF6C44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4D5A753" w14:textId="77777777" w:rsidR="004942B6" w:rsidRPr="00041497" w:rsidRDefault="004942B6" w:rsidP="002C2525">
            <w:pPr>
              <w:spacing w:after="0" w:line="240" w:lineRule="auto"/>
              <w:rPr>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726</w:t>
            </w:r>
          </w:p>
        </w:tc>
      </w:tr>
      <w:tr w:rsidR="004942B6" w:rsidRPr="00041497" w14:paraId="7F68BCA2"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01BCEE8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77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8188CA3"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1V PCI</w:t>
            </w:r>
            <w:r>
              <w:rPr>
                <w:sz w:val="24"/>
                <w:szCs w:val="24"/>
              </w:rPr>
              <w:t xml:space="preserve"> + mFFR</w:t>
            </w:r>
            <w:r w:rsidRPr="00A024DA">
              <w:rPr>
                <w:sz w:val="24"/>
                <w:szCs w:val="24"/>
              </w:rPr>
              <w:t xml:space="preserve">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70D814E4" w14:textId="77777777" w:rsidR="004942B6" w:rsidRPr="00A024DA" w:rsidRDefault="004942B6" w:rsidP="002C2525">
            <w:pPr>
              <w:spacing w:after="0" w:line="240" w:lineRule="auto"/>
              <w:rPr>
                <w:rFonts w:ascii="Calibri" w:hAnsi="Calibri" w:cs="Calibri"/>
                <w:color w:val="000000"/>
                <w:sz w:val="24"/>
                <w:szCs w:val="24"/>
              </w:rPr>
            </w:pPr>
            <w:r>
              <w:rPr>
                <w:sz w:val="24"/>
                <w:szCs w:val="24"/>
              </w:rPr>
              <w:t>2</w:t>
            </w:r>
            <w:r w:rsidRPr="00A024DA">
              <w:rPr>
                <w:sz w:val="24"/>
                <w:szCs w:val="24"/>
              </w:rPr>
              <w:t>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CA67134"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851B3D5"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16CA0FC" w14:textId="77777777" w:rsidR="004942B6" w:rsidRPr="00041497"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16</w:t>
            </w:r>
            <w:r w:rsidRPr="00041497">
              <w:rPr>
                <w:rFonts w:ascii="Calibri" w:hAnsi="Calibri" w:cs="Calibri"/>
                <w:b/>
                <w:bCs/>
                <w:color w:val="00B050"/>
                <w:sz w:val="24"/>
                <w:szCs w:val="24"/>
              </w:rPr>
              <w:t>6</w:t>
            </w:r>
          </w:p>
        </w:tc>
      </w:tr>
      <w:tr w:rsidR="004942B6" w:rsidRPr="001E0A9C" w14:paraId="447D59A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01991E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78</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00033B3" w14:textId="77777777" w:rsidR="004942B6" w:rsidRPr="00A024DA" w:rsidRDefault="004942B6" w:rsidP="002C2525">
            <w:pPr>
              <w:spacing w:after="0" w:line="240" w:lineRule="auto"/>
              <w:rPr>
                <w:sz w:val="24"/>
                <w:szCs w:val="24"/>
              </w:rPr>
            </w:pPr>
            <w:r w:rsidRPr="00A024DA">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2CC249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2CA437B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2F9CA7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3D9C593" w14:textId="77777777" w:rsidR="004942B6" w:rsidRPr="001E0A9C"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041497" w14:paraId="0F661FB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17E5B09E"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85</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61B5596A" w14:textId="77777777" w:rsidR="004942B6" w:rsidRPr="00A024DA" w:rsidRDefault="004942B6" w:rsidP="002C2525">
            <w:pPr>
              <w:spacing w:after="0" w:line="240" w:lineRule="auto"/>
              <w:rPr>
                <w:sz w:val="24"/>
                <w:szCs w:val="24"/>
              </w:rPr>
            </w:pPr>
            <w:r>
              <w:rPr>
                <w:sz w:val="24"/>
                <w:szCs w:val="24"/>
              </w:rPr>
              <w:t>1V PCI + 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0534244F" w14:textId="77777777" w:rsidR="004942B6" w:rsidRPr="00A024DA" w:rsidRDefault="004942B6" w:rsidP="002C2525">
            <w:pPr>
              <w:spacing w:after="0" w:line="240" w:lineRule="auto"/>
              <w:rPr>
                <w:rFonts w:ascii="Calibri" w:hAnsi="Calibri" w:cs="Calibri"/>
                <w:color w:val="000000"/>
                <w:sz w:val="24"/>
                <w:szCs w:val="24"/>
              </w:rPr>
            </w:pPr>
            <w:r>
              <w:rPr>
                <w:sz w:val="24"/>
                <w:szCs w:val="24"/>
              </w:rPr>
              <w:t xml:space="preserve">1V </w:t>
            </w:r>
            <w:r w:rsidRPr="00A024DA">
              <w:rPr>
                <w:sz w:val="24"/>
                <w:szCs w:val="24"/>
              </w:rPr>
              <w:t>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C61944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w:t>
            </w:r>
            <w:r>
              <w:rPr>
                <w:rFonts w:ascii="Calibri" w:hAnsi="Calibri" w:cs="Calibri"/>
                <w:color w:val="000000"/>
                <w:sz w:val="24"/>
                <w:szCs w:val="24"/>
              </w:rPr>
              <w:t>022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6828718"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8855DA3" w14:textId="77777777" w:rsidR="004942B6" w:rsidRPr="00041497"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586</w:t>
            </w:r>
          </w:p>
        </w:tc>
      </w:tr>
      <w:tr w:rsidR="004942B6" w:rsidRPr="00041497" w14:paraId="290FFD7C"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5BDB7FBA"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 xml:space="preserve">89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0EBFF105" w14:textId="77777777" w:rsidR="004942B6" w:rsidRPr="00A024DA" w:rsidRDefault="004942B6" w:rsidP="002C2525">
            <w:pPr>
              <w:spacing w:after="0" w:line="240" w:lineRule="auto"/>
              <w:rPr>
                <w:sz w:val="24"/>
                <w:szCs w:val="24"/>
              </w:rPr>
            </w:pPr>
            <w:r w:rsidRPr="00A024DA">
              <w:rPr>
                <w:sz w:val="24"/>
                <w:szCs w:val="24"/>
              </w:rPr>
              <w:t>1V PCI</w:t>
            </w:r>
            <w:r>
              <w:rPr>
                <w:sz w:val="24"/>
                <w:szCs w:val="24"/>
              </w:rPr>
              <w:t xml:space="preserve"> + 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748DF640"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52CE040"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5A3B96A"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50CD9E6" w14:textId="77777777" w:rsidR="004942B6" w:rsidRPr="00041497"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166</w:t>
            </w:r>
          </w:p>
        </w:tc>
      </w:tr>
      <w:tr w:rsidR="004942B6" w:rsidRPr="00A024DA" w14:paraId="02CC0ED4"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657C48F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91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6C086ADF" w14:textId="77777777" w:rsidR="004942B6" w:rsidRPr="00A024DA" w:rsidRDefault="004942B6" w:rsidP="002C2525">
            <w:pPr>
              <w:spacing w:after="0" w:line="240" w:lineRule="auto"/>
              <w:rPr>
                <w:sz w:val="24"/>
                <w:szCs w:val="24"/>
              </w:rPr>
            </w:pPr>
            <w:r w:rsidRPr="00A024DA">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9F8D4DD"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7A0AF2D4"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1112B956"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65CD7B6" w14:textId="77777777" w:rsidR="004942B6" w:rsidRPr="00A024DA" w:rsidRDefault="004942B6" w:rsidP="002C2525">
            <w:pPr>
              <w:spacing w:after="0" w:line="240" w:lineRule="auto"/>
              <w:rPr>
                <w:rFonts w:ascii="Calibri" w:hAnsi="Calibri" w:cs="Calibri"/>
                <w:b/>
                <w:bCs/>
                <w:color w:val="00B050"/>
                <w:sz w:val="24"/>
                <w:szCs w:val="24"/>
              </w:rPr>
            </w:pPr>
            <w:r w:rsidRPr="00497243">
              <w:rPr>
                <w:rFonts w:ascii="Calibri" w:hAnsi="Calibri" w:cs="Calibri"/>
                <w:sz w:val="24"/>
                <w:szCs w:val="24"/>
              </w:rPr>
              <w:t>No change</w:t>
            </w:r>
          </w:p>
        </w:tc>
      </w:tr>
      <w:tr w:rsidR="004942B6" w:rsidRPr="002B1621" w14:paraId="007A72F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96186D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95</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5D7F16A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F9459F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294BF7A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269826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4BDCD52" w14:textId="77777777" w:rsidR="004942B6" w:rsidRPr="002B1621" w:rsidRDefault="004942B6" w:rsidP="002C2525">
            <w:pPr>
              <w:spacing w:after="0" w:line="240" w:lineRule="auto"/>
              <w:rPr>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586</w:t>
            </w:r>
          </w:p>
        </w:tc>
      </w:tr>
      <w:tr w:rsidR="004942B6" w:rsidRPr="002B1621" w14:paraId="512E6A6F"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499661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108</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3BED6914" w14:textId="77777777" w:rsidR="004942B6" w:rsidRPr="00A024DA" w:rsidRDefault="004942B6" w:rsidP="002C2525">
            <w:pPr>
              <w:spacing w:after="0" w:line="240" w:lineRule="auto"/>
              <w:rPr>
                <w:sz w:val="24"/>
                <w:szCs w:val="24"/>
              </w:rPr>
            </w:pPr>
            <w:r>
              <w:rPr>
                <w:sz w:val="24"/>
                <w:szCs w:val="24"/>
              </w:rPr>
              <w:t>1</w:t>
            </w:r>
            <w:r w:rsidRPr="00A024DA">
              <w:rPr>
                <w:sz w:val="24"/>
                <w:szCs w:val="24"/>
              </w:rPr>
              <w:t>V PCI</w:t>
            </w:r>
            <w:r>
              <w:rPr>
                <w:sz w:val="24"/>
                <w:szCs w:val="24"/>
              </w:rPr>
              <w:t xml:space="preserve"> + 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DE4ED9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2V PCI</w:t>
            </w:r>
            <w:r>
              <w:rPr>
                <w:rFonts w:ascii="Calibri" w:hAnsi="Calibri" w:cs="Calibri"/>
                <w:color w:val="000000"/>
                <w:sz w:val="24"/>
                <w:szCs w:val="24"/>
              </w:rPr>
              <w:t>, no mFFR</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727CBFE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w:t>
            </w:r>
            <w:r>
              <w:rPr>
                <w:rFonts w:ascii="Calibri" w:hAnsi="Calibri" w:cs="Calibri"/>
                <w:color w:val="000000"/>
                <w:sz w:val="24"/>
                <w:szCs w:val="24"/>
              </w:rPr>
              <w:t>022</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6DBFF2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0D75D98" w14:textId="77777777" w:rsidR="004942B6" w:rsidRPr="002B1621" w:rsidRDefault="004942B6" w:rsidP="002C2525">
            <w:pPr>
              <w:spacing w:after="0" w:line="240" w:lineRule="auto"/>
              <w:rPr>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166</w:t>
            </w:r>
          </w:p>
        </w:tc>
      </w:tr>
      <w:tr w:rsidR="004942B6" w:rsidRPr="00A024DA" w14:paraId="4BD5E131"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CB5F27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125</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6B23F71A"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5DCB970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66EE29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6F82B1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9995EC8"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00A1ADB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72CFA0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127</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4380C798" w14:textId="77777777" w:rsidR="004942B6" w:rsidRPr="00A024DA" w:rsidRDefault="004942B6" w:rsidP="002C2525">
            <w:pPr>
              <w:spacing w:after="0" w:line="240" w:lineRule="auto"/>
              <w:rPr>
                <w:sz w:val="24"/>
                <w:szCs w:val="24"/>
              </w:rPr>
            </w:pPr>
            <w:r w:rsidRPr="00A024DA">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3E75DF0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4AF9A3A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606FEA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5650C9D"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5C4010C5"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593092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159</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04D3AAD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74DAE7B" w14:textId="77777777" w:rsidR="004942B6" w:rsidRPr="00A024DA" w:rsidRDefault="004942B6" w:rsidP="002C2525">
            <w:pPr>
              <w:spacing w:after="0" w:line="240" w:lineRule="auto"/>
              <w:rPr>
                <w:sz w:val="24"/>
                <w:szCs w:val="24"/>
              </w:rPr>
            </w:pPr>
            <w:r>
              <w:rPr>
                <w:rFonts w:ascii="Calibri" w:hAnsi="Calibri" w:cs="Calibri"/>
                <w:color w:val="000000"/>
                <w:sz w:val="24"/>
                <w:szCs w:val="24"/>
              </w:rPr>
              <w:t>1</w:t>
            </w:r>
            <w:r w:rsidRPr="00A024DA">
              <w:rPr>
                <w:rFonts w:ascii="Calibri" w:hAnsi="Calibri" w:cs="Calibri"/>
                <w:color w:val="000000"/>
                <w:sz w:val="24"/>
                <w:szCs w:val="24"/>
              </w:rPr>
              <w:t>VPCI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0A2B7D4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170CE8D" w14:textId="77777777" w:rsidR="004942B6" w:rsidRPr="00A024DA" w:rsidRDefault="004942B6" w:rsidP="002C2525">
            <w:pPr>
              <w:spacing w:after="0" w:line="240" w:lineRule="auto"/>
              <w:rPr>
                <w:sz w:val="24"/>
                <w:szCs w:val="24"/>
              </w:rPr>
            </w:pPr>
            <w:r>
              <w:rPr>
                <w:rFonts w:ascii="Calibri" w:hAnsi="Calibri" w:cs="Calibri"/>
                <w:color w:val="000000"/>
                <w:sz w:val="24"/>
                <w:szCs w:val="24"/>
              </w:rPr>
              <w:t>£143</w:t>
            </w:r>
            <w:r w:rsidRPr="00A024DA">
              <w:rPr>
                <w:rFonts w:ascii="Calibri" w:hAnsi="Calibri" w:cs="Calibri"/>
                <w:color w:val="000000"/>
                <w:sz w:val="24"/>
                <w:szCs w:val="24"/>
              </w:rPr>
              <w:t>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FB0C9F2"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20BA78B2"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20D036D3"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174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6ED40DA6"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81C80B4"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8826CB4"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1E912423"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1241806" w14:textId="77777777" w:rsidR="004942B6" w:rsidRPr="00A024DA" w:rsidRDefault="004942B6" w:rsidP="002C2525">
            <w:pPr>
              <w:spacing w:after="0" w:line="240" w:lineRule="auto"/>
              <w:rPr>
                <w:rFonts w:ascii="Calibri" w:hAnsi="Calibri" w:cs="Calibri"/>
                <w:b/>
                <w:bCs/>
                <w:color w:val="C00000"/>
                <w:sz w:val="24"/>
                <w:szCs w:val="24"/>
              </w:rPr>
            </w:pPr>
            <w:r w:rsidRPr="00497243">
              <w:rPr>
                <w:rFonts w:ascii="Calibri" w:hAnsi="Calibri" w:cs="Calibri"/>
                <w:sz w:val="24"/>
                <w:szCs w:val="24"/>
              </w:rPr>
              <w:t>No change</w:t>
            </w:r>
          </w:p>
        </w:tc>
      </w:tr>
      <w:tr w:rsidR="004942B6" w:rsidRPr="00A024DA" w14:paraId="0752A54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2CB50853"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180</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80D32D1"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w:t>
            </w:r>
            <w:r w:rsidRPr="00A024DA">
              <w:rPr>
                <w:rFonts w:ascii="Calibri" w:hAnsi="Calibri" w:cs="Calibri"/>
                <w:color w:val="000000"/>
                <w:sz w:val="24"/>
                <w:szCs w:val="24"/>
              </w:rPr>
              <w:t>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D634D85"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15A1E01B"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7E1F17CA"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w:t>
            </w:r>
            <w:r>
              <w:rPr>
                <w:rFonts w:ascii="Calibri" w:hAnsi="Calibri" w:cs="Calibri"/>
                <w:color w:val="000000"/>
                <w:sz w:val="24"/>
                <w:szCs w:val="24"/>
              </w:rPr>
              <w:t>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9E09221" w14:textId="77777777" w:rsidR="004942B6" w:rsidRPr="00A024DA" w:rsidRDefault="004942B6" w:rsidP="002C2525">
            <w:pPr>
              <w:spacing w:after="0" w:line="240" w:lineRule="auto"/>
              <w:rPr>
                <w:rFonts w:ascii="Calibri" w:hAnsi="Calibri" w:cs="Calibri"/>
                <w:b/>
                <w:bCs/>
                <w:color w:val="00B05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w:t>
            </w:r>
            <w:r>
              <w:rPr>
                <w:rFonts w:ascii="Calibri" w:hAnsi="Calibri" w:cs="Calibri"/>
                <w:b/>
                <w:bCs/>
                <w:color w:val="C00000"/>
                <w:sz w:val="24"/>
                <w:szCs w:val="24"/>
              </w:rPr>
              <w:t>420</w:t>
            </w:r>
          </w:p>
        </w:tc>
      </w:tr>
      <w:tr w:rsidR="004942B6" w:rsidRPr="001E0A9C" w14:paraId="620A6DA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89B4B7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181</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48ABEB2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066A055A" w14:textId="77777777" w:rsidR="004942B6" w:rsidRPr="00A024DA" w:rsidRDefault="004942B6" w:rsidP="002C2525">
            <w:pPr>
              <w:spacing w:after="0" w:line="240" w:lineRule="auto"/>
              <w:rPr>
                <w:sz w:val="24"/>
                <w:szCs w:val="24"/>
              </w:rPr>
            </w:pPr>
            <w:r w:rsidRPr="00A024DA">
              <w:rPr>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2C5C05A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1523EE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B43C5DD" w14:textId="77777777" w:rsidR="004942B6" w:rsidRPr="001E0A9C" w:rsidRDefault="004942B6" w:rsidP="002C2525">
            <w:pPr>
              <w:spacing w:after="0" w:line="240" w:lineRule="auto"/>
              <w:rPr>
                <w:b/>
                <w:bCs/>
                <w:color w:val="C00000"/>
                <w:sz w:val="24"/>
                <w:szCs w:val="24"/>
              </w:rPr>
            </w:pPr>
            <w:r w:rsidRPr="00497243">
              <w:rPr>
                <w:rFonts w:ascii="Calibri" w:hAnsi="Calibri" w:cs="Calibri"/>
                <w:sz w:val="24"/>
                <w:szCs w:val="24"/>
              </w:rPr>
              <w:t>No change</w:t>
            </w:r>
          </w:p>
        </w:tc>
      </w:tr>
      <w:tr w:rsidR="004942B6" w:rsidRPr="001E0A9C" w14:paraId="3CF1B675"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51C71C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189</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6F45091F"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67BEEC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1B85617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6F95CD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76B5D94" w14:textId="77777777" w:rsidR="004942B6" w:rsidRPr="001E0A9C" w:rsidRDefault="004942B6" w:rsidP="002C2525">
            <w:pPr>
              <w:spacing w:after="0" w:line="240" w:lineRule="auto"/>
              <w:rPr>
                <w:b/>
                <w:bCs/>
                <w:color w:val="C00000"/>
                <w:sz w:val="24"/>
                <w:szCs w:val="24"/>
              </w:rPr>
            </w:pPr>
            <w:r w:rsidRPr="00497243">
              <w:rPr>
                <w:rFonts w:ascii="Calibri" w:hAnsi="Calibri" w:cs="Calibri"/>
                <w:sz w:val="24"/>
                <w:szCs w:val="24"/>
              </w:rPr>
              <w:t>No change</w:t>
            </w:r>
          </w:p>
        </w:tc>
      </w:tr>
      <w:tr w:rsidR="004942B6" w:rsidRPr="001E0A9C" w14:paraId="454760F5"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1FF1691E"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192</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0B5A69BC"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26970FDD"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w:t>
            </w:r>
            <w:r w:rsidRPr="00A024DA">
              <w:rPr>
                <w:rFonts w:ascii="Calibri" w:hAnsi="Calibri" w:cs="Calibri"/>
                <w:color w:val="000000"/>
                <w:sz w:val="24"/>
                <w:szCs w:val="24"/>
              </w:rPr>
              <w:t>VPCI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C485E77"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F5CB227"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w:t>
            </w:r>
            <w:r>
              <w:rPr>
                <w:rFonts w:ascii="Calibri" w:hAnsi="Calibri" w:cs="Calibri"/>
                <w:color w:val="000000"/>
                <w:sz w:val="24"/>
                <w:szCs w:val="24"/>
              </w:rPr>
              <w:t>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2B617A" w14:textId="77777777" w:rsidR="004942B6" w:rsidRPr="001E0A9C" w:rsidRDefault="004942B6" w:rsidP="002C2525">
            <w:pPr>
              <w:spacing w:after="0" w:line="240" w:lineRule="auto"/>
              <w:rPr>
                <w:rFonts w:ascii="Calibri" w:hAnsi="Calibri" w:cs="Calibri"/>
                <w:b/>
                <w:bCs/>
                <w:color w:val="00B050"/>
                <w:sz w:val="24"/>
                <w:szCs w:val="24"/>
              </w:rPr>
            </w:pPr>
            <w:r w:rsidRPr="00497243">
              <w:rPr>
                <w:rFonts w:ascii="Calibri" w:hAnsi="Calibri" w:cs="Calibri"/>
                <w:sz w:val="24"/>
                <w:szCs w:val="24"/>
              </w:rPr>
              <w:t>No change</w:t>
            </w:r>
          </w:p>
        </w:tc>
      </w:tr>
      <w:tr w:rsidR="004942B6" w:rsidRPr="001E0A9C" w14:paraId="3E20D8E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E5F767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195</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0F507672" w14:textId="77777777" w:rsidR="004942B6" w:rsidRPr="00A024DA" w:rsidRDefault="004942B6" w:rsidP="002C2525">
            <w:pPr>
              <w:spacing w:after="0" w:line="240" w:lineRule="auto"/>
              <w:rPr>
                <w:sz w:val="24"/>
                <w:szCs w:val="24"/>
              </w:rPr>
            </w:pPr>
            <w:r>
              <w:rPr>
                <w:rFonts w:ascii="Calibri" w:hAnsi="Calibri" w:cs="Calibr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CDCA44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796AF0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AC56FB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35BA6F6" w14:textId="77777777" w:rsidR="004942B6" w:rsidRPr="001E0A9C" w:rsidRDefault="004942B6" w:rsidP="002C2525">
            <w:pPr>
              <w:spacing w:after="0" w:line="240" w:lineRule="auto"/>
              <w:rPr>
                <w:b/>
                <w:bCs/>
                <w:color w:val="C00000"/>
                <w:sz w:val="24"/>
                <w:szCs w:val="24"/>
              </w:rPr>
            </w:pPr>
            <w:r w:rsidRPr="00497243">
              <w:rPr>
                <w:rFonts w:ascii="Calibri" w:hAnsi="Calibri" w:cs="Calibri"/>
                <w:sz w:val="24"/>
                <w:szCs w:val="24"/>
              </w:rPr>
              <w:t>No change</w:t>
            </w:r>
          </w:p>
        </w:tc>
      </w:tr>
      <w:tr w:rsidR="004942B6" w:rsidRPr="001E0A9C" w14:paraId="75033892"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0D2EC05C"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209</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5964F1B"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2V PCI</w:t>
            </w:r>
            <w:r>
              <w:rPr>
                <w:sz w:val="24"/>
                <w:szCs w:val="24"/>
              </w:rPr>
              <w:t xml:space="preserve"> + 1V PCI (staged)</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026595CE"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 xml:space="preserve">2V PCI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E30AEE5"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5231</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7CB23D5D"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CE91624" w14:textId="2E6E2B99" w:rsidR="004942B6" w:rsidRPr="001E0A9C"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sidR="00E045B2">
              <w:rPr>
                <w:rFonts w:ascii="Calibri" w:hAnsi="Calibri" w:cs="Calibri"/>
                <w:b/>
                <w:bCs/>
                <w:color w:val="00B050"/>
                <w:sz w:val="24"/>
                <w:szCs w:val="24"/>
              </w:rPr>
              <w:t>3375</w:t>
            </w:r>
          </w:p>
        </w:tc>
      </w:tr>
      <w:tr w:rsidR="004942B6" w:rsidRPr="00A024DA" w14:paraId="09F38426"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79E1C8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211</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7B9E2BB"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213BD86F" w14:textId="77777777" w:rsidR="004942B6" w:rsidRPr="00A024DA" w:rsidRDefault="004942B6" w:rsidP="002C2525">
            <w:pPr>
              <w:spacing w:after="0" w:line="240" w:lineRule="auto"/>
              <w:rPr>
                <w:sz w:val="24"/>
                <w:szCs w:val="24"/>
              </w:rPr>
            </w:pPr>
            <w:r w:rsidRPr="00A024DA">
              <w:rPr>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0FEACC2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DA6C5F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206623D"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2399A4C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5E214BF1"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214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E6B47D9"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 xml:space="preserve">1V 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4B02DDE" w14:textId="77777777" w:rsidR="004942B6" w:rsidRPr="00A024DA" w:rsidRDefault="004942B6" w:rsidP="002C2525">
            <w:pPr>
              <w:spacing w:after="0" w:line="240" w:lineRule="auto"/>
              <w:rPr>
                <w:sz w:val="24"/>
                <w:szCs w:val="24"/>
              </w:rPr>
            </w:pPr>
            <w:r>
              <w:rPr>
                <w:rFonts w:ascii="Calibri" w:hAnsi="Calibri" w:cs="Calibri"/>
                <w:color w:val="000000"/>
                <w:sz w:val="24"/>
                <w:szCs w:val="24"/>
              </w:rPr>
              <w:t xml:space="preserve">1V PCI + mFFR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5DC75E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w:t>
            </w:r>
            <w:r>
              <w:rPr>
                <w:rFonts w:ascii="Calibri" w:hAnsi="Calibri" w:cs="Calibri"/>
                <w:color w:val="000000"/>
                <w:sz w:val="24"/>
                <w:szCs w:val="24"/>
              </w:rPr>
              <w:t>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5A46ACC"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2022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FA1F751" w14:textId="77777777" w:rsidR="004942B6" w:rsidRPr="00A024DA" w:rsidRDefault="004942B6" w:rsidP="002C2525">
            <w:pPr>
              <w:spacing w:after="0" w:line="240" w:lineRule="auto"/>
              <w:rPr>
                <w:rFonts w:ascii="Calibri" w:hAnsi="Calibri" w:cs="Calibri"/>
                <w:b/>
                <w:bCs/>
                <w:color w:val="00B05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w:t>
            </w:r>
            <w:r>
              <w:rPr>
                <w:rFonts w:ascii="Calibri" w:hAnsi="Calibri" w:cs="Calibri"/>
                <w:b/>
                <w:bCs/>
                <w:color w:val="C00000"/>
                <w:sz w:val="24"/>
                <w:szCs w:val="24"/>
              </w:rPr>
              <w:t>586</w:t>
            </w:r>
          </w:p>
        </w:tc>
      </w:tr>
      <w:tr w:rsidR="004942B6" w:rsidRPr="00A024DA" w14:paraId="7F7DA6F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8537C0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lastRenderedPageBreak/>
              <w:t>242</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5C8E2B2"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56AD803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91C5E4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059884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5CE1EB9"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7E85242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27BA3C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247</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C460259"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4D4E50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4662149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BBC5AF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3FA9078"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1C4547B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4C9073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248</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3F25DBF6" w14:textId="77777777" w:rsidR="004942B6" w:rsidRPr="00A024DA" w:rsidRDefault="004942B6" w:rsidP="002C2525">
            <w:pPr>
              <w:spacing w:after="0" w:line="240" w:lineRule="auto"/>
              <w:rPr>
                <w:sz w:val="24"/>
                <w:szCs w:val="24"/>
              </w:rPr>
            </w:pPr>
            <w:r w:rsidRPr="00A024DA">
              <w:rPr>
                <w:sz w:val="24"/>
                <w:szCs w:val="24"/>
              </w:rPr>
              <w:t>2V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2A743B32" w14:textId="77777777" w:rsidR="004942B6" w:rsidRPr="00A024DA" w:rsidRDefault="004942B6" w:rsidP="002C2525">
            <w:pPr>
              <w:spacing w:after="0" w:line="240" w:lineRule="auto"/>
              <w:rPr>
                <w:sz w:val="24"/>
                <w:szCs w:val="24"/>
              </w:rPr>
            </w:pPr>
            <w:r>
              <w:rPr>
                <w:rFonts w:ascii="Calibri" w:hAnsi="Calibri" w:cs="Calibr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480FA3F0" w14:textId="77777777" w:rsidR="004942B6" w:rsidRPr="00A024DA" w:rsidRDefault="004942B6" w:rsidP="002C2525">
            <w:pPr>
              <w:spacing w:after="0" w:line="240" w:lineRule="auto"/>
              <w:rPr>
                <w:sz w:val="24"/>
                <w:szCs w:val="24"/>
              </w:rPr>
            </w:pPr>
            <w:r>
              <w:rPr>
                <w:rFonts w:ascii="Calibri" w:hAnsi="Calibri" w:cs="Calibri"/>
                <w:color w:val="000000"/>
                <w:sz w:val="24"/>
                <w:szCs w:val="24"/>
              </w:rPr>
              <w:t>1856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B10FF9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w:t>
            </w:r>
            <w:r>
              <w:rPr>
                <w:rFonts w:ascii="Calibri" w:hAnsi="Calibri" w:cs="Calibri"/>
                <w:color w:val="000000"/>
                <w:sz w:val="24"/>
                <w:szCs w:val="24"/>
              </w:rPr>
              <w:t>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628F4D3"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1ABB266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28DD74D3"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262</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2D79CB7"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4A3FF0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127CAF7B"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464AAAB"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4F449AC" w14:textId="77777777" w:rsidR="004942B6" w:rsidRPr="00A024DA" w:rsidRDefault="004942B6" w:rsidP="002C2525">
            <w:pPr>
              <w:spacing w:after="0" w:line="240" w:lineRule="auto"/>
              <w:rPr>
                <w:rFonts w:ascii="Calibri" w:hAnsi="Calibri" w:cs="Calibri"/>
                <w:b/>
                <w:bCs/>
                <w:color w:val="C00000"/>
                <w:sz w:val="24"/>
                <w:szCs w:val="24"/>
              </w:rPr>
            </w:pPr>
            <w:r w:rsidRPr="00497243">
              <w:rPr>
                <w:rFonts w:ascii="Calibri" w:hAnsi="Calibri" w:cs="Calibri"/>
                <w:sz w:val="24"/>
                <w:szCs w:val="24"/>
              </w:rPr>
              <w:t>No change</w:t>
            </w:r>
          </w:p>
        </w:tc>
      </w:tr>
      <w:tr w:rsidR="004942B6" w:rsidRPr="00A024DA" w14:paraId="61C2EF9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8BBF10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263</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D19EC82"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693310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37CDF3C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30DDF4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63B734B"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2D5077A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0E6F657B"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266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6294D46E"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02A67B5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47D7A535"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36E9B6DA"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F189672" w14:textId="77777777" w:rsidR="004942B6" w:rsidRPr="00A024DA" w:rsidRDefault="004942B6" w:rsidP="002C2525">
            <w:pPr>
              <w:spacing w:after="0" w:line="240" w:lineRule="auto"/>
              <w:rPr>
                <w:rFonts w:ascii="Calibri" w:hAnsi="Calibri" w:cs="Calibri"/>
                <w:b/>
                <w:bCs/>
                <w:color w:val="00B050"/>
                <w:sz w:val="24"/>
                <w:szCs w:val="24"/>
              </w:rPr>
            </w:pPr>
            <w:r w:rsidRPr="00497243">
              <w:rPr>
                <w:rFonts w:ascii="Calibri" w:hAnsi="Calibri" w:cs="Calibri"/>
                <w:sz w:val="24"/>
                <w:szCs w:val="24"/>
              </w:rPr>
              <w:t>No change</w:t>
            </w:r>
          </w:p>
        </w:tc>
      </w:tr>
      <w:tr w:rsidR="004942B6" w:rsidRPr="00A024DA" w14:paraId="11108F23"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30BB65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269</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35DD0B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711CB20E" w14:textId="77777777" w:rsidR="004942B6" w:rsidRPr="00A024DA" w:rsidRDefault="004942B6" w:rsidP="002C2525">
            <w:pPr>
              <w:spacing w:after="0" w:line="240" w:lineRule="auto"/>
              <w:rPr>
                <w:sz w:val="24"/>
                <w:szCs w:val="24"/>
              </w:rPr>
            </w:pPr>
            <w:r w:rsidRPr="00A024DA">
              <w:rPr>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74E7AF0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733A28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2EFB572"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5DBAC221"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34FF87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274</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6DFB193C" w14:textId="77777777" w:rsidR="004942B6" w:rsidRPr="00A024DA" w:rsidRDefault="004942B6" w:rsidP="002C2525">
            <w:pPr>
              <w:spacing w:after="0" w:line="240" w:lineRule="auto"/>
              <w:rPr>
                <w:sz w:val="24"/>
                <w:szCs w:val="24"/>
              </w:rPr>
            </w:pPr>
            <w:r>
              <w:rPr>
                <w:rFonts w:ascii="Calibri" w:hAnsi="Calibri" w:cs="Calibr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5503FB3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14CA81D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7E3184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E271E1B" w14:textId="77777777" w:rsidR="004942B6" w:rsidRPr="00A024DA" w:rsidRDefault="004942B6" w:rsidP="002C2525">
            <w:pPr>
              <w:spacing w:after="0" w:line="240" w:lineRule="auto"/>
              <w:rPr>
                <w:b/>
                <w:bCs/>
                <w:color w:val="C00000"/>
                <w:sz w:val="24"/>
                <w:szCs w:val="24"/>
              </w:rPr>
            </w:pPr>
            <w:r w:rsidRPr="00497243">
              <w:rPr>
                <w:rFonts w:ascii="Calibri" w:hAnsi="Calibri" w:cs="Calibri"/>
                <w:sz w:val="24"/>
                <w:szCs w:val="24"/>
              </w:rPr>
              <w:t>No change</w:t>
            </w:r>
          </w:p>
        </w:tc>
      </w:tr>
      <w:tr w:rsidR="004942B6" w:rsidRPr="00A024DA" w14:paraId="5B5452F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0B6616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287</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4FC37818" w14:textId="77777777" w:rsidR="004942B6" w:rsidRPr="00A024DA" w:rsidRDefault="004942B6" w:rsidP="002C2525">
            <w:pPr>
              <w:spacing w:after="0" w:line="240" w:lineRule="auto"/>
              <w:rPr>
                <w:sz w:val="24"/>
                <w:szCs w:val="24"/>
              </w:rPr>
            </w:pPr>
            <w:r w:rsidRPr="00A024DA">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8E31C1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BB9835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6F1349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E7A77D8"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497243" w14:paraId="3159D18F" w14:textId="77777777" w:rsidTr="002C2525">
        <w:trPr>
          <w:trHeight w:val="320"/>
        </w:trPr>
        <w:tc>
          <w:tcPr>
            <w:tcW w:w="4786" w:type="dxa"/>
            <w:gridSpan w:val="3"/>
            <w:tcBorders>
              <w:top w:val="nil"/>
              <w:left w:val="single" w:sz="4" w:space="0" w:color="auto"/>
              <w:bottom w:val="single" w:sz="4" w:space="0" w:color="auto"/>
              <w:right w:val="single" w:sz="4" w:space="0" w:color="auto"/>
            </w:tcBorders>
            <w:shd w:val="clear" w:color="auto" w:fill="FFFFFF" w:themeFill="background1"/>
            <w:noWrap/>
            <w:vAlign w:val="bottom"/>
          </w:tcPr>
          <w:p w14:paraId="4CFEA73D"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Average per patient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062B822"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£1879.5</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63EDC8C"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£2058</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49FCBC9" w14:textId="77777777" w:rsidR="004942B6" w:rsidRPr="00497243" w:rsidRDefault="004942B6" w:rsidP="002C2525">
            <w:pPr>
              <w:spacing w:after="0" w:line="240" w:lineRule="auto"/>
              <w:rPr>
                <w:rFonts w:ascii="Calibri" w:hAnsi="Calibri" w:cs="Calibri"/>
                <w:sz w:val="24"/>
                <w:szCs w:val="24"/>
              </w:rPr>
            </w:pPr>
            <w:r>
              <w:rPr>
                <w:rFonts w:ascii="Calibri" w:hAnsi="Calibri" w:cs="Calibri"/>
                <w:color w:val="000000"/>
                <w:sz w:val="24"/>
                <w:szCs w:val="24"/>
              </w:rPr>
              <w:t>£178.5</w:t>
            </w:r>
          </w:p>
        </w:tc>
      </w:tr>
      <w:tr w:rsidR="004942B6" w:rsidRPr="00497243" w14:paraId="06B1FC3B" w14:textId="77777777" w:rsidTr="002C2525">
        <w:trPr>
          <w:trHeight w:val="484"/>
        </w:trPr>
        <w:tc>
          <w:tcPr>
            <w:tcW w:w="9747" w:type="dxa"/>
            <w:gridSpan w:val="6"/>
            <w:tcBorders>
              <w:top w:val="nil"/>
              <w:left w:val="single" w:sz="4" w:space="0" w:color="auto"/>
              <w:bottom w:val="single" w:sz="4" w:space="0" w:color="auto"/>
              <w:right w:val="single" w:sz="4" w:space="0" w:color="auto"/>
            </w:tcBorders>
            <w:shd w:val="clear" w:color="auto" w:fill="FFFFFF" w:themeFill="background1"/>
            <w:noWrap/>
            <w:vAlign w:val="bottom"/>
          </w:tcPr>
          <w:p w14:paraId="5DC93862" w14:textId="77777777" w:rsidR="004942B6" w:rsidRDefault="004942B6" w:rsidP="002C2525">
            <w:pPr>
              <w:spacing w:after="0" w:line="240" w:lineRule="auto"/>
              <w:rPr>
                <w:rFonts w:eastAsia="Times New Roman" w:cstheme="minorHAnsi"/>
                <w:color w:val="000000" w:themeColor="text1"/>
                <w:sz w:val="24"/>
                <w:szCs w:val="24"/>
                <w:lang w:eastAsia="en-GB"/>
              </w:rPr>
            </w:pPr>
            <w:r w:rsidRPr="00913D9A">
              <w:rPr>
                <w:rFonts w:eastAsia="Times New Roman" w:cstheme="minorHAnsi"/>
                <w:color w:val="000000" w:themeColor="text1"/>
                <w:sz w:val="24"/>
                <w:szCs w:val="24"/>
                <w:lang w:eastAsia="en-GB"/>
              </w:rPr>
              <w:t xml:space="preserve">1V PCI represents PCI performed for </w:t>
            </w:r>
            <w:r>
              <w:rPr>
                <w:rFonts w:eastAsia="Times New Roman" w:cstheme="minorHAnsi"/>
                <w:color w:val="000000" w:themeColor="text1"/>
                <w:sz w:val="24"/>
                <w:szCs w:val="24"/>
                <w:lang w:eastAsia="en-GB"/>
              </w:rPr>
              <w:t>one vessel</w:t>
            </w:r>
            <w:r w:rsidRPr="00913D9A">
              <w:rPr>
                <w:rFonts w:eastAsia="Times New Roman" w:cstheme="minorHAnsi"/>
                <w:color w:val="000000" w:themeColor="text1"/>
                <w:sz w:val="24"/>
                <w:szCs w:val="24"/>
                <w:lang w:eastAsia="en-GB"/>
              </w:rPr>
              <w:t xml:space="preserve">, and 2V PCI denotes PCI performed for </w:t>
            </w:r>
            <w:r>
              <w:rPr>
                <w:rFonts w:eastAsia="Times New Roman" w:cstheme="minorHAnsi"/>
                <w:color w:val="000000" w:themeColor="text1"/>
                <w:sz w:val="24"/>
                <w:szCs w:val="24"/>
                <w:lang w:eastAsia="en-GB"/>
              </w:rPr>
              <w:t>two vessels.</w:t>
            </w:r>
          </w:p>
          <w:p w14:paraId="0B84F4DA" w14:textId="77777777" w:rsidR="004942B6" w:rsidRPr="00497243" w:rsidRDefault="004942B6" w:rsidP="002C2525">
            <w:pPr>
              <w:spacing w:after="0" w:line="240" w:lineRule="auto"/>
              <w:rPr>
                <w:rFonts w:ascii="Calibri" w:hAnsi="Calibri" w:cs="Calibri"/>
                <w:sz w:val="24"/>
                <w:szCs w:val="24"/>
              </w:rPr>
            </w:pPr>
            <w:r w:rsidRPr="0030432E">
              <w:rPr>
                <w:rFonts w:eastAsia="Times New Roman" w:cstheme="minorHAnsi"/>
                <w:color w:val="000000" w:themeColor="text1"/>
                <w:sz w:val="24"/>
                <w:szCs w:val="24"/>
                <w:lang w:eastAsia="en-GB"/>
              </w:rPr>
              <w:t xml:space="preserve">"+" </w:t>
            </w:r>
            <w:r>
              <w:rPr>
                <w:rFonts w:eastAsia="Times New Roman" w:cstheme="minorHAnsi"/>
                <w:color w:val="000000" w:themeColor="text1"/>
                <w:sz w:val="24"/>
                <w:szCs w:val="24"/>
                <w:lang w:eastAsia="en-GB"/>
              </w:rPr>
              <w:t>shows a</w:t>
            </w:r>
            <w:r w:rsidRPr="0030432E">
              <w:rPr>
                <w:rFonts w:eastAsia="Times New Roman" w:cstheme="minorHAnsi"/>
                <w:color w:val="000000" w:themeColor="text1"/>
                <w:sz w:val="24"/>
                <w:szCs w:val="24"/>
                <w:lang w:eastAsia="en-GB"/>
              </w:rPr>
              <w:t xml:space="preserve"> virtual additional cost, whereas "-" represents a virtual reduction in the cost of the index procedure due to a notional change in the management plan.</w:t>
            </w:r>
          </w:p>
        </w:tc>
      </w:tr>
      <w:tr w:rsidR="004942B6" w:rsidRPr="00913D9A" w14:paraId="523E0F53" w14:textId="77777777" w:rsidTr="002C2525">
        <w:trPr>
          <w:trHeight w:val="484"/>
        </w:trPr>
        <w:tc>
          <w:tcPr>
            <w:tcW w:w="9747" w:type="dxa"/>
            <w:gridSpan w:val="6"/>
            <w:tcBorders>
              <w:top w:val="nil"/>
              <w:left w:val="single" w:sz="4" w:space="0" w:color="auto"/>
              <w:bottom w:val="single" w:sz="4" w:space="0" w:color="auto"/>
              <w:right w:val="single" w:sz="4" w:space="0" w:color="auto"/>
            </w:tcBorders>
            <w:shd w:val="clear" w:color="auto" w:fill="FFFFFF" w:themeFill="background1"/>
            <w:noWrap/>
            <w:vAlign w:val="bottom"/>
          </w:tcPr>
          <w:p w14:paraId="75261D46" w14:textId="77777777" w:rsidR="004942B6" w:rsidRPr="00913D9A" w:rsidRDefault="004942B6" w:rsidP="002C2525">
            <w:pPr>
              <w:spacing w:after="0" w:line="240" w:lineRule="auto"/>
              <w:rPr>
                <w:rFonts w:eastAsia="Times New Roman" w:cstheme="minorHAnsi"/>
                <w:color w:val="000000" w:themeColor="text1"/>
                <w:sz w:val="24"/>
                <w:szCs w:val="24"/>
                <w:lang w:eastAsia="en-GB"/>
              </w:rPr>
            </w:pPr>
          </w:p>
        </w:tc>
      </w:tr>
      <w:tr w:rsidR="004942B6" w:rsidRPr="00BE53CD" w14:paraId="48363742" w14:textId="77777777" w:rsidTr="002C2525">
        <w:trPr>
          <w:trHeight w:val="846"/>
        </w:trPr>
        <w:tc>
          <w:tcPr>
            <w:tcW w:w="9747" w:type="dxa"/>
            <w:gridSpan w:val="6"/>
            <w:tcBorders>
              <w:top w:val="nil"/>
              <w:left w:val="single" w:sz="4" w:space="0" w:color="auto"/>
              <w:bottom w:val="single" w:sz="4" w:space="0" w:color="auto"/>
              <w:right w:val="single" w:sz="4" w:space="0" w:color="auto"/>
            </w:tcBorders>
            <w:shd w:val="clear" w:color="auto" w:fill="FFFFFF" w:themeFill="background1"/>
            <w:noWrap/>
            <w:vAlign w:val="bottom"/>
          </w:tcPr>
          <w:p w14:paraId="31DEB799" w14:textId="7D4F92C8" w:rsidR="004942B6" w:rsidRPr="00BE53CD" w:rsidRDefault="004942B6" w:rsidP="002C2525">
            <w:pPr>
              <w:spacing w:after="0" w:line="240" w:lineRule="auto"/>
              <w:rPr>
                <w:rFonts w:ascii="Calibri" w:hAnsi="Calibri" w:cs="Calibri"/>
                <w:sz w:val="28"/>
                <w:szCs w:val="28"/>
              </w:rPr>
            </w:pPr>
            <w:r w:rsidRPr="00BE53CD">
              <w:rPr>
                <w:b/>
                <w:bCs/>
                <w:sz w:val="28"/>
                <w:szCs w:val="28"/>
              </w:rPr>
              <w:t xml:space="preserve">Pre- and post-vFFR management </w:t>
            </w:r>
            <w:r>
              <w:rPr>
                <w:b/>
                <w:bCs/>
                <w:sz w:val="28"/>
                <w:szCs w:val="28"/>
              </w:rPr>
              <w:t>for the “</w:t>
            </w:r>
            <w:r w:rsidRPr="002C3A1D">
              <w:rPr>
                <w:b/>
                <w:bCs/>
                <w:sz w:val="32"/>
                <w:szCs w:val="32"/>
              </w:rPr>
              <w:t>CCS patients</w:t>
            </w:r>
            <w:r>
              <w:rPr>
                <w:b/>
                <w:bCs/>
                <w:sz w:val="32"/>
                <w:szCs w:val="32"/>
              </w:rPr>
              <w:t>”</w:t>
            </w:r>
            <w:r w:rsidRPr="002C3A1D">
              <w:rPr>
                <w:b/>
                <w:bCs/>
                <w:sz w:val="28"/>
                <w:szCs w:val="28"/>
              </w:rPr>
              <w:t xml:space="preserve"> and impact on costs of the index procedures (based on </w:t>
            </w:r>
            <w:r w:rsidR="008E5362">
              <w:rPr>
                <w:b/>
                <w:bCs/>
                <w:sz w:val="32"/>
                <w:szCs w:val="32"/>
              </w:rPr>
              <w:t>expert MDT-1</w:t>
            </w:r>
            <w:r w:rsidRPr="002C3A1D">
              <w:rPr>
                <w:b/>
                <w:bCs/>
                <w:sz w:val="28"/>
                <w:szCs w:val="28"/>
              </w:rPr>
              <w:t>)</w:t>
            </w:r>
          </w:p>
        </w:tc>
      </w:tr>
      <w:tr w:rsidR="004942B6" w:rsidRPr="00497243" w14:paraId="1DAFEA7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center"/>
          </w:tcPr>
          <w:p w14:paraId="62F2AE2D" w14:textId="77777777" w:rsidR="004942B6" w:rsidRPr="00A024DA" w:rsidRDefault="004942B6" w:rsidP="002C2525">
            <w:pPr>
              <w:spacing w:after="0" w:line="240" w:lineRule="auto"/>
              <w:rPr>
                <w:rFonts w:ascii="Calibri" w:hAnsi="Calibri" w:cs="Calibri"/>
                <w:color w:val="000000"/>
                <w:sz w:val="24"/>
                <w:szCs w:val="24"/>
              </w:rPr>
            </w:pPr>
            <w:r w:rsidRPr="00A16EF7">
              <w:rPr>
                <w:b/>
                <w:bCs/>
                <w:sz w:val="24"/>
                <w:szCs w:val="24"/>
              </w:rPr>
              <w:t>Study ID</w:t>
            </w:r>
          </w:p>
        </w:tc>
        <w:tc>
          <w:tcPr>
            <w:tcW w:w="1985" w:type="dxa"/>
            <w:tcBorders>
              <w:top w:val="nil"/>
              <w:left w:val="nil"/>
              <w:bottom w:val="single" w:sz="4" w:space="0" w:color="auto"/>
              <w:right w:val="single" w:sz="4" w:space="0" w:color="auto"/>
            </w:tcBorders>
            <w:shd w:val="clear" w:color="auto" w:fill="FFFFFF" w:themeFill="background1"/>
            <w:noWrap/>
            <w:vAlign w:val="center"/>
          </w:tcPr>
          <w:p w14:paraId="1310CDF7" w14:textId="77777777" w:rsidR="004942B6" w:rsidRPr="00A024DA" w:rsidRDefault="004942B6" w:rsidP="002C2525">
            <w:pPr>
              <w:spacing w:after="0" w:line="240" w:lineRule="auto"/>
              <w:rPr>
                <w:sz w:val="24"/>
                <w:szCs w:val="24"/>
              </w:rPr>
            </w:pPr>
            <w:r>
              <w:rPr>
                <w:b/>
                <w:bCs/>
                <w:sz w:val="24"/>
                <w:szCs w:val="24"/>
              </w:rPr>
              <w:t>Pre-vFFR expert plans</w:t>
            </w:r>
          </w:p>
        </w:tc>
        <w:tc>
          <w:tcPr>
            <w:tcW w:w="1984" w:type="dxa"/>
            <w:tcBorders>
              <w:top w:val="nil"/>
              <w:left w:val="nil"/>
              <w:bottom w:val="single" w:sz="4" w:space="0" w:color="auto"/>
              <w:right w:val="single" w:sz="4" w:space="0" w:color="auto"/>
            </w:tcBorders>
            <w:shd w:val="clear" w:color="auto" w:fill="FFFFFF" w:themeFill="background1"/>
            <w:noWrap/>
            <w:vAlign w:val="center"/>
          </w:tcPr>
          <w:p w14:paraId="06BA3980" w14:textId="77777777" w:rsidR="004942B6" w:rsidRPr="00A024DA" w:rsidRDefault="004942B6" w:rsidP="002C2525">
            <w:pPr>
              <w:spacing w:after="0" w:line="240" w:lineRule="auto"/>
              <w:rPr>
                <w:rFonts w:ascii="Calibri" w:hAnsi="Calibri" w:cs="Calibri"/>
                <w:color w:val="000000"/>
                <w:sz w:val="24"/>
                <w:szCs w:val="24"/>
              </w:rPr>
            </w:pPr>
            <w:r>
              <w:rPr>
                <w:b/>
                <w:bCs/>
                <w:sz w:val="24"/>
                <w:szCs w:val="24"/>
              </w:rPr>
              <w:t xml:space="preserve">Post-vFFR expert plans </w:t>
            </w:r>
          </w:p>
        </w:tc>
        <w:tc>
          <w:tcPr>
            <w:tcW w:w="1730" w:type="dxa"/>
            <w:tcBorders>
              <w:top w:val="nil"/>
              <w:left w:val="nil"/>
              <w:bottom w:val="single" w:sz="4" w:space="0" w:color="auto"/>
              <w:right w:val="single" w:sz="4" w:space="0" w:color="auto"/>
            </w:tcBorders>
            <w:shd w:val="clear" w:color="auto" w:fill="FFFFFF" w:themeFill="background1"/>
            <w:noWrap/>
            <w:vAlign w:val="center"/>
          </w:tcPr>
          <w:p w14:paraId="313CA2E4" w14:textId="77777777" w:rsidR="004942B6" w:rsidRPr="00A024DA" w:rsidRDefault="004942B6" w:rsidP="002C2525">
            <w:pPr>
              <w:spacing w:after="0" w:line="240" w:lineRule="auto"/>
              <w:rPr>
                <w:rFonts w:ascii="Calibri" w:hAnsi="Calibri" w:cs="Calibri"/>
                <w:color w:val="000000"/>
                <w:sz w:val="24"/>
                <w:szCs w:val="24"/>
              </w:rPr>
            </w:pPr>
            <w:r w:rsidRPr="00A16EF7">
              <w:rPr>
                <w:b/>
                <w:bCs/>
                <w:sz w:val="24"/>
                <w:szCs w:val="24"/>
              </w:rPr>
              <w:t xml:space="preserve">Cost of the </w:t>
            </w:r>
            <w:r>
              <w:rPr>
                <w:b/>
                <w:bCs/>
                <w:sz w:val="24"/>
                <w:szCs w:val="24"/>
              </w:rPr>
              <w:t>actual</w:t>
            </w:r>
            <w:r w:rsidRPr="00A16EF7">
              <w:rPr>
                <w:b/>
                <w:bCs/>
                <w:sz w:val="24"/>
                <w:szCs w:val="24"/>
              </w:rPr>
              <w:t xml:space="preserve"> management plan</w:t>
            </w:r>
            <w:r>
              <w:rPr>
                <w:b/>
                <w:bCs/>
                <w:sz w:val="24"/>
                <w:szCs w:val="24"/>
              </w:rPr>
              <w:t>s</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7E41D1ED" w14:textId="77777777" w:rsidR="004942B6" w:rsidRPr="00A024DA" w:rsidRDefault="004942B6" w:rsidP="002C2525">
            <w:pPr>
              <w:spacing w:after="0" w:line="240" w:lineRule="auto"/>
              <w:rPr>
                <w:rFonts w:ascii="Calibri" w:hAnsi="Calibri" w:cs="Calibri"/>
                <w:color w:val="000000"/>
                <w:sz w:val="24"/>
                <w:szCs w:val="24"/>
              </w:rPr>
            </w:pPr>
            <w:r w:rsidRPr="00A16EF7">
              <w:rPr>
                <w:b/>
                <w:bCs/>
                <w:sz w:val="24"/>
                <w:szCs w:val="24"/>
              </w:rPr>
              <w:t xml:space="preserve">Cost of the </w:t>
            </w:r>
            <w:r>
              <w:rPr>
                <w:b/>
                <w:bCs/>
                <w:sz w:val="24"/>
                <w:szCs w:val="24"/>
              </w:rPr>
              <w:t>virtual</w:t>
            </w:r>
            <w:r w:rsidRPr="00A16EF7">
              <w:rPr>
                <w:b/>
                <w:bCs/>
                <w:sz w:val="24"/>
                <w:szCs w:val="24"/>
              </w:rPr>
              <w:t xml:space="preserve"> management plan</w:t>
            </w:r>
            <w:r>
              <w:rPr>
                <w:b/>
                <w:bCs/>
                <w:sz w:val="24"/>
                <w:szCs w:val="24"/>
              </w:rPr>
              <w:t>s</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1F6DC7" w14:textId="77777777" w:rsidR="004942B6" w:rsidRDefault="004942B6" w:rsidP="002C2525">
            <w:pPr>
              <w:spacing w:after="0" w:line="240" w:lineRule="auto"/>
              <w:jc w:val="both"/>
              <w:rPr>
                <w:b/>
                <w:bCs/>
                <w:color w:val="000000" w:themeColor="text1"/>
                <w:sz w:val="24"/>
                <w:szCs w:val="24"/>
              </w:rPr>
            </w:pPr>
            <w:r>
              <w:rPr>
                <w:b/>
                <w:bCs/>
                <w:color w:val="000000" w:themeColor="text1"/>
                <w:sz w:val="24"/>
                <w:szCs w:val="24"/>
              </w:rPr>
              <w:t>Virtual c</w:t>
            </w:r>
            <w:r w:rsidRPr="00A16EF7">
              <w:rPr>
                <w:b/>
                <w:bCs/>
                <w:color w:val="000000" w:themeColor="text1"/>
                <w:sz w:val="24"/>
                <w:szCs w:val="24"/>
              </w:rPr>
              <w:t>hange in</w:t>
            </w:r>
            <w:r>
              <w:rPr>
                <w:b/>
                <w:bCs/>
                <w:color w:val="000000" w:themeColor="text1"/>
                <w:sz w:val="24"/>
                <w:szCs w:val="24"/>
              </w:rPr>
              <w:t xml:space="preserve"> the </w:t>
            </w:r>
            <w:r w:rsidRPr="00A16EF7">
              <w:rPr>
                <w:b/>
                <w:bCs/>
                <w:color w:val="000000" w:themeColor="text1"/>
                <w:sz w:val="24"/>
                <w:szCs w:val="24"/>
              </w:rPr>
              <w:t xml:space="preserve">cost </w:t>
            </w:r>
          </w:p>
          <w:p w14:paraId="56C34EB9" w14:textId="77777777" w:rsidR="004942B6" w:rsidRPr="00497243" w:rsidRDefault="004942B6" w:rsidP="002C2525">
            <w:pPr>
              <w:spacing w:after="0" w:line="240" w:lineRule="auto"/>
              <w:rPr>
                <w:rFonts w:ascii="Calibri" w:hAnsi="Calibri" w:cs="Calibri"/>
                <w:sz w:val="24"/>
                <w:szCs w:val="24"/>
              </w:rPr>
            </w:pPr>
            <w:r w:rsidRPr="00A16EF7">
              <w:rPr>
                <w:b/>
                <w:bCs/>
                <w:color w:val="000000" w:themeColor="text1"/>
                <w:sz w:val="24"/>
                <w:szCs w:val="24"/>
              </w:rPr>
              <w:t>(B-A)</w:t>
            </w:r>
          </w:p>
        </w:tc>
      </w:tr>
      <w:tr w:rsidR="004942B6" w:rsidRPr="00497243" w14:paraId="0F0EC3F5"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00C2E094"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F2E3F38" w14:textId="77777777" w:rsidR="004942B6" w:rsidRPr="00A024DA" w:rsidRDefault="004942B6" w:rsidP="002C2525">
            <w:pPr>
              <w:spacing w:after="0" w:line="240" w:lineRule="auto"/>
              <w:rPr>
                <w:sz w:val="24"/>
                <w:szCs w:val="24"/>
              </w:rPr>
            </w:pPr>
            <w:r>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C3C1CB0"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9256CF8"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w:t>
            </w:r>
            <w:r>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BD2488C"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D3616A0"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5F022EE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44803A96"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06546942" w14:textId="77777777" w:rsidR="004942B6" w:rsidRPr="00A024DA" w:rsidRDefault="004942B6" w:rsidP="002C2525">
            <w:pPr>
              <w:spacing w:after="0" w:line="240" w:lineRule="auto"/>
              <w:rPr>
                <w:sz w:val="24"/>
                <w:szCs w:val="24"/>
              </w:rPr>
            </w:pPr>
            <w:r>
              <w:rPr>
                <w:rFonts w:cstheme="minorHAnsi"/>
                <w:color w:val="000000"/>
                <w:sz w:val="24"/>
                <w:szCs w:val="24"/>
              </w:rPr>
              <w:t>2V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F56B781"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 xml:space="preserve">2V PCI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CCAC858"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w:t>
            </w:r>
            <w:r>
              <w:rPr>
                <w:rFonts w:cstheme="minorHAnsi"/>
                <w:sz w:val="24"/>
                <w:szCs w:val="24"/>
              </w:rPr>
              <w:t>1652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3A74DB2B"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008DC8F"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031EDAF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1CEC675"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 xml:space="preserve">D20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24A07596" w14:textId="77777777" w:rsidR="004942B6" w:rsidRPr="00A024DA" w:rsidRDefault="004942B6" w:rsidP="002C2525">
            <w:pPr>
              <w:spacing w:after="0" w:line="240" w:lineRule="auto"/>
              <w:rPr>
                <w:sz w:val="24"/>
                <w:szCs w:val="24"/>
              </w:rPr>
            </w:pPr>
            <w:r w:rsidRPr="002A5BC1">
              <w:rPr>
                <w:rFonts w:cstheme="minorHAns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ACBB15E"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2</w:t>
            </w:r>
            <w:r w:rsidRPr="002A5BC1">
              <w:rPr>
                <w:rFonts w:cstheme="minorHAnsi"/>
                <w:color w:val="000000"/>
                <w:sz w:val="24"/>
                <w:szCs w:val="24"/>
              </w:rPr>
              <w:t>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3602DA1"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BC34219"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w:t>
            </w:r>
            <w:r>
              <w:rPr>
                <w:rFonts w:cstheme="minorHAnsi"/>
                <w:color w:val="000000"/>
                <w:sz w:val="24"/>
                <w:szCs w:val="24"/>
              </w:rPr>
              <w:t>1652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CCB6CEE" w14:textId="77777777" w:rsidR="004942B6" w:rsidRPr="00497243" w:rsidRDefault="004942B6" w:rsidP="002C2525">
            <w:pPr>
              <w:spacing w:after="0" w:line="240" w:lineRule="auto"/>
              <w:rPr>
                <w:rFonts w:ascii="Calibri" w:hAnsi="Calibri" w:cs="Calibri"/>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w:t>
            </w:r>
            <w:r>
              <w:rPr>
                <w:rFonts w:cstheme="minorHAnsi"/>
                <w:b/>
                <w:bCs/>
                <w:color w:val="C00000"/>
                <w:sz w:val="24"/>
                <w:szCs w:val="24"/>
              </w:rPr>
              <w:t>389</w:t>
            </w:r>
          </w:p>
        </w:tc>
      </w:tr>
      <w:tr w:rsidR="004942B6" w:rsidRPr="00497243" w14:paraId="68FC75A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51C36D9B"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R4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150A369" w14:textId="77777777" w:rsidR="004942B6" w:rsidRPr="00A024DA" w:rsidRDefault="004942B6" w:rsidP="002C2525">
            <w:pPr>
              <w:spacing w:after="0" w:line="240" w:lineRule="auto"/>
              <w:rPr>
                <w:sz w:val="24"/>
                <w:szCs w:val="24"/>
              </w:rPr>
            </w:pPr>
            <w:r w:rsidRPr="002A5BC1">
              <w:rPr>
                <w:rFonts w:cstheme="minorHAns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D99C44B"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F0C4039"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4088F6C"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772C500"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6EEE8EF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38397928"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R6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0FE9BAF1" w14:textId="77777777" w:rsidR="004942B6" w:rsidRPr="00A024DA" w:rsidRDefault="004942B6" w:rsidP="002C2525">
            <w:pPr>
              <w:spacing w:after="0" w:line="240" w:lineRule="auto"/>
              <w:rPr>
                <w:sz w:val="24"/>
                <w:szCs w:val="24"/>
              </w:rPr>
            </w:pPr>
            <w:r w:rsidRPr="002A5BC1">
              <w:rPr>
                <w:rFonts w:cstheme="minorHAns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4B56700"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E3D2E5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C286493"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4A73D7D"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44FE9116"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50EFA087"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 xml:space="preserve">D25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13EE2C31" w14:textId="77777777" w:rsidR="004942B6" w:rsidRPr="00A024DA" w:rsidRDefault="004942B6" w:rsidP="002C2525">
            <w:pPr>
              <w:spacing w:after="0" w:line="240" w:lineRule="auto"/>
              <w:rPr>
                <w:sz w:val="24"/>
                <w:szCs w:val="24"/>
              </w:rPr>
            </w:pPr>
            <w:r w:rsidRPr="002A5BC1">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32222C7"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mFFR + 1V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F9CF101"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2D67C7F"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£1849</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972D266" w14:textId="77777777" w:rsidR="004942B6" w:rsidRPr="00497243" w:rsidRDefault="004942B6" w:rsidP="002C2525">
            <w:pPr>
              <w:spacing w:after="0" w:line="240" w:lineRule="auto"/>
              <w:rPr>
                <w:rFonts w:ascii="Calibri" w:hAnsi="Calibri" w:cs="Calibri"/>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£586</w:t>
            </w:r>
          </w:p>
        </w:tc>
      </w:tr>
      <w:tr w:rsidR="004942B6" w:rsidRPr="00497243" w14:paraId="5974389F"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510D779"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 xml:space="preserve">D26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22273F09" w14:textId="77777777" w:rsidR="004942B6" w:rsidRPr="00A024DA" w:rsidRDefault="004942B6" w:rsidP="002C2525">
            <w:pPr>
              <w:spacing w:after="0" w:line="240" w:lineRule="auto"/>
              <w:rPr>
                <w:sz w:val="24"/>
                <w:szCs w:val="24"/>
              </w:rPr>
            </w:pPr>
            <w:r w:rsidRPr="002A5BC1">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6A9FC55"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2</w:t>
            </w:r>
            <w:r w:rsidRPr="002A5BC1">
              <w:rPr>
                <w:rFonts w:cstheme="minorHAnsi"/>
                <w:color w:val="000000"/>
                <w:sz w:val="24"/>
                <w:szCs w:val="24"/>
              </w:rPr>
              <w:t>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2422E55"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FF84A78"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w:t>
            </w:r>
            <w:r>
              <w:rPr>
                <w:rFonts w:cstheme="minorHAnsi"/>
                <w:color w:val="000000"/>
                <w:sz w:val="24"/>
                <w:szCs w:val="24"/>
              </w:rPr>
              <w:t>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34DC466" w14:textId="77777777" w:rsidR="004942B6" w:rsidRPr="00497243" w:rsidRDefault="004942B6" w:rsidP="002C2525">
            <w:pPr>
              <w:spacing w:after="0" w:line="240" w:lineRule="auto"/>
              <w:rPr>
                <w:rFonts w:ascii="Calibri" w:hAnsi="Calibri" w:cs="Calibri"/>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w:t>
            </w:r>
            <w:r>
              <w:rPr>
                <w:rFonts w:cstheme="minorHAnsi"/>
                <w:b/>
                <w:bCs/>
                <w:color w:val="C00000"/>
                <w:sz w:val="24"/>
                <w:szCs w:val="24"/>
              </w:rPr>
              <w:t>389</w:t>
            </w:r>
          </w:p>
        </w:tc>
      </w:tr>
      <w:tr w:rsidR="004942B6" w:rsidRPr="00497243" w14:paraId="14B1508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5AAD151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D27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D0FD2DA" w14:textId="77777777" w:rsidR="004942B6" w:rsidRPr="00A024DA" w:rsidRDefault="004942B6" w:rsidP="002C2525">
            <w:pPr>
              <w:spacing w:after="0" w:line="240" w:lineRule="auto"/>
              <w:rPr>
                <w:sz w:val="24"/>
                <w:szCs w:val="24"/>
              </w:rPr>
            </w:pPr>
            <w:r>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2318BC74"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7027E05"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5A92B0F"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5E59C7D"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76BBEB56"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16B6B89"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D28</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10969D2" w14:textId="77777777" w:rsidR="004942B6" w:rsidRPr="00A024DA" w:rsidRDefault="004942B6" w:rsidP="002C2525">
            <w:pPr>
              <w:spacing w:after="0" w:line="240" w:lineRule="auto"/>
              <w:rPr>
                <w:sz w:val="24"/>
                <w:szCs w:val="24"/>
              </w:rPr>
            </w:pPr>
            <w:r>
              <w:rPr>
                <w:rFonts w:cstheme="minorHAnsi"/>
                <w:sz w:val="24"/>
                <w:szCs w:val="24"/>
              </w:rPr>
              <w:t>2V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212D6B4B"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679D317"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652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AA4180F"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43BD735"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7DA4BDF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22402F57"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D33</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1364E211" w14:textId="77777777" w:rsidR="004942B6" w:rsidRPr="00A024DA" w:rsidRDefault="004942B6" w:rsidP="002C2525">
            <w:pPr>
              <w:spacing w:after="0" w:line="240" w:lineRule="auto"/>
              <w:rPr>
                <w:sz w:val="24"/>
                <w:szCs w:val="24"/>
              </w:rPr>
            </w:pPr>
            <w:r>
              <w:rPr>
                <w:rFonts w:cstheme="minorHAnsi"/>
                <w:sz w:val="24"/>
                <w:szCs w:val="24"/>
              </w:rPr>
              <w:t>2</w:t>
            </w:r>
            <w:r w:rsidRPr="002A5BC1">
              <w:rPr>
                <w:rFonts w:cstheme="minorHAnsi"/>
                <w:sz w:val="24"/>
                <w:szCs w:val="24"/>
              </w:rPr>
              <w:t>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20416844"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849B420"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652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E8FE4A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1448B67"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5243B143"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34198F5E"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R12</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39DD7BF" w14:textId="77777777" w:rsidR="004942B6" w:rsidRPr="00A024DA" w:rsidRDefault="004942B6" w:rsidP="002C2525">
            <w:pPr>
              <w:spacing w:after="0" w:line="240" w:lineRule="auto"/>
              <w:rPr>
                <w:sz w:val="24"/>
                <w:szCs w:val="24"/>
              </w:rPr>
            </w:pPr>
            <w:r w:rsidRPr="002A5BC1">
              <w:rPr>
                <w:rFonts w:cstheme="minorHAns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96AA8FB" w14:textId="77777777" w:rsidR="004942B6" w:rsidRPr="00A024DA" w:rsidRDefault="004942B6" w:rsidP="002C2525">
            <w:pPr>
              <w:spacing w:after="0" w:line="240" w:lineRule="auto"/>
              <w:rPr>
                <w:rFonts w:ascii="Calibri" w:hAnsi="Calibri" w:cs="Calibri"/>
                <w:color w:val="000000"/>
                <w:sz w:val="24"/>
                <w:szCs w:val="24"/>
              </w:rPr>
            </w:pPr>
            <w:r>
              <w:rPr>
                <w:rFonts w:cstheme="minorHAnsi"/>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BE182EB"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5685420"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E7038E7"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2A5BC1" w14:paraId="2A6FF31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09F42BCA" w14:textId="77777777" w:rsidR="004942B6" w:rsidRPr="002A5BC1" w:rsidRDefault="004942B6" w:rsidP="002C2525">
            <w:pPr>
              <w:spacing w:after="0" w:line="240" w:lineRule="auto"/>
              <w:rPr>
                <w:rFonts w:cstheme="minorHAnsi"/>
                <w:sz w:val="24"/>
                <w:szCs w:val="24"/>
              </w:rPr>
            </w:pPr>
            <w:r>
              <w:rPr>
                <w:rFonts w:cstheme="minorHAnsi"/>
                <w:sz w:val="24"/>
                <w:szCs w:val="24"/>
              </w:rPr>
              <w:t>B7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7408CB1"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026257DE" w14:textId="77777777" w:rsidR="004942B6" w:rsidRDefault="004942B6" w:rsidP="002C2525">
            <w:pPr>
              <w:spacing w:after="0" w:line="240" w:lineRule="auto"/>
              <w:rPr>
                <w:rFonts w:cstheme="minorHAnsi"/>
                <w:sz w:val="24"/>
                <w:szCs w:val="24"/>
              </w:rPr>
            </w:pPr>
            <w:r>
              <w:rPr>
                <w:rFonts w:cstheme="minorHAnsi"/>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11D192FA" w14:textId="77777777" w:rsidR="004942B6" w:rsidRPr="002A5BC1" w:rsidRDefault="004942B6" w:rsidP="002C2525">
            <w:pPr>
              <w:spacing w:after="0" w:line="240" w:lineRule="auto"/>
              <w:rPr>
                <w:rFonts w:cstheme="minorHAnsi"/>
                <w:sz w:val="24"/>
                <w:szCs w:val="24"/>
              </w:rPr>
            </w:pPr>
            <w:r>
              <w:rPr>
                <w:rFonts w:cstheme="minorHAnsi"/>
                <w:sz w:val="24"/>
                <w:szCs w:val="24"/>
              </w:rPr>
              <w:t>£160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3000448F" w14:textId="77777777" w:rsidR="004942B6" w:rsidRPr="002A5BC1" w:rsidRDefault="004942B6" w:rsidP="002C2525">
            <w:pPr>
              <w:spacing w:after="0" w:line="240" w:lineRule="auto"/>
              <w:rPr>
                <w:rFonts w:cstheme="minorHAnsi"/>
                <w:sz w:val="24"/>
                <w:szCs w:val="24"/>
              </w:rPr>
            </w:pPr>
            <w:r>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552F439" w14:textId="77777777" w:rsidR="004942B6" w:rsidRPr="002A5BC1" w:rsidRDefault="004942B6" w:rsidP="002C2525">
            <w:pPr>
              <w:spacing w:after="0" w:line="240" w:lineRule="auto"/>
              <w:rPr>
                <w:rFonts w:cstheme="minorHAnsi"/>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w:t>
            </w:r>
            <w:r>
              <w:rPr>
                <w:rFonts w:cstheme="minorHAnsi"/>
                <w:b/>
                <w:bCs/>
                <w:color w:val="C00000"/>
                <w:sz w:val="24"/>
                <w:szCs w:val="24"/>
              </w:rPr>
              <w:t>1103</w:t>
            </w:r>
          </w:p>
        </w:tc>
      </w:tr>
      <w:tr w:rsidR="004942B6" w:rsidRPr="002A5BC1" w14:paraId="3E40E4E2"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23CE9985" w14:textId="77777777" w:rsidR="004942B6" w:rsidRDefault="004942B6" w:rsidP="002C2525">
            <w:pPr>
              <w:spacing w:after="0" w:line="240" w:lineRule="auto"/>
              <w:rPr>
                <w:rFonts w:cstheme="minorHAnsi"/>
                <w:sz w:val="24"/>
                <w:szCs w:val="24"/>
              </w:rPr>
            </w:pPr>
            <w:r>
              <w:rPr>
                <w:rFonts w:cstheme="minorHAnsi"/>
                <w:sz w:val="24"/>
                <w:szCs w:val="24"/>
              </w:rPr>
              <w:t>B11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7E45211"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CABG x 4</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D2D2C59" w14:textId="77777777" w:rsidR="004942B6" w:rsidRDefault="004942B6" w:rsidP="002C2525">
            <w:pPr>
              <w:spacing w:after="0" w:line="240" w:lineRule="auto"/>
              <w:rPr>
                <w:rFonts w:cstheme="minorHAnsi"/>
                <w:sz w:val="24"/>
                <w:szCs w:val="24"/>
              </w:rPr>
            </w:pPr>
            <w:r>
              <w:rPr>
                <w:rFonts w:cstheme="minorHAnsi"/>
                <w:sz w:val="24"/>
                <w:szCs w:val="24"/>
              </w:rPr>
              <w:t>CABG x 3</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90B0176" w14:textId="77777777" w:rsidR="004942B6" w:rsidRDefault="004942B6" w:rsidP="002C2525">
            <w:pPr>
              <w:spacing w:after="0" w:line="240" w:lineRule="auto"/>
              <w:rPr>
                <w:rFonts w:cstheme="minorHAnsi"/>
                <w:sz w:val="24"/>
                <w:szCs w:val="24"/>
              </w:rPr>
            </w:pPr>
            <w:r>
              <w:rPr>
                <w:rFonts w:cstheme="minorHAnsi"/>
                <w:sz w:val="24"/>
                <w:szCs w:val="24"/>
              </w:rPr>
              <w:t>£10407</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643EF5F" w14:textId="77777777" w:rsidR="004942B6" w:rsidRDefault="004942B6" w:rsidP="002C2525">
            <w:pPr>
              <w:spacing w:after="0" w:line="240" w:lineRule="auto"/>
              <w:rPr>
                <w:rFonts w:cstheme="minorHAnsi"/>
                <w:sz w:val="24"/>
                <w:szCs w:val="24"/>
              </w:rPr>
            </w:pPr>
            <w:r>
              <w:rPr>
                <w:rFonts w:cstheme="minorHAnsi"/>
                <w:sz w:val="24"/>
                <w:szCs w:val="24"/>
              </w:rPr>
              <w:t>£8384</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742F1BE" w14:textId="77777777" w:rsidR="004942B6" w:rsidRPr="002A5BC1" w:rsidRDefault="004942B6" w:rsidP="002C2525">
            <w:pPr>
              <w:spacing w:after="0" w:line="240" w:lineRule="auto"/>
              <w:rPr>
                <w:rFonts w:cstheme="minorHAnsi"/>
                <w:b/>
                <w:bCs/>
                <w:color w:val="C00000"/>
                <w:sz w:val="24"/>
                <w:szCs w:val="24"/>
              </w:rPr>
            </w:pPr>
            <w:r>
              <w:rPr>
                <w:rFonts w:cstheme="minorHAnsi"/>
                <w:b/>
                <w:bCs/>
                <w:color w:val="00B050"/>
                <w:sz w:val="24"/>
                <w:szCs w:val="24"/>
              </w:rPr>
              <w:t xml:space="preserve">- </w:t>
            </w:r>
            <w:r w:rsidRPr="002A5BC1">
              <w:rPr>
                <w:rFonts w:cstheme="minorHAnsi"/>
                <w:b/>
                <w:bCs/>
                <w:color w:val="00B050"/>
                <w:sz w:val="24"/>
                <w:szCs w:val="24"/>
              </w:rPr>
              <w:t>£</w:t>
            </w:r>
            <w:r>
              <w:rPr>
                <w:rFonts w:cstheme="minorHAnsi"/>
                <w:b/>
                <w:bCs/>
                <w:color w:val="00B050"/>
                <w:sz w:val="24"/>
                <w:szCs w:val="24"/>
              </w:rPr>
              <w:t>2023</w:t>
            </w:r>
          </w:p>
        </w:tc>
      </w:tr>
      <w:tr w:rsidR="004942B6" w14:paraId="4F81B30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5A998A4A" w14:textId="77777777" w:rsidR="004942B6" w:rsidRDefault="004942B6" w:rsidP="002C2525">
            <w:pPr>
              <w:spacing w:after="0" w:line="240" w:lineRule="auto"/>
              <w:rPr>
                <w:rFonts w:cstheme="minorHAnsi"/>
                <w:sz w:val="24"/>
                <w:szCs w:val="24"/>
              </w:rPr>
            </w:pPr>
            <w:r>
              <w:rPr>
                <w:rFonts w:cstheme="minorHAnsi"/>
                <w:sz w:val="24"/>
                <w:szCs w:val="24"/>
              </w:rPr>
              <w:t>D59</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F5B3111"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78764080" w14:textId="77777777" w:rsidR="004942B6" w:rsidRDefault="004942B6" w:rsidP="002C2525">
            <w:pPr>
              <w:spacing w:after="0" w:line="240" w:lineRule="auto"/>
              <w:rPr>
                <w:rFonts w:cstheme="minorHAnsi"/>
                <w:sz w:val="24"/>
                <w:szCs w:val="24"/>
              </w:rPr>
            </w:pPr>
            <w:r>
              <w:rPr>
                <w:rFonts w:cstheme="minorHAnsi"/>
                <w:sz w:val="24"/>
                <w:szCs w:val="24"/>
              </w:rPr>
              <w:t>mFFR</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B955AD8" w14:textId="77777777" w:rsidR="004942B6" w:rsidRDefault="004942B6" w:rsidP="002C2525">
            <w:pPr>
              <w:spacing w:after="0" w:line="240" w:lineRule="auto"/>
              <w:rPr>
                <w:rFonts w:cstheme="minorHAnsi"/>
                <w:sz w:val="24"/>
                <w:szCs w:val="24"/>
              </w:rPr>
            </w:pPr>
            <w:r>
              <w:rPr>
                <w:rFonts w:cstheme="minorHAnsi"/>
                <w:sz w:val="24"/>
                <w:szCs w:val="24"/>
              </w:rPr>
              <w:t>£160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BCB037B" w14:textId="77777777" w:rsidR="004942B6" w:rsidRDefault="004942B6" w:rsidP="002C2525">
            <w:pPr>
              <w:spacing w:after="0" w:line="240" w:lineRule="auto"/>
              <w:rPr>
                <w:rFonts w:cstheme="minorHAnsi"/>
                <w:sz w:val="24"/>
                <w:szCs w:val="24"/>
              </w:rPr>
            </w:pPr>
            <w:r>
              <w:rPr>
                <w:rFonts w:cstheme="minorHAnsi"/>
                <w:sz w:val="24"/>
                <w:szCs w:val="24"/>
              </w:rPr>
              <w:t>£746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6517EFF" w14:textId="77777777" w:rsidR="004942B6" w:rsidRDefault="004942B6" w:rsidP="002C2525">
            <w:pPr>
              <w:spacing w:after="0" w:line="240" w:lineRule="auto"/>
              <w:rPr>
                <w:rFonts w:cstheme="minorHAnsi"/>
                <w:b/>
                <w:bCs/>
                <w:color w:val="00B050"/>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w:t>
            </w:r>
            <w:r>
              <w:rPr>
                <w:rFonts w:cstheme="minorHAnsi"/>
                <w:b/>
                <w:bCs/>
                <w:color w:val="C00000"/>
                <w:sz w:val="24"/>
                <w:szCs w:val="24"/>
              </w:rPr>
              <w:t>586</w:t>
            </w:r>
          </w:p>
        </w:tc>
      </w:tr>
      <w:tr w:rsidR="004942B6" w:rsidRPr="00497243" w14:paraId="07CFEAC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3DBE352A"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 xml:space="preserve">B15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50A5E61" w14:textId="77777777" w:rsidR="004942B6" w:rsidRPr="00A024DA" w:rsidRDefault="004942B6" w:rsidP="002C2525">
            <w:pPr>
              <w:spacing w:after="0" w:line="240" w:lineRule="auto"/>
              <w:rPr>
                <w:sz w:val="24"/>
                <w:szCs w:val="24"/>
              </w:rPr>
            </w:pPr>
            <w:r w:rsidRPr="002A5BC1">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9D38C13"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mFFR + 1V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3B190C5"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E0B7D34"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£1849</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9CF111A" w14:textId="77777777" w:rsidR="004942B6" w:rsidRPr="00497243" w:rsidRDefault="004942B6" w:rsidP="002C2525">
            <w:pPr>
              <w:spacing w:after="0" w:line="240" w:lineRule="auto"/>
              <w:rPr>
                <w:rFonts w:ascii="Calibri" w:hAnsi="Calibri" w:cs="Calibri"/>
                <w:sz w:val="24"/>
                <w:szCs w:val="24"/>
              </w:rPr>
            </w:pPr>
            <w:r w:rsidRPr="00B20897">
              <w:rPr>
                <w:rFonts w:cstheme="minorHAnsi"/>
                <w:b/>
                <w:bCs/>
                <w:color w:val="C00000"/>
                <w:sz w:val="24"/>
                <w:szCs w:val="24"/>
              </w:rPr>
              <w:t>+ £586</w:t>
            </w:r>
          </w:p>
        </w:tc>
      </w:tr>
      <w:tr w:rsidR="004942B6" w:rsidRPr="00497243" w14:paraId="202F93EF"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4E6F00C7"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B16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137DB161" w14:textId="77777777" w:rsidR="004942B6" w:rsidRPr="00A024DA" w:rsidRDefault="004942B6" w:rsidP="002C2525">
            <w:pPr>
              <w:spacing w:after="0" w:line="240" w:lineRule="auto"/>
              <w:rPr>
                <w:sz w:val="24"/>
                <w:szCs w:val="24"/>
              </w:rPr>
            </w:pPr>
            <w:r w:rsidRPr="002A5BC1">
              <w:rPr>
                <w:rFonts w:cstheme="minorHAns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80A9CF8"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A34C1EB"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w:t>
            </w:r>
            <w:r>
              <w:rPr>
                <w:rFonts w:cstheme="minorHAnsi"/>
                <w:color w:val="000000"/>
                <w:sz w:val="24"/>
                <w:szCs w:val="24"/>
              </w:rPr>
              <w:t>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5001675"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F6A6849"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2A5BC1" w14:paraId="3E4AC25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5C4B0260" w14:textId="77777777" w:rsidR="004942B6" w:rsidRPr="002A5BC1" w:rsidRDefault="004942B6" w:rsidP="002C2525">
            <w:pPr>
              <w:spacing w:after="0" w:line="240" w:lineRule="auto"/>
              <w:rPr>
                <w:rFonts w:cstheme="minorHAnsi"/>
                <w:sz w:val="24"/>
                <w:szCs w:val="24"/>
              </w:rPr>
            </w:pPr>
            <w:r>
              <w:rPr>
                <w:rFonts w:cstheme="minorHAnsi"/>
                <w:sz w:val="24"/>
                <w:szCs w:val="24"/>
              </w:rPr>
              <w:t>B21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4A712D0"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8898BA7"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FBF7A8F"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FCD8136" w14:textId="77777777" w:rsidR="004942B6" w:rsidRPr="002A5BC1" w:rsidRDefault="004942B6" w:rsidP="002C2525">
            <w:pPr>
              <w:spacing w:after="0" w:line="240" w:lineRule="auto"/>
              <w:rPr>
                <w:rFonts w:cstheme="minorHAnsi"/>
                <w:sz w:val="24"/>
                <w:szCs w:val="24"/>
              </w:rPr>
            </w:pPr>
            <w:r>
              <w:rPr>
                <w:rFonts w:cstheme="minorHAnsi"/>
                <w:sz w:val="24"/>
                <w:szCs w:val="24"/>
              </w:rPr>
              <w:t>£1652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9E2D679" w14:textId="77777777" w:rsidR="004942B6" w:rsidRPr="002A5BC1" w:rsidRDefault="004942B6" w:rsidP="002C2525">
            <w:pPr>
              <w:spacing w:after="0" w:line="240" w:lineRule="auto"/>
              <w:rPr>
                <w:rFonts w:cstheme="minorHAnsi"/>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w:t>
            </w:r>
            <w:r>
              <w:rPr>
                <w:rFonts w:cstheme="minorHAnsi"/>
                <w:b/>
                <w:bCs/>
                <w:color w:val="C00000"/>
                <w:sz w:val="24"/>
                <w:szCs w:val="24"/>
              </w:rPr>
              <w:t>389</w:t>
            </w:r>
          </w:p>
        </w:tc>
      </w:tr>
      <w:tr w:rsidR="004942B6" w:rsidRPr="00497243" w14:paraId="04626061"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550E4A09"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D73</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203B3195" w14:textId="77777777" w:rsidR="004942B6" w:rsidRPr="00A024DA" w:rsidRDefault="004942B6" w:rsidP="002C2525">
            <w:pPr>
              <w:spacing w:after="0" w:line="240" w:lineRule="auto"/>
              <w:rPr>
                <w:sz w:val="24"/>
                <w:szCs w:val="24"/>
              </w:rPr>
            </w:pPr>
            <w:r>
              <w:rPr>
                <w:rFonts w:cstheme="minorHAnsi"/>
                <w:sz w:val="24"/>
                <w:szCs w:val="24"/>
              </w:rPr>
              <w:t>1V PCI + 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9E9F3B4"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F36FA50"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849</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3B2D9233"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w:t>
            </w:r>
            <w:r>
              <w:rPr>
                <w:rFonts w:cstheme="minorHAnsi"/>
                <w:color w:val="000000"/>
                <w:sz w:val="24"/>
                <w:szCs w:val="24"/>
              </w:rPr>
              <w:t>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E4E7EC6" w14:textId="77777777" w:rsidR="004942B6" w:rsidRPr="00497243" w:rsidRDefault="004942B6" w:rsidP="002C2525">
            <w:pPr>
              <w:spacing w:after="0" w:line="240" w:lineRule="auto"/>
              <w:rPr>
                <w:rFonts w:ascii="Calibri" w:hAnsi="Calibri" w:cs="Calibri"/>
                <w:sz w:val="24"/>
                <w:szCs w:val="24"/>
              </w:rPr>
            </w:pPr>
            <w:r>
              <w:rPr>
                <w:rFonts w:cstheme="minorHAnsi"/>
                <w:b/>
                <w:bCs/>
                <w:color w:val="00B050"/>
                <w:sz w:val="24"/>
                <w:szCs w:val="24"/>
              </w:rPr>
              <w:t xml:space="preserve">- </w:t>
            </w:r>
            <w:r w:rsidRPr="002A5BC1">
              <w:rPr>
                <w:rFonts w:cstheme="minorHAnsi"/>
                <w:b/>
                <w:bCs/>
                <w:color w:val="00B050"/>
                <w:sz w:val="24"/>
                <w:szCs w:val="24"/>
              </w:rPr>
              <w:t>£</w:t>
            </w:r>
            <w:r>
              <w:rPr>
                <w:rFonts w:cstheme="minorHAnsi"/>
                <w:b/>
                <w:bCs/>
                <w:color w:val="00B050"/>
                <w:sz w:val="24"/>
                <w:szCs w:val="24"/>
              </w:rPr>
              <w:t>586</w:t>
            </w:r>
          </w:p>
        </w:tc>
      </w:tr>
      <w:tr w:rsidR="004942B6" w:rsidRPr="00497243" w14:paraId="7945C533"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4D1812AC"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R14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2F913B7C" w14:textId="77777777" w:rsidR="004942B6" w:rsidRPr="00A024DA" w:rsidRDefault="004942B6" w:rsidP="002C2525">
            <w:pPr>
              <w:spacing w:after="0" w:line="240" w:lineRule="auto"/>
              <w:rPr>
                <w:sz w:val="24"/>
                <w:szCs w:val="24"/>
              </w:rPr>
            </w:pPr>
            <w:r>
              <w:rPr>
                <w:rFonts w:cstheme="minorHAnsi"/>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71A3C635"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2F7C801"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w:t>
            </w:r>
            <w:r>
              <w:rPr>
                <w:rFonts w:cstheme="minorHAnsi"/>
                <w:sz w:val="24"/>
                <w:szCs w:val="24"/>
              </w:rPr>
              <w:t>746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6C0A5C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w:t>
            </w:r>
            <w:r>
              <w:rPr>
                <w:rFonts w:cstheme="minorHAnsi"/>
                <w:color w:val="000000"/>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7A5A8B4" w14:textId="77777777" w:rsidR="004942B6" w:rsidRPr="00497243" w:rsidRDefault="004942B6" w:rsidP="002C2525">
            <w:pPr>
              <w:spacing w:after="0" w:line="240" w:lineRule="auto"/>
              <w:rPr>
                <w:rFonts w:ascii="Calibri" w:hAnsi="Calibri" w:cs="Calibri"/>
                <w:sz w:val="24"/>
                <w:szCs w:val="24"/>
              </w:rPr>
            </w:pPr>
            <w:r w:rsidRPr="00041497">
              <w:rPr>
                <w:rFonts w:cstheme="minorHAnsi"/>
                <w:b/>
                <w:bCs/>
                <w:color w:val="C00000"/>
                <w:sz w:val="24"/>
                <w:szCs w:val="24"/>
              </w:rPr>
              <w:t>+ £5</w:t>
            </w:r>
            <w:r>
              <w:rPr>
                <w:rFonts w:cstheme="minorHAnsi"/>
                <w:b/>
                <w:bCs/>
                <w:color w:val="C00000"/>
                <w:sz w:val="24"/>
                <w:szCs w:val="24"/>
              </w:rPr>
              <w:t>17</w:t>
            </w:r>
          </w:p>
        </w:tc>
      </w:tr>
      <w:tr w:rsidR="004942B6" w:rsidRPr="00041497" w14:paraId="261830BF"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04AB1E22" w14:textId="77777777" w:rsidR="004942B6" w:rsidRPr="002A5BC1" w:rsidRDefault="004942B6" w:rsidP="002C2525">
            <w:pPr>
              <w:spacing w:after="0" w:line="240" w:lineRule="auto"/>
              <w:rPr>
                <w:rFonts w:cstheme="minorHAnsi"/>
                <w:sz w:val="24"/>
                <w:szCs w:val="24"/>
              </w:rPr>
            </w:pPr>
            <w:r>
              <w:rPr>
                <w:rFonts w:cstheme="minorHAnsi"/>
                <w:sz w:val="24"/>
                <w:szCs w:val="24"/>
              </w:rPr>
              <w:t xml:space="preserve">S2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3AFA158" w14:textId="77777777" w:rsidR="004942B6" w:rsidRDefault="004942B6" w:rsidP="002C2525">
            <w:pPr>
              <w:spacing w:after="0" w:line="240" w:lineRule="auto"/>
              <w:rPr>
                <w:rFonts w:cstheme="minorHAnsi"/>
                <w:sz w:val="24"/>
                <w:szCs w:val="24"/>
              </w:rPr>
            </w:pPr>
            <w:r>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73CD8023"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DB9B062" w14:textId="77777777" w:rsidR="004942B6" w:rsidRPr="002A5BC1" w:rsidRDefault="004942B6" w:rsidP="002C2525">
            <w:pPr>
              <w:spacing w:after="0" w:line="240" w:lineRule="auto"/>
              <w:rPr>
                <w:rFonts w:cstheme="minorHAnsi"/>
                <w:sz w:val="24"/>
                <w:szCs w:val="24"/>
              </w:rPr>
            </w:pPr>
            <w:r>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7B06835"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59A9377" w14:textId="77777777" w:rsidR="004942B6" w:rsidRPr="00041497" w:rsidRDefault="004942B6" w:rsidP="002C2525">
            <w:pPr>
              <w:spacing w:after="0" w:line="240" w:lineRule="auto"/>
              <w:rPr>
                <w:rFonts w:cstheme="minorHAnsi"/>
                <w:b/>
                <w:bCs/>
                <w:color w:val="C00000"/>
                <w:sz w:val="24"/>
                <w:szCs w:val="24"/>
              </w:rPr>
            </w:pPr>
            <w:r w:rsidRPr="002A5BC1">
              <w:rPr>
                <w:rFonts w:cstheme="minorHAnsi"/>
                <w:sz w:val="24"/>
                <w:szCs w:val="24"/>
              </w:rPr>
              <w:t>No change</w:t>
            </w:r>
          </w:p>
        </w:tc>
      </w:tr>
      <w:tr w:rsidR="004942B6" w:rsidRPr="00497243" w14:paraId="35860382"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0912D42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D77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2626C15" w14:textId="77777777" w:rsidR="004942B6" w:rsidRPr="00A024DA" w:rsidRDefault="004942B6" w:rsidP="002C2525">
            <w:pPr>
              <w:spacing w:after="0" w:line="240" w:lineRule="auto"/>
              <w:rPr>
                <w:sz w:val="24"/>
                <w:szCs w:val="24"/>
              </w:rPr>
            </w:pPr>
            <w:r>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04D94224"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1DCB10C2"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124EA65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E5106FD"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419E179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14165C5" w14:textId="77777777" w:rsidR="004942B6" w:rsidRPr="00A024DA" w:rsidRDefault="004942B6" w:rsidP="002C2525">
            <w:pPr>
              <w:spacing w:after="0" w:line="240" w:lineRule="auto"/>
              <w:rPr>
                <w:rFonts w:ascii="Calibri" w:hAnsi="Calibri" w:cs="Calibri"/>
                <w:color w:val="000000"/>
                <w:sz w:val="24"/>
                <w:szCs w:val="24"/>
              </w:rPr>
            </w:pPr>
            <w:r>
              <w:rPr>
                <w:rFonts w:cstheme="minorHAnsi"/>
                <w:sz w:val="24"/>
                <w:szCs w:val="24"/>
              </w:rPr>
              <w:lastRenderedPageBreak/>
              <w:t>B34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4EA24B5" w14:textId="77777777" w:rsidR="004942B6" w:rsidRPr="00A024DA" w:rsidRDefault="004942B6" w:rsidP="002C2525">
            <w:pPr>
              <w:spacing w:after="0" w:line="240" w:lineRule="auto"/>
              <w:rPr>
                <w:sz w:val="24"/>
                <w:szCs w:val="24"/>
              </w:rPr>
            </w:pPr>
            <w:r>
              <w:rPr>
                <w:rFonts w:cstheme="minorHAnsi"/>
                <w:sz w:val="24"/>
                <w:szCs w:val="24"/>
              </w:rPr>
              <w:t>2V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58F348E"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71E00EB7" w14:textId="77777777" w:rsidR="004942B6" w:rsidRPr="00A024DA" w:rsidRDefault="004942B6" w:rsidP="002C2525">
            <w:pPr>
              <w:spacing w:after="0" w:line="240" w:lineRule="auto"/>
              <w:rPr>
                <w:rFonts w:ascii="Calibri" w:hAnsi="Calibri" w:cs="Calibri"/>
                <w:color w:val="000000"/>
                <w:sz w:val="24"/>
                <w:szCs w:val="24"/>
              </w:rPr>
            </w:pPr>
            <w:r>
              <w:rPr>
                <w:rFonts w:cstheme="minorHAnsi"/>
                <w:sz w:val="24"/>
                <w:szCs w:val="24"/>
              </w:rPr>
              <w:t>£1652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3BA1683C" w14:textId="77777777" w:rsidR="004942B6" w:rsidRPr="00A024DA" w:rsidRDefault="004942B6" w:rsidP="002C2525">
            <w:pPr>
              <w:spacing w:after="0" w:line="240" w:lineRule="auto"/>
              <w:rPr>
                <w:rFonts w:ascii="Calibri" w:hAnsi="Calibri" w:cs="Calibri"/>
                <w:color w:val="000000"/>
                <w:sz w:val="24"/>
                <w:szCs w:val="24"/>
              </w:rPr>
            </w:pPr>
            <w:r>
              <w:rPr>
                <w:rFonts w:cstheme="minorHAnsi"/>
                <w:sz w:val="24"/>
                <w:szCs w:val="24"/>
              </w:rPr>
              <w:t>£1652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A28930C"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2A5BC1" w14:paraId="07FFC3C6"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68FCBD39" w14:textId="77777777" w:rsidR="004942B6" w:rsidRDefault="004942B6" w:rsidP="002C2525">
            <w:pPr>
              <w:spacing w:after="0" w:line="240" w:lineRule="auto"/>
              <w:rPr>
                <w:rFonts w:cstheme="minorHAnsi"/>
                <w:sz w:val="24"/>
                <w:szCs w:val="24"/>
              </w:rPr>
            </w:pPr>
            <w:r>
              <w:rPr>
                <w:rFonts w:cstheme="minorHAnsi"/>
                <w:sz w:val="24"/>
                <w:szCs w:val="24"/>
              </w:rPr>
              <w:t>C1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2F40FB8" w14:textId="77777777" w:rsidR="004942B6" w:rsidRDefault="004942B6" w:rsidP="002C2525">
            <w:pPr>
              <w:spacing w:after="0" w:line="240" w:lineRule="auto"/>
              <w:rPr>
                <w:rFonts w:cstheme="minorHAnsi"/>
                <w:sz w:val="24"/>
                <w:szCs w:val="24"/>
              </w:rPr>
            </w:pPr>
            <w:r>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280BE1C8"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AE18A9F"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98FF536"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2BF17C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2A5BC1" w14:paraId="7C59AE0F"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A064949" w14:textId="77777777" w:rsidR="004942B6" w:rsidRDefault="004942B6" w:rsidP="002C2525">
            <w:pPr>
              <w:spacing w:after="0" w:line="240" w:lineRule="auto"/>
              <w:rPr>
                <w:rFonts w:cstheme="minorHAnsi"/>
                <w:sz w:val="24"/>
                <w:szCs w:val="24"/>
              </w:rPr>
            </w:pPr>
            <w:r>
              <w:rPr>
                <w:rFonts w:cstheme="minorHAnsi"/>
                <w:sz w:val="24"/>
                <w:szCs w:val="24"/>
              </w:rPr>
              <w:t>D96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E3664DD" w14:textId="77777777" w:rsidR="004942B6" w:rsidRDefault="004942B6" w:rsidP="002C2525">
            <w:pPr>
              <w:spacing w:after="0" w:line="240" w:lineRule="auto"/>
              <w:rPr>
                <w:rFonts w:cstheme="minorHAnsi"/>
                <w:sz w:val="24"/>
                <w:szCs w:val="24"/>
              </w:rPr>
            </w:pPr>
            <w:r>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7C84920"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9AA3E79"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32B665F"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303301E"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2A5BC1" w14:paraId="14C0051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17777A60" w14:textId="77777777" w:rsidR="004942B6" w:rsidRDefault="004942B6" w:rsidP="002C2525">
            <w:pPr>
              <w:spacing w:after="0" w:line="240" w:lineRule="auto"/>
              <w:rPr>
                <w:rFonts w:cstheme="minorHAnsi"/>
                <w:sz w:val="24"/>
                <w:szCs w:val="24"/>
              </w:rPr>
            </w:pPr>
            <w:r>
              <w:rPr>
                <w:rFonts w:cstheme="minorHAnsi"/>
                <w:sz w:val="24"/>
                <w:szCs w:val="24"/>
              </w:rPr>
              <w:t>D106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D9E7157" w14:textId="77777777" w:rsidR="004942B6" w:rsidRDefault="004942B6" w:rsidP="002C2525">
            <w:pPr>
              <w:spacing w:after="0" w:line="240" w:lineRule="auto"/>
              <w:rPr>
                <w:rFonts w:cstheme="minorHAnsi"/>
                <w:sz w:val="24"/>
                <w:szCs w:val="24"/>
              </w:rPr>
            </w:pPr>
            <w:r>
              <w:rPr>
                <w:rFonts w:cstheme="minorHAnsi"/>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226F06DA"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1866906C" w14:textId="77777777" w:rsidR="004942B6" w:rsidRDefault="004942B6" w:rsidP="002C2525">
            <w:pPr>
              <w:spacing w:after="0" w:line="240" w:lineRule="auto"/>
              <w:rPr>
                <w:rFonts w:cstheme="minorHAnsi"/>
                <w:sz w:val="24"/>
                <w:szCs w:val="24"/>
              </w:rPr>
            </w:pPr>
            <w:r>
              <w:rPr>
                <w:rFonts w:cstheme="minorHAnsi"/>
                <w:sz w:val="24"/>
                <w:szCs w:val="24"/>
              </w:rPr>
              <w:t>£160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31BF2DB1"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E48AA75"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2A5BC1" w14:paraId="5861A3B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25906B92" w14:textId="77777777" w:rsidR="004942B6" w:rsidRDefault="004942B6" w:rsidP="002C2525">
            <w:pPr>
              <w:spacing w:after="0" w:line="240" w:lineRule="auto"/>
              <w:rPr>
                <w:rFonts w:cstheme="minorHAnsi"/>
                <w:sz w:val="24"/>
                <w:szCs w:val="24"/>
              </w:rPr>
            </w:pPr>
            <w:r>
              <w:rPr>
                <w:rFonts w:cstheme="minorHAnsi"/>
                <w:sz w:val="24"/>
                <w:szCs w:val="24"/>
              </w:rPr>
              <w:t>B69</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07B9190" w14:textId="77777777" w:rsidR="004942B6" w:rsidRDefault="004942B6" w:rsidP="002C2525">
            <w:pPr>
              <w:spacing w:after="0" w:line="240" w:lineRule="auto"/>
              <w:rPr>
                <w:rFonts w:cstheme="minorHAnsi"/>
                <w:sz w:val="24"/>
                <w:szCs w:val="24"/>
              </w:rPr>
            </w:pPr>
            <w:r>
              <w:rPr>
                <w:rFonts w:cstheme="minorHAnsi"/>
                <w:sz w:val="24"/>
                <w:szCs w:val="24"/>
              </w:rPr>
              <w:t>CABG x 2</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0F8C0CC5"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CABG x 2</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AD291AD" w14:textId="77777777" w:rsidR="004942B6" w:rsidRDefault="004942B6" w:rsidP="002C2525">
            <w:pPr>
              <w:spacing w:after="0" w:line="240" w:lineRule="auto"/>
              <w:rPr>
                <w:rFonts w:cstheme="minorHAnsi"/>
                <w:sz w:val="24"/>
                <w:szCs w:val="24"/>
              </w:rPr>
            </w:pPr>
            <w:r>
              <w:rPr>
                <w:rFonts w:cstheme="minorHAnsi"/>
                <w:sz w:val="24"/>
                <w:szCs w:val="24"/>
              </w:rPr>
              <w:t>£8384</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B2B3E7D" w14:textId="77777777" w:rsidR="004942B6" w:rsidRDefault="004942B6" w:rsidP="002C2525">
            <w:pPr>
              <w:spacing w:after="0" w:line="240" w:lineRule="auto"/>
              <w:rPr>
                <w:rFonts w:cstheme="minorHAnsi"/>
                <w:sz w:val="24"/>
                <w:szCs w:val="24"/>
              </w:rPr>
            </w:pPr>
            <w:r>
              <w:rPr>
                <w:rFonts w:cstheme="minorHAnsi"/>
                <w:sz w:val="24"/>
                <w:szCs w:val="24"/>
              </w:rPr>
              <w:t>£8384</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509146E"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041497" w14:paraId="47BA6371" w14:textId="77777777" w:rsidTr="002C2525">
        <w:trPr>
          <w:trHeight w:val="320"/>
        </w:trPr>
        <w:tc>
          <w:tcPr>
            <w:tcW w:w="4786" w:type="dxa"/>
            <w:gridSpan w:val="3"/>
            <w:tcBorders>
              <w:top w:val="nil"/>
              <w:left w:val="single" w:sz="4" w:space="0" w:color="auto"/>
              <w:bottom w:val="single" w:sz="4" w:space="0" w:color="auto"/>
              <w:right w:val="single" w:sz="4" w:space="0" w:color="auto"/>
            </w:tcBorders>
            <w:shd w:val="clear" w:color="auto" w:fill="FFFFFF" w:themeFill="background1"/>
            <w:noWrap/>
            <w:vAlign w:val="bottom"/>
          </w:tcPr>
          <w:p w14:paraId="34D18E13"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Average per patient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6444165" w14:textId="77777777" w:rsidR="004942B6" w:rsidRPr="00A024DA" w:rsidRDefault="004942B6" w:rsidP="002C2525">
            <w:pPr>
              <w:spacing w:after="0" w:line="240" w:lineRule="auto"/>
              <w:rPr>
                <w:rFonts w:ascii="Calibri" w:hAnsi="Calibri" w:cs="Calibri"/>
                <w:color w:val="000000"/>
                <w:sz w:val="24"/>
                <w:szCs w:val="24"/>
              </w:rPr>
            </w:pPr>
            <w:r>
              <w:rPr>
                <w:rFonts w:cstheme="minorHAnsi"/>
                <w:sz w:val="24"/>
                <w:szCs w:val="24"/>
              </w:rPr>
              <w:t>£1512.3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38DBF5E" w14:textId="77777777" w:rsidR="004942B6" w:rsidRPr="00A024DA" w:rsidRDefault="004942B6" w:rsidP="002C2525">
            <w:pPr>
              <w:spacing w:after="0" w:line="240" w:lineRule="auto"/>
              <w:rPr>
                <w:rFonts w:ascii="Calibri" w:hAnsi="Calibri" w:cs="Calibri"/>
                <w:color w:val="000000"/>
                <w:sz w:val="24"/>
                <w:szCs w:val="24"/>
              </w:rPr>
            </w:pPr>
            <w:r>
              <w:rPr>
                <w:rFonts w:cstheme="minorHAnsi"/>
                <w:sz w:val="24"/>
                <w:szCs w:val="24"/>
              </w:rPr>
              <w:t>£1908.6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FF366C5" w14:textId="77777777" w:rsidR="004942B6" w:rsidRPr="00041497" w:rsidRDefault="004942B6" w:rsidP="002C2525">
            <w:pPr>
              <w:spacing w:after="0" w:line="240" w:lineRule="auto"/>
              <w:rPr>
                <w:rFonts w:ascii="Calibri" w:hAnsi="Calibri" w:cs="Calibri"/>
                <w:b/>
                <w:bCs/>
                <w:color w:val="00B050"/>
                <w:sz w:val="24"/>
                <w:szCs w:val="24"/>
              </w:rPr>
            </w:pPr>
            <w:r>
              <w:rPr>
                <w:rFonts w:cstheme="minorHAnsi"/>
                <w:sz w:val="24"/>
                <w:szCs w:val="24"/>
              </w:rPr>
              <w:t>£396.3</w:t>
            </w:r>
          </w:p>
        </w:tc>
      </w:tr>
      <w:tr w:rsidR="004942B6" w:rsidRPr="00823BDA" w14:paraId="385CF3AA" w14:textId="77777777" w:rsidTr="002C2525">
        <w:trPr>
          <w:trHeight w:val="320"/>
        </w:trPr>
        <w:tc>
          <w:tcPr>
            <w:tcW w:w="9747" w:type="dxa"/>
            <w:gridSpan w:val="6"/>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485B1A7" w14:textId="77777777" w:rsidR="004942B6" w:rsidRDefault="004942B6" w:rsidP="002C2525">
            <w:pPr>
              <w:spacing w:after="0" w:line="240" w:lineRule="auto"/>
              <w:rPr>
                <w:rFonts w:eastAsia="Times New Roman" w:cstheme="minorHAnsi"/>
                <w:color w:val="000000" w:themeColor="text1"/>
                <w:sz w:val="24"/>
                <w:szCs w:val="24"/>
                <w:lang w:eastAsia="en-GB"/>
              </w:rPr>
            </w:pPr>
            <w:r w:rsidRPr="00913D9A">
              <w:rPr>
                <w:rFonts w:eastAsia="Times New Roman" w:cstheme="minorHAnsi"/>
                <w:color w:val="000000" w:themeColor="text1"/>
                <w:sz w:val="24"/>
                <w:szCs w:val="24"/>
                <w:lang w:eastAsia="en-GB"/>
              </w:rPr>
              <w:t xml:space="preserve">1V PCI represents PCI performed for </w:t>
            </w:r>
            <w:r>
              <w:rPr>
                <w:rFonts w:eastAsia="Times New Roman" w:cstheme="minorHAnsi"/>
                <w:color w:val="000000" w:themeColor="text1"/>
                <w:sz w:val="24"/>
                <w:szCs w:val="24"/>
                <w:lang w:eastAsia="en-GB"/>
              </w:rPr>
              <w:t>one vessel</w:t>
            </w:r>
            <w:r w:rsidRPr="00913D9A">
              <w:rPr>
                <w:rFonts w:eastAsia="Times New Roman" w:cstheme="minorHAnsi"/>
                <w:color w:val="000000" w:themeColor="text1"/>
                <w:sz w:val="24"/>
                <w:szCs w:val="24"/>
                <w:lang w:eastAsia="en-GB"/>
              </w:rPr>
              <w:t xml:space="preserve">, and 2V PCI denotes PCI performed for </w:t>
            </w:r>
            <w:r>
              <w:rPr>
                <w:rFonts w:eastAsia="Times New Roman" w:cstheme="minorHAnsi"/>
                <w:color w:val="000000" w:themeColor="text1"/>
                <w:sz w:val="24"/>
                <w:szCs w:val="24"/>
                <w:lang w:eastAsia="en-GB"/>
              </w:rPr>
              <w:t>two vessels.</w:t>
            </w:r>
          </w:p>
          <w:p w14:paraId="27FD3813" w14:textId="77777777" w:rsidR="004942B6" w:rsidRPr="00823BDA" w:rsidRDefault="004942B6" w:rsidP="002C2525">
            <w:pPr>
              <w:spacing w:after="0" w:line="240" w:lineRule="auto"/>
              <w:rPr>
                <w:lang w:eastAsia="en-GB"/>
              </w:rPr>
            </w:pPr>
            <w:r w:rsidRPr="0030432E">
              <w:rPr>
                <w:rFonts w:eastAsia="Times New Roman" w:cstheme="minorHAnsi"/>
                <w:color w:val="000000" w:themeColor="text1"/>
                <w:sz w:val="24"/>
                <w:szCs w:val="24"/>
                <w:lang w:eastAsia="en-GB"/>
              </w:rPr>
              <w:t xml:space="preserve">"+" </w:t>
            </w:r>
            <w:r>
              <w:rPr>
                <w:rFonts w:eastAsia="Times New Roman" w:cstheme="minorHAnsi"/>
                <w:color w:val="000000" w:themeColor="text1"/>
                <w:sz w:val="24"/>
                <w:szCs w:val="24"/>
                <w:lang w:eastAsia="en-GB"/>
              </w:rPr>
              <w:t>shows a</w:t>
            </w:r>
            <w:r w:rsidRPr="0030432E">
              <w:rPr>
                <w:rFonts w:eastAsia="Times New Roman" w:cstheme="minorHAnsi"/>
                <w:color w:val="000000" w:themeColor="text1"/>
                <w:sz w:val="24"/>
                <w:szCs w:val="24"/>
                <w:lang w:eastAsia="en-GB"/>
              </w:rPr>
              <w:t xml:space="preserve"> virtual additional cost, whereas "-" represents a virtual reduction in the cost of the index procedure due to a notional change in the management plan.</w:t>
            </w:r>
          </w:p>
        </w:tc>
      </w:tr>
    </w:tbl>
    <w:p w14:paraId="60FC9487" w14:textId="77777777" w:rsidR="004942B6" w:rsidRDefault="004942B6" w:rsidP="004942B6">
      <w:pPr>
        <w:spacing w:line="360" w:lineRule="auto"/>
        <w:jc w:val="both"/>
        <w:rPr>
          <w:rFonts w:ascii="Arial" w:hAnsi="Arial" w:cs="Arial"/>
          <w:sz w:val="24"/>
          <w:szCs w:val="24"/>
        </w:rPr>
      </w:pPr>
    </w:p>
    <w:p w14:paraId="6B2C62DB" w14:textId="128A6088" w:rsidR="004942B6" w:rsidRDefault="004942B6" w:rsidP="004942B6">
      <w:pPr>
        <w:spacing w:line="360" w:lineRule="auto"/>
        <w:jc w:val="both"/>
        <w:rPr>
          <w:rFonts w:ascii="Arial" w:hAnsi="Arial" w:cs="Arial"/>
          <w:sz w:val="24"/>
          <w:szCs w:val="24"/>
        </w:rPr>
      </w:pPr>
    </w:p>
    <w:p w14:paraId="20D9682B" w14:textId="77777777" w:rsidR="004942B6" w:rsidRDefault="004942B6" w:rsidP="004942B6">
      <w:pPr>
        <w:spacing w:line="360" w:lineRule="auto"/>
        <w:jc w:val="both"/>
        <w:rPr>
          <w:rFonts w:ascii="Arial" w:hAnsi="Arial" w:cs="Arial"/>
          <w:sz w:val="24"/>
          <w:szCs w:val="24"/>
        </w:rPr>
      </w:pPr>
    </w:p>
    <w:p w14:paraId="223C7096" w14:textId="77777777" w:rsidR="000578F7" w:rsidRDefault="000578F7" w:rsidP="004942B6">
      <w:pPr>
        <w:spacing w:line="360" w:lineRule="auto"/>
        <w:jc w:val="both"/>
        <w:rPr>
          <w:rFonts w:ascii="Arial" w:hAnsi="Arial" w:cs="Arial"/>
          <w:sz w:val="24"/>
          <w:szCs w:val="24"/>
        </w:rPr>
      </w:pPr>
    </w:p>
    <w:p w14:paraId="44770EF7" w14:textId="77777777" w:rsidR="000578F7" w:rsidRDefault="000578F7" w:rsidP="004942B6">
      <w:pPr>
        <w:spacing w:line="360" w:lineRule="auto"/>
        <w:jc w:val="both"/>
        <w:rPr>
          <w:rFonts w:ascii="Arial" w:hAnsi="Arial" w:cs="Arial"/>
          <w:sz w:val="24"/>
          <w:szCs w:val="24"/>
        </w:rPr>
      </w:pPr>
    </w:p>
    <w:p w14:paraId="7D98A5CB" w14:textId="77777777" w:rsidR="000578F7" w:rsidRDefault="000578F7" w:rsidP="004942B6">
      <w:pPr>
        <w:spacing w:line="360" w:lineRule="auto"/>
        <w:jc w:val="both"/>
        <w:rPr>
          <w:rFonts w:ascii="Arial" w:hAnsi="Arial" w:cs="Arial"/>
          <w:sz w:val="24"/>
          <w:szCs w:val="24"/>
        </w:rPr>
      </w:pPr>
    </w:p>
    <w:p w14:paraId="52534CC0" w14:textId="77777777" w:rsidR="000578F7" w:rsidRDefault="000578F7" w:rsidP="004942B6">
      <w:pPr>
        <w:spacing w:line="360" w:lineRule="auto"/>
        <w:jc w:val="both"/>
        <w:rPr>
          <w:rFonts w:ascii="Arial" w:hAnsi="Arial" w:cs="Arial"/>
          <w:sz w:val="24"/>
          <w:szCs w:val="24"/>
        </w:rPr>
      </w:pPr>
    </w:p>
    <w:p w14:paraId="014454A8" w14:textId="77777777" w:rsidR="000578F7" w:rsidRDefault="000578F7" w:rsidP="004942B6">
      <w:pPr>
        <w:spacing w:line="360" w:lineRule="auto"/>
        <w:jc w:val="both"/>
        <w:rPr>
          <w:rFonts w:ascii="Arial" w:hAnsi="Arial" w:cs="Arial"/>
          <w:sz w:val="24"/>
          <w:szCs w:val="24"/>
        </w:rPr>
      </w:pPr>
    </w:p>
    <w:p w14:paraId="322613E9" w14:textId="77777777" w:rsidR="000578F7" w:rsidRDefault="000578F7" w:rsidP="004942B6">
      <w:pPr>
        <w:spacing w:line="360" w:lineRule="auto"/>
        <w:jc w:val="both"/>
        <w:rPr>
          <w:rFonts w:ascii="Arial" w:hAnsi="Arial" w:cs="Arial"/>
          <w:sz w:val="24"/>
          <w:szCs w:val="24"/>
        </w:rPr>
      </w:pPr>
    </w:p>
    <w:p w14:paraId="3BF0808C" w14:textId="77777777" w:rsidR="000578F7" w:rsidRDefault="000578F7" w:rsidP="004942B6">
      <w:pPr>
        <w:spacing w:line="360" w:lineRule="auto"/>
        <w:jc w:val="both"/>
        <w:rPr>
          <w:rFonts w:ascii="Arial" w:hAnsi="Arial" w:cs="Arial"/>
          <w:sz w:val="24"/>
          <w:szCs w:val="24"/>
        </w:rPr>
      </w:pPr>
    </w:p>
    <w:p w14:paraId="187DBCE0" w14:textId="77777777" w:rsidR="000578F7" w:rsidRDefault="000578F7" w:rsidP="004942B6">
      <w:pPr>
        <w:spacing w:line="360" w:lineRule="auto"/>
        <w:jc w:val="both"/>
        <w:rPr>
          <w:rFonts w:ascii="Arial" w:hAnsi="Arial" w:cs="Arial"/>
          <w:sz w:val="24"/>
          <w:szCs w:val="24"/>
        </w:rPr>
      </w:pPr>
    </w:p>
    <w:p w14:paraId="2FE2DB77" w14:textId="77777777" w:rsidR="000578F7" w:rsidRDefault="000578F7" w:rsidP="004942B6">
      <w:pPr>
        <w:spacing w:line="360" w:lineRule="auto"/>
        <w:jc w:val="both"/>
        <w:rPr>
          <w:rFonts w:ascii="Arial" w:hAnsi="Arial" w:cs="Arial"/>
          <w:sz w:val="24"/>
          <w:szCs w:val="24"/>
        </w:rPr>
      </w:pPr>
    </w:p>
    <w:p w14:paraId="7CB70D50" w14:textId="77777777" w:rsidR="000578F7" w:rsidRDefault="000578F7" w:rsidP="004942B6">
      <w:pPr>
        <w:spacing w:line="360" w:lineRule="auto"/>
        <w:jc w:val="both"/>
        <w:rPr>
          <w:rFonts w:ascii="Arial" w:hAnsi="Arial" w:cs="Arial"/>
          <w:sz w:val="24"/>
          <w:szCs w:val="24"/>
        </w:rPr>
      </w:pPr>
    </w:p>
    <w:p w14:paraId="698CFD28" w14:textId="77777777" w:rsidR="000578F7" w:rsidRDefault="000578F7" w:rsidP="004942B6">
      <w:pPr>
        <w:spacing w:line="360" w:lineRule="auto"/>
        <w:jc w:val="both"/>
        <w:rPr>
          <w:rFonts w:ascii="Arial" w:hAnsi="Arial" w:cs="Arial"/>
          <w:sz w:val="24"/>
          <w:szCs w:val="24"/>
        </w:rPr>
      </w:pPr>
    </w:p>
    <w:p w14:paraId="7C58C7CD" w14:textId="77777777" w:rsidR="000578F7" w:rsidRDefault="000578F7" w:rsidP="004942B6">
      <w:pPr>
        <w:spacing w:line="360" w:lineRule="auto"/>
        <w:jc w:val="both"/>
        <w:rPr>
          <w:rFonts w:ascii="Arial" w:hAnsi="Arial" w:cs="Arial"/>
          <w:sz w:val="24"/>
          <w:szCs w:val="24"/>
        </w:rPr>
      </w:pPr>
    </w:p>
    <w:p w14:paraId="1D177440" w14:textId="77777777" w:rsidR="000578F7" w:rsidRDefault="000578F7" w:rsidP="004942B6">
      <w:pPr>
        <w:spacing w:line="360" w:lineRule="auto"/>
        <w:jc w:val="both"/>
        <w:rPr>
          <w:rFonts w:ascii="Arial" w:hAnsi="Arial" w:cs="Arial"/>
          <w:sz w:val="24"/>
          <w:szCs w:val="24"/>
        </w:rPr>
      </w:pPr>
    </w:p>
    <w:p w14:paraId="4F7DEFCB" w14:textId="77777777" w:rsidR="004942B6" w:rsidRDefault="004942B6" w:rsidP="004942B6">
      <w:pPr>
        <w:spacing w:line="360" w:lineRule="auto"/>
        <w:jc w:val="both"/>
        <w:rPr>
          <w:rFonts w:ascii="Arial" w:hAnsi="Arial" w:cs="Arial"/>
          <w:sz w:val="24"/>
          <w:szCs w:val="24"/>
        </w:rPr>
      </w:pPr>
    </w:p>
    <w:p w14:paraId="26E492C6" w14:textId="77777777" w:rsidR="005F3038" w:rsidRDefault="005F3038" w:rsidP="004942B6">
      <w:pPr>
        <w:pStyle w:val="Caption"/>
        <w:jc w:val="both"/>
        <w:rPr>
          <w:rFonts w:ascii="Arial" w:hAnsi="Arial" w:cs="Arial"/>
          <w:b/>
          <w:bCs/>
          <w:color w:val="auto"/>
          <w:sz w:val="20"/>
          <w:szCs w:val="20"/>
        </w:rPr>
      </w:pPr>
      <w:bookmarkStart w:id="1412" w:name="_Toc159318294"/>
      <w:bookmarkStart w:id="1413" w:name="_Toc159610329"/>
    </w:p>
    <w:p w14:paraId="217F85A9" w14:textId="77777777" w:rsidR="00A47A47" w:rsidRPr="00A47A47" w:rsidRDefault="00A47A47" w:rsidP="00A47A47"/>
    <w:p w14:paraId="6745EF6C" w14:textId="3D7D1850" w:rsidR="004942B6" w:rsidRPr="001D1980" w:rsidRDefault="004942B6" w:rsidP="004942B6">
      <w:pPr>
        <w:pStyle w:val="Caption"/>
        <w:jc w:val="both"/>
        <w:rPr>
          <w:rFonts w:ascii="Arial" w:hAnsi="Arial" w:cs="Arial"/>
          <w:color w:val="auto"/>
          <w:sz w:val="20"/>
          <w:szCs w:val="20"/>
        </w:rPr>
      </w:pPr>
      <w:bookmarkStart w:id="1414" w:name="_Toc164699086"/>
      <w:bookmarkStart w:id="1415" w:name="_Toc171206729"/>
      <w:r w:rsidRPr="001D1980">
        <w:rPr>
          <w:rFonts w:ascii="Arial" w:hAnsi="Arial" w:cs="Arial"/>
          <w:b/>
          <w:bCs/>
          <w:color w:val="auto"/>
          <w:sz w:val="20"/>
          <w:szCs w:val="20"/>
        </w:rPr>
        <w:lastRenderedPageBreak/>
        <w:t xml:space="preserve">Table </w:t>
      </w:r>
      <w:r w:rsidR="006D6D70">
        <w:rPr>
          <w:rFonts w:ascii="Arial" w:hAnsi="Arial" w:cs="Arial"/>
          <w:b/>
          <w:bCs/>
          <w:color w:val="auto"/>
          <w:sz w:val="20"/>
          <w:szCs w:val="20"/>
        </w:rPr>
        <w:t>19</w:t>
      </w:r>
      <w:r w:rsidRPr="001D1980">
        <w:rPr>
          <w:rFonts w:ascii="Arial" w:hAnsi="Arial" w:cs="Arial"/>
          <w:color w:val="auto"/>
          <w:sz w:val="20"/>
          <w:szCs w:val="20"/>
        </w:rPr>
        <w:t xml:space="preserve">: </w:t>
      </w:r>
      <w:r w:rsidRPr="004528AC">
        <w:rPr>
          <w:rFonts w:ascii="Arial" w:hAnsi="Arial" w:cs="Arial"/>
          <w:color w:val="auto"/>
          <w:sz w:val="20"/>
          <w:szCs w:val="20"/>
        </w:rPr>
        <w:t xml:space="preserve">Individualised pre- and post-vFFR management plans </w:t>
      </w:r>
      <w:r>
        <w:rPr>
          <w:rFonts w:ascii="Arial" w:hAnsi="Arial" w:cs="Arial"/>
          <w:color w:val="auto"/>
          <w:sz w:val="20"/>
          <w:szCs w:val="20"/>
        </w:rPr>
        <w:t xml:space="preserve">and </w:t>
      </w:r>
      <w:r w:rsidR="006D6D70">
        <w:rPr>
          <w:rFonts w:ascii="Arial" w:hAnsi="Arial" w:cs="Arial"/>
          <w:color w:val="auto"/>
          <w:sz w:val="20"/>
          <w:szCs w:val="20"/>
        </w:rPr>
        <w:t xml:space="preserve">the </w:t>
      </w:r>
      <w:r>
        <w:rPr>
          <w:rFonts w:ascii="Arial" w:hAnsi="Arial" w:cs="Arial"/>
          <w:color w:val="auto"/>
          <w:sz w:val="20"/>
          <w:szCs w:val="20"/>
        </w:rPr>
        <w:t>associated change in the costs of indexed procedures according to</w:t>
      </w:r>
      <w:r w:rsidRPr="004528AC">
        <w:rPr>
          <w:rFonts w:ascii="Arial" w:hAnsi="Arial" w:cs="Arial"/>
          <w:color w:val="auto"/>
          <w:sz w:val="20"/>
          <w:szCs w:val="20"/>
        </w:rPr>
        <w:t xml:space="preserve"> the </w:t>
      </w:r>
      <w:r w:rsidR="008E5362">
        <w:rPr>
          <w:rFonts w:ascii="Arial" w:hAnsi="Arial" w:cs="Arial"/>
          <w:color w:val="auto"/>
          <w:sz w:val="20"/>
          <w:szCs w:val="20"/>
        </w:rPr>
        <w:t>expert MDT-2</w:t>
      </w:r>
      <w:r w:rsidRPr="004528AC">
        <w:rPr>
          <w:rFonts w:ascii="Arial" w:hAnsi="Arial" w:cs="Arial"/>
          <w:color w:val="auto"/>
          <w:sz w:val="20"/>
          <w:szCs w:val="20"/>
        </w:rPr>
        <w:t xml:space="preserve"> for the virtual change subset</w:t>
      </w:r>
      <w:r>
        <w:rPr>
          <w:rFonts w:ascii="Arial" w:hAnsi="Arial" w:cs="Arial"/>
          <w:color w:val="auto"/>
          <w:sz w:val="20"/>
          <w:szCs w:val="20"/>
        </w:rPr>
        <w:t xml:space="preserve"> patients</w:t>
      </w:r>
      <w:bookmarkEnd w:id="1412"/>
      <w:bookmarkEnd w:id="1413"/>
      <w:bookmarkEnd w:id="1414"/>
      <w:bookmarkEnd w:id="1415"/>
    </w:p>
    <w:tbl>
      <w:tblPr>
        <w:tblpPr w:leftFromText="180" w:rightFromText="180" w:vertAnchor="text" w:horzAnchor="margin" w:tblpY="853"/>
        <w:tblW w:w="9747" w:type="dxa"/>
        <w:tblLook w:val="04A0" w:firstRow="1" w:lastRow="0" w:firstColumn="1" w:lastColumn="0" w:noHBand="0" w:noVBand="1"/>
      </w:tblPr>
      <w:tblGrid>
        <w:gridCol w:w="817"/>
        <w:gridCol w:w="1985"/>
        <w:gridCol w:w="1984"/>
        <w:gridCol w:w="1730"/>
        <w:gridCol w:w="1559"/>
        <w:gridCol w:w="1672"/>
      </w:tblGrid>
      <w:tr w:rsidR="004942B6" w:rsidRPr="00BE53CD" w14:paraId="5132DE30" w14:textId="77777777" w:rsidTr="002C2525">
        <w:trPr>
          <w:trHeight w:val="960"/>
        </w:trPr>
        <w:tc>
          <w:tcPr>
            <w:tcW w:w="9747"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00FEFCBF" w14:textId="038C05C9" w:rsidR="004942B6" w:rsidRPr="00BE53CD" w:rsidRDefault="004942B6" w:rsidP="002C2525">
            <w:pPr>
              <w:spacing w:after="0" w:line="240" w:lineRule="auto"/>
              <w:jc w:val="both"/>
              <w:rPr>
                <w:b/>
                <w:bCs/>
                <w:color w:val="000000" w:themeColor="text1"/>
                <w:sz w:val="28"/>
                <w:szCs w:val="28"/>
              </w:rPr>
            </w:pPr>
            <w:r w:rsidRPr="00BE53CD">
              <w:rPr>
                <w:b/>
                <w:bCs/>
                <w:sz w:val="28"/>
                <w:szCs w:val="28"/>
              </w:rPr>
              <w:t xml:space="preserve">Pre- and post-vFFR management </w:t>
            </w:r>
            <w:r>
              <w:rPr>
                <w:b/>
                <w:bCs/>
                <w:sz w:val="28"/>
                <w:szCs w:val="28"/>
              </w:rPr>
              <w:t xml:space="preserve">for the </w:t>
            </w:r>
            <w:r w:rsidR="003E5D82">
              <w:rPr>
                <w:b/>
                <w:bCs/>
                <w:sz w:val="28"/>
                <w:szCs w:val="28"/>
              </w:rPr>
              <w:t>‘</w:t>
            </w:r>
            <w:r w:rsidRPr="002C3A1D">
              <w:rPr>
                <w:b/>
                <w:bCs/>
                <w:sz w:val="32"/>
                <w:szCs w:val="32"/>
              </w:rPr>
              <w:t>ACS patients</w:t>
            </w:r>
            <w:r w:rsidR="003E5D82">
              <w:rPr>
                <w:b/>
                <w:bCs/>
                <w:sz w:val="32"/>
                <w:szCs w:val="32"/>
              </w:rPr>
              <w:t>’</w:t>
            </w:r>
            <w:r w:rsidRPr="002C3A1D">
              <w:rPr>
                <w:b/>
                <w:bCs/>
                <w:sz w:val="28"/>
                <w:szCs w:val="28"/>
              </w:rPr>
              <w:t xml:space="preserve"> </w:t>
            </w:r>
            <w:r>
              <w:rPr>
                <w:b/>
                <w:bCs/>
                <w:sz w:val="28"/>
                <w:szCs w:val="28"/>
              </w:rPr>
              <w:t xml:space="preserve">and impact on costs of the index procedures </w:t>
            </w:r>
            <w:r w:rsidRPr="00BE53CD">
              <w:rPr>
                <w:b/>
                <w:bCs/>
                <w:sz w:val="28"/>
                <w:szCs w:val="28"/>
              </w:rPr>
              <w:t>(based on</w:t>
            </w:r>
            <w:r>
              <w:rPr>
                <w:b/>
                <w:bCs/>
                <w:sz w:val="28"/>
                <w:szCs w:val="28"/>
              </w:rPr>
              <w:t xml:space="preserve"> </w:t>
            </w:r>
            <w:r w:rsidR="00F77724">
              <w:rPr>
                <w:b/>
                <w:bCs/>
                <w:sz w:val="28"/>
                <w:szCs w:val="28"/>
              </w:rPr>
              <w:t>expert MDT-2</w:t>
            </w:r>
            <w:r w:rsidRPr="00BE53CD">
              <w:rPr>
                <w:b/>
                <w:bCs/>
                <w:sz w:val="28"/>
                <w:szCs w:val="28"/>
              </w:rPr>
              <w:t>)</w:t>
            </w:r>
          </w:p>
        </w:tc>
      </w:tr>
      <w:tr w:rsidR="004942B6" w14:paraId="5D0B28DD" w14:textId="77777777" w:rsidTr="002C2525">
        <w:trPr>
          <w:trHeight w:val="960"/>
        </w:trPr>
        <w:tc>
          <w:tcPr>
            <w:tcW w:w="817" w:type="dxa"/>
            <w:tcBorders>
              <w:top w:val="single" w:sz="4" w:space="0" w:color="auto"/>
              <w:left w:val="single" w:sz="4" w:space="0" w:color="auto"/>
              <w:bottom w:val="single" w:sz="4" w:space="0" w:color="auto"/>
              <w:right w:val="single" w:sz="4" w:space="0" w:color="auto"/>
            </w:tcBorders>
            <w:shd w:val="clear" w:color="000000" w:fill="FFFFFF"/>
            <w:vAlign w:val="center"/>
          </w:tcPr>
          <w:p w14:paraId="2782B720" w14:textId="77777777" w:rsidR="004942B6" w:rsidRPr="00A16EF7" w:rsidRDefault="004942B6" w:rsidP="002C2525">
            <w:pPr>
              <w:spacing w:after="0" w:line="240" w:lineRule="auto"/>
              <w:jc w:val="both"/>
              <w:rPr>
                <w:b/>
                <w:bCs/>
                <w:sz w:val="24"/>
                <w:szCs w:val="24"/>
              </w:rPr>
            </w:pPr>
            <w:r w:rsidRPr="00A16EF7">
              <w:rPr>
                <w:b/>
                <w:bCs/>
                <w:sz w:val="24"/>
                <w:szCs w:val="24"/>
              </w:rPr>
              <w:t>Study ID</w:t>
            </w:r>
          </w:p>
        </w:tc>
        <w:tc>
          <w:tcPr>
            <w:tcW w:w="1985" w:type="dxa"/>
            <w:tcBorders>
              <w:top w:val="single" w:sz="4" w:space="0" w:color="auto"/>
              <w:left w:val="nil"/>
              <w:bottom w:val="single" w:sz="4" w:space="0" w:color="auto"/>
              <w:right w:val="single" w:sz="4" w:space="0" w:color="auto"/>
            </w:tcBorders>
            <w:shd w:val="clear" w:color="000000" w:fill="FFFFFF"/>
            <w:vAlign w:val="center"/>
          </w:tcPr>
          <w:p w14:paraId="5CB803D7" w14:textId="77777777" w:rsidR="004942B6" w:rsidRDefault="004942B6" w:rsidP="002C2525">
            <w:pPr>
              <w:spacing w:after="0" w:line="240" w:lineRule="auto"/>
              <w:jc w:val="both"/>
              <w:rPr>
                <w:b/>
                <w:bCs/>
                <w:sz w:val="24"/>
                <w:szCs w:val="24"/>
              </w:rPr>
            </w:pPr>
            <w:r>
              <w:rPr>
                <w:b/>
                <w:bCs/>
                <w:sz w:val="24"/>
                <w:szCs w:val="24"/>
              </w:rPr>
              <w:t>Pre-vFFR expert plans</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1A78384F" w14:textId="77777777" w:rsidR="004942B6" w:rsidRDefault="004942B6" w:rsidP="002C2525">
            <w:pPr>
              <w:spacing w:after="0" w:line="240" w:lineRule="auto"/>
              <w:jc w:val="both"/>
              <w:rPr>
                <w:b/>
                <w:bCs/>
                <w:sz w:val="24"/>
                <w:szCs w:val="24"/>
              </w:rPr>
            </w:pPr>
            <w:r>
              <w:rPr>
                <w:b/>
                <w:bCs/>
                <w:sz w:val="24"/>
                <w:szCs w:val="24"/>
              </w:rPr>
              <w:t xml:space="preserve">Post-vFFR expert plans </w:t>
            </w:r>
          </w:p>
        </w:tc>
        <w:tc>
          <w:tcPr>
            <w:tcW w:w="1730" w:type="dxa"/>
            <w:tcBorders>
              <w:top w:val="single" w:sz="4" w:space="0" w:color="auto"/>
              <w:left w:val="nil"/>
              <w:bottom w:val="single" w:sz="4" w:space="0" w:color="auto"/>
              <w:right w:val="single" w:sz="4" w:space="0" w:color="auto"/>
            </w:tcBorders>
            <w:shd w:val="clear" w:color="000000" w:fill="FFFFFF"/>
            <w:vAlign w:val="center"/>
          </w:tcPr>
          <w:p w14:paraId="1114E314" w14:textId="77777777" w:rsidR="004942B6" w:rsidRPr="00A16EF7" w:rsidRDefault="004942B6" w:rsidP="002C2525">
            <w:pPr>
              <w:spacing w:after="0" w:line="240" w:lineRule="auto"/>
              <w:jc w:val="both"/>
              <w:rPr>
                <w:b/>
                <w:bCs/>
                <w:sz w:val="24"/>
                <w:szCs w:val="24"/>
              </w:rPr>
            </w:pPr>
            <w:r w:rsidRPr="00A16EF7">
              <w:rPr>
                <w:b/>
                <w:bCs/>
                <w:sz w:val="24"/>
                <w:szCs w:val="24"/>
              </w:rPr>
              <w:t xml:space="preserve">Cost of the </w:t>
            </w:r>
            <w:r>
              <w:rPr>
                <w:b/>
                <w:bCs/>
                <w:sz w:val="24"/>
                <w:szCs w:val="24"/>
              </w:rPr>
              <w:t>actual</w:t>
            </w:r>
            <w:r w:rsidRPr="00A16EF7">
              <w:rPr>
                <w:b/>
                <w:bCs/>
                <w:sz w:val="24"/>
                <w:szCs w:val="24"/>
              </w:rPr>
              <w:t xml:space="preserve"> management plan</w:t>
            </w:r>
            <w:r>
              <w:rPr>
                <w:b/>
                <w:bCs/>
                <w:sz w:val="24"/>
                <w:szCs w:val="24"/>
              </w:rPr>
              <w:t>s</w:t>
            </w:r>
          </w:p>
        </w:tc>
        <w:tc>
          <w:tcPr>
            <w:tcW w:w="1559" w:type="dxa"/>
            <w:tcBorders>
              <w:top w:val="single" w:sz="4" w:space="0" w:color="auto"/>
              <w:left w:val="nil"/>
              <w:bottom w:val="single" w:sz="4" w:space="0" w:color="auto"/>
              <w:right w:val="single" w:sz="4" w:space="0" w:color="auto"/>
            </w:tcBorders>
            <w:shd w:val="clear" w:color="000000" w:fill="FFFFFF"/>
            <w:vAlign w:val="center"/>
          </w:tcPr>
          <w:p w14:paraId="69582877" w14:textId="77777777" w:rsidR="004942B6" w:rsidRPr="00A16EF7" w:rsidRDefault="004942B6" w:rsidP="002C2525">
            <w:pPr>
              <w:spacing w:after="0" w:line="240" w:lineRule="auto"/>
              <w:jc w:val="both"/>
              <w:rPr>
                <w:b/>
                <w:bCs/>
                <w:sz w:val="24"/>
                <w:szCs w:val="24"/>
              </w:rPr>
            </w:pPr>
            <w:r w:rsidRPr="00A16EF7">
              <w:rPr>
                <w:b/>
                <w:bCs/>
                <w:sz w:val="24"/>
                <w:szCs w:val="24"/>
              </w:rPr>
              <w:t xml:space="preserve">Cost of the </w:t>
            </w:r>
            <w:r>
              <w:rPr>
                <w:b/>
                <w:bCs/>
                <w:sz w:val="24"/>
                <w:szCs w:val="24"/>
              </w:rPr>
              <w:t>virtual</w:t>
            </w:r>
            <w:r w:rsidRPr="00A16EF7">
              <w:rPr>
                <w:b/>
                <w:bCs/>
                <w:sz w:val="24"/>
                <w:szCs w:val="24"/>
              </w:rPr>
              <w:t xml:space="preserve"> management plan</w:t>
            </w:r>
            <w:r>
              <w:rPr>
                <w:b/>
                <w:bCs/>
                <w:sz w:val="24"/>
                <w:szCs w:val="24"/>
              </w:rPr>
              <w:t>s</w:t>
            </w:r>
          </w:p>
        </w:tc>
        <w:tc>
          <w:tcPr>
            <w:tcW w:w="1672" w:type="dxa"/>
            <w:tcBorders>
              <w:top w:val="single" w:sz="4" w:space="0" w:color="auto"/>
              <w:left w:val="nil"/>
              <w:bottom w:val="single" w:sz="4" w:space="0" w:color="auto"/>
              <w:right w:val="single" w:sz="4" w:space="0" w:color="auto"/>
            </w:tcBorders>
            <w:shd w:val="clear" w:color="000000" w:fill="FFFFFF"/>
            <w:vAlign w:val="center"/>
          </w:tcPr>
          <w:p w14:paraId="761551E4" w14:textId="77777777" w:rsidR="004942B6" w:rsidRDefault="004942B6" w:rsidP="002C2525">
            <w:pPr>
              <w:spacing w:after="0" w:line="240" w:lineRule="auto"/>
              <w:jc w:val="both"/>
              <w:rPr>
                <w:b/>
                <w:bCs/>
                <w:color w:val="000000" w:themeColor="text1"/>
                <w:sz w:val="24"/>
                <w:szCs w:val="24"/>
              </w:rPr>
            </w:pPr>
            <w:r>
              <w:rPr>
                <w:b/>
                <w:bCs/>
                <w:color w:val="000000" w:themeColor="text1"/>
                <w:sz w:val="24"/>
                <w:szCs w:val="24"/>
              </w:rPr>
              <w:t>Virtual c</w:t>
            </w:r>
            <w:r w:rsidRPr="00A16EF7">
              <w:rPr>
                <w:b/>
                <w:bCs/>
                <w:color w:val="000000" w:themeColor="text1"/>
                <w:sz w:val="24"/>
                <w:szCs w:val="24"/>
              </w:rPr>
              <w:t>hange in</w:t>
            </w:r>
            <w:r>
              <w:rPr>
                <w:b/>
                <w:bCs/>
                <w:color w:val="000000" w:themeColor="text1"/>
                <w:sz w:val="24"/>
                <w:szCs w:val="24"/>
              </w:rPr>
              <w:t xml:space="preserve"> the </w:t>
            </w:r>
            <w:r w:rsidRPr="00A16EF7">
              <w:rPr>
                <w:b/>
                <w:bCs/>
                <w:color w:val="000000" w:themeColor="text1"/>
                <w:sz w:val="24"/>
                <w:szCs w:val="24"/>
              </w:rPr>
              <w:t xml:space="preserve">cost </w:t>
            </w:r>
          </w:p>
          <w:p w14:paraId="2AF390EA" w14:textId="77777777" w:rsidR="004942B6" w:rsidRDefault="004942B6" w:rsidP="002C2525">
            <w:pPr>
              <w:spacing w:after="0" w:line="240" w:lineRule="auto"/>
              <w:jc w:val="both"/>
              <w:rPr>
                <w:b/>
                <w:bCs/>
                <w:color w:val="000000" w:themeColor="text1"/>
                <w:sz w:val="24"/>
                <w:szCs w:val="24"/>
              </w:rPr>
            </w:pPr>
            <w:r w:rsidRPr="00A16EF7">
              <w:rPr>
                <w:b/>
                <w:bCs/>
                <w:color w:val="000000" w:themeColor="text1"/>
                <w:sz w:val="24"/>
                <w:szCs w:val="24"/>
              </w:rPr>
              <w:t>(B-A)</w:t>
            </w:r>
          </w:p>
        </w:tc>
      </w:tr>
      <w:tr w:rsidR="004942B6" w:rsidRPr="00497243" w14:paraId="4544F71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02B878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6</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0FBB07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02AEB92E" w14:textId="77777777" w:rsidR="004942B6" w:rsidRPr="00A024DA" w:rsidRDefault="004942B6" w:rsidP="002C2525">
            <w:pPr>
              <w:spacing w:after="0" w:line="240" w:lineRule="auto"/>
              <w:rPr>
                <w:sz w:val="24"/>
                <w:szCs w:val="24"/>
              </w:rPr>
            </w:pPr>
            <w:r w:rsidRPr="00A024DA">
              <w:rPr>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0402C04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£1856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898125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D05095C" w14:textId="77777777" w:rsidR="004942B6" w:rsidRPr="00497243" w:rsidRDefault="004942B6" w:rsidP="002C2525">
            <w:pPr>
              <w:spacing w:after="0" w:line="240" w:lineRule="auto"/>
              <w:rPr>
                <w:sz w:val="24"/>
                <w:szCs w:val="24"/>
              </w:rPr>
            </w:pPr>
            <w:r w:rsidRPr="00497243">
              <w:rPr>
                <w:rFonts w:ascii="Calibri" w:hAnsi="Calibri" w:cs="Calibri"/>
                <w:sz w:val="24"/>
                <w:szCs w:val="24"/>
              </w:rPr>
              <w:t>No change</w:t>
            </w:r>
          </w:p>
        </w:tc>
      </w:tr>
      <w:tr w:rsidR="004942B6" w:rsidRPr="00A024DA" w14:paraId="267C9516"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1C84A7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BDE26B3"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47F8EF4" w14:textId="77777777" w:rsidR="004942B6" w:rsidRPr="00A024DA" w:rsidRDefault="004942B6" w:rsidP="002C2525">
            <w:pPr>
              <w:spacing w:after="0" w:line="240" w:lineRule="auto"/>
              <w:rPr>
                <w:sz w:val="24"/>
                <w:szCs w:val="24"/>
              </w:rPr>
            </w:pPr>
            <w:r w:rsidRPr="00A024DA">
              <w:rPr>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7C9BDCA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26D3E2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3F704B6" w14:textId="77777777" w:rsidR="004942B6" w:rsidRPr="00A024DA" w:rsidRDefault="004942B6" w:rsidP="002C2525">
            <w:pPr>
              <w:spacing w:after="0" w:line="240" w:lineRule="auto"/>
              <w:rPr>
                <w:b/>
                <w:bCs/>
                <w:color w:val="C00000"/>
                <w:sz w:val="24"/>
                <w:szCs w:val="24"/>
              </w:rPr>
            </w:pPr>
            <w:r w:rsidRPr="00497243">
              <w:rPr>
                <w:rFonts w:ascii="Calibri" w:hAnsi="Calibri" w:cs="Calibri"/>
                <w:sz w:val="24"/>
                <w:szCs w:val="24"/>
              </w:rPr>
              <w:t>No change</w:t>
            </w:r>
          </w:p>
        </w:tc>
      </w:tr>
      <w:tr w:rsidR="004942B6" w:rsidRPr="00A024DA" w14:paraId="2B1E7CD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147024BE"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2D3E45E5"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CABG x 3 (+mFFR)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490C36DC" w14:textId="77777777" w:rsidR="004942B6" w:rsidRPr="00A024DA" w:rsidRDefault="004942B6" w:rsidP="002C2525">
            <w:pPr>
              <w:spacing w:after="0" w:line="240" w:lineRule="auto"/>
              <w:rPr>
                <w:sz w:val="24"/>
                <w:szCs w:val="24"/>
              </w:rPr>
            </w:pPr>
            <w:r>
              <w:rPr>
                <w:sz w:val="24"/>
                <w:szCs w:val="24"/>
              </w:rPr>
              <w:t>CABG x 3</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74A17980"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£12376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71BF0CB2"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£11790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95709C4" w14:textId="77777777" w:rsidR="004942B6" w:rsidRPr="00A024DA" w:rsidRDefault="004942B6" w:rsidP="002C2525">
            <w:pPr>
              <w:spacing w:after="0" w:line="240" w:lineRule="auto"/>
              <w:rPr>
                <w:rFonts w:ascii="Calibri" w:hAnsi="Calibri" w:cs="Calibri"/>
                <w:b/>
                <w:bCs/>
                <w:color w:val="C00000"/>
                <w:sz w:val="24"/>
                <w:szCs w:val="24"/>
              </w:rPr>
            </w:pPr>
            <w:r w:rsidRPr="00041497">
              <w:rPr>
                <w:rFonts w:ascii="Calibri" w:hAnsi="Calibri" w:cs="Calibri"/>
                <w:b/>
                <w:bCs/>
                <w:color w:val="00B050"/>
                <w:sz w:val="24"/>
                <w:szCs w:val="24"/>
              </w:rPr>
              <w:t>- £586</w:t>
            </w:r>
          </w:p>
        </w:tc>
      </w:tr>
      <w:tr w:rsidR="004942B6" w:rsidRPr="00A024DA" w14:paraId="63E0DA4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4BA83FBD"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38</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10A20443"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28A4692" w14:textId="77777777" w:rsidR="004942B6" w:rsidRPr="00A024DA" w:rsidRDefault="004942B6" w:rsidP="002C2525">
            <w:pPr>
              <w:spacing w:after="0" w:line="240" w:lineRule="auto"/>
              <w:rPr>
                <w:rFonts w:ascii="Calibri" w:hAnsi="Calibri" w:cs="Calibri"/>
                <w:color w:val="000000"/>
                <w:sz w:val="24"/>
                <w:szCs w:val="24"/>
              </w:rPr>
            </w:pPr>
            <w:r>
              <w:rPr>
                <w:sz w:val="24"/>
                <w:szCs w:val="24"/>
              </w:rPr>
              <w:t>2</w:t>
            </w:r>
            <w:r w:rsidRPr="00A024DA">
              <w:rPr>
                <w:sz w:val="24"/>
                <w:szCs w:val="24"/>
              </w:rPr>
              <w:t>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7DC22CC5"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1D3C8AB0"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6A14500" w14:textId="77777777" w:rsidR="004942B6" w:rsidRPr="00A024DA" w:rsidRDefault="004942B6" w:rsidP="002C2525">
            <w:pPr>
              <w:spacing w:after="0" w:line="240" w:lineRule="auto"/>
              <w:rPr>
                <w:rFonts w:ascii="Calibri" w:hAnsi="Calibri" w:cs="Calibri"/>
                <w:b/>
                <w:bCs/>
                <w:color w:val="C00000"/>
                <w:sz w:val="24"/>
                <w:szCs w:val="24"/>
              </w:rPr>
            </w:pPr>
            <w:r w:rsidRPr="00A024DA">
              <w:rPr>
                <w:b/>
                <w:bCs/>
                <w:color w:val="C00000"/>
                <w:sz w:val="24"/>
                <w:szCs w:val="24"/>
              </w:rPr>
              <w:t>+</w:t>
            </w:r>
            <w:r>
              <w:rPr>
                <w:b/>
                <w:bCs/>
                <w:color w:val="C00000"/>
                <w:sz w:val="24"/>
                <w:szCs w:val="24"/>
              </w:rPr>
              <w:t xml:space="preserve"> </w:t>
            </w:r>
            <w:r w:rsidRPr="00A024DA">
              <w:rPr>
                <w:b/>
                <w:bCs/>
                <w:color w:val="C00000"/>
                <w:sz w:val="24"/>
                <w:szCs w:val="24"/>
              </w:rPr>
              <w:t>£</w:t>
            </w:r>
            <w:r>
              <w:rPr>
                <w:b/>
                <w:bCs/>
                <w:color w:val="C00000"/>
                <w:sz w:val="24"/>
                <w:szCs w:val="24"/>
              </w:rPr>
              <w:t>420</w:t>
            </w:r>
          </w:p>
        </w:tc>
      </w:tr>
      <w:tr w:rsidR="004942B6" w:rsidRPr="00A024DA" w14:paraId="01D3820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422C85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40</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056D40D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B5D8CFD" w14:textId="77777777" w:rsidR="004942B6" w:rsidRPr="00A024DA" w:rsidRDefault="004942B6" w:rsidP="002C2525">
            <w:pPr>
              <w:spacing w:after="0" w:line="240" w:lineRule="auto"/>
              <w:rPr>
                <w:sz w:val="24"/>
                <w:szCs w:val="24"/>
              </w:rPr>
            </w:pPr>
            <w:r>
              <w:rPr>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EF69CA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5E57FB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061C51B" w14:textId="77777777" w:rsidR="004942B6" w:rsidRPr="00A024DA"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041497" w14:paraId="2F17159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A307C5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42</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11E229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 PCI</w:t>
            </w:r>
            <w:r>
              <w:rPr>
                <w:rFonts w:ascii="Calibri" w:hAnsi="Calibri" w:cs="Calibri"/>
                <w:color w:val="000000"/>
                <w:sz w:val="24"/>
                <w:szCs w:val="24"/>
              </w:rPr>
              <w:t xml:space="preserve"> + 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C21F2A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1VPCI</w:t>
            </w:r>
            <w:r>
              <w:rPr>
                <w:rFonts w:ascii="Calibri" w:hAnsi="Calibri" w:cs="Calibri"/>
                <w:color w:val="000000"/>
                <w:sz w:val="24"/>
                <w:szCs w:val="24"/>
              </w:rPr>
              <w:t xml:space="preserve">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D674E9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2022</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F3F6AE5" w14:textId="77777777" w:rsidR="004942B6" w:rsidRPr="00A024DA" w:rsidRDefault="004942B6" w:rsidP="002C2525">
            <w:pPr>
              <w:spacing w:after="0" w:line="240" w:lineRule="auto"/>
              <w:rPr>
                <w:sz w:val="24"/>
                <w:szCs w:val="24"/>
              </w:rPr>
            </w:pPr>
            <w:r>
              <w:rPr>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EF4C430" w14:textId="77777777" w:rsidR="004942B6" w:rsidRPr="00041497"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041497" w14:paraId="5FD3B5FC"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3A5205F" w14:textId="77777777" w:rsidR="004942B6" w:rsidRPr="00A024DA" w:rsidRDefault="004942B6" w:rsidP="002C2525">
            <w:pPr>
              <w:spacing w:after="0" w:line="240" w:lineRule="auto"/>
              <w:rPr>
                <w:sz w:val="24"/>
                <w:szCs w:val="24"/>
              </w:rPr>
            </w:pPr>
            <w:r>
              <w:rPr>
                <w:sz w:val="24"/>
                <w:szCs w:val="24"/>
              </w:rPr>
              <w:t>50</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0D7AB6A" w14:textId="77777777" w:rsidR="004942B6" w:rsidRPr="00A024DA" w:rsidRDefault="004942B6" w:rsidP="002C2525">
            <w:pPr>
              <w:spacing w:after="0" w:line="240" w:lineRule="auto"/>
              <w:rPr>
                <w:sz w:val="24"/>
                <w:szCs w:val="24"/>
              </w:rPr>
            </w:pPr>
            <w:r>
              <w:rPr>
                <w:rFonts w:ascii="Calibri" w:hAnsi="Calibri" w:cs="Calibr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3CD7BF4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3BD0C78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3825DC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B53904D" w14:textId="77777777" w:rsidR="004942B6" w:rsidRPr="00041497"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041497" w14:paraId="4391B43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57F9607C"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59</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14F74A05"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DDF548A"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BBB3136"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75BC0DB"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6025C0A" w14:textId="77777777" w:rsidR="004942B6" w:rsidRPr="00041497"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726</w:t>
            </w:r>
          </w:p>
        </w:tc>
      </w:tr>
      <w:tr w:rsidR="004942B6" w:rsidRPr="00041497" w14:paraId="11B2D351"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7BC626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62</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116CB07"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0277905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3FE8B69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DB2858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4BA148B" w14:textId="77777777" w:rsidR="004942B6" w:rsidRPr="00041497"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041497" w14:paraId="08EBFC9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461947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66</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E8911A9"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B77735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090764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117032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AE1865B" w14:textId="77777777" w:rsidR="004942B6" w:rsidRPr="00041497"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041497" w14:paraId="124DDA34"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0461B2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70</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C8C6907" w14:textId="77777777" w:rsidR="004942B6" w:rsidRPr="00A024DA" w:rsidRDefault="004942B6" w:rsidP="002C2525">
            <w:pPr>
              <w:spacing w:after="0" w:line="240" w:lineRule="auto"/>
              <w:rPr>
                <w:sz w:val="24"/>
                <w:szCs w:val="24"/>
              </w:rPr>
            </w:pPr>
            <w:r>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31A624C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4DDDF49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6FCCF7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BB10D09" w14:textId="77777777" w:rsidR="004942B6" w:rsidRPr="00041497" w:rsidRDefault="004942B6" w:rsidP="002C2525">
            <w:pPr>
              <w:spacing w:after="0" w:line="240" w:lineRule="auto"/>
              <w:rPr>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726</w:t>
            </w:r>
          </w:p>
        </w:tc>
      </w:tr>
      <w:tr w:rsidR="004942B6" w:rsidRPr="00041497" w14:paraId="5FDB0F4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4FB8BEC1"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77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D7ABEFC" w14:textId="77777777" w:rsidR="004942B6" w:rsidRPr="00A024DA" w:rsidRDefault="004942B6" w:rsidP="002C2525">
            <w:pPr>
              <w:spacing w:after="0" w:line="240" w:lineRule="auto"/>
              <w:rPr>
                <w:rFonts w:ascii="Calibri" w:hAnsi="Calibri" w:cs="Calibri"/>
                <w:color w:val="000000"/>
                <w:sz w:val="24"/>
                <w:szCs w:val="24"/>
              </w:rPr>
            </w:pPr>
            <w:r>
              <w:rPr>
                <w:sz w:val="24"/>
                <w:szCs w:val="24"/>
              </w:rPr>
              <w:t>2V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8FDD7AF" w14:textId="77777777" w:rsidR="004942B6" w:rsidRPr="00A024DA" w:rsidRDefault="004942B6" w:rsidP="002C2525">
            <w:pPr>
              <w:spacing w:after="0" w:line="240" w:lineRule="auto"/>
              <w:rPr>
                <w:rFonts w:ascii="Calibri" w:hAnsi="Calibri" w:cs="Calibri"/>
                <w:color w:val="000000"/>
                <w:sz w:val="24"/>
                <w:szCs w:val="24"/>
              </w:rPr>
            </w:pPr>
            <w:r>
              <w:rPr>
                <w:sz w:val="24"/>
                <w:szCs w:val="24"/>
              </w:rPr>
              <w:t>2</w:t>
            </w:r>
            <w:r w:rsidRPr="00A024DA">
              <w:rPr>
                <w:sz w:val="24"/>
                <w:szCs w:val="24"/>
              </w:rPr>
              <w:t>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D484471"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1856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876842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5B8DBF5" w14:textId="77777777" w:rsidR="004942B6" w:rsidRPr="00041497" w:rsidRDefault="004942B6" w:rsidP="002C2525">
            <w:pPr>
              <w:spacing w:after="0" w:line="240" w:lineRule="auto"/>
              <w:rPr>
                <w:rFonts w:ascii="Calibri" w:hAnsi="Calibri" w:cs="Calibri"/>
                <w:b/>
                <w:bCs/>
                <w:color w:val="00B050"/>
                <w:sz w:val="24"/>
                <w:szCs w:val="24"/>
              </w:rPr>
            </w:pPr>
            <w:r w:rsidRPr="00497243">
              <w:rPr>
                <w:rFonts w:ascii="Calibri" w:hAnsi="Calibri" w:cs="Calibri"/>
                <w:sz w:val="24"/>
                <w:szCs w:val="24"/>
              </w:rPr>
              <w:t>No change</w:t>
            </w:r>
          </w:p>
        </w:tc>
      </w:tr>
      <w:tr w:rsidR="004942B6" w:rsidRPr="001E0A9C" w14:paraId="69C4DDC5"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1E62FB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78</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6C19BA2" w14:textId="77777777" w:rsidR="004942B6" w:rsidRPr="00A024DA" w:rsidRDefault="004942B6" w:rsidP="002C2525">
            <w:pPr>
              <w:spacing w:after="0" w:line="240" w:lineRule="auto"/>
              <w:rPr>
                <w:sz w:val="24"/>
                <w:szCs w:val="24"/>
              </w:rPr>
            </w:pPr>
            <w:r w:rsidRPr="00A024DA">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C7C5E0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7A2F497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3234DC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6C8204" w14:textId="77777777" w:rsidR="004942B6" w:rsidRPr="001E0A9C"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041497" w14:paraId="2AA1C261"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407CCB53"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85</w:t>
            </w:r>
          </w:p>
        </w:tc>
        <w:tc>
          <w:tcPr>
            <w:tcW w:w="1985" w:type="dxa"/>
            <w:tcBorders>
              <w:top w:val="nil"/>
              <w:left w:val="nil"/>
              <w:bottom w:val="single" w:sz="4" w:space="0" w:color="auto"/>
              <w:right w:val="single" w:sz="4" w:space="0" w:color="auto"/>
            </w:tcBorders>
            <w:shd w:val="clear" w:color="auto" w:fill="FFFFFF" w:themeFill="background1"/>
            <w:noWrap/>
          </w:tcPr>
          <w:p w14:paraId="0E90F331" w14:textId="77777777" w:rsidR="004942B6" w:rsidRPr="00A024DA" w:rsidRDefault="004942B6" w:rsidP="002C2525">
            <w:pPr>
              <w:spacing w:after="0" w:line="240" w:lineRule="auto"/>
              <w:rPr>
                <w:sz w:val="24"/>
                <w:szCs w:val="24"/>
              </w:rPr>
            </w:pPr>
            <w:r>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9CE4F94" w14:textId="77777777" w:rsidR="004942B6" w:rsidRPr="00A024DA" w:rsidRDefault="004942B6" w:rsidP="002C2525">
            <w:pPr>
              <w:spacing w:after="0" w:line="240" w:lineRule="auto"/>
              <w:rPr>
                <w:rFonts w:ascii="Calibri" w:hAnsi="Calibri" w:cs="Calibri"/>
                <w:color w:val="000000"/>
                <w:sz w:val="24"/>
                <w:szCs w:val="24"/>
              </w:rPr>
            </w:pPr>
            <w:r>
              <w:rPr>
                <w:sz w:val="24"/>
                <w:szCs w:val="24"/>
              </w:rPr>
              <w:t xml:space="preserve">1V </w:t>
            </w:r>
            <w:r w:rsidRPr="00A024DA">
              <w:rPr>
                <w:sz w:val="24"/>
                <w:szCs w:val="24"/>
              </w:rPr>
              <w:t>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ACFC41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7FA3AD8D"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54607B0" w14:textId="77777777" w:rsidR="004942B6" w:rsidRPr="00041497" w:rsidRDefault="004942B6" w:rsidP="002C2525">
            <w:pPr>
              <w:spacing w:after="0" w:line="240" w:lineRule="auto"/>
              <w:rPr>
                <w:rFonts w:ascii="Calibri" w:hAnsi="Calibri" w:cs="Calibri"/>
                <w:b/>
                <w:bCs/>
                <w:color w:val="00B050"/>
                <w:sz w:val="24"/>
                <w:szCs w:val="24"/>
              </w:rPr>
            </w:pPr>
            <w:r w:rsidRPr="00497243">
              <w:rPr>
                <w:rFonts w:ascii="Calibri" w:hAnsi="Calibri" w:cs="Calibri"/>
                <w:sz w:val="24"/>
                <w:szCs w:val="24"/>
              </w:rPr>
              <w:t>No change</w:t>
            </w:r>
          </w:p>
        </w:tc>
      </w:tr>
      <w:tr w:rsidR="004942B6" w:rsidRPr="00041497" w14:paraId="25791D31"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1AAADC1B"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 xml:space="preserve">89 </w:t>
            </w:r>
          </w:p>
        </w:tc>
        <w:tc>
          <w:tcPr>
            <w:tcW w:w="1985" w:type="dxa"/>
            <w:tcBorders>
              <w:top w:val="nil"/>
              <w:left w:val="nil"/>
              <w:bottom w:val="single" w:sz="4" w:space="0" w:color="auto"/>
              <w:right w:val="single" w:sz="4" w:space="0" w:color="auto"/>
            </w:tcBorders>
            <w:shd w:val="clear" w:color="auto" w:fill="FFFFFF" w:themeFill="background1"/>
            <w:noWrap/>
          </w:tcPr>
          <w:p w14:paraId="27CABB9F" w14:textId="77777777" w:rsidR="004942B6" w:rsidRPr="00A024DA" w:rsidRDefault="004942B6" w:rsidP="002C2525">
            <w:pPr>
              <w:spacing w:after="0" w:line="240" w:lineRule="auto"/>
              <w:rPr>
                <w:sz w:val="24"/>
                <w:szCs w:val="24"/>
              </w:rPr>
            </w:pPr>
            <w:r>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278C8500"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w:t>
            </w:r>
            <w:r w:rsidRPr="00A024DA">
              <w:rPr>
                <w:rFonts w:ascii="Calibri" w:hAnsi="Calibri" w:cs="Calibri"/>
                <w:color w:val="000000"/>
                <w:sz w:val="24"/>
                <w:szCs w:val="24"/>
              </w:rPr>
              <w:t>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4D71A5B"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B1AE83A"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w:t>
            </w:r>
            <w:r>
              <w:rPr>
                <w:rFonts w:ascii="Calibri" w:hAnsi="Calibri" w:cs="Calibri"/>
                <w:color w:val="000000"/>
                <w:sz w:val="24"/>
                <w:szCs w:val="24"/>
              </w:rPr>
              <w:t>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4BEABD" w14:textId="77777777" w:rsidR="004942B6" w:rsidRPr="00041497" w:rsidRDefault="004942B6" w:rsidP="002C2525">
            <w:pPr>
              <w:spacing w:after="0" w:line="240" w:lineRule="auto"/>
              <w:rPr>
                <w:rFonts w:ascii="Calibri" w:hAnsi="Calibri" w:cs="Calibri"/>
                <w:b/>
                <w:bCs/>
                <w:color w:val="00B050"/>
                <w:sz w:val="24"/>
                <w:szCs w:val="24"/>
              </w:rPr>
            </w:pPr>
            <w:r w:rsidRPr="00497243">
              <w:rPr>
                <w:rFonts w:ascii="Calibri" w:hAnsi="Calibri" w:cs="Calibri"/>
                <w:sz w:val="24"/>
                <w:szCs w:val="24"/>
              </w:rPr>
              <w:t>No change</w:t>
            </w:r>
          </w:p>
        </w:tc>
      </w:tr>
      <w:tr w:rsidR="004942B6" w:rsidRPr="00A024DA" w14:paraId="571574A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3261B40C"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91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694502A1" w14:textId="77777777" w:rsidR="004942B6" w:rsidRPr="00A024DA" w:rsidRDefault="004942B6" w:rsidP="002C2525">
            <w:pPr>
              <w:spacing w:after="0" w:line="240" w:lineRule="auto"/>
              <w:rPr>
                <w:sz w:val="24"/>
                <w:szCs w:val="24"/>
              </w:rPr>
            </w:pPr>
            <w:r w:rsidRPr="00A024DA">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782C544"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ED66EF7"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36BA21E"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3372F10" w14:textId="77777777" w:rsidR="004942B6" w:rsidRPr="00A024DA" w:rsidRDefault="004942B6" w:rsidP="002C2525">
            <w:pPr>
              <w:spacing w:after="0" w:line="240" w:lineRule="auto"/>
              <w:rPr>
                <w:rFonts w:ascii="Calibri" w:hAnsi="Calibri" w:cs="Calibri"/>
                <w:b/>
                <w:bCs/>
                <w:color w:val="00B050"/>
                <w:sz w:val="24"/>
                <w:szCs w:val="24"/>
              </w:rPr>
            </w:pPr>
            <w:r w:rsidRPr="00497243">
              <w:rPr>
                <w:rFonts w:ascii="Calibri" w:hAnsi="Calibri" w:cs="Calibri"/>
                <w:sz w:val="24"/>
                <w:szCs w:val="24"/>
              </w:rPr>
              <w:t>No change</w:t>
            </w:r>
          </w:p>
        </w:tc>
      </w:tr>
      <w:tr w:rsidR="004942B6" w:rsidRPr="002B1621" w14:paraId="3BB1BAA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D29A7A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95</w:t>
            </w:r>
          </w:p>
        </w:tc>
        <w:tc>
          <w:tcPr>
            <w:tcW w:w="1985" w:type="dxa"/>
            <w:tcBorders>
              <w:top w:val="nil"/>
              <w:left w:val="nil"/>
              <w:bottom w:val="single" w:sz="4" w:space="0" w:color="auto"/>
              <w:right w:val="single" w:sz="4" w:space="0" w:color="auto"/>
            </w:tcBorders>
            <w:shd w:val="clear" w:color="auto" w:fill="FFFFFF" w:themeFill="background1"/>
            <w:noWrap/>
            <w:hideMark/>
          </w:tcPr>
          <w:p w14:paraId="7210875A" w14:textId="77777777" w:rsidR="004942B6" w:rsidRPr="00A024DA" w:rsidRDefault="004942B6" w:rsidP="002C2525">
            <w:pPr>
              <w:spacing w:after="0" w:line="240" w:lineRule="auto"/>
              <w:rPr>
                <w:sz w:val="24"/>
                <w:szCs w:val="24"/>
              </w:rPr>
            </w:pPr>
            <w:r>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7F258CF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E9ECB8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w:t>
            </w:r>
            <w:r>
              <w:rPr>
                <w:rFonts w:ascii="Calibri" w:hAnsi="Calibri" w:cs="Calibri"/>
                <w:color w:val="000000"/>
                <w:sz w:val="24"/>
                <w:szCs w:val="24"/>
              </w:rPr>
              <w:t>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CF20EF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D352AA4" w14:textId="77777777" w:rsidR="004942B6" w:rsidRPr="002B1621" w:rsidRDefault="004942B6" w:rsidP="002C2525">
            <w:pPr>
              <w:spacing w:after="0" w:line="240" w:lineRule="auto"/>
              <w:rPr>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726</w:t>
            </w:r>
          </w:p>
        </w:tc>
      </w:tr>
      <w:tr w:rsidR="004942B6" w:rsidRPr="002B1621" w14:paraId="6EED892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C529A2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108</w:t>
            </w:r>
          </w:p>
        </w:tc>
        <w:tc>
          <w:tcPr>
            <w:tcW w:w="1985" w:type="dxa"/>
            <w:tcBorders>
              <w:top w:val="nil"/>
              <w:left w:val="nil"/>
              <w:bottom w:val="single" w:sz="4" w:space="0" w:color="auto"/>
              <w:right w:val="single" w:sz="4" w:space="0" w:color="auto"/>
            </w:tcBorders>
            <w:shd w:val="clear" w:color="auto" w:fill="FFFFFF" w:themeFill="background1"/>
            <w:noWrap/>
            <w:hideMark/>
          </w:tcPr>
          <w:p w14:paraId="77F0527B" w14:textId="77777777" w:rsidR="004942B6" w:rsidRPr="00A024DA" w:rsidRDefault="004942B6" w:rsidP="002C2525">
            <w:pPr>
              <w:spacing w:after="0" w:line="240" w:lineRule="auto"/>
              <w:rPr>
                <w:sz w:val="24"/>
                <w:szCs w:val="24"/>
              </w:rPr>
            </w:pPr>
            <w:r>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59993F1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716C38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F58E2C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00084A5" w14:textId="77777777" w:rsidR="004942B6" w:rsidRPr="002B1621" w:rsidRDefault="004942B6" w:rsidP="002C2525">
            <w:pPr>
              <w:spacing w:after="0" w:line="240" w:lineRule="auto"/>
              <w:rPr>
                <w:b/>
                <w:bCs/>
                <w:color w:val="00B05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w:t>
            </w:r>
            <w:r>
              <w:rPr>
                <w:rFonts w:ascii="Calibri" w:hAnsi="Calibri" w:cs="Calibri"/>
                <w:b/>
                <w:bCs/>
                <w:color w:val="C00000"/>
                <w:sz w:val="24"/>
                <w:szCs w:val="24"/>
              </w:rPr>
              <w:t>420</w:t>
            </w:r>
          </w:p>
        </w:tc>
      </w:tr>
      <w:tr w:rsidR="004942B6" w:rsidRPr="00A024DA" w14:paraId="736D316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9B2930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125</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42BE42F0"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81AC62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630C59F"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81A3D7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1B54D8F"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74BD9DA5"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F0E119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127</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9C4C1F8" w14:textId="77777777" w:rsidR="004942B6" w:rsidRPr="00A024DA" w:rsidRDefault="004942B6" w:rsidP="002C2525">
            <w:pPr>
              <w:spacing w:after="0" w:line="240" w:lineRule="auto"/>
              <w:rPr>
                <w:sz w:val="24"/>
                <w:szCs w:val="24"/>
              </w:rPr>
            </w:pPr>
            <w:r w:rsidRPr="00A024DA">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2C51F5D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F516CD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1CA046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E1773AD"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1EEDAA44"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955AF1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159</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5729D6D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7B241B18" w14:textId="77777777" w:rsidR="004942B6" w:rsidRPr="00A024DA" w:rsidRDefault="004942B6" w:rsidP="002C2525">
            <w:pPr>
              <w:spacing w:after="0" w:line="240" w:lineRule="auto"/>
              <w:rPr>
                <w:sz w:val="24"/>
                <w:szCs w:val="24"/>
              </w:rPr>
            </w:pPr>
            <w:r>
              <w:rPr>
                <w:rFonts w:ascii="Calibri" w:hAnsi="Calibri" w:cs="Calibri"/>
                <w:color w:val="000000"/>
                <w:sz w:val="24"/>
                <w:szCs w:val="24"/>
              </w:rPr>
              <w:t>1</w:t>
            </w:r>
            <w:r w:rsidRPr="00A024DA">
              <w:rPr>
                <w:rFonts w:ascii="Calibri" w:hAnsi="Calibri" w:cs="Calibri"/>
                <w:color w:val="000000"/>
                <w:sz w:val="24"/>
                <w:szCs w:val="24"/>
              </w:rPr>
              <w:t>VPCI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333066E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2E75C4A" w14:textId="77777777" w:rsidR="004942B6" w:rsidRPr="00A024DA" w:rsidRDefault="004942B6" w:rsidP="002C2525">
            <w:pPr>
              <w:spacing w:after="0" w:line="240" w:lineRule="auto"/>
              <w:rPr>
                <w:sz w:val="24"/>
                <w:szCs w:val="24"/>
              </w:rPr>
            </w:pPr>
            <w:r>
              <w:rPr>
                <w:rFonts w:ascii="Calibri" w:hAnsi="Calibri" w:cs="Calibri"/>
                <w:color w:val="000000"/>
                <w:sz w:val="24"/>
                <w:szCs w:val="24"/>
              </w:rPr>
              <w:t>£143</w:t>
            </w:r>
            <w:r w:rsidRPr="00A024DA">
              <w:rPr>
                <w:rFonts w:ascii="Calibri" w:hAnsi="Calibri" w:cs="Calibri"/>
                <w:color w:val="000000"/>
                <w:sz w:val="24"/>
                <w:szCs w:val="24"/>
              </w:rPr>
              <w:t>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0CC7692"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354FDD06"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1EA9A36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174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6CEEA92A" w14:textId="77777777" w:rsidR="004942B6" w:rsidRPr="00A024DA" w:rsidRDefault="004942B6" w:rsidP="002C2525">
            <w:pPr>
              <w:spacing w:after="0" w:line="240" w:lineRule="auto"/>
              <w:rPr>
                <w:rFonts w:ascii="Calibri" w:hAnsi="Calibri" w:cs="Calibri"/>
                <w:color w:val="000000"/>
                <w:sz w:val="24"/>
                <w:szCs w:val="24"/>
              </w:rPr>
            </w:pPr>
            <w:r w:rsidRPr="00A024DA">
              <w:rPr>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ADCAF0A"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1F33D300"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2325B9A"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0F0EA0E" w14:textId="77777777" w:rsidR="004942B6" w:rsidRPr="00A024DA" w:rsidRDefault="004942B6" w:rsidP="002C2525">
            <w:pPr>
              <w:spacing w:after="0" w:line="240" w:lineRule="auto"/>
              <w:rPr>
                <w:rFonts w:ascii="Calibri" w:hAnsi="Calibri" w:cs="Calibri"/>
                <w:b/>
                <w:bCs/>
                <w:color w:val="C00000"/>
                <w:sz w:val="24"/>
                <w:szCs w:val="24"/>
              </w:rPr>
            </w:pPr>
            <w:r w:rsidRPr="00497243">
              <w:rPr>
                <w:rFonts w:ascii="Calibri" w:hAnsi="Calibri" w:cs="Calibri"/>
                <w:sz w:val="24"/>
                <w:szCs w:val="24"/>
              </w:rPr>
              <w:t>No change</w:t>
            </w:r>
          </w:p>
        </w:tc>
      </w:tr>
      <w:tr w:rsidR="004942B6" w:rsidRPr="00A024DA" w14:paraId="2F125F93"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53DF0306"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180</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2D83EC56"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w:t>
            </w:r>
            <w:r w:rsidRPr="00A024DA">
              <w:rPr>
                <w:rFonts w:ascii="Calibri" w:hAnsi="Calibri" w:cs="Calibri"/>
                <w:color w:val="000000"/>
                <w:sz w:val="24"/>
                <w:szCs w:val="24"/>
              </w:rPr>
              <w:t>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90E77A9"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7B114EC1"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2074370"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BB30D4F" w14:textId="77777777" w:rsidR="004942B6" w:rsidRPr="00A024DA" w:rsidRDefault="004942B6" w:rsidP="002C2525">
            <w:pPr>
              <w:spacing w:after="0" w:line="240" w:lineRule="auto"/>
              <w:rPr>
                <w:rFonts w:ascii="Calibri" w:hAnsi="Calibri" w:cs="Calibri"/>
                <w:b/>
                <w:bCs/>
                <w:color w:val="00B050"/>
                <w:sz w:val="24"/>
                <w:szCs w:val="24"/>
              </w:rPr>
            </w:pPr>
            <w:r w:rsidRPr="00497243">
              <w:rPr>
                <w:rFonts w:ascii="Calibri" w:hAnsi="Calibri" w:cs="Calibri"/>
                <w:sz w:val="24"/>
                <w:szCs w:val="24"/>
              </w:rPr>
              <w:t>No change</w:t>
            </w:r>
          </w:p>
        </w:tc>
      </w:tr>
      <w:tr w:rsidR="004942B6" w:rsidRPr="001E0A9C" w14:paraId="44E274D3"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EE9560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181</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089548C5" w14:textId="77777777" w:rsidR="004942B6" w:rsidRPr="00A024DA" w:rsidRDefault="004942B6" w:rsidP="002C2525">
            <w:pPr>
              <w:spacing w:after="0" w:line="240" w:lineRule="auto"/>
              <w:rPr>
                <w:sz w:val="24"/>
                <w:szCs w:val="24"/>
              </w:rPr>
            </w:pPr>
            <w:r>
              <w:rPr>
                <w:rFonts w:ascii="Calibri" w:hAnsi="Calibri" w:cs="Calibri"/>
                <w:color w:val="000000"/>
                <w:sz w:val="24"/>
                <w:szCs w:val="24"/>
              </w:rPr>
              <w:t>2</w:t>
            </w:r>
            <w:r w:rsidRPr="00A024DA">
              <w:rPr>
                <w:rFonts w:ascii="Calibri" w:hAnsi="Calibri" w:cs="Calibri"/>
                <w:color w:val="000000"/>
                <w:sz w:val="24"/>
                <w:szCs w:val="24"/>
              </w:rPr>
              <w:t>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2157053" w14:textId="77777777" w:rsidR="004942B6" w:rsidRPr="00A024DA" w:rsidRDefault="004942B6" w:rsidP="002C2525">
            <w:pPr>
              <w:spacing w:after="0" w:line="240" w:lineRule="auto"/>
              <w:rPr>
                <w:sz w:val="24"/>
                <w:szCs w:val="24"/>
              </w:rPr>
            </w:pPr>
            <w:r>
              <w:rPr>
                <w:sz w:val="24"/>
                <w:szCs w:val="24"/>
              </w:rPr>
              <w:t>2</w:t>
            </w:r>
            <w:r w:rsidRPr="00A024DA">
              <w:rPr>
                <w:sz w:val="24"/>
                <w:szCs w:val="24"/>
              </w:rPr>
              <w:t>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B831A4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w:t>
            </w:r>
            <w:r>
              <w:rPr>
                <w:rFonts w:ascii="Calibri" w:hAnsi="Calibri" w:cs="Calibri"/>
                <w:color w:val="000000"/>
                <w:sz w:val="24"/>
                <w:szCs w:val="24"/>
              </w:rPr>
              <w:t>856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F943F3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549A242" w14:textId="77777777" w:rsidR="004942B6" w:rsidRPr="001E0A9C" w:rsidRDefault="004942B6" w:rsidP="002C2525">
            <w:pPr>
              <w:spacing w:after="0" w:line="240" w:lineRule="auto"/>
              <w:rPr>
                <w:b/>
                <w:bCs/>
                <w:color w:val="C00000"/>
                <w:sz w:val="24"/>
                <w:szCs w:val="24"/>
              </w:rPr>
            </w:pPr>
            <w:r w:rsidRPr="00497243">
              <w:rPr>
                <w:rFonts w:ascii="Calibri" w:hAnsi="Calibri" w:cs="Calibri"/>
                <w:sz w:val="24"/>
                <w:szCs w:val="24"/>
              </w:rPr>
              <w:t>No change</w:t>
            </w:r>
          </w:p>
        </w:tc>
      </w:tr>
      <w:tr w:rsidR="004942B6" w:rsidRPr="001E0A9C" w14:paraId="614A8D54"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EA89AF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189</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654EE208"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E422BF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B9E760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921F03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6082399" w14:textId="77777777" w:rsidR="004942B6" w:rsidRPr="001E0A9C" w:rsidRDefault="004942B6" w:rsidP="002C2525">
            <w:pPr>
              <w:spacing w:after="0" w:line="240" w:lineRule="auto"/>
              <w:rPr>
                <w:b/>
                <w:bCs/>
                <w:color w:val="C00000"/>
                <w:sz w:val="24"/>
                <w:szCs w:val="24"/>
              </w:rPr>
            </w:pPr>
            <w:r w:rsidRPr="00497243">
              <w:rPr>
                <w:rFonts w:ascii="Calibri" w:hAnsi="Calibri" w:cs="Calibri"/>
                <w:sz w:val="24"/>
                <w:szCs w:val="24"/>
              </w:rPr>
              <w:t>No change</w:t>
            </w:r>
          </w:p>
        </w:tc>
      </w:tr>
      <w:tr w:rsidR="004942B6" w:rsidRPr="001E0A9C" w14:paraId="2D3F4BF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041CCD2D"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192</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FF7DBE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 xml:space="preserve">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42BC6C0F"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2</w:t>
            </w:r>
            <w:r w:rsidRPr="00A024DA">
              <w:rPr>
                <w:rFonts w:ascii="Calibri" w:hAnsi="Calibri" w:cs="Calibri"/>
                <w:color w:val="000000"/>
                <w:sz w:val="24"/>
                <w:szCs w:val="24"/>
              </w:rPr>
              <w:t>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18A634D"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510515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w:t>
            </w:r>
            <w:r>
              <w:rPr>
                <w:rFonts w:ascii="Calibri" w:hAnsi="Calibri" w:cs="Calibri"/>
                <w:color w:val="000000"/>
                <w:sz w:val="24"/>
                <w:szCs w:val="24"/>
              </w:rPr>
              <w:t>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E0E7F88" w14:textId="77777777" w:rsidR="004942B6" w:rsidRPr="001E0A9C" w:rsidRDefault="004942B6" w:rsidP="002C2525">
            <w:pPr>
              <w:spacing w:after="0" w:line="240" w:lineRule="auto"/>
              <w:rPr>
                <w:rFonts w:ascii="Calibri" w:hAnsi="Calibri" w:cs="Calibri"/>
                <w:b/>
                <w:bCs/>
                <w:color w:val="00B05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w:t>
            </w:r>
            <w:r>
              <w:rPr>
                <w:rFonts w:ascii="Calibri" w:hAnsi="Calibri" w:cs="Calibri"/>
                <w:b/>
                <w:bCs/>
                <w:color w:val="C00000"/>
                <w:sz w:val="24"/>
                <w:szCs w:val="24"/>
              </w:rPr>
              <w:t>420</w:t>
            </w:r>
          </w:p>
        </w:tc>
      </w:tr>
      <w:tr w:rsidR="004942B6" w:rsidRPr="001E0A9C" w14:paraId="50685FB4"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052081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195</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60E2205" w14:textId="77777777" w:rsidR="004942B6" w:rsidRPr="00A024DA" w:rsidRDefault="004942B6" w:rsidP="002C2525">
            <w:pPr>
              <w:spacing w:after="0" w:line="240" w:lineRule="auto"/>
              <w:rPr>
                <w:sz w:val="24"/>
                <w:szCs w:val="24"/>
              </w:rPr>
            </w:pPr>
            <w:r>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373BD96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0E1132F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4DD1E0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1D696E9" w14:textId="77777777" w:rsidR="004942B6" w:rsidRPr="001E0A9C"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1E0A9C" w14:paraId="7F8AE6D6"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4F2C6E5B"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209</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6927D76" w14:textId="77777777" w:rsidR="004942B6" w:rsidRPr="00A024DA" w:rsidRDefault="004942B6" w:rsidP="002C2525">
            <w:pPr>
              <w:spacing w:after="0" w:line="240" w:lineRule="auto"/>
              <w:rPr>
                <w:rFonts w:ascii="Calibri" w:hAnsi="Calibri" w:cs="Calibri"/>
                <w:color w:val="000000"/>
                <w:sz w:val="24"/>
                <w:szCs w:val="24"/>
              </w:rPr>
            </w:pPr>
            <w:r>
              <w:rPr>
                <w:sz w:val="24"/>
                <w:szCs w:val="24"/>
              </w:rPr>
              <w:t>CABG x 3</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CE400FD" w14:textId="77777777" w:rsidR="004942B6" w:rsidRPr="00A024DA" w:rsidRDefault="004942B6" w:rsidP="002C2525">
            <w:pPr>
              <w:spacing w:after="0" w:line="240" w:lineRule="auto"/>
              <w:rPr>
                <w:rFonts w:ascii="Calibri" w:hAnsi="Calibri" w:cs="Calibri"/>
                <w:color w:val="000000"/>
                <w:sz w:val="24"/>
                <w:szCs w:val="24"/>
              </w:rPr>
            </w:pPr>
            <w:r>
              <w:rPr>
                <w:sz w:val="24"/>
                <w:szCs w:val="24"/>
              </w:rPr>
              <w:t>CABG x 3</w:t>
            </w:r>
            <w:r w:rsidRPr="00A024DA">
              <w:rPr>
                <w:sz w:val="24"/>
                <w:szCs w:val="24"/>
              </w:rPr>
              <w:t xml:space="preserve">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206E41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11790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D6A36A0"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w:t>
            </w:r>
            <w:r>
              <w:rPr>
                <w:rFonts w:ascii="Calibri" w:hAnsi="Calibri" w:cs="Calibri"/>
                <w:color w:val="000000"/>
                <w:sz w:val="24"/>
                <w:szCs w:val="24"/>
              </w:rPr>
              <w:t>1790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EBE8F43" w14:textId="77777777" w:rsidR="004942B6" w:rsidRPr="001E0A9C" w:rsidRDefault="004942B6" w:rsidP="002C2525">
            <w:pPr>
              <w:spacing w:after="0" w:line="240" w:lineRule="auto"/>
              <w:rPr>
                <w:rFonts w:ascii="Calibri" w:hAnsi="Calibri" w:cs="Calibri"/>
                <w:b/>
                <w:bCs/>
                <w:color w:val="00B050"/>
                <w:sz w:val="24"/>
                <w:szCs w:val="24"/>
              </w:rPr>
            </w:pPr>
            <w:r w:rsidRPr="00497243">
              <w:rPr>
                <w:rFonts w:ascii="Calibri" w:hAnsi="Calibri" w:cs="Calibri"/>
                <w:sz w:val="24"/>
                <w:szCs w:val="24"/>
              </w:rPr>
              <w:t>No change</w:t>
            </w:r>
          </w:p>
        </w:tc>
      </w:tr>
      <w:tr w:rsidR="004942B6" w:rsidRPr="00A024DA" w14:paraId="36ADFDA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EC6965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211</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382E936" w14:textId="77777777" w:rsidR="004942B6" w:rsidRPr="00A024DA" w:rsidRDefault="004942B6" w:rsidP="002C2525">
            <w:pPr>
              <w:spacing w:after="0" w:line="240" w:lineRule="auto"/>
              <w:rPr>
                <w:sz w:val="24"/>
                <w:szCs w:val="24"/>
              </w:rPr>
            </w:pPr>
            <w:r>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0039B9C0" w14:textId="77777777" w:rsidR="004942B6" w:rsidRPr="00A024DA" w:rsidRDefault="004942B6" w:rsidP="002C2525">
            <w:pPr>
              <w:spacing w:after="0" w:line="240" w:lineRule="auto"/>
              <w:rPr>
                <w:sz w:val="24"/>
                <w:szCs w:val="24"/>
              </w:rPr>
            </w:pPr>
            <w:r w:rsidRPr="00A024DA">
              <w:rPr>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4197BB6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4FDA1F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13C058E"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2AB405D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4BE93DDF"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214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DF7690E"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 xml:space="preserve">1V PCI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27861E25" w14:textId="77777777" w:rsidR="004942B6" w:rsidRPr="00A024DA" w:rsidRDefault="004942B6" w:rsidP="002C2525">
            <w:pPr>
              <w:spacing w:after="0" w:line="240" w:lineRule="auto"/>
              <w:rPr>
                <w:sz w:val="24"/>
                <w:szCs w:val="24"/>
              </w:rPr>
            </w:pPr>
            <w:r>
              <w:rPr>
                <w:rFonts w:ascii="Calibri" w:hAnsi="Calibri" w:cs="Calibri"/>
                <w:color w:val="000000"/>
                <w:sz w:val="24"/>
                <w:szCs w:val="24"/>
              </w:rPr>
              <w:t xml:space="preserve">2V PCI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F3F4609"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£1</w:t>
            </w:r>
            <w:r>
              <w:rPr>
                <w:rFonts w:ascii="Calibri" w:hAnsi="Calibri" w:cs="Calibri"/>
                <w:color w:val="000000"/>
                <w:sz w:val="24"/>
                <w:szCs w:val="24"/>
              </w:rPr>
              <w:t>436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196EA3E2"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491DC0F" w14:textId="77777777" w:rsidR="004942B6" w:rsidRPr="00A024DA" w:rsidRDefault="004942B6" w:rsidP="002C2525">
            <w:pPr>
              <w:spacing w:after="0" w:line="240" w:lineRule="auto"/>
              <w:rPr>
                <w:rFonts w:ascii="Calibri" w:hAnsi="Calibri" w:cs="Calibri"/>
                <w:b/>
                <w:bCs/>
                <w:color w:val="00B050"/>
                <w:sz w:val="24"/>
                <w:szCs w:val="24"/>
              </w:rPr>
            </w:pPr>
            <w:r w:rsidRPr="00A024DA">
              <w:rPr>
                <w:rFonts w:ascii="Calibri" w:hAnsi="Calibri" w:cs="Calibri"/>
                <w:b/>
                <w:bCs/>
                <w:color w:val="C00000"/>
                <w:sz w:val="24"/>
                <w:szCs w:val="24"/>
              </w:rPr>
              <w:t>+</w:t>
            </w:r>
            <w:r>
              <w:rPr>
                <w:rFonts w:ascii="Calibri" w:hAnsi="Calibri" w:cs="Calibri"/>
                <w:b/>
                <w:bCs/>
                <w:color w:val="C00000"/>
                <w:sz w:val="24"/>
                <w:szCs w:val="24"/>
              </w:rPr>
              <w:t xml:space="preserve"> </w:t>
            </w:r>
            <w:r w:rsidRPr="00A024DA">
              <w:rPr>
                <w:rFonts w:ascii="Calibri" w:hAnsi="Calibri" w:cs="Calibri"/>
                <w:b/>
                <w:bCs/>
                <w:color w:val="C00000"/>
                <w:sz w:val="24"/>
                <w:szCs w:val="24"/>
              </w:rPr>
              <w:t>£</w:t>
            </w:r>
            <w:r>
              <w:rPr>
                <w:rFonts w:ascii="Calibri" w:hAnsi="Calibri" w:cs="Calibri"/>
                <w:b/>
                <w:bCs/>
                <w:color w:val="C00000"/>
                <w:sz w:val="24"/>
                <w:szCs w:val="24"/>
              </w:rPr>
              <w:t>586</w:t>
            </w:r>
          </w:p>
        </w:tc>
      </w:tr>
      <w:tr w:rsidR="004942B6" w:rsidRPr="00A024DA" w14:paraId="74C42CEF"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74FD8A6"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242</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D373B36" w14:textId="77777777" w:rsidR="004942B6" w:rsidRPr="00A024DA" w:rsidRDefault="004942B6" w:rsidP="002C2525">
            <w:pPr>
              <w:spacing w:after="0" w:line="240" w:lineRule="auto"/>
              <w:rPr>
                <w:sz w:val="24"/>
                <w:szCs w:val="24"/>
              </w:rPr>
            </w:pPr>
            <w:r>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3AE75777"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81349B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6FF06DB"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0B6ED8E"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£586</w:t>
            </w:r>
          </w:p>
        </w:tc>
      </w:tr>
      <w:tr w:rsidR="004942B6" w:rsidRPr="00A024DA" w14:paraId="71578B0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4FCD08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lastRenderedPageBreak/>
              <w:t>247</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1D9714A" w14:textId="77777777" w:rsidR="004942B6" w:rsidRPr="00A024DA" w:rsidRDefault="004942B6" w:rsidP="002C2525">
            <w:pPr>
              <w:spacing w:after="0" w:line="240" w:lineRule="auto"/>
              <w:rPr>
                <w:sz w:val="24"/>
                <w:szCs w:val="24"/>
              </w:rPr>
            </w:pPr>
            <w:r>
              <w:rPr>
                <w:sz w:val="24"/>
                <w:szCs w:val="24"/>
              </w:rPr>
              <w:t>CABG x 2</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5DDBE2F9"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579F420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11790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3B5AD2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BC0DFD4"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w:t>
            </w:r>
            <w:r>
              <w:rPr>
                <w:rFonts w:ascii="Calibri" w:hAnsi="Calibri" w:cs="Calibri"/>
                <w:b/>
                <w:bCs/>
                <w:color w:val="00B050"/>
                <w:sz w:val="24"/>
                <w:szCs w:val="24"/>
              </w:rPr>
              <w:t>11080</w:t>
            </w:r>
          </w:p>
        </w:tc>
      </w:tr>
      <w:tr w:rsidR="004942B6" w:rsidRPr="00A024DA" w14:paraId="0C4C46BC"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67C67AD"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248</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DA2283F" w14:textId="77777777" w:rsidR="004942B6" w:rsidRPr="00A024DA" w:rsidRDefault="004942B6" w:rsidP="002C2525">
            <w:pPr>
              <w:spacing w:after="0" w:line="240" w:lineRule="auto"/>
              <w:rPr>
                <w:sz w:val="24"/>
                <w:szCs w:val="24"/>
              </w:rPr>
            </w:pPr>
            <w:r>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40EECEE8" w14:textId="77777777" w:rsidR="004942B6" w:rsidRPr="00A024DA" w:rsidRDefault="004942B6" w:rsidP="002C2525">
            <w:pPr>
              <w:spacing w:after="0" w:line="240" w:lineRule="auto"/>
              <w:rPr>
                <w:sz w:val="24"/>
                <w:szCs w:val="24"/>
              </w:rPr>
            </w:pPr>
            <w:r>
              <w:rPr>
                <w:rFonts w:ascii="Calibri" w:hAnsi="Calibri" w:cs="Calibr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248461D7" w14:textId="77777777" w:rsidR="004942B6" w:rsidRPr="00A024DA" w:rsidRDefault="004942B6" w:rsidP="002C2525">
            <w:pPr>
              <w:spacing w:after="0" w:line="240" w:lineRule="auto"/>
              <w:rPr>
                <w:sz w:val="24"/>
                <w:szCs w:val="24"/>
              </w:rPr>
            </w:pPr>
            <w:r>
              <w:rPr>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5AA3A7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w:t>
            </w:r>
            <w:r>
              <w:rPr>
                <w:rFonts w:ascii="Calibri" w:hAnsi="Calibri" w:cs="Calibri"/>
                <w:color w:val="000000"/>
                <w:sz w:val="24"/>
                <w:szCs w:val="24"/>
              </w:rPr>
              <w:t>856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E92AEE4" w14:textId="77777777" w:rsidR="004942B6" w:rsidRPr="00A024DA" w:rsidRDefault="004942B6" w:rsidP="002C2525">
            <w:pPr>
              <w:spacing w:after="0" w:line="240" w:lineRule="auto"/>
              <w:rPr>
                <w:b/>
                <w:bCs/>
                <w:color w:val="00B050"/>
                <w:sz w:val="24"/>
                <w:szCs w:val="24"/>
              </w:rPr>
            </w:pPr>
            <w:r w:rsidRPr="00041497">
              <w:rPr>
                <w:rFonts w:ascii="Calibri" w:hAnsi="Calibri" w:cs="Calibri"/>
                <w:b/>
                <w:bCs/>
                <w:color w:val="00B050"/>
                <w:sz w:val="24"/>
                <w:szCs w:val="24"/>
              </w:rPr>
              <w:t>- £5</w:t>
            </w:r>
            <w:r>
              <w:rPr>
                <w:rFonts w:ascii="Calibri" w:hAnsi="Calibri" w:cs="Calibri"/>
                <w:b/>
                <w:bCs/>
                <w:color w:val="00B050"/>
                <w:sz w:val="24"/>
                <w:szCs w:val="24"/>
              </w:rPr>
              <w:t>60</w:t>
            </w:r>
          </w:p>
        </w:tc>
      </w:tr>
      <w:tr w:rsidR="004942B6" w:rsidRPr="00A024DA" w14:paraId="4FA7830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65424EF8"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262</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BDC7488"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36F6997"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43273B6"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E8DED41"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5D38BCF" w14:textId="77777777" w:rsidR="004942B6" w:rsidRPr="00A024DA" w:rsidRDefault="004942B6" w:rsidP="002C2525">
            <w:pPr>
              <w:spacing w:after="0" w:line="240" w:lineRule="auto"/>
              <w:rPr>
                <w:rFonts w:ascii="Calibri" w:hAnsi="Calibri" w:cs="Calibri"/>
                <w:b/>
                <w:bCs/>
                <w:color w:val="C00000"/>
                <w:sz w:val="24"/>
                <w:szCs w:val="24"/>
              </w:rPr>
            </w:pPr>
            <w:r w:rsidRPr="00041497">
              <w:rPr>
                <w:rFonts w:ascii="Calibri" w:hAnsi="Calibri" w:cs="Calibri"/>
                <w:b/>
                <w:bCs/>
                <w:color w:val="00B050"/>
                <w:sz w:val="24"/>
                <w:szCs w:val="24"/>
              </w:rPr>
              <w:t>- £586</w:t>
            </w:r>
          </w:p>
        </w:tc>
      </w:tr>
      <w:tr w:rsidR="004942B6" w:rsidRPr="00A024DA" w14:paraId="5791552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85B777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263</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1803FA96"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6BB10FD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 xml:space="preserve">OMT </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02BA035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51F4F9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D3C262D"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2DC1B88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tcPr>
          <w:p w14:paraId="7D7D8E76"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266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4CF5361" w14:textId="77777777" w:rsidR="004942B6" w:rsidRPr="00A024DA" w:rsidRDefault="004942B6" w:rsidP="002C2525">
            <w:pPr>
              <w:spacing w:after="0" w:line="240" w:lineRule="auto"/>
              <w:rPr>
                <w:rFonts w:ascii="Calibri" w:hAnsi="Calibri" w:cs="Calibri"/>
                <w:color w:val="000000"/>
                <w:sz w:val="24"/>
                <w:szCs w:val="24"/>
              </w:rPr>
            </w:pPr>
            <w:r>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0BE9CA9"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1B8CD2DE"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4824F77" w14:textId="77777777" w:rsidR="004942B6" w:rsidRPr="00A024DA" w:rsidRDefault="004942B6" w:rsidP="002C2525">
            <w:pPr>
              <w:spacing w:after="0" w:line="240" w:lineRule="auto"/>
              <w:rPr>
                <w:rFonts w:ascii="Calibri" w:hAnsi="Calibri" w:cs="Calibri"/>
                <w:color w:val="000000"/>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62F4048" w14:textId="77777777" w:rsidR="004942B6" w:rsidRPr="00A024DA" w:rsidRDefault="004942B6" w:rsidP="002C2525">
            <w:pPr>
              <w:spacing w:after="0" w:line="240" w:lineRule="auto"/>
              <w:rPr>
                <w:rFonts w:ascii="Calibri" w:hAnsi="Calibri" w:cs="Calibri"/>
                <w:b/>
                <w:bCs/>
                <w:color w:val="00B050"/>
                <w:sz w:val="24"/>
                <w:szCs w:val="24"/>
              </w:rPr>
            </w:pPr>
            <w:r w:rsidRPr="00041497">
              <w:rPr>
                <w:rFonts w:ascii="Calibri" w:hAnsi="Calibri" w:cs="Calibri"/>
                <w:b/>
                <w:bCs/>
                <w:color w:val="00B050"/>
                <w:sz w:val="24"/>
                <w:szCs w:val="24"/>
              </w:rPr>
              <w:t>- £586</w:t>
            </w:r>
          </w:p>
        </w:tc>
      </w:tr>
      <w:tr w:rsidR="004942B6" w:rsidRPr="00A024DA" w14:paraId="3DD0A24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BD14A50"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269</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271CEA82"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1V</w:t>
            </w:r>
            <w:r>
              <w:rPr>
                <w:rFonts w:ascii="Calibri" w:hAnsi="Calibri" w:cs="Calibri"/>
                <w:color w:val="000000"/>
                <w:sz w:val="24"/>
                <w:szCs w:val="24"/>
              </w:rPr>
              <w:t xml:space="preserve"> </w:t>
            </w:r>
            <w:r w:rsidRPr="00A024DA">
              <w:rPr>
                <w:rFonts w:ascii="Calibri" w:hAnsi="Calibri" w:cs="Calibri"/>
                <w:color w:val="000000"/>
                <w:sz w:val="24"/>
                <w:szCs w:val="24"/>
              </w:rPr>
              <w:t>PCI</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1B5D320E" w14:textId="77777777" w:rsidR="004942B6" w:rsidRPr="00A024DA" w:rsidRDefault="004942B6" w:rsidP="002C2525">
            <w:pPr>
              <w:spacing w:after="0" w:line="240" w:lineRule="auto"/>
              <w:rPr>
                <w:sz w:val="24"/>
                <w:szCs w:val="24"/>
              </w:rPr>
            </w:pPr>
            <w:r w:rsidRPr="00A024DA">
              <w:rPr>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6155F8B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£1436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A34203C"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1436</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C572C3"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A024DA" w14:paraId="26A2417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7EEF00A"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274</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47B6C79" w14:textId="77777777" w:rsidR="004942B6" w:rsidRPr="00A024DA" w:rsidRDefault="004942B6" w:rsidP="002C2525">
            <w:pPr>
              <w:spacing w:after="0" w:line="240" w:lineRule="auto"/>
              <w:rPr>
                <w:sz w:val="24"/>
                <w:szCs w:val="24"/>
              </w:rPr>
            </w:pPr>
            <w:r>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3DFD4AA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3926BE44"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1296</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E5E145E"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A400F93" w14:textId="77777777" w:rsidR="004942B6" w:rsidRPr="00A024DA" w:rsidRDefault="004942B6" w:rsidP="002C2525">
            <w:pPr>
              <w:spacing w:after="0" w:line="240" w:lineRule="auto"/>
              <w:rPr>
                <w:b/>
                <w:bCs/>
                <w:color w:val="C00000"/>
                <w:sz w:val="24"/>
                <w:szCs w:val="24"/>
              </w:rPr>
            </w:pPr>
            <w:r w:rsidRPr="00041497">
              <w:rPr>
                <w:rFonts w:ascii="Calibri" w:hAnsi="Calibri" w:cs="Calibri"/>
                <w:b/>
                <w:bCs/>
                <w:color w:val="00B050"/>
                <w:sz w:val="24"/>
                <w:szCs w:val="24"/>
              </w:rPr>
              <w:t>- £586</w:t>
            </w:r>
          </w:p>
        </w:tc>
      </w:tr>
      <w:tr w:rsidR="004942B6" w:rsidRPr="00A024DA" w14:paraId="152DFD0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9B520A8"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287</w:t>
            </w:r>
          </w:p>
        </w:tc>
        <w:tc>
          <w:tcPr>
            <w:tcW w:w="1985" w:type="dxa"/>
            <w:tcBorders>
              <w:top w:val="nil"/>
              <w:left w:val="nil"/>
              <w:bottom w:val="single" w:sz="4" w:space="0" w:color="auto"/>
              <w:right w:val="single" w:sz="4" w:space="0" w:color="auto"/>
            </w:tcBorders>
            <w:shd w:val="clear" w:color="auto" w:fill="FFFFFF" w:themeFill="background1"/>
            <w:noWrap/>
            <w:vAlign w:val="bottom"/>
            <w:hideMark/>
          </w:tcPr>
          <w:p w14:paraId="74B2A4FF" w14:textId="77777777" w:rsidR="004942B6" w:rsidRPr="00A024DA" w:rsidRDefault="004942B6" w:rsidP="002C2525">
            <w:pPr>
              <w:spacing w:after="0" w:line="240" w:lineRule="auto"/>
              <w:rPr>
                <w:sz w:val="24"/>
                <w:szCs w:val="24"/>
              </w:rPr>
            </w:pPr>
            <w:r>
              <w:rPr>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14:paraId="0470ADEC" w14:textId="77777777" w:rsidR="004942B6" w:rsidRPr="00A024DA" w:rsidRDefault="004942B6" w:rsidP="002C2525">
            <w:pPr>
              <w:spacing w:after="0" w:line="240" w:lineRule="auto"/>
              <w:rPr>
                <w:sz w:val="24"/>
                <w:szCs w:val="24"/>
              </w:rPr>
            </w:pPr>
            <w:r>
              <w:rPr>
                <w:rFonts w:ascii="Calibri" w:hAnsi="Calibri" w:cs="Calibr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hideMark/>
          </w:tcPr>
          <w:p w14:paraId="71CCDDC5"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B64C0C1" w14:textId="77777777" w:rsidR="004942B6" w:rsidRPr="00A024DA" w:rsidRDefault="004942B6" w:rsidP="002C2525">
            <w:pPr>
              <w:spacing w:after="0" w:line="240" w:lineRule="auto"/>
              <w:rPr>
                <w:sz w:val="24"/>
                <w:szCs w:val="24"/>
              </w:rPr>
            </w:pPr>
            <w:r w:rsidRPr="00A024DA">
              <w:rPr>
                <w:rFonts w:ascii="Calibri" w:hAnsi="Calibri" w:cs="Calibri"/>
                <w:color w:val="000000"/>
                <w:sz w:val="24"/>
                <w:szCs w:val="24"/>
              </w:rPr>
              <w:t>£</w:t>
            </w:r>
            <w:r>
              <w:rPr>
                <w:rFonts w:ascii="Calibri" w:hAnsi="Calibri" w:cs="Calibri"/>
                <w:color w:val="000000"/>
                <w:sz w:val="24"/>
                <w:szCs w:val="24"/>
              </w:rPr>
              <w:t>710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343A56C" w14:textId="77777777" w:rsidR="004942B6" w:rsidRPr="00A024DA" w:rsidRDefault="004942B6" w:rsidP="002C2525">
            <w:pPr>
              <w:spacing w:after="0" w:line="240" w:lineRule="auto"/>
              <w:rPr>
                <w:b/>
                <w:bCs/>
                <w:color w:val="00B050"/>
                <w:sz w:val="24"/>
                <w:szCs w:val="24"/>
              </w:rPr>
            </w:pPr>
            <w:r w:rsidRPr="00497243">
              <w:rPr>
                <w:rFonts w:ascii="Calibri" w:hAnsi="Calibri" w:cs="Calibri"/>
                <w:sz w:val="24"/>
                <w:szCs w:val="24"/>
              </w:rPr>
              <w:t>No change</w:t>
            </w:r>
          </w:p>
        </w:tc>
      </w:tr>
      <w:tr w:rsidR="004942B6" w:rsidRPr="00497243" w14:paraId="10109DF3" w14:textId="77777777" w:rsidTr="002C2525">
        <w:trPr>
          <w:trHeight w:val="320"/>
        </w:trPr>
        <w:tc>
          <w:tcPr>
            <w:tcW w:w="4786" w:type="dxa"/>
            <w:gridSpan w:val="3"/>
            <w:tcBorders>
              <w:top w:val="nil"/>
              <w:left w:val="single" w:sz="4" w:space="0" w:color="auto"/>
              <w:bottom w:val="single" w:sz="4" w:space="0" w:color="auto"/>
              <w:right w:val="single" w:sz="4" w:space="0" w:color="auto"/>
            </w:tcBorders>
            <w:shd w:val="clear" w:color="auto" w:fill="FFFFFF" w:themeFill="background1"/>
            <w:noWrap/>
            <w:vAlign w:val="bottom"/>
          </w:tcPr>
          <w:p w14:paraId="204F9788"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Average per patient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8750E88"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£2132.2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DBB2DE1"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£1699.4</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0DBEC9B" w14:textId="77777777" w:rsidR="004942B6" w:rsidRPr="00497243" w:rsidRDefault="004942B6" w:rsidP="002C2525">
            <w:pPr>
              <w:spacing w:after="0" w:line="240" w:lineRule="auto"/>
              <w:rPr>
                <w:rFonts w:ascii="Calibri" w:hAnsi="Calibri" w:cs="Calibri"/>
                <w:sz w:val="24"/>
                <w:szCs w:val="24"/>
              </w:rPr>
            </w:pPr>
            <w:r>
              <w:rPr>
                <w:rFonts w:ascii="Calibri" w:hAnsi="Calibri" w:cs="Calibri"/>
                <w:color w:val="000000"/>
                <w:sz w:val="24"/>
                <w:szCs w:val="24"/>
              </w:rPr>
              <w:t>£432.8</w:t>
            </w:r>
          </w:p>
        </w:tc>
      </w:tr>
      <w:tr w:rsidR="004942B6" w:rsidRPr="00497243" w14:paraId="007050AE" w14:textId="77777777" w:rsidTr="002C2525">
        <w:trPr>
          <w:trHeight w:val="484"/>
        </w:trPr>
        <w:tc>
          <w:tcPr>
            <w:tcW w:w="9747" w:type="dxa"/>
            <w:gridSpan w:val="6"/>
            <w:tcBorders>
              <w:top w:val="nil"/>
              <w:left w:val="single" w:sz="4" w:space="0" w:color="auto"/>
              <w:bottom w:val="single" w:sz="4" w:space="0" w:color="auto"/>
              <w:right w:val="single" w:sz="4" w:space="0" w:color="auto"/>
            </w:tcBorders>
            <w:shd w:val="clear" w:color="auto" w:fill="FFFFFF" w:themeFill="background1"/>
            <w:noWrap/>
            <w:vAlign w:val="bottom"/>
          </w:tcPr>
          <w:p w14:paraId="68882A20" w14:textId="77777777" w:rsidR="004942B6" w:rsidRDefault="004942B6" w:rsidP="002C2525">
            <w:pPr>
              <w:spacing w:after="0" w:line="240" w:lineRule="auto"/>
              <w:rPr>
                <w:rFonts w:eastAsia="Times New Roman" w:cstheme="minorHAnsi"/>
                <w:color w:val="000000" w:themeColor="text1"/>
                <w:sz w:val="24"/>
                <w:szCs w:val="24"/>
                <w:lang w:eastAsia="en-GB"/>
              </w:rPr>
            </w:pPr>
            <w:r w:rsidRPr="00913D9A">
              <w:rPr>
                <w:rFonts w:eastAsia="Times New Roman" w:cstheme="minorHAnsi"/>
                <w:color w:val="000000" w:themeColor="text1"/>
                <w:sz w:val="24"/>
                <w:szCs w:val="24"/>
                <w:lang w:eastAsia="en-GB"/>
              </w:rPr>
              <w:t xml:space="preserve">1V PCI represents PCI performed for </w:t>
            </w:r>
            <w:r>
              <w:rPr>
                <w:rFonts w:eastAsia="Times New Roman" w:cstheme="minorHAnsi"/>
                <w:color w:val="000000" w:themeColor="text1"/>
                <w:sz w:val="24"/>
                <w:szCs w:val="24"/>
                <w:lang w:eastAsia="en-GB"/>
              </w:rPr>
              <w:t>one vessel</w:t>
            </w:r>
            <w:r w:rsidRPr="00913D9A">
              <w:rPr>
                <w:rFonts w:eastAsia="Times New Roman" w:cstheme="minorHAnsi"/>
                <w:color w:val="000000" w:themeColor="text1"/>
                <w:sz w:val="24"/>
                <w:szCs w:val="24"/>
                <w:lang w:eastAsia="en-GB"/>
              </w:rPr>
              <w:t xml:space="preserve">, and 2V PCI denotes PCI performed for </w:t>
            </w:r>
            <w:r>
              <w:rPr>
                <w:rFonts w:eastAsia="Times New Roman" w:cstheme="minorHAnsi"/>
                <w:color w:val="000000" w:themeColor="text1"/>
                <w:sz w:val="24"/>
                <w:szCs w:val="24"/>
                <w:lang w:eastAsia="en-GB"/>
              </w:rPr>
              <w:t>two vessels.</w:t>
            </w:r>
          </w:p>
          <w:p w14:paraId="4AC4F177" w14:textId="77777777" w:rsidR="004942B6" w:rsidRPr="00497243" w:rsidRDefault="004942B6" w:rsidP="002C2525">
            <w:pPr>
              <w:spacing w:after="0" w:line="240" w:lineRule="auto"/>
              <w:rPr>
                <w:rFonts w:ascii="Calibri" w:hAnsi="Calibri" w:cs="Calibri"/>
                <w:sz w:val="24"/>
                <w:szCs w:val="24"/>
              </w:rPr>
            </w:pPr>
            <w:r w:rsidRPr="0030432E">
              <w:rPr>
                <w:rFonts w:eastAsia="Times New Roman" w:cstheme="minorHAnsi"/>
                <w:color w:val="000000" w:themeColor="text1"/>
                <w:sz w:val="24"/>
                <w:szCs w:val="24"/>
                <w:lang w:eastAsia="en-GB"/>
              </w:rPr>
              <w:t xml:space="preserve">"+" </w:t>
            </w:r>
            <w:r>
              <w:rPr>
                <w:rFonts w:eastAsia="Times New Roman" w:cstheme="minorHAnsi"/>
                <w:color w:val="000000" w:themeColor="text1"/>
                <w:sz w:val="24"/>
                <w:szCs w:val="24"/>
                <w:lang w:eastAsia="en-GB"/>
              </w:rPr>
              <w:t>shows a</w:t>
            </w:r>
            <w:r w:rsidRPr="0030432E">
              <w:rPr>
                <w:rFonts w:eastAsia="Times New Roman" w:cstheme="minorHAnsi"/>
                <w:color w:val="000000" w:themeColor="text1"/>
                <w:sz w:val="24"/>
                <w:szCs w:val="24"/>
                <w:lang w:eastAsia="en-GB"/>
              </w:rPr>
              <w:t xml:space="preserve"> virtual additional cost, whereas "-" represents a virtual reduction in the cost of the index procedure due to a notional change in the management plan.</w:t>
            </w:r>
          </w:p>
        </w:tc>
      </w:tr>
      <w:tr w:rsidR="004942B6" w:rsidRPr="00913D9A" w14:paraId="2B5EC0F1" w14:textId="77777777" w:rsidTr="002C2525">
        <w:trPr>
          <w:trHeight w:val="484"/>
        </w:trPr>
        <w:tc>
          <w:tcPr>
            <w:tcW w:w="9747" w:type="dxa"/>
            <w:gridSpan w:val="6"/>
            <w:tcBorders>
              <w:top w:val="nil"/>
              <w:left w:val="single" w:sz="4" w:space="0" w:color="auto"/>
              <w:bottom w:val="single" w:sz="4" w:space="0" w:color="auto"/>
              <w:right w:val="single" w:sz="4" w:space="0" w:color="auto"/>
            </w:tcBorders>
            <w:shd w:val="clear" w:color="auto" w:fill="FFFFFF" w:themeFill="background1"/>
            <w:noWrap/>
            <w:vAlign w:val="bottom"/>
          </w:tcPr>
          <w:p w14:paraId="6FD3CCA5" w14:textId="77777777" w:rsidR="004942B6" w:rsidRPr="00913D9A" w:rsidRDefault="004942B6" w:rsidP="002C2525">
            <w:pPr>
              <w:spacing w:after="0" w:line="240" w:lineRule="auto"/>
              <w:rPr>
                <w:rFonts w:eastAsia="Times New Roman" w:cstheme="minorHAnsi"/>
                <w:color w:val="000000" w:themeColor="text1"/>
                <w:sz w:val="24"/>
                <w:szCs w:val="24"/>
                <w:lang w:eastAsia="en-GB"/>
              </w:rPr>
            </w:pPr>
          </w:p>
        </w:tc>
      </w:tr>
      <w:tr w:rsidR="004942B6" w:rsidRPr="00BE53CD" w14:paraId="7FE29DF2" w14:textId="77777777" w:rsidTr="002C2525">
        <w:trPr>
          <w:trHeight w:val="846"/>
        </w:trPr>
        <w:tc>
          <w:tcPr>
            <w:tcW w:w="9747" w:type="dxa"/>
            <w:gridSpan w:val="6"/>
            <w:tcBorders>
              <w:top w:val="nil"/>
              <w:left w:val="single" w:sz="4" w:space="0" w:color="auto"/>
              <w:bottom w:val="single" w:sz="4" w:space="0" w:color="auto"/>
              <w:right w:val="single" w:sz="4" w:space="0" w:color="auto"/>
            </w:tcBorders>
            <w:shd w:val="clear" w:color="auto" w:fill="FFFFFF" w:themeFill="background1"/>
            <w:noWrap/>
            <w:vAlign w:val="bottom"/>
          </w:tcPr>
          <w:p w14:paraId="6D1CAB40" w14:textId="14FB0232" w:rsidR="004942B6" w:rsidRPr="00BE53CD" w:rsidRDefault="004942B6" w:rsidP="002C2525">
            <w:pPr>
              <w:spacing w:after="0" w:line="240" w:lineRule="auto"/>
              <w:rPr>
                <w:rFonts w:ascii="Calibri" w:hAnsi="Calibri" w:cs="Calibri"/>
                <w:sz w:val="28"/>
                <w:szCs w:val="28"/>
              </w:rPr>
            </w:pPr>
            <w:r w:rsidRPr="00BE53CD">
              <w:rPr>
                <w:b/>
                <w:bCs/>
                <w:sz w:val="28"/>
                <w:szCs w:val="28"/>
              </w:rPr>
              <w:t xml:space="preserve">Pre- and post-vFFR management </w:t>
            </w:r>
            <w:r>
              <w:rPr>
                <w:b/>
                <w:bCs/>
                <w:sz w:val="28"/>
                <w:szCs w:val="28"/>
              </w:rPr>
              <w:t xml:space="preserve">for the </w:t>
            </w:r>
            <w:r w:rsidR="0093200B">
              <w:rPr>
                <w:b/>
                <w:bCs/>
                <w:sz w:val="28"/>
                <w:szCs w:val="28"/>
              </w:rPr>
              <w:t>‘</w:t>
            </w:r>
            <w:r w:rsidRPr="002C3A1D">
              <w:rPr>
                <w:b/>
                <w:bCs/>
                <w:sz w:val="32"/>
                <w:szCs w:val="32"/>
              </w:rPr>
              <w:t>CCS patients</w:t>
            </w:r>
            <w:r w:rsidR="0093200B">
              <w:rPr>
                <w:b/>
                <w:bCs/>
                <w:sz w:val="32"/>
                <w:szCs w:val="32"/>
              </w:rPr>
              <w:t>’</w:t>
            </w:r>
            <w:r w:rsidR="0093200B">
              <w:rPr>
                <w:b/>
                <w:bCs/>
                <w:sz w:val="28"/>
                <w:szCs w:val="28"/>
              </w:rPr>
              <w:t xml:space="preserve"> a</w:t>
            </w:r>
            <w:r w:rsidRPr="002C3A1D">
              <w:rPr>
                <w:b/>
                <w:bCs/>
                <w:sz w:val="28"/>
                <w:szCs w:val="28"/>
              </w:rPr>
              <w:t xml:space="preserve">nd impact on costs of the index procedures (based on </w:t>
            </w:r>
            <w:r w:rsidR="008E5362">
              <w:rPr>
                <w:b/>
                <w:bCs/>
                <w:sz w:val="32"/>
                <w:szCs w:val="32"/>
              </w:rPr>
              <w:t>expert MDT-2</w:t>
            </w:r>
            <w:r w:rsidRPr="002C3A1D">
              <w:rPr>
                <w:b/>
                <w:bCs/>
                <w:sz w:val="28"/>
                <w:szCs w:val="28"/>
              </w:rPr>
              <w:t>)</w:t>
            </w:r>
          </w:p>
        </w:tc>
      </w:tr>
      <w:tr w:rsidR="004942B6" w:rsidRPr="00497243" w14:paraId="7C509BA3"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vAlign w:val="center"/>
          </w:tcPr>
          <w:p w14:paraId="33D25C1A" w14:textId="77777777" w:rsidR="004942B6" w:rsidRPr="00A024DA" w:rsidRDefault="004942B6" w:rsidP="002C2525">
            <w:pPr>
              <w:spacing w:after="0" w:line="240" w:lineRule="auto"/>
              <w:rPr>
                <w:rFonts w:ascii="Calibri" w:hAnsi="Calibri" w:cs="Calibri"/>
                <w:color w:val="000000"/>
                <w:sz w:val="24"/>
                <w:szCs w:val="24"/>
              </w:rPr>
            </w:pPr>
            <w:r w:rsidRPr="00A16EF7">
              <w:rPr>
                <w:b/>
                <w:bCs/>
                <w:sz w:val="24"/>
                <w:szCs w:val="24"/>
              </w:rPr>
              <w:t>Study ID</w:t>
            </w:r>
          </w:p>
        </w:tc>
        <w:tc>
          <w:tcPr>
            <w:tcW w:w="1985" w:type="dxa"/>
            <w:tcBorders>
              <w:top w:val="nil"/>
              <w:left w:val="nil"/>
              <w:bottom w:val="single" w:sz="4" w:space="0" w:color="auto"/>
              <w:right w:val="single" w:sz="4" w:space="0" w:color="auto"/>
            </w:tcBorders>
            <w:shd w:val="clear" w:color="auto" w:fill="FFFFFF" w:themeFill="background1"/>
            <w:noWrap/>
            <w:vAlign w:val="center"/>
          </w:tcPr>
          <w:p w14:paraId="28242FC8" w14:textId="77777777" w:rsidR="004942B6" w:rsidRPr="00A024DA" w:rsidRDefault="004942B6" w:rsidP="002C2525">
            <w:pPr>
              <w:spacing w:after="0" w:line="240" w:lineRule="auto"/>
              <w:rPr>
                <w:sz w:val="24"/>
                <w:szCs w:val="24"/>
              </w:rPr>
            </w:pPr>
            <w:r>
              <w:rPr>
                <w:b/>
                <w:bCs/>
                <w:sz w:val="24"/>
                <w:szCs w:val="24"/>
              </w:rPr>
              <w:t>Pre-vFFR expert plans</w:t>
            </w:r>
          </w:p>
        </w:tc>
        <w:tc>
          <w:tcPr>
            <w:tcW w:w="1984" w:type="dxa"/>
            <w:tcBorders>
              <w:top w:val="nil"/>
              <w:left w:val="nil"/>
              <w:bottom w:val="single" w:sz="4" w:space="0" w:color="auto"/>
              <w:right w:val="single" w:sz="4" w:space="0" w:color="auto"/>
            </w:tcBorders>
            <w:shd w:val="clear" w:color="auto" w:fill="FFFFFF" w:themeFill="background1"/>
            <w:noWrap/>
            <w:vAlign w:val="center"/>
          </w:tcPr>
          <w:p w14:paraId="0F49D96F" w14:textId="77777777" w:rsidR="004942B6" w:rsidRPr="00A024DA" w:rsidRDefault="004942B6" w:rsidP="002C2525">
            <w:pPr>
              <w:spacing w:after="0" w:line="240" w:lineRule="auto"/>
              <w:rPr>
                <w:rFonts w:ascii="Calibri" w:hAnsi="Calibri" w:cs="Calibri"/>
                <w:color w:val="000000"/>
                <w:sz w:val="24"/>
                <w:szCs w:val="24"/>
              </w:rPr>
            </w:pPr>
            <w:r>
              <w:rPr>
                <w:b/>
                <w:bCs/>
                <w:sz w:val="24"/>
                <w:szCs w:val="24"/>
              </w:rPr>
              <w:t xml:space="preserve">Post-vFFR expert plans </w:t>
            </w:r>
          </w:p>
        </w:tc>
        <w:tc>
          <w:tcPr>
            <w:tcW w:w="1730" w:type="dxa"/>
            <w:tcBorders>
              <w:top w:val="nil"/>
              <w:left w:val="nil"/>
              <w:bottom w:val="single" w:sz="4" w:space="0" w:color="auto"/>
              <w:right w:val="single" w:sz="4" w:space="0" w:color="auto"/>
            </w:tcBorders>
            <w:shd w:val="clear" w:color="auto" w:fill="FFFFFF" w:themeFill="background1"/>
            <w:noWrap/>
            <w:vAlign w:val="center"/>
          </w:tcPr>
          <w:p w14:paraId="1F273FA2" w14:textId="77777777" w:rsidR="004942B6" w:rsidRPr="00A024DA" w:rsidRDefault="004942B6" w:rsidP="002C2525">
            <w:pPr>
              <w:spacing w:after="0" w:line="240" w:lineRule="auto"/>
              <w:rPr>
                <w:rFonts w:ascii="Calibri" w:hAnsi="Calibri" w:cs="Calibri"/>
                <w:color w:val="000000"/>
                <w:sz w:val="24"/>
                <w:szCs w:val="24"/>
              </w:rPr>
            </w:pPr>
            <w:r w:rsidRPr="00A16EF7">
              <w:rPr>
                <w:b/>
                <w:bCs/>
                <w:sz w:val="24"/>
                <w:szCs w:val="24"/>
              </w:rPr>
              <w:t xml:space="preserve">Cost of the </w:t>
            </w:r>
            <w:r>
              <w:rPr>
                <w:b/>
                <w:bCs/>
                <w:sz w:val="24"/>
                <w:szCs w:val="24"/>
              </w:rPr>
              <w:t>actual</w:t>
            </w:r>
            <w:r w:rsidRPr="00A16EF7">
              <w:rPr>
                <w:b/>
                <w:bCs/>
                <w:sz w:val="24"/>
                <w:szCs w:val="24"/>
              </w:rPr>
              <w:t xml:space="preserve"> management plan</w:t>
            </w:r>
            <w:r>
              <w:rPr>
                <w:b/>
                <w:bCs/>
                <w:sz w:val="24"/>
                <w:szCs w:val="24"/>
              </w:rPr>
              <w:t>s</w:t>
            </w:r>
          </w:p>
        </w:tc>
        <w:tc>
          <w:tcPr>
            <w:tcW w:w="1559" w:type="dxa"/>
            <w:tcBorders>
              <w:top w:val="nil"/>
              <w:left w:val="nil"/>
              <w:bottom w:val="single" w:sz="4" w:space="0" w:color="auto"/>
              <w:right w:val="single" w:sz="4" w:space="0" w:color="auto"/>
            </w:tcBorders>
            <w:shd w:val="clear" w:color="auto" w:fill="FFFFFF" w:themeFill="background1"/>
            <w:noWrap/>
            <w:vAlign w:val="center"/>
          </w:tcPr>
          <w:p w14:paraId="3FC0E831" w14:textId="77777777" w:rsidR="004942B6" w:rsidRPr="00A024DA" w:rsidRDefault="004942B6" w:rsidP="002C2525">
            <w:pPr>
              <w:spacing w:after="0" w:line="240" w:lineRule="auto"/>
              <w:rPr>
                <w:rFonts w:ascii="Calibri" w:hAnsi="Calibri" w:cs="Calibri"/>
                <w:color w:val="000000"/>
                <w:sz w:val="24"/>
                <w:szCs w:val="24"/>
              </w:rPr>
            </w:pPr>
            <w:r w:rsidRPr="00A16EF7">
              <w:rPr>
                <w:b/>
                <w:bCs/>
                <w:sz w:val="24"/>
                <w:szCs w:val="24"/>
              </w:rPr>
              <w:t xml:space="preserve">Cost of the </w:t>
            </w:r>
            <w:r>
              <w:rPr>
                <w:b/>
                <w:bCs/>
                <w:sz w:val="24"/>
                <w:szCs w:val="24"/>
              </w:rPr>
              <w:t>virtual</w:t>
            </w:r>
            <w:r w:rsidRPr="00A16EF7">
              <w:rPr>
                <w:b/>
                <w:bCs/>
                <w:sz w:val="24"/>
                <w:szCs w:val="24"/>
              </w:rPr>
              <w:t xml:space="preserve"> management plan</w:t>
            </w:r>
            <w:r>
              <w:rPr>
                <w:b/>
                <w:bCs/>
                <w:sz w:val="24"/>
                <w:szCs w:val="24"/>
              </w:rPr>
              <w:t>s</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987E6F" w14:textId="77777777" w:rsidR="004942B6" w:rsidRDefault="004942B6" w:rsidP="002C2525">
            <w:pPr>
              <w:spacing w:after="0" w:line="240" w:lineRule="auto"/>
              <w:jc w:val="both"/>
              <w:rPr>
                <w:b/>
                <w:bCs/>
                <w:color w:val="000000" w:themeColor="text1"/>
                <w:sz w:val="24"/>
                <w:szCs w:val="24"/>
              </w:rPr>
            </w:pPr>
            <w:r>
              <w:rPr>
                <w:b/>
                <w:bCs/>
                <w:color w:val="000000" w:themeColor="text1"/>
                <w:sz w:val="24"/>
                <w:szCs w:val="24"/>
              </w:rPr>
              <w:t>Virtual c</w:t>
            </w:r>
            <w:r w:rsidRPr="00A16EF7">
              <w:rPr>
                <w:b/>
                <w:bCs/>
                <w:color w:val="000000" w:themeColor="text1"/>
                <w:sz w:val="24"/>
                <w:szCs w:val="24"/>
              </w:rPr>
              <w:t>hange in</w:t>
            </w:r>
            <w:r>
              <w:rPr>
                <w:b/>
                <w:bCs/>
                <w:color w:val="000000" w:themeColor="text1"/>
                <w:sz w:val="24"/>
                <w:szCs w:val="24"/>
              </w:rPr>
              <w:t xml:space="preserve"> the </w:t>
            </w:r>
            <w:r w:rsidRPr="00A16EF7">
              <w:rPr>
                <w:b/>
                <w:bCs/>
                <w:color w:val="000000" w:themeColor="text1"/>
                <w:sz w:val="24"/>
                <w:szCs w:val="24"/>
              </w:rPr>
              <w:t xml:space="preserve">cost </w:t>
            </w:r>
          </w:p>
          <w:p w14:paraId="033751FA" w14:textId="77777777" w:rsidR="004942B6" w:rsidRPr="00497243" w:rsidRDefault="004942B6" w:rsidP="002C2525">
            <w:pPr>
              <w:spacing w:after="0" w:line="240" w:lineRule="auto"/>
              <w:rPr>
                <w:rFonts w:ascii="Calibri" w:hAnsi="Calibri" w:cs="Calibri"/>
                <w:sz w:val="24"/>
                <w:szCs w:val="24"/>
              </w:rPr>
            </w:pPr>
            <w:r w:rsidRPr="00A16EF7">
              <w:rPr>
                <w:b/>
                <w:bCs/>
                <w:color w:val="000000" w:themeColor="text1"/>
                <w:sz w:val="24"/>
                <w:szCs w:val="24"/>
              </w:rPr>
              <w:t>(B-A)</w:t>
            </w:r>
          </w:p>
        </w:tc>
      </w:tr>
      <w:tr w:rsidR="004942B6" w:rsidRPr="00497243" w14:paraId="59D2B75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3B6FC8C9"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A768848" w14:textId="77777777" w:rsidR="004942B6" w:rsidRPr="00A024DA" w:rsidRDefault="004942B6" w:rsidP="002C2525">
            <w:pPr>
              <w:spacing w:after="0" w:line="240" w:lineRule="auto"/>
              <w:rPr>
                <w:sz w:val="24"/>
                <w:szCs w:val="24"/>
              </w:rPr>
            </w:pPr>
            <w:r>
              <w:rPr>
                <w:rFonts w:cstheme="minorHAnsi"/>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40571403"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7A79978"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w:t>
            </w:r>
            <w:r>
              <w:rPr>
                <w:rFonts w:cstheme="minorHAnsi"/>
                <w:sz w:val="24"/>
                <w:szCs w:val="24"/>
              </w:rPr>
              <w:t>160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3B77D64"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1523547"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131D492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03D14B12"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0F39B4AE" w14:textId="77777777" w:rsidR="004942B6" w:rsidRPr="00A024DA" w:rsidRDefault="004942B6" w:rsidP="002C2525">
            <w:pPr>
              <w:spacing w:after="0" w:line="240" w:lineRule="auto"/>
              <w:rPr>
                <w:sz w:val="24"/>
                <w:szCs w:val="24"/>
              </w:rPr>
            </w:pPr>
            <w:r>
              <w:rPr>
                <w:rFonts w:cstheme="minorHAnsi"/>
                <w:color w:val="000000"/>
                <w:sz w:val="24"/>
                <w:szCs w:val="24"/>
              </w:rPr>
              <w:t>CABG x 3</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3D52119"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 xml:space="preserve">2V PCI </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1263842B"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w:t>
            </w:r>
            <w:r>
              <w:rPr>
                <w:rFonts w:cstheme="minorHAnsi"/>
                <w:sz w:val="24"/>
                <w:szCs w:val="24"/>
              </w:rPr>
              <w:t>8384</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ED20F0F"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B987716" w14:textId="77777777" w:rsidR="004942B6" w:rsidRPr="00497243" w:rsidRDefault="004942B6" w:rsidP="002C2525">
            <w:pPr>
              <w:spacing w:after="0" w:line="240" w:lineRule="auto"/>
              <w:rPr>
                <w:rFonts w:ascii="Calibri" w:hAnsi="Calibri" w:cs="Calibri"/>
                <w:sz w:val="24"/>
                <w:szCs w:val="24"/>
              </w:rPr>
            </w:pPr>
            <w:r>
              <w:rPr>
                <w:rFonts w:cstheme="minorHAnsi"/>
                <w:b/>
                <w:bCs/>
                <w:color w:val="00B050"/>
                <w:sz w:val="24"/>
                <w:szCs w:val="24"/>
              </w:rPr>
              <w:t xml:space="preserve">- </w:t>
            </w:r>
            <w:r w:rsidRPr="002A5BC1">
              <w:rPr>
                <w:rFonts w:cstheme="minorHAnsi"/>
                <w:b/>
                <w:bCs/>
                <w:color w:val="00B050"/>
                <w:sz w:val="24"/>
                <w:szCs w:val="24"/>
              </w:rPr>
              <w:t>£</w:t>
            </w:r>
            <w:r>
              <w:rPr>
                <w:rFonts w:cstheme="minorHAnsi"/>
                <w:b/>
                <w:bCs/>
                <w:color w:val="00B050"/>
                <w:sz w:val="24"/>
                <w:szCs w:val="24"/>
              </w:rPr>
              <w:t>6732</w:t>
            </w:r>
          </w:p>
        </w:tc>
      </w:tr>
      <w:tr w:rsidR="004942B6" w:rsidRPr="00497243" w14:paraId="5C61662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658C45EA"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 xml:space="preserve">D20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1631FA9" w14:textId="77777777" w:rsidR="004942B6" w:rsidRPr="00A024DA" w:rsidRDefault="004942B6" w:rsidP="002C2525">
            <w:pPr>
              <w:spacing w:after="0" w:line="240" w:lineRule="auto"/>
              <w:rPr>
                <w:sz w:val="24"/>
                <w:szCs w:val="24"/>
              </w:rPr>
            </w:pPr>
            <w:r>
              <w:rPr>
                <w:rFonts w:cstheme="minorHAnsi"/>
                <w:color w:val="000000"/>
                <w:sz w:val="24"/>
                <w:szCs w:val="24"/>
              </w:rPr>
              <w:t>2</w:t>
            </w:r>
            <w:r w:rsidRPr="002A5BC1">
              <w:rPr>
                <w:rFonts w:cstheme="minorHAnsi"/>
                <w:color w:val="000000"/>
                <w:sz w:val="24"/>
                <w:szCs w:val="24"/>
              </w:rPr>
              <w:t>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2C287AF"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2</w:t>
            </w:r>
            <w:r w:rsidRPr="002A5BC1">
              <w:rPr>
                <w:rFonts w:cstheme="minorHAnsi"/>
                <w:color w:val="000000"/>
                <w:sz w:val="24"/>
                <w:szCs w:val="24"/>
              </w:rPr>
              <w:t>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BDC36F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652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A366FC3"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w:t>
            </w:r>
            <w:r>
              <w:rPr>
                <w:rFonts w:cstheme="minorHAnsi"/>
                <w:color w:val="000000"/>
                <w:sz w:val="24"/>
                <w:szCs w:val="24"/>
              </w:rPr>
              <w:t>1652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56A5C3E"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09846C55"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1F99BA45"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R4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678BAE73" w14:textId="77777777" w:rsidR="004942B6" w:rsidRPr="00A024DA" w:rsidRDefault="004942B6" w:rsidP="002C2525">
            <w:pPr>
              <w:spacing w:after="0" w:line="240" w:lineRule="auto"/>
              <w:rPr>
                <w:sz w:val="24"/>
                <w:szCs w:val="24"/>
              </w:rPr>
            </w:pPr>
            <w:r>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74B05342"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IV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B76F0E1"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w:t>
            </w:r>
            <w:r>
              <w:rPr>
                <w:rFonts w:cstheme="minorHAnsi"/>
                <w:sz w:val="24"/>
                <w:szCs w:val="24"/>
              </w:rPr>
              <w:t>746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D03C2C8"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4541A5E" w14:textId="77777777" w:rsidR="004942B6" w:rsidRPr="00497243" w:rsidRDefault="004942B6" w:rsidP="002C2525">
            <w:pPr>
              <w:spacing w:after="0" w:line="240" w:lineRule="auto"/>
              <w:rPr>
                <w:rFonts w:ascii="Calibri" w:hAnsi="Calibri" w:cs="Calibri"/>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£5</w:t>
            </w:r>
            <w:r>
              <w:rPr>
                <w:rFonts w:cstheme="minorHAnsi"/>
                <w:b/>
                <w:bCs/>
                <w:color w:val="C00000"/>
                <w:sz w:val="24"/>
                <w:szCs w:val="24"/>
              </w:rPr>
              <w:t>17</w:t>
            </w:r>
          </w:p>
        </w:tc>
      </w:tr>
      <w:tr w:rsidR="004942B6" w:rsidRPr="00497243" w14:paraId="75FC818C"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383CA6BC"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R6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09D55A6F" w14:textId="77777777" w:rsidR="004942B6" w:rsidRPr="00A024DA" w:rsidRDefault="004942B6" w:rsidP="002C2525">
            <w:pPr>
              <w:spacing w:after="0" w:line="240" w:lineRule="auto"/>
              <w:rPr>
                <w:sz w:val="24"/>
                <w:szCs w:val="24"/>
              </w:rPr>
            </w:pPr>
            <w:r w:rsidRPr="002A5BC1">
              <w:rPr>
                <w:rFonts w:cstheme="minorHAns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8FB0986"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1A9322C"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£160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2F68951"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6FEBF45"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0E53838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302BCA3"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 xml:space="preserve">D25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B0B9EE4" w14:textId="77777777" w:rsidR="004942B6" w:rsidRPr="00A024DA" w:rsidRDefault="004942B6" w:rsidP="002C2525">
            <w:pPr>
              <w:spacing w:after="0" w:line="240" w:lineRule="auto"/>
              <w:rPr>
                <w:sz w:val="24"/>
                <w:szCs w:val="24"/>
              </w:rPr>
            </w:pPr>
            <w:r w:rsidRPr="002A5BC1">
              <w:rPr>
                <w:rFonts w:cstheme="minorHAnsi"/>
                <w:sz w:val="24"/>
                <w:szCs w:val="24"/>
              </w:rPr>
              <w:t>1V PCI</w:t>
            </w:r>
            <w:r>
              <w:rPr>
                <w:rFonts w:cstheme="minorHAnsi"/>
                <w:sz w:val="24"/>
                <w:szCs w:val="24"/>
              </w:rPr>
              <w:t xml:space="preserve"> + mFFR</w:t>
            </w:r>
          </w:p>
        </w:tc>
        <w:tc>
          <w:tcPr>
            <w:tcW w:w="1984" w:type="dxa"/>
            <w:tcBorders>
              <w:top w:val="nil"/>
              <w:left w:val="nil"/>
              <w:bottom w:val="single" w:sz="4" w:space="0" w:color="auto"/>
              <w:right w:val="single" w:sz="4" w:space="0" w:color="auto"/>
            </w:tcBorders>
            <w:shd w:val="clear" w:color="auto" w:fill="FFFFFF" w:themeFill="background1"/>
            <w:noWrap/>
          </w:tcPr>
          <w:p w14:paraId="17DB7D67"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A669376"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849</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C33F4CE"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w:t>
            </w:r>
            <w:r>
              <w:rPr>
                <w:rFonts w:cstheme="minorHAnsi"/>
                <w:color w:val="000000"/>
                <w:sz w:val="24"/>
                <w:szCs w:val="24"/>
              </w:rPr>
              <w:t>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0433BA1" w14:textId="77777777" w:rsidR="004942B6" w:rsidRPr="00497243" w:rsidRDefault="004942B6" w:rsidP="002C2525">
            <w:pPr>
              <w:spacing w:after="0" w:line="240" w:lineRule="auto"/>
              <w:rPr>
                <w:rFonts w:ascii="Calibri" w:hAnsi="Calibri" w:cs="Calibri"/>
                <w:sz w:val="24"/>
                <w:szCs w:val="24"/>
              </w:rPr>
            </w:pPr>
            <w:r>
              <w:rPr>
                <w:rFonts w:cstheme="minorHAnsi"/>
                <w:b/>
                <w:bCs/>
                <w:color w:val="00B050"/>
                <w:sz w:val="24"/>
                <w:szCs w:val="24"/>
              </w:rPr>
              <w:t xml:space="preserve">- </w:t>
            </w:r>
            <w:r w:rsidRPr="002A5BC1">
              <w:rPr>
                <w:rFonts w:cstheme="minorHAnsi"/>
                <w:b/>
                <w:bCs/>
                <w:color w:val="00B050"/>
                <w:sz w:val="24"/>
                <w:szCs w:val="24"/>
              </w:rPr>
              <w:t>£</w:t>
            </w:r>
            <w:r>
              <w:rPr>
                <w:rFonts w:cstheme="minorHAnsi"/>
                <w:b/>
                <w:bCs/>
                <w:color w:val="00B050"/>
                <w:sz w:val="24"/>
                <w:szCs w:val="24"/>
              </w:rPr>
              <w:t>197</w:t>
            </w:r>
          </w:p>
        </w:tc>
      </w:tr>
      <w:tr w:rsidR="004942B6" w:rsidRPr="00497243" w14:paraId="01B72863"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34EA9FE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 xml:space="preserve">D26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28060990" w14:textId="77777777" w:rsidR="004942B6" w:rsidRPr="00A024DA" w:rsidRDefault="004942B6" w:rsidP="002C2525">
            <w:pPr>
              <w:spacing w:after="0" w:line="240" w:lineRule="auto"/>
              <w:rPr>
                <w:sz w:val="24"/>
                <w:szCs w:val="24"/>
              </w:rPr>
            </w:pPr>
            <w:r w:rsidRPr="002A5BC1">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0AA99136"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2</w:t>
            </w:r>
            <w:r w:rsidRPr="002A5BC1">
              <w:rPr>
                <w:rFonts w:cstheme="minorHAnsi"/>
                <w:color w:val="000000"/>
                <w:sz w:val="24"/>
                <w:szCs w:val="24"/>
              </w:rPr>
              <w:t>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6348B6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8D5A106"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w:t>
            </w:r>
            <w:r>
              <w:rPr>
                <w:rFonts w:cstheme="minorHAnsi"/>
                <w:color w:val="000000"/>
                <w:sz w:val="24"/>
                <w:szCs w:val="24"/>
              </w:rPr>
              <w:t>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68F4782" w14:textId="77777777" w:rsidR="004942B6" w:rsidRPr="00497243" w:rsidRDefault="004942B6" w:rsidP="002C2525">
            <w:pPr>
              <w:spacing w:after="0" w:line="240" w:lineRule="auto"/>
              <w:rPr>
                <w:rFonts w:ascii="Calibri" w:hAnsi="Calibri" w:cs="Calibri"/>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w:t>
            </w:r>
            <w:r>
              <w:rPr>
                <w:rFonts w:cstheme="minorHAnsi"/>
                <w:b/>
                <w:bCs/>
                <w:color w:val="C00000"/>
                <w:sz w:val="24"/>
                <w:szCs w:val="24"/>
              </w:rPr>
              <w:t>389</w:t>
            </w:r>
          </w:p>
        </w:tc>
      </w:tr>
      <w:tr w:rsidR="004942B6" w:rsidRPr="00497243" w14:paraId="47A1EEF4"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6A950F7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D27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3803116" w14:textId="77777777" w:rsidR="004942B6" w:rsidRPr="00A024DA" w:rsidRDefault="004942B6" w:rsidP="002C2525">
            <w:pPr>
              <w:spacing w:after="0" w:line="240" w:lineRule="auto"/>
              <w:rPr>
                <w:sz w:val="24"/>
                <w:szCs w:val="24"/>
              </w:rPr>
            </w:pPr>
            <w:r>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7E80172"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A8C2DFC"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ECCDF89"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4A84D16"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6D1FCE03"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2A58D5B1"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D28</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2D0AB2FB" w14:textId="77777777" w:rsidR="004942B6" w:rsidRPr="00A024DA" w:rsidRDefault="004942B6" w:rsidP="002C2525">
            <w:pPr>
              <w:spacing w:after="0" w:line="240" w:lineRule="auto"/>
              <w:rPr>
                <w:sz w:val="24"/>
                <w:szCs w:val="24"/>
              </w:rPr>
            </w:pPr>
            <w:r>
              <w:rPr>
                <w:rFonts w:cstheme="minorHAnsi"/>
                <w:sz w:val="24"/>
                <w:szCs w:val="24"/>
              </w:rPr>
              <w:t>2V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0E810C32"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7BD98CF"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652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F9BEAFC"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B927859"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6733B798"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82F47A4"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D33</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48DC56D6" w14:textId="77777777" w:rsidR="004942B6" w:rsidRPr="00A024DA" w:rsidRDefault="004942B6" w:rsidP="002C2525">
            <w:pPr>
              <w:spacing w:after="0" w:line="240" w:lineRule="auto"/>
              <w:rPr>
                <w:sz w:val="24"/>
                <w:szCs w:val="24"/>
              </w:rPr>
            </w:pPr>
            <w:r>
              <w:rPr>
                <w:rFonts w:cstheme="minorHAnsi"/>
                <w:sz w:val="24"/>
                <w:szCs w:val="24"/>
              </w:rPr>
              <w:t>CABG x 2</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47FC3E1D"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CABG x 2</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2E7A75E"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w:t>
            </w:r>
            <w:r>
              <w:rPr>
                <w:rFonts w:cstheme="minorHAnsi"/>
                <w:sz w:val="24"/>
                <w:szCs w:val="24"/>
              </w:rPr>
              <w:t>8384</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7C0C89E7"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w:t>
            </w:r>
            <w:r>
              <w:rPr>
                <w:rFonts w:cstheme="minorHAnsi"/>
                <w:sz w:val="24"/>
                <w:szCs w:val="24"/>
              </w:rPr>
              <w:t>8384</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8134B12"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1E4877AA"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46173C0D"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R12</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0467A5E7" w14:textId="77777777" w:rsidR="004942B6" w:rsidRPr="00A024DA" w:rsidRDefault="004942B6" w:rsidP="002C2525">
            <w:pPr>
              <w:spacing w:after="0" w:line="240" w:lineRule="auto"/>
              <w:rPr>
                <w:sz w:val="24"/>
                <w:szCs w:val="24"/>
              </w:rPr>
            </w:pPr>
            <w:r>
              <w:rPr>
                <w:sz w:val="24"/>
                <w:szCs w:val="24"/>
              </w:rPr>
              <w:t>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75446F8" w14:textId="77777777" w:rsidR="004942B6" w:rsidRPr="00A024DA" w:rsidRDefault="004942B6" w:rsidP="002C2525">
            <w:pPr>
              <w:spacing w:after="0" w:line="240" w:lineRule="auto"/>
              <w:rPr>
                <w:rFonts w:ascii="Calibri" w:hAnsi="Calibri" w:cs="Calibri"/>
                <w:color w:val="000000"/>
                <w:sz w:val="24"/>
                <w:szCs w:val="24"/>
              </w:rPr>
            </w:pPr>
            <w:r>
              <w:rPr>
                <w:rFonts w:cstheme="minorHAnsi"/>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1733467A"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w:t>
            </w:r>
            <w:r>
              <w:rPr>
                <w:rFonts w:cstheme="minorHAnsi"/>
                <w:sz w:val="24"/>
                <w:szCs w:val="24"/>
              </w:rPr>
              <w:t>746</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5237A82"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D1F8BF1" w14:textId="77777777" w:rsidR="004942B6" w:rsidRPr="00497243" w:rsidRDefault="004942B6" w:rsidP="002C2525">
            <w:pPr>
              <w:spacing w:after="0" w:line="240" w:lineRule="auto"/>
              <w:rPr>
                <w:rFonts w:ascii="Calibri" w:hAnsi="Calibri" w:cs="Calibri"/>
                <w:sz w:val="24"/>
                <w:szCs w:val="24"/>
              </w:rPr>
            </w:pPr>
            <w:r w:rsidRPr="002A5BC1">
              <w:rPr>
                <w:rFonts w:cstheme="minorHAnsi"/>
                <w:b/>
                <w:bCs/>
                <w:color w:val="C00000"/>
                <w:sz w:val="24"/>
                <w:szCs w:val="24"/>
              </w:rPr>
              <w:t>+</w:t>
            </w:r>
            <w:r>
              <w:rPr>
                <w:rFonts w:cstheme="minorHAnsi"/>
                <w:b/>
                <w:bCs/>
                <w:color w:val="C00000"/>
                <w:sz w:val="24"/>
                <w:szCs w:val="24"/>
              </w:rPr>
              <w:t xml:space="preserve"> </w:t>
            </w:r>
            <w:r w:rsidRPr="002A5BC1">
              <w:rPr>
                <w:rFonts w:cstheme="minorHAnsi"/>
                <w:b/>
                <w:bCs/>
                <w:color w:val="C00000"/>
                <w:sz w:val="24"/>
                <w:szCs w:val="24"/>
              </w:rPr>
              <w:t>£</w:t>
            </w:r>
            <w:r>
              <w:rPr>
                <w:rFonts w:cstheme="minorHAnsi"/>
                <w:b/>
                <w:bCs/>
                <w:color w:val="C00000"/>
                <w:sz w:val="24"/>
                <w:szCs w:val="24"/>
              </w:rPr>
              <w:t>517</w:t>
            </w:r>
          </w:p>
        </w:tc>
      </w:tr>
      <w:tr w:rsidR="004942B6" w:rsidRPr="002A5BC1" w14:paraId="64753B4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5D2389CD" w14:textId="77777777" w:rsidR="004942B6" w:rsidRPr="002A5BC1" w:rsidRDefault="004942B6" w:rsidP="002C2525">
            <w:pPr>
              <w:spacing w:after="0" w:line="240" w:lineRule="auto"/>
              <w:rPr>
                <w:rFonts w:cstheme="minorHAnsi"/>
                <w:sz w:val="24"/>
                <w:szCs w:val="24"/>
              </w:rPr>
            </w:pPr>
            <w:r>
              <w:rPr>
                <w:rFonts w:cstheme="minorHAnsi"/>
                <w:sz w:val="24"/>
                <w:szCs w:val="24"/>
              </w:rPr>
              <w:t>B7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76A5D88"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0692FF01" w14:textId="77777777" w:rsidR="004942B6" w:rsidRDefault="004942B6" w:rsidP="002C2525">
            <w:pPr>
              <w:spacing w:after="0" w:line="240" w:lineRule="auto"/>
              <w:rPr>
                <w:rFonts w:cstheme="minorHAnsi"/>
                <w:sz w:val="24"/>
                <w:szCs w:val="24"/>
              </w:rPr>
            </w:pPr>
            <w:r>
              <w:rPr>
                <w:rFonts w:cstheme="minorHAnsi"/>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04D7F9C" w14:textId="77777777" w:rsidR="004942B6" w:rsidRPr="002A5BC1" w:rsidRDefault="004942B6" w:rsidP="002C2525">
            <w:pPr>
              <w:spacing w:after="0" w:line="240" w:lineRule="auto"/>
              <w:rPr>
                <w:rFonts w:cstheme="minorHAnsi"/>
                <w:sz w:val="24"/>
                <w:szCs w:val="24"/>
              </w:rPr>
            </w:pPr>
            <w:r>
              <w:rPr>
                <w:rFonts w:cstheme="minorHAnsi"/>
                <w:sz w:val="24"/>
                <w:szCs w:val="24"/>
              </w:rPr>
              <w:t>£160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82570FE" w14:textId="77777777" w:rsidR="004942B6" w:rsidRPr="002A5BC1" w:rsidRDefault="004942B6" w:rsidP="002C2525">
            <w:pPr>
              <w:spacing w:after="0" w:line="240" w:lineRule="auto"/>
              <w:rPr>
                <w:rFonts w:cstheme="minorHAnsi"/>
                <w:sz w:val="24"/>
                <w:szCs w:val="24"/>
              </w:rPr>
            </w:pPr>
            <w:r>
              <w:rPr>
                <w:rFonts w:cstheme="minorHAnsi"/>
                <w:sz w:val="24"/>
                <w:szCs w:val="24"/>
              </w:rPr>
              <w:t>£160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F6C9AA3"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2A5BC1" w14:paraId="37C92E5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0070DBE2" w14:textId="77777777" w:rsidR="004942B6" w:rsidRDefault="004942B6" w:rsidP="002C2525">
            <w:pPr>
              <w:spacing w:after="0" w:line="240" w:lineRule="auto"/>
              <w:rPr>
                <w:rFonts w:cstheme="minorHAnsi"/>
                <w:sz w:val="24"/>
                <w:szCs w:val="24"/>
              </w:rPr>
            </w:pPr>
            <w:r>
              <w:rPr>
                <w:rFonts w:cstheme="minorHAnsi"/>
                <w:sz w:val="24"/>
                <w:szCs w:val="24"/>
              </w:rPr>
              <w:t>B11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04B01797" w14:textId="77777777" w:rsidR="004942B6" w:rsidRDefault="004942B6" w:rsidP="002C2525">
            <w:pPr>
              <w:spacing w:after="0" w:line="240" w:lineRule="auto"/>
              <w:rPr>
                <w:rFonts w:cstheme="minorHAnsi"/>
                <w:color w:val="000000"/>
                <w:sz w:val="24"/>
                <w:szCs w:val="24"/>
              </w:rPr>
            </w:pPr>
            <w:r w:rsidRPr="002A5BC1">
              <w:rPr>
                <w:rFonts w:cstheme="minorHAnsi"/>
                <w:sz w:val="24"/>
                <w:szCs w:val="24"/>
              </w:rPr>
              <w:t>1V PCI</w:t>
            </w:r>
            <w:r>
              <w:rPr>
                <w:rFonts w:cstheme="minorHAnsi"/>
                <w:sz w:val="24"/>
                <w:szCs w:val="24"/>
              </w:rPr>
              <w:t xml:space="preserve"> + mFFR</w:t>
            </w:r>
          </w:p>
        </w:tc>
        <w:tc>
          <w:tcPr>
            <w:tcW w:w="1984" w:type="dxa"/>
            <w:tcBorders>
              <w:top w:val="nil"/>
              <w:left w:val="nil"/>
              <w:bottom w:val="single" w:sz="4" w:space="0" w:color="auto"/>
              <w:right w:val="single" w:sz="4" w:space="0" w:color="auto"/>
            </w:tcBorders>
            <w:shd w:val="clear" w:color="auto" w:fill="FFFFFF" w:themeFill="background1"/>
            <w:noWrap/>
          </w:tcPr>
          <w:p w14:paraId="7285AEF4" w14:textId="77777777" w:rsidR="004942B6" w:rsidRDefault="004942B6" w:rsidP="002C2525">
            <w:pPr>
              <w:spacing w:after="0" w:line="240" w:lineRule="auto"/>
              <w:rPr>
                <w:rFonts w:cstheme="minorHAnsi"/>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D95CDB3" w14:textId="77777777" w:rsidR="004942B6" w:rsidRDefault="004942B6" w:rsidP="002C2525">
            <w:pPr>
              <w:spacing w:after="0" w:line="240" w:lineRule="auto"/>
              <w:rPr>
                <w:rFonts w:cstheme="minorHAnsi"/>
                <w:sz w:val="24"/>
                <w:szCs w:val="24"/>
              </w:rPr>
            </w:pPr>
            <w:r>
              <w:rPr>
                <w:rFonts w:cstheme="minorHAnsi"/>
                <w:sz w:val="24"/>
                <w:szCs w:val="24"/>
              </w:rPr>
              <w:t>£1849</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700F46A"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AAD5CAE" w14:textId="77777777" w:rsidR="004942B6" w:rsidRPr="002A5BC1" w:rsidRDefault="004942B6" w:rsidP="002C2525">
            <w:pPr>
              <w:spacing w:after="0" w:line="240" w:lineRule="auto"/>
              <w:rPr>
                <w:rFonts w:cstheme="minorHAnsi"/>
                <w:b/>
                <w:bCs/>
                <w:color w:val="C00000"/>
                <w:sz w:val="24"/>
                <w:szCs w:val="24"/>
              </w:rPr>
            </w:pPr>
            <w:r>
              <w:rPr>
                <w:rFonts w:cstheme="minorHAnsi"/>
                <w:b/>
                <w:bCs/>
                <w:color w:val="00B050"/>
                <w:sz w:val="24"/>
                <w:szCs w:val="24"/>
              </w:rPr>
              <w:t xml:space="preserve">- </w:t>
            </w:r>
            <w:r w:rsidRPr="002A5BC1">
              <w:rPr>
                <w:rFonts w:cstheme="minorHAnsi"/>
                <w:b/>
                <w:bCs/>
                <w:color w:val="00B050"/>
                <w:sz w:val="24"/>
                <w:szCs w:val="24"/>
              </w:rPr>
              <w:t>£</w:t>
            </w:r>
            <w:r>
              <w:rPr>
                <w:rFonts w:cstheme="minorHAnsi"/>
                <w:b/>
                <w:bCs/>
                <w:color w:val="00B050"/>
                <w:sz w:val="24"/>
                <w:szCs w:val="24"/>
              </w:rPr>
              <w:t>586</w:t>
            </w:r>
          </w:p>
        </w:tc>
      </w:tr>
      <w:tr w:rsidR="004942B6" w14:paraId="112118B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3C03A31C" w14:textId="77777777" w:rsidR="004942B6" w:rsidRDefault="004942B6" w:rsidP="002C2525">
            <w:pPr>
              <w:spacing w:after="0" w:line="240" w:lineRule="auto"/>
              <w:rPr>
                <w:rFonts w:cstheme="minorHAnsi"/>
                <w:sz w:val="24"/>
                <w:szCs w:val="24"/>
              </w:rPr>
            </w:pPr>
            <w:r>
              <w:rPr>
                <w:rFonts w:cstheme="minorHAnsi"/>
                <w:sz w:val="24"/>
                <w:szCs w:val="24"/>
              </w:rPr>
              <w:t>D59</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2954B66"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OMT</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47A8D46" w14:textId="77777777" w:rsidR="004942B6" w:rsidRDefault="004942B6" w:rsidP="002C2525">
            <w:pPr>
              <w:spacing w:after="0" w:line="240" w:lineRule="auto"/>
              <w:rPr>
                <w:rFonts w:cstheme="minorHAnsi"/>
                <w:sz w:val="24"/>
                <w:szCs w:val="24"/>
              </w:rPr>
            </w:pPr>
            <w:r>
              <w:rPr>
                <w:rFonts w:cstheme="minorHAnsi"/>
                <w:sz w:val="24"/>
                <w:szCs w:val="24"/>
              </w:rPr>
              <w:t>OMT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4C8AB522" w14:textId="77777777" w:rsidR="004942B6" w:rsidRDefault="004942B6" w:rsidP="002C2525">
            <w:pPr>
              <w:spacing w:after="0" w:line="240" w:lineRule="auto"/>
              <w:rPr>
                <w:rFonts w:cstheme="minorHAnsi"/>
                <w:sz w:val="24"/>
                <w:szCs w:val="24"/>
              </w:rPr>
            </w:pPr>
            <w:r>
              <w:rPr>
                <w:rFonts w:cstheme="minorHAnsi"/>
                <w:sz w:val="24"/>
                <w:szCs w:val="24"/>
              </w:rPr>
              <w:t>£160</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053B91D" w14:textId="77777777" w:rsidR="004942B6" w:rsidRDefault="004942B6" w:rsidP="002C2525">
            <w:pPr>
              <w:spacing w:after="0" w:line="240" w:lineRule="auto"/>
              <w:rPr>
                <w:rFonts w:cstheme="minorHAnsi"/>
                <w:sz w:val="24"/>
                <w:szCs w:val="24"/>
              </w:rPr>
            </w:pPr>
            <w:r>
              <w:rPr>
                <w:rFonts w:cstheme="minorHAnsi"/>
                <w:sz w:val="24"/>
                <w:szCs w:val="24"/>
              </w:rPr>
              <w:t>£160</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6F14642" w14:textId="77777777" w:rsidR="004942B6" w:rsidRDefault="004942B6" w:rsidP="002C2525">
            <w:pPr>
              <w:spacing w:after="0" w:line="240" w:lineRule="auto"/>
              <w:rPr>
                <w:rFonts w:cstheme="minorHAnsi"/>
                <w:b/>
                <w:bCs/>
                <w:color w:val="00B050"/>
                <w:sz w:val="24"/>
                <w:szCs w:val="24"/>
              </w:rPr>
            </w:pPr>
            <w:r w:rsidRPr="002A5BC1">
              <w:rPr>
                <w:rFonts w:cstheme="minorHAnsi"/>
                <w:sz w:val="24"/>
                <w:szCs w:val="24"/>
              </w:rPr>
              <w:t>No change</w:t>
            </w:r>
          </w:p>
        </w:tc>
      </w:tr>
      <w:tr w:rsidR="004942B6" w:rsidRPr="00497243" w14:paraId="6AA122D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3DBDD1F6"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 xml:space="preserve">B15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62CAE06" w14:textId="77777777" w:rsidR="004942B6" w:rsidRPr="00A024DA" w:rsidRDefault="004942B6" w:rsidP="002C2525">
            <w:pPr>
              <w:spacing w:after="0" w:line="240" w:lineRule="auto"/>
              <w:rPr>
                <w:sz w:val="24"/>
                <w:szCs w:val="24"/>
              </w:rPr>
            </w:pPr>
            <w:r w:rsidRPr="002A5BC1">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B1CE5FB"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4EAFCB2A"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4911E333"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w:t>
            </w:r>
            <w:r>
              <w:rPr>
                <w:rFonts w:cstheme="minorHAnsi"/>
                <w:color w:val="000000"/>
                <w:sz w:val="24"/>
                <w:szCs w:val="24"/>
              </w:rPr>
              <w:t>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E45E64E"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3DCEF72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42C175A8"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B16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12CB7DAF" w14:textId="77777777" w:rsidR="004942B6" w:rsidRPr="00A024DA" w:rsidRDefault="004942B6" w:rsidP="002C2525">
            <w:pPr>
              <w:spacing w:after="0" w:line="240" w:lineRule="auto"/>
              <w:rPr>
                <w:sz w:val="24"/>
                <w:szCs w:val="24"/>
              </w:rPr>
            </w:pPr>
            <w:r w:rsidRPr="002A5BC1">
              <w:rPr>
                <w:rFonts w:cstheme="minorHAns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23A15946"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7FEA9CD4"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w:t>
            </w:r>
            <w:r>
              <w:rPr>
                <w:rFonts w:cstheme="minorHAnsi"/>
                <w:color w:val="000000"/>
                <w:sz w:val="24"/>
                <w:szCs w:val="24"/>
              </w:rPr>
              <w:t>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668F7F61"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A168A93"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2A5BC1" w14:paraId="295C2314"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47ED6804" w14:textId="77777777" w:rsidR="004942B6" w:rsidRPr="002A5BC1" w:rsidRDefault="004942B6" w:rsidP="002C2525">
            <w:pPr>
              <w:spacing w:after="0" w:line="240" w:lineRule="auto"/>
              <w:rPr>
                <w:rFonts w:cstheme="minorHAnsi"/>
                <w:sz w:val="24"/>
                <w:szCs w:val="24"/>
              </w:rPr>
            </w:pPr>
            <w:r>
              <w:rPr>
                <w:rFonts w:cstheme="minorHAnsi"/>
                <w:sz w:val="24"/>
                <w:szCs w:val="24"/>
              </w:rPr>
              <w:t>B21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79BC4627"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46DC4B2A"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C3C73FC"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63A4957" w14:textId="77777777" w:rsidR="004942B6" w:rsidRPr="002A5BC1" w:rsidRDefault="004942B6" w:rsidP="002C2525">
            <w:pPr>
              <w:spacing w:after="0" w:line="240" w:lineRule="auto"/>
              <w:rPr>
                <w:rFonts w:cstheme="minorHAnsi"/>
                <w:sz w:val="24"/>
                <w:szCs w:val="24"/>
              </w:rPr>
            </w:pPr>
            <w:r>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51C4A54"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497243" w14:paraId="78C9C964"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4EBA7056"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D73</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61746450" w14:textId="77777777" w:rsidR="004942B6" w:rsidRPr="00A024DA" w:rsidRDefault="004942B6" w:rsidP="002C2525">
            <w:pPr>
              <w:spacing w:after="0" w:line="240" w:lineRule="auto"/>
              <w:rPr>
                <w:sz w:val="24"/>
                <w:szCs w:val="24"/>
              </w:rPr>
            </w:pPr>
            <w:r>
              <w:rPr>
                <w:rFonts w:cstheme="minorHAnsi"/>
                <w:sz w:val="24"/>
                <w:szCs w:val="24"/>
              </w:rPr>
              <w:t>1V PCI + 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49393F6E"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4434E28"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849</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151A1D4A"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w:t>
            </w:r>
            <w:r>
              <w:rPr>
                <w:rFonts w:cstheme="minorHAnsi"/>
                <w:color w:val="000000"/>
                <w:sz w:val="24"/>
                <w:szCs w:val="24"/>
              </w:rPr>
              <w:t>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5E261AC" w14:textId="77777777" w:rsidR="004942B6" w:rsidRPr="00497243" w:rsidRDefault="004942B6" w:rsidP="002C2525">
            <w:pPr>
              <w:spacing w:after="0" w:line="240" w:lineRule="auto"/>
              <w:rPr>
                <w:rFonts w:ascii="Calibri" w:hAnsi="Calibri" w:cs="Calibri"/>
                <w:sz w:val="24"/>
                <w:szCs w:val="24"/>
              </w:rPr>
            </w:pPr>
            <w:r>
              <w:rPr>
                <w:rFonts w:cstheme="minorHAnsi"/>
                <w:b/>
                <w:bCs/>
                <w:color w:val="00B050"/>
                <w:sz w:val="24"/>
                <w:szCs w:val="24"/>
              </w:rPr>
              <w:t xml:space="preserve">- </w:t>
            </w:r>
            <w:r w:rsidRPr="002A5BC1">
              <w:rPr>
                <w:rFonts w:cstheme="minorHAnsi"/>
                <w:b/>
                <w:bCs/>
                <w:color w:val="00B050"/>
                <w:sz w:val="24"/>
                <w:szCs w:val="24"/>
              </w:rPr>
              <w:t>£</w:t>
            </w:r>
            <w:r>
              <w:rPr>
                <w:rFonts w:cstheme="minorHAnsi"/>
                <w:b/>
                <w:bCs/>
                <w:color w:val="00B050"/>
                <w:sz w:val="24"/>
                <w:szCs w:val="24"/>
              </w:rPr>
              <w:t>586</w:t>
            </w:r>
          </w:p>
        </w:tc>
      </w:tr>
      <w:tr w:rsidR="004942B6" w:rsidRPr="00497243" w14:paraId="0AA31C0B"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03FED39"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R14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F7C9320" w14:textId="77777777" w:rsidR="004942B6" w:rsidRPr="00A024DA" w:rsidRDefault="004942B6" w:rsidP="002C2525">
            <w:pPr>
              <w:spacing w:after="0" w:line="240" w:lineRule="auto"/>
              <w:rPr>
                <w:sz w:val="24"/>
                <w:szCs w:val="24"/>
              </w:rPr>
            </w:pPr>
            <w:r w:rsidRPr="002A5BC1">
              <w:rPr>
                <w:rFonts w:cstheme="minorHAnsi"/>
                <w:sz w:val="24"/>
                <w:szCs w:val="24"/>
              </w:rPr>
              <w:t>1V PCI</w:t>
            </w:r>
            <w:r>
              <w:rPr>
                <w:rFonts w:cstheme="minorHAnsi"/>
                <w:sz w:val="24"/>
                <w:szCs w:val="24"/>
              </w:rPr>
              <w:t xml:space="preserve"> + 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4925105C"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1V PCI + mFFR</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2DF17C2E"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w:t>
            </w:r>
            <w:r>
              <w:rPr>
                <w:rFonts w:cstheme="minorHAnsi"/>
                <w:sz w:val="24"/>
                <w:szCs w:val="24"/>
              </w:rPr>
              <w:t>1849</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435B3A0"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w:t>
            </w:r>
            <w:r>
              <w:rPr>
                <w:rFonts w:cstheme="minorHAnsi"/>
                <w:color w:val="000000"/>
                <w:sz w:val="24"/>
                <w:szCs w:val="24"/>
              </w:rPr>
              <w:t>1849</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B38BC78"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041497" w14:paraId="72BA8A0C"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2E777A4F" w14:textId="77777777" w:rsidR="004942B6" w:rsidRPr="002A5BC1" w:rsidRDefault="004942B6" w:rsidP="002C2525">
            <w:pPr>
              <w:spacing w:after="0" w:line="240" w:lineRule="auto"/>
              <w:rPr>
                <w:rFonts w:cstheme="minorHAnsi"/>
                <w:sz w:val="24"/>
                <w:szCs w:val="24"/>
              </w:rPr>
            </w:pPr>
            <w:r>
              <w:rPr>
                <w:rFonts w:cstheme="minorHAnsi"/>
                <w:sz w:val="24"/>
                <w:szCs w:val="24"/>
              </w:rPr>
              <w:t xml:space="preserve">S2 </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89BF7E6" w14:textId="77777777" w:rsidR="004942B6" w:rsidRDefault="004942B6" w:rsidP="002C2525">
            <w:pPr>
              <w:spacing w:after="0" w:line="240" w:lineRule="auto"/>
              <w:rPr>
                <w:rFonts w:cstheme="minorHAnsi"/>
                <w:sz w:val="24"/>
                <w:szCs w:val="24"/>
              </w:rPr>
            </w:pPr>
            <w:r w:rsidRPr="002A5BC1">
              <w:rPr>
                <w:rFonts w:cstheme="minorHAnsi"/>
                <w:sz w:val="24"/>
                <w:szCs w:val="24"/>
              </w:rPr>
              <w:t>1V PCI</w:t>
            </w:r>
            <w:r>
              <w:rPr>
                <w:rFonts w:cstheme="minorHAnsi"/>
                <w:sz w:val="24"/>
                <w:szCs w:val="24"/>
              </w:rPr>
              <w:t xml:space="preserve"> + 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52820C2B"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219B0C0" w14:textId="77777777" w:rsidR="004942B6" w:rsidRPr="002A5BC1" w:rsidRDefault="004942B6" w:rsidP="002C2525">
            <w:pPr>
              <w:spacing w:after="0" w:line="240" w:lineRule="auto"/>
              <w:rPr>
                <w:rFonts w:cstheme="minorHAnsi"/>
                <w:sz w:val="24"/>
                <w:szCs w:val="24"/>
              </w:rPr>
            </w:pPr>
            <w:r>
              <w:rPr>
                <w:rFonts w:cstheme="minorHAnsi"/>
                <w:sz w:val="24"/>
                <w:szCs w:val="24"/>
              </w:rPr>
              <w:t>£1849</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E9E9B82" w14:textId="77777777" w:rsidR="004942B6" w:rsidRPr="002A5BC1" w:rsidRDefault="004942B6" w:rsidP="002C2525">
            <w:pPr>
              <w:spacing w:after="0" w:line="240" w:lineRule="auto"/>
              <w:rPr>
                <w:rFonts w:cstheme="minorHAnsi"/>
                <w:color w:val="000000"/>
                <w:sz w:val="24"/>
                <w:szCs w:val="24"/>
              </w:rPr>
            </w:pPr>
            <w:r>
              <w:rPr>
                <w:rFonts w:cstheme="minorHAnsi"/>
                <w:color w:val="000000"/>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5C070F6" w14:textId="77777777" w:rsidR="004942B6" w:rsidRPr="00041497" w:rsidRDefault="004942B6" w:rsidP="002C2525">
            <w:pPr>
              <w:spacing w:after="0" w:line="240" w:lineRule="auto"/>
              <w:rPr>
                <w:rFonts w:cstheme="minorHAnsi"/>
                <w:b/>
                <w:bCs/>
                <w:color w:val="C00000"/>
                <w:sz w:val="24"/>
                <w:szCs w:val="24"/>
              </w:rPr>
            </w:pPr>
            <w:r>
              <w:rPr>
                <w:rFonts w:cstheme="minorHAnsi"/>
                <w:b/>
                <w:bCs/>
                <w:color w:val="00B050"/>
                <w:sz w:val="24"/>
                <w:szCs w:val="24"/>
              </w:rPr>
              <w:t xml:space="preserve">- </w:t>
            </w:r>
            <w:r w:rsidRPr="002A5BC1">
              <w:rPr>
                <w:rFonts w:cstheme="minorHAnsi"/>
                <w:b/>
                <w:bCs/>
                <w:color w:val="00B050"/>
                <w:sz w:val="24"/>
                <w:szCs w:val="24"/>
              </w:rPr>
              <w:t>£</w:t>
            </w:r>
            <w:r>
              <w:rPr>
                <w:rFonts w:cstheme="minorHAnsi"/>
                <w:b/>
                <w:bCs/>
                <w:color w:val="00B050"/>
                <w:sz w:val="24"/>
                <w:szCs w:val="24"/>
              </w:rPr>
              <w:t>586</w:t>
            </w:r>
          </w:p>
        </w:tc>
      </w:tr>
      <w:tr w:rsidR="004942B6" w:rsidRPr="00497243" w14:paraId="07143347"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94ED1C9"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D77</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5FD30DB8" w14:textId="77777777" w:rsidR="004942B6" w:rsidRPr="00A024DA" w:rsidRDefault="004942B6" w:rsidP="002C2525">
            <w:pPr>
              <w:spacing w:after="0" w:line="240" w:lineRule="auto"/>
              <w:rPr>
                <w:sz w:val="24"/>
                <w:szCs w:val="24"/>
              </w:rPr>
            </w:pPr>
            <w:r>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3EC235DE"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3B996050"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w:t>
            </w:r>
            <w:r>
              <w:rPr>
                <w:rFonts w:cstheme="minorHAnsi"/>
                <w:sz w:val="24"/>
                <w:szCs w:val="24"/>
              </w:rPr>
              <w:t>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610AEAA" w14:textId="77777777" w:rsidR="004942B6" w:rsidRPr="00A024DA" w:rsidRDefault="004942B6" w:rsidP="002C2525">
            <w:pPr>
              <w:spacing w:after="0" w:line="240" w:lineRule="auto"/>
              <w:rPr>
                <w:rFonts w:ascii="Calibri" w:hAnsi="Calibri" w:cs="Calibri"/>
                <w:color w:val="000000"/>
                <w:sz w:val="24"/>
                <w:szCs w:val="24"/>
              </w:rPr>
            </w:pPr>
            <w:r w:rsidRPr="002A5BC1">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9095BD1"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497243" w14:paraId="209BEF2D"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2CFFCFCF" w14:textId="77777777" w:rsidR="004942B6" w:rsidRPr="00A024DA" w:rsidRDefault="004942B6" w:rsidP="002C2525">
            <w:pPr>
              <w:spacing w:after="0" w:line="240" w:lineRule="auto"/>
              <w:rPr>
                <w:rFonts w:ascii="Calibri" w:hAnsi="Calibri" w:cs="Calibri"/>
                <w:color w:val="000000"/>
                <w:sz w:val="24"/>
                <w:szCs w:val="24"/>
              </w:rPr>
            </w:pPr>
            <w:r>
              <w:rPr>
                <w:rFonts w:cstheme="minorHAnsi"/>
                <w:sz w:val="24"/>
                <w:szCs w:val="24"/>
              </w:rPr>
              <w:t>B34</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6CD407B2" w14:textId="77777777" w:rsidR="004942B6" w:rsidRPr="00A024DA" w:rsidRDefault="004942B6" w:rsidP="002C2525">
            <w:pPr>
              <w:spacing w:after="0" w:line="240" w:lineRule="auto"/>
              <w:rPr>
                <w:sz w:val="24"/>
                <w:szCs w:val="24"/>
              </w:rPr>
            </w:pPr>
            <w:r>
              <w:rPr>
                <w:rFonts w:cstheme="minorHAnsi"/>
                <w:sz w:val="24"/>
                <w:szCs w:val="24"/>
              </w:rPr>
              <w:t>2V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D382D27" w14:textId="77777777" w:rsidR="004942B6" w:rsidRPr="00A024DA" w:rsidRDefault="004942B6" w:rsidP="002C2525">
            <w:pPr>
              <w:spacing w:after="0" w:line="240" w:lineRule="auto"/>
              <w:rPr>
                <w:rFonts w:ascii="Calibri" w:hAnsi="Calibri" w:cs="Calibri"/>
                <w:color w:val="000000"/>
                <w:sz w:val="24"/>
                <w:szCs w:val="24"/>
              </w:rPr>
            </w:pPr>
            <w:r>
              <w:rPr>
                <w:rFonts w:cstheme="minorHAnsi"/>
                <w:color w:val="000000"/>
                <w:sz w:val="24"/>
                <w:szCs w:val="24"/>
              </w:rPr>
              <w:t>2V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F2903D1" w14:textId="77777777" w:rsidR="004942B6" w:rsidRPr="00A024DA" w:rsidRDefault="004942B6" w:rsidP="002C2525">
            <w:pPr>
              <w:spacing w:after="0" w:line="240" w:lineRule="auto"/>
              <w:rPr>
                <w:rFonts w:ascii="Calibri" w:hAnsi="Calibri" w:cs="Calibri"/>
                <w:color w:val="000000"/>
                <w:sz w:val="24"/>
                <w:szCs w:val="24"/>
              </w:rPr>
            </w:pPr>
            <w:r>
              <w:rPr>
                <w:rFonts w:cstheme="minorHAnsi"/>
                <w:sz w:val="24"/>
                <w:szCs w:val="24"/>
              </w:rPr>
              <w:t>£1652</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338429D1" w14:textId="77777777" w:rsidR="004942B6" w:rsidRPr="00A024DA" w:rsidRDefault="004942B6" w:rsidP="002C2525">
            <w:pPr>
              <w:spacing w:after="0" w:line="240" w:lineRule="auto"/>
              <w:rPr>
                <w:rFonts w:ascii="Calibri" w:hAnsi="Calibri" w:cs="Calibri"/>
                <w:color w:val="000000"/>
                <w:sz w:val="24"/>
                <w:szCs w:val="24"/>
              </w:rPr>
            </w:pPr>
            <w:r>
              <w:rPr>
                <w:rFonts w:cstheme="minorHAnsi"/>
                <w:sz w:val="24"/>
                <w:szCs w:val="24"/>
              </w:rPr>
              <w:t>£1652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044F5F0" w14:textId="77777777" w:rsidR="004942B6" w:rsidRPr="00497243" w:rsidRDefault="004942B6" w:rsidP="002C2525">
            <w:pPr>
              <w:spacing w:after="0" w:line="240" w:lineRule="auto"/>
              <w:rPr>
                <w:rFonts w:ascii="Calibri" w:hAnsi="Calibri" w:cs="Calibri"/>
                <w:sz w:val="24"/>
                <w:szCs w:val="24"/>
              </w:rPr>
            </w:pPr>
            <w:r w:rsidRPr="002A5BC1">
              <w:rPr>
                <w:rFonts w:cstheme="minorHAnsi"/>
                <w:sz w:val="24"/>
                <w:szCs w:val="24"/>
              </w:rPr>
              <w:t>No change</w:t>
            </w:r>
          </w:p>
        </w:tc>
      </w:tr>
      <w:tr w:rsidR="004942B6" w:rsidRPr="002A5BC1" w14:paraId="4DDD33F0"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193355E9" w14:textId="77777777" w:rsidR="004942B6" w:rsidRDefault="004942B6" w:rsidP="002C2525">
            <w:pPr>
              <w:spacing w:after="0" w:line="240" w:lineRule="auto"/>
              <w:rPr>
                <w:rFonts w:cstheme="minorHAnsi"/>
                <w:sz w:val="24"/>
                <w:szCs w:val="24"/>
              </w:rPr>
            </w:pPr>
            <w:r>
              <w:rPr>
                <w:rFonts w:cstheme="minorHAnsi"/>
                <w:sz w:val="24"/>
                <w:szCs w:val="24"/>
              </w:rPr>
              <w:lastRenderedPageBreak/>
              <w:t>C1</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617386D6" w14:textId="77777777" w:rsidR="004942B6" w:rsidRDefault="004942B6" w:rsidP="002C2525">
            <w:pPr>
              <w:spacing w:after="0" w:line="240" w:lineRule="auto"/>
              <w:rPr>
                <w:rFonts w:cstheme="minorHAnsi"/>
                <w:sz w:val="24"/>
                <w:szCs w:val="24"/>
              </w:rPr>
            </w:pPr>
            <w:r>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2808AC9D"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FD2D9F3"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07003418"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DDB3717"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2A5BC1" w14:paraId="22DFAD0E"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3A1E5C13" w14:textId="77777777" w:rsidR="004942B6" w:rsidRDefault="004942B6" w:rsidP="002C2525">
            <w:pPr>
              <w:spacing w:after="0" w:line="240" w:lineRule="auto"/>
              <w:rPr>
                <w:rFonts w:cstheme="minorHAnsi"/>
                <w:sz w:val="24"/>
                <w:szCs w:val="24"/>
              </w:rPr>
            </w:pPr>
            <w:r>
              <w:rPr>
                <w:rFonts w:cstheme="minorHAnsi"/>
                <w:sz w:val="24"/>
                <w:szCs w:val="24"/>
              </w:rPr>
              <w:t>D96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9BF0F3B" w14:textId="77777777" w:rsidR="004942B6" w:rsidRDefault="004942B6" w:rsidP="002C2525">
            <w:pPr>
              <w:spacing w:after="0" w:line="240" w:lineRule="auto"/>
              <w:rPr>
                <w:rFonts w:cstheme="minorHAnsi"/>
                <w:sz w:val="24"/>
                <w:szCs w:val="24"/>
              </w:rPr>
            </w:pPr>
            <w:r>
              <w:rPr>
                <w:rFonts w:cstheme="minorHAnsi"/>
                <w:sz w:val="24"/>
                <w:szCs w:val="24"/>
              </w:rPr>
              <w:t>1V PCI</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71B82B77"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416856B0"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AD26B7D"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572742C"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2A5BC1" w14:paraId="559FDDB5"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9FEA93B" w14:textId="77777777" w:rsidR="004942B6" w:rsidRDefault="004942B6" w:rsidP="002C2525">
            <w:pPr>
              <w:spacing w:after="0" w:line="240" w:lineRule="auto"/>
              <w:rPr>
                <w:rFonts w:cstheme="minorHAnsi"/>
                <w:sz w:val="24"/>
                <w:szCs w:val="24"/>
              </w:rPr>
            </w:pPr>
            <w:r>
              <w:rPr>
                <w:rFonts w:cstheme="minorHAnsi"/>
                <w:sz w:val="24"/>
                <w:szCs w:val="24"/>
              </w:rPr>
              <w:t>D106</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39AF30A6" w14:textId="77777777" w:rsidR="004942B6" w:rsidRDefault="004942B6" w:rsidP="002C2525">
            <w:pPr>
              <w:spacing w:after="0" w:line="240" w:lineRule="auto"/>
              <w:rPr>
                <w:rFonts w:cstheme="minorHAnsi"/>
                <w:sz w:val="24"/>
                <w:szCs w:val="24"/>
              </w:rPr>
            </w:pPr>
            <w:r w:rsidRPr="002A5BC1">
              <w:rPr>
                <w:rFonts w:cstheme="minorHAnsi"/>
                <w:sz w:val="24"/>
                <w:szCs w:val="24"/>
              </w:rPr>
              <w:t>1V PCI</w:t>
            </w:r>
            <w:r>
              <w:rPr>
                <w:rFonts w:cstheme="minorHAnsi"/>
                <w:sz w:val="24"/>
                <w:szCs w:val="24"/>
              </w:rPr>
              <w:t xml:space="preserve"> </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10EA1FA8" w14:textId="77777777" w:rsidR="004942B6" w:rsidRDefault="004942B6" w:rsidP="002C2525">
            <w:pPr>
              <w:spacing w:after="0" w:line="240" w:lineRule="auto"/>
              <w:rPr>
                <w:rFonts w:cstheme="minorHAnsi"/>
                <w:color w:val="000000"/>
                <w:sz w:val="24"/>
                <w:szCs w:val="24"/>
              </w:rPr>
            </w:pPr>
            <w:r>
              <w:rPr>
                <w:rFonts w:cstheme="minorHAnsi"/>
                <w:color w:val="000000"/>
                <w:sz w:val="24"/>
                <w:szCs w:val="24"/>
              </w:rPr>
              <w:t>1V PCI</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00CD3139"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5AE60C3B" w14:textId="77777777" w:rsidR="004942B6" w:rsidRDefault="004942B6" w:rsidP="002C2525">
            <w:pPr>
              <w:spacing w:after="0" w:line="240" w:lineRule="auto"/>
              <w:rPr>
                <w:rFonts w:cstheme="minorHAnsi"/>
                <w:sz w:val="24"/>
                <w:szCs w:val="24"/>
              </w:rPr>
            </w:pPr>
            <w:r>
              <w:rPr>
                <w:rFonts w:cstheme="minorHAnsi"/>
                <w:sz w:val="24"/>
                <w:szCs w:val="24"/>
              </w:rPr>
              <w:t>£1263</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67019F0"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2A5BC1" w14:paraId="388CBD09" w14:textId="77777777" w:rsidTr="002C2525">
        <w:trPr>
          <w:trHeight w:val="320"/>
        </w:trPr>
        <w:tc>
          <w:tcPr>
            <w:tcW w:w="817" w:type="dxa"/>
            <w:tcBorders>
              <w:top w:val="nil"/>
              <w:left w:val="single" w:sz="4" w:space="0" w:color="auto"/>
              <w:bottom w:val="single" w:sz="4" w:space="0" w:color="auto"/>
              <w:right w:val="single" w:sz="4" w:space="0" w:color="auto"/>
            </w:tcBorders>
            <w:shd w:val="clear" w:color="auto" w:fill="FFFFFF" w:themeFill="background1"/>
            <w:noWrap/>
          </w:tcPr>
          <w:p w14:paraId="71095A91" w14:textId="77777777" w:rsidR="004942B6" w:rsidRDefault="004942B6" w:rsidP="002C2525">
            <w:pPr>
              <w:spacing w:after="0" w:line="240" w:lineRule="auto"/>
              <w:rPr>
                <w:rFonts w:cstheme="minorHAnsi"/>
                <w:sz w:val="24"/>
                <w:szCs w:val="24"/>
              </w:rPr>
            </w:pPr>
            <w:r>
              <w:rPr>
                <w:rFonts w:cstheme="minorHAnsi"/>
                <w:sz w:val="24"/>
                <w:szCs w:val="24"/>
              </w:rPr>
              <w:t>B69</w:t>
            </w:r>
          </w:p>
        </w:tc>
        <w:tc>
          <w:tcPr>
            <w:tcW w:w="1985" w:type="dxa"/>
            <w:tcBorders>
              <w:top w:val="nil"/>
              <w:left w:val="nil"/>
              <w:bottom w:val="single" w:sz="4" w:space="0" w:color="auto"/>
              <w:right w:val="single" w:sz="4" w:space="0" w:color="auto"/>
            </w:tcBorders>
            <w:shd w:val="clear" w:color="auto" w:fill="FFFFFF" w:themeFill="background1"/>
            <w:noWrap/>
            <w:vAlign w:val="bottom"/>
          </w:tcPr>
          <w:p w14:paraId="0EE46982" w14:textId="77777777" w:rsidR="004942B6" w:rsidRDefault="004942B6" w:rsidP="002C2525">
            <w:pPr>
              <w:spacing w:after="0" w:line="240" w:lineRule="auto"/>
              <w:rPr>
                <w:rFonts w:cstheme="minorHAnsi"/>
                <w:sz w:val="24"/>
                <w:szCs w:val="24"/>
              </w:rPr>
            </w:pPr>
            <w:r w:rsidRPr="002A5BC1">
              <w:rPr>
                <w:rFonts w:cstheme="minorHAnsi"/>
                <w:sz w:val="24"/>
                <w:szCs w:val="24"/>
              </w:rPr>
              <w:t>1V PCI</w:t>
            </w:r>
            <w:r>
              <w:rPr>
                <w:rFonts w:cstheme="minorHAnsi"/>
                <w:sz w:val="24"/>
                <w:szCs w:val="24"/>
              </w:rPr>
              <w:t xml:space="preserve"> + mFFR</w:t>
            </w:r>
          </w:p>
        </w:tc>
        <w:tc>
          <w:tcPr>
            <w:tcW w:w="1984" w:type="dxa"/>
            <w:tcBorders>
              <w:top w:val="nil"/>
              <w:left w:val="nil"/>
              <w:bottom w:val="single" w:sz="4" w:space="0" w:color="auto"/>
              <w:right w:val="single" w:sz="4" w:space="0" w:color="auto"/>
            </w:tcBorders>
            <w:shd w:val="clear" w:color="auto" w:fill="FFFFFF" w:themeFill="background1"/>
            <w:noWrap/>
            <w:vAlign w:val="bottom"/>
          </w:tcPr>
          <w:p w14:paraId="6BB06B61" w14:textId="77777777" w:rsidR="004942B6" w:rsidRDefault="004942B6" w:rsidP="002C2525">
            <w:pPr>
              <w:spacing w:after="0" w:line="240" w:lineRule="auto"/>
              <w:rPr>
                <w:rFonts w:cstheme="minorHAnsi"/>
                <w:color w:val="000000"/>
                <w:sz w:val="24"/>
                <w:szCs w:val="24"/>
              </w:rPr>
            </w:pPr>
            <w:r w:rsidRPr="002A5BC1">
              <w:rPr>
                <w:rFonts w:cstheme="minorHAnsi"/>
                <w:sz w:val="24"/>
                <w:szCs w:val="24"/>
              </w:rPr>
              <w:t>1V PCI</w:t>
            </w:r>
            <w:r>
              <w:rPr>
                <w:rFonts w:cstheme="minorHAnsi"/>
                <w:sz w:val="24"/>
                <w:szCs w:val="24"/>
              </w:rPr>
              <w:t xml:space="preserve"> + mFFR</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6A144931" w14:textId="77777777" w:rsidR="004942B6" w:rsidRDefault="004942B6" w:rsidP="002C2525">
            <w:pPr>
              <w:spacing w:after="0" w:line="240" w:lineRule="auto"/>
              <w:rPr>
                <w:rFonts w:cstheme="minorHAnsi"/>
                <w:sz w:val="24"/>
                <w:szCs w:val="24"/>
              </w:rPr>
            </w:pPr>
            <w:r>
              <w:rPr>
                <w:rFonts w:cstheme="minorHAnsi"/>
                <w:sz w:val="24"/>
                <w:szCs w:val="24"/>
              </w:rPr>
              <w:t>£1849</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2748DECE" w14:textId="77777777" w:rsidR="004942B6" w:rsidRDefault="004942B6" w:rsidP="002C2525">
            <w:pPr>
              <w:spacing w:after="0" w:line="240" w:lineRule="auto"/>
              <w:rPr>
                <w:rFonts w:cstheme="minorHAnsi"/>
                <w:sz w:val="24"/>
                <w:szCs w:val="24"/>
              </w:rPr>
            </w:pPr>
            <w:r>
              <w:rPr>
                <w:rFonts w:cstheme="minorHAnsi"/>
                <w:sz w:val="24"/>
                <w:szCs w:val="24"/>
              </w:rPr>
              <w:t>£1849</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1983DEF" w14:textId="77777777" w:rsidR="004942B6" w:rsidRPr="002A5BC1" w:rsidRDefault="004942B6" w:rsidP="002C2525">
            <w:pPr>
              <w:spacing w:after="0" w:line="240" w:lineRule="auto"/>
              <w:rPr>
                <w:rFonts w:cstheme="minorHAnsi"/>
                <w:sz w:val="24"/>
                <w:szCs w:val="24"/>
              </w:rPr>
            </w:pPr>
            <w:r w:rsidRPr="002A5BC1">
              <w:rPr>
                <w:rFonts w:cstheme="minorHAnsi"/>
                <w:sz w:val="24"/>
                <w:szCs w:val="24"/>
              </w:rPr>
              <w:t>No change</w:t>
            </w:r>
          </w:p>
        </w:tc>
      </w:tr>
      <w:tr w:rsidR="004942B6" w:rsidRPr="00041497" w14:paraId="4215D3B8" w14:textId="77777777" w:rsidTr="002C2525">
        <w:trPr>
          <w:trHeight w:val="320"/>
        </w:trPr>
        <w:tc>
          <w:tcPr>
            <w:tcW w:w="4786" w:type="dxa"/>
            <w:gridSpan w:val="3"/>
            <w:tcBorders>
              <w:top w:val="nil"/>
              <w:left w:val="single" w:sz="4" w:space="0" w:color="auto"/>
              <w:bottom w:val="single" w:sz="4" w:space="0" w:color="auto"/>
              <w:right w:val="single" w:sz="4" w:space="0" w:color="auto"/>
            </w:tcBorders>
            <w:shd w:val="clear" w:color="auto" w:fill="FFFFFF" w:themeFill="background1"/>
            <w:noWrap/>
            <w:vAlign w:val="bottom"/>
          </w:tcPr>
          <w:p w14:paraId="0A3CD97D"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Average per patient</w:t>
            </w:r>
          </w:p>
        </w:tc>
        <w:tc>
          <w:tcPr>
            <w:tcW w:w="1730" w:type="dxa"/>
            <w:tcBorders>
              <w:top w:val="nil"/>
              <w:left w:val="nil"/>
              <w:bottom w:val="single" w:sz="4" w:space="0" w:color="auto"/>
              <w:right w:val="single" w:sz="4" w:space="0" w:color="auto"/>
            </w:tcBorders>
            <w:shd w:val="clear" w:color="auto" w:fill="FFFFFF" w:themeFill="background1"/>
            <w:noWrap/>
            <w:vAlign w:val="bottom"/>
          </w:tcPr>
          <w:p w14:paraId="5B70545E"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£1781.4</w:t>
            </w:r>
          </w:p>
        </w:tc>
        <w:tc>
          <w:tcPr>
            <w:tcW w:w="1559" w:type="dxa"/>
            <w:tcBorders>
              <w:top w:val="nil"/>
              <w:left w:val="nil"/>
              <w:bottom w:val="single" w:sz="4" w:space="0" w:color="auto"/>
              <w:right w:val="single" w:sz="4" w:space="0" w:color="auto"/>
            </w:tcBorders>
            <w:shd w:val="clear" w:color="auto" w:fill="FFFFFF" w:themeFill="background1"/>
            <w:noWrap/>
            <w:vAlign w:val="bottom"/>
          </w:tcPr>
          <w:p w14:paraId="7F6190AE" w14:textId="77777777" w:rsidR="004942B6" w:rsidRPr="00A024DA" w:rsidRDefault="004942B6" w:rsidP="002C2525">
            <w:pPr>
              <w:spacing w:after="0" w:line="240" w:lineRule="auto"/>
              <w:rPr>
                <w:rFonts w:ascii="Calibri" w:hAnsi="Calibri" w:cs="Calibri"/>
                <w:color w:val="000000"/>
                <w:sz w:val="24"/>
                <w:szCs w:val="24"/>
              </w:rPr>
            </w:pPr>
            <w:r>
              <w:rPr>
                <w:rFonts w:ascii="Calibri" w:hAnsi="Calibri" w:cs="Calibri"/>
                <w:color w:val="000000"/>
                <w:sz w:val="24"/>
                <w:szCs w:val="24"/>
              </w:rPr>
              <w:t>£1502</w:t>
            </w:r>
          </w:p>
        </w:tc>
        <w:tc>
          <w:tcPr>
            <w:tcW w:w="1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CF8710C" w14:textId="77777777" w:rsidR="004942B6" w:rsidRPr="00041497" w:rsidRDefault="004942B6" w:rsidP="002C2525">
            <w:pPr>
              <w:spacing w:after="0" w:line="240" w:lineRule="auto"/>
              <w:rPr>
                <w:rFonts w:ascii="Calibri" w:hAnsi="Calibri" w:cs="Calibri"/>
                <w:b/>
                <w:bCs/>
                <w:color w:val="00B050"/>
                <w:sz w:val="24"/>
                <w:szCs w:val="24"/>
              </w:rPr>
            </w:pPr>
            <w:r>
              <w:rPr>
                <w:rFonts w:ascii="Calibri" w:hAnsi="Calibri" w:cs="Calibri"/>
                <w:color w:val="000000"/>
                <w:sz w:val="24"/>
                <w:szCs w:val="24"/>
              </w:rPr>
              <w:t>£279.4</w:t>
            </w:r>
          </w:p>
        </w:tc>
      </w:tr>
      <w:tr w:rsidR="004942B6" w:rsidRPr="00823BDA" w14:paraId="43028B99" w14:textId="77777777" w:rsidTr="002C2525">
        <w:trPr>
          <w:trHeight w:val="320"/>
        </w:trPr>
        <w:tc>
          <w:tcPr>
            <w:tcW w:w="9747" w:type="dxa"/>
            <w:gridSpan w:val="6"/>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A680512" w14:textId="77777777" w:rsidR="004942B6" w:rsidRDefault="004942B6" w:rsidP="002C2525">
            <w:pPr>
              <w:spacing w:after="0" w:line="240" w:lineRule="auto"/>
              <w:rPr>
                <w:rFonts w:eastAsia="Times New Roman" w:cstheme="minorHAnsi"/>
                <w:color w:val="000000" w:themeColor="text1"/>
                <w:sz w:val="24"/>
                <w:szCs w:val="24"/>
                <w:lang w:eastAsia="en-GB"/>
              </w:rPr>
            </w:pPr>
            <w:r w:rsidRPr="00913D9A">
              <w:rPr>
                <w:rFonts w:eastAsia="Times New Roman" w:cstheme="minorHAnsi"/>
                <w:color w:val="000000" w:themeColor="text1"/>
                <w:sz w:val="24"/>
                <w:szCs w:val="24"/>
                <w:lang w:eastAsia="en-GB"/>
              </w:rPr>
              <w:t xml:space="preserve">1V PCI represents PCI performed for </w:t>
            </w:r>
            <w:r>
              <w:rPr>
                <w:rFonts w:eastAsia="Times New Roman" w:cstheme="minorHAnsi"/>
                <w:color w:val="000000" w:themeColor="text1"/>
                <w:sz w:val="24"/>
                <w:szCs w:val="24"/>
                <w:lang w:eastAsia="en-GB"/>
              </w:rPr>
              <w:t>one vessel</w:t>
            </w:r>
            <w:r w:rsidRPr="00913D9A">
              <w:rPr>
                <w:rFonts w:eastAsia="Times New Roman" w:cstheme="minorHAnsi"/>
                <w:color w:val="000000" w:themeColor="text1"/>
                <w:sz w:val="24"/>
                <w:szCs w:val="24"/>
                <w:lang w:eastAsia="en-GB"/>
              </w:rPr>
              <w:t xml:space="preserve">, and 2V PCI denotes PCI performed for </w:t>
            </w:r>
            <w:r>
              <w:rPr>
                <w:rFonts w:eastAsia="Times New Roman" w:cstheme="minorHAnsi"/>
                <w:color w:val="000000" w:themeColor="text1"/>
                <w:sz w:val="24"/>
                <w:szCs w:val="24"/>
                <w:lang w:eastAsia="en-GB"/>
              </w:rPr>
              <w:t>two vessels.</w:t>
            </w:r>
          </w:p>
          <w:p w14:paraId="63976B76" w14:textId="77777777" w:rsidR="004942B6" w:rsidRPr="00823BDA" w:rsidRDefault="004942B6" w:rsidP="002C2525">
            <w:pPr>
              <w:spacing w:after="0" w:line="240" w:lineRule="auto"/>
              <w:rPr>
                <w:lang w:eastAsia="en-GB"/>
              </w:rPr>
            </w:pPr>
            <w:r w:rsidRPr="0030432E">
              <w:rPr>
                <w:rFonts w:eastAsia="Times New Roman" w:cstheme="minorHAnsi"/>
                <w:color w:val="000000" w:themeColor="text1"/>
                <w:sz w:val="24"/>
                <w:szCs w:val="24"/>
                <w:lang w:eastAsia="en-GB"/>
              </w:rPr>
              <w:t xml:space="preserve">"+" </w:t>
            </w:r>
            <w:r>
              <w:rPr>
                <w:rFonts w:eastAsia="Times New Roman" w:cstheme="minorHAnsi"/>
                <w:color w:val="000000" w:themeColor="text1"/>
                <w:sz w:val="24"/>
                <w:szCs w:val="24"/>
                <w:lang w:eastAsia="en-GB"/>
              </w:rPr>
              <w:t>shows a</w:t>
            </w:r>
            <w:r w:rsidRPr="0030432E">
              <w:rPr>
                <w:rFonts w:eastAsia="Times New Roman" w:cstheme="minorHAnsi"/>
                <w:color w:val="000000" w:themeColor="text1"/>
                <w:sz w:val="24"/>
                <w:szCs w:val="24"/>
                <w:lang w:eastAsia="en-GB"/>
              </w:rPr>
              <w:t xml:space="preserve"> virtual additional cost, whereas "-" represents a virtual reduction in the cost of the index procedure due to a notional change in the management plan.</w:t>
            </w:r>
          </w:p>
        </w:tc>
      </w:tr>
    </w:tbl>
    <w:p w14:paraId="3D123849" w14:textId="77777777" w:rsidR="0047289B" w:rsidRDefault="0047289B" w:rsidP="004942B6">
      <w:pPr>
        <w:pStyle w:val="Heading3"/>
        <w:spacing w:line="360" w:lineRule="auto"/>
        <w:jc w:val="both"/>
        <w:rPr>
          <w:rFonts w:ascii="Arial" w:hAnsi="Arial" w:cs="Arial"/>
          <w:color w:val="4472C4" w:themeColor="accent1"/>
          <w:sz w:val="24"/>
          <w:szCs w:val="24"/>
        </w:rPr>
      </w:pPr>
      <w:bookmarkStart w:id="1416" w:name="_Toc159613630"/>
      <w:bookmarkStart w:id="1417" w:name="_Toc160981292"/>
      <w:bookmarkStart w:id="1418" w:name="_Toc170076095"/>
      <w:bookmarkStart w:id="1419" w:name="_Toc170577798"/>
    </w:p>
    <w:p w14:paraId="7813BC9D" w14:textId="745A08D8" w:rsidR="004942B6" w:rsidRPr="0093200B" w:rsidRDefault="004942B6" w:rsidP="004942B6">
      <w:pPr>
        <w:pStyle w:val="Heading3"/>
        <w:spacing w:line="360" w:lineRule="auto"/>
        <w:jc w:val="both"/>
        <w:rPr>
          <w:rFonts w:ascii="Arial" w:hAnsi="Arial" w:cs="Arial"/>
          <w:color w:val="4472C4" w:themeColor="accent1"/>
          <w:sz w:val="24"/>
          <w:szCs w:val="24"/>
        </w:rPr>
      </w:pPr>
      <w:bookmarkStart w:id="1420" w:name="_Toc171203174"/>
      <w:bookmarkStart w:id="1421" w:name="_Toc171203946"/>
      <w:r w:rsidRPr="0093200B">
        <w:rPr>
          <w:rFonts w:ascii="Arial" w:hAnsi="Arial" w:cs="Arial"/>
          <w:color w:val="4472C4" w:themeColor="accent1"/>
          <w:sz w:val="24"/>
          <w:szCs w:val="24"/>
        </w:rPr>
        <w:t>3.</w:t>
      </w:r>
      <w:r w:rsidR="000578F7">
        <w:rPr>
          <w:rFonts w:ascii="Arial" w:hAnsi="Arial" w:cs="Arial"/>
          <w:color w:val="4472C4" w:themeColor="accent1"/>
          <w:sz w:val="24"/>
          <w:szCs w:val="24"/>
        </w:rPr>
        <w:t>7.2</w:t>
      </w:r>
      <w:r w:rsidRPr="0093200B">
        <w:rPr>
          <w:rFonts w:ascii="Arial" w:hAnsi="Arial" w:cs="Arial"/>
          <w:color w:val="4472C4" w:themeColor="accent1"/>
          <w:sz w:val="24"/>
          <w:szCs w:val="24"/>
        </w:rPr>
        <w:t xml:space="preserve"> Comparison of the pre- and post-vFFR cost of outcomes in the virtual change subset according to the expert </w:t>
      </w:r>
      <w:r w:rsidR="000578F7">
        <w:rPr>
          <w:rFonts w:ascii="Arial" w:hAnsi="Arial" w:cs="Arial"/>
          <w:color w:val="4472C4" w:themeColor="accent1"/>
          <w:sz w:val="24"/>
          <w:szCs w:val="24"/>
        </w:rPr>
        <w:t>MDT</w:t>
      </w:r>
      <w:r w:rsidRPr="0093200B">
        <w:rPr>
          <w:rFonts w:ascii="Arial" w:hAnsi="Arial" w:cs="Arial"/>
          <w:color w:val="4472C4" w:themeColor="accent1"/>
          <w:sz w:val="24"/>
          <w:szCs w:val="24"/>
        </w:rPr>
        <w:t>’s treatment plans</w:t>
      </w:r>
      <w:bookmarkEnd w:id="1416"/>
      <w:bookmarkEnd w:id="1417"/>
      <w:bookmarkEnd w:id="1418"/>
      <w:bookmarkEnd w:id="1419"/>
      <w:bookmarkEnd w:id="1420"/>
      <w:bookmarkEnd w:id="1421"/>
    </w:p>
    <w:p w14:paraId="7D17C64A" w14:textId="2752E287" w:rsidR="004942B6" w:rsidRDefault="004942B6" w:rsidP="004942B6">
      <w:pPr>
        <w:spacing w:line="360" w:lineRule="auto"/>
        <w:jc w:val="both"/>
        <w:rPr>
          <w:rFonts w:ascii="Arial" w:hAnsi="Arial" w:cs="Arial"/>
          <w:sz w:val="24"/>
          <w:szCs w:val="24"/>
        </w:rPr>
      </w:pPr>
      <w:r w:rsidRPr="006A1824">
        <w:rPr>
          <w:rFonts w:ascii="Arial" w:hAnsi="Arial" w:cs="Arial"/>
          <w:sz w:val="24"/>
          <w:szCs w:val="24"/>
        </w:rPr>
        <w:t xml:space="preserve">The pre- and post-vFFR plans from the expert </w:t>
      </w:r>
      <w:r w:rsidR="0012399F">
        <w:rPr>
          <w:rFonts w:ascii="Arial" w:hAnsi="Arial" w:cs="Arial"/>
          <w:sz w:val="24"/>
          <w:szCs w:val="24"/>
        </w:rPr>
        <w:t>MDT</w:t>
      </w:r>
      <w:r w:rsidRPr="006A1824">
        <w:rPr>
          <w:rFonts w:ascii="Arial" w:hAnsi="Arial" w:cs="Arial"/>
          <w:sz w:val="24"/>
          <w:szCs w:val="24"/>
        </w:rPr>
        <w:t xml:space="preserve"> </w:t>
      </w:r>
      <w:r w:rsidR="00EF5EE4">
        <w:rPr>
          <w:rFonts w:ascii="Arial" w:hAnsi="Arial" w:cs="Arial"/>
          <w:sz w:val="24"/>
          <w:szCs w:val="24"/>
        </w:rPr>
        <w:t>MDT</w:t>
      </w:r>
      <w:r w:rsidRPr="006A1824">
        <w:rPr>
          <w:rFonts w:ascii="Arial" w:hAnsi="Arial" w:cs="Arial"/>
          <w:sz w:val="24"/>
          <w:szCs w:val="24"/>
        </w:rPr>
        <w:t xml:space="preserve">s were costed according to the treatment strategies to </w:t>
      </w:r>
      <w:r>
        <w:rPr>
          <w:rFonts w:ascii="Arial" w:hAnsi="Arial" w:cs="Arial"/>
          <w:sz w:val="24"/>
          <w:szCs w:val="24"/>
        </w:rPr>
        <w:t>estimate</w:t>
      </w:r>
      <w:r w:rsidRPr="006A1824">
        <w:rPr>
          <w:rFonts w:ascii="Arial" w:hAnsi="Arial" w:cs="Arial"/>
          <w:sz w:val="24"/>
          <w:szCs w:val="24"/>
        </w:rPr>
        <w:t xml:space="preserve"> the virtual cost</w:t>
      </w:r>
      <w:r>
        <w:rPr>
          <w:rFonts w:ascii="Arial" w:hAnsi="Arial" w:cs="Arial"/>
          <w:sz w:val="24"/>
          <w:szCs w:val="24"/>
        </w:rPr>
        <w:t>s</w:t>
      </w:r>
      <w:r w:rsidRPr="006A1824">
        <w:rPr>
          <w:rFonts w:ascii="Arial" w:hAnsi="Arial" w:cs="Arial"/>
          <w:sz w:val="24"/>
          <w:szCs w:val="24"/>
        </w:rPr>
        <w:t xml:space="preserve"> if expert plans ha</w:t>
      </w:r>
      <w:r w:rsidR="00F32C84">
        <w:rPr>
          <w:rFonts w:ascii="Arial" w:hAnsi="Arial" w:cs="Arial"/>
          <w:sz w:val="24"/>
          <w:szCs w:val="24"/>
        </w:rPr>
        <w:t xml:space="preserve">d </w:t>
      </w:r>
      <w:r w:rsidRPr="006A1824">
        <w:rPr>
          <w:rFonts w:ascii="Arial" w:hAnsi="Arial" w:cs="Arial"/>
          <w:sz w:val="24"/>
          <w:szCs w:val="24"/>
        </w:rPr>
        <w:t xml:space="preserve">been followed. </w:t>
      </w:r>
      <w:r w:rsidR="00566369" w:rsidRPr="00566369">
        <w:rPr>
          <w:rFonts w:ascii="Arial" w:hAnsi="Arial" w:cs="Arial"/>
          <w:sz w:val="24"/>
          <w:szCs w:val="24"/>
        </w:rPr>
        <w:t xml:space="preserve">Plans from the first expert </w:t>
      </w:r>
      <w:r w:rsidR="0012399F">
        <w:rPr>
          <w:rFonts w:ascii="Arial" w:hAnsi="Arial" w:cs="Arial"/>
          <w:sz w:val="24"/>
          <w:szCs w:val="24"/>
        </w:rPr>
        <w:t>MDT</w:t>
      </w:r>
      <w:r w:rsidR="00566369" w:rsidRPr="00566369">
        <w:rPr>
          <w:rFonts w:ascii="Arial" w:hAnsi="Arial" w:cs="Arial"/>
          <w:sz w:val="24"/>
          <w:szCs w:val="24"/>
        </w:rPr>
        <w:t xml:space="preserve"> would have led to a notional savings of £6663 (average savings of £170.8 per patient) in the ACS patients (n=39), whereas for the CCS patients (n=26), there would be an extra spend of £3039 (average extra cost of £116.8)</w:t>
      </w:r>
      <w:r w:rsidR="00602F0C">
        <w:rPr>
          <w:rFonts w:ascii="Arial" w:hAnsi="Arial" w:cs="Arial"/>
          <w:sz w:val="24"/>
          <w:szCs w:val="24"/>
        </w:rPr>
        <w:t>. It</w:t>
      </w:r>
      <w:r w:rsidRPr="006A1824">
        <w:rPr>
          <w:rFonts w:ascii="Arial" w:hAnsi="Arial" w:cs="Arial"/>
          <w:sz w:val="24"/>
          <w:szCs w:val="24"/>
        </w:rPr>
        <w:t xml:space="preserve"> would lead to an overall saving</w:t>
      </w:r>
      <w:r>
        <w:rPr>
          <w:rFonts w:ascii="Arial" w:hAnsi="Arial" w:cs="Arial"/>
          <w:sz w:val="24"/>
          <w:szCs w:val="24"/>
        </w:rPr>
        <w:t>s</w:t>
      </w:r>
      <w:r w:rsidRPr="006A1824">
        <w:rPr>
          <w:rFonts w:ascii="Arial" w:hAnsi="Arial" w:cs="Arial"/>
          <w:sz w:val="24"/>
          <w:szCs w:val="24"/>
        </w:rPr>
        <w:t xml:space="preserve"> of £3678 (average savings of £56.5 per patient) for the virtual change subset (n=65). </w:t>
      </w:r>
    </w:p>
    <w:p w14:paraId="141EF3A1" w14:textId="4BDBC0BD" w:rsidR="004942B6" w:rsidRPr="006A1824" w:rsidRDefault="004942B6" w:rsidP="004942B6">
      <w:pPr>
        <w:spacing w:line="360" w:lineRule="auto"/>
        <w:jc w:val="both"/>
        <w:rPr>
          <w:rFonts w:ascii="Arial" w:hAnsi="Arial" w:cs="Arial"/>
          <w:sz w:val="24"/>
          <w:szCs w:val="24"/>
        </w:rPr>
      </w:pPr>
      <w:r>
        <w:rPr>
          <w:rFonts w:ascii="Arial" w:hAnsi="Arial" w:cs="Arial"/>
          <w:sz w:val="24"/>
          <w:szCs w:val="24"/>
        </w:rPr>
        <w:t xml:space="preserve">Following the second expert team’s treatment plans would lead to virtual savings of £16878 (average savings of £432.7 per patient) for ACS (n=39) and £7265 (average savings of £279.4 per patient) for CCS patients (n=26). The overall savings for the entire virtual change subset (n=65) would be £24143 (average savings of £371.4 per patient). </w:t>
      </w:r>
      <w:r w:rsidRPr="006A1824">
        <w:rPr>
          <w:rFonts w:ascii="Arial" w:hAnsi="Arial" w:cs="Arial"/>
          <w:sz w:val="24"/>
          <w:szCs w:val="24"/>
        </w:rPr>
        <w:t xml:space="preserve">This suggests that the plans from expert team were more cost-efficient compared to the </w:t>
      </w:r>
      <w:r w:rsidR="007C2D89">
        <w:rPr>
          <w:rFonts w:ascii="Arial" w:hAnsi="Arial" w:cs="Arial"/>
          <w:sz w:val="24"/>
          <w:szCs w:val="24"/>
        </w:rPr>
        <w:t xml:space="preserve">parent </w:t>
      </w:r>
      <w:r w:rsidR="00245B86">
        <w:rPr>
          <w:rFonts w:ascii="Arial" w:hAnsi="Arial" w:cs="Arial"/>
          <w:sz w:val="24"/>
          <w:szCs w:val="24"/>
        </w:rPr>
        <w:t>cardiologists’</w:t>
      </w:r>
      <w:r w:rsidRPr="006A1824">
        <w:rPr>
          <w:rFonts w:ascii="Arial" w:hAnsi="Arial" w:cs="Arial"/>
          <w:sz w:val="24"/>
          <w:szCs w:val="24"/>
        </w:rPr>
        <w:t xml:space="preserve"> plans, especially the </w:t>
      </w:r>
      <w:r>
        <w:rPr>
          <w:rFonts w:ascii="Arial" w:hAnsi="Arial" w:cs="Arial"/>
          <w:sz w:val="24"/>
          <w:szCs w:val="24"/>
        </w:rPr>
        <w:t xml:space="preserve">ones from the </w:t>
      </w:r>
      <w:r w:rsidRPr="006A1824">
        <w:rPr>
          <w:rFonts w:ascii="Arial" w:hAnsi="Arial" w:cs="Arial"/>
          <w:sz w:val="24"/>
          <w:szCs w:val="24"/>
        </w:rPr>
        <w:t xml:space="preserve">CCS </w:t>
      </w:r>
      <w:r>
        <w:rPr>
          <w:rFonts w:ascii="Arial" w:hAnsi="Arial" w:cs="Arial"/>
          <w:sz w:val="24"/>
          <w:szCs w:val="24"/>
        </w:rPr>
        <w:t>cohort</w:t>
      </w:r>
      <w:r w:rsidRPr="006A1824">
        <w:rPr>
          <w:rFonts w:ascii="Arial" w:hAnsi="Arial" w:cs="Arial"/>
          <w:sz w:val="24"/>
          <w:szCs w:val="24"/>
        </w:rPr>
        <w:t>.</w:t>
      </w:r>
      <w:r>
        <w:rPr>
          <w:rFonts w:ascii="Arial" w:hAnsi="Arial" w:cs="Arial"/>
          <w:sz w:val="24"/>
          <w:szCs w:val="24"/>
        </w:rPr>
        <w:t xml:space="preserve"> The pre- and post-vFFR management plans from both expert teams and their associated outcome costs are shown in Figure </w:t>
      </w:r>
      <w:r w:rsidR="00D92CB5">
        <w:rPr>
          <w:rFonts w:ascii="Arial" w:hAnsi="Arial" w:cs="Arial"/>
          <w:sz w:val="24"/>
          <w:szCs w:val="24"/>
        </w:rPr>
        <w:t>6</w:t>
      </w:r>
      <w:r w:rsidR="001823B4">
        <w:rPr>
          <w:rFonts w:ascii="Arial" w:hAnsi="Arial" w:cs="Arial"/>
          <w:sz w:val="24"/>
          <w:szCs w:val="24"/>
        </w:rPr>
        <w:t>3</w:t>
      </w:r>
      <w:r>
        <w:rPr>
          <w:rFonts w:ascii="Arial" w:hAnsi="Arial" w:cs="Arial"/>
          <w:sz w:val="24"/>
          <w:szCs w:val="24"/>
        </w:rPr>
        <w:t>.</w:t>
      </w:r>
    </w:p>
    <w:p w14:paraId="02752CF3" w14:textId="77777777" w:rsidR="004942B6" w:rsidRDefault="004942B6" w:rsidP="004942B6">
      <w:pPr>
        <w:jc w:val="both"/>
      </w:pPr>
    </w:p>
    <w:p w14:paraId="644A285D" w14:textId="77777777" w:rsidR="004942B6" w:rsidRDefault="004942B6" w:rsidP="004942B6">
      <w:pPr>
        <w:keepNext/>
        <w:jc w:val="both"/>
      </w:pPr>
      <w:r>
        <w:rPr>
          <w:noProof/>
          <w:lang w:eastAsia="en-GB"/>
        </w:rPr>
        <w:lastRenderedPageBreak/>
        <w:drawing>
          <wp:inline distT="0" distB="0" distL="0" distR="0" wp14:anchorId="67350AB1" wp14:editId="78E81013">
            <wp:extent cx="5927549" cy="5108549"/>
            <wp:effectExtent l="0" t="0" r="0" b="0"/>
            <wp:docPr id="1668307691"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07691" name="Picture 6" descr="A screenshot of a graph&#10;&#10;Description automatically generated"/>
                    <pic:cNvPicPr/>
                  </pic:nvPicPr>
                  <pic:blipFill rotWithShape="1">
                    <a:blip r:embed="rId94" cstate="print">
                      <a:extLst>
                        <a:ext uri="{BEBA8EAE-BF5A-486C-A8C5-ECC9F3942E4B}">
                          <a14:imgProps xmlns:a14="http://schemas.microsoft.com/office/drawing/2010/main">
                            <a14:imgLayer r:embed="rId95">
                              <a14:imgEffect>
                                <a14:sharpenSoften amount="25000"/>
                              </a14:imgEffect>
                              <a14:imgEffect>
                                <a14:brightnessContrast bright="5000" contrast="23000"/>
                              </a14:imgEffect>
                            </a14:imgLayer>
                          </a14:imgProps>
                        </a:ext>
                        <a:ext uri="{28A0092B-C50C-407E-A947-70E740481C1C}">
                          <a14:useLocalDpi xmlns:a14="http://schemas.microsoft.com/office/drawing/2010/main" val="0"/>
                        </a:ext>
                      </a:extLst>
                    </a:blip>
                    <a:srcRect l="7647" r="11133"/>
                    <a:stretch/>
                  </pic:blipFill>
                  <pic:spPr bwMode="auto">
                    <a:xfrm>
                      <a:off x="0" y="0"/>
                      <a:ext cx="5937626" cy="5117234"/>
                    </a:xfrm>
                    <a:prstGeom prst="rect">
                      <a:avLst/>
                    </a:prstGeom>
                    <a:ln>
                      <a:noFill/>
                    </a:ln>
                    <a:extLst>
                      <a:ext uri="{53640926-AAD7-44D8-BBD7-CCE9431645EC}">
                        <a14:shadowObscured xmlns:a14="http://schemas.microsoft.com/office/drawing/2010/main"/>
                      </a:ext>
                    </a:extLst>
                  </pic:spPr>
                </pic:pic>
              </a:graphicData>
            </a:graphic>
          </wp:inline>
        </w:drawing>
      </w:r>
    </w:p>
    <w:p w14:paraId="0BFB5993" w14:textId="1560E447" w:rsidR="004942B6" w:rsidRPr="008F6364" w:rsidRDefault="004942B6" w:rsidP="004942B6">
      <w:pPr>
        <w:pStyle w:val="Caption"/>
        <w:jc w:val="both"/>
        <w:rPr>
          <w:rFonts w:ascii="Arial" w:hAnsi="Arial" w:cs="Arial"/>
          <w:color w:val="auto"/>
          <w:sz w:val="20"/>
          <w:szCs w:val="20"/>
        </w:rPr>
      </w:pPr>
      <w:bookmarkStart w:id="1422" w:name="_Toc159318529"/>
      <w:bookmarkStart w:id="1423" w:name="_Toc159612056"/>
      <w:bookmarkStart w:id="1424" w:name="_Toc160982707"/>
      <w:bookmarkStart w:id="1425" w:name="_Toc164697533"/>
      <w:bookmarkStart w:id="1426" w:name="_Toc170744623"/>
      <w:bookmarkStart w:id="1427" w:name="_Toc196153255"/>
      <w:r w:rsidRPr="008F6364">
        <w:rPr>
          <w:rFonts w:ascii="Arial" w:hAnsi="Arial" w:cs="Arial"/>
          <w:b/>
          <w:bCs/>
          <w:color w:val="auto"/>
          <w:sz w:val="20"/>
          <w:szCs w:val="20"/>
        </w:rPr>
        <w:t xml:space="preserve">Figure </w:t>
      </w:r>
      <w:r w:rsidRPr="008F6364">
        <w:rPr>
          <w:rFonts w:ascii="Arial" w:hAnsi="Arial" w:cs="Arial"/>
          <w:b/>
          <w:bCs/>
          <w:color w:val="auto"/>
          <w:sz w:val="20"/>
          <w:szCs w:val="20"/>
        </w:rPr>
        <w:fldChar w:fldCharType="begin"/>
      </w:r>
      <w:r w:rsidRPr="008F6364">
        <w:rPr>
          <w:rFonts w:ascii="Arial" w:hAnsi="Arial" w:cs="Arial"/>
          <w:b/>
          <w:bCs/>
          <w:color w:val="auto"/>
          <w:sz w:val="20"/>
          <w:szCs w:val="20"/>
        </w:rPr>
        <w:instrText xml:space="preserve"> SEQ Figure \* ARABIC </w:instrText>
      </w:r>
      <w:r w:rsidRPr="008F6364">
        <w:rPr>
          <w:rFonts w:ascii="Arial" w:hAnsi="Arial" w:cs="Arial"/>
          <w:b/>
          <w:bCs/>
          <w:color w:val="auto"/>
          <w:sz w:val="20"/>
          <w:szCs w:val="20"/>
        </w:rPr>
        <w:fldChar w:fldCharType="separate"/>
      </w:r>
      <w:r w:rsidR="001823B4">
        <w:rPr>
          <w:rFonts w:ascii="Arial" w:hAnsi="Arial" w:cs="Arial"/>
          <w:b/>
          <w:bCs/>
          <w:noProof/>
          <w:color w:val="auto"/>
          <w:sz w:val="20"/>
          <w:szCs w:val="20"/>
        </w:rPr>
        <w:t>63</w:t>
      </w:r>
      <w:r w:rsidRPr="008F6364">
        <w:rPr>
          <w:rFonts w:ascii="Arial" w:hAnsi="Arial" w:cs="Arial"/>
          <w:b/>
          <w:bCs/>
          <w:color w:val="auto"/>
          <w:sz w:val="20"/>
          <w:szCs w:val="20"/>
        </w:rPr>
        <w:fldChar w:fldCharType="end"/>
      </w:r>
      <w:r w:rsidRPr="008F6364">
        <w:rPr>
          <w:rFonts w:ascii="Arial" w:hAnsi="Arial" w:cs="Arial"/>
          <w:color w:val="auto"/>
          <w:sz w:val="20"/>
          <w:szCs w:val="20"/>
        </w:rPr>
        <w:t xml:space="preserve">: Comparison of the total cost of outcomes of the pre- and post-vFFR plans for the patients in virtual change subset according to the expert </w:t>
      </w:r>
      <w:r w:rsidR="0012399F">
        <w:rPr>
          <w:rFonts w:ascii="Arial" w:hAnsi="Arial" w:cs="Arial"/>
          <w:color w:val="auto"/>
          <w:sz w:val="20"/>
          <w:szCs w:val="20"/>
        </w:rPr>
        <w:t>MDT</w:t>
      </w:r>
      <w:r w:rsidRPr="008F6364">
        <w:rPr>
          <w:rFonts w:ascii="Arial" w:hAnsi="Arial" w:cs="Arial"/>
          <w:color w:val="auto"/>
          <w:sz w:val="20"/>
          <w:szCs w:val="20"/>
        </w:rPr>
        <w:t>s</w:t>
      </w:r>
      <w:bookmarkEnd w:id="1422"/>
      <w:bookmarkEnd w:id="1423"/>
      <w:bookmarkEnd w:id="1424"/>
      <w:bookmarkEnd w:id="1425"/>
      <w:bookmarkEnd w:id="1426"/>
      <w:bookmarkEnd w:id="1427"/>
    </w:p>
    <w:p w14:paraId="1CFB6543" w14:textId="7F048FF0" w:rsidR="004942B6" w:rsidRPr="000578F7" w:rsidRDefault="004942B6" w:rsidP="004942B6">
      <w:pPr>
        <w:spacing w:line="360" w:lineRule="auto"/>
        <w:jc w:val="both"/>
      </w:pPr>
      <w:r>
        <w:t xml:space="preserve">  </w:t>
      </w:r>
    </w:p>
    <w:p w14:paraId="7368721C" w14:textId="05793118" w:rsidR="004942B6" w:rsidRPr="000578F7" w:rsidRDefault="004942B6" w:rsidP="000578F7">
      <w:pPr>
        <w:pStyle w:val="Heading2"/>
        <w:rPr>
          <w:rFonts w:ascii="Arial" w:hAnsi="Arial" w:cs="Arial"/>
          <w:color w:val="4472C4" w:themeColor="accent1"/>
          <w:sz w:val="28"/>
          <w:szCs w:val="28"/>
        </w:rPr>
      </w:pPr>
      <w:bookmarkStart w:id="1428" w:name="_Toc159613635"/>
      <w:bookmarkStart w:id="1429" w:name="_Toc160981297"/>
      <w:bookmarkStart w:id="1430" w:name="_Toc170076100"/>
      <w:bookmarkStart w:id="1431" w:name="_Toc171203947"/>
      <w:r w:rsidRPr="000578F7">
        <w:rPr>
          <w:rFonts w:ascii="Arial" w:hAnsi="Arial" w:cs="Arial"/>
          <w:color w:val="4472C4" w:themeColor="accent1"/>
          <w:sz w:val="28"/>
          <w:szCs w:val="28"/>
        </w:rPr>
        <w:t>3.</w:t>
      </w:r>
      <w:r w:rsidR="000578F7" w:rsidRPr="000578F7">
        <w:rPr>
          <w:rFonts w:ascii="Arial" w:hAnsi="Arial" w:cs="Arial"/>
          <w:color w:val="4472C4" w:themeColor="accent1"/>
          <w:sz w:val="28"/>
          <w:szCs w:val="28"/>
        </w:rPr>
        <w:t>8</w:t>
      </w:r>
      <w:r w:rsidRPr="000578F7">
        <w:rPr>
          <w:rFonts w:ascii="Arial" w:hAnsi="Arial" w:cs="Arial"/>
          <w:color w:val="4472C4" w:themeColor="accent1"/>
          <w:sz w:val="28"/>
          <w:szCs w:val="28"/>
        </w:rPr>
        <w:t xml:space="preserve"> Incremental cost-effectiveness ratio (ICER) calculation</w:t>
      </w:r>
      <w:bookmarkEnd w:id="1428"/>
      <w:bookmarkEnd w:id="1429"/>
      <w:bookmarkEnd w:id="1430"/>
      <w:r w:rsidR="000578F7">
        <w:rPr>
          <w:rFonts w:ascii="Arial" w:hAnsi="Arial" w:cs="Arial"/>
          <w:color w:val="4472C4" w:themeColor="accent1"/>
          <w:sz w:val="28"/>
          <w:szCs w:val="28"/>
        </w:rPr>
        <w:t xml:space="preserve"> for vFFR</w:t>
      </w:r>
      <w:bookmarkEnd w:id="1431"/>
    </w:p>
    <w:p w14:paraId="08EE93E9" w14:textId="77777777" w:rsidR="004942B6" w:rsidRPr="00070485" w:rsidRDefault="004942B6" w:rsidP="004942B6">
      <w:pPr>
        <w:spacing w:line="360" w:lineRule="auto"/>
        <w:jc w:val="both"/>
        <w:rPr>
          <w:rFonts w:ascii="Arial" w:hAnsi="Arial" w:cs="Arial"/>
          <w:color w:val="000000" w:themeColor="text1"/>
          <w:sz w:val="24"/>
          <w:szCs w:val="24"/>
        </w:rPr>
      </w:pPr>
      <w:r w:rsidRPr="00F65D4F">
        <w:rPr>
          <w:rFonts w:ascii="Arial" w:hAnsi="Arial" w:cs="Arial"/>
          <w:sz w:val="24"/>
          <w:szCs w:val="24"/>
        </w:rPr>
        <w:t xml:space="preserve">The ICER for the outcomes from the </w:t>
      </w:r>
      <w:r>
        <w:rPr>
          <w:rFonts w:ascii="Arial" w:hAnsi="Arial" w:cs="Arial"/>
          <w:sz w:val="24"/>
          <w:szCs w:val="24"/>
        </w:rPr>
        <w:t>virtual change subset</w:t>
      </w:r>
      <w:r w:rsidRPr="00F65D4F">
        <w:rPr>
          <w:rFonts w:ascii="Arial" w:hAnsi="Arial" w:cs="Arial"/>
          <w:sz w:val="24"/>
          <w:szCs w:val="24"/>
        </w:rPr>
        <w:t xml:space="preserve"> was calculated for the three-tier proposed cost for </w:t>
      </w:r>
      <w:r>
        <w:rPr>
          <w:rFonts w:ascii="Arial" w:hAnsi="Arial" w:cs="Arial"/>
          <w:color w:val="000000" w:themeColor="text1"/>
          <w:sz w:val="24"/>
          <w:szCs w:val="24"/>
        </w:rPr>
        <w:t>both the voucher-based and institutional licence models using the formula:</w:t>
      </w:r>
    </w:p>
    <w:p w14:paraId="43AD0F50" w14:textId="2D7193F0" w:rsidR="004942B6" w:rsidRPr="00070485" w:rsidRDefault="004942B6" w:rsidP="004942B6">
      <w:pPr>
        <w:spacing w:line="360" w:lineRule="auto"/>
        <w:jc w:val="both"/>
        <w:rPr>
          <w:rFonts w:ascii="Arial" w:hAnsi="Arial" w:cs="Arial"/>
          <w:sz w:val="24"/>
          <w:szCs w:val="24"/>
          <w:vertAlign w:val="subscript"/>
        </w:rPr>
      </w:pPr>
      <w:r w:rsidRPr="00070485">
        <w:rPr>
          <w:rFonts w:ascii="Arial" w:hAnsi="Arial" w:cs="Arial"/>
          <w:sz w:val="24"/>
          <w:szCs w:val="24"/>
        </w:rPr>
        <w:t xml:space="preserve">             Cost of intervention</w:t>
      </w:r>
      <w:r w:rsidR="00E83CC7">
        <w:rPr>
          <w:rFonts w:ascii="Arial" w:hAnsi="Arial" w:cs="Arial"/>
          <w:sz w:val="24"/>
          <w:szCs w:val="24"/>
        </w:rPr>
        <w:t xml:space="preserve"> </w:t>
      </w:r>
      <w:r w:rsidR="00E83CC7">
        <w:rPr>
          <w:rFonts w:ascii="Arial" w:hAnsi="Arial" w:cs="Arial"/>
          <w:sz w:val="24"/>
          <w:szCs w:val="24"/>
          <w:vertAlign w:val="subscript"/>
        </w:rPr>
        <w:t>CAG</w:t>
      </w:r>
      <w:r w:rsidR="00E83CC7" w:rsidRPr="00070485">
        <w:rPr>
          <w:rFonts w:ascii="Arial" w:hAnsi="Arial" w:cs="Arial"/>
          <w:sz w:val="24"/>
          <w:szCs w:val="24"/>
        </w:rPr>
        <w:t xml:space="preserve"> </w:t>
      </w:r>
      <w:r w:rsidR="00E83CC7">
        <w:rPr>
          <w:rFonts w:ascii="Arial" w:hAnsi="Arial" w:cs="Arial"/>
          <w:sz w:val="24"/>
          <w:szCs w:val="24"/>
        </w:rPr>
        <w:t xml:space="preserve"> –  </w:t>
      </w:r>
      <w:r w:rsidRPr="00070485">
        <w:rPr>
          <w:rFonts w:ascii="Arial" w:hAnsi="Arial" w:cs="Arial"/>
          <w:sz w:val="24"/>
          <w:szCs w:val="24"/>
        </w:rPr>
        <w:t xml:space="preserve">Cost of intervention </w:t>
      </w:r>
      <w:r w:rsidR="00E83CC7">
        <w:rPr>
          <w:rFonts w:ascii="Arial" w:hAnsi="Arial" w:cs="Arial"/>
          <w:sz w:val="24"/>
          <w:szCs w:val="24"/>
          <w:vertAlign w:val="subscript"/>
        </w:rPr>
        <w:t>vFFR</w:t>
      </w:r>
    </w:p>
    <w:p w14:paraId="61313658" w14:textId="6DD6E97B" w:rsidR="004942B6" w:rsidRPr="00070485" w:rsidRDefault="004942B6" w:rsidP="004942B6">
      <w:pPr>
        <w:spacing w:line="360" w:lineRule="auto"/>
        <w:jc w:val="both"/>
        <w:rPr>
          <w:rFonts w:ascii="Arial" w:hAnsi="Arial" w:cs="Arial"/>
          <w:sz w:val="24"/>
          <w:szCs w:val="24"/>
        </w:rPr>
      </w:pPr>
      <w:r w:rsidRPr="00070485">
        <w:rPr>
          <w:rFonts w:ascii="Arial" w:hAnsi="Arial" w:cs="Arial"/>
          <w:sz w:val="24"/>
          <w:szCs w:val="24"/>
        </w:rPr>
        <w:t>ICER = ---------------------------------------------------------------</w:t>
      </w:r>
      <w:r w:rsidR="00E83CC7">
        <w:rPr>
          <w:rFonts w:ascii="Arial" w:hAnsi="Arial" w:cs="Arial"/>
          <w:sz w:val="24"/>
          <w:szCs w:val="24"/>
        </w:rPr>
        <w:t>-----</w:t>
      </w:r>
    </w:p>
    <w:p w14:paraId="37FEB658" w14:textId="419345D8" w:rsidR="004942B6" w:rsidRPr="009A7AE4" w:rsidRDefault="004942B6" w:rsidP="004942B6">
      <w:pPr>
        <w:spacing w:line="360" w:lineRule="auto"/>
        <w:jc w:val="both"/>
        <w:rPr>
          <w:rFonts w:ascii="Arial" w:hAnsi="Arial" w:cs="Arial"/>
          <w:sz w:val="24"/>
          <w:szCs w:val="24"/>
          <w:vertAlign w:val="subscript"/>
        </w:rPr>
      </w:pPr>
      <w:r w:rsidRPr="00070485">
        <w:rPr>
          <w:rFonts w:ascii="Arial" w:hAnsi="Arial" w:cs="Arial"/>
          <w:sz w:val="24"/>
          <w:szCs w:val="24"/>
        </w:rPr>
        <w:t xml:space="preserve">            QALY of intervention</w:t>
      </w:r>
      <w:r w:rsidR="00E83CC7">
        <w:rPr>
          <w:rFonts w:ascii="Arial" w:hAnsi="Arial" w:cs="Arial"/>
          <w:sz w:val="24"/>
          <w:szCs w:val="24"/>
        </w:rPr>
        <w:t xml:space="preserve"> </w:t>
      </w:r>
      <w:r w:rsidR="00E83CC7">
        <w:rPr>
          <w:rFonts w:ascii="Arial" w:hAnsi="Arial" w:cs="Arial"/>
          <w:sz w:val="24"/>
          <w:szCs w:val="24"/>
          <w:vertAlign w:val="subscript"/>
        </w:rPr>
        <w:t xml:space="preserve">CAG </w:t>
      </w:r>
      <w:r w:rsidRPr="00070485">
        <w:rPr>
          <w:rFonts w:ascii="Arial" w:hAnsi="Arial" w:cs="Arial"/>
          <w:sz w:val="24"/>
          <w:szCs w:val="24"/>
        </w:rPr>
        <w:t xml:space="preserve"> – </w:t>
      </w:r>
      <w:r w:rsidR="00E83CC7">
        <w:rPr>
          <w:rFonts w:ascii="Arial" w:hAnsi="Arial" w:cs="Arial"/>
          <w:sz w:val="24"/>
          <w:szCs w:val="24"/>
        </w:rPr>
        <w:t xml:space="preserve"> </w:t>
      </w:r>
      <w:r w:rsidRPr="00070485">
        <w:rPr>
          <w:rFonts w:ascii="Arial" w:hAnsi="Arial" w:cs="Arial"/>
          <w:sz w:val="24"/>
          <w:szCs w:val="24"/>
        </w:rPr>
        <w:t xml:space="preserve">QALY of intervention </w:t>
      </w:r>
      <w:r w:rsidR="00E83CC7">
        <w:rPr>
          <w:rFonts w:ascii="Arial" w:hAnsi="Arial" w:cs="Arial"/>
          <w:sz w:val="24"/>
          <w:szCs w:val="24"/>
          <w:vertAlign w:val="subscript"/>
        </w:rPr>
        <w:t>vFFR</w:t>
      </w:r>
    </w:p>
    <w:p w14:paraId="1B258535" w14:textId="25DD2254" w:rsidR="00FF4E0E" w:rsidRDefault="00FF4E0E" w:rsidP="00A57394">
      <w:pPr>
        <w:spacing w:line="360" w:lineRule="auto"/>
        <w:jc w:val="both"/>
        <w:rPr>
          <w:rFonts w:ascii="Arial" w:hAnsi="Arial" w:cs="Arial"/>
          <w:color w:val="000000" w:themeColor="text1"/>
          <w:sz w:val="24"/>
          <w:szCs w:val="24"/>
        </w:rPr>
      </w:pPr>
      <w:r w:rsidRPr="00FF4E0E">
        <w:rPr>
          <w:rFonts w:ascii="Arial" w:hAnsi="Arial" w:cs="Arial"/>
          <w:color w:val="000000" w:themeColor="text1"/>
          <w:sz w:val="24"/>
          <w:szCs w:val="24"/>
        </w:rPr>
        <w:t xml:space="preserve">The total cost of the CAG-based plans and the virtual changes in management plans with vFFR were estimated using the NHS tariffs for 2022-23. QALYs were calculated </w:t>
      </w:r>
      <w:r w:rsidRPr="00FF4E0E">
        <w:rPr>
          <w:rFonts w:ascii="Arial" w:hAnsi="Arial" w:cs="Arial"/>
          <w:color w:val="000000" w:themeColor="text1"/>
          <w:sz w:val="24"/>
          <w:szCs w:val="24"/>
        </w:rPr>
        <w:lastRenderedPageBreak/>
        <w:t>for one year based on EQ-index scores, which were derived from five domains: mobility, self-care, usual activity, pain/discomfort, and anxiety/depression. Each domain's isolated score was combined to produce a single digit number. This number was then subtracted from '1' to provide the 'utility'. Since QALYs were calculated for one year, the 'utility' values were directly converted to QALYs.</w:t>
      </w:r>
      <w:r>
        <w:rPr>
          <w:rFonts w:ascii="Arial" w:hAnsi="Arial" w:cs="Arial"/>
          <w:color w:val="000000" w:themeColor="text1"/>
          <w:sz w:val="24"/>
          <w:szCs w:val="24"/>
        </w:rPr>
        <w:t xml:space="preserve"> The ICER was calculated by subtracting the total cost of CAG-based treatment plans from the vFFR-based treatment plans and by subtracting the total QALYs gained by CAG-based plans from the QALYs gained by vFFR-based plans. </w:t>
      </w:r>
      <w:r w:rsidR="003C72BD">
        <w:rPr>
          <w:rFonts w:ascii="Arial" w:hAnsi="Arial" w:cs="Arial"/>
          <w:color w:val="000000" w:themeColor="text1"/>
          <w:sz w:val="24"/>
          <w:szCs w:val="24"/>
        </w:rPr>
        <w:t xml:space="preserve">The ICERs were estimated for both the voucher-based and institution-based cost of vFFR licence, considering from low to high tariffs to indicate if they were below the WTP threshold. </w:t>
      </w:r>
      <w:r>
        <w:rPr>
          <w:rFonts w:ascii="Arial" w:hAnsi="Arial" w:cs="Arial"/>
          <w:color w:val="000000" w:themeColor="text1"/>
          <w:sz w:val="24"/>
          <w:szCs w:val="24"/>
        </w:rPr>
        <w:t xml:space="preserve"> </w:t>
      </w:r>
    </w:p>
    <w:p w14:paraId="41A628C8" w14:textId="7ECF8A86" w:rsidR="004942B6" w:rsidRDefault="004942B6" w:rsidP="00A57394">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The ICERs for the three-tier “voucher-based” licence cost of vFFR @ £50, @ £100, and @ £200 were £2803, £4077, and £6626 per QALY gained, respectively. The corresponding numbers for “institution-based” per-annum licence cost of vFFR @ £20000, @ £30000, and £50000 were £4077, £5352, and £7901</w:t>
      </w:r>
      <w:r w:rsidR="00A57394">
        <w:rPr>
          <w:rFonts w:ascii="Arial" w:hAnsi="Arial" w:cs="Arial"/>
          <w:color w:val="000000" w:themeColor="text1"/>
          <w:sz w:val="24"/>
          <w:szCs w:val="24"/>
        </w:rPr>
        <w:t xml:space="preserve"> per QALY</w:t>
      </w:r>
      <w:r>
        <w:rPr>
          <w:rFonts w:ascii="Arial" w:hAnsi="Arial" w:cs="Arial"/>
          <w:color w:val="000000" w:themeColor="text1"/>
          <w:sz w:val="24"/>
          <w:szCs w:val="24"/>
        </w:rPr>
        <w:t xml:space="preserve">, respectively, all of which are below the willingness-to-pay (WTP) threshold of £20,000 for the UK. The ICERs for the proposed voucher-based and institutional licences have been shown in Figures </w:t>
      </w:r>
      <w:r w:rsidR="00D92CB5">
        <w:rPr>
          <w:rFonts w:ascii="Arial" w:hAnsi="Arial" w:cs="Arial"/>
          <w:color w:val="000000" w:themeColor="text1"/>
          <w:sz w:val="24"/>
          <w:szCs w:val="24"/>
        </w:rPr>
        <w:t>6</w:t>
      </w:r>
      <w:r w:rsidR="001823B4">
        <w:rPr>
          <w:rFonts w:ascii="Arial" w:hAnsi="Arial" w:cs="Arial"/>
          <w:color w:val="000000" w:themeColor="text1"/>
          <w:sz w:val="24"/>
          <w:szCs w:val="24"/>
        </w:rPr>
        <w:t>4</w:t>
      </w:r>
      <w:r>
        <w:rPr>
          <w:rFonts w:ascii="Arial" w:hAnsi="Arial" w:cs="Arial"/>
          <w:color w:val="000000" w:themeColor="text1"/>
          <w:sz w:val="24"/>
          <w:szCs w:val="24"/>
        </w:rPr>
        <w:t xml:space="preserve"> and </w:t>
      </w:r>
      <w:r w:rsidR="003931C3">
        <w:rPr>
          <w:rFonts w:ascii="Arial" w:hAnsi="Arial" w:cs="Arial"/>
          <w:color w:val="000000" w:themeColor="text1"/>
          <w:sz w:val="24"/>
          <w:szCs w:val="24"/>
        </w:rPr>
        <w:t>6</w:t>
      </w:r>
      <w:r w:rsidR="001823B4">
        <w:rPr>
          <w:rFonts w:ascii="Arial" w:hAnsi="Arial" w:cs="Arial"/>
          <w:color w:val="000000" w:themeColor="text1"/>
          <w:sz w:val="24"/>
          <w:szCs w:val="24"/>
        </w:rPr>
        <w:t>5</w:t>
      </w:r>
      <w:r>
        <w:rPr>
          <w:rFonts w:ascii="Arial" w:hAnsi="Arial" w:cs="Arial"/>
          <w:color w:val="000000" w:themeColor="text1"/>
          <w:sz w:val="24"/>
          <w:szCs w:val="24"/>
        </w:rPr>
        <w:t xml:space="preserve">.  </w:t>
      </w:r>
    </w:p>
    <w:p w14:paraId="1E776031" w14:textId="77777777" w:rsidR="004942B6" w:rsidRDefault="004942B6" w:rsidP="004942B6">
      <w:pPr>
        <w:rPr>
          <w:color w:val="000000" w:themeColor="text1"/>
        </w:rPr>
      </w:pPr>
    </w:p>
    <w:p w14:paraId="64B201FA" w14:textId="77777777" w:rsidR="004942B6" w:rsidRDefault="004942B6" w:rsidP="004942B6">
      <w:pPr>
        <w:keepNext/>
      </w:pPr>
      <w:r>
        <w:rPr>
          <w:noProof/>
          <w:lang w:eastAsia="en-GB"/>
        </w:rPr>
        <w:lastRenderedPageBreak/>
        <w:drawing>
          <wp:inline distT="0" distB="0" distL="0" distR="0" wp14:anchorId="4EC646B1" wp14:editId="2792D496">
            <wp:extent cx="5983602" cy="4269719"/>
            <wp:effectExtent l="0" t="0" r="0" b="0"/>
            <wp:docPr id="1628880213" name="Picture 2"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80213" name="Picture 2" descr="A screen shot of a graph&#10;&#10;Description automatically generated"/>
                    <pic:cNvPicPr/>
                  </pic:nvPicPr>
                  <pic:blipFill rotWithShape="1">
                    <a:blip r:embed="rId96" cstate="print">
                      <a:extLst>
                        <a:ext uri="{28A0092B-C50C-407E-A947-70E740481C1C}">
                          <a14:useLocalDpi xmlns:a14="http://schemas.microsoft.com/office/drawing/2010/main" val="0"/>
                        </a:ext>
                      </a:extLst>
                    </a:blip>
                    <a:srcRect l="5803" t="5087" r="5321" b="4311"/>
                    <a:stretch/>
                  </pic:blipFill>
                  <pic:spPr bwMode="auto">
                    <a:xfrm>
                      <a:off x="0" y="0"/>
                      <a:ext cx="5992494" cy="4276064"/>
                    </a:xfrm>
                    <a:prstGeom prst="rect">
                      <a:avLst/>
                    </a:prstGeom>
                    <a:ln>
                      <a:noFill/>
                    </a:ln>
                    <a:extLst>
                      <a:ext uri="{53640926-AAD7-44D8-BBD7-CCE9431645EC}">
                        <a14:shadowObscured xmlns:a14="http://schemas.microsoft.com/office/drawing/2010/main"/>
                      </a:ext>
                    </a:extLst>
                  </pic:spPr>
                </pic:pic>
              </a:graphicData>
            </a:graphic>
          </wp:inline>
        </w:drawing>
      </w:r>
    </w:p>
    <w:p w14:paraId="1C02CD48" w14:textId="2447DAC0" w:rsidR="004942B6" w:rsidRPr="00F65D4F" w:rsidRDefault="004942B6" w:rsidP="004942B6">
      <w:pPr>
        <w:pStyle w:val="Caption"/>
        <w:jc w:val="both"/>
        <w:rPr>
          <w:rFonts w:ascii="Arial" w:hAnsi="Arial" w:cs="Arial"/>
          <w:color w:val="auto"/>
          <w:sz w:val="20"/>
          <w:szCs w:val="20"/>
        </w:rPr>
      </w:pPr>
      <w:bookmarkStart w:id="1432" w:name="_Toc151222867"/>
      <w:bookmarkStart w:id="1433" w:name="_Toc151626707"/>
      <w:bookmarkStart w:id="1434" w:name="_Toc152340503"/>
      <w:bookmarkStart w:id="1435" w:name="_Toc152492296"/>
      <w:bookmarkStart w:id="1436" w:name="_Toc152596984"/>
      <w:bookmarkStart w:id="1437" w:name="_Toc153409691"/>
      <w:bookmarkStart w:id="1438" w:name="_Toc153724938"/>
      <w:bookmarkStart w:id="1439" w:name="_Toc159318532"/>
      <w:bookmarkStart w:id="1440" w:name="_Toc159612059"/>
      <w:bookmarkStart w:id="1441" w:name="_Toc160982710"/>
      <w:bookmarkStart w:id="1442" w:name="_Toc164697536"/>
      <w:bookmarkStart w:id="1443" w:name="_Toc170744624"/>
      <w:bookmarkStart w:id="1444" w:name="_Toc196153256"/>
      <w:r w:rsidRPr="00383BDE">
        <w:rPr>
          <w:rFonts w:ascii="Arial" w:hAnsi="Arial" w:cs="Arial"/>
          <w:b/>
          <w:bCs/>
          <w:color w:val="auto"/>
          <w:sz w:val="20"/>
          <w:szCs w:val="20"/>
        </w:rPr>
        <w:t xml:space="preserve">Figure </w:t>
      </w:r>
      <w:r w:rsidRPr="00383BDE">
        <w:rPr>
          <w:rFonts w:ascii="Arial" w:hAnsi="Arial" w:cs="Arial"/>
          <w:b/>
          <w:bCs/>
          <w:color w:val="auto"/>
          <w:sz w:val="20"/>
          <w:szCs w:val="20"/>
        </w:rPr>
        <w:fldChar w:fldCharType="begin"/>
      </w:r>
      <w:r w:rsidRPr="00383BDE">
        <w:rPr>
          <w:rFonts w:ascii="Arial" w:hAnsi="Arial" w:cs="Arial"/>
          <w:b/>
          <w:bCs/>
          <w:color w:val="auto"/>
          <w:sz w:val="20"/>
          <w:szCs w:val="20"/>
        </w:rPr>
        <w:instrText xml:space="preserve"> SEQ Figure \* ARABIC </w:instrText>
      </w:r>
      <w:r w:rsidRPr="00383BDE">
        <w:rPr>
          <w:rFonts w:ascii="Arial" w:hAnsi="Arial" w:cs="Arial"/>
          <w:b/>
          <w:bCs/>
          <w:color w:val="auto"/>
          <w:sz w:val="20"/>
          <w:szCs w:val="20"/>
        </w:rPr>
        <w:fldChar w:fldCharType="separate"/>
      </w:r>
      <w:r w:rsidR="001823B4">
        <w:rPr>
          <w:rFonts w:ascii="Arial" w:hAnsi="Arial" w:cs="Arial"/>
          <w:b/>
          <w:bCs/>
          <w:noProof/>
          <w:color w:val="auto"/>
          <w:sz w:val="20"/>
          <w:szCs w:val="20"/>
        </w:rPr>
        <w:t>64</w:t>
      </w:r>
      <w:r w:rsidRPr="00383BDE">
        <w:rPr>
          <w:rFonts w:ascii="Arial" w:hAnsi="Arial" w:cs="Arial"/>
          <w:b/>
          <w:bCs/>
          <w:color w:val="auto"/>
          <w:sz w:val="20"/>
          <w:szCs w:val="20"/>
        </w:rPr>
        <w:fldChar w:fldCharType="end"/>
      </w:r>
      <w:r w:rsidRPr="00F65D4F">
        <w:rPr>
          <w:rFonts w:ascii="Arial" w:hAnsi="Arial" w:cs="Arial"/>
          <w:color w:val="auto"/>
          <w:sz w:val="20"/>
          <w:szCs w:val="20"/>
        </w:rPr>
        <w:t xml:space="preserve">: ICER for the outcomes </w:t>
      </w:r>
      <w:r>
        <w:rPr>
          <w:rFonts w:ascii="Arial" w:hAnsi="Arial" w:cs="Arial"/>
          <w:color w:val="auto"/>
          <w:sz w:val="20"/>
          <w:szCs w:val="20"/>
        </w:rPr>
        <w:t>in</w:t>
      </w:r>
      <w:r w:rsidRPr="00F65D4F">
        <w:rPr>
          <w:rFonts w:ascii="Arial" w:hAnsi="Arial" w:cs="Arial"/>
          <w:color w:val="auto"/>
          <w:sz w:val="20"/>
          <w:szCs w:val="20"/>
        </w:rPr>
        <w:t xml:space="preserve"> the </w:t>
      </w:r>
      <w:r>
        <w:rPr>
          <w:rFonts w:ascii="Arial" w:hAnsi="Arial" w:cs="Arial"/>
          <w:color w:val="auto"/>
          <w:sz w:val="20"/>
          <w:szCs w:val="20"/>
        </w:rPr>
        <w:t>virtual change subset</w:t>
      </w:r>
      <w:r w:rsidRPr="00F65D4F">
        <w:rPr>
          <w:rFonts w:ascii="Arial" w:hAnsi="Arial" w:cs="Arial"/>
          <w:color w:val="auto"/>
          <w:sz w:val="20"/>
          <w:szCs w:val="20"/>
        </w:rPr>
        <w:t xml:space="preserve"> with a proposed </w:t>
      </w:r>
      <w:r>
        <w:rPr>
          <w:rFonts w:ascii="Arial" w:hAnsi="Arial" w:cs="Arial"/>
          <w:color w:val="auto"/>
          <w:sz w:val="20"/>
          <w:szCs w:val="20"/>
        </w:rPr>
        <w:t>three-tier</w:t>
      </w:r>
      <w:r w:rsidRPr="00F65D4F">
        <w:rPr>
          <w:rFonts w:ascii="Arial" w:hAnsi="Arial" w:cs="Arial"/>
          <w:color w:val="auto"/>
          <w:sz w:val="20"/>
          <w:szCs w:val="20"/>
        </w:rPr>
        <w:t xml:space="preserve"> annually renewable "voucher-based" </w:t>
      </w:r>
      <w:r>
        <w:rPr>
          <w:rFonts w:ascii="Arial" w:hAnsi="Arial" w:cs="Arial"/>
          <w:color w:val="auto"/>
          <w:sz w:val="20"/>
          <w:szCs w:val="20"/>
        </w:rPr>
        <w:t>licence</w:t>
      </w:r>
      <w:r w:rsidRPr="00F65D4F">
        <w:rPr>
          <w:rFonts w:ascii="Arial" w:hAnsi="Arial" w:cs="Arial"/>
          <w:color w:val="auto"/>
          <w:sz w:val="20"/>
          <w:szCs w:val="20"/>
        </w:rPr>
        <w:t xml:space="preserve"> cost of vFFR</w:t>
      </w:r>
      <w:bookmarkEnd w:id="1432"/>
      <w:bookmarkEnd w:id="1433"/>
      <w:bookmarkEnd w:id="1434"/>
      <w:bookmarkEnd w:id="1435"/>
      <w:bookmarkEnd w:id="1436"/>
      <w:bookmarkEnd w:id="1437"/>
      <w:bookmarkEnd w:id="1438"/>
      <w:r>
        <w:rPr>
          <w:rFonts w:ascii="Arial" w:hAnsi="Arial" w:cs="Arial"/>
          <w:color w:val="auto"/>
          <w:sz w:val="20"/>
          <w:szCs w:val="20"/>
        </w:rPr>
        <w:t>.</w:t>
      </w:r>
      <w:bookmarkEnd w:id="1439"/>
      <w:bookmarkEnd w:id="1440"/>
      <w:bookmarkEnd w:id="1441"/>
      <w:bookmarkEnd w:id="1442"/>
      <w:bookmarkEnd w:id="1443"/>
      <w:bookmarkEnd w:id="1444"/>
    </w:p>
    <w:p w14:paraId="328A077E" w14:textId="77777777" w:rsidR="004942B6" w:rsidRDefault="004942B6" w:rsidP="004942B6">
      <w:pPr>
        <w:rPr>
          <w:color w:val="000000" w:themeColor="text1"/>
        </w:rPr>
      </w:pPr>
    </w:p>
    <w:p w14:paraId="744E396C" w14:textId="77777777" w:rsidR="004942B6" w:rsidRDefault="004942B6" w:rsidP="004942B6">
      <w:pPr>
        <w:keepNext/>
      </w:pPr>
      <w:r>
        <w:rPr>
          <w:noProof/>
          <w:sz w:val="16"/>
          <w:szCs w:val="16"/>
          <w:lang w:eastAsia="en-GB"/>
        </w:rPr>
        <w:lastRenderedPageBreak/>
        <w:drawing>
          <wp:inline distT="0" distB="0" distL="0" distR="0" wp14:anchorId="46F241A1" wp14:editId="56CC8DBC">
            <wp:extent cx="5869735" cy="4473759"/>
            <wp:effectExtent l="0" t="0" r="0" b="3175"/>
            <wp:docPr id="254077716" name="Picture 3"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77716" name="Picture 3" descr="A graph with numbers and text&#10;&#10;Description automatically generated with medium confidence"/>
                    <pic:cNvPicPr/>
                  </pic:nvPicPr>
                  <pic:blipFill rotWithShape="1">
                    <a:blip r:embed="rId97" cstate="print">
                      <a:extLst>
                        <a:ext uri="{28A0092B-C50C-407E-A947-70E740481C1C}">
                          <a14:useLocalDpi xmlns:a14="http://schemas.microsoft.com/office/drawing/2010/main" val="0"/>
                        </a:ext>
                      </a:extLst>
                    </a:blip>
                    <a:srcRect l="2110" t="1507" r="7435"/>
                    <a:stretch/>
                  </pic:blipFill>
                  <pic:spPr bwMode="auto">
                    <a:xfrm>
                      <a:off x="0" y="0"/>
                      <a:ext cx="5873522" cy="4476646"/>
                    </a:xfrm>
                    <a:prstGeom prst="rect">
                      <a:avLst/>
                    </a:prstGeom>
                    <a:ln>
                      <a:noFill/>
                    </a:ln>
                    <a:extLst>
                      <a:ext uri="{53640926-AAD7-44D8-BBD7-CCE9431645EC}">
                        <a14:shadowObscured xmlns:a14="http://schemas.microsoft.com/office/drawing/2010/main"/>
                      </a:ext>
                    </a:extLst>
                  </pic:spPr>
                </pic:pic>
              </a:graphicData>
            </a:graphic>
          </wp:inline>
        </w:drawing>
      </w:r>
      <w:bookmarkStart w:id="1445" w:name="_Toc113975441"/>
    </w:p>
    <w:p w14:paraId="77FDDD77" w14:textId="54133453" w:rsidR="004942B6" w:rsidRDefault="004942B6" w:rsidP="004942B6">
      <w:pPr>
        <w:pStyle w:val="Caption"/>
        <w:jc w:val="both"/>
        <w:rPr>
          <w:rFonts w:ascii="Arial" w:hAnsi="Arial" w:cs="Arial"/>
          <w:color w:val="auto"/>
          <w:sz w:val="20"/>
          <w:szCs w:val="20"/>
        </w:rPr>
      </w:pPr>
      <w:bookmarkStart w:id="1446" w:name="_Toc151222868"/>
      <w:bookmarkStart w:id="1447" w:name="_Toc151626708"/>
      <w:bookmarkStart w:id="1448" w:name="_Toc152340504"/>
      <w:bookmarkStart w:id="1449" w:name="_Toc152492297"/>
      <w:bookmarkStart w:id="1450" w:name="_Toc152596985"/>
      <w:bookmarkStart w:id="1451" w:name="_Toc153409692"/>
      <w:bookmarkStart w:id="1452" w:name="_Toc153724939"/>
      <w:bookmarkStart w:id="1453" w:name="_Toc159318533"/>
      <w:bookmarkStart w:id="1454" w:name="_Toc159612060"/>
      <w:bookmarkStart w:id="1455" w:name="_Toc160982711"/>
      <w:bookmarkStart w:id="1456" w:name="_Toc164697537"/>
      <w:bookmarkStart w:id="1457" w:name="_Toc170744625"/>
      <w:bookmarkStart w:id="1458" w:name="_Toc196153257"/>
      <w:r w:rsidRPr="00383BDE">
        <w:rPr>
          <w:rFonts w:ascii="Arial" w:hAnsi="Arial" w:cs="Arial"/>
          <w:b/>
          <w:bCs/>
          <w:color w:val="auto"/>
          <w:sz w:val="20"/>
          <w:szCs w:val="20"/>
        </w:rPr>
        <w:t xml:space="preserve">Figure </w:t>
      </w:r>
      <w:r w:rsidRPr="00383BDE">
        <w:rPr>
          <w:rFonts w:ascii="Arial" w:hAnsi="Arial" w:cs="Arial"/>
          <w:b/>
          <w:bCs/>
          <w:color w:val="auto"/>
          <w:sz w:val="20"/>
          <w:szCs w:val="20"/>
        </w:rPr>
        <w:fldChar w:fldCharType="begin"/>
      </w:r>
      <w:r w:rsidRPr="00383BDE">
        <w:rPr>
          <w:rFonts w:ascii="Arial" w:hAnsi="Arial" w:cs="Arial"/>
          <w:b/>
          <w:bCs/>
          <w:color w:val="auto"/>
          <w:sz w:val="20"/>
          <w:szCs w:val="20"/>
        </w:rPr>
        <w:instrText xml:space="preserve"> SEQ Figure \* ARABIC </w:instrText>
      </w:r>
      <w:r w:rsidRPr="00383BDE">
        <w:rPr>
          <w:rFonts w:ascii="Arial" w:hAnsi="Arial" w:cs="Arial"/>
          <w:b/>
          <w:bCs/>
          <w:color w:val="auto"/>
          <w:sz w:val="20"/>
          <w:szCs w:val="20"/>
        </w:rPr>
        <w:fldChar w:fldCharType="separate"/>
      </w:r>
      <w:r w:rsidR="001823B4">
        <w:rPr>
          <w:rFonts w:ascii="Arial" w:hAnsi="Arial" w:cs="Arial"/>
          <w:b/>
          <w:bCs/>
          <w:noProof/>
          <w:color w:val="auto"/>
          <w:sz w:val="20"/>
          <w:szCs w:val="20"/>
        </w:rPr>
        <w:t>65</w:t>
      </w:r>
      <w:r w:rsidRPr="00383BDE">
        <w:rPr>
          <w:rFonts w:ascii="Arial" w:hAnsi="Arial" w:cs="Arial"/>
          <w:b/>
          <w:bCs/>
          <w:color w:val="auto"/>
          <w:sz w:val="20"/>
          <w:szCs w:val="20"/>
        </w:rPr>
        <w:fldChar w:fldCharType="end"/>
      </w:r>
      <w:r w:rsidRPr="00F65D4F">
        <w:rPr>
          <w:rFonts w:ascii="Arial" w:hAnsi="Arial" w:cs="Arial"/>
          <w:color w:val="auto"/>
          <w:sz w:val="20"/>
          <w:szCs w:val="20"/>
        </w:rPr>
        <w:t xml:space="preserve">: ICER for the outcomes </w:t>
      </w:r>
      <w:r>
        <w:rPr>
          <w:rFonts w:ascii="Arial" w:hAnsi="Arial" w:cs="Arial"/>
          <w:color w:val="auto"/>
          <w:sz w:val="20"/>
          <w:szCs w:val="20"/>
        </w:rPr>
        <w:t>in</w:t>
      </w:r>
      <w:r w:rsidRPr="00F65D4F">
        <w:rPr>
          <w:rFonts w:ascii="Arial" w:hAnsi="Arial" w:cs="Arial"/>
          <w:color w:val="auto"/>
          <w:sz w:val="20"/>
          <w:szCs w:val="20"/>
        </w:rPr>
        <w:t xml:space="preserve"> the </w:t>
      </w:r>
      <w:r>
        <w:rPr>
          <w:rFonts w:ascii="Arial" w:hAnsi="Arial" w:cs="Arial"/>
          <w:color w:val="auto"/>
          <w:sz w:val="20"/>
          <w:szCs w:val="20"/>
        </w:rPr>
        <w:t>virtual change subset</w:t>
      </w:r>
      <w:r w:rsidRPr="00F65D4F">
        <w:rPr>
          <w:rFonts w:ascii="Arial" w:hAnsi="Arial" w:cs="Arial"/>
          <w:color w:val="auto"/>
          <w:sz w:val="20"/>
          <w:szCs w:val="20"/>
        </w:rPr>
        <w:t xml:space="preserve"> with a proposed </w:t>
      </w:r>
      <w:r>
        <w:rPr>
          <w:rFonts w:ascii="Arial" w:hAnsi="Arial" w:cs="Arial"/>
          <w:color w:val="auto"/>
          <w:sz w:val="20"/>
          <w:szCs w:val="20"/>
        </w:rPr>
        <w:t>three-tier</w:t>
      </w:r>
      <w:r w:rsidRPr="00F65D4F">
        <w:rPr>
          <w:rFonts w:ascii="Arial" w:hAnsi="Arial" w:cs="Arial"/>
          <w:color w:val="auto"/>
          <w:sz w:val="20"/>
          <w:szCs w:val="20"/>
        </w:rPr>
        <w:t xml:space="preserve"> annually renewable "institutional" </w:t>
      </w:r>
      <w:r>
        <w:rPr>
          <w:rFonts w:ascii="Arial" w:hAnsi="Arial" w:cs="Arial"/>
          <w:color w:val="auto"/>
          <w:sz w:val="20"/>
          <w:szCs w:val="20"/>
        </w:rPr>
        <w:t>licence</w:t>
      </w:r>
      <w:r w:rsidRPr="00F65D4F">
        <w:rPr>
          <w:rFonts w:ascii="Arial" w:hAnsi="Arial" w:cs="Arial"/>
          <w:color w:val="auto"/>
          <w:sz w:val="20"/>
          <w:szCs w:val="20"/>
        </w:rPr>
        <w:t xml:space="preserve"> cost of vFFR</w:t>
      </w:r>
      <w:bookmarkEnd w:id="1446"/>
      <w:bookmarkEnd w:id="1447"/>
      <w:bookmarkEnd w:id="1448"/>
      <w:bookmarkEnd w:id="1449"/>
      <w:bookmarkEnd w:id="1450"/>
      <w:bookmarkEnd w:id="1451"/>
      <w:bookmarkEnd w:id="1452"/>
      <w:r>
        <w:rPr>
          <w:rFonts w:ascii="Arial" w:hAnsi="Arial" w:cs="Arial"/>
          <w:color w:val="auto"/>
          <w:sz w:val="20"/>
          <w:szCs w:val="20"/>
        </w:rPr>
        <w:t>.</w:t>
      </w:r>
      <w:bookmarkEnd w:id="1453"/>
      <w:bookmarkEnd w:id="1454"/>
      <w:bookmarkEnd w:id="1455"/>
      <w:bookmarkEnd w:id="1456"/>
      <w:bookmarkEnd w:id="1457"/>
      <w:bookmarkEnd w:id="1458"/>
    </w:p>
    <w:p w14:paraId="2BC52A6F" w14:textId="77777777" w:rsidR="00A93C75" w:rsidRDefault="00A93C75" w:rsidP="00A93C75"/>
    <w:p w14:paraId="1962DE89" w14:textId="77777777" w:rsidR="00A93C75" w:rsidRDefault="00A93C75" w:rsidP="00A93C75"/>
    <w:p w14:paraId="0A09CB8F" w14:textId="77777777" w:rsidR="00A93C75" w:rsidRDefault="00A93C75" w:rsidP="00A93C75"/>
    <w:p w14:paraId="59FF7226" w14:textId="77777777" w:rsidR="00A93C75" w:rsidRDefault="00A93C75" w:rsidP="00A93C75"/>
    <w:p w14:paraId="1E56555F" w14:textId="77777777" w:rsidR="00A93C75" w:rsidRDefault="00A93C75" w:rsidP="00A93C75"/>
    <w:p w14:paraId="3F9E8E00" w14:textId="77777777" w:rsidR="00A93C75" w:rsidRDefault="00A93C75" w:rsidP="00A93C75"/>
    <w:p w14:paraId="28FD4F15" w14:textId="77777777" w:rsidR="00A93C75" w:rsidRDefault="00A93C75" w:rsidP="00A93C75"/>
    <w:p w14:paraId="66A6C410" w14:textId="77777777" w:rsidR="00A93C75" w:rsidRDefault="00A93C75" w:rsidP="00A93C75"/>
    <w:p w14:paraId="48E5AFF1" w14:textId="77777777" w:rsidR="00A93C75" w:rsidRDefault="00A93C75" w:rsidP="00A93C75"/>
    <w:p w14:paraId="46338E90" w14:textId="77777777" w:rsidR="00A93C75" w:rsidRDefault="00A93C75" w:rsidP="00A93C75"/>
    <w:p w14:paraId="4BFF3F64" w14:textId="77777777" w:rsidR="00A93C75" w:rsidRDefault="00A93C75" w:rsidP="00A93C75"/>
    <w:p w14:paraId="12EBC711" w14:textId="77777777" w:rsidR="00A93C75" w:rsidRPr="00A93C75" w:rsidRDefault="00A93C75" w:rsidP="00A93C75"/>
    <w:p w14:paraId="451649BC" w14:textId="77777777" w:rsidR="004942B6" w:rsidRPr="00EB4938" w:rsidRDefault="004942B6" w:rsidP="004942B6">
      <w:pPr>
        <w:pStyle w:val="Heading1"/>
        <w:rPr>
          <w:rFonts w:ascii="Arial" w:hAnsi="Arial" w:cs="Arial"/>
          <w:b/>
          <w:bCs/>
          <w:color w:val="4472C4" w:themeColor="accent1"/>
        </w:rPr>
      </w:pPr>
      <w:bookmarkStart w:id="1459" w:name="_Toc171203948"/>
      <w:bookmarkStart w:id="1460" w:name="_Hlk170496984"/>
      <w:bookmarkEnd w:id="1445"/>
      <w:r w:rsidRPr="00EB4938">
        <w:rPr>
          <w:rFonts w:ascii="Arial" w:hAnsi="Arial" w:cs="Arial"/>
          <w:b/>
          <w:bCs/>
          <w:color w:val="4472C4" w:themeColor="accent1"/>
        </w:rPr>
        <w:lastRenderedPageBreak/>
        <w:t>4. Discussion</w:t>
      </w:r>
      <w:bookmarkEnd w:id="1459"/>
    </w:p>
    <w:p w14:paraId="03177BEE" w14:textId="77777777" w:rsidR="004942B6" w:rsidRPr="00B10B97" w:rsidRDefault="004942B6" w:rsidP="004942B6"/>
    <w:p w14:paraId="36FA09A4" w14:textId="77777777" w:rsidR="004942B6" w:rsidRPr="00545CB2" w:rsidRDefault="004942B6" w:rsidP="00545CB2">
      <w:pPr>
        <w:pStyle w:val="Heading2"/>
        <w:rPr>
          <w:rFonts w:ascii="Arial" w:hAnsi="Arial" w:cs="Arial"/>
          <w:color w:val="4472C4" w:themeColor="accent1"/>
          <w:sz w:val="28"/>
          <w:szCs w:val="28"/>
        </w:rPr>
      </w:pPr>
      <w:bookmarkStart w:id="1461" w:name="_Toc171203949"/>
      <w:r w:rsidRPr="00545CB2">
        <w:rPr>
          <w:rFonts w:ascii="Arial" w:hAnsi="Arial" w:cs="Arial"/>
          <w:color w:val="4472C4" w:themeColor="accent1"/>
          <w:sz w:val="28"/>
          <w:szCs w:val="28"/>
        </w:rPr>
        <w:t>4.1 Summary of results</w:t>
      </w:r>
      <w:bookmarkEnd w:id="1461"/>
    </w:p>
    <w:p w14:paraId="49B80E33" w14:textId="6DC09B0A" w:rsidR="004E3DF3" w:rsidRDefault="00462C51" w:rsidP="007C2CD0">
      <w:pPr>
        <w:spacing w:after="0" w:line="360" w:lineRule="auto"/>
        <w:jc w:val="both"/>
        <w:rPr>
          <w:rFonts w:ascii="Arial" w:hAnsi="Arial" w:cs="Arial"/>
          <w:color w:val="0E101A"/>
          <w:shd w:val="clear" w:color="auto" w:fill="FFFFFF"/>
        </w:rPr>
      </w:pPr>
      <w:r w:rsidRPr="00462C51">
        <w:rPr>
          <w:rFonts w:ascii="Arial" w:eastAsia="Times New Roman" w:hAnsi="Arial" w:cs="Arial"/>
          <w:color w:val="0E101A"/>
          <w:sz w:val="24"/>
          <w:szCs w:val="24"/>
          <w:lang w:eastAsia="en-GB"/>
          <w14:ligatures w14:val="none"/>
        </w:rPr>
        <w:t xml:space="preserve">In this study, I have demonstrated the potential clinical and economic impact of vFFR </w:t>
      </w:r>
      <w:r w:rsidR="00B250C5">
        <w:rPr>
          <w:rFonts w:ascii="Arial" w:eastAsia="Times New Roman" w:hAnsi="Arial" w:cs="Arial"/>
          <w:color w:val="0E101A"/>
          <w:sz w:val="24"/>
          <w:szCs w:val="24"/>
          <w:lang w:eastAsia="en-GB"/>
          <w14:ligatures w14:val="none"/>
        </w:rPr>
        <w:t>up</w:t>
      </w:r>
      <w:r w:rsidRPr="00462C51">
        <w:rPr>
          <w:rFonts w:ascii="Arial" w:eastAsia="Times New Roman" w:hAnsi="Arial" w:cs="Arial"/>
          <w:color w:val="0E101A"/>
          <w:sz w:val="24"/>
          <w:szCs w:val="24"/>
          <w:lang w:eastAsia="en-GB"/>
          <w14:ligatures w14:val="none"/>
        </w:rPr>
        <w:t>on CAD management in ‘real world’ clinical practice. The data from VIRTU-4 were analysed in 266 patients (180 ACS and 86 CCS patients) for a follow-up duration of one year. There were seven deaths, five MIs, and three strokes. In the ACS cohort, there were 32 cardiac cause-driven hospital re-admissions, of which 29 (91%) were acute, and three (9%) were elective, compared to the CCS cohort, which had 25 cardiac re-admissions (16 acute (64%) and nine elective (35%)). Five</w:t>
      </w:r>
      <w:r w:rsidR="000F7E20">
        <w:rPr>
          <w:rFonts w:ascii="Arial" w:eastAsia="Times New Roman" w:hAnsi="Arial" w:cs="Arial"/>
          <w:color w:val="0E101A"/>
          <w:sz w:val="24"/>
          <w:szCs w:val="24"/>
          <w:lang w:eastAsia="en-GB"/>
          <w14:ligatures w14:val="none"/>
        </w:rPr>
        <w:t xml:space="preserve"> (2.7%)</w:t>
      </w:r>
      <w:r w:rsidRPr="00462C51">
        <w:rPr>
          <w:rFonts w:ascii="Arial" w:eastAsia="Times New Roman" w:hAnsi="Arial" w:cs="Arial"/>
          <w:color w:val="0E101A"/>
          <w:sz w:val="24"/>
          <w:szCs w:val="24"/>
          <w:lang w:eastAsia="en-GB"/>
          <w14:ligatures w14:val="none"/>
        </w:rPr>
        <w:t xml:space="preserve"> repeat revascularisations were performed in the ACS and seven </w:t>
      </w:r>
      <w:r w:rsidR="000F7E20">
        <w:rPr>
          <w:rFonts w:ascii="Arial" w:eastAsia="Times New Roman" w:hAnsi="Arial" w:cs="Arial"/>
          <w:color w:val="0E101A"/>
          <w:sz w:val="24"/>
          <w:szCs w:val="24"/>
          <w:lang w:eastAsia="en-GB"/>
          <w14:ligatures w14:val="none"/>
        </w:rPr>
        <w:t xml:space="preserve">(8.1%) </w:t>
      </w:r>
      <w:r w:rsidRPr="00462C51">
        <w:rPr>
          <w:rFonts w:ascii="Arial" w:eastAsia="Times New Roman" w:hAnsi="Arial" w:cs="Arial"/>
          <w:color w:val="0E101A"/>
          <w:sz w:val="24"/>
          <w:szCs w:val="24"/>
          <w:lang w:eastAsia="en-GB"/>
          <w14:ligatures w14:val="none"/>
        </w:rPr>
        <w:t xml:space="preserve">in the CCS cohort. </w:t>
      </w:r>
      <w:r w:rsidR="00CC0CEA" w:rsidRPr="00CC0CEA">
        <w:rPr>
          <w:rFonts w:ascii="Arial" w:hAnsi="Arial" w:cs="Arial"/>
          <w:color w:val="0E101A"/>
          <w:sz w:val="24"/>
          <w:szCs w:val="24"/>
          <w:shd w:val="clear" w:color="auto" w:fill="FFFFFF"/>
        </w:rPr>
        <w:t xml:space="preserve">At 12 months follow-up, 48/180 (27%) in the ACS cohort improved in </w:t>
      </w:r>
      <w:r w:rsidR="00A47A47">
        <w:rPr>
          <w:rFonts w:ascii="Arial" w:hAnsi="Arial" w:cs="Arial"/>
          <w:color w:val="0E101A"/>
          <w:sz w:val="24"/>
          <w:szCs w:val="24"/>
          <w:shd w:val="clear" w:color="auto" w:fill="FFFFFF"/>
        </w:rPr>
        <w:t xml:space="preserve">the </w:t>
      </w:r>
      <w:r w:rsidR="00CC0CEA" w:rsidRPr="00CC0CEA">
        <w:rPr>
          <w:rFonts w:ascii="Arial" w:hAnsi="Arial" w:cs="Arial"/>
          <w:color w:val="0E101A"/>
          <w:sz w:val="24"/>
          <w:szCs w:val="24"/>
          <w:shd w:val="clear" w:color="auto" w:fill="FFFFFF"/>
        </w:rPr>
        <w:t xml:space="preserve">NYHA class </w:t>
      </w:r>
      <w:r w:rsidR="00CC0CEA" w:rsidRPr="00462C51">
        <w:rPr>
          <w:rFonts w:ascii="Arial" w:eastAsia="Times New Roman" w:hAnsi="Arial" w:cs="Arial"/>
          <w:color w:val="0E101A"/>
          <w:sz w:val="24"/>
          <w:szCs w:val="24"/>
          <w:lang w:eastAsia="en-GB"/>
          <w14:ligatures w14:val="none"/>
        </w:rPr>
        <w:t>(p=0.0</w:t>
      </w:r>
      <w:r w:rsidR="00CC0CEA">
        <w:rPr>
          <w:rFonts w:ascii="Arial" w:eastAsia="Times New Roman" w:hAnsi="Arial" w:cs="Arial"/>
          <w:color w:val="0E101A"/>
          <w:sz w:val="24"/>
          <w:szCs w:val="24"/>
          <w:lang w:eastAsia="en-GB"/>
          <w14:ligatures w14:val="none"/>
        </w:rPr>
        <w:t>01</w:t>
      </w:r>
      <w:r w:rsidR="00CC0CEA" w:rsidRPr="00462C51">
        <w:rPr>
          <w:rFonts w:ascii="Arial" w:eastAsia="Times New Roman" w:hAnsi="Arial" w:cs="Arial"/>
          <w:color w:val="0E101A"/>
          <w:sz w:val="24"/>
          <w:szCs w:val="24"/>
          <w:lang w:eastAsia="en-GB"/>
          <w14:ligatures w14:val="none"/>
        </w:rPr>
        <w:t>)</w:t>
      </w:r>
      <w:r w:rsidR="00CC0CEA">
        <w:rPr>
          <w:rFonts w:ascii="Arial" w:eastAsia="Times New Roman" w:hAnsi="Arial" w:cs="Arial"/>
          <w:color w:val="0E101A"/>
          <w:sz w:val="24"/>
          <w:szCs w:val="24"/>
          <w:lang w:eastAsia="en-GB"/>
          <w14:ligatures w14:val="none"/>
        </w:rPr>
        <w:t xml:space="preserve">, </w:t>
      </w:r>
      <w:r w:rsidR="00CC0CEA" w:rsidRPr="00CC0CEA">
        <w:rPr>
          <w:rFonts w:ascii="Arial" w:hAnsi="Arial" w:cs="Arial"/>
          <w:color w:val="0E101A"/>
          <w:sz w:val="24"/>
          <w:szCs w:val="24"/>
          <w:shd w:val="clear" w:color="auto" w:fill="FFFFFF"/>
        </w:rPr>
        <w:t xml:space="preserve">but only 8/180 improved in </w:t>
      </w:r>
      <w:r w:rsidR="00A47A47">
        <w:rPr>
          <w:rFonts w:ascii="Arial" w:hAnsi="Arial" w:cs="Arial"/>
          <w:color w:val="0E101A"/>
          <w:sz w:val="24"/>
          <w:szCs w:val="24"/>
          <w:shd w:val="clear" w:color="auto" w:fill="FFFFFF"/>
        </w:rPr>
        <w:t xml:space="preserve">the </w:t>
      </w:r>
      <w:r w:rsidR="00CC0CEA" w:rsidRPr="00CC0CEA">
        <w:rPr>
          <w:rFonts w:ascii="Arial" w:hAnsi="Arial" w:cs="Arial"/>
          <w:color w:val="0E101A"/>
          <w:sz w:val="24"/>
          <w:szCs w:val="24"/>
          <w:shd w:val="clear" w:color="auto" w:fill="FFFFFF"/>
        </w:rPr>
        <w:t>CCS class (p=0.76), when compared to the baseline.</w:t>
      </w:r>
      <w:r w:rsidR="00F447C8">
        <w:rPr>
          <w:rFonts w:ascii="Arial" w:eastAsia="Times New Roman" w:hAnsi="Arial" w:cs="Arial"/>
          <w:color w:val="0E101A"/>
          <w:sz w:val="24"/>
          <w:szCs w:val="24"/>
          <w:lang w:eastAsia="en-GB"/>
          <w14:ligatures w14:val="none"/>
        </w:rPr>
        <w:t xml:space="preserve"> </w:t>
      </w:r>
      <w:r w:rsidR="00F447C8" w:rsidRPr="00F447C8">
        <w:rPr>
          <w:rFonts w:ascii="Arial" w:hAnsi="Arial" w:cs="Arial"/>
          <w:color w:val="0E101A"/>
          <w:sz w:val="24"/>
          <w:szCs w:val="24"/>
          <w:shd w:val="clear" w:color="auto" w:fill="FFFFFF"/>
        </w:rPr>
        <w:t xml:space="preserve">On the other hand, </w:t>
      </w:r>
      <w:r w:rsidR="00A47A47">
        <w:rPr>
          <w:rFonts w:ascii="Arial" w:hAnsi="Arial" w:cs="Arial"/>
          <w:color w:val="0E101A"/>
          <w:sz w:val="24"/>
          <w:szCs w:val="24"/>
          <w:shd w:val="clear" w:color="auto" w:fill="FFFFFF"/>
        </w:rPr>
        <w:t xml:space="preserve">in the CCS cohort, 15/86 worsened in the NYHA class (p=0.02) while </w:t>
      </w:r>
      <w:r w:rsidR="00F447C8" w:rsidRPr="00F447C8">
        <w:rPr>
          <w:rFonts w:ascii="Arial" w:hAnsi="Arial" w:cs="Arial"/>
          <w:color w:val="0E101A"/>
          <w:sz w:val="24"/>
          <w:szCs w:val="24"/>
          <w:shd w:val="clear" w:color="auto" w:fill="FFFFFF"/>
        </w:rPr>
        <w:t>39/86 (45%) improve</w:t>
      </w:r>
      <w:r w:rsidR="00B250C5">
        <w:rPr>
          <w:rFonts w:ascii="Arial" w:hAnsi="Arial" w:cs="Arial"/>
          <w:color w:val="0E101A"/>
          <w:sz w:val="24"/>
          <w:szCs w:val="24"/>
          <w:shd w:val="clear" w:color="auto" w:fill="FFFFFF"/>
        </w:rPr>
        <w:t>d</w:t>
      </w:r>
      <w:r w:rsidR="00F447C8" w:rsidRPr="00F447C8">
        <w:rPr>
          <w:rFonts w:ascii="Arial" w:hAnsi="Arial" w:cs="Arial"/>
          <w:color w:val="0E101A"/>
          <w:sz w:val="24"/>
          <w:szCs w:val="24"/>
          <w:shd w:val="clear" w:color="auto" w:fill="FFFFFF"/>
        </w:rPr>
        <w:t xml:space="preserve"> in </w:t>
      </w:r>
      <w:r w:rsidR="00A47A47">
        <w:rPr>
          <w:rFonts w:ascii="Arial" w:hAnsi="Arial" w:cs="Arial"/>
          <w:color w:val="0E101A"/>
          <w:sz w:val="24"/>
          <w:szCs w:val="24"/>
          <w:shd w:val="clear" w:color="auto" w:fill="FFFFFF"/>
        </w:rPr>
        <w:t xml:space="preserve">the </w:t>
      </w:r>
      <w:r w:rsidR="00F447C8" w:rsidRPr="00F447C8">
        <w:rPr>
          <w:rFonts w:ascii="Arial" w:hAnsi="Arial" w:cs="Arial"/>
          <w:color w:val="0E101A"/>
          <w:sz w:val="24"/>
          <w:szCs w:val="24"/>
          <w:shd w:val="clear" w:color="auto" w:fill="FFFFFF"/>
        </w:rPr>
        <w:t>CCS class (p=0.0</w:t>
      </w:r>
      <w:r w:rsidR="00A47A47">
        <w:rPr>
          <w:rFonts w:ascii="Arial" w:hAnsi="Arial" w:cs="Arial"/>
          <w:color w:val="0E101A"/>
          <w:sz w:val="24"/>
          <w:szCs w:val="24"/>
          <w:shd w:val="clear" w:color="auto" w:fill="FFFFFF"/>
        </w:rPr>
        <w:t>01</w:t>
      </w:r>
      <w:r w:rsidR="00F447C8" w:rsidRPr="00F447C8">
        <w:rPr>
          <w:rFonts w:ascii="Arial" w:hAnsi="Arial" w:cs="Arial"/>
          <w:color w:val="0E101A"/>
          <w:sz w:val="24"/>
          <w:szCs w:val="24"/>
          <w:shd w:val="clear" w:color="auto" w:fill="FFFFFF"/>
        </w:rPr>
        <w:t>)</w:t>
      </w:r>
      <w:r w:rsidR="00A47A47">
        <w:rPr>
          <w:rFonts w:ascii="Arial" w:hAnsi="Arial" w:cs="Arial"/>
          <w:color w:val="0E101A"/>
          <w:sz w:val="24"/>
          <w:szCs w:val="24"/>
          <w:shd w:val="clear" w:color="auto" w:fill="FFFFFF"/>
        </w:rPr>
        <w:t xml:space="preserve"> at one year compared to baseline</w:t>
      </w:r>
      <w:r w:rsidR="00F447C8" w:rsidRPr="00F447C8">
        <w:rPr>
          <w:rFonts w:ascii="Arial" w:hAnsi="Arial" w:cs="Arial"/>
          <w:color w:val="0E101A"/>
          <w:sz w:val="24"/>
          <w:szCs w:val="24"/>
          <w:shd w:val="clear" w:color="auto" w:fill="FFFFFF"/>
        </w:rPr>
        <w:t>.</w:t>
      </w:r>
      <w:r w:rsidR="00F447C8">
        <w:rPr>
          <w:rFonts w:ascii="Arial" w:hAnsi="Arial" w:cs="Arial"/>
          <w:color w:val="0E101A"/>
          <w:shd w:val="clear" w:color="auto" w:fill="FFFFFF"/>
        </w:rPr>
        <w:t xml:space="preserve"> </w:t>
      </w:r>
    </w:p>
    <w:p w14:paraId="0A3A84B3" w14:textId="77777777" w:rsidR="00B250C5" w:rsidRDefault="00B250C5" w:rsidP="007C2CD0">
      <w:pPr>
        <w:spacing w:after="0" w:line="360" w:lineRule="auto"/>
        <w:jc w:val="both"/>
        <w:rPr>
          <w:rFonts w:ascii="Arial" w:eastAsia="Times New Roman" w:hAnsi="Arial" w:cs="Arial"/>
          <w:color w:val="0E101A"/>
          <w:sz w:val="24"/>
          <w:szCs w:val="24"/>
          <w:lang w:eastAsia="en-GB"/>
          <w14:ligatures w14:val="none"/>
        </w:rPr>
      </w:pPr>
    </w:p>
    <w:p w14:paraId="2B910048" w14:textId="3852FF1F" w:rsidR="00462C51" w:rsidRDefault="00462C51" w:rsidP="007C2CD0">
      <w:pPr>
        <w:spacing w:after="0" w:line="360" w:lineRule="auto"/>
        <w:jc w:val="both"/>
        <w:rPr>
          <w:rFonts w:ascii="Arial" w:eastAsia="Times New Roman" w:hAnsi="Arial" w:cs="Arial"/>
          <w:color w:val="0E101A"/>
          <w:sz w:val="24"/>
          <w:szCs w:val="24"/>
          <w:lang w:eastAsia="en-GB"/>
          <w14:ligatures w14:val="none"/>
        </w:rPr>
      </w:pPr>
      <w:r w:rsidRPr="00462C51">
        <w:rPr>
          <w:rFonts w:ascii="Arial" w:eastAsia="Times New Roman" w:hAnsi="Arial" w:cs="Arial"/>
          <w:color w:val="0E101A"/>
          <w:sz w:val="24"/>
          <w:szCs w:val="24"/>
          <w:lang w:eastAsia="en-GB"/>
          <w14:ligatures w14:val="none"/>
        </w:rPr>
        <w:t xml:space="preserve">The QOL scores in VIRTU-4 </w:t>
      </w:r>
      <w:r w:rsidR="008516FA">
        <w:rPr>
          <w:rFonts w:ascii="Arial" w:eastAsia="Times New Roman" w:hAnsi="Arial" w:cs="Arial"/>
          <w:color w:val="0E101A"/>
          <w:sz w:val="24"/>
          <w:szCs w:val="24"/>
          <w:lang w:eastAsia="en-GB"/>
          <w14:ligatures w14:val="none"/>
        </w:rPr>
        <w:t xml:space="preserve">did not </w:t>
      </w:r>
      <w:r w:rsidRPr="00462C51">
        <w:rPr>
          <w:rFonts w:ascii="Arial" w:eastAsia="Times New Roman" w:hAnsi="Arial" w:cs="Arial"/>
          <w:color w:val="0E101A"/>
          <w:sz w:val="24"/>
          <w:szCs w:val="24"/>
          <w:lang w:eastAsia="en-GB"/>
          <w14:ligatures w14:val="none"/>
        </w:rPr>
        <w:t xml:space="preserve">demonstrate improvement in </w:t>
      </w:r>
      <w:r w:rsidR="004E3DF3">
        <w:rPr>
          <w:rFonts w:ascii="Arial" w:eastAsia="Times New Roman" w:hAnsi="Arial" w:cs="Arial"/>
          <w:color w:val="0E101A"/>
          <w:sz w:val="24"/>
          <w:szCs w:val="24"/>
          <w:lang w:eastAsia="en-GB"/>
          <w14:ligatures w14:val="none"/>
        </w:rPr>
        <w:t xml:space="preserve">either </w:t>
      </w:r>
      <w:r w:rsidRPr="00462C51">
        <w:rPr>
          <w:rFonts w:ascii="Arial" w:eastAsia="Times New Roman" w:hAnsi="Arial" w:cs="Arial"/>
          <w:color w:val="0E101A"/>
          <w:sz w:val="24"/>
          <w:szCs w:val="24"/>
          <w:lang w:eastAsia="en-GB"/>
          <w14:ligatures w14:val="none"/>
        </w:rPr>
        <w:t xml:space="preserve">EQ-VAS (0.2% increase; p=0.99) </w:t>
      </w:r>
      <w:r w:rsidR="004E3DF3">
        <w:rPr>
          <w:rFonts w:ascii="Arial" w:eastAsia="Times New Roman" w:hAnsi="Arial" w:cs="Arial"/>
          <w:color w:val="0E101A"/>
          <w:sz w:val="24"/>
          <w:szCs w:val="24"/>
          <w:lang w:eastAsia="en-GB"/>
          <w14:ligatures w14:val="none"/>
        </w:rPr>
        <w:t>or</w:t>
      </w:r>
      <w:r w:rsidRPr="00462C51">
        <w:rPr>
          <w:rFonts w:ascii="Arial" w:eastAsia="Times New Roman" w:hAnsi="Arial" w:cs="Arial"/>
          <w:color w:val="0E101A"/>
          <w:sz w:val="24"/>
          <w:szCs w:val="24"/>
          <w:lang w:eastAsia="en-GB"/>
          <w14:ligatures w14:val="none"/>
        </w:rPr>
        <w:t xml:space="preserve"> EQ-indexed (0.1% increase; p=0.99) scores at one-year follow-up (p=0.99). However, re-analysis following an exclusion of patients with non-cardiac factors showed a significant increment of 9% in EQ-VAS (p&lt;0.001) and 7% in EQ-indexed scores (p&lt;0.001), respectively. There was no impact of age or presence of diabetes </w:t>
      </w:r>
      <w:r w:rsidR="0063138A">
        <w:rPr>
          <w:rFonts w:ascii="Arial" w:eastAsia="Times New Roman" w:hAnsi="Arial" w:cs="Arial"/>
          <w:color w:val="0E101A"/>
          <w:sz w:val="24"/>
          <w:szCs w:val="24"/>
          <w:lang w:eastAsia="en-GB"/>
          <w14:ligatures w14:val="none"/>
        </w:rPr>
        <w:t>up</w:t>
      </w:r>
      <w:r w:rsidRPr="00462C51">
        <w:rPr>
          <w:rFonts w:ascii="Arial" w:eastAsia="Times New Roman" w:hAnsi="Arial" w:cs="Arial"/>
          <w:color w:val="0E101A"/>
          <w:sz w:val="24"/>
          <w:szCs w:val="24"/>
          <w:lang w:eastAsia="en-GB"/>
          <w14:ligatures w14:val="none"/>
        </w:rPr>
        <w:t xml:space="preserve">on QOL scores. Patients treated with invasive therapy demonstrated more improvement in QOL than </w:t>
      </w:r>
      <w:r w:rsidR="0063138A">
        <w:rPr>
          <w:rFonts w:ascii="Arial" w:eastAsia="Times New Roman" w:hAnsi="Arial" w:cs="Arial"/>
          <w:color w:val="0E101A"/>
          <w:sz w:val="24"/>
          <w:szCs w:val="24"/>
          <w:lang w:eastAsia="en-GB"/>
          <w14:ligatures w14:val="none"/>
        </w:rPr>
        <w:t xml:space="preserve">those treated with </w:t>
      </w:r>
      <w:r w:rsidRPr="00462C51">
        <w:rPr>
          <w:rFonts w:ascii="Arial" w:eastAsia="Times New Roman" w:hAnsi="Arial" w:cs="Arial"/>
          <w:color w:val="0E101A"/>
          <w:sz w:val="24"/>
          <w:szCs w:val="24"/>
          <w:lang w:eastAsia="en-GB"/>
          <w14:ligatures w14:val="none"/>
        </w:rPr>
        <w:t xml:space="preserve">medical therapy; in the ACS cohort, this increment in </w:t>
      </w:r>
      <w:r w:rsidR="0063138A">
        <w:rPr>
          <w:rFonts w:ascii="Arial" w:eastAsia="Times New Roman" w:hAnsi="Arial" w:cs="Arial"/>
          <w:color w:val="0E101A"/>
          <w:sz w:val="24"/>
          <w:szCs w:val="24"/>
          <w:lang w:eastAsia="en-GB"/>
          <w14:ligatures w14:val="none"/>
        </w:rPr>
        <w:t xml:space="preserve">the </w:t>
      </w:r>
      <w:r w:rsidR="008516FA">
        <w:rPr>
          <w:rFonts w:ascii="Arial" w:eastAsia="Times New Roman" w:hAnsi="Arial" w:cs="Arial"/>
          <w:color w:val="0E101A"/>
          <w:sz w:val="24"/>
          <w:szCs w:val="24"/>
          <w:lang w:eastAsia="en-GB"/>
          <w14:ligatures w14:val="none"/>
        </w:rPr>
        <w:t xml:space="preserve">invasive therapy </w:t>
      </w:r>
      <w:r w:rsidR="00D939F1">
        <w:rPr>
          <w:rFonts w:ascii="Arial" w:eastAsia="Times New Roman" w:hAnsi="Arial" w:cs="Arial"/>
          <w:color w:val="0E101A"/>
          <w:sz w:val="24"/>
          <w:szCs w:val="24"/>
          <w:lang w:eastAsia="en-GB"/>
          <w14:ligatures w14:val="none"/>
        </w:rPr>
        <w:t>group</w:t>
      </w:r>
      <w:r w:rsidRPr="00462C51">
        <w:rPr>
          <w:rFonts w:ascii="Arial" w:eastAsia="Times New Roman" w:hAnsi="Arial" w:cs="Arial"/>
          <w:color w:val="0E101A"/>
          <w:sz w:val="24"/>
          <w:szCs w:val="24"/>
          <w:lang w:eastAsia="en-GB"/>
          <w14:ligatures w14:val="none"/>
        </w:rPr>
        <w:t xml:space="preserve"> was 3.8% in EQ-VAS (p=0.05) and 1% in EQ-indexed scores (p=0.40) whereas</w:t>
      </w:r>
      <w:r w:rsidR="0063138A">
        <w:rPr>
          <w:rFonts w:ascii="Arial" w:eastAsia="Times New Roman" w:hAnsi="Arial" w:cs="Arial"/>
          <w:color w:val="0E101A"/>
          <w:sz w:val="24"/>
          <w:szCs w:val="24"/>
          <w:lang w:eastAsia="en-GB"/>
          <w14:ligatures w14:val="none"/>
        </w:rPr>
        <w:t>,</w:t>
      </w:r>
      <w:r w:rsidRPr="00462C51">
        <w:rPr>
          <w:rFonts w:ascii="Arial" w:eastAsia="Times New Roman" w:hAnsi="Arial" w:cs="Arial"/>
          <w:color w:val="0E101A"/>
          <w:sz w:val="24"/>
          <w:szCs w:val="24"/>
          <w:lang w:eastAsia="en-GB"/>
          <w14:ligatures w14:val="none"/>
        </w:rPr>
        <w:t xml:space="preserve"> in the CCS cohort, the equivalent increment</w:t>
      </w:r>
      <w:r w:rsidR="00D939F1">
        <w:rPr>
          <w:rFonts w:ascii="Arial" w:eastAsia="Times New Roman" w:hAnsi="Arial" w:cs="Arial"/>
          <w:color w:val="0E101A"/>
          <w:sz w:val="24"/>
          <w:szCs w:val="24"/>
          <w:lang w:eastAsia="en-GB"/>
          <w14:ligatures w14:val="none"/>
        </w:rPr>
        <w:t xml:space="preserve"> with invasive therapy</w:t>
      </w:r>
      <w:r w:rsidRPr="00462C51">
        <w:rPr>
          <w:rFonts w:ascii="Arial" w:eastAsia="Times New Roman" w:hAnsi="Arial" w:cs="Arial"/>
          <w:color w:val="0E101A"/>
          <w:sz w:val="24"/>
          <w:szCs w:val="24"/>
          <w:lang w:eastAsia="en-GB"/>
          <w14:ligatures w14:val="none"/>
        </w:rPr>
        <w:t xml:space="preserve"> was 13% in EQ-VAS (p&lt;0.001) and 7% in EQ-indexed scores (p=0.01). </w:t>
      </w:r>
    </w:p>
    <w:p w14:paraId="6DC3DCC8" w14:textId="3F205C0F" w:rsidR="00EB108E" w:rsidRDefault="00E63EFE" w:rsidP="00BC33A0">
      <w:pPr>
        <w:spacing w:before="240" w:after="0" w:line="360" w:lineRule="auto"/>
        <w:jc w:val="both"/>
        <w:rPr>
          <w:rFonts w:ascii="Arial" w:eastAsia="Times New Roman" w:hAnsi="Arial" w:cs="Arial"/>
          <w:color w:val="0E101A"/>
          <w:sz w:val="24"/>
          <w:szCs w:val="24"/>
          <w:lang w:eastAsia="en-GB"/>
          <w14:ligatures w14:val="none"/>
        </w:rPr>
      </w:pPr>
      <w:r>
        <w:rPr>
          <w:rFonts w:ascii="Arial" w:eastAsia="Times New Roman" w:hAnsi="Arial" w:cs="Arial"/>
          <w:color w:val="0E101A"/>
          <w:sz w:val="24"/>
          <w:szCs w:val="24"/>
          <w:lang w:eastAsia="en-GB"/>
          <w14:ligatures w14:val="none"/>
        </w:rPr>
        <w:t xml:space="preserve">After </w:t>
      </w:r>
      <w:r w:rsidR="00FE0977">
        <w:rPr>
          <w:rFonts w:ascii="Arial" w:eastAsia="Times New Roman" w:hAnsi="Arial" w:cs="Arial"/>
          <w:color w:val="0E101A"/>
          <w:sz w:val="24"/>
          <w:szCs w:val="24"/>
          <w:lang w:eastAsia="en-GB"/>
          <w14:ligatures w14:val="none"/>
        </w:rPr>
        <w:t xml:space="preserve">vFFR </w:t>
      </w:r>
      <w:r w:rsidR="00664B5E">
        <w:rPr>
          <w:rFonts w:ascii="Arial" w:eastAsia="Times New Roman" w:hAnsi="Arial" w:cs="Arial"/>
          <w:color w:val="0E101A"/>
          <w:sz w:val="24"/>
          <w:szCs w:val="24"/>
          <w:lang w:eastAsia="en-GB"/>
          <w14:ligatures w14:val="none"/>
        </w:rPr>
        <w:t>disclosure</w:t>
      </w:r>
      <w:r>
        <w:rPr>
          <w:rFonts w:ascii="Arial" w:eastAsia="Times New Roman" w:hAnsi="Arial" w:cs="Arial"/>
          <w:color w:val="0E101A"/>
          <w:sz w:val="24"/>
          <w:szCs w:val="24"/>
          <w:lang w:eastAsia="en-GB"/>
          <w14:ligatures w14:val="none"/>
        </w:rPr>
        <w:t>,</w:t>
      </w:r>
      <w:r w:rsidR="00FE0977">
        <w:rPr>
          <w:rFonts w:ascii="Arial" w:eastAsia="Times New Roman" w:hAnsi="Arial" w:cs="Arial"/>
          <w:color w:val="0E101A"/>
          <w:sz w:val="24"/>
          <w:szCs w:val="24"/>
          <w:lang w:eastAsia="en-GB"/>
          <w14:ligatures w14:val="none"/>
        </w:rPr>
        <w:t xml:space="preserve"> </w:t>
      </w:r>
      <w:r w:rsidR="00664B5E">
        <w:rPr>
          <w:rFonts w:ascii="Arial" w:eastAsia="Times New Roman" w:hAnsi="Arial" w:cs="Arial"/>
          <w:color w:val="0E101A"/>
          <w:sz w:val="24"/>
          <w:szCs w:val="24"/>
          <w:lang w:eastAsia="en-GB"/>
          <w14:ligatures w14:val="none"/>
        </w:rPr>
        <w:t>a virtual change in the management plan</w:t>
      </w:r>
      <w:r w:rsidR="004410C7">
        <w:rPr>
          <w:rFonts w:ascii="Arial" w:eastAsia="Times New Roman" w:hAnsi="Arial" w:cs="Arial"/>
          <w:color w:val="0E101A"/>
          <w:sz w:val="24"/>
          <w:szCs w:val="24"/>
          <w:lang w:eastAsia="en-GB"/>
          <w14:ligatures w14:val="none"/>
        </w:rPr>
        <w:t>s</w:t>
      </w:r>
      <w:r>
        <w:rPr>
          <w:rFonts w:ascii="Arial" w:eastAsia="Times New Roman" w:hAnsi="Arial" w:cs="Arial"/>
          <w:color w:val="0E101A"/>
          <w:sz w:val="24"/>
          <w:szCs w:val="24"/>
          <w:lang w:eastAsia="en-GB"/>
          <w14:ligatures w14:val="none"/>
        </w:rPr>
        <w:t xml:space="preserve"> of </w:t>
      </w:r>
      <w:r w:rsidR="00664B5E" w:rsidRPr="00462C51">
        <w:rPr>
          <w:rFonts w:ascii="Arial" w:eastAsia="Times New Roman" w:hAnsi="Arial" w:cs="Arial"/>
          <w:color w:val="0E101A"/>
          <w:sz w:val="24"/>
          <w:szCs w:val="24"/>
          <w:lang w:eastAsia="en-GB"/>
          <w14:ligatures w14:val="none"/>
        </w:rPr>
        <w:t xml:space="preserve">65/266 (24.4%) patients </w:t>
      </w:r>
      <w:r>
        <w:rPr>
          <w:rFonts w:ascii="Arial" w:eastAsia="Times New Roman" w:hAnsi="Arial" w:cs="Arial"/>
          <w:color w:val="0E101A"/>
          <w:sz w:val="24"/>
          <w:szCs w:val="24"/>
          <w:lang w:eastAsia="en-GB"/>
          <w14:ligatures w14:val="none"/>
        </w:rPr>
        <w:t xml:space="preserve">was observed </w:t>
      </w:r>
      <w:r w:rsidR="00664B5E" w:rsidRPr="00462C51">
        <w:rPr>
          <w:rFonts w:ascii="Arial" w:eastAsia="Times New Roman" w:hAnsi="Arial" w:cs="Arial"/>
          <w:color w:val="0E101A"/>
          <w:sz w:val="24"/>
          <w:szCs w:val="24"/>
          <w:lang w:eastAsia="en-GB"/>
          <w14:ligatures w14:val="none"/>
        </w:rPr>
        <w:t>(the ‘virtual change’ subset).</w:t>
      </w:r>
      <w:r w:rsidR="00664B5E">
        <w:rPr>
          <w:rFonts w:ascii="Arial" w:eastAsia="Times New Roman" w:hAnsi="Arial" w:cs="Arial"/>
          <w:color w:val="0E101A"/>
          <w:sz w:val="24"/>
          <w:szCs w:val="24"/>
          <w:lang w:eastAsia="en-GB"/>
          <w14:ligatures w14:val="none"/>
        </w:rPr>
        <w:t xml:space="preserve"> </w:t>
      </w:r>
      <w:r w:rsidR="00664B5E" w:rsidRPr="00462C51">
        <w:rPr>
          <w:rFonts w:ascii="Arial" w:eastAsia="Times New Roman" w:hAnsi="Arial" w:cs="Arial"/>
          <w:color w:val="0E101A"/>
          <w:sz w:val="24"/>
          <w:szCs w:val="24"/>
          <w:lang w:eastAsia="en-GB"/>
          <w14:ligatures w14:val="none"/>
        </w:rPr>
        <w:t>17/</w:t>
      </w:r>
      <w:r w:rsidR="00664B5E">
        <w:rPr>
          <w:rFonts w:ascii="Arial" w:eastAsia="Times New Roman" w:hAnsi="Arial" w:cs="Arial"/>
          <w:color w:val="0E101A"/>
          <w:sz w:val="24"/>
          <w:szCs w:val="24"/>
          <w:lang w:eastAsia="en-GB"/>
          <w14:ligatures w14:val="none"/>
        </w:rPr>
        <w:t>39</w:t>
      </w:r>
      <w:r w:rsidR="00664B5E" w:rsidRPr="00462C51">
        <w:rPr>
          <w:rFonts w:ascii="Arial" w:eastAsia="Times New Roman" w:hAnsi="Arial" w:cs="Arial"/>
          <w:color w:val="0E101A"/>
          <w:sz w:val="24"/>
          <w:szCs w:val="24"/>
          <w:lang w:eastAsia="en-GB"/>
          <w14:ligatures w14:val="none"/>
        </w:rPr>
        <w:t xml:space="preserve"> (</w:t>
      </w:r>
      <w:r w:rsidR="00965156">
        <w:rPr>
          <w:rFonts w:ascii="Arial" w:eastAsia="Times New Roman" w:hAnsi="Arial" w:cs="Arial"/>
          <w:color w:val="0E101A"/>
          <w:sz w:val="24"/>
          <w:szCs w:val="24"/>
          <w:lang w:eastAsia="en-GB"/>
          <w14:ligatures w14:val="none"/>
        </w:rPr>
        <w:t>43.5</w:t>
      </w:r>
      <w:r w:rsidR="00664B5E" w:rsidRPr="00462C51">
        <w:rPr>
          <w:rFonts w:ascii="Arial" w:eastAsia="Times New Roman" w:hAnsi="Arial" w:cs="Arial"/>
          <w:color w:val="0E101A"/>
          <w:sz w:val="24"/>
          <w:szCs w:val="24"/>
          <w:lang w:eastAsia="en-GB"/>
          <w14:ligatures w14:val="none"/>
        </w:rPr>
        <w:t xml:space="preserve">%) of ACS patients in the virtual change subset were recommended to have OMT who were initially planned to undergo invasive treatment. vFFR could have avoided 26 invasive pressure wire </w:t>
      </w:r>
      <w:r w:rsidR="00664B5E" w:rsidRPr="00462C51">
        <w:rPr>
          <w:rFonts w:ascii="Arial" w:eastAsia="Times New Roman" w:hAnsi="Arial" w:cs="Arial"/>
          <w:color w:val="0E101A"/>
          <w:sz w:val="24"/>
          <w:szCs w:val="24"/>
          <w:lang w:eastAsia="en-GB"/>
          <w14:ligatures w14:val="none"/>
        </w:rPr>
        <w:lastRenderedPageBreak/>
        <w:t>assessments (£586 each). In contrast, 13/</w:t>
      </w:r>
      <w:r w:rsidR="00965156">
        <w:rPr>
          <w:rFonts w:ascii="Arial" w:eastAsia="Times New Roman" w:hAnsi="Arial" w:cs="Arial"/>
          <w:color w:val="0E101A"/>
          <w:sz w:val="24"/>
          <w:szCs w:val="24"/>
          <w:lang w:eastAsia="en-GB"/>
          <w14:ligatures w14:val="none"/>
        </w:rPr>
        <w:t>26</w:t>
      </w:r>
      <w:r w:rsidR="00664B5E" w:rsidRPr="00462C51">
        <w:rPr>
          <w:rFonts w:ascii="Arial" w:eastAsia="Times New Roman" w:hAnsi="Arial" w:cs="Arial"/>
          <w:color w:val="0E101A"/>
          <w:sz w:val="24"/>
          <w:szCs w:val="24"/>
          <w:lang w:eastAsia="en-GB"/>
          <w14:ligatures w14:val="none"/>
        </w:rPr>
        <w:t xml:space="preserve"> (</w:t>
      </w:r>
      <w:r w:rsidR="00965156">
        <w:rPr>
          <w:rFonts w:ascii="Arial" w:eastAsia="Times New Roman" w:hAnsi="Arial" w:cs="Arial"/>
          <w:color w:val="0E101A"/>
          <w:sz w:val="24"/>
          <w:szCs w:val="24"/>
          <w:lang w:eastAsia="en-GB"/>
          <w14:ligatures w14:val="none"/>
        </w:rPr>
        <w:t>5</w:t>
      </w:r>
      <w:r w:rsidR="00664B5E" w:rsidRPr="00462C51">
        <w:rPr>
          <w:rFonts w:ascii="Arial" w:eastAsia="Times New Roman" w:hAnsi="Arial" w:cs="Arial"/>
          <w:color w:val="0E101A"/>
          <w:sz w:val="24"/>
          <w:szCs w:val="24"/>
          <w:lang w:eastAsia="en-GB"/>
          <w14:ligatures w14:val="none"/>
        </w:rPr>
        <w:t xml:space="preserve">0%) CCS patients were recommended to have PCI who were originally planned to have OMT. </w:t>
      </w:r>
      <w:r w:rsidR="004B419D">
        <w:rPr>
          <w:rFonts w:ascii="Arial" w:hAnsi="Arial" w:cs="Arial"/>
          <w:color w:val="0E101A"/>
          <w:sz w:val="24"/>
          <w:szCs w:val="24"/>
          <w:shd w:val="clear" w:color="auto" w:fill="FFFFFF"/>
        </w:rPr>
        <w:t>I</w:t>
      </w:r>
      <w:r w:rsidR="00FE4999" w:rsidRPr="00FE4999">
        <w:rPr>
          <w:rFonts w:ascii="Arial" w:hAnsi="Arial" w:cs="Arial"/>
          <w:color w:val="0E101A"/>
          <w:sz w:val="24"/>
          <w:szCs w:val="24"/>
          <w:shd w:val="clear" w:color="auto" w:fill="FFFFFF"/>
        </w:rPr>
        <w:t>mplementing these vFFR-driven virtual changes in management plans would have resulted in notional savings of £163 per ACS patient and additional spending of £395 per CCS patient.</w:t>
      </w:r>
      <w:r w:rsidR="00EB108E">
        <w:rPr>
          <w:rFonts w:ascii="Arial" w:hAnsi="Arial" w:cs="Arial"/>
          <w:color w:val="0E101A"/>
          <w:sz w:val="24"/>
          <w:szCs w:val="24"/>
          <w:shd w:val="clear" w:color="auto" w:fill="FFFFFF"/>
        </w:rPr>
        <w:t xml:space="preserve"> </w:t>
      </w:r>
      <w:r w:rsidR="00EB108E" w:rsidRPr="00EB108E">
        <w:rPr>
          <w:rStyle w:val="cf01"/>
          <w:rFonts w:ascii="Arial" w:hAnsi="Arial" w:cs="Arial"/>
          <w:sz w:val="24"/>
          <w:szCs w:val="24"/>
        </w:rPr>
        <w:t xml:space="preserve">When considering the entire cohort (n=266; including those in whom there was no notional change with vFFR), this amounted to an average </w:t>
      </w:r>
      <w:r w:rsidR="004B04F6">
        <w:rPr>
          <w:rStyle w:val="cf01"/>
          <w:rFonts w:ascii="Arial" w:hAnsi="Arial" w:cs="Arial"/>
          <w:sz w:val="24"/>
          <w:szCs w:val="24"/>
        </w:rPr>
        <w:t xml:space="preserve">extra </w:t>
      </w:r>
      <w:r w:rsidR="00EB108E" w:rsidRPr="00EB108E">
        <w:rPr>
          <w:rStyle w:val="cf01"/>
          <w:rFonts w:ascii="Arial" w:hAnsi="Arial" w:cs="Arial"/>
          <w:sz w:val="24"/>
          <w:szCs w:val="24"/>
        </w:rPr>
        <w:t xml:space="preserve">spend of </w:t>
      </w:r>
      <w:r w:rsidR="009537CF">
        <w:rPr>
          <w:rStyle w:val="cf01"/>
          <w:rFonts w:ascii="Arial" w:hAnsi="Arial" w:cs="Arial"/>
          <w:sz w:val="24"/>
          <w:szCs w:val="24"/>
        </w:rPr>
        <w:t xml:space="preserve">£14.60 </w:t>
      </w:r>
      <w:r w:rsidR="00EB108E" w:rsidRPr="00EB108E">
        <w:rPr>
          <w:rStyle w:val="cf01"/>
          <w:rFonts w:ascii="Arial" w:hAnsi="Arial" w:cs="Arial"/>
          <w:sz w:val="24"/>
          <w:szCs w:val="24"/>
        </w:rPr>
        <w:t xml:space="preserve">per patient, which is </w:t>
      </w:r>
      <w:r w:rsidR="00863C15">
        <w:rPr>
          <w:rStyle w:val="cf01"/>
          <w:rFonts w:ascii="Arial" w:hAnsi="Arial" w:cs="Arial"/>
          <w:sz w:val="24"/>
          <w:szCs w:val="24"/>
        </w:rPr>
        <w:t>0.48</w:t>
      </w:r>
      <w:r w:rsidR="00EB108E" w:rsidRPr="00EB108E">
        <w:rPr>
          <w:rStyle w:val="cf01"/>
          <w:rFonts w:ascii="Arial" w:hAnsi="Arial" w:cs="Arial"/>
          <w:sz w:val="24"/>
          <w:szCs w:val="24"/>
        </w:rPr>
        <w:t>% of their total care costs.</w:t>
      </w:r>
    </w:p>
    <w:p w14:paraId="091DF7D4" w14:textId="48E8AB74" w:rsidR="00B41AC4" w:rsidRDefault="0023351A" w:rsidP="00B41AC4">
      <w:pPr>
        <w:spacing w:before="240" w:after="0" w:line="360" w:lineRule="auto"/>
        <w:jc w:val="both"/>
        <w:rPr>
          <w:rFonts w:ascii="Arial" w:eastAsia="Times New Roman" w:hAnsi="Arial" w:cs="Arial"/>
          <w:color w:val="0E101A"/>
          <w:sz w:val="24"/>
          <w:szCs w:val="24"/>
          <w:lang w:eastAsia="en-GB"/>
          <w14:ligatures w14:val="none"/>
        </w:rPr>
      </w:pPr>
      <w:r w:rsidRPr="00F439DD">
        <w:rPr>
          <w:rFonts w:ascii="Arial" w:eastAsia="Times New Roman" w:hAnsi="Arial" w:cs="Arial"/>
          <w:color w:val="0E101A"/>
          <w:sz w:val="24"/>
          <w:szCs w:val="24"/>
          <w:shd w:val="clear" w:color="auto" w:fill="FFFFFF"/>
          <w:lang w:eastAsia="en-GB"/>
          <w14:ligatures w14:val="none"/>
        </w:rPr>
        <w:t>Furthermore, vFFR could have resulted in more patients demonstrating improvements in NYHA and CCS classes in addition to those who showed actual improvements.</w:t>
      </w:r>
      <w:r>
        <w:rPr>
          <w:rFonts w:ascii="Times New Roman" w:eastAsia="Times New Roman" w:hAnsi="Times New Roman" w:cs="Times New Roman"/>
          <w:sz w:val="24"/>
          <w:szCs w:val="24"/>
          <w:lang w:eastAsia="en-GB"/>
          <w14:ligatures w14:val="none"/>
        </w:rPr>
        <w:t xml:space="preserve"> </w:t>
      </w:r>
      <w:r w:rsidR="00D0314B">
        <w:rPr>
          <w:rFonts w:ascii="Arial" w:hAnsi="Arial" w:cs="Arial"/>
          <w:color w:val="0E101A"/>
          <w:sz w:val="24"/>
          <w:szCs w:val="24"/>
          <w:shd w:val="clear" w:color="auto" w:fill="FFFFFF"/>
        </w:rPr>
        <w:t>In CCS, vFFR</w:t>
      </w:r>
      <w:r w:rsidR="00C878BC">
        <w:rPr>
          <w:rFonts w:ascii="Arial" w:hAnsi="Arial" w:cs="Arial"/>
          <w:color w:val="0E101A"/>
          <w:sz w:val="24"/>
          <w:szCs w:val="24"/>
          <w:shd w:val="clear" w:color="auto" w:fill="FFFFFF"/>
        </w:rPr>
        <w:t>-based plans</w:t>
      </w:r>
      <w:r w:rsidR="00D0314B">
        <w:rPr>
          <w:rFonts w:ascii="Arial" w:hAnsi="Arial" w:cs="Arial"/>
          <w:color w:val="0E101A"/>
          <w:sz w:val="24"/>
          <w:szCs w:val="24"/>
          <w:shd w:val="clear" w:color="auto" w:fill="FFFFFF"/>
        </w:rPr>
        <w:t xml:space="preserve"> would have led to a virtual improvement of NYHA and CCS classes in </w:t>
      </w:r>
      <w:r w:rsidR="00D0314B" w:rsidRPr="00462C51">
        <w:rPr>
          <w:rFonts w:ascii="Arial" w:eastAsia="Times New Roman" w:hAnsi="Arial" w:cs="Arial"/>
          <w:color w:val="0E101A"/>
          <w:sz w:val="24"/>
          <w:szCs w:val="24"/>
          <w:lang w:eastAsia="en-GB"/>
          <w14:ligatures w14:val="none"/>
        </w:rPr>
        <w:t>1</w:t>
      </w:r>
      <w:r>
        <w:rPr>
          <w:rFonts w:ascii="Arial" w:eastAsia="Times New Roman" w:hAnsi="Arial" w:cs="Arial"/>
          <w:color w:val="0E101A"/>
          <w:sz w:val="24"/>
          <w:szCs w:val="24"/>
          <w:lang w:eastAsia="en-GB"/>
          <w14:ligatures w14:val="none"/>
        </w:rPr>
        <w:t>3</w:t>
      </w:r>
      <w:r w:rsidR="00D0314B" w:rsidRPr="00462C51">
        <w:rPr>
          <w:rFonts w:ascii="Arial" w:eastAsia="Times New Roman" w:hAnsi="Arial" w:cs="Arial"/>
          <w:color w:val="0E101A"/>
          <w:sz w:val="24"/>
          <w:szCs w:val="24"/>
          <w:lang w:eastAsia="en-GB"/>
          <w14:ligatures w14:val="none"/>
        </w:rPr>
        <w:t>/26 (5</w:t>
      </w:r>
      <w:r>
        <w:rPr>
          <w:rFonts w:ascii="Arial" w:eastAsia="Times New Roman" w:hAnsi="Arial" w:cs="Arial"/>
          <w:color w:val="0E101A"/>
          <w:sz w:val="24"/>
          <w:szCs w:val="24"/>
          <w:lang w:eastAsia="en-GB"/>
          <w14:ligatures w14:val="none"/>
        </w:rPr>
        <w:t>0</w:t>
      </w:r>
      <w:r w:rsidR="00D0314B" w:rsidRPr="00462C51">
        <w:rPr>
          <w:rFonts w:ascii="Arial" w:eastAsia="Times New Roman" w:hAnsi="Arial" w:cs="Arial"/>
          <w:color w:val="0E101A"/>
          <w:sz w:val="24"/>
          <w:szCs w:val="24"/>
          <w:lang w:eastAsia="en-GB"/>
          <w14:ligatures w14:val="none"/>
        </w:rPr>
        <w:t>%, p=0.005) and</w:t>
      </w:r>
      <w:r w:rsidR="00D0314B">
        <w:rPr>
          <w:rFonts w:ascii="Arial" w:eastAsia="Times New Roman" w:hAnsi="Arial" w:cs="Arial"/>
          <w:color w:val="0E101A"/>
          <w:sz w:val="24"/>
          <w:szCs w:val="24"/>
          <w:lang w:eastAsia="en-GB"/>
          <w14:ligatures w14:val="none"/>
        </w:rPr>
        <w:t xml:space="preserve"> </w:t>
      </w:r>
      <w:r w:rsidR="00D0314B" w:rsidRPr="00462C51">
        <w:rPr>
          <w:rFonts w:ascii="Arial" w:eastAsia="Times New Roman" w:hAnsi="Arial" w:cs="Arial"/>
          <w:color w:val="0E101A"/>
          <w:sz w:val="24"/>
          <w:szCs w:val="24"/>
          <w:lang w:eastAsia="en-GB"/>
          <w14:ligatures w14:val="none"/>
        </w:rPr>
        <w:t>10/26 (38.4%, p=0.004) patients</w:t>
      </w:r>
      <w:r w:rsidR="00D0314B">
        <w:rPr>
          <w:rFonts w:ascii="Arial" w:eastAsia="Times New Roman" w:hAnsi="Arial" w:cs="Arial"/>
          <w:color w:val="0E101A"/>
          <w:sz w:val="24"/>
          <w:szCs w:val="24"/>
          <w:lang w:eastAsia="en-GB"/>
          <w14:ligatures w14:val="none"/>
        </w:rPr>
        <w:t xml:space="preserve">, respectively. </w:t>
      </w:r>
      <w:r w:rsidR="00D0314B">
        <w:rPr>
          <w:rFonts w:ascii="Arial" w:hAnsi="Arial" w:cs="Arial"/>
          <w:color w:val="0E101A"/>
          <w:sz w:val="24"/>
          <w:szCs w:val="24"/>
          <w:shd w:val="clear" w:color="auto" w:fill="FFFFFF"/>
        </w:rPr>
        <w:t xml:space="preserve">ACS, in contrast, would have experienced a virtual improvement in </w:t>
      </w:r>
      <w:r w:rsidR="00D0314B" w:rsidRPr="00462C51">
        <w:rPr>
          <w:rFonts w:ascii="Arial" w:eastAsia="Times New Roman" w:hAnsi="Arial" w:cs="Arial"/>
          <w:color w:val="0E101A"/>
          <w:sz w:val="24"/>
          <w:szCs w:val="24"/>
          <w:lang w:eastAsia="en-GB"/>
          <w14:ligatures w14:val="none"/>
        </w:rPr>
        <w:t xml:space="preserve">2/39 (5.1%, p=0.96) </w:t>
      </w:r>
      <w:r w:rsidR="00D0314B">
        <w:rPr>
          <w:rFonts w:ascii="Arial" w:hAnsi="Arial" w:cs="Arial"/>
          <w:color w:val="0E101A"/>
          <w:sz w:val="24"/>
          <w:szCs w:val="24"/>
          <w:shd w:val="clear" w:color="auto" w:fill="FFFFFF"/>
        </w:rPr>
        <w:t xml:space="preserve">and </w:t>
      </w:r>
      <w:r w:rsidR="00D0314B" w:rsidRPr="00462C51">
        <w:rPr>
          <w:rFonts w:ascii="Arial" w:eastAsia="Times New Roman" w:hAnsi="Arial" w:cs="Arial"/>
          <w:color w:val="0E101A"/>
          <w:sz w:val="24"/>
          <w:szCs w:val="24"/>
          <w:lang w:eastAsia="en-GB"/>
          <w14:ligatures w14:val="none"/>
        </w:rPr>
        <w:t>1/39 (2.5%, p=0.99)</w:t>
      </w:r>
      <w:r w:rsidR="00D0314B">
        <w:rPr>
          <w:rFonts w:ascii="Arial" w:hAnsi="Arial" w:cs="Arial"/>
          <w:color w:val="0E101A"/>
          <w:sz w:val="24"/>
          <w:szCs w:val="24"/>
          <w:shd w:val="clear" w:color="auto" w:fill="FFFFFF"/>
        </w:rPr>
        <w:t xml:space="preserve"> patients in NYHA and CCS classes, respectively</w:t>
      </w:r>
      <w:r>
        <w:rPr>
          <w:rFonts w:ascii="Arial" w:hAnsi="Arial" w:cs="Arial"/>
          <w:color w:val="0E101A"/>
          <w:sz w:val="24"/>
          <w:szCs w:val="24"/>
          <w:shd w:val="clear" w:color="auto" w:fill="FFFFFF"/>
        </w:rPr>
        <w:t>,</w:t>
      </w:r>
      <w:r w:rsidR="00BE38F7">
        <w:rPr>
          <w:rFonts w:ascii="Arial" w:hAnsi="Arial" w:cs="Arial"/>
          <w:color w:val="0E101A"/>
          <w:sz w:val="24"/>
          <w:szCs w:val="24"/>
          <w:shd w:val="clear" w:color="auto" w:fill="FFFFFF"/>
        </w:rPr>
        <w:t xml:space="preserve"> by </w:t>
      </w:r>
      <w:r w:rsidR="00990DCE">
        <w:rPr>
          <w:rFonts w:ascii="Arial" w:hAnsi="Arial" w:cs="Arial"/>
          <w:color w:val="0E101A"/>
          <w:sz w:val="24"/>
          <w:szCs w:val="24"/>
          <w:shd w:val="clear" w:color="auto" w:fill="FFFFFF"/>
        </w:rPr>
        <w:t xml:space="preserve">following the </w:t>
      </w:r>
      <w:r w:rsidR="00BE38F7">
        <w:rPr>
          <w:rFonts w:ascii="Arial" w:hAnsi="Arial" w:cs="Arial"/>
          <w:color w:val="0E101A"/>
          <w:sz w:val="24"/>
          <w:szCs w:val="24"/>
          <w:shd w:val="clear" w:color="auto" w:fill="FFFFFF"/>
        </w:rPr>
        <w:t>vFFR-driven treatment plans</w:t>
      </w:r>
      <w:r w:rsidR="00D0314B">
        <w:rPr>
          <w:rFonts w:ascii="Arial" w:hAnsi="Arial" w:cs="Arial"/>
          <w:color w:val="0E101A"/>
          <w:sz w:val="24"/>
          <w:szCs w:val="24"/>
          <w:shd w:val="clear" w:color="auto" w:fill="FFFFFF"/>
        </w:rPr>
        <w:t>.</w:t>
      </w:r>
      <w:r w:rsidR="00171978">
        <w:rPr>
          <w:rFonts w:ascii="Arial" w:hAnsi="Arial" w:cs="Arial"/>
          <w:color w:val="0E101A"/>
          <w:sz w:val="24"/>
          <w:szCs w:val="24"/>
          <w:shd w:val="clear" w:color="auto" w:fill="FFFFFF"/>
        </w:rPr>
        <w:t xml:space="preserve"> </w:t>
      </w:r>
      <w:r w:rsidR="00D0314B">
        <w:rPr>
          <w:rFonts w:ascii="Arial" w:eastAsia="Times New Roman" w:hAnsi="Arial" w:cs="Arial"/>
          <w:color w:val="0E101A"/>
          <w:sz w:val="24"/>
          <w:szCs w:val="24"/>
          <w:lang w:eastAsia="en-GB"/>
          <w14:ligatures w14:val="none"/>
        </w:rPr>
        <w:t xml:space="preserve">Virtual </w:t>
      </w:r>
      <w:r w:rsidR="00D0314B" w:rsidRPr="00462C51">
        <w:rPr>
          <w:rFonts w:ascii="Arial" w:eastAsia="Times New Roman" w:hAnsi="Arial" w:cs="Arial"/>
          <w:color w:val="0E101A"/>
          <w:sz w:val="24"/>
          <w:szCs w:val="24"/>
          <w:lang w:eastAsia="en-GB"/>
          <w14:ligatures w14:val="none"/>
        </w:rPr>
        <w:t>QOL analysis of the virtual change subset</w:t>
      </w:r>
      <w:r w:rsidR="00D0314B">
        <w:rPr>
          <w:rFonts w:ascii="Arial" w:eastAsia="Times New Roman" w:hAnsi="Arial" w:cs="Arial"/>
          <w:color w:val="0E101A"/>
          <w:sz w:val="24"/>
          <w:szCs w:val="24"/>
          <w:lang w:eastAsia="en-GB"/>
          <w14:ligatures w14:val="none"/>
        </w:rPr>
        <w:t xml:space="preserve"> (n=65)</w:t>
      </w:r>
      <w:r w:rsidR="00D0314B" w:rsidRPr="00462C51">
        <w:rPr>
          <w:rFonts w:ascii="Arial" w:eastAsia="Times New Roman" w:hAnsi="Arial" w:cs="Arial"/>
          <w:color w:val="0E101A"/>
          <w:sz w:val="24"/>
          <w:szCs w:val="24"/>
          <w:lang w:eastAsia="en-GB"/>
          <w14:ligatures w14:val="none"/>
        </w:rPr>
        <w:t xml:space="preserve"> </w:t>
      </w:r>
      <w:r w:rsidR="00D0314B">
        <w:rPr>
          <w:rFonts w:ascii="Arial" w:eastAsia="Times New Roman" w:hAnsi="Arial" w:cs="Arial"/>
          <w:color w:val="0E101A"/>
          <w:sz w:val="24"/>
          <w:szCs w:val="24"/>
          <w:lang w:eastAsia="en-GB"/>
          <w14:ligatures w14:val="none"/>
        </w:rPr>
        <w:t xml:space="preserve">showed that vFFR-based treatment plans would have </w:t>
      </w:r>
      <w:r w:rsidR="00D0314B" w:rsidRPr="00462C51">
        <w:rPr>
          <w:rFonts w:ascii="Arial" w:eastAsia="Times New Roman" w:hAnsi="Arial" w:cs="Arial"/>
          <w:color w:val="0E101A"/>
          <w:sz w:val="24"/>
          <w:szCs w:val="24"/>
          <w:lang w:eastAsia="en-GB"/>
          <w14:ligatures w14:val="none"/>
        </w:rPr>
        <w:t>result</w:t>
      </w:r>
      <w:r w:rsidR="00D0314B">
        <w:rPr>
          <w:rFonts w:ascii="Arial" w:eastAsia="Times New Roman" w:hAnsi="Arial" w:cs="Arial"/>
          <w:color w:val="0E101A"/>
          <w:sz w:val="24"/>
          <w:szCs w:val="24"/>
          <w:lang w:eastAsia="en-GB"/>
          <w14:ligatures w14:val="none"/>
        </w:rPr>
        <w:t>ed</w:t>
      </w:r>
      <w:r w:rsidR="00D0314B" w:rsidRPr="00462C51">
        <w:rPr>
          <w:rFonts w:ascii="Arial" w:eastAsia="Times New Roman" w:hAnsi="Arial" w:cs="Arial"/>
          <w:color w:val="0E101A"/>
          <w:sz w:val="24"/>
          <w:szCs w:val="24"/>
          <w:lang w:eastAsia="en-GB"/>
          <w14:ligatures w14:val="none"/>
        </w:rPr>
        <w:t xml:space="preserve"> in an additional increment of</w:t>
      </w:r>
      <w:r w:rsidR="00A73B71">
        <w:rPr>
          <w:rFonts w:ascii="Arial" w:eastAsia="Times New Roman" w:hAnsi="Arial" w:cs="Arial"/>
          <w:color w:val="0E101A"/>
          <w:sz w:val="24"/>
          <w:szCs w:val="24"/>
          <w:lang w:eastAsia="en-GB"/>
          <w14:ligatures w14:val="none"/>
        </w:rPr>
        <w:t xml:space="preserve"> </w:t>
      </w:r>
      <w:r w:rsidR="00A73B71" w:rsidRPr="00462C51">
        <w:rPr>
          <w:rFonts w:ascii="Arial" w:eastAsia="Times New Roman" w:hAnsi="Arial" w:cs="Arial"/>
          <w:color w:val="0E101A"/>
          <w:sz w:val="24"/>
          <w:szCs w:val="24"/>
          <w:lang w:eastAsia="en-GB"/>
          <w14:ligatures w14:val="none"/>
        </w:rPr>
        <w:t>3.5% in EQ-VAS (p=0.01) and 7% in EQ-indexed scores (p=0.002) in the CCS patients</w:t>
      </w:r>
      <w:r w:rsidR="00BF2446">
        <w:rPr>
          <w:rFonts w:ascii="Arial" w:eastAsia="Times New Roman" w:hAnsi="Arial" w:cs="Arial"/>
          <w:color w:val="0E101A"/>
          <w:sz w:val="24"/>
          <w:szCs w:val="24"/>
          <w:lang w:eastAsia="en-GB"/>
          <w14:ligatures w14:val="none"/>
        </w:rPr>
        <w:t xml:space="preserve"> (n=26)</w:t>
      </w:r>
      <w:r w:rsidR="00A73B71">
        <w:rPr>
          <w:rFonts w:ascii="Arial" w:eastAsia="Times New Roman" w:hAnsi="Arial" w:cs="Arial"/>
          <w:color w:val="0E101A"/>
          <w:sz w:val="24"/>
          <w:szCs w:val="24"/>
          <w:lang w:eastAsia="en-GB"/>
          <w14:ligatures w14:val="none"/>
        </w:rPr>
        <w:t>, whereas, in ACS</w:t>
      </w:r>
      <w:r w:rsidR="00BF2446">
        <w:rPr>
          <w:rFonts w:ascii="Arial" w:eastAsia="Times New Roman" w:hAnsi="Arial" w:cs="Arial"/>
          <w:color w:val="0E101A"/>
          <w:sz w:val="24"/>
          <w:szCs w:val="24"/>
          <w:lang w:eastAsia="en-GB"/>
          <w14:ligatures w14:val="none"/>
        </w:rPr>
        <w:t xml:space="preserve"> (n=39)</w:t>
      </w:r>
      <w:r w:rsidR="00A73B71">
        <w:rPr>
          <w:rFonts w:ascii="Arial" w:eastAsia="Times New Roman" w:hAnsi="Arial" w:cs="Arial"/>
          <w:color w:val="0E101A"/>
          <w:sz w:val="24"/>
          <w:szCs w:val="24"/>
          <w:lang w:eastAsia="en-GB"/>
          <w14:ligatures w14:val="none"/>
        </w:rPr>
        <w:t>, a</w:t>
      </w:r>
      <w:r w:rsidR="00BF2446">
        <w:rPr>
          <w:rFonts w:ascii="Arial" w:eastAsia="Times New Roman" w:hAnsi="Arial" w:cs="Arial"/>
          <w:color w:val="0E101A"/>
          <w:sz w:val="24"/>
          <w:szCs w:val="24"/>
          <w:lang w:eastAsia="en-GB"/>
          <w14:ligatures w14:val="none"/>
        </w:rPr>
        <w:t xml:space="preserve"> virtual increment of </w:t>
      </w:r>
      <w:r w:rsidR="00D0314B" w:rsidRPr="00462C51">
        <w:rPr>
          <w:rFonts w:ascii="Arial" w:eastAsia="Times New Roman" w:hAnsi="Arial" w:cs="Arial"/>
          <w:color w:val="0E101A"/>
          <w:sz w:val="24"/>
          <w:szCs w:val="24"/>
          <w:lang w:eastAsia="en-GB"/>
          <w14:ligatures w14:val="none"/>
        </w:rPr>
        <w:t xml:space="preserve">1% in EQ-VAS (p=0.96) and 1% in EQ-indexed scores (p=0.78) </w:t>
      </w:r>
      <w:r w:rsidR="00BC33A0">
        <w:rPr>
          <w:rFonts w:ascii="Arial" w:eastAsia="Times New Roman" w:hAnsi="Arial" w:cs="Arial"/>
          <w:color w:val="0E101A"/>
          <w:sz w:val="24"/>
          <w:szCs w:val="24"/>
          <w:lang w:eastAsia="en-GB"/>
          <w14:ligatures w14:val="none"/>
        </w:rPr>
        <w:t>would have been evident</w:t>
      </w:r>
      <w:r w:rsidR="00D0314B" w:rsidRPr="00462C51">
        <w:rPr>
          <w:rFonts w:ascii="Arial" w:eastAsia="Times New Roman" w:hAnsi="Arial" w:cs="Arial"/>
          <w:color w:val="0E101A"/>
          <w:sz w:val="24"/>
          <w:szCs w:val="24"/>
          <w:lang w:eastAsia="en-GB"/>
          <w14:ligatures w14:val="none"/>
        </w:rPr>
        <w:t>.</w:t>
      </w:r>
      <w:r w:rsidR="00BC33A0">
        <w:rPr>
          <w:rFonts w:ascii="Arial" w:eastAsia="Times New Roman" w:hAnsi="Arial" w:cs="Arial"/>
          <w:color w:val="0E101A"/>
          <w:sz w:val="24"/>
          <w:szCs w:val="24"/>
          <w:lang w:eastAsia="en-GB"/>
          <w14:ligatures w14:val="none"/>
        </w:rPr>
        <w:t xml:space="preserve"> </w:t>
      </w:r>
      <w:r w:rsidR="000C2461">
        <w:rPr>
          <w:rFonts w:ascii="Arial" w:eastAsia="Times New Roman" w:hAnsi="Arial" w:cs="Arial"/>
          <w:color w:val="0E101A"/>
          <w:sz w:val="24"/>
          <w:szCs w:val="24"/>
          <w:lang w:eastAsia="en-GB"/>
          <w14:ligatures w14:val="none"/>
        </w:rPr>
        <w:t>Therefore, i</w:t>
      </w:r>
      <w:r w:rsidR="0077203A">
        <w:rPr>
          <w:rFonts w:ascii="Arial" w:eastAsia="Times New Roman" w:hAnsi="Arial" w:cs="Arial"/>
          <w:color w:val="0E101A"/>
          <w:sz w:val="24"/>
          <w:szCs w:val="24"/>
          <w:lang w:eastAsia="en-GB"/>
          <w14:ligatures w14:val="none"/>
        </w:rPr>
        <w:t xml:space="preserve">ncorporation of vFFR </w:t>
      </w:r>
      <w:r w:rsidR="00C36D93">
        <w:rPr>
          <w:rFonts w:ascii="Arial" w:eastAsia="Times New Roman" w:hAnsi="Arial" w:cs="Arial"/>
          <w:color w:val="0E101A"/>
          <w:sz w:val="24"/>
          <w:szCs w:val="24"/>
          <w:lang w:eastAsia="en-GB"/>
          <w14:ligatures w14:val="none"/>
        </w:rPr>
        <w:t>can</w:t>
      </w:r>
      <w:r w:rsidR="0077203A">
        <w:rPr>
          <w:rFonts w:ascii="Arial" w:eastAsia="Times New Roman" w:hAnsi="Arial" w:cs="Arial"/>
          <w:color w:val="0E101A"/>
          <w:sz w:val="24"/>
          <w:szCs w:val="24"/>
          <w:lang w:eastAsia="en-GB"/>
          <w14:ligatures w14:val="none"/>
        </w:rPr>
        <w:t xml:space="preserve"> </w:t>
      </w:r>
      <w:r w:rsidR="006364FA">
        <w:rPr>
          <w:rFonts w:ascii="Arial" w:eastAsia="Times New Roman" w:hAnsi="Arial" w:cs="Arial"/>
          <w:color w:val="0E101A"/>
          <w:sz w:val="24"/>
          <w:szCs w:val="24"/>
          <w:lang w:eastAsia="en-GB"/>
          <w14:ligatures w14:val="none"/>
        </w:rPr>
        <w:t>facilitate</w:t>
      </w:r>
      <w:r w:rsidR="0077203A">
        <w:rPr>
          <w:rFonts w:ascii="Arial" w:eastAsia="Times New Roman" w:hAnsi="Arial" w:cs="Arial"/>
          <w:color w:val="0E101A"/>
          <w:sz w:val="24"/>
          <w:szCs w:val="24"/>
          <w:lang w:eastAsia="en-GB"/>
          <w14:ligatures w14:val="none"/>
        </w:rPr>
        <w:t xml:space="preserve"> more appropriate </w:t>
      </w:r>
      <w:r w:rsidR="00131487">
        <w:rPr>
          <w:rFonts w:ascii="Arial" w:eastAsia="Times New Roman" w:hAnsi="Arial" w:cs="Arial"/>
          <w:color w:val="0E101A"/>
          <w:sz w:val="24"/>
          <w:szCs w:val="24"/>
          <w:lang w:eastAsia="en-GB"/>
          <w14:ligatures w14:val="none"/>
        </w:rPr>
        <w:t xml:space="preserve">decision-making </w:t>
      </w:r>
      <w:r w:rsidR="00C36D93">
        <w:rPr>
          <w:rFonts w:ascii="Arial" w:eastAsia="Times New Roman" w:hAnsi="Arial" w:cs="Arial"/>
          <w:color w:val="0E101A"/>
          <w:sz w:val="24"/>
          <w:szCs w:val="24"/>
          <w:lang w:eastAsia="en-GB"/>
          <w14:ligatures w14:val="none"/>
        </w:rPr>
        <w:t>in CAD</w:t>
      </w:r>
      <w:r w:rsidR="005028AC">
        <w:rPr>
          <w:rFonts w:ascii="Arial" w:eastAsia="Times New Roman" w:hAnsi="Arial" w:cs="Arial"/>
          <w:color w:val="0E101A"/>
          <w:sz w:val="24"/>
          <w:szCs w:val="24"/>
          <w:lang w:eastAsia="en-GB"/>
          <w14:ligatures w14:val="none"/>
        </w:rPr>
        <w:t>, thus leading to</w:t>
      </w:r>
      <w:r w:rsidR="00131487">
        <w:rPr>
          <w:rFonts w:ascii="Arial" w:eastAsia="Times New Roman" w:hAnsi="Arial" w:cs="Arial"/>
          <w:color w:val="0E101A"/>
          <w:sz w:val="24"/>
          <w:szCs w:val="24"/>
          <w:lang w:eastAsia="en-GB"/>
          <w14:ligatures w14:val="none"/>
        </w:rPr>
        <w:t xml:space="preserve"> </w:t>
      </w:r>
      <w:r w:rsidR="009465AD">
        <w:rPr>
          <w:rFonts w:ascii="Arial" w:eastAsia="Times New Roman" w:hAnsi="Arial" w:cs="Arial"/>
          <w:color w:val="0E101A"/>
          <w:sz w:val="24"/>
          <w:szCs w:val="24"/>
          <w:lang w:eastAsia="en-GB"/>
          <w14:ligatures w14:val="none"/>
        </w:rPr>
        <w:t>improved</w:t>
      </w:r>
      <w:r w:rsidR="0077203A">
        <w:rPr>
          <w:rFonts w:ascii="Arial" w:eastAsia="Times New Roman" w:hAnsi="Arial" w:cs="Arial"/>
          <w:color w:val="0E101A"/>
          <w:sz w:val="24"/>
          <w:szCs w:val="24"/>
          <w:lang w:eastAsia="en-GB"/>
          <w14:ligatures w14:val="none"/>
        </w:rPr>
        <w:t xml:space="preserve"> clinical</w:t>
      </w:r>
      <w:r w:rsidR="009465AD">
        <w:rPr>
          <w:rFonts w:ascii="Arial" w:eastAsia="Times New Roman" w:hAnsi="Arial" w:cs="Arial"/>
          <w:color w:val="0E101A"/>
          <w:sz w:val="24"/>
          <w:szCs w:val="24"/>
          <w:lang w:eastAsia="en-GB"/>
          <w14:ligatures w14:val="none"/>
        </w:rPr>
        <w:t xml:space="preserve">, </w:t>
      </w:r>
      <w:r w:rsidR="0077203A">
        <w:rPr>
          <w:rFonts w:ascii="Arial" w:eastAsia="Times New Roman" w:hAnsi="Arial" w:cs="Arial"/>
          <w:color w:val="0E101A"/>
          <w:sz w:val="24"/>
          <w:szCs w:val="24"/>
          <w:lang w:eastAsia="en-GB"/>
          <w14:ligatures w14:val="none"/>
        </w:rPr>
        <w:t>economic</w:t>
      </w:r>
      <w:r w:rsidR="000C2461">
        <w:rPr>
          <w:rFonts w:ascii="Arial" w:eastAsia="Times New Roman" w:hAnsi="Arial" w:cs="Arial"/>
          <w:color w:val="0E101A"/>
          <w:sz w:val="24"/>
          <w:szCs w:val="24"/>
          <w:lang w:eastAsia="en-GB"/>
          <w14:ligatures w14:val="none"/>
        </w:rPr>
        <w:t>,</w:t>
      </w:r>
      <w:r w:rsidR="0077203A">
        <w:rPr>
          <w:rFonts w:ascii="Arial" w:eastAsia="Times New Roman" w:hAnsi="Arial" w:cs="Arial"/>
          <w:color w:val="0E101A"/>
          <w:sz w:val="24"/>
          <w:szCs w:val="24"/>
          <w:lang w:eastAsia="en-GB"/>
          <w14:ligatures w14:val="none"/>
        </w:rPr>
        <w:t xml:space="preserve"> </w:t>
      </w:r>
      <w:r w:rsidR="009465AD">
        <w:rPr>
          <w:rFonts w:ascii="Arial" w:eastAsia="Times New Roman" w:hAnsi="Arial" w:cs="Arial"/>
          <w:color w:val="0E101A"/>
          <w:sz w:val="24"/>
          <w:szCs w:val="24"/>
          <w:lang w:eastAsia="en-GB"/>
          <w14:ligatures w14:val="none"/>
        </w:rPr>
        <w:t xml:space="preserve">and QOL </w:t>
      </w:r>
      <w:r w:rsidR="0077203A">
        <w:rPr>
          <w:rFonts w:ascii="Arial" w:eastAsia="Times New Roman" w:hAnsi="Arial" w:cs="Arial"/>
          <w:color w:val="0E101A"/>
          <w:sz w:val="24"/>
          <w:szCs w:val="24"/>
          <w:lang w:eastAsia="en-GB"/>
          <w14:ligatures w14:val="none"/>
        </w:rPr>
        <w:t>benefit</w:t>
      </w:r>
      <w:r w:rsidR="005028AC">
        <w:rPr>
          <w:rFonts w:ascii="Arial" w:eastAsia="Times New Roman" w:hAnsi="Arial" w:cs="Arial"/>
          <w:color w:val="0E101A"/>
          <w:sz w:val="24"/>
          <w:szCs w:val="24"/>
          <w:lang w:eastAsia="en-GB"/>
          <w14:ligatures w14:val="none"/>
        </w:rPr>
        <w:t>s</w:t>
      </w:r>
      <w:r w:rsidR="00BC33A0">
        <w:rPr>
          <w:rFonts w:ascii="Arial" w:eastAsia="Times New Roman" w:hAnsi="Arial" w:cs="Arial"/>
          <w:color w:val="0E101A"/>
          <w:sz w:val="24"/>
          <w:szCs w:val="24"/>
          <w:lang w:eastAsia="en-GB"/>
          <w14:ligatures w14:val="none"/>
        </w:rPr>
        <w:t>,</w:t>
      </w:r>
      <w:r w:rsidR="00C36D93">
        <w:rPr>
          <w:rFonts w:ascii="Arial" w:eastAsia="Times New Roman" w:hAnsi="Arial" w:cs="Arial"/>
          <w:color w:val="0E101A"/>
          <w:sz w:val="24"/>
          <w:szCs w:val="24"/>
          <w:lang w:eastAsia="en-GB"/>
          <w14:ligatures w14:val="none"/>
        </w:rPr>
        <w:t xml:space="preserve"> </w:t>
      </w:r>
      <w:r w:rsidR="00BC33A0">
        <w:rPr>
          <w:rFonts w:ascii="Arial" w:eastAsia="Times New Roman" w:hAnsi="Arial" w:cs="Arial"/>
          <w:color w:val="0E101A"/>
          <w:sz w:val="24"/>
          <w:szCs w:val="24"/>
          <w:lang w:eastAsia="en-GB"/>
          <w14:ligatures w14:val="none"/>
        </w:rPr>
        <w:t>with</w:t>
      </w:r>
      <w:r w:rsidR="00C36D93">
        <w:rPr>
          <w:rFonts w:ascii="Arial" w:eastAsia="Times New Roman" w:hAnsi="Arial" w:cs="Arial"/>
          <w:color w:val="0E101A"/>
          <w:sz w:val="24"/>
          <w:szCs w:val="24"/>
          <w:lang w:eastAsia="en-GB"/>
          <w14:ligatures w14:val="none"/>
        </w:rPr>
        <w:t xml:space="preserve"> </w:t>
      </w:r>
      <w:r w:rsidR="00BC33A0">
        <w:rPr>
          <w:rFonts w:ascii="Arial" w:eastAsia="Times New Roman" w:hAnsi="Arial" w:cs="Arial"/>
          <w:color w:val="0E101A"/>
          <w:sz w:val="24"/>
          <w:szCs w:val="24"/>
          <w:lang w:eastAsia="en-GB"/>
          <w14:ligatures w14:val="none"/>
        </w:rPr>
        <w:t xml:space="preserve">only </w:t>
      </w:r>
      <w:r w:rsidR="00C36D93">
        <w:rPr>
          <w:rFonts w:ascii="Arial" w:eastAsia="Times New Roman" w:hAnsi="Arial" w:cs="Arial"/>
          <w:color w:val="0E101A"/>
          <w:sz w:val="24"/>
          <w:szCs w:val="24"/>
          <w:lang w:eastAsia="en-GB"/>
          <w14:ligatures w14:val="none"/>
        </w:rPr>
        <w:t xml:space="preserve">a </w:t>
      </w:r>
      <w:r w:rsidR="00BC33A0">
        <w:rPr>
          <w:rFonts w:ascii="Arial" w:eastAsia="Times New Roman" w:hAnsi="Arial" w:cs="Arial"/>
          <w:color w:val="0E101A"/>
          <w:sz w:val="24"/>
          <w:szCs w:val="24"/>
          <w:lang w:eastAsia="en-GB"/>
          <w14:ligatures w14:val="none"/>
        </w:rPr>
        <w:t>minimal</w:t>
      </w:r>
      <w:r w:rsidR="00C36D93">
        <w:rPr>
          <w:rFonts w:ascii="Arial" w:eastAsia="Times New Roman" w:hAnsi="Arial" w:cs="Arial"/>
          <w:color w:val="0E101A"/>
          <w:sz w:val="24"/>
          <w:szCs w:val="24"/>
          <w:lang w:eastAsia="en-GB"/>
          <w14:ligatures w14:val="none"/>
        </w:rPr>
        <w:t xml:space="preserve"> </w:t>
      </w:r>
      <w:r w:rsidR="000C2461">
        <w:rPr>
          <w:rFonts w:ascii="Arial" w:eastAsia="Times New Roman" w:hAnsi="Arial" w:cs="Arial"/>
          <w:color w:val="0E101A"/>
          <w:sz w:val="24"/>
          <w:szCs w:val="24"/>
          <w:lang w:eastAsia="en-GB"/>
          <w14:ligatures w14:val="none"/>
        </w:rPr>
        <w:t xml:space="preserve">additional </w:t>
      </w:r>
      <w:r w:rsidR="00C36D93">
        <w:rPr>
          <w:rFonts w:ascii="Arial" w:eastAsia="Times New Roman" w:hAnsi="Arial" w:cs="Arial"/>
          <w:color w:val="0E101A"/>
          <w:sz w:val="24"/>
          <w:szCs w:val="24"/>
          <w:lang w:eastAsia="en-GB"/>
          <w14:ligatures w14:val="none"/>
        </w:rPr>
        <w:t>cost</w:t>
      </w:r>
      <w:r w:rsidR="009465AD">
        <w:rPr>
          <w:rFonts w:ascii="Arial" w:eastAsia="Times New Roman" w:hAnsi="Arial" w:cs="Arial"/>
          <w:color w:val="0E101A"/>
          <w:sz w:val="24"/>
          <w:szCs w:val="24"/>
          <w:lang w:eastAsia="en-GB"/>
          <w14:ligatures w14:val="none"/>
        </w:rPr>
        <w:t>.</w:t>
      </w:r>
      <w:r w:rsidR="0077203A">
        <w:rPr>
          <w:rFonts w:ascii="Arial" w:eastAsia="Times New Roman" w:hAnsi="Arial" w:cs="Arial"/>
          <w:color w:val="0E101A"/>
          <w:sz w:val="24"/>
          <w:szCs w:val="24"/>
          <w:lang w:eastAsia="en-GB"/>
          <w14:ligatures w14:val="none"/>
        </w:rPr>
        <w:t xml:space="preserve"> </w:t>
      </w:r>
      <w:r w:rsidR="0065361B">
        <w:rPr>
          <w:rFonts w:ascii="Arial" w:eastAsia="Times New Roman" w:hAnsi="Arial" w:cs="Arial"/>
          <w:color w:val="0E101A"/>
          <w:sz w:val="24"/>
          <w:szCs w:val="24"/>
          <w:lang w:eastAsia="en-GB"/>
          <w14:ligatures w14:val="none"/>
        </w:rPr>
        <w:t xml:space="preserve"> </w:t>
      </w:r>
    </w:p>
    <w:p w14:paraId="42C2B18F" w14:textId="77777777" w:rsidR="00E61ACC" w:rsidRDefault="00E61ACC" w:rsidP="00B41AC4">
      <w:pPr>
        <w:spacing w:before="240" w:after="0" w:line="360" w:lineRule="auto"/>
        <w:jc w:val="both"/>
        <w:rPr>
          <w:rFonts w:ascii="Times New Roman" w:eastAsia="Times New Roman" w:hAnsi="Times New Roman" w:cs="Times New Roman"/>
          <w:sz w:val="24"/>
          <w:szCs w:val="24"/>
          <w:lang w:eastAsia="en-GB"/>
          <w14:ligatures w14:val="none"/>
        </w:rPr>
      </w:pPr>
    </w:p>
    <w:p w14:paraId="37307094" w14:textId="070C8E10" w:rsidR="00735D5F" w:rsidRPr="00545CB2" w:rsidRDefault="00E61ACC" w:rsidP="00545CB2">
      <w:pPr>
        <w:pStyle w:val="Heading2"/>
        <w:rPr>
          <w:rFonts w:ascii="Arial" w:hAnsi="Arial" w:cs="Arial"/>
          <w:color w:val="4472C4" w:themeColor="accent1"/>
          <w:sz w:val="28"/>
          <w:szCs w:val="28"/>
        </w:rPr>
      </w:pPr>
      <w:bookmarkStart w:id="1462" w:name="_Toc171203950"/>
      <w:r w:rsidRPr="00545CB2">
        <w:rPr>
          <w:rFonts w:ascii="Arial" w:hAnsi="Arial" w:cs="Arial"/>
          <w:color w:val="4472C4" w:themeColor="accent1"/>
          <w:sz w:val="28"/>
          <w:szCs w:val="28"/>
        </w:rPr>
        <w:t xml:space="preserve">4.2 Outcomes from </w:t>
      </w:r>
      <w:r w:rsidR="003E7097">
        <w:rPr>
          <w:rFonts w:ascii="Arial" w:hAnsi="Arial" w:cs="Arial"/>
          <w:color w:val="4472C4" w:themeColor="accent1"/>
          <w:sz w:val="28"/>
          <w:szCs w:val="28"/>
        </w:rPr>
        <w:t xml:space="preserve">the </w:t>
      </w:r>
      <w:r w:rsidRPr="00545CB2">
        <w:rPr>
          <w:rFonts w:ascii="Arial" w:hAnsi="Arial" w:cs="Arial"/>
          <w:color w:val="4472C4" w:themeColor="accent1"/>
          <w:sz w:val="28"/>
          <w:szCs w:val="28"/>
        </w:rPr>
        <w:t>entire VIRTU-4 HE</w:t>
      </w:r>
      <w:bookmarkEnd w:id="1462"/>
      <w:r w:rsidR="003E7097">
        <w:rPr>
          <w:rFonts w:ascii="Arial" w:hAnsi="Arial" w:cs="Arial"/>
          <w:color w:val="4472C4" w:themeColor="accent1"/>
          <w:sz w:val="28"/>
          <w:szCs w:val="28"/>
        </w:rPr>
        <w:t xml:space="preserve"> cohort</w:t>
      </w:r>
    </w:p>
    <w:p w14:paraId="68D329FA" w14:textId="77777777" w:rsidR="00E61ACC" w:rsidRPr="00E61ACC" w:rsidRDefault="00E61ACC" w:rsidP="00E61ACC">
      <w:pPr>
        <w:rPr>
          <w:lang w:eastAsia="en-GB"/>
        </w:rPr>
      </w:pPr>
    </w:p>
    <w:p w14:paraId="782854E9" w14:textId="126E9E83" w:rsidR="005B5FB4" w:rsidRPr="00672F77" w:rsidRDefault="004942B6" w:rsidP="00672F77">
      <w:pPr>
        <w:pStyle w:val="Heading3"/>
        <w:spacing w:line="360" w:lineRule="auto"/>
        <w:jc w:val="both"/>
        <w:rPr>
          <w:rFonts w:ascii="Arial" w:hAnsi="Arial" w:cs="Arial"/>
          <w:color w:val="4472C4" w:themeColor="accent1"/>
          <w:sz w:val="24"/>
          <w:szCs w:val="24"/>
        </w:rPr>
      </w:pPr>
      <w:bookmarkStart w:id="1463" w:name="_Toc171203951"/>
      <w:r w:rsidRPr="00672F77">
        <w:rPr>
          <w:rFonts w:ascii="Arial" w:hAnsi="Arial" w:cs="Arial"/>
          <w:color w:val="4472C4" w:themeColor="accent1"/>
          <w:sz w:val="24"/>
          <w:szCs w:val="24"/>
        </w:rPr>
        <w:t>4.2</w:t>
      </w:r>
      <w:r w:rsidR="00E61ACC" w:rsidRPr="00672F77">
        <w:rPr>
          <w:rFonts w:ascii="Arial" w:hAnsi="Arial" w:cs="Arial"/>
          <w:color w:val="4472C4" w:themeColor="accent1"/>
          <w:sz w:val="24"/>
          <w:szCs w:val="24"/>
        </w:rPr>
        <w:t>.1</w:t>
      </w:r>
      <w:r w:rsidRPr="00672F77">
        <w:rPr>
          <w:rFonts w:ascii="Arial" w:hAnsi="Arial" w:cs="Arial"/>
          <w:color w:val="4472C4" w:themeColor="accent1"/>
          <w:sz w:val="24"/>
          <w:szCs w:val="24"/>
        </w:rPr>
        <w:t xml:space="preserve"> </w:t>
      </w:r>
      <w:r w:rsidR="003B7CA8" w:rsidRPr="00672F77">
        <w:rPr>
          <w:rFonts w:ascii="Arial" w:hAnsi="Arial" w:cs="Arial"/>
          <w:color w:val="4472C4" w:themeColor="accent1"/>
          <w:sz w:val="24"/>
          <w:szCs w:val="24"/>
        </w:rPr>
        <w:t>How did the rates of hospital re-admissions and repeat revasculari</w:t>
      </w:r>
      <w:r w:rsidR="00096B10" w:rsidRPr="00672F77">
        <w:rPr>
          <w:rFonts w:ascii="Arial" w:hAnsi="Arial" w:cs="Arial"/>
          <w:color w:val="4472C4" w:themeColor="accent1"/>
          <w:sz w:val="24"/>
          <w:szCs w:val="24"/>
        </w:rPr>
        <w:t>s</w:t>
      </w:r>
      <w:r w:rsidR="003B7CA8" w:rsidRPr="00672F77">
        <w:rPr>
          <w:rFonts w:ascii="Arial" w:hAnsi="Arial" w:cs="Arial"/>
          <w:color w:val="4472C4" w:themeColor="accent1"/>
          <w:sz w:val="24"/>
          <w:szCs w:val="24"/>
        </w:rPr>
        <w:t>ations differ between management plans (OMT vs IT) for the ACS and CCS cohorts?</w:t>
      </w:r>
      <w:bookmarkEnd w:id="1463"/>
    </w:p>
    <w:p w14:paraId="727A5F45" w14:textId="77777777" w:rsidR="00B41AC4" w:rsidRDefault="00A71F31" w:rsidP="003B7CA8">
      <w:pPr>
        <w:spacing w:after="0" w:line="360" w:lineRule="auto"/>
        <w:jc w:val="both"/>
        <w:rPr>
          <w:rFonts w:ascii="Arial" w:hAnsi="Arial" w:cs="Arial"/>
          <w:sz w:val="24"/>
          <w:szCs w:val="24"/>
        </w:rPr>
      </w:pPr>
      <w:r w:rsidRPr="00A71F31">
        <w:rPr>
          <w:rFonts w:ascii="Arial" w:hAnsi="Arial" w:cs="Arial"/>
          <w:sz w:val="24"/>
          <w:szCs w:val="24"/>
        </w:rPr>
        <w:t>CAD remains one of the common reasons for hospitalisation and re-admission and is associated with significant financial strain on the healthcare system. A retrospective analysis of an ACS registry of 3000 patients demonstrated a hospital re-admission rate of 21.3% within a year. (209) Another study also demonstrated an annual re-admission rate of 21.5% (202). My study revealed 82/266 (30.8%) re-admission rate in the entire VIRTU-4 population. In the ACS cohort, there were 50/186 (26.8%) re-</w:t>
      </w:r>
      <w:r w:rsidRPr="00A71F31">
        <w:rPr>
          <w:rFonts w:ascii="Arial" w:hAnsi="Arial" w:cs="Arial"/>
          <w:sz w:val="24"/>
          <w:szCs w:val="24"/>
        </w:rPr>
        <w:lastRenderedPageBreak/>
        <w:t>admissions, of which 32/50 (64%) had a cardiac cause. 29/32 (90%) of those were acute, and 3/32 (10%) were for elective revascularisation procedures. There were 32/86 (37.2%) re-admissions in the CCS cohort, of which 25/32 (78.1%) had a cardiac cause. 16/25 (64%) of those were acute, and 9/25 (36%) were elective (p=0.01). Of the 32 ACS patients with re-admission, 11/32 (34.4%) required more than one admission, which contrasted with the figure for the CCS cohort, which was 2/25 (8%) (p=0.01). It is crucial as patients with ACS have the propensity for multiple admissions, which not only adds to the cost but is also associated with increased mortality. (202)</w:t>
      </w:r>
      <w:r w:rsidR="00462C51">
        <w:rPr>
          <w:rFonts w:ascii="Arial" w:hAnsi="Arial" w:cs="Arial"/>
          <w:sz w:val="24"/>
          <w:szCs w:val="24"/>
        </w:rPr>
        <w:t xml:space="preserve"> </w:t>
      </w:r>
      <w:r w:rsidRPr="00A71F31">
        <w:rPr>
          <w:rFonts w:ascii="Arial" w:hAnsi="Arial" w:cs="Arial"/>
          <w:sz w:val="24"/>
          <w:szCs w:val="24"/>
        </w:rPr>
        <w:t xml:space="preserve">The rates of re-admissions and repeat revascularisations were also determined according to the treatment plans. In the ACS cohort, patients treated with OMT (n=39) had 10/39 (25.6%) re-admissions due to cardiac reasons, whilst invasively treated patients (n=141) had 22/141 (15.6%) re-admissions. Similarly, in the CCS cohort, OMT-treated patients (n=54) had 7/54 (13.0%) re-admissions, whilst invasively treated patients (n=32) </w:t>
      </w:r>
      <w:r w:rsidR="004B419D">
        <w:rPr>
          <w:rFonts w:ascii="Arial" w:hAnsi="Arial" w:cs="Arial"/>
          <w:sz w:val="24"/>
          <w:szCs w:val="24"/>
        </w:rPr>
        <w:t>had</w:t>
      </w:r>
      <w:r w:rsidRPr="00A71F31">
        <w:rPr>
          <w:rFonts w:ascii="Arial" w:hAnsi="Arial" w:cs="Arial"/>
          <w:sz w:val="24"/>
          <w:szCs w:val="24"/>
        </w:rPr>
        <w:t xml:space="preserve"> 2/32 (6.2%) re-admissions. This implies that patients deemed appropriate for invasive treatment require fewer hospital admissions than medically treated patients.</w:t>
      </w:r>
      <w:r w:rsidR="005B5FB4">
        <w:rPr>
          <w:rFonts w:ascii="Arial" w:hAnsi="Arial" w:cs="Arial"/>
          <w:sz w:val="24"/>
          <w:szCs w:val="24"/>
        </w:rPr>
        <w:t xml:space="preserve"> </w:t>
      </w:r>
      <w:r w:rsidRPr="00A71F31">
        <w:rPr>
          <w:rFonts w:ascii="Arial" w:hAnsi="Arial" w:cs="Arial"/>
          <w:sz w:val="24"/>
          <w:szCs w:val="24"/>
        </w:rPr>
        <w:t xml:space="preserve">In my study, OMT-treated patients had higher repeat revascularisation rates than the invasively treated group in both ACS and CCS cohorts. In the ACS cohort, there were 5/180 (2.7%) subsequent revascularisations, of which 4/5 were acute PCIs and one was an elective PCI. This contrasted with the CCS cohort, which had 7/86 (8.1%) revascularisations, of which 1/7 was an acute PCI, 5/7 were elective PCIs, and 1/7 (14.2%) was an elective CABG. When segregated by treatment plans, 2/39 (5.13%) patients treated with OMT required repeat revascularisation, compared with 3/141 (2.12%) with invasive treatment (p=0.29) in the ACS cohort. Similarly, in the CCS cohort, patients treated with OMT had 5/54 (9.2%) revascularisations, compared with 2/32 (6.25%) treated with invasive treatment (p=0.98). </w:t>
      </w:r>
    </w:p>
    <w:p w14:paraId="1920F240" w14:textId="77777777" w:rsidR="003E7097" w:rsidRDefault="003E7097" w:rsidP="003B7CA8">
      <w:pPr>
        <w:spacing w:after="0" w:line="360" w:lineRule="auto"/>
        <w:jc w:val="both"/>
        <w:rPr>
          <w:rFonts w:ascii="Arial" w:hAnsi="Arial" w:cs="Arial"/>
          <w:sz w:val="24"/>
          <w:szCs w:val="24"/>
        </w:rPr>
      </w:pPr>
    </w:p>
    <w:p w14:paraId="24A418F3" w14:textId="79900D34" w:rsidR="007C2CD0" w:rsidRDefault="00A71F31" w:rsidP="005B5FB4">
      <w:pPr>
        <w:spacing w:after="0" w:line="360" w:lineRule="auto"/>
        <w:jc w:val="both"/>
        <w:rPr>
          <w:rFonts w:ascii="Arial" w:hAnsi="Arial" w:cs="Arial"/>
          <w:sz w:val="24"/>
          <w:szCs w:val="24"/>
        </w:rPr>
      </w:pPr>
      <w:r w:rsidRPr="00A71F31">
        <w:rPr>
          <w:rFonts w:ascii="Arial" w:hAnsi="Arial" w:cs="Arial"/>
          <w:sz w:val="24"/>
          <w:szCs w:val="24"/>
        </w:rPr>
        <w:t>Although these numbers are small and, of course, non-randomised – meaning that patients allocated to OMT were so treated for a reason</w:t>
      </w:r>
      <w:r w:rsidR="007942E0">
        <w:rPr>
          <w:rFonts w:ascii="Arial" w:hAnsi="Arial" w:cs="Arial"/>
          <w:sz w:val="24"/>
          <w:szCs w:val="24"/>
        </w:rPr>
        <w:t xml:space="preserve"> </w:t>
      </w:r>
      <w:r w:rsidR="003E7097">
        <w:rPr>
          <w:rFonts w:ascii="Arial" w:hAnsi="Arial" w:cs="Arial"/>
          <w:sz w:val="24"/>
          <w:szCs w:val="24"/>
        </w:rPr>
        <w:t>-</w:t>
      </w:r>
      <w:r w:rsidRPr="00A71F31">
        <w:rPr>
          <w:rFonts w:ascii="Arial" w:hAnsi="Arial" w:cs="Arial"/>
          <w:sz w:val="24"/>
          <w:szCs w:val="24"/>
        </w:rPr>
        <w:t xml:space="preserve"> they are consistent with the available literature</w:t>
      </w:r>
      <w:r w:rsidR="003E7097">
        <w:rPr>
          <w:rFonts w:ascii="Arial" w:hAnsi="Arial" w:cs="Arial"/>
          <w:sz w:val="24"/>
          <w:szCs w:val="24"/>
        </w:rPr>
        <w:t>, which shows</w:t>
      </w:r>
      <w:r w:rsidRPr="00A71F31">
        <w:rPr>
          <w:rFonts w:ascii="Arial" w:hAnsi="Arial" w:cs="Arial"/>
          <w:sz w:val="24"/>
          <w:szCs w:val="24"/>
        </w:rPr>
        <w:t xml:space="preserve"> that invasive treatment results in a reduced need for future hospitalisations and revascularisations compared with conservative management (73, 93)</w:t>
      </w:r>
      <w:r w:rsidR="007942E0">
        <w:rPr>
          <w:rFonts w:ascii="Arial" w:hAnsi="Arial" w:cs="Arial"/>
          <w:sz w:val="24"/>
          <w:szCs w:val="24"/>
        </w:rPr>
        <w:t>,</w:t>
      </w:r>
      <w:r w:rsidRPr="00A71F31">
        <w:rPr>
          <w:rFonts w:ascii="Arial" w:hAnsi="Arial" w:cs="Arial"/>
          <w:sz w:val="24"/>
          <w:szCs w:val="24"/>
        </w:rPr>
        <w:t xml:space="preserve"> </w:t>
      </w:r>
      <w:r w:rsidR="007942E0">
        <w:rPr>
          <w:rFonts w:ascii="Arial" w:hAnsi="Arial" w:cs="Arial"/>
          <w:sz w:val="24"/>
          <w:szCs w:val="24"/>
        </w:rPr>
        <w:t>a</w:t>
      </w:r>
      <w:r w:rsidRPr="00A71F31">
        <w:rPr>
          <w:rFonts w:ascii="Arial" w:hAnsi="Arial" w:cs="Arial"/>
          <w:sz w:val="24"/>
          <w:szCs w:val="24"/>
        </w:rPr>
        <w:t>lthough there are no dedicated RCTs to compare CABG vs PCI in the ACS setting</w:t>
      </w:r>
      <w:r w:rsidR="003556C7">
        <w:rPr>
          <w:rFonts w:ascii="Arial" w:hAnsi="Arial" w:cs="Arial"/>
          <w:sz w:val="24"/>
          <w:szCs w:val="24"/>
        </w:rPr>
        <w:t>.</w:t>
      </w:r>
      <w:r w:rsidRPr="00A71F31">
        <w:rPr>
          <w:rFonts w:ascii="Arial" w:hAnsi="Arial" w:cs="Arial"/>
          <w:sz w:val="24"/>
          <w:szCs w:val="24"/>
        </w:rPr>
        <w:t xml:space="preserve"> </w:t>
      </w:r>
      <w:r w:rsidR="003556C7">
        <w:rPr>
          <w:rFonts w:ascii="Arial" w:hAnsi="Arial" w:cs="Arial"/>
          <w:sz w:val="24"/>
          <w:szCs w:val="24"/>
        </w:rPr>
        <w:t>A</w:t>
      </w:r>
      <w:r w:rsidRPr="00A71F31">
        <w:rPr>
          <w:rFonts w:ascii="Arial" w:hAnsi="Arial" w:cs="Arial"/>
          <w:sz w:val="24"/>
          <w:szCs w:val="24"/>
        </w:rPr>
        <w:t>ccording to two large patient-level meta-analyses, the choice of revascularisation in multivessel disease, often encountered in ACS</w:t>
      </w:r>
      <w:r w:rsidR="00F70B6B">
        <w:rPr>
          <w:rFonts w:ascii="Arial" w:hAnsi="Arial" w:cs="Arial"/>
          <w:sz w:val="24"/>
          <w:szCs w:val="24"/>
        </w:rPr>
        <w:t>,</w:t>
      </w:r>
      <w:r w:rsidRPr="00A71F31">
        <w:rPr>
          <w:rFonts w:ascii="Arial" w:hAnsi="Arial" w:cs="Arial"/>
          <w:sz w:val="24"/>
          <w:szCs w:val="24"/>
        </w:rPr>
        <w:t xml:space="preserve"> is dictated by </w:t>
      </w:r>
      <w:r w:rsidRPr="00A71F31">
        <w:rPr>
          <w:rFonts w:ascii="Arial" w:hAnsi="Arial" w:cs="Arial"/>
          <w:sz w:val="24"/>
          <w:szCs w:val="24"/>
        </w:rPr>
        <w:lastRenderedPageBreak/>
        <w:t xml:space="preserve">anatomical complexity and extent of disease, the presence of diabetes and comorbid states, the need for expeditious revascularisation, and surgical risk scores. (213, 214) Revascularisation in CCS, however, has a modest (at most) effect on MACE and prognosis and is therefore reserved for patients who remain symptomatic despite OMT or for specific indications like left main stem (LMS) disease, impaired LV function, and extensive ischaemia (&gt;10% of the myocardium). (215) </w:t>
      </w:r>
    </w:p>
    <w:p w14:paraId="50831894" w14:textId="77777777" w:rsidR="003E7097" w:rsidRDefault="003E7097" w:rsidP="005B5FB4">
      <w:pPr>
        <w:spacing w:after="0" w:line="360" w:lineRule="auto"/>
        <w:jc w:val="both"/>
        <w:rPr>
          <w:rFonts w:ascii="Arial" w:hAnsi="Arial" w:cs="Arial"/>
          <w:sz w:val="24"/>
          <w:szCs w:val="24"/>
        </w:rPr>
      </w:pPr>
    </w:p>
    <w:p w14:paraId="77A3713D" w14:textId="6D602D22" w:rsidR="004942B6" w:rsidRDefault="00A71F31" w:rsidP="00E61ACC">
      <w:pPr>
        <w:spacing w:after="0" w:line="360" w:lineRule="auto"/>
        <w:jc w:val="both"/>
        <w:rPr>
          <w:rFonts w:ascii="Arial" w:hAnsi="Arial" w:cs="Arial"/>
          <w:sz w:val="24"/>
          <w:szCs w:val="24"/>
        </w:rPr>
      </w:pPr>
      <w:r w:rsidRPr="00A71F31">
        <w:rPr>
          <w:rFonts w:ascii="Arial" w:hAnsi="Arial" w:cs="Arial"/>
          <w:sz w:val="24"/>
          <w:szCs w:val="24"/>
        </w:rPr>
        <w:t>The above results also highlight another important aspect from the health economics perspective</w:t>
      </w:r>
      <w:r w:rsidR="003E7097">
        <w:rPr>
          <w:rFonts w:ascii="Arial" w:hAnsi="Arial" w:cs="Arial"/>
          <w:sz w:val="24"/>
          <w:szCs w:val="24"/>
        </w:rPr>
        <w:t>;</w:t>
      </w:r>
      <w:r w:rsidRPr="00A71F31">
        <w:rPr>
          <w:rFonts w:ascii="Arial" w:hAnsi="Arial" w:cs="Arial"/>
          <w:sz w:val="24"/>
          <w:szCs w:val="24"/>
        </w:rPr>
        <w:t xml:space="preserve"> that, despite OMT having a lower cost than invasive treatment, it led to more re-admissions and revascularisations, ultimately inflating the costs. Conversely, revascularisation may be expensive in the short term but more cost-effective in the long run.</w:t>
      </w:r>
      <w:r w:rsidR="0051554E">
        <w:rPr>
          <w:rFonts w:ascii="Arial" w:hAnsi="Arial" w:cs="Arial"/>
          <w:sz w:val="24"/>
          <w:szCs w:val="24"/>
        </w:rPr>
        <w:t xml:space="preserve"> </w:t>
      </w:r>
      <w:r w:rsidR="00D0006C">
        <w:rPr>
          <w:rFonts w:ascii="Arial" w:hAnsi="Arial" w:cs="Arial"/>
          <w:sz w:val="24"/>
          <w:szCs w:val="24"/>
        </w:rPr>
        <w:t xml:space="preserve">This </w:t>
      </w:r>
      <w:r w:rsidR="00D0006C" w:rsidRPr="00A71F31">
        <w:rPr>
          <w:rFonts w:ascii="Arial" w:hAnsi="Arial" w:cs="Arial"/>
          <w:sz w:val="24"/>
          <w:szCs w:val="24"/>
        </w:rPr>
        <w:t>observation presupposes that PCI is feasible in patients presently allocated to medical therapy</w:t>
      </w:r>
      <w:r w:rsidR="00FC28AC">
        <w:rPr>
          <w:rFonts w:ascii="Arial" w:hAnsi="Arial" w:cs="Arial"/>
          <w:sz w:val="24"/>
          <w:szCs w:val="24"/>
        </w:rPr>
        <w:t>. However, i</w:t>
      </w:r>
      <w:r w:rsidR="00FC28AC" w:rsidRPr="00FC28AC">
        <w:rPr>
          <w:rFonts w:ascii="Arial" w:hAnsi="Arial" w:cs="Arial"/>
          <w:sz w:val="24"/>
          <w:szCs w:val="24"/>
        </w:rPr>
        <w:t>n real-world clinical practice, medical therapy might be considered</w:t>
      </w:r>
      <w:r w:rsidR="00FC28AC">
        <w:rPr>
          <w:rFonts w:ascii="Arial" w:hAnsi="Arial" w:cs="Arial"/>
          <w:sz w:val="24"/>
          <w:szCs w:val="24"/>
        </w:rPr>
        <w:t xml:space="preserve"> more appropriate</w:t>
      </w:r>
      <w:r w:rsidR="00FC28AC" w:rsidRPr="00FC28AC">
        <w:rPr>
          <w:rFonts w:ascii="Arial" w:hAnsi="Arial" w:cs="Arial"/>
          <w:sz w:val="24"/>
          <w:szCs w:val="24"/>
        </w:rPr>
        <w:t xml:space="preserve"> for certain patients, even if angiographic findings suggest the need for</w:t>
      </w:r>
      <w:r w:rsidR="00FC28AC">
        <w:rPr>
          <w:rFonts w:ascii="Arial" w:hAnsi="Arial" w:cs="Arial"/>
          <w:sz w:val="24"/>
          <w:szCs w:val="24"/>
        </w:rPr>
        <w:t xml:space="preserve"> revascularisation</w:t>
      </w:r>
      <w:r w:rsidR="00FC28AC" w:rsidRPr="00FC28AC">
        <w:rPr>
          <w:rFonts w:ascii="Arial" w:hAnsi="Arial" w:cs="Arial"/>
          <w:sz w:val="24"/>
          <w:szCs w:val="24"/>
        </w:rPr>
        <w:t>, particularly when the potential risks outweigh the anticipated benefits.</w:t>
      </w:r>
      <w:r w:rsidR="00511788" w:rsidRPr="00511788">
        <w:t xml:space="preserve"> </w:t>
      </w:r>
      <w:r w:rsidR="00990230">
        <w:rPr>
          <w:rFonts w:ascii="Arial" w:hAnsi="Arial" w:cs="Arial"/>
          <w:sz w:val="24"/>
          <w:szCs w:val="24"/>
        </w:rPr>
        <w:t>Hence</w:t>
      </w:r>
      <w:r w:rsidR="00990230" w:rsidRPr="00990230">
        <w:rPr>
          <w:rFonts w:ascii="Arial" w:hAnsi="Arial" w:cs="Arial"/>
          <w:sz w:val="24"/>
          <w:szCs w:val="24"/>
        </w:rPr>
        <w:t>, it</w:t>
      </w:r>
      <w:r w:rsidR="00990230">
        <w:rPr>
          <w:rFonts w:ascii="Arial" w:hAnsi="Arial" w:cs="Arial"/>
          <w:sz w:val="24"/>
          <w:szCs w:val="24"/>
        </w:rPr>
        <w:t xml:space="preserve"> is important</w:t>
      </w:r>
      <w:r w:rsidR="00990230" w:rsidRPr="00990230">
        <w:rPr>
          <w:rFonts w:ascii="Arial" w:hAnsi="Arial" w:cs="Arial"/>
          <w:sz w:val="24"/>
          <w:szCs w:val="24"/>
        </w:rPr>
        <w:t xml:space="preserve"> to carefully interpret the a</w:t>
      </w:r>
      <w:r w:rsidR="00990230">
        <w:rPr>
          <w:rFonts w:ascii="Arial" w:hAnsi="Arial" w:cs="Arial"/>
          <w:sz w:val="24"/>
          <w:szCs w:val="24"/>
        </w:rPr>
        <w:t>forementioned</w:t>
      </w:r>
      <w:r w:rsidR="00990230" w:rsidRPr="00990230">
        <w:rPr>
          <w:rFonts w:ascii="Arial" w:hAnsi="Arial" w:cs="Arial"/>
          <w:sz w:val="24"/>
          <w:szCs w:val="24"/>
        </w:rPr>
        <w:t xml:space="preserve"> </w:t>
      </w:r>
      <w:r w:rsidR="00A83BE8">
        <w:rPr>
          <w:rFonts w:ascii="Arial" w:hAnsi="Arial" w:cs="Arial"/>
          <w:sz w:val="24"/>
          <w:szCs w:val="24"/>
        </w:rPr>
        <w:t>results</w:t>
      </w:r>
      <w:r w:rsidR="00990230" w:rsidRPr="00990230">
        <w:rPr>
          <w:rFonts w:ascii="Arial" w:hAnsi="Arial" w:cs="Arial"/>
          <w:sz w:val="24"/>
          <w:szCs w:val="24"/>
        </w:rPr>
        <w:t xml:space="preserve">, taking into account the assumption </w:t>
      </w:r>
      <w:r w:rsidR="00853A0F">
        <w:rPr>
          <w:rFonts w:ascii="Arial" w:hAnsi="Arial" w:cs="Arial"/>
          <w:sz w:val="24"/>
          <w:szCs w:val="24"/>
        </w:rPr>
        <w:t xml:space="preserve">that </w:t>
      </w:r>
      <w:r w:rsidR="0072630C">
        <w:rPr>
          <w:rFonts w:ascii="Arial" w:hAnsi="Arial" w:cs="Arial"/>
          <w:sz w:val="24"/>
          <w:szCs w:val="24"/>
        </w:rPr>
        <w:t xml:space="preserve">the </w:t>
      </w:r>
      <w:r w:rsidR="00E47AF0">
        <w:rPr>
          <w:rFonts w:ascii="Arial" w:hAnsi="Arial" w:cs="Arial"/>
          <w:sz w:val="24"/>
          <w:szCs w:val="24"/>
        </w:rPr>
        <w:t xml:space="preserve">patients </w:t>
      </w:r>
      <w:r w:rsidR="00265CA7">
        <w:rPr>
          <w:rFonts w:ascii="Arial" w:hAnsi="Arial" w:cs="Arial"/>
          <w:sz w:val="24"/>
          <w:szCs w:val="24"/>
        </w:rPr>
        <w:t>are suitable for</w:t>
      </w:r>
      <w:r w:rsidR="0072630C">
        <w:rPr>
          <w:rFonts w:ascii="Arial" w:hAnsi="Arial" w:cs="Arial"/>
          <w:sz w:val="24"/>
          <w:szCs w:val="24"/>
        </w:rPr>
        <w:t xml:space="preserve"> </w:t>
      </w:r>
      <w:r w:rsidR="00265CA7">
        <w:rPr>
          <w:rFonts w:ascii="Arial" w:hAnsi="Arial" w:cs="Arial"/>
          <w:sz w:val="24"/>
          <w:szCs w:val="24"/>
        </w:rPr>
        <w:t xml:space="preserve">revascularisation. </w:t>
      </w:r>
      <w:r w:rsidR="006E076B">
        <w:rPr>
          <w:rFonts w:ascii="Arial" w:hAnsi="Arial" w:cs="Arial"/>
          <w:sz w:val="24"/>
          <w:szCs w:val="24"/>
        </w:rPr>
        <w:t>Furthermore</w:t>
      </w:r>
      <w:r w:rsidRPr="00A71F31">
        <w:rPr>
          <w:rFonts w:ascii="Arial" w:hAnsi="Arial" w:cs="Arial"/>
          <w:sz w:val="24"/>
          <w:szCs w:val="24"/>
        </w:rPr>
        <w:t>, the duration of follow-up in this study was one year, and a longer follow-up could provide information about the impact upon long-term MACE, repeat hospitalisation and repeat revascularisation with conservative and invasive strategies in both ACS and CCS settings.</w:t>
      </w:r>
    </w:p>
    <w:p w14:paraId="61D8EE77" w14:textId="77777777" w:rsidR="00E61ACC" w:rsidRPr="00E61ACC" w:rsidRDefault="00E61ACC" w:rsidP="00E61ACC">
      <w:pPr>
        <w:spacing w:after="0" w:line="360" w:lineRule="auto"/>
        <w:jc w:val="both"/>
        <w:rPr>
          <w:rFonts w:ascii="Arial" w:hAnsi="Arial" w:cs="Arial"/>
          <w:sz w:val="24"/>
          <w:szCs w:val="24"/>
        </w:rPr>
      </w:pPr>
    </w:p>
    <w:p w14:paraId="543C2AB1" w14:textId="3036CA8B" w:rsidR="004942B6" w:rsidRPr="00672F77" w:rsidRDefault="004942B6" w:rsidP="00672F77">
      <w:pPr>
        <w:pStyle w:val="Heading3"/>
        <w:jc w:val="both"/>
        <w:rPr>
          <w:rFonts w:ascii="Arial" w:hAnsi="Arial" w:cs="Arial"/>
          <w:color w:val="4472C4" w:themeColor="accent1"/>
          <w:sz w:val="24"/>
          <w:szCs w:val="24"/>
        </w:rPr>
      </w:pPr>
      <w:bookmarkStart w:id="1464" w:name="_Toc171203952"/>
      <w:r w:rsidRPr="00672F77">
        <w:rPr>
          <w:rFonts w:ascii="Arial" w:hAnsi="Arial" w:cs="Arial"/>
          <w:color w:val="4472C4" w:themeColor="accent1"/>
          <w:sz w:val="24"/>
          <w:szCs w:val="24"/>
        </w:rPr>
        <w:t>4.</w:t>
      </w:r>
      <w:r w:rsidR="00E61ACC" w:rsidRPr="00672F77">
        <w:rPr>
          <w:rFonts w:ascii="Arial" w:hAnsi="Arial" w:cs="Arial"/>
          <w:color w:val="4472C4" w:themeColor="accent1"/>
          <w:sz w:val="24"/>
          <w:szCs w:val="24"/>
        </w:rPr>
        <w:t>2.2</w:t>
      </w:r>
      <w:r w:rsidRPr="00672F77">
        <w:rPr>
          <w:rFonts w:ascii="Arial" w:hAnsi="Arial" w:cs="Arial"/>
          <w:color w:val="4472C4" w:themeColor="accent1"/>
          <w:sz w:val="24"/>
          <w:szCs w:val="24"/>
        </w:rPr>
        <w:t xml:space="preserve"> </w:t>
      </w:r>
      <w:r w:rsidR="00DD4E09">
        <w:rPr>
          <w:rFonts w:ascii="Arial" w:hAnsi="Arial" w:cs="Arial"/>
          <w:color w:val="4472C4" w:themeColor="accent1"/>
          <w:sz w:val="24"/>
          <w:szCs w:val="24"/>
        </w:rPr>
        <w:t>I</w:t>
      </w:r>
      <w:r w:rsidR="00EF712B" w:rsidRPr="00672F77">
        <w:rPr>
          <w:rFonts w:ascii="Arial" w:hAnsi="Arial" w:cs="Arial"/>
          <w:color w:val="4472C4" w:themeColor="accent1"/>
          <w:sz w:val="24"/>
          <w:szCs w:val="24"/>
        </w:rPr>
        <w:t xml:space="preserve">nterval </w:t>
      </w:r>
      <w:r w:rsidR="001A5913" w:rsidRPr="00672F77">
        <w:rPr>
          <w:rFonts w:ascii="Arial" w:hAnsi="Arial" w:cs="Arial"/>
          <w:color w:val="4472C4" w:themeColor="accent1"/>
          <w:sz w:val="24"/>
          <w:szCs w:val="24"/>
        </w:rPr>
        <w:t>changes in QOL</w:t>
      </w:r>
      <w:r w:rsidR="00EF712B" w:rsidRPr="00672F77">
        <w:rPr>
          <w:rFonts w:ascii="Arial" w:hAnsi="Arial" w:cs="Arial"/>
          <w:color w:val="4472C4" w:themeColor="accent1"/>
          <w:sz w:val="24"/>
          <w:szCs w:val="24"/>
        </w:rPr>
        <w:t xml:space="preserve"> scores</w:t>
      </w:r>
      <w:r w:rsidR="001A5913" w:rsidRPr="00672F77">
        <w:rPr>
          <w:rFonts w:ascii="Arial" w:hAnsi="Arial" w:cs="Arial"/>
          <w:color w:val="4472C4" w:themeColor="accent1"/>
          <w:sz w:val="24"/>
          <w:szCs w:val="24"/>
        </w:rPr>
        <w:t xml:space="preserve"> at</w:t>
      </w:r>
      <w:r w:rsidR="006A2C6F" w:rsidRPr="00672F77">
        <w:rPr>
          <w:rFonts w:ascii="Arial" w:hAnsi="Arial" w:cs="Arial"/>
          <w:color w:val="4472C4" w:themeColor="accent1"/>
          <w:sz w:val="24"/>
          <w:szCs w:val="24"/>
        </w:rPr>
        <w:t xml:space="preserve"> one year </w:t>
      </w:r>
      <w:r w:rsidR="001A5913" w:rsidRPr="00672F77">
        <w:rPr>
          <w:rFonts w:ascii="Arial" w:hAnsi="Arial" w:cs="Arial"/>
          <w:color w:val="4472C4" w:themeColor="accent1"/>
          <w:sz w:val="24"/>
          <w:szCs w:val="24"/>
        </w:rPr>
        <w:t>follow-up</w:t>
      </w:r>
      <w:bookmarkEnd w:id="1464"/>
    </w:p>
    <w:p w14:paraId="6BFA9A2C" w14:textId="0E829C09" w:rsidR="001124EA" w:rsidRPr="001124EA" w:rsidRDefault="001124EA" w:rsidP="001124EA">
      <w:pPr>
        <w:spacing w:line="360" w:lineRule="auto"/>
        <w:jc w:val="both"/>
        <w:rPr>
          <w:rFonts w:ascii="Arial" w:hAnsi="Arial" w:cs="Arial"/>
          <w:color w:val="000000"/>
          <w:sz w:val="24"/>
          <w:szCs w:val="24"/>
        </w:rPr>
      </w:pPr>
      <w:r w:rsidRPr="001124EA">
        <w:rPr>
          <w:rFonts w:ascii="Arial" w:hAnsi="Arial" w:cs="Arial"/>
          <w:color w:val="000000"/>
          <w:sz w:val="24"/>
          <w:szCs w:val="24"/>
        </w:rPr>
        <w:t xml:space="preserve">In clinical and research practice, patient-reported outcome measures (PROMs) serve as a tool to estimate treatment effectiveness and provide a deeper insight into patients’ QOL. CAD research, however, has been primarily focused on the critical measurable hard endpoints, with scant data on QOL outcomes for individual patients. Even the limited studies reporting QOL scores in CAD have not segregated them according to cardiac and non-cardiac reasons for the reduction in QOL, so there remains a need for further probing these in larger trials. This study evaluated QOL scores pre- and post-exclusion of the non-cardiac reasons for reduction. In the pre-exclusion analysis, the QOL scores showed no compelling change at one-year follow-up (0.2% increase in EQ-VAS, p=0.99 and 0.1% in EQ-indexed, p=0.99). In the ACS cohort, 105/186 </w:t>
      </w:r>
      <w:r w:rsidRPr="001124EA">
        <w:rPr>
          <w:rFonts w:ascii="Arial" w:hAnsi="Arial" w:cs="Arial"/>
          <w:color w:val="000000"/>
          <w:sz w:val="24"/>
          <w:szCs w:val="24"/>
        </w:rPr>
        <w:lastRenderedPageBreak/>
        <w:t xml:space="preserve">(56.4%) patients had an increase, 67/186 (36%) a decrease, and 14/186 (7.5%) no change in QOL scores from baseline to one year. In the CCS cohort, 57/86 (66.2%) had an increase, 28/86 (32.5%) had a decrease, and 1/86 (1.1%) remained unchanged. The % interval increment in QOL scores at one year for the ACS cohort was 0.15% in EQ-VAS (p=0.92) and 0.1% in EQ-indexed scores (p=0.99), whereas, in the CCS cohort, a % interval increment of 0.8% in EQ-VAS (p=0.70) and 1% in EQ-indexed scores (p=0.24) was observed. </w:t>
      </w:r>
    </w:p>
    <w:p w14:paraId="2D151AD2" w14:textId="37E4171C" w:rsidR="001124EA" w:rsidRDefault="001124EA" w:rsidP="001124EA">
      <w:pPr>
        <w:spacing w:line="360" w:lineRule="auto"/>
        <w:jc w:val="both"/>
        <w:rPr>
          <w:rFonts w:ascii="Arial" w:hAnsi="Arial" w:cs="Arial"/>
          <w:color w:val="000000"/>
          <w:sz w:val="24"/>
          <w:szCs w:val="24"/>
        </w:rPr>
      </w:pPr>
      <w:r w:rsidRPr="001124EA">
        <w:rPr>
          <w:rFonts w:ascii="Arial" w:hAnsi="Arial" w:cs="Arial"/>
          <w:color w:val="000000"/>
          <w:sz w:val="24"/>
          <w:szCs w:val="24"/>
        </w:rPr>
        <w:t xml:space="preserve">After the exclusion of patients with non-cardiac </w:t>
      </w:r>
      <w:r w:rsidR="00025BD9">
        <w:rPr>
          <w:rFonts w:ascii="Arial" w:hAnsi="Arial" w:cs="Arial"/>
          <w:color w:val="000000"/>
          <w:sz w:val="24"/>
          <w:szCs w:val="24"/>
        </w:rPr>
        <w:t>causes</w:t>
      </w:r>
      <w:r w:rsidRPr="001124EA">
        <w:rPr>
          <w:rFonts w:ascii="Arial" w:hAnsi="Arial" w:cs="Arial"/>
          <w:color w:val="000000"/>
          <w:sz w:val="24"/>
          <w:szCs w:val="24"/>
        </w:rPr>
        <w:t xml:space="preserve">, it became evident that reduced QOL scores were </w:t>
      </w:r>
      <w:r w:rsidR="00025BD9">
        <w:rPr>
          <w:rFonts w:ascii="Arial" w:hAnsi="Arial" w:cs="Arial"/>
          <w:color w:val="000000"/>
          <w:sz w:val="24"/>
          <w:szCs w:val="24"/>
        </w:rPr>
        <w:t xml:space="preserve">mostly </w:t>
      </w:r>
      <w:r w:rsidRPr="001124EA">
        <w:rPr>
          <w:rFonts w:ascii="Arial" w:hAnsi="Arial" w:cs="Arial"/>
          <w:color w:val="000000"/>
          <w:sz w:val="24"/>
          <w:szCs w:val="24"/>
        </w:rPr>
        <w:t xml:space="preserve">related to non-cardiac </w:t>
      </w:r>
      <w:r w:rsidR="00025BD9">
        <w:rPr>
          <w:rFonts w:ascii="Arial" w:hAnsi="Arial" w:cs="Arial"/>
          <w:color w:val="000000"/>
          <w:sz w:val="24"/>
          <w:szCs w:val="24"/>
        </w:rPr>
        <w:t>causes</w:t>
      </w:r>
      <w:r w:rsidRPr="001124EA">
        <w:rPr>
          <w:rFonts w:ascii="Arial" w:hAnsi="Arial" w:cs="Arial"/>
          <w:color w:val="000000"/>
          <w:sz w:val="24"/>
          <w:szCs w:val="24"/>
        </w:rPr>
        <w:t xml:space="preserve">. It applied to 50/67 (74.6%) patients in the ACS cohort and 23/28 (82.1%) in the CCS cohort. </w:t>
      </w:r>
      <w:r w:rsidR="00025BD9">
        <w:rPr>
          <w:rFonts w:ascii="Arial" w:hAnsi="Arial" w:cs="Arial"/>
          <w:color w:val="000000"/>
          <w:sz w:val="24"/>
          <w:szCs w:val="24"/>
        </w:rPr>
        <w:t>The non-cardiac causes</w:t>
      </w:r>
      <w:r w:rsidRPr="001124EA">
        <w:rPr>
          <w:rFonts w:ascii="Arial" w:hAnsi="Arial" w:cs="Arial"/>
          <w:color w:val="000000"/>
          <w:sz w:val="24"/>
          <w:szCs w:val="24"/>
        </w:rPr>
        <w:t xml:space="preserve"> includ</w:t>
      </w:r>
      <w:r w:rsidR="00025BD9">
        <w:rPr>
          <w:rFonts w:ascii="Arial" w:hAnsi="Arial" w:cs="Arial"/>
          <w:color w:val="000000"/>
          <w:sz w:val="24"/>
          <w:szCs w:val="24"/>
        </w:rPr>
        <w:t>ed</w:t>
      </w:r>
      <w:r w:rsidRPr="001124EA">
        <w:rPr>
          <w:rFonts w:ascii="Arial" w:hAnsi="Arial" w:cs="Arial"/>
          <w:color w:val="000000"/>
          <w:sz w:val="24"/>
          <w:szCs w:val="24"/>
        </w:rPr>
        <w:t xml:space="preserve"> mental health problems, arthritis, COPD, cancer, inflammatory bowel disease and frailty (summarised in Table 12). The repeat analysis after the exclusion of non-cardiac reductions (n=193) revealed an increase of 9% in EQ-VAS (p&lt;0.001) and 7% in EQ-indexed scores. It corresponds to a % increase in QOL of 8.9% on EQ-VAS (p=0.001) and 10% on EQ-indexed scores (p=0.001) in ACS (n=130), and a % increase of 8.9% in EQ-VAS (p=0.001) and 7% on EQ-indexed scores (p=0.003) in CCS patients (n=63).</w:t>
      </w:r>
    </w:p>
    <w:p w14:paraId="3876E75E" w14:textId="6AC849DB" w:rsidR="004942B6" w:rsidRPr="00672F77" w:rsidRDefault="004942B6" w:rsidP="00672F77">
      <w:pPr>
        <w:pStyle w:val="Heading3"/>
        <w:rPr>
          <w:rFonts w:ascii="Arial" w:hAnsi="Arial" w:cs="Arial"/>
          <w:color w:val="4472C4" w:themeColor="accent1"/>
          <w:sz w:val="24"/>
          <w:szCs w:val="24"/>
        </w:rPr>
      </w:pPr>
      <w:r w:rsidRPr="00DE13CF">
        <w:rPr>
          <w:color w:val="4472C4" w:themeColor="accent1"/>
        </w:rPr>
        <w:tab/>
      </w:r>
    </w:p>
    <w:p w14:paraId="4496CC27" w14:textId="77EBA8BE" w:rsidR="004942B6" w:rsidRPr="00672F77" w:rsidRDefault="004942B6" w:rsidP="00672F77">
      <w:pPr>
        <w:pStyle w:val="Heading3"/>
        <w:rPr>
          <w:rFonts w:ascii="Arial" w:hAnsi="Arial" w:cs="Arial"/>
          <w:color w:val="4472C4" w:themeColor="accent1"/>
          <w:sz w:val="24"/>
          <w:szCs w:val="24"/>
        </w:rPr>
      </w:pPr>
      <w:bookmarkStart w:id="1465" w:name="_Toc171203953"/>
      <w:r w:rsidRPr="00672F77">
        <w:rPr>
          <w:rFonts w:ascii="Arial" w:hAnsi="Arial" w:cs="Arial"/>
          <w:color w:val="4472C4" w:themeColor="accent1"/>
          <w:sz w:val="24"/>
          <w:szCs w:val="24"/>
        </w:rPr>
        <w:t>4.</w:t>
      </w:r>
      <w:r w:rsidR="00E61ACC" w:rsidRPr="00672F77">
        <w:rPr>
          <w:rFonts w:ascii="Arial" w:hAnsi="Arial" w:cs="Arial"/>
          <w:color w:val="4472C4" w:themeColor="accent1"/>
          <w:sz w:val="24"/>
          <w:szCs w:val="24"/>
        </w:rPr>
        <w:t>2.3</w:t>
      </w:r>
      <w:r w:rsidRPr="00672F77">
        <w:rPr>
          <w:rFonts w:ascii="Arial" w:hAnsi="Arial" w:cs="Arial"/>
          <w:color w:val="4472C4" w:themeColor="accent1"/>
          <w:sz w:val="24"/>
          <w:szCs w:val="24"/>
        </w:rPr>
        <w:t xml:space="preserve"> </w:t>
      </w:r>
      <w:r w:rsidR="004E3CDA" w:rsidRPr="00672F77">
        <w:rPr>
          <w:rFonts w:ascii="Arial" w:hAnsi="Arial" w:cs="Arial"/>
          <w:color w:val="4472C4" w:themeColor="accent1"/>
          <w:sz w:val="24"/>
          <w:szCs w:val="24"/>
        </w:rPr>
        <w:t>Did the adopted management strategy impact the QOL scores?</w:t>
      </w:r>
      <w:bookmarkEnd w:id="1465"/>
    </w:p>
    <w:p w14:paraId="597063A5" w14:textId="4F6D5335" w:rsidR="00F57247" w:rsidRPr="00F57247" w:rsidRDefault="00F57247" w:rsidP="00F57247">
      <w:pPr>
        <w:spacing w:line="360" w:lineRule="auto"/>
        <w:jc w:val="both"/>
        <w:rPr>
          <w:rFonts w:ascii="Arial" w:hAnsi="Arial" w:cs="Arial"/>
          <w:sz w:val="24"/>
          <w:szCs w:val="24"/>
        </w:rPr>
      </w:pPr>
      <w:r w:rsidRPr="00F57247">
        <w:rPr>
          <w:rFonts w:ascii="Arial" w:hAnsi="Arial" w:cs="Arial"/>
          <w:sz w:val="24"/>
          <w:szCs w:val="24"/>
        </w:rPr>
        <w:t xml:space="preserve">In addition to assessing the clinical effectiveness of any treatment modality, it is </w:t>
      </w:r>
      <w:r w:rsidR="008F4F62">
        <w:rPr>
          <w:rFonts w:ascii="Arial" w:hAnsi="Arial" w:cs="Arial"/>
          <w:sz w:val="24"/>
          <w:szCs w:val="24"/>
        </w:rPr>
        <w:t>important</w:t>
      </w:r>
      <w:r w:rsidRPr="00F57247">
        <w:rPr>
          <w:rFonts w:ascii="Arial" w:hAnsi="Arial" w:cs="Arial"/>
          <w:sz w:val="24"/>
          <w:szCs w:val="24"/>
        </w:rPr>
        <w:t xml:space="preserve"> to ascertain whether the improvement in clinical outcomes translates into improvement in the patient’s QOL. Both the COURAGE and ISCHAEMIA trials demonstrated that invasive treatment with PCI or CABG resulted in higher QOL than medically treated patients with stable coronary artery disease. (183, 184) A similar trend was noted for patients with ACS in the RITA-3 study, which showed more improvement in QOL for invasively treated patients than for conservative approaches. (190) My results </w:t>
      </w:r>
      <w:r w:rsidR="00E94EC5">
        <w:rPr>
          <w:rFonts w:ascii="Arial" w:hAnsi="Arial" w:cs="Arial"/>
          <w:sz w:val="24"/>
          <w:szCs w:val="24"/>
        </w:rPr>
        <w:t>accorded</w:t>
      </w:r>
      <w:r w:rsidRPr="00F57247">
        <w:rPr>
          <w:rFonts w:ascii="Arial" w:hAnsi="Arial" w:cs="Arial"/>
          <w:sz w:val="24"/>
          <w:szCs w:val="24"/>
        </w:rPr>
        <w:t xml:space="preserve"> with the outcomes of these trials</w:t>
      </w:r>
      <w:r w:rsidR="00E94EC5">
        <w:rPr>
          <w:rFonts w:ascii="Arial" w:hAnsi="Arial" w:cs="Arial"/>
          <w:sz w:val="24"/>
          <w:szCs w:val="24"/>
        </w:rPr>
        <w:t>:</w:t>
      </w:r>
      <w:r w:rsidRPr="00F57247">
        <w:rPr>
          <w:rFonts w:ascii="Arial" w:hAnsi="Arial" w:cs="Arial"/>
          <w:sz w:val="24"/>
          <w:szCs w:val="24"/>
        </w:rPr>
        <w:t xml:space="preserve"> 29/32 (84.3%) invasively treated patients in the CCS cohort showed an improvement in QOL compared to 30/54 (55.5%) medically treated ones (p=0.007). The </w:t>
      </w:r>
      <w:r w:rsidR="00E94EC5">
        <w:rPr>
          <w:rFonts w:ascii="Arial" w:hAnsi="Arial" w:cs="Arial"/>
          <w:sz w:val="24"/>
          <w:szCs w:val="24"/>
        </w:rPr>
        <w:t xml:space="preserve">magnitude of the </w:t>
      </w:r>
      <w:r w:rsidRPr="00F57247">
        <w:rPr>
          <w:rFonts w:ascii="Arial" w:hAnsi="Arial" w:cs="Arial"/>
          <w:sz w:val="24"/>
          <w:szCs w:val="24"/>
        </w:rPr>
        <w:t xml:space="preserve">increase </w:t>
      </w:r>
      <w:r w:rsidR="0048687F">
        <w:rPr>
          <w:rFonts w:ascii="Arial" w:hAnsi="Arial" w:cs="Arial"/>
          <w:sz w:val="24"/>
          <w:szCs w:val="24"/>
        </w:rPr>
        <w:t>in invasive</w:t>
      </w:r>
      <w:r w:rsidR="001B3DE5">
        <w:rPr>
          <w:rFonts w:ascii="Arial" w:hAnsi="Arial" w:cs="Arial"/>
          <w:sz w:val="24"/>
          <w:szCs w:val="24"/>
        </w:rPr>
        <w:t xml:space="preserve"> group </w:t>
      </w:r>
      <w:r w:rsidRPr="00F57247">
        <w:rPr>
          <w:rFonts w:ascii="Arial" w:hAnsi="Arial" w:cs="Arial"/>
          <w:sz w:val="24"/>
          <w:szCs w:val="24"/>
        </w:rPr>
        <w:t xml:space="preserve">was 7% in EQ-VAS (p=0.03) and 5% in EQ-indexed score (p=0.04), </w:t>
      </w:r>
      <w:r w:rsidR="001B3DE5">
        <w:rPr>
          <w:rFonts w:ascii="Arial" w:hAnsi="Arial" w:cs="Arial"/>
          <w:sz w:val="24"/>
          <w:szCs w:val="24"/>
        </w:rPr>
        <w:t xml:space="preserve">whereas in </w:t>
      </w:r>
      <w:r w:rsidRPr="00F57247">
        <w:rPr>
          <w:rFonts w:ascii="Arial" w:hAnsi="Arial" w:cs="Arial"/>
          <w:sz w:val="24"/>
          <w:szCs w:val="24"/>
        </w:rPr>
        <w:t>medical therapy</w:t>
      </w:r>
      <w:r w:rsidR="001B3DE5">
        <w:rPr>
          <w:rFonts w:ascii="Arial" w:hAnsi="Arial" w:cs="Arial"/>
          <w:sz w:val="24"/>
          <w:szCs w:val="24"/>
        </w:rPr>
        <w:t>, there</w:t>
      </w:r>
      <w:r w:rsidRPr="00F57247">
        <w:rPr>
          <w:rFonts w:ascii="Arial" w:hAnsi="Arial" w:cs="Arial"/>
          <w:sz w:val="24"/>
          <w:szCs w:val="24"/>
        </w:rPr>
        <w:t xml:space="preserve"> was only a 0.9% increase in EQ-VAS (p=0.73) and 1% increase in EQ-indexed score (p=0.26). Similarly, in the ACS cohort, 80/141 (56.7%) invasively treated patients reported an increase in QOL compared to 25/39 (64.1%) patients </w:t>
      </w:r>
      <w:r w:rsidRPr="00F57247">
        <w:rPr>
          <w:rFonts w:ascii="Arial" w:hAnsi="Arial" w:cs="Arial"/>
          <w:sz w:val="24"/>
          <w:szCs w:val="24"/>
        </w:rPr>
        <w:lastRenderedPageBreak/>
        <w:t xml:space="preserve">treated with medical treatment (p=0.46). The </w:t>
      </w:r>
      <w:r w:rsidR="00E94EC5">
        <w:rPr>
          <w:rFonts w:ascii="Arial" w:hAnsi="Arial" w:cs="Arial"/>
          <w:sz w:val="24"/>
          <w:szCs w:val="24"/>
        </w:rPr>
        <w:t xml:space="preserve">magnitude of </w:t>
      </w:r>
      <w:r w:rsidR="00213FB6">
        <w:rPr>
          <w:rFonts w:ascii="Arial" w:hAnsi="Arial" w:cs="Arial"/>
          <w:sz w:val="24"/>
          <w:szCs w:val="24"/>
        </w:rPr>
        <w:t>the increase</w:t>
      </w:r>
      <w:r w:rsidR="00E94EC5">
        <w:rPr>
          <w:rFonts w:ascii="Arial" w:hAnsi="Arial" w:cs="Arial"/>
          <w:sz w:val="24"/>
          <w:szCs w:val="24"/>
        </w:rPr>
        <w:t xml:space="preserve"> was</w:t>
      </w:r>
      <w:r w:rsidRPr="00F57247">
        <w:rPr>
          <w:rFonts w:ascii="Arial" w:hAnsi="Arial" w:cs="Arial"/>
          <w:sz w:val="24"/>
          <w:szCs w:val="24"/>
        </w:rPr>
        <w:t xml:space="preserve"> 1.8% in EQ-VAS (p=0.28) and 1% in EQ-indexed scores (p=0.12). In comparison, the medically treated patients demonstrated a 3.3% reduction in EQ-VAS (p=0.40) and a 2% reduction in EQ-indexed scores (p=0.26). </w:t>
      </w:r>
    </w:p>
    <w:p w14:paraId="55B62265" w14:textId="6DDE2F14" w:rsidR="004942B6" w:rsidRDefault="00F57247" w:rsidP="00F57247">
      <w:pPr>
        <w:spacing w:line="360" w:lineRule="auto"/>
        <w:jc w:val="both"/>
        <w:rPr>
          <w:rFonts w:ascii="Arial" w:hAnsi="Arial" w:cs="Arial"/>
          <w:sz w:val="24"/>
          <w:szCs w:val="24"/>
        </w:rPr>
      </w:pPr>
      <w:r w:rsidRPr="00F57247">
        <w:rPr>
          <w:rFonts w:ascii="Arial" w:hAnsi="Arial" w:cs="Arial"/>
          <w:sz w:val="24"/>
          <w:szCs w:val="24"/>
        </w:rPr>
        <w:t>The above results point towards two notable outcomes: first, patients who received invasive therapy reported better QOL scores than those who received medical therapy in both ACS and CCS cohorts</w:t>
      </w:r>
      <w:r w:rsidR="00E94EC5">
        <w:rPr>
          <w:rFonts w:ascii="Arial" w:hAnsi="Arial" w:cs="Arial"/>
          <w:sz w:val="24"/>
          <w:szCs w:val="24"/>
        </w:rPr>
        <w:t>;</w:t>
      </w:r>
      <w:r w:rsidRPr="00F57247">
        <w:rPr>
          <w:rFonts w:ascii="Arial" w:hAnsi="Arial" w:cs="Arial"/>
          <w:sz w:val="24"/>
          <w:szCs w:val="24"/>
        </w:rPr>
        <w:t xml:space="preserve"> and second, invasive therapy led to higher QOL in CCS than in the ACS settings. The likely explanation of higher QOL with invasive therapy may be due to a more significant proportion of patients improving in their NYHA and CCS classes than with those with medical treatment. In ACS, 43/141 (30.4%) of the invasively treated patients improved in NYHA, and 22/141 (15.6%) improved in CCS class, compared to medically treated patients where only 5/39 (12%) had an improvement in NYHA and 3/39 (7.6%) had an improvement in the CCS class. Similarly, in the CCS cohort, 26/32 (81%) of the invasively treated patients reported an improvement in CCS class and 24/32 (75%) in NYHA class, whereas in the medically treated patients, only 16/54 (29%) improved in CCS class and 15/54 (27%) in NYHA class, therefore suggesting the </w:t>
      </w:r>
      <w:r w:rsidR="00E94EC5">
        <w:rPr>
          <w:rFonts w:ascii="Arial" w:hAnsi="Arial" w:cs="Arial"/>
          <w:sz w:val="24"/>
          <w:szCs w:val="24"/>
        </w:rPr>
        <w:t>great</w:t>
      </w:r>
      <w:r w:rsidRPr="00F57247">
        <w:rPr>
          <w:rFonts w:ascii="Arial" w:hAnsi="Arial" w:cs="Arial"/>
          <w:sz w:val="24"/>
          <w:szCs w:val="24"/>
        </w:rPr>
        <w:t>er benefit of invasive therapy where revascularisation is indicated.</w:t>
      </w:r>
    </w:p>
    <w:p w14:paraId="0A1938D3" w14:textId="26B83F46" w:rsidR="007D0AD2" w:rsidRDefault="007D0AD2" w:rsidP="007D0AD2">
      <w:pPr>
        <w:spacing w:line="360" w:lineRule="auto"/>
        <w:jc w:val="both"/>
        <w:rPr>
          <w:rFonts w:ascii="Arial" w:hAnsi="Arial" w:cs="Arial"/>
          <w:sz w:val="24"/>
          <w:szCs w:val="24"/>
        </w:rPr>
      </w:pPr>
      <w:r>
        <w:rPr>
          <w:rFonts w:ascii="Arial" w:hAnsi="Arial" w:cs="Arial"/>
          <w:sz w:val="24"/>
          <w:szCs w:val="24"/>
        </w:rPr>
        <w:t xml:space="preserve">It is difficult to ascertain the true cause of </w:t>
      </w:r>
      <w:r w:rsidR="008F4F62">
        <w:rPr>
          <w:rFonts w:ascii="Arial" w:hAnsi="Arial" w:cs="Arial"/>
          <w:sz w:val="24"/>
          <w:szCs w:val="24"/>
        </w:rPr>
        <w:t xml:space="preserve">a </w:t>
      </w:r>
      <w:r>
        <w:rPr>
          <w:rFonts w:ascii="Arial" w:hAnsi="Arial" w:cs="Arial"/>
          <w:sz w:val="24"/>
          <w:szCs w:val="24"/>
        </w:rPr>
        <w:t xml:space="preserve">reduction </w:t>
      </w:r>
      <w:r w:rsidR="008F4F62">
        <w:rPr>
          <w:rFonts w:ascii="Arial" w:hAnsi="Arial" w:cs="Arial"/>
          <w:sz w:val="24"/>
          <w:szCs w:val="24"/>
        </w:rPr>
        <w:t>in</w:t>
      </w:r>
      <w:r>
        <w:rPr>
          <w:rFonts w:ascii="Arial" w:hAnsi="Arial" w:cs="Arial"/>
          <w:sz w:val="24"/>
          <w:szCs w:val="24"/>
        </w:rPr>
        <w:t xml:space="preserve"> QOL in the CCS cohort</w:t>
      </w:r>
      <w:r w:rsidR="008F4F62">
        <w:rPr>
          <w:rFonts w:ascii="Arial" w:hAnsi="Arial" w:cs="Arial"/>
          <w:sz w:val="24"/>
          <w:szCs w:val="24"/>
        </w:rPr>
        <w:t>. It may</w:t>
      </w:r>
      <w:r>
        <w:rPr>
          <w:rFonts w:ascii="Arial" w:hAnsi="Arial" w:cs="Arial"/>
          <w:sz w:val="24"/>
          <w:szCs w:val="24"/>
        </w:rPr>
        <w:t xml:space="preserve"> be multifactorial. COVID-19 </w:t>
      </w:r>
      <w:r w:rsidR="001920F3">
        <w:rPr>
          <w:rFonts w:ascii="Arial" w:hAnsi="Arial" w:cs="Arial"/>
          <w:sz w:val="24"/>
          <w:szCs w:val="24"/>
        </w:rPr>
        <w:t>pandemic-related</w:t>
      </w:r>
      <w:r>
        <w:rPr>
          <w:rFonts w:ascii="Arial" w:hAnsi="Arial" w:cs="Arial"/>
          <w:sz w:val="24"/>
          <w:szCs w:val="24"/>
        </w:rPr>
        <w:t xml:space="preserve"> </w:t>
      </w:r>
      <w:r w:rsidRPr="008432F8">
        <w:rPr>
          <w:rFonts w:ascii="Arial" w:hAnsi="Arial" w:cs="Arial"/>
          <w:sz w:val="24"/>
          <w:szCs w:val="24"/>
        </w:rPr>
        <w:t xml:space="preserve">prolonged waiting times </w:t>
      </w:r>
      <w:r>
        <w:rPr>
          <w:rFonts w:ascii="Arial" w:hAnsi="Arial" w:cs="Arial"/>
          <w:sz w:val="24"/>
          <w:szCs w:val="24"/>
        </w:rPr>
        <w:t>seems to be one of the notable reasons as</w:t>
      </w:r>
      <w:r w:rsidRPr="008432F8">
        <w:rPr>
          <w:rFonts w:ascii="Arial" w:hAnsi="Arial" w:cs="Arial"/>
          <w:sz w:val="24"/>
          <w:szCs w:val="24"/>
        </w:rPr>
        <w:t xml:space="preserve"> several patients </w:t>
      </w:r>
      <w:r>
        <w:rPr>
          <w:rFonts w:ascii="Arial" w:hAnsi="Arial" w:cs="Arial"/>
          <w:sz w:val="24"/>
          <w:szCs w:val="24"/>
        </w:rPr>
        <w:t>experienced significant delays in their planned</w:t>
      </w:r>
      <w:r w:rsidRPr="008432F8">
        <w:rPr>
          <w:rFonts w:ascii="Arial" w:hAnsi="Arial" w:cs="Arial"/>
          <w:sz w:val="24"/>
          <w:szCs w:val="24"/>
        </w:rPr>
        <w:t xml:space="preserve"> revascularisation procedures. These delays were primarily due to the stringent hospital policies implemented during the pandemic, which postponed</w:t>
      </w:r>
      <w:r>
        <w:rPr>
          <w:rFonts w:ascii="Arial" w:hAnsi="Arial" w:cs="Arial"/>
          <w:sz w:val="24"/>
          <w:szCs w:val="24"/>
        </w:rPr>
        <w:t xml:space="preserve"> elective</w:t>
      </w:r>
      <w:r w:rsidRPr="008432F8">
        <w:rPr>
          <w:rFonts w:ascii="Arial" w:hAnsi="Arial" w:cs="Arial"/>
          <w:sz w:val="24"/>
          <w:szCs w:val="24"/>
        </w:rPr>
        <w:t xml:space="preserve"> revascularisation</w:t>
      </w:r>
      <w:r>
        <w:rPr>
          <w:rFonts w:ascii="Arial" w:hAnsi="Arial" w:cs="Arial"/>
          <w:sz w:val="24"/>
          <w:szCs w:val="24"/>
        </w:rPr>
        <w:t xml:space="preserve"> procedures</w:t>
      </w:r>
      <w:r w:rsidRPr="008432F8">
        <w:rPr>
          <w:rFonts w:ascii="Arial" w:hAnsi="Arial" w:cs="Arial"/>
          <w:sz w:val="24"/>
          <w:szCs w:val="24"/>
        </w:rPr>
        <w:t xml:space="preserve"> for a significant portion of the follow-up period. This could have influenced their reported QOL during the follow-up period. In summary, while vFFR could have led to higher costs in CCS compared to ACS due to more invasive treatment suggestions, the resultant gain of improved NYHA and CCS classes and QOL scores might have offset these costs.</w:t>
      </w:r>
    </w:p>
    <w:p w14:paraId="00892004" w14:textId="77777777" w:rsidR="00F57247" w:rsidRPr="00D631EE" w:rsidRDefault="00F57247" w:rsidP="00F57247">
      <w:pPr>
        <w:spacing w:line="360" w:lineRule="auto"/>
        <w:jc w:val="both"/>
        <w:rPr>
          <w:rFonts w:ascii="Arial" w:hAnsi="Arial" w:cs="Arial"/>
          <w:color w:val="0E101A"/>
          <w:sz w:val="24"/>
          <w:szCs w:val="24"/>
          <w:shd w:val="clear" w:color="auto" w:fill="FFFFFF"/>
        </w:rPr>
      </w:pPr>
    </w:p>
    <w:p w14:paraId="47524F30" w14:textId="576B613B" w:rsidR="004942B6" w:rsidRPr="00672F77" w:rsidRDefault="004942B6" w:rsidP="00672F77">
      <w:pPr>
        <w:pStyle w:val="Heading3"/>
        <w:rPr>
          <w:rFonts w:ascii="Arial" w:hAnsi="Arial" w:cs="Arial"/>
          <w:color w:val="4472C4" w:themeColor="accent1"/>
          <w:sz w:val="24"/>
          <w:szCs w:val="24"/>
        </w:rPr>
      </w:pPr>
      <w:bookmarkStart w:id="1466" w:name="_Toc171203954"/>
      <w:r w:rsidRPr="00672F77">
        <w:rPr>
          <w:rFonts w:ascii="Arial" w:hAnsi="Arial" w:cs="Arial"/>
          <w:color w:val="4472C4" w:themeColor="accent1"/>
          <w:sz w:val="24"/>
          <w:szCs w:val="24"/>
        </w:rPr>
        <w:t>4.</w:t>
      </w:r>
      <w:r w:rsidR="00E61ACC" w:rsidRPr="00672F77">
        <w:rPr>
          <w:rFonts w:ascii="Arial" w:hAnsi="Arial" w:cs="Arial"/>
          <w:color w:val="4472C4" w:themeColor="accent1"/>
          <w:sz w:val="24"/>
          <w:szCs w:val="24"/>
        </w:rPr>
        <w:t>2.4</w:t>
      </w:r>
      <w:r w:rsidRPr="00672F77">
        <w:rPr>
          <w:rFonts w:ascii="Arial" w:hAnsi="Arial" w:cs="Arial"/>
          <w:color w:val="4472C4" w:themeColor="accent1"/>
          <w:sz w:val="24"/>
          <w:szCs w:val="24"/>
        </w:rPr>
        <w:t xml:space="preserve"> </w:t>
      </w:r>
      <w:r w:rsidR="008F4F62">
        <w:rPr>
          <w:rFonts w:ascii="Arial" w:hAnsi="Arial" w:cs="Arial"/>
          <w:color w:val="4472C4" w:themeColor="accent1"/>
          <w:sz w:val="24"/>
          <w:szCs w:val="24"/>
        </w:rPr>
        <w:t>G</w:t>
      </w:r>
      <w:r w:rsidR="002C51FD" w:rsidRPr="00672F77">
        <w:rPr>
          <w:rFonts w:ascii="Arial" w:hAnsi="Arial" w:cs="Arial"/>
          <w:color w:val="4472C4" w:themeColor="accent1"/>
          <w:sz w:val="24"/>
          <w:szCs w:val="24"/>
        </w:rPr>
        <w:t>ender disparities in QOL</w:t>
      </w:r>
      <w:bookmarkEnd w:id="1466"/>
    </w:p>
    <w:p w14:paraId="654B33B7" w14:textId="3FFF8857" w:rsidR="00051472" w:rsidRDefault="00051472" w:rsidP="0089368B">
      <w:pPr>
        <w:spacing w:after="0" w:line="360" w:lineRule="auto"/>
        <w:jc w:val="both"/>
        <w:rPr>
          <w:rFonts w:ascii="Arial" w:eastAsia="Times New Roman" w:hAnsi="Arial" w:cs="Arial"/>
          <w:color w:val="212121"/>
          <w:sz w:val="24"/>
          <w:szCs w:val="24"/>
          <w:shd w:val="clear" w:color="auto" w:fill="FFFFFF"/>
          <w:lang w:eastAsia="en-GB"/>
          <w14:ligatures w14:val="none"/>
        </w:rPr>
      </w:pPr>
      <w:r w:rsidRPr="00051472">
        <w:rPr>
          <w:rFonts w:ascii="Arial" w:eastAsia="Times New Roman" w:hAnsi="Arial" w:cs="Arial"/>
          <w:color w:val="212121"/>
          <w:sz w:val="24"/>
          <w:szCs w:val="24"/>
          <w:shd w:val="clear" w:color="auto" w:fill="FFFFFF"/>
          <w:lang w:eastAsia="en-GB"/>
          <w14:ligatures w14:val="none"/>
        </w:rPr>
        <w:t xml:space="preserve">Despite CVD occurring predominantly in men, CAD is equally fatal for both men and women worldwide. A significant gender bias </w:t>
      </w:r>
      <w:r w:rsidR="008F4F62">
        <w:rPr>
          <w:rFonts w:ascii="Arial" w:eastAsia="Times New Roman" w:hAnsi="Arial" w:cs="Arial"/>
          <w:color w:val="212121"/>
          <w:sz w:val="24"/>
          <w:szCs w:val="24"/>
          <w:shd w:val="clear" w:color="auto" w:fill="FFFFFF"/>
          <w:lang w:eastAsia="en-GB"/>
          <w14:ligatures w14:val="none"/>
        </w:rPr>
        <w:t>w</w:t>
      </w:r>
      <w:r w:rsidRPr="00051472">
        <w:rPr>
          <w:rFonts w:ascii="Arial" w:eastAsia="Times New Roman" w:hAnsi="Arial" w:cs="Arial"/>
          <w:color w:val="212121"/>
          <w:sz w:val="24"/>
          <w:szCs w:val="24"/>
          <w:shd w:val="clear" w:color="auto" w:fill="FFFFFF"/>
          <w:lang w:eastAsia="en-GB"/>
          <w14:ligatures w14:val="none"/>
        </w:rPr>
        <w:t xml:space="preserve">as identified </w:t>
      </w:r>
      <w:r w:rsidR="008F4F62">
        <w:rPr>
          <w:rFonts w:ascii="Arial" w:eastAsia="Times New Roman" w:hAnsi="Arial" w:cs="Arial"/>
          <w:color w:val="212121"/>
          <w:sz w:val="24"/>
          <w:szCs w:val="24"/>
          <w:shd w:val="clear" w:color="auto" w:fill="FFFFFF"/>
          <w:lang w:eastAsia="en-GB"/>
          <w14:ligatures w14:val="none"/>
        </w:rPr>
        <w:t xml:space="preserve">in </w:t>
      </w:r>
      <w:r w:rsidRPr="00051472">
        <w:rPr>
          <w:rFonts w:ascii="Arial" w:eastAsia="Times New Roman" w:hAnsi="Arial" w:cs="Arial"/>
          <w:color w:val="212121"/>
          <w:sz w:val="24"/>
          <w:szCs w:val="24"/>
          <w:shd w:val="clear" w:color="auto" w:fill="FFFFFF"/>
          <w:lang w:eastAsia="en-GB"/>
          <w14:ligatures w14:val="none"/>
        </w:rPr>
        <w:t xml:space="preserve">QOL assessment with </w:t>
      </w:r>
      <w:r w:rsidRPr="00051472">
        <w:rPr>
          <w:rFonts w:ascii="Arial" w:eastAsia="Times New Roman" w:hAnsi="Arial" w:cs="Arial"/>
          <w:color w:val="212121"/>
          <w:sz w:val="24"/>
          <w:szCs w:val="24"/>
          <w:shd w:val="clear" w:color="auto" w:fill="FFFFFF"/>
          <w:lang w:eastAsia="en-GB"/>
          <w14:ligatures w14:val="none"/>
        </w:rPr>
        <w:lastRenderedPageBreak/>
        <w:t xml:space="preserve">CAD treatment. Although data are scarce, according to one registry (n=6591), women reported lower scores in all domains of EQ-5D-5L and self-reported EQ-VAS, regardless of CAD severity or treatment approach. (212) Another study (n=1421) demonstrated reduced QOL in women compared to men by a mean reduction of 6.4% in EQ-VAS scores at one year from the baseline (p&lt;0.001). (213) In my study, a similar trend was observed, where women reported lower QOL scores than men regardless of presentation (ACS or CCS) and mode of treatment (invasive or medical therapy). Overall, there was a mean increase </w:t>
      </w:r>
      <w:r w:rsidR="00E94EC5">
        <w:rPr>
          <w:rFonts w:ascii="Arial" w:eastAsia="Times New Roman" w:hAnsi="Arial" w:cs="Arial"/>
          <w:color w:val="212121"/>
          <w:sz w:val="24"/>
          <w:szCs w:val="24"/>
          <w:shd w:val="clear" w:color="auto" w:fill="FFFFFF"/>
          <w:lang w:eastAsia="en-GB"/>
          <w14:ligatures w14:val="none"/>
        </w:rPr>
        <w:t xml:space="preserve">in one year </w:t>
      </w:r>
      <w:r w:rsidRPr="00051472">
        <w:rPr>
          <w:rFonts w:ascii="Arial" w:eastAsia="Times New Roman" w:hAnsi="Arial" w:cs="Arial"/>
          <w:color w:val="212121"/>
          <w:sz w:val="24"/>
          <w:szCs w:val="24"/>
          <w:shd w:val="clear" w:color="auto" w:fill="FFFFFF"/>
          <w:lang w:eastAsia="en-GB"/>
          <w14:ligatures w14:val="none"/>
        </w:rPr>
        <w:t>of 2.5% in EQ-VAS (p=0.05) and 2% in EQ-indexed scores (p=0.01) in men (n=199)</w:t>
      </w:r>
      <w:r w:rsidR="00F25B72">
        <w:rPr>
          <w:rFonts w:ascii="Arial" w:eastAsia="Times New Roman" w:hAnsi="Arial" w:cs="Arial"/>
          <w:color w:val="212121"/>
          <w:sz w:val="24"/>
          <w:szCs w:val="24"/>
          <w:shd w:val="clear" w:color="auto" w:fill="FFFFFF"/>
          <w:lang w:eastAsia="en-GB"/>
          <w14:ligatures w14:val="none"/>
        </w:rPr>
        <w:t xml:space="preserve"> from the </w:t>
      </w:r>
      <w:r w:rsidR="00213FB6">
        <w:rPr>
          <w:rFonts w:ascii="Arial" w:eastAsia="Times New Roman" w:hAnsi="Arial" w:cs="Arial"/>
          <w:color w:val="212121"/>
          <w:sz w:val="24"/>
          <w:szCs w:val="24"/>
          <w:shd w:val="clear" w:color="auto" w:fill="FFFFFF"/>
          <w:lang w:eastAsia="en-GB"/>
          <w14:ligatures w14:val="none"/>
        </w:rPr>
        <w:t>baseline</w:t>
      </w:r>
      <w:r w:rsidRPr="00051472">
        <w:rPr>
          <w:rFonts w:ascii="Arial" w:eastAsia="Times New Roman" w:hAnsi="Arial" w:cs="Arial"/>
          <w:color w:val="212121"/>
          <w:sz w:val="24"/>
          <w:szCs w:val="24"/>
          <w:shd w:val="clear" w:color="auto" w:fill="FFFFFF"/>
          <w:lang w:eastAsia="en-GB"/>
          <w14:ligatures w14:val="none"/>
        </w:rPr>
        <w:t xml:space="preserve">, whereas in women (n=67), there was a reduction of 3.9% in EQ-VAS (p=0.05) and </w:t>
      </w:r>
      <w:r w:rsidR="00E94EC5">
        <w:rPr>
          <w:rFonts w:ascii="Arial" w:eastAsia="Times New Roman" w:hAnsi="Arial" w:cs="Arial"/>
          <w:color w:val="212121"/>
          <w:sz w:val="24"/>
          <w:szCs w:val="24"/>
          <w:shd w:val="clear" w:color="auto" w:fill="FFFFFF"/>
          <w:lang w:eastAsia="en-GB"/>
          <w14:ligatures w14:val="none"/>
        </w:rPr>
        <w:t xml:space="preserve">of </w:t>
      </w:r>
      <w:r w:rsidRPr="00051472">
        <w:rPr>
          <w:rFonts w:ascii="Arial" w:eastAsia="Times New Roman" w:hAnsi="Arial" w:cs="Arial"/>
          <w:color w:val="212121"/>
          <w:sz w:val="24"/>
          <w:szCs w:val="24"/>
          <w:shd w:val="clear" w:color="auto" w:fill="FFFFFF"/>
          <w:lang w:eastAsia="en-GB"/>
          <w14:ligatures w14:val="none"/>
        </w:rPr>
        <w:t>3% in EQ-indexed scores (p=0.04)</w:t>
      </w:r>
      <w:r w:rsidR="006A0ACA">
        <w:rPr>
          <w:rFonts w:ascii="Arial" w:eastAsia="Times New Roman" w:hAnsi="Arial" w:cs="Arial"/>
          <w:color w:val="212121"/>
          <w:sz w:val="24"/>
          <w:szCs w:val="24"/>
          <w:shd w:val="clear" w:color="auto" w:fill="FFFFFF"/>
          <w:lang w:eastAsia="en-GB"/>
          <w14:ligatures w14:val="none"/>
        </w:rPr>
        <w:t xml:space="preserve"> at one year follow-up</w:t>
      </w:r>
      <w:r w:rsidRPr="00051472">
        <w:rPr>
          <w:rFonts w:ascii="Arial" w:eastAsia="Times New Roman" w:hAnsi="Arial" w:cs="Arial"/>
          <w:color w:val="212121"/>
          <w:sz w:val="24"/>
          <w:szCs w:val="24"/>
          <w:shd w:val="clear" w:color="auto" w:fill="FFFFFF"/>
          <w:lang w:eastAsia="en-GB"/>
          <w14:ligatures w14:val="none"/>
        </w:rPr>
        <w:t>. Compared to women, men exhibited a similar trend of</w:t>
      </w:r>
      <w:r w:rsidR="00E75368">
        <w:rPr>
          <w:rFonts w:ascii="Arial" w:eastAsia="Times New Roman" w:hAnsi="Arial" w:cs="Arial"/>
          <w:color w:val="212121"/>
          <w:sz w:val="24"/>
          <w:szCs w:val="24"/>
          <w:shd w:val="clear" w:color="auto" w:fill="FFFFFF"/>
          <w:lang w:eastAsia="en-GB"/>
          <w14:ligatures w14:val="none"/>
        </w:rPr>
        <w:t xml:space="preserve"> greater improvement in </w:t>
      </w:r>
      <w:r w:rsidRPr="00051472">
        <w:rPr>
          <w:rFonts w:ascii="Arial" w:eastAsia="Times New Roman" w:hAnsi="Arial" w:cs="Arial"/>
          <w:color w:val="212121"/>
          <w:sz w:val="24"/>
          <w:szCs w:val="24"/>
          <w:shd w:val="clear" w:color="auto" w:fill="FFFFFF"/>
          <w:lang w:eastAsia="en-GB"/>
          <w14:ligatures w14:val="none"/>
        </w:rPr>
        <w:t>QO</w:t>
      </w:r>
      <w:r w:rsidR="006A0ACA">
        <w:rPr>
          <w:rFonts w:ascii="Arial" w:eastAsia="Times New Roman" w:hAnsi="Arial" w:cs="Arial"/>
          <w:color w:val="212121"/>
          <w:sz w:val="24"/>
          <w:szCs w:val="24"/>
          <w:shd w:val="clear" w:color="auto" w:fill="FFFFFF"/>
          <w:lang w:eastAsia="en-GB"/>
          <w14:ligatures w14:val="none"/>
        </w:rPr>
        <w:t>L at one year</w:t>
      </w:r>
      <w:r w:rsidR="00E75368">
        <w:rPr>
          <w:rFonts w:ascii="Arial" w:eastAsia="Times New Roman" w:hAnsi="Arial" w:cs="Arial"/>
          <w:color w:val="212121"/>
          <w:sz w:val="24"/>
          <w:szCs w:val="24"/>
          <w:shd w:val="clear" w:color="auto" w:fill="FFFFFF"/>
          <w:lang w:eastAsia="en-GB"/>
          <w14:ligatures w14:val="none"/>
        </w:rPr>
        <w:t xml:space="preserve"> compared to baseline</w:t>
      </w:r>
      <w:r w:rsidR="006A0ACA">
        <w:rPr>
          <w:rFonts w:ascii="Arial" w:eastAsia="Times New Roman" w:hAnsi="Arial" w:cs="Arial"/>
          <w:color w:val="212121"/>
          <w:sz w:val="24"/>
          <w:szCs w:val="24"/>
          <w:shd w:val="clear" w:color="auto" w:fill="FFFFFF"/>
          <w:lang w:eastAsia="en-GB"/>
          <w14:ligatures w14:val="none"/>
        </w:rPr>
        <w:t xml:space="preserve">, </w:t>
      </w:r>
      <w:r w:rsidRPr="00051472">
        <w:rPr>
          <w:rFonts w:ascii="Arial" w:eastAsia="Times New Roman" w:hAnsi="Arial" w:cs="Arial"/>
          <w:color w:val="212121"/>
          <w:sz w:val="24"/>
          <w:szCs w:val="24"/>
          <w:shd w:val="clear" w:color="auto" w:fill="FFFFFF"/>
          <w:lang w:eastAsia="en-GB"/>
          <w14:ligatures w14:val="none"/>
        </w:rPr>
        <w:t>regardless of their clinical presentation (ACS or CCS). In the ACS cohort, men reported a</w:t>
      </w:r>
      <w:r w:rsidR="002177D8">
        <w:rPr>
          <w:rFonts w:ascii="Arial" w:eastAsia="Times New Roman" w:hAnsi="Arial" w:cs="Arial"/>
          <w:color w:val="212121"/>
          <w:sz w:val="24"/>
          <w:szCs w:val="24"/>
          <w:shd w:val="clear" w:color="auto" w:fill="FFFFFF"/>
          <w:lang w:eastAsia="en-GB"/>
          <w14:ligatures w14:val="none"/>
        </w:rPr>
        <w:t xml:space="preserve"> si</w:t>
      </w:r>
      <w:r w:rsidRPr="00051472">
        <w:rPr>
          <w:rFonts w:ascii="Arial" w:eastAsia="Times New Roman" w:hAnsi="Arial" w:cs="Arial"/>
          <w:color w:val="212121"/>
          <w:sz w:val="24"/>
          <w:szCs w:val="24"/>
          <w:shd w:val="clear" w:color="auto" w:fill="FFFFFF"/>
          <w:lang w:eastAsia="en-GB"/>
          <w14:ligatures w14:val="none"/>
        </w:rPr>
        <w:t>gnificant incre</w:t>
      </w:r>
      <w:r w:rsidR="00157B7D">
        <w:rPr>
          <w:rFonts w:ascii="Arial" w:eastAsia="Times New Roman" w:hAnsi="Arial" w:cs="Arial"/>
          <w:color w:val="212121"/>
          <w:sz w:val="24"/>
          <w:szCs w:val="24"/>
          <w:shd w:val="clear" w:color="auto" w:fill="FFFFFF"/>
          <w:lang w:eastAsia="en-GB"/>
          <w14:ligatures w14:val="none"/>
        </w:rPr>
        <w:t>ase</w:t>
      </w:r>
      <w:r w:rsidRPr="00051472">
        <w:rPr>
          <w:rFonts w:ascii="Arial" w:eastAsia="Times New Roman" w:hAnsi="Arial" w:cs="Arial"/>
          <w:color w:val="212121"/>
          <w:sz w:val="24"/>
          <w:szCs w:val="24"/>
          <w:shd w:val="clear" w:color="auto" w:fill="FFFFFF"/>
          <w:lang w:eastAsia="en-GB"/>
          <w14:ligatures w14:val="none"/>
        </w:rPr>
        <w:t xml:space="preserve"> in QOL scores</w:t>
      </w:r>
      <w:r w:rsidR="00157B7D">
        <w:rPr>
          <w:rFonts w:ascii="Arial" w:eastAsia="Times New Roman" w:hAnsi="Arial" w:cs="Arial"/>
          <w:color w:val="212121"/>
          <w:sz w:val="24"/>
          <w:szCs w:val="24"/>
          <w:shd w:val="clear" w:color="auto" w:fill="FFFFFF"/>
          <w:lang w:eastAsia="en-GB"/>
          <w14:ligatures w14:val="none"/>
        </w:rPr>
        <w:t xml:space="preserve">, in contrast to </w:t>
      </w:r>
      <w:r w:rsidRPr="00051472">
        <w:rPr>
          <w:rFonts w:ascii="Arial" w:eastAsia="Times New Roman" w:hAnsi="Arial" w:cs="Arial"/>
          <w:color w:val="212121"/>
          <w:sz w:val="24"/>
          <w:szCs w:val="24"/>
          <w:shd w:val="clear" w:color="auto" w:fill="FFFFFF"/>
          <w:lang w:eastAsia="en-GB"/>
          <w14:ligatures w14:val="none"/>
        </w:rPr>
        <w:t>women</w:t>
      </w:r>
      <w:r w:rsidR="00157B7D">
        <w:rPr>
          <w:rFonts w:ascii="Arial" w:eastAsia="Times New Roman" w:hAnsi="Arial" w:cs="Arial"/>
          <w:color w:val="212121"/>
          <w:sz w:val="24"/>
          <w:szCs w:val="24"/>
          <w:shd w:val="clear" w:color="auto" w:fill="FFFFFF"/>
          <w:lang w:eastAsia="en-GB"/>
          <w14:ligatures w14:val="none"/>
        </w:rPr>
        <w:t>,</w:t>
      </w:r>
      <w:r w:rsidRPr="00051472">
        <w:rPr>
          <w:rFonts w:ascii="Arial" w:eastAsia="Times New Roman" w:hAnsi="Arial" w:cs="Arial"/>
          <w:color w:val="212121"/>
          <w:sz w:val="24"/>
          <w:szCs w:val="24"/>
          <w:shd w:val="clear" w:color="auto" w:fill="FFFFFF"/>
          <w:lang w:eastAsia="en-GB"/>
          <w14:ligatures w14:val="none"/>
        </w:rPr>
        <w:t xml:space="preserve"> for both EQ-VAS (2.4% increase in men vs 6.2% decrease for women; p=0.01) and EQ-indexed scores (2% increase in men vs 4% decrease in women; p=0.02). Similar</w:t>
      </w:r>
      <w:r w:rsidR="00157B7D">
        <w:rPr>
          <w:rFonts w:ascii="Arial" w:eastAsia="Times New Roman" w:hAnsi="Arial" w:cs="Arial"/>
          <w:color w:val="212121"/>
          <w:sz w:val="24"/>
          <w:szCs w:val="24"/>
          <w:shd w:val="clear" w:color="auto" w:fill="FFFFFF"/>
          <w:lang w:eastAsia="en-GB"/>
          <w14:ligatures w14:val="none"/>
        </w:rPr>
        <w:t xml:space="preserve"> findings obtained</w:t>
      </w:r>
      <w:r w:rsidRPr="00051472">
        <w:rPr>
          <w:rFonts w:ascii="Arial" w:eastAsia="Times New Roman" w:hAnsi="Arial" w:cs="Arial"/>
          <w:color w:val="212121"/>
          <w:sz w:val="24"/>
          <w:szCs w:val="24"/>
          <w:shd w:val="clear" w:color="auto" w:fill="FFFFFF"/>
          <w:lang w:eastAsia="en-GB"/>
          <w14:ligatures w14:val="none"/>
        </w:rPr>
        <w:t xml:space="preserve"> in the CCS </w:t>
      </w:r>
      <w:r w:rsidR="00213FB6" w:rsidRPr="00051472">
        <w:rPr>
          <w:rFonts w:ascii="Arial" w:eastAsia="Times New Roman" w:hAnsi="Arial" w:cs="Arial"/>
          <w:color w:val="212121"/>
          <w:sz w:val="24"/>
          <w:szCs w:val="24"/>
          <w:shd w:val="clear" w:color="auto" w:fill="FFFFFF"/>
          <w:lang w:eastAsia="en-GB"/>
          <w14:ligatures w14:val="none"/>
        </w:rPr>
        <w:t>cohort</w:t>
      </w:r>
      <w:r w:rsidR="00213FB6">
        <w:rPr>
          <w:rFonts w:ascii="Arial" w:eastAsia="Times New Roman" w:hAnsi="Arial" w:cs="Arial"/>
          <w:color w:val="212121"/>
          <w:sz w:val="24"/>
          <w:szCs w:val="24"/>
          <w:shd w:val="clear" w:color="auto" w:fill="FFFFFF"/>
          <w:lang w:eastAsia="en-GB"/>
          <w14:ligatures w14:val="none"/>
        </w:rPr>
        <w:t xml:space="preserve">; </w:t>
      </w:r>
      <w:r w:rsidR="00213FB6" w:rsidRPr="00051472">
        <w:rPr>
          <w:rFonts w:ascii="Arial" w:eastAsia="Times New Roman" w:hAnsi="Arial" w:cs="Arial"/>
          <w:color w:val="212121"/>
          <w:sz w:val="24"/>
          <w:szCs w:val="24"/>
          <w:shd w:val="clear" w:color="auto" w:fill="FFFFFF"/>
          <w:lang w:eastAsia="en-GB"/>
          <w14:ligatures w14:val="none"/>
        </w:rPr>
        <w:t>in</w:t>
      </w:r>
      <w:r w:rsidRPr="00051472">
        <w:rPr>
          <w:rFonts w:ascii="Arial" w:eastAsia="Times New Roman" w:hAnsi="Arial" w:cs="Arial"/>
          <w:color w:val="212121"/>
          <w:sz w:val="24"/>
          <w:szCs w:val="24"/>
          <w:shd w:val="clear" w:color="auto" w:fill="FFFFFF"/>
          <w:lang w:eastAsia="en-GB"/>
          <w14:ligatures w14:val="none"/>
        </w:rPr>
        <w:t xml:space="preserve"> </w:t>
      </w:r>
      <w:r w:rsidR="00D643CE">
        <w:rPr>
          <w:rFonts w:ascii="Arial" w:eastAsia="Times New Roman" w:hAnsi="Arial" w:cs="Arial"/>
          <w:color w:val="212121"/>
          <w:sz w:val="24"/>
          <w:szCs w:val="24"/>
          <w:shd w:val="clear" w:color="auto" w:fill="FFFFFF"/>
          <w:lang w:eastAsia="en-GB"/>
          <w14:ligatures w14:val="none"/>
        </w:rPr>
        <w:t xml:space="preserve">both </w:t>
      </w:r>
      <w:r w:rsidRPr="00051472">
        <w:rPr>
          <w:rFonts w:ascii="Arial" w:eastAsia="Times New Roman" w:hAnsi="Arial" w:cs="Arial"/>
          <w:color w:val="212121"/>
          <w:sz w:val="24"/>
          <w:szCs w:val="24"/>
          <w:shd w:val="clear" w:color="auto" w:fill="FFFFFF"/>
          <w:lang w:eastAsia="en-GB"/>
          <w14:ligatures w14:val="none"/>
        </w:rPr>
        <w:t xml:space="preserve">EQ-VAS (3.1% increase in men vs 2.4% increase in women; p=0.35) and EQ-indexed scores (4% increase in men vs 1% decrease in women; p=0.04). A trend of higher QOL scores in men was observed in the segregation of QOL scores according to the adopted management strategy. QOL improved more significantly with invasive treatment than medical treatment. In ACS, men treated with invasive therapy showed a more significant improvement than women in EQ-VAS (4.3% increase in men vs 5.3% reduction in women; p=0.006) and EQ-indexed scores (4.1% increase in men vs 2.2% reduction in women; p=0.009). Both men and women demonstrated a reduction in QOL in the medically treated patients, but women reported slightly more reduction than men. EQ-VAS in men was reduced by 0.8% in men vs 0.9% in women (p=0.86), and EQ-indexed scores decreased by 0.5% in men vs 1% in women (p=0.82). These outcomes </w:t>
      </w:r>
      <w:r w:rsidR="00D643CE">
        <w:rPr>
          <w:rFonts w:ascii="Arial" w:eastAsia="Times New Roman" w:hAnsi="Arial" w:cs="Arial"/>
          <w:color w:val="212121"/>
          <w:sz w:val="24"/>
          <w:szCs w:val="24"/>
          <w:shd w:val="clear" w:color="auto" w:fill="FFFFFF"/>
          <w:lang w:eastAsia="en-GB"/>
          <w14:ligatures w14:val="none"/>
        </w:rPr>
        <w:t>consistently show</w:t>
      </w:r>
      <w:r w:rsidRPr="00051472">
        <w:rPr>
          <w:rFonts w:ascii="Arial" w:eastAsia="Times New Roman" w:hAnsi="Arial" w:cs="Arial"/>
          <w:color w:val="212121"/>
          <w:sz w:val="24"/>
          <w:szCs w:val="24"/>
          <w:shd w:val="clear" w:color="auto" w:fill="FFFFFF"/>
          <w:lang w:eastAsia="en-GB"/>
          <w14:ligatures w14:val="none"/>
        </w:rPr>
        <w:t xml:space="preserve"> that women with CAD report lower QOL, independent of the clinical presentation or treatment modality offered. It was beyond the scope of this study to </w:t>
      </w:r>
      <w:r w:rsidR="00D643CE">
        <w:rPr>
          <w:rFonts w:ascii="Arial" w:eastAsia="Times New Roman" w:hAnsi="Arial" w:cs="Arial"/>
          <w:color w:val="212121"/>
          <w:sz w:val="24"/>
          <w:szCs w:val="24"/>
          <w:shd w:val="clear" w:color="auto" w:fill="FFFFFF"/>
          <w:lang w:eastAsia="en-GB"/>
          <w14:ligatures w14:val="none"/>
        </w:rPr>
        <w:t>investigate</w:t>
      </w:r>
      <w:r w:rsidRPr="00051472">
        <w:rPr>
          <w:rFonts w:ascii="Arial" w:eastAsia="Times New Roman" w:hAnsi="Arial" w:cs="Arial"/>
          <w:color w:val="212121"/>
          <w:sz w:val="24"/>
          <w:szCs w:val="24"/>
          <w:shd w:val="clear" w:color="auto" w:fill="FFFFFF"/>
          <w:lang w:eastAsia="en-GB"/>
          <w14:ligatures w14:val="none"/>
        </w:rPr>
        <w:t xml:space="preserve"> </w:t>
      </w:r>
      <w:r w:rsidR="0089368B">
        <w:rPr>
          <w:rFonts w:ascii="Arial" w:eastAsia="Times New Roman" w:hAnsi="Arial" w:cs="Arial"/>
          <w:color w:val="212121"/>
          <w:sz w:val="24"/>
          <w:szCs w:val="24"/>
          <w:shd w:val="clear" w:color="auto" w:fill="FFFFFF"/>
          <w:lang w:eastAsia="en-GB"/>
          <w14:ligatures w14:val="none"/>
        </w:rPr>
        <w:t>its</w:t>
      </w:r>
      <w:r w:rsidRPr="00051472">
        <w:rPr>
          <w:rFonts w:ascii="Arial" w:eastAsia="Times New Roman" w:hAnsi="Arial" w:cs="Arial"/>
          <w:color w:val="212121"/>
          <w:sz w:val="24"/>
          <w:szCs w:val="24"/>
          <w:shd w:val="clear" w:color="auto" w:fill="FFFFFF"/>
          <w:lang w:eastAsia="en-GB"/>
          <w14:ligatures w14:val="none"/>
        </w:rPr>
        <w:t xml:space="preserve"> reasons. In a few studies, this difference in QOL is shown to be complex and multifactorial, elucidating the potential role of microvascular disease, mental health problems, hormonal changes, and socioeconomic status. However, the exact mechanism remains unclear, suggesting </w:t>
      </w:r>
      <w:r w:rsidR="00D643CE">
        <w:rPr>
          <w:rFonts w:ascii="Arial" w:eastAsia="Times New Roman" w:hAnsi="Arial" w:cs="Arial"/>
          <w:color w:val="212121"/>
          <w:sz w:val="24"/>
          <w:szCs w:val="24"/>
          <w:shd w:val="clear" w:color="auto" w:fill="FFFFFF"/>
          <w:lang w:eastAsia="en-GB"/>
          <w14:ligatures w14:val="none"/>
        </w:rPr>
        <w:t xml:space="preserve">the need for </w:t>
      </w:r>
      <w:r w:rsidRPr="00051472">
        <w:rPr>
          <w:rFonts w:ascii="Arial" w:eastAsia="Times New Roman" w:hAnsi="Arial" w:cs="Arial"/>
          <w:color w:val="212121"/>
          <w:sz w:val="24"/>
          <w:szCs w:val="24"/>
          <w:shd w:val="clear" w:color="auto" w:fill="FFFFFF"/>
          <w:lang w:eastAsia="en-GB"/>
          <w14:ligatures w14:val="none"/>
        </w:rPr>
        <w:t>further research. (203, 204)</w:t>
      </w:r>
    </w:p>
    <w:p w14:paraId="7D447862" w14:textId="155E7F6D" w:rsidR="004942B6" w:rsidRDefault="004942B6" w:rsidP="0089368B">
      <w:pPr>
        <w:spacing w:after="0" w:line="360" w:lineRule="auto"/>
        <w:jc w:val="both"/>
        <w:rPr>
          <w:rFonts w:ascii="Arial" w:hAnsi="Arial" w:cs="Arial"/>
          <w:sz w:val="24"/>
          <w:szCs w:val="24"/>
        </w:rPr>
      </w:pPr>
      <w:r>
        <w:rPr>
          <w:rFonts w:ascii="Arial" w:hAnsi="Arial" w:cs="Arial"/>
          <w:sz w:val="24"/>
          <w:szCs w:val="24"/>
        </w:rPr>
        <w:lastRenderedPageBreak/>
        <w:t xml:space="preserve"> </w:t>
      </w:r>
    </w:p>
    <w:p w14:paraId="46CB3991" w14:textId="0845075F" w:rsidR="004942B6" w:rsidRPr="00DE13CF" w:rsidRDefault="004942B6" w:rsidP="0089368B">
      <w:pPr>
        <w:pStyle w:val="Heading2"/>
        <w:spacing w:before="0" w:line="360" w:lineRule="auto"/>
        <w:rPr>
          <w:rFonts w:ascii="Arial" w:hAnsi="Arial" w:cs="Arial"/>
          <w:color w:val="4472C4" w:themeColor="accent1"/>
          <w:sz w:val="24"/>
          <w:szCs w:val="24"/>
        </w:rPr>
      </w:pPr>
      <w:bookmarkStart w:id="1467" w:name="_Toc171203955"/>
      <w:r w:rsidRPr="00DE13CF">
        <w:rPr>
          <w:rFonts w:ascii="Arial" w:hAnsi="Arial" w:cs="Arial"/>
          <w:color w:val="4472C4" w:themeColor="accent1"/>
          <w:sz w:val="24"/>
          <w:szCs w:val="24"/>
        </w:rPr>
        <w:t>4.</w:t>
      </w:r>
      <w:r w:rsidR="00E61ACC">
        <w:rPr>
          <w:rFonts w:ascii="Arial" w:hAnsi="Arial" w:cs="Arial"/>
          <w:color w:val="4472C4" w:themeColor="accent1"/>
          <w:sz w:val="24"/>
          <w:szCs w:val="24"/>
        </w:rPr>
        <w:t>2.5</w:t>
      </w:r>
      <w:r w:rsidRPr="00DE13CF">
        <w:rPr>
          <w:rFonts w:ascii="Arial" w:hAnsi="Arial" w:cs="Arial"/>
          <w:color w:val="4472C4" w:themeColor="accent1"/>
          <w:sz w:val="24"/>
          <w:szCs w:val="24"/>
        </w:rPr>
        <w:t xml:space="preserve"> </w:t>
      </w:r>
      <w:r w:rsidR="00995497" w:rsidRPr="00995497">
        <w:rPr>
          <w:rFonts w:ascii="Arial" w:hAnsi="Arial" w:cs="Arial"/>
          <w:color w:val="4472C4" w:themeColor="accent1"/>
          <w:sz w:val="24"/>
          <w:szCs w:val="24"/>
        </w:rPr>
        <w:t>Did EQ-VAS closely correlate with EQ-index</w:t>
      </w:r>
      <w:r w:rsidR="00995497">
        <w:rPr>
          <w:rFonts w:ascii="Arial" w:hAnsi="Arial" w:cs="Arial"/>
          <w:color w:val="4472C4" w:themeColor="accent1"/>
          <w:sz w:val="24"/>
          <w:szCs w:val="24"/>
        </w:rPr>
        <w:t>ed</w:t>
      </w:r>
      <w:r w:rsidR="00995497" w:rsidRPr="00995497">
        <w:rPr>
          <w:rFonts w:ascii="Arial" w:hAnsi="Arial" w:cs="Arial"/>
          <w:color w:val="4472C4" w:themeColor="accent1"/>
          <w:sz w:val="24"/>
          <w:szCs w:val="24"/>
        </w:rPr>
        <w:t xml:space="preserve"> scores?</w:t>
      </w:r>
      <w:bookmarkEnd w:id="1467"/>
    </w:p>
    <w:p w14:paraId="614FA2A5" w14:textId="77777777" w:rsidR="00E61ACC" w:rsidRDefault="005B5F25" w:rsidP="00E61ACC">
      <w:pPr>
        <w:spacing w:line="360" w:lineRule="auto"/>
        <w:jc w:val="both"/>
        <w:rPr>
          <w:rFonts w:ascii="Arial" w:hAnsi="Arial" w:cs="Arial"/>
          <w:sz w:val="24"/>
          <w:szCs w:val="24"/>
        </w:rPr>
      </w:pPr>
      <w:r w:rsidRPr="005B5F25">
        <w:rPr>
          <w:rFonts w:ascii="Arial" w:hAnsi="Arial" w:cs="Arial"/>
          <w:sz w:val="24"/>
          <w:szCs w:val="24"/>
        </w:rPr>
        <w:t xml:space="preserve">Although EQ-VAS and EQ-indexed scores provide distinct and useful health status metrics, they are not entirely interchangeable. EQ-VAS provides a patient's holistic self-perspective of their overall well-being post-treatment on the day of health survey </w:t>
      </w:r>
      <w:r w:rsidR="00FE2750" w:rsidRPr="005B5F25">
        <w:rPr>
          <w:rFonts w:ascii="Arial" w:hAnsi="Arial" w:cs="Arial"/>
          <w:sz w:val="24"/>
          <w:szCs w:val="24"/>
        </w:rPr>
        <w:t>completion</w:t>
      </w:r>
      <w:r w:rsidR="00FE2750">
        <w:rPr>
          <w:rFonts w:ascii="Arial" w:hAnsi="Arial" w:cs="Arial"/>
          <w:sz w:val="24"/>
          <w:szCs w:val="24"/>
        </w:rPr>
        <w:t>,</w:t>
      </w:r>
      <w:r w:rsidRPr="005B5F25">
        <w:rPr>
          <w:rFonts w:ascii="Arial" w:hAnsi="Arial" w:cs="Arial"/>
          <w:sz w:val="24"/>
          <w:szCs w:val="24"/>
        </w:rPr>
        <w:t xml:space="preserve"> retaining its position as a valuable tool due to ease of usage, lower cost, higher response, and completion rates amongst the patients. However, it has the disadvantage of being subjective, lacking dimensional health details, and </w:t>
      </w:r>
      <w:r w:rsidR="006150C9">
        <w:rPr>
          <w:rFonts w:ascii="Arial" w:hAnsi="Arial" w:cs="Arial"/>
          <w:sz w:val="24"/>
          <w:szCs w:val="24"/>
        </w:rPr>
        <w:t xml:space="preserve">being </w:t>
      </w:r>
      <w:r w:rsidRPr="005B5F25">
        <w:rPr>
          <w:rFonts w:ascii="Arial" w:hAnsi="Arial" w:cs="Arial"/>
          <w:sz w:val="24"/>
          <w:szCs w:val="24"/>
        </w:rPr>
        <w:t>unable to be directly comparable across populations. (211) EQ-indexed, on the other hand, furnishes detailed explicit health descriptions across five dimensions, including mobility, self-care, pain/discomfort, usual activities, and anxiety/depression and is widely used in cost-effectiveness and cost-utility analysis. However, the d</w:t>
      </w:r>
      <w:r w:rsidR="006150C9">
        <w:rPr>
          <w:rFonts w:ascii="Arial" w:hAnsi="Arial" w:cs="Arial"/>
          <w:sz w:val="24"/>
          <w:szCs w:val="24"/>
        </w:rPr>
        <w:t>isadvantages</w:t>
      </w:r>
      <w:r w:rsidRPr="005B5F25">
        <w:rPr>
          <w:rFonts w:ascii="Arial" w:hAnsi="Arial" w:cs="Arial"/>
          <w:sz w:val="24"/>
          <w:szCs w:val="24"/>
        </w:rPr>
        <w:t xml:space="preserve"> include complexity, lower completion rates, and being population-based without considering individual preferences. (211)  </w:t>
      </w:r>
      <w:r w:rsidR="006150C9">
        <w:rPr>
          <w:rFonts w:ascii="Arial" w:hAnsi="Arial" w:cs="Arial"/>
          <w:sz w:val="24"/>
          <w:szCs w:val="24"/>
        </w:rPr>
        <w:t>Alt</w:t>
      </w:r>
      <w:r w:rsidRPr="005B5F25">
        <w:rPr>
          <w:rFonts w:ascii="Arial" w:hAnsi="Arial" w:cs="Arial"/>
          <w:sz w:val="24"/>
          <w:szCs w:val="24"/>
        </w:rPr>
        <w:t xml:space="preserve">hough both EQ-VAS and EQ-indexed scores are advantageous in their domains, little literature is available regarding how the two metrics correlate. One study reported an excellent positive correlation with the Spearman coefficient as high as 0.74. (211) In my study, a similarly strong correlation was observed between EQ-VAS and EQ-indexed scores (r=0.79, p0.001), which suggests that patients' self-evaluation of health status by EQ-VAS matches well with their objective valuation of health in five dimensions by the indexed scores. Recently, there has been a move towards </w:t>
      </w:r>
      <w:r w:rsidR="006150C9">
        <w:rPr>
          <w:rFonts w:ascii="Arial" w:hAnsi="Arial" w:cs="Arial"/>
          <w:sz w:val="24"/>
          <w:szCs w:val="24"/>
        </w:rPr>
        <w:t>greater</w:t>
      </w:r>
      <w:r w:rsidRPr="005B5F25">
        <w:rPr>
          <w:rFonts w:ascii="Arial" w:hAnsi="Arial" w:cs="Arial"/>
          <w:sz w:val="24"/>
          <w:szCs w:val="24"/>
        </w:rPr>
        <w:t xml:space="preserve"> emphasis on indexed scores; however, which score to use depends entirely on the research goals, the complexity of the research question, and practical considerations associated with the appropriate completion of health questionnaires.</w:t>
      </w:r>
    </w:p>
    <w:p w14:paraId="564272D2" w14:textId="77777777" w:rsidR="00E61ACC" w:rsidRDefault="00E61ACC" w:rsidP="00E61ACC">
      <w:pPr>
        <w:spacing w:line="360" w:lineRule="auto"/>
        <w:jc w:val="both"/>
        <w:rPr>
          <w:rFonts w:ascii="Arial" w:hAnsi="Arial" w:cs="Arial"/>
          <w:color w:val="4472C4" w:themeColor="accent1"/>
          <w:sz w:val="24"/>
          <w:szCs w:val="24"/>
        </w:rPr>
      </w:pPr>
    </w:p>
    <w:p w14:paraId="16B8FA89" w14:textId="742EB504" w:rsidR="00E61ACC" w:rsidRPr="00545CB2" w:rsidRDefault="00E61ACC" w:rsidP="00545CB2">
      <w:pPr>
        <w:pStyle w:val="Heading2"/>
        <w:rPr>
          <w:rFonts w:ascii="Arial" w:hAnsi="Arial" w:cs="Arial"/>
          <w:color w:val="4472C4" w:themeColor="accent1"/>
          <w:sz w:val="28"/>
          <w:szCs w:val="28"/>
        </w:rPr>
      </w:pPr>
      <w:bookmarkStart w:id="1468" w:name="_Toc171203956"/>
      <w:r w:rsidRPr="00545CB2">
        <w:rPr>
          <w:rFonts w:ascii="Arial" w:hAnsi="Arial" w:cs="Arial"/>
          <w:color w:val="4472C4" w:themeColor="accent1"/>
          <w:sz w:val="28"/>
          <w:szCs w:val="28"/>
        </w:rPr>
        <w:t xml:space="preserve">4.3 Outcomes </w:t>
      </w:r>
      <w:r w:rsidR="008F4F62">
        <w:rPr>
          <w:rFonts w:ascii="Arial" w:hAnsi="Arial" w:cs="Arial"/>
          <w:color w:val="4472C4" w:themeColor="accent1"/>
          <w:sz w:val="28"/>
          <w:szCs w:val="28"/>
        </w:rPr>
        <w:t>in the</w:t>
      </w:r>
      <w:r w:rsidRPr="00545CB2">
        <w:rPr>
          <w:rFonts w:ascii="Arial" w:hAnsi="Arial" w:cs="Arial"/>
          <w:color w:val="4472C4" w:themeColor="accent1"/>
          <w:sz w:val="28"/>
          <w:szCs w:val="28"/>
        </w:rPr>
        <w:t xml:space="preserve"> virtual change subset</w:t>
      </w:r>
      <w:bookmarkEnd w:id="1468"/>
      <w:r w:rsidRPr="00545CB2">
        <w:rPr>
          <w:rFonts w:ascii="Arial" w:hAnsi="Arial" w:cs="Arial"/>
          <w:color w:val="4472C4" w:themeColor="accent1"/>
          <w:sz w:val="28"/>
          <w:szCs w:val="28"/>
        </w:rPr>
        <w:t xml:space="preserve"> </w:t>
      </w:r>
    </w:p>
    <w:p w14:paraId="658A65B3" w14:textId="77777777" w:rsidR="00E61ACC" w:rsidRDefault="00E61ACC" w:rsidP="00E61ACC">
      <w:pPr>
        <w:spacing w:line="360" w:lineRule="auto"/>
        <w:jc w:val="both"/>
        <w:rPr>
          <w:rFonts w:ascii="Arial" w:hAnsi="Arial" w:cs="Arial"/>
          <w:color w:val="4472C4" w:themeColor="accent1"/>
          <w:sz w:val="24"/>
          <w:szCs w:val="24"/>
        </w:rPr>
      </w:pPr>
    </w:p>
    <w:p w14:paraId="29444966" w14:textId="372D21E6" w:rsidR="00E61ACC" w:rsidRPr="00EC7385" w:rsidRDefault="004942B6" w:rsidP="00EC7385">
      <w:pPr>
        <w:pStyle w:val="Heading3"/>
        <w:rPr>
          <w:rFonts w:ascii="Arial" w:hAnsi="Arial" w:cs="Arial"/>
          <w:color w:val="4472C4" w:themeColor="accent1"/>
          <w:sz w:val="24"/>
          <w:szCs w:val="24"/>
        </w:rPr>
      </w:pPr>
      <w:bookmarkStart w:id="1469" w:name="_Toc171203957"/>
      <w:r w:rsidRPr="00EC7385">
        <w:rPr>
          <w:rFonts w:ascii="Arial" w:hAnsi="Arial" w:cs="Arial"/>
          <w:color w:val="4472C4" w:themeColor="accent1"/>
          <w:sz w:val="24"/>
          <w:szCs w:val="24"/>
        </w:rPr>
        <w:t>4.</w:t>
      </w:r>
      <w:r w:rsidR="00E61ACC" w:rsidRPr="00EC7385">
        <w:rPr>
          <w:rFonts w:ascii="Arial" w:hAnsi="Arial" w:cs="Arial"/>
          <w:color w:val="4472C4" w:themeColor="accent1"/>
          <w:sz w:val="24"/>
          <w:szCs w:val="24"/>
        </w:rPr>
        <w:t>3.1</w:t>
      </w:r>
      <w:r w:rsidRPr="00EC7385">
        <w:rPr>
          <w:rFonts w:ascii="Arial" w:hAnsi="Arial" w:cs="Arial"/>
          <w:color w:val="4472C4" w:themeColor="accent1"/>
          <w:sz w:val="24"/>
          <w:szCs w:val="24"/>
        </w:rPr>
        <w:t xml:space="preserve"> </w:t>
      </w:r>
      <w:r w:rsidR="008F4F62">
        <w:rPr>
          <w:rFonts w:ascii="Arial" w:hAnsi="Arial" w:cs="Arial"/>
          <w:color w:val="4472C4" w:themeColor="accent1"/>
          <w:sz w:val="24"/>
          <w:szCs w:val="24"/>
        </w:rPr>
        <w:t>T</w:t>
      </w:r>
      <w:r w:rsidR="0089368B" w:rsidRPr="00EC7385">
        <w:rPr>
          <w:rFonts w:ascii="Arial" w:hAnsi="Arial" w:cs="Arial"/>
          <w:color w:val="4472C4" w:themeColor="accent1"/>
          <w:sz w:val="24"/>
          <w:szCs w:val="24"/>
        </w:rPr>
        <w:t xml:space="preserve">he impact of vFFR </w:t>
      </w:r>
      <w:r w:rsidR="008F4F62">
        <w:rPr>
          <w:rFonts w:ascii="Arial" w:hAnsi="Arial" w:cs="Arial"/>
          <w:color w:val="4472C4" w:themeColor="accent1"/>
          <w:sz w:val="24"/>
          <w:szCs w:val="24"/>
        </w:rPr>
        <w:t>up</w:t>
      </w:r>
      <w:r w:rsidR="0089368B" w:rsidRPr="00EC7385">
        <w:rPr>
          <w:rFonts w:ascii="Arial" w:hAnsi="Arial" w:cs="Arial"/>
          <w:color w:val="4472C4" w:themeColor="accent1"/>
          <w:sz w:val="24"/>
          <w:szCs w:val="24"/>
        </w:rPr>
        <w:t>on treatment plans in CAD</w:t>
      </w:r>
      <w:bookmarkStart w:id="1470" w:name="_Toc164676100"/>
      <w:bookmarkStart w:id="1471" w:name="_Toc164680545"/>
      <w:bookmarkStart w:id="1472" w:name="_Toc164681444"/>
      <w:bookmarkStart w:id="1473" w:name="_Toc170076109"/>
      <w:bookmarkStart w:id="1474" w:name="_Toc170577810"/>
      <w:bookmarkEnd w:id="1469"/>
    </w:p>
    <w:p w14:paraId="250A1100" w14:textId="79470735" w:rsidR="004942B6" w:rsidRPr="00E61ACC" w:rsidRDefault="00816B35" w:rsidP="00E61ACC">
      <w:pPr>
        <w:spacing w:line="360" w:lineRule="auto"/>
        <w:jc w:val="both"/>
        <w:rPr>
          <w:rFonts w:ascii="Arial" w:hAnsi="Arial" w:cs="Arial"/>
          <w:sz w:val="24"/>
          <w:szCs w:val="24"/>
        </w:rPr>
      </w:pPr>
      <w:r w:rsidRPr="00816B35">
        <w:rPr>
          <w:rFonts w:ascii="Arial" w:eastAsia="Times New Roman" w:hAnsi="Arial" w:cs="Arial"/>
          <w:sz w:val="24"/>
          <w:szCs w:val="24"/>
          <w:lang w:eastAsia="en-GB"/>
        </w:rPr>
        <w:t xml:space="preserve">In </w:t>
      </w:r>
      <w:r w:rsidR="008016FE">
        <w:rPr>
          <w:rFonts w:ascii="Arial" w:eastAsia="Times New Roman" w:hAnsi="Arial" w:cs="Arial"/>
          <w:sz w:val="24"/>
          <w:szCs w:val="24"/>
          <w:lang w:eastAsia="en-GB"/>
        </w:rPr>
        <w:t xml:space="preserve">the followed-up patients from </w:t>
      </w:r>
      <w:r w:rsidRPr="00AB0E1C">
        <w:rPr>
          <w:rFonts w:ascii="Arial" w:eastAsia="Times New Roman" w:hAnsi="Arial" w:cs="Arial"/>
          <w:sz w:val="24"/>
          <w:szCs w:val="24"/>
          <w:lang w:eastAsia="en-GB"/>
        </w:rPr>
        <w:t xml:space="preserve">VIRTU-4, 65/266 (24.4%) patients had a virtual change in management plan after vFFR findings were shown to the operators. In this virtual change subset </w:t>
      </w:r>
      <w:r w:rsidR="006150C9" w:rsidRPr="00AB0E1C">
        <w:rPr>
          <w:rFonts w:ascii="Arial" w:eastAsia="Times New Roman" w:hAnsi="Arial" w:cs="Arial"/>
          <w:sz w:val="24"/>
          <w:szCs w:val="24"/>
          <w:lang w:eastAsia="en-GB"/>
        </w:rPr>
        <w:t xml:space="preserve">of </w:t>
      </w:r>
      <w:r w:rsidRPr="00AB0E1C">
        <w:rPr>
          <w:rFonts w:ascii="Arial" w:eastAsia="Times New Roman" w:hAnsi="Arial" w:cs="Arial"/>
          <w:sz w:val="24"/>
          <w:szCs w:val="24"/>
          <w:lang w:eastAsia="en-GB"/>
        </w:rPr>
        <w:t>65</w:t>
      </w:r>
      <w:r w:rsidR="00027EBA" w:rsidRPr="00AB0E1C">
        <w:rPr>
          <w:rFonts w:ascii="Arial" w:eastAsia="Times New Roman" w:hAnsi="Arial" w:cs="Arial"/>
          <w:sz w:val="24"/>
          <w:szCs w:val="24"/>
          <w:lang w:eastAsia="en-GB"/>
        </w:rPr>
        <w:t xml:space="preserve"> patients</w:t>
      </w:r>
      <w:r w:rsidRPr="00AB0E1C">
        <w:rPr>
          <w:rFonts w:ascii="Arial" w:eastAsia="Times New Roman" w:hAnsi="Arial" w:cs="Arial"/>
          <w:sz w:val="24"/>
          <w:szCs w:val="24"/>
          <w:lang w:eastAsia="en-GB"/>
        </w:rPr>
        <w:t xml:space="preserve">, vFFR </w:t>
      </w:r>
      <w:r w:rsidR="00FE2750" w:rsidRPr="00AB0E1C">
        <w:rPr>
          <w:rFonts w:ascii="Arial" w:eastAsia="Times New Roman" w:hAnsi="Arial" w:cs="Arial"/>
          <w:sz w:val="24"/>
          <w:szCs w:val="24"/>
          <w:lang w:eastAsia="en-GB"/>
        </w:rPr>
        <w:t>recommended</w:t>
      </w:r>
      <w:r w:rsidRPr="00AB0E1C">
        <w:rPr>
          <w:rFonts w:ascii="Arial" w:eastAsia="Times New Roman" w:hAnsi="Arial" w:cs="Arial"/>
          <w:sz w:val="24"/>
          <w:szCs w:val="24"/>
          <w:lang w:eastAsia="en-GB"/>
        </w:rPr>
        <w:t xml:space="preserve"> </w:t>
      </w:r>
      <w:r w:rsidR="00997A9E" w:rsidRPr="00AB0E1C">
        <w:rPr>
          <w:rFonts w:ascii="Arial" w:eastAsia="Times New Roman" w:hAnsi="Arial" w:cs="Arial"/>
          <w:sz w:val="24"/>
          <w:szCs w:val="24"/>
          <w:lang w:eastAsia="en-GB"/>
        </w:rPr>
        <w:t xml:space="preserve">an </w:t>
      </w:r>
      <w:r w:rsidR="001976FA" w:rsidRPr="00AB0E1C">
        <w:rPr>
          <w:rFonts w:ascii="Arial" w:eastAsia="Times New Roman" w:hAnsi="Arial" w:cs="Arial"/>
          <w:sz w:val="24"/>
          <w:szCs w:val="24"/>
          <w:lang w:eastAsia="en-GB"/>
        </w:rPr>
        <w:t>17/39 (43.5%)</w:t>
      </w:r>
      <w:r w:rsidR="00997A9E" w:rsidRPr="00AB0E1C">
        <w:rPr>
          <w:rFonts w:ascii="Arial" w:eastAsia="Times New Roman" w:hAnsi="Arial" w:cs="Arial"/>
          <w:sz w:val="24"/>
          <w:szCs w:val="24"/>
          <w:lang w:eastAsia="en-GB"/>
        </w:rPr>
        <w:t xml:space="preserve"> </w:t>
      </w:r>
      <w:r w:rsidRPr="00AB0E1C">
        <w:rPr>
          <w:rFonts w:ascii="Arial" w:eastAsia="Times New Roman" w:hAnsi="Arial" w:cs="Arial"/>
          <w:sz w:val="24"/>
          <w:szCs w:val="24"/>
          <w:lang w:eastAsia="en-GB"/>
        </w:rPr>
        <w:t>patients to be treated with OMT in ACS</w:t>
      </w:r>
      <w:r w:rsidR="00CB64D8" w:rsidRPr="00AB0E1C">
        <w:rPr>
          <w:rFonts w:ascii="Arial" w:eastAsia="Times New Roman" w:hAnsi="Arial" w:cs="Arial"/>
          <w:sz w:val="24"/>
          <w:szCs w:val="24"/>
          <w:lang w:eastAsia="en-GB"/>
        </w:rPr>
        <w:t xml:space="preserve"> </w:t>
      </w:r>
      <w:r w:rsidR="00E75368" w:rsidRPr="00AB0E1C">
        <w:rPr>
          <w:rFonts w:ascii="Arial" w:eastAsia="Times New Roman" w:hAnsi="Arial" w:cs="Arial"/>
          <w:sz w:val="24"/>
          <w:szCs w:val="24"/>
          <w:lang w:eastAsia="en-GB"/>
        </w:rPr>
        <w:t>than</w:t>
      </w:r>
      <w:r w:rsidR="00CB64D8" w:rsidRPr="00AB0E1C">
        <w:rPr>
          <w:rFonts w:ascii="Arial" w:eastAsia="Times New Roman" w:hAnsi="Arial" w:cs="Arial"/>
          <w:sz w:val="24"/>
          <w:szCs w:val="24"/>
          <w:lang w:eastAsia="en-GB"/>
        </w:rPr>
        <w:t xml:space="preserve"> the</w:t>
      </w:r>
      <w:r w:rsidR="00E75368" w:rsidRPr="00AB0E1C">
        <w:rPr>
          <w:rFonts w:ascii="Arial" w:eastAsia="Times New Roman" w:hAnsi="Arial" w:cs="Arial"/>
          <w:sz w:val="24"/>
          <w:szCs w:val="24"/>
          <w:lang w:eastAsia="en-GB"/>
        </w:rPr>
        <w:t xml:space="preserve"> originally planned</w:t>
      </w:r>
      <w:r w:rsidR="00B53CD1" w:rsidRPr="00AB0E1C">
        <w:rPr>
          <w:rFonts w:ascii="Arial" w:eastAsia="Times New Roman" w:hAnsi="Arial" w:cs="Arial"/>
          <w:sz w:val="24"/>
          <w:szCs w:val="24"/>
          <w:lang w:eastAsia="en-GB"/>
        </w:rPr>
        <w:t xml:space="preserve"> invasive mFFR </w:t>
      </w:r>
      <w:r w:rsidR="00492C97" w:rsidRPr="00AB0E1C">
        <w:rPr>
          <w:rFonts w:ascii="Arial" w:eastAsia="Times New Roman" w:hAnsi="Arial" w:cs="Arial"/>
          <w:sz w:val="24"/>
          <w:szCs w:val="24"/>
          <w:lang w:eastAsia="en-GB"/>
        </w:rPr>
        <w:t>or</w:t>
      </w:r>
      <w:r w:rsidR="00B53CD1" w:rsidRPr="00AB0E1C">
        <w:rPr>
          <w:rFonts w:ascii="Arial" w:eastAsia="Times New Roman" w:hAnsi="Arial" w:cs="Arial"/>
          <w:sz w:val="24"/>
          <w:szCs w:val="24"/>
          <w:lang w:eastAsia="en-GB"/>
        </w:rPr>
        <w:t xml:space="preserve"> PCI</w:t>
      </w:r>
      <w:r w:rsidR="00492C97" w:rsidRPr="00AB0E1C">
        <w:rPr>
          <w:rFonts w:ascii="Arial" w:eastAsia="Times New Roman" w:hAnsi="Arial" w:cs="Arial"/>
          <w:sz w:val="24"/>
          <w:szCs w:val="24"/>
          <w:lang w:eastAsia="en-GB"/>
        </w:rPr>
        <w:t>.</w:t>
      </w:r>
      <w:r w:rsidR="00492C97">
        <w:rPr>
          <w:rFonts w:ascii="Arial" w:eastAsia="Times New Roman" w:hAnsi="Arial" w:cs="Arial"/>
          <w:sz w:val="24"/>
          <w:szCs w:val="24"/>
          <w:lang w:eastAsia="en-GB"/>
        </w:rPr>
        <w:t xml:space="preserve"> </w:t>
      </w:r>
      <w:r w:rsidR="00F4085C" w:rsidRPr="00F4085C">
        <w:rPr>
          <w:rFonts w:ascii="Arial" w:hAnsi="Arial" w:cs="Arial"/>
          <w:color w:val="0E101A"/>
          <w:sz w:val="24"/>
          <w:szCs w:val="24"/>
          <w:shd w:val="clear" w:color="auto" w:fill="FFFFFF"/>
        </w:rPr>
        <w:lastRenderedPageBreak/>
        <w:t>Moreover, vFFR-based plan</w:t>
      </w:r>
      <w:r w:rsidR="00F4085C">
        <w:rPr>
          <w:rFonts w:ascii="Arial" w:hAnsi="Arial" w:cs="Arial"/>
          <w:color w:val="0E101A"/>
          <w:sz w:val="24"/>
          <w:szCs w:val="24"/>
          <w:shd w:val="clear" w:color="auto" w:fill="FFFFFF"/>
        </w:rPr>
        <w:t>s</w:t>
      </w:r>
      <w:r w:rsidR="00F4085C" w:rsidRPr="00F4085C">
        <w:rPr>
          <w:rFonts w:ascii="Arial" w:hAnsi="Arial" w:cs="Arial"/>
          <w:color w:val="0E101A"/>
          <w:sz w:val="24"/>
          <w:szCs w:val="24"/>
          <w:shd w:val="clear" w:color="auto" w:fill="FFFFFF"/>
        </w:rPr>
        <w:t xml:space="preserve"> would have avoided 26 invasive pressure wire assessments</w:t>
      </w:r>
      <w:r w:rsidR="00F4085C">
        <w:rPr>
          <w:rFonts w:ascii="Arial" w:hAnsi="Arial" w:cs="Arial"/>
          <w:color w:val="0E101A"/>
          <w:sz w:val="24"/>
          <w:szCs w:val="24"/>
          <w:shd w:val="clear" w:color="auto" w:fill="FFFFFF"/>
        </w:rPr>
        <w:t xml:space="preserve"> in ACS</w:t>
      </w:r>
      <w:r w:rsidR="00F4085C" w:rsidRPr="00816B35">
        <w:rPr>
          <w:rFonts w:ascii="Arial" w:eastAsia="Times New Roman" w:hAnsi="Arial" w:cs="Arial"/>
          <w:sz w:val="24"/>
          <w:szCs w:val="24"/>
          <w:lang w:eastAsia="en-GB"/>
        </w:rPr>
        <w:t xml:space="preserve"> </w:t>
      </w:r>
      <w:r w:rsidRPr="00816B35">
        <w:rPr>
          <w:rFonts w:ascii="Arial" w:eastAsia="Times New Roman" w:hAnsi="Arial" w:cs="Arial"/>
          <w:sz w:val="24"/>
          <w:szCs w:val="24"/>
          <w:lang w:eastAsia="en-GB"/>
        </w:rPr>
        <w:t>(each costing £586). In contrast, vFFR led to an additional 13/26 (50%) CCS patients to be revascularised with PCI. vFFR also resulted in downgrading the complexity of PCI procedure (from culprit vessel PCI + additional vessel mFFR to culprit vessel PCI only) in 5/39 (12.8%) patients in ACS and 3/26 (11.5%) in CCS. On the other hand, 5/65 (7.6%) patients (two in ACS and three in CCS) were switched from one-vessel PCI to multivessel PCI. In ACS, 1/39 (2.5%) patients had the plan changed from multivessel PCI to CABG; in CCS, 1/26 (3.8%) patients had the plan changed from CABG to multivessel PCI. A similar proportion of virtual changes in treatment plans were observed after mFFR disclosure in the RIPCORD (n=200) and FAMOUS-NSTEMI (n=350) studies, in which treatment plans changed by 22% and 26%, respectively. (88, 106) Although the virtual changes appear small in number, they did have considerable economic impact, as discussed below (see section 4.</w:t>
      </w:r>
      <w:r w:rsidR="00807D07">
        <w:rPr>
          <w:rFonts w:ascii="Arial" w:eastAsia="Times New Roman" w:hAnsi="Arial" w:cs="Arial"/>
          <w:sz w:val="24"/>
          <w:szCs w:val="24"/>
          <w:lang w:eastAsia="en-GB"/>
        </w:rPr>
        <w:t>3.3</w:t>
      </w:r>
      <w:r w:rsidRPr="00816B35">
        <w:rPr>
          <w:rFonts w:ascii="Arial" w:eastAsia="Times New Roman" w:hAnsi="Arial" w:cs="Arial"/>
          <w:sz w:val="24"/>
          <w:szCs w:val="24"/>
          <w:lang w:eastAsia="en-GB"/>
        </w:rPr>
        <w:t>).</w:t>
      </w:r>
      <w:bookmarkEnd w:id="1470"/>
      <w:bookmarkEnd w:id="1471"/>
      <w:bookmarkEnd w:id="1472"/>
      <w:bookmarkEnd w:id="1473"/>
      <w:bookmarkEnd w:id="1474"/>
    </w:p>
    <w:p w14:paraId="09B5942F" w14:textId="77777777" w:rsidR="00816B35" w:rsidRPr="00816B35" w:rsidRDefault="00816B35" w:rsidP="00816B35">
      <w:pPr>
        <w:rPr>
          <w:lang w:eastAsia="en-GB"/>
        </w:rPr>
      </w:pPr>
    </w:p>
    <w:p w14:paraId="0E3AEBF1" w14:textId="2E9B3C7C" w:rsidR="004942B6" w:rsidRPr="00EC7385" w:rsidRDefault="004942B6" w:rsidP="00EC7385">
      <w:pPr>
        <w:pStyle w:val="Heading3"/>
        <w:rPr>
          <w:rFonts w:ascii="Arial" w:hAnsi="Arial" w:cs="Arial"/>
          <w:color w:val="4472C4" w:themeColor="accent1"/>
          <w:sz w:val="24"/>
          <w:szCs w:val="24"/>
        </w:rPr>
      </w:pPr>
      <w:bookmarkStart w:id="1475" w:name="_Toc171203958"/>
      <w:r w:rsidRPr="00EC7385">
        <w:rPr>
          <w:rFonts w:ascii="Arial" w:hAnsi="Arial" w:cs="Arial"/>
          <w:color w:val="4472C4" w:themeColor="accent1"/>
          <w:sz w:val="24"/>
          <w:szCs w:val="24"/>
        </w:rPr>
        <w:t>4.</w:t>
      </w:r>
      <w:r w:rsidR="00E61ACC" w:rsidRPr="00EC7385">
        <w:rPr>
          <w:rFonts w:ascii="Arial" w:hAnsi="Arial" w:cs="Arial"/>
          <w:color w:val="4472C4" w:themeColor="accent1"/>
          <w:sz w:val="24"/>
          <w:szCs w:val="24"/>
        </w:rPr>
        <w:t>3.2</w:t>
      </w:r>
      <w:r w:rsidRPr="00EC7385">
        <w:rPr>
          <w:rFonts w:ascii="Arial" w:hAnsi="Arial" w:cs="Arial"/>
          <w:color w:val="4472C4" w:themeColor="accent1"/>
          <w:sz w:val="24"/>
          <w:szCs w:val="24"/>
        </w:rPr>
        <w:t xml:space="preserve"> </w:t>
      </w:r>
      <w:r w:rsidR="008F4F62">
        <w:rPr>
          <w:rFonts w:ascii="Arial" w:hAnsi="Arial" w:cs="Arial"/>
          <w:color w:val="4472C4" w:themeColor="accent1"/>
          <w:sz w:val="24"/>
          <w:szCs w:val="24"/>
        </w:rPr>
        <w:t xml:space="preserve">Does </w:t>
      </w:r>
      <w:r w:rsidR="0089368B" w:rsidRPr="00EC7385">
        <w:rPr>
          <w:rFonts w:ascii="Arial" w:hAnsi="Arial" w:cs="Arial"/>
          <w:color w:val="4472C4" w:themeColor="accent1"/>
          <w:sz w:val="24"/>
          <w:szCs w:val="24"/>
        </w:rPr>
        <w:t xml:space="preserve">vFFR have an impact </w:t>
      </w:r>
      <w:r w:rsidR="008F4F62">
        <w:rPr>
          <w:rFonts w:ascii="Arial" w:hAnsi="Arial" w:cs="Arial"/>
          <w:color w:val="4472C4" w:themeColor="accent1"/>
          <w:sz w:val="24"/>
          <w:szCs w:val="24"/>
        </w:rPr>
        <w:t>up</w:t>
      </w:r>
      <w:r w:rsidR="0089368B" w:rsidRPr="00EC7385">
        <w:rPr>
          <w:rFonts w:ascii="Arial" w:hAnsi="Arial" w:cs="Arial"/>
          <w:color w:val="4472C4" w:themeColor="accent1"/>
          <w:sz w:val="24"/>
          <w:szCs w:val="24"/>
        </w:rPr>
        <w:t>on QOL?</w:t>
      </w:r>
      <w:bookmarkEnd w:id="1475"/>
      <w:r w:rsidRPr="00EC7385">
        <w:rPr>
          <w:rFonts w:ascii="Arial" w:hAnsi="Arial" w:cs="Arial"/>
          <w:color w:val="4472C4" w:themeColor="accent1"/>
          <w:sz w:val="24"/>
          <w:szCs w:val="24"/>
        </w:rPr>
        <w:t xml:space="preserve"> </w:t>
      </w:r>
    </w:p>
    <w:p w14:paraId="32B5F396" w14:textId="593F25A7" w:rsidR="008432F8" w:rsidRPr="008432F8" w:rsidRDefault="008432F8" w:rsidP="008432F8">
      <w:pPr>
        <w:spacing w:line="360" w:lineRule="auto"/>
        <w:jc w:val="both"/>
        <w:rPr>
          <w:rFonts w:ascii="Arial" w:hAnsi="Arial" w:cs="Arial"/>
          <w:sz w:val="24"/>
          <w:szCs w:val="24"/>
        </w:rPr>
      </w:pPr>
      <w:r w:rsidRPr="008432F8">
        <w:rPr>
          <w:rFonts w:ascii="Arial" w:hAnsi="Arial" w:cs="Arial"/>
          <w:sz w:val="24"/>
          <w:szCs w:val="24"/>
        </w:rPr>
        <w:t xml:space="preserve">The uniqueness of this study is that potential outcomes were predicted with a virtual change in management strategy post-vFFR. These virtual outcomes were extrapolated from the published literature to ensure evidence supported them. The trials were selected to include those with the closest match in terms of patients, outcomes, duration of follow-up, and QOL metrics used. Similarly, the expert </w:t>
      </w:r>
      <w:r w:rsidR="0012399F">
        <w:rPr>
          <w:rFonts w:ascii="Arial" w:hAnsi="Arial" w:cs="Arial"/>
          <w:sz w:val="24"/>
          <w:szCs w:val="24"/>
        </w:rPr>
        <w:t>MDT</w:t>
      </w:r>
      <w:r w:rsidRPr="008432F8">
        <w:rPr>
          <w:rFonts w:ascii="Arial" w:hAnsi="Arial" w:cs="Arial"/>
          <w:sz w:val="24"/>
          <w:szCs w:val="24"/>
        </w:rPr>
        <w:t xml:space="preserve">s also suggested that, in most patients, vFFR delivered more appropriate plans than the visual assessment alone and, therefore, would virtually result in an improved QOL. The appropriateness of the plan was in the form of avoidance of unnecessary invasive mFFR or PCI and their associated risks. In addition, choosing pertinent plans not only makes them more economical but also renders more patients with an angina-free status. </w:t>
      </w:r>
    </w:p>
    <w:p w14:paraId="094E97D0" w14:textId="0F84BCA9" w:rsidR="008432F8" w:rsidRPr="008432F8" w:rsidRDefault="008432F8" w:rsidP="008432F8">
      <w:pPr>
        <w:spacing w:line="360" w:lineRule="auto"/>
        <w:jc w:val="both"/>
        <w:rPr>
          <w:rFonts w:ascii="Arial" w:hAnsi="Arial" w:cs="Arial"/>
          <w:sz w:val="24"/>
          <w:szCs w:val="24"/>
        </w:rPr>
      </w:pPr>
      <w:r w:rsidRPr="008432F8">
        <w:rPr>
          <w:rFonts w:ascii="Arial" w:hAnsi="Arial" w:cs="Arial"/>
          <w:sz w:val="24"/>
          <w:szCs w:val="24"/>
        </w:rPr>
        <w:t xml:space="preserve">The virtual QOL analysis only applied to the subset (n=65) with a virtual change in their management plan post-vFFR. In </w:t>
      </w:r>
      <w:r w:rsidR="006150C9">
        <w:rPr>
          <w:rFonts w:ascii="Arial" w:hAnsi="Arial" w:cs="Arial"/>
          <w:sz w:val="24"/>
          <w:szCs w:val="24"/>
        </w:rPr>
        <w:t xml:space="preserve">the </w:t>
      </w:r>
      <w:r w:rsidRPr="008432F8">
        <w:rPr>
          <w:rFonts w:ascii="Arial" w:hAnsi="Arial" w:cs="Arial"/>
          <w:sz w:val="24"/>
          <w:szCs w:val="24"/>
        </w:rPr>
        <w:t>ACS</w:t>
      </w:r>
      <w:r w:rsidR="002606A6">
        <w:rPr>
          <w:rFonts w:ascii="Arial" w:hAnsi="Arial" w:cs="Arial"/>
          <w:sz w:val="24"/>
          <w:szCs w:val="24"/>
        </w:rPr>
        <w:t xml:space="preserve"> group</w:t>
      </w:r>
      <w:r w:rsidRPr="008432F8">
        <w:rPr>
          <w:rFonts w:ascii="Arial" w:hAnsi="Arial" w:cs="Arial"/>
          <w:sz w:val="24"/>
          <w:szCs w:val="24"/>
        </w:rPr>
        <w:t>, 24/39 (61.5%) patients had an actual improvement in the QOL scores</w:t>
      </w:r>
      <w:r w:rsidR="002606A6">
        <w:rPr>
          <w:rFonts w:ascii="Arial" w:hAnsi="Arial" w:cs="Arial"/>
          <w:sz w:val="24"/>
          <w:szCs w:val="24"/>
        </w:rPr>
        <w:t>;</w:t>
      </w:r>
      <w:r w:rsidRPr="008432F8">
        <w:rPr>
          <w:rFonts w:ascii="Arial" w:hAnsi="Arial" w:cs="Arial"/>
          <w:sz w:val="24"/>
          <w:szCs w:val="24"/>
        </w:rPr>
        <w:t xml:space="preserve"> </w:t>
      </w:r>
      <w:r w:rsidR="002606A6">
        <w:rPr>
          <w:rFonts w:ascii="Arial" w:hAnsi="Arial" w:cs="Arial"/>
          <w:sz w:val="24"/>
          <w:szCs w:val="24"/>
        </w:rPr>
        <w:t>but</w:t>
      </w:r>
      <w:r w:rsidRPr="008432F8">
        <w:rPr>
          <w:rFonts w:ascii="Arial" w:hAnsi="Arial" w:cs="Arial"/>
          <w:sz w:val="24"/>
          <w:szCs w:val="24"/>
        </w:rPr>
        <w:t xml:space="preserve"> vFFR-</w:t>
      </w:r>
      <w:r w:rsidR="002606A6">
        <w:rPr>
          <w:rFonts w:ascii="Arial" w:hAnsi="Arial" w:cs="Arial"/>
          <w:sz w:val="24"/>
          <w:szCs w:val="24"/>
        </w:rPr>
        <w:t>based management</w:t>
      </w:r>
      <w:r w:rsidRPr="008432F8">
        <w:rPr>
          <w:rFonts w:ascii="Arial" w:hAnsi="Arial" w:cs="Arial"/>
          <w:sz w:val="24"/>
          <w:szCs w:val="24"/>
        </w:rPr>
        <w:t xml:space="preserve"> would have resulted </w:t>
      </w:r>
      <w:r w:rsidR="00027EBA">
        <w:rPr>
          <w:rFonts w:ascii="Arial" w:hAnsi="Arial" w:cs="Arial"/>
          <w:sz w:val="24"/>
          <w:szCs w:val="24"/>
        </w:rPr>
        <w:t>i</w:t>
      </w:r>
      <w:r w:rsidRPr="008432F8">
        <w:rPr>
          <w:rFonts w:ascii="Arial" w:hAnsi="Arial" w:cs="Arial"/>
          <w:sz w:val="24"/>
          <w:szCs w:val="24"/>
        </w:rPr>
        <w:t xml:space="preserve">n </w:t>
      </w:r>
      <w:r w:rsidR="002606A6">
        <w:rPr>
          <w:rFonts w:ascii="Arial" w:hAnsi="Arial" w:cs="Arial"/>
          <w:sz w:val="24"/>
          <w:szCs w:val="24"/>
        </w:rPr>
        <w:t xml:space="preserve">an </w:t>
      </w:r>
      <w:r w:rsidRPr="008432F8">
        <w:rPr>
          <w:rFonts w:ascii="Arial" w:hAnsi="Arial" w:cs="Arial"/>
          <w:sz w:val="24"/>
          <w:szCs w:val="24"/>
        </w:rPr>
        <w:t xml:space="preserve">additional 2/39 (5.1%) patients to have an improved QOL, which corresponds to a virtual increase of 1% in EQ-VAS (p=0.96) and 2% in EQ-indexed scores (p=0.14). In </w:t>
      </w:r>
      <w:r w:rsidR="002606A6">
        <w:rPr>
          <w:rFonts w:ascii="Arial" w:hAnsi="Arial" w:cs="Arial"/>
          <w:sz w:val="24"/>
          <w:szCs w:val="24"/>
        </w:rPr>
        <w:t xml:space="preserve">the </w:t>
      </w:r>
      <w:r w:rsidRPr="008432F8">
        <w:rPr>
          <w:rFonts w:ascii="Arial" w:hAnsi="Arial" w:cs="Arial"/>
          <w:sz w:val="24"/>
          <w:szCs w:val="24"/>
        </w:rPr>
        <w:t>CCS</w:t>
      </w:r>
      <w:r w:rsidR="002606A6">
        <w:rPr>
          <w:rFonts w:ascii="Arial" w:hAnsi="Arial" w:cs="Arial"/>
          <w:sz w:val="24"/>
          <w:szCs w:val="24"/>
        </w:rPr>
        <w:t xml:space="preserve"> group</w:t>
      </w:r>
      <w:r w:rsidRPr="008432F8">
        <w:rPr>
          <w:rFonts w:ascii="Arial" w:hAnsi="Arial" w:cs="Arial"/>
          <w:sz w:val="24"/>
          <w:szCs w:val="24"/>
        </w:rPr>
        <w:t xml:space="preserve">, </w:t>
      </w:r>
      <w:r w:rsidR="002606A6">
        <w:rPr>
          <w:rFonts w:ascii="Arial" w:hAnsi="Arial" w:cs="Arial"/>
          <w:sz w:val="24"/>
          <w:szCs w:val="24"/>
        </w:rPr>
        <w:t>6/26 (</w:t>
      </w:r>
      <w:r w:rsidR="00F427DF">
        <w:rPr>
          <w:rFonts w:ascii="Arial" w:hAnsi="Arial" w:cs="Arial"/>
          <w:sz w:val="24"/>
          <w:szCs w:val="24"/>
        </w:rPr>
        <w:t>23</w:t>
      </w:r>
      <w:r w:rsidR="002606A6">
        <w:rPr>
          <w:rFonts w:ascii="Arial" w:hAnsi="Arial" w:cs="Arial"/>
          <w:sz w:val="24"/>
          <w:szCs w:val="24"/>
        </w:rPr>
        <w:t>%</w:t>
      </w:r>
      <w:r w:rsidR="000D51BE">
        <w:rPr>
          <w:rFonts w:ascii="Arial" w:hAnsi="Arial" w:cs="Arial"/>
          <w:sz w:val="24"/>
          <w:szCs w:val="24"/>
        </w:rPr>
        <w:t>)</w:t>
      </w:r>
      <w:r w:rsidR="002606A6">
        <w:rPr>
          <w:rFonts w:ascii="Arial" w:hAnsi="Arial" w:cs="Arial"/>
          <w:sz w:val="24"/>
          <w:szCs w:val="24"/>
        </w:rPr>
        <w:t xml:space="preserve"> patients had</w:t>
      </w:r>
      <w:r w:rsidRPr="008432F8">
        <w:rPr>
          <w:rFonts w:ascii="Arial" w:hAnsi="Arial" w:cs="Arial"/>
          <w:sz w:val="24"/>
          <w:szCs w:val="24"/>
        </w:rPr>
        <w:t xml:space="preserve"> an actual improvement in QOL</w:t>
      </w:r>
      <w:r w:rsidR="002606A6">
        <w:rPr>
          <w:rFonts w:ascii="Arial" w:hAnsi="Arial" w:cs="Arial"/>
          <w:sz w:val="24"/>
          <w:szCs w:val="24"/>
        </w:rPr>
        <w:t xml:space="preserve"> score</w:t>
      </w:r>
      <w:r w:rsidRPr="008432F8">
        <w:rPr>
          <w:rFonts w:ascii="Arial" w:hAnsi="Arial" w:cs="Arial"/>
          <w:sz w:val="24"/>
          <w:szCs w:val="24"/>
        </w:rPr>
        <w:t xml:space="preserve">, but vFFR-based management </w:t>
      </w:r>
      <w:r w:rsidR="002606A6">
        <w:rPr>
          <w:rFonts w:ascii="Arial" w:hAnsi="Arial" w:cs="Arial"/>
          <w:sz w:val="24"/>
          <w:szCs w:val="24"/>
        </w:rPr>
        <w:t>w</w:t>
      </w:r>
      <w:r w:rsidRPr="008432F8">
        <w:rPr>
          <w:rFonts w:ascii="Arial" w:hAnsi="Arial" w:cs="Arial"/>
          <w:sz w:val="24"/>
          <w:szCs w:val="24"/>
        </w:rPr>
        <w:t xml:space="preserve">ould have </w:t>
      </w:r>
      <w:r w:rsidR="002606A6">
        <w:rPr>
          <w:rFonts w:ascii="Arial" w:hAnsi="Arial" w:cs="Arial"/>
          <w:sz w:val="24"/>
          <w:szCs w:val="24"/>
        </w:rPr>
        <w:t>resulted in</w:t>
      </w:r>
      <w:r w:rsidRPr="008432F8">
        <w:rPr>
          <w:rFonts w:ascii="Arial" w:hAnsi="Arial" w:cs="Arial"/>
          <w:sz w:val="24"/>
          <w:szCs w:val="24"/>
        </w:rPr>
        <w:t xml:space="preserve"> an additional 13/26 </w:t>
      </w:r>
      <w:r w:rsidRPr="008432F8">
        <w:rPr>
          <w:rFonts w:ascii="Arial" w:hAnsi="Arial" w:cs="Arial"/>
          <w:sz w:val="24"/>
          <w:szCs w:val="24"/>
        </w:rPr>
        <w:lastRenderedPageBreak/>
        <w:t xml:space="preserve">(50%) patients </w:t>
      </w:r>
      <w:r w:rsidR="002606A6">
        <w:rPr>
          <w:rFonts w:ascii="Arial" w:hAnsi="Arial" w:cs="Arial"/>
          <w:sz w:val="24"/>
          <w:szCs w:val="24"/>
        </w:rPr>
        <w:t xml:space="preserve">to </w:t>
      </w:r>
      <w:r w:rsidRPr="008432F8">
        <w:rPr>
          <w:rFonts w:ascii="Arial" w:hAnsi="Arial" w:cs="Arial"/>
          <w:sz w:val="24"/>
          <w:szCs w:val="24"/>
        </w:rPr>
        <w:t>hav</w:t>
      </w:r>
      <w:r w:rsidR="002606A6">
        <w:rPr>
          <w:rFonts w:ascii="Arial" w:hAnsi="Arial" w:cs="Arial"/>
          <w:sz w:val="24"/>
          <w:szCs w:val="24"/>
        </w:rPr>
        <w:t>e</w:t>
      </w:r>
      <w:r w:rsidRPr="008432F8">
        <w:rPr>
          <w:rFonts w:ascii="Arial" w:hAnsi="Arial" w:cs="Arial"/>
          <w:sz w:val="24"/>
          <w:szCs w:val="24"/>
        </w:rPr>
        <w:t xml:space="preserve"> </w:t>
      </w:r>
      <w:r w:rsidR="002606A6">
        <w:rPr>
          <w:rFonts w:ascii="Arial" w:hAnsi="Arial" w:cs="Arial"/>
          <w:sz w:val="24"/>
          <w:szCs w:val="24"/>
        </w:rPr>
        <w:t xml:space="preserve">an </w:t>
      </w:r>
      <w:r w:rsidRPr="008432F8">
        <w:rPr>
          <w:rFonts w:ascii="Arial" w:hAnsi="Arial" w:cs="Arial"/>
          <w:sz w:val="24"/>
          <w:szCs w:val="24"/>
        </w:rPr>
        <w:t xml:space="preserve">improved QOL, which corresponds to a virtual increase of 6.7% in EQ-VAS (p=0.01) and 3.5% in EQ-indexed scores (p=0.03). The likely explanation of higher predicted QOL in CCS than ACS </w:t>
      </w:r>
      <w:r w:rsidR="002606A6">
        <w:rPr>
          <w:rFonts w:ascii="Arial" w:hAnsi="Arial" w:cs="Arial"/>
          <w:sz w:val="24"/>
          <w:szCs w:val="24"/>
        </w:rPr>
        <w:t>may have been</w:t>
      </w:r>
      <w:r w:rsidRPr="008432F8">
        <w:rPr>
          <w:rFonts w:ascii="Arial" w:hAnsi="Arial" w:cs="Arial"/>
          <w:sz w:val="24"/>
          <w:szCs w:val="24"/>
        </w:rPr>
        <w:t xml:space="preserve"> due to specialist-generalist decision bias (discussed in section 4.10). vFFR would have </w:t>
      </w:r>
      <w:r w:rsidR="002606A6">
        <w:rPr>
          <w:rFonts w:ascii="Arial" w:hAnsi="Arial" w:cs="Arial"/>
          <w:sz w:val="24"/>
          <w:szCs w:val="24"/>
        </w:rPr>
        <w:t xml:space="preserve">led to a </w:t>
      </w:r>
      <w:r w:rsidRPr="008432F8">
        <w:rPr>
          <w:rFonts w:ascii="Arial" w:hAnsi="Arial" w:cs="Arial"/>
          <w:sz w:val="24"/>
          <w:szCs w:val="24"/>
        </w:rPr>
        <w:t>recommend</w:t>
      </w:r>
      <w:r w:rsidR="002606A6">
        <w:rPr>
          <w:rFonts w:ascii="Arial" w:hAnsi="Arial" w:cs="Arial"/>
          <w:sz w:val="24"/>
          <w:szCs w:val="24"/>
        </w:rPr>
        <w:t>ation</w:t>
      </w:r>
      <w:r w:rsidRPr="008432F8">
        <w:rPr>
          <w:rFonts w:ascii="Arial" w:hAnsi="Arial" w:cs="Arial"/>
          <w:sz w:val="24"/>
          <w:szCs w:val="24"/>
        </w:rPr>
        <w:t xml:space="preserve"> that 13/26 patients in </w:t>
      </w:r>
      <w:r w:rsidR="002606A6">
        <w:rPr>
          <w:rFonts w:ascii="Arial" w:hAnsi="Arial" w:cs="Arial"/>
          <w:sz w:val="24"/>
          <w:szCs w:val="24"/>
        </w:rPr>
        <w:t xml:space="preserve">the </w:t>
      </w:r>
      <w:r w:rsidRPr="008432F8">
        <w:rPr>
          <w:rFonts w:ascii="Arial" w:hAnsi="Arial" w:cs="Arial"/>
          <w:sz w:val="24"/>
          <w:szCs w:val="24"/>
        </w:rPr>
        <w:t xml:space="preserve">CCS </w:t>
      </w:r>
      <w:r w:rsidR="002606A6">
        <w:rPr>
          <w:rFonts w:ascii="Arial" w:hAnsi="Arial" w:cs="Arial"/>
          <w:sz w:val="24"/>
          <w:szCs w:val="24"/>
        </w:rPr>
        <w:t xml:space="preserve">group </w:t>
      </w:r>
      <w:r w:rsidRPr="008432F8">
        <w:rPr>
          <w:rFonts w:ascii="Arial" w:hAnsi="Arial" w:cs="Arial"/>
          <w:sz w:val="24"/>
          <w:szCs w:val="24"/>
        </w:rPr>
        <w:t xml:space="preserve">undergo revascularisation instead of medical therapy as their more appropriate plan. </w:t>
      </w:r>
      <w:r w:rsidR="002606A6">
        <w:rPr>
          <w:rFonts w:ascii="Arial" w:hAnsi="Arial" w:cs="Arial"/>
          <w:sz w:val="24"/>
          <w:szCs w:val="24"/>
        </w:rPr>
        <w:t>It is reasonable to suppose that</w:t>
      </w:r>
      <w:r w:rsidRPr="008432F8">
        <w:rPr>
          <w:rFonts w:ascii="Arial" w:hAnsi="Arial" w:cs="Arial"/>
          <w:sz w:val="24"/>
          <w:szCs w:val="24"/>
        </w:rPr>
        <w:t xml:space="preserve"> revascularising individuals with ischaemic lesions on CAG would improve anginal status, increase exertional capacity, and improve QOL. It is evidenced by a virtual increase of 10/26 patients improving in the CCC class (p=0.005) and 13/26 (p=0.004) in the NYHA class, in addition to the patients with an actual improvement in the CCS and NYHA classes. There was a non-significant virtual change in the CCS class (1/39, p=0.99) and NYHA class (2/39, p=0.96) in </w:t>
      </w:r>
      <w:r w:rsidR="00CF6A7F">
        <w:rPr>
          <w:rFonts w:ascii="Arial" w:hAnsi="Arial" w:cs="Arial"/>
          <w:sz w:val="24"/>
          <w:szCs w:val="24"/>
        </w:rPr>
        <w:t xml:space="preserve">the </w:t>
      </w:r>
      <w:r w:rsidRPr="008432F8">
        <w:rPr>
          <w:rFonts w:ascii="Arial" w:hAnsi="Arial" w:cs="Arial"/>
          <w:sz w:val="24"/>
          <w:szCs w:val="24"/>
        </w:rPr>
        <w:t>ACS</w:t>
      </w:r>
      <w:r w:rsidR="00CF6A7F">
        <w:rPr>
          <w:rFonts w:ascii="Arial" w:hAnsi="Arial" w:cs="Arial"/>
          <w:sz w:val="24"/>
          <w:szCs w:val="24"/>
        </w:rPr>
        <w:t xml:space="preserve"> group</w:t>
      </w:r>
      <w:r w:rsidRPr="008432F8">
        <w:rPr>
          <w:rFonts w:ascii="Arial" w:hAnsi="Arial" w:cs="Arial"/>
          <w:sz w:val="24"/>
          <w:szCs w:val="24"/>
        </w:rPr>
        <w:t xml:space="preserve">. </w:t>
      </w:r>
    </w:p>
    <w:p w14:paraId="051F6C90" w14:textId="77777777" w:rsidR="008432F8" w:rsidRDefault="008432F8" w:rsidP="008432F8">
      <w:pPr>
        <w:spacing w:line="360" w:lineRule="auto"/>
        <w:jc w:val="both"/>
        <w:rPr>
          <w:rFonts w:ascii="Arial" w:hAnsi="Arial" w:cs="Arial"/>
          <w:sz w:val="24"/>
          <w:szCs w:val="24"/>
        </w:rPr>
      </w:pPr>
    </w:p>
    <w:p w14:paraId="21175FC2" w14:textId="460D332B" w:rsidR="004942B6" w:rsidRPr="00EC7385" w:rsidRDefault="004942B6" w:rsidP="00EC7385">
      <w:pPr>
        <w:pStyle w:val="Heading3"/>
        <w:spacing w:line="360" w:lineRule="auto"/>
        <w:jc w:val="both"/>
        <w:rPr>
          <w:rFonts w:ascii="Arial" w:hAnsi="Arial" w:cs="Arial"/>
          <w:color w:val="4472C4" w:themeColor="accent1"/>
          <w:sz w:val="24"/>
          <w:szCs w:val="24"/>
        </w:rPr>
      </w:pPr>
      <w:bookmarkStart w:id="1476" w:name="_Toc171203959"/>
      <w:r w:rsidRPr="00EC7385">
        <w:rPr>
          <w:rFonts w:ascii="Arial" w:hAnsi="Arial" w:cs="Arial"/>
          <w:color w:val="4472C4" w:themeColor="accent1"/>
          <w:sz w:val="24"/>
          <w:szCs w:val="24"/>
        </w:rPr>
        <w:t>4.</w:t>
      </w:r>
      <w:r w:rsidR="00E61ACC" w:rsidRPr="00EC7385">
        <w:rPr>
          <w:rFonts w:ascii="Arial" w:hAnsi="Arial" w:cs="Arial"/>
          <w:color w:val="4472C4" w:themeColor="accent1"/>
          <w:sz w:val="24"/>
          <w:szCs w:val="24"/>
        </w:rPr>
        <w:t>3.3</w:t>
      </w:r>
      <w:r w:rsidRPr="00EC7385">
        <w:rPr>
          <w:rFonts w:ascii="Arial" w:hAnsi="Arial" w:cs="Arial"/>
          <w:color w:val="4472C4" w:themeColor="accent1"/>
          <w:sz w:val="24"/>
          <w:szCs w:val="24"/>
        </w:rPr>
        <w:t xml:space="preserve"> </w:t>
      </w:r>
      <w:r w:rsidR="008F4F62">
        <w:rPr>
          <w:rFonts w:ascii="Arial" w:hAnsi="Arial" w:cs="Arial"/>
          <w:color w:val="4472C4" w:themeColor="accent1"/>
          <w:sz w:val="24"/>
          <w:szCs w:val="24"/>
        </w:rPr>
        <w:t>C</w:t>
      </w:r>
      <w:r w:rsidR="00F302BE" w:rsidRPr="00EC7385">
        <w:rPr>
          <w:rFonts w:ascii="Arial" w:hAnsi="Arial" w:cs="Arial"/>
          <w:color w:val="4472C4" w:themeColor="accent1"/>
          <w:sz w:val="24"/>
          <w:szCs w:val="24"/>
        </w:rPr>
        <w:t xml:space="preserve">ost implications </w:t>
      </w:r>
      <w:r w:rsidR="008F4F62">
        <w:rPr>
          <w:rFonts w:ascii="Arial" w:hAnsi="Arial" w:cs="Arial"/>
          <w:color w:val="4472C4" w:themeColor="accent1"/>
          <w:sz w:val="24"/>
          <w:szCs w:val="24"/>
        </w:rPr>
        <w:t xml:space="preserve">of </w:t>
      </w:r>
      <w:r w:rsidR="00F302BE" w:rsidRPr="00EC7385">
        <w:rPr>
          <w:rFonts w:ascii="Arial" w:hAnsi="Arial" w:cs="Arial"/>
          <w:color w:val="4472C4" w:themeColor="accent1"/>
          <w:sz w:val="24"/>
          <w:szCs w:val="24"/>
        </w:rPr>
        <w:t xml:space="preserve">the virtual changes in parent cardiologists' treatment decisions </w:t>
      </w:r>
      <w:r w:rsidR="008F4F62">
        <w:rPr>
          <w:rFonts w:ascii="Arial" w:hAnsi="Arial" w:cs="Arial"/>
          <w:color w:val="4472C4" w:themeColor="accent1"/>
          <w:sz w:val="24"/>
          <w:szCs w:val="24"/>
        </w:rPr>
        <w:t>with</w:t>
      </w:r>
      <w:r w:rsidR="00F302BE" w:rsidRPr="00EC7385">
        <w:rPr>
          <w:rFonts w:ascii="Arial" w:hAnsi="Arial" w:cs="Arial"/>
          <w:color w:val="4472C4" w:themeColor="accent1"/>
          <w:sz w:val="24"/>
          <w:szCs w:val="24"/>
        </w:rPr>
        <w:t xml:space="preserve"> vFFR</w:t>
      </w:r>
      <w:bookmarkEnd w:id="1476"/>
    </w:p>
    <w:p w14:paraId="2B750FDC" w14:textId="65123D0B" w:rsidR="00906640" w:rsidRPr="00906640" w:rsidRDefault="00906640" w:rsidP="00906640">
      <w:pPr>
        <w:spacing w:line="360" w:lineRule="auto"/>
        <w:jc w:val="both"/>
        <w:rPr>
          <w:rFonts w:ascii="Arial" w:hAnsi="Arial" w:cs="Arial"/>
          <w:sz w:val="24"/>
          <w:szCs w:val="24"/>
        </w:rPr>
      </w:pPr>
      <w:r w:rsidRPr="00906640">
        <w:rPr>
          <w:rFonts w:ascii="Arial" w:hAnsi="Arial" w:cs="Arial"/>
          <w:sz w:val="24"/>
          <w:szCs w:val="24"/>
        </w:rPr>
        <w:t xml:space="preserve">With the application of vFFR, the additional expense for the virtual change subset (n=65) was £3898 (average £59.90 per patient). This supplementary cost accounts for a trivial increase in the total costs of the virtual change subset (n=65) by 2% and 0.5% for the entire VIRTU-4 </w:t>
      </w:r>
      <w:r w:rsidR="00EA69F3">
        <w:rPr>
          <w:rFonts w:ascii="Arial" w:hAnsi="Arial" w:cs="Arial"/>
          <w:sz w:val="24"/>
          <w:szCs w:val="24"/>
        </w:rPr>
        <w:t xml:space="preserve">group </w:t>
      </w:r>
      <w:r w:rsidRPr="00906640">
        <w:rPr>
          <w:rFonts w:ascii="Arial" w:hAnsi="Arial" w:cs="Arial"/>
          <w:sz w:val="24"/>
          <w:szCs w:val="24"/>
        </w:rPr>
        <w:t xml:space="preserve">(n=266). In </w:t>
      </w:r>
      <w:r w:rsidR="00EA69F3">
        <w:rPr>
          <w:rFonts w:ascii="Arial" w:hAnsi="Arial" w:cs="Arial"/>
          <w:sz w:val="24"/>
          <w:szCs w:val="24"/>
        </w:rPr>
        <w:t xml:space="preserve">the virtual change </w:t>
      </w:r>
      <w:r w:rsidRPr="00906640">
        <w:rPr>
          <w:rFonts w:ascii="Arial" w:hAnsi="Arial" w:cs="Arial"/>
          <w:sz w:val="24"/>
          <w:szCs w:val="24"/>
        </w:rPr>
        <w:t>ACS</w:t>
      </w:r>
      <w:r w:rsidR="00EA69F3">
        <w:rPr>
          <w:rFonts w:ascii="Arial" w:hAnsi="Arial" w:cs="Arial"/>
          <w:sz w:val="24"/>
          <w:szCs w:val="24"/>
        </w:rPr>
        <w:t xml:space="preserve"> group</w:t>
      </w:r>
      <w:r w:rsidRPr="00906640">
        <w:rPr>
          <w:rFonts w:ascii="Arial" w:hAnsi="Arial" w:cs="Arial"/>
          <w:sz w:val="24"/>
          <w:szCs w:val="24"/>
        </w:rPr>
        <w:t xml:space="preserve"> (n=39), vFFR would have led to a reduction in the cost of index procedure in 30/39 (77%) patients, whereas 9/39 (23%) patients would have an increase in the costs. </w:t>
      </w:r>
      <w:r w:rsidR="00EA69F3">
        <w:rPr>
          <w:rFonts w:ascii="Arial" w:hAnsi="Arial" w:cs="Arial"/>
          <w:sz w:val="24"/>
          <w:szCs w:val="24"/>
        </w:rPr>
        <w:t>That</w:t>
      </w:r>
      <w:r w:rsidRPr="00906640">
        <w:rPr>
          <w:rFonts w:ascii="Arial" w:hAnsi="Arial" w:cs="Arial"/>
          <w:sz w:val="24"/>
          <w:szCs w:val="24"/>
        </w:rPr>
        <w:t xml:space="preserve"> corresponds to a notional saving of £6369 in </w:t>
      </w:r>
      <w:r w:rsidR="00EA69F3">
        <w:rPr>
          <w:rFonts w:ascii="Arial" w:hAnsi="Arial" w:cs="Arial"/>
          <w:sz w:val="24"/>
          <w:szCs w:val="24"/>
        </w:rPr>
        <w:t xml:space="preserve">the </w:t>
      </w:r>
      <w:r w:rsidRPr="00906640">
        <w:rPr>
          <w:rFonts w:ascii="Arial" w:hAnsi="Arial" w:cs="Arial"/>
          <w:sz w:val="24"/>
          <w:szCs w:val="24"/>
        </w:rPr>
        <w:t xml:space="preserve">ACS </w:t>
      </w:r>
      <w:r w:rsidR="00EA69F3">
        <w:rPr>
          <w:rFonts w:ascii="Arial" w:hAnsi="Arial" w:cs="Arial"/>
          <w:sz w:val="24"/>
          <w:szCs w:val="24"/>
        </w:rPr>
        <w:t xml:space="preserve">group </w:t>
      </w:r>
      <w:r w:rsidRPr="00906640">
        <w:rPr>
          <w:rFonts w:ascii="Arial" w:hAnsi="Arial" w:cs="Arial"/>
          <w:sz w:val="24"/>
          <w:szCs w:val="24"/>
        </w:rPr>
        <w:t xml:space="preserve">(average £163 per patient). The cost savings in the ACS cohort could have been significantly higher had one patient's plan not changed from multivessel PCI to CABG. The CABG, being the most expensive plan, reduced the overall impact of savings from other patients by £8972 (an average of £67 per patient). However, this is reflective of real-world clinical practice. In contrast, 22/26 (84.6%) patients in the CCS cohort (n=26) experienced a virtual increase, and 4/26 (15.4%) had a decrease in the cost of index procedure after vFFR. Therefore, vFFR would have led to an extra spend of £10267 (average increase of £395 per patient) in </w:t>
      </w:r>
      <w:r w:rsidR="00EA69F3">
        <w:rPr>
          <w:rFonts w:ascii="Arial" w:hAnsi="Arial" w:cs="Arial"/>
          <w:sz w:val="24"/>
          <w:szCs w:val="24"/>
        </w:rPr>
        <w:t xml:space="preserve">the </w:t>
      </w:r>
      <w:r w:rsidRPr="00906640">
        <w:rPr>
          <w:rFonts w:ascii="Arial" w:hAnsi="Arial" w:cs="Arial"/>
          <w:sz w:val="24"/>
          <w:szCs w:val="24"/>
        </w:rPr>
        <w:t>CCS</w:t>
      </w:r>
      <w:r w:rsidR="00EA69F3">
        <w:rPr>
          <w:rFonts w:ascii="Arial" w:hAnsi="Arial" w:cs="Arial"/>
          <w:sz w:val="24"/>
          <w:szCs w:val="24"/>
        </w:rPr>
        <w:t xml:space="preserve"> virtual change group, but only £</w:t>
      </w:r>
      <w:r w:rsidR="00ED3191">
        <w:rPr>
          <w:rFonts w:ascii="Arial" w:hAnsi="Arial" w:cs="Arial"/>
          <w:sz w:val="24"/>
          <w:szCs w:val="24"/>
        </w:rPr>
        <w:t xml:space="preserve">119 </w:t>
      </w:r>
      <w:r w:rsidR="00EA69F3">
        <w:rPr>
          <w:rFonts w:ascii="Arial" w:hAnsi="Arial" w:cs="Arial"/>
          <w:sz w:val="24"/>
          <w:szCs w:val="24"/>
        </w:rPr>
        <w:t xml:space="preserve">per patient in the </w:t>
      </w:r>
      <w:r w:rsidR="00E61ACC">
        <w:rPr>
          <w:rFonts w:ascii="Arial" w:hAnsi="Arial" w:cs="Arial"/>
          <w:sz w:val="24"/>
          <w:szCs w:val="24"/>
        </w:rPr>
        <w:t>entire</w:t>
      </w:r>
      <w:r w:rsidR="001A5809">
        <w:rPr>
          <w:rFonts w:ascii="Arial" w:hAnsi="Arial" w:cs="Arial"/>
          <w:sz w:val="24"/>
          <w:szCs w:val="24"/>
        </w:rPr>
        <w:t xml:space="preserve"> VIRTU-4 CCS group</w:t>
      </w:r>
      <w:r w:rsidRPr="00906640">
        <w:rPr>
          <w:rFonts w:ascii="Arial" w:hAnsi="Arial" w:cs="Arial"/>
          <w:sz w:val="24"/>
          <w:szCs w:val="24"/>
        </w:rPr>
        <w:t xml:space="preserve">. </w:t>
      </w:r>
    </w:p>
    <w:p w14:paraId="4CBEEBCB" w14:textId="6DF492EC" w:rsidR="004942B6" w:rsidRDefault="00906640" w:rsidP="00510304">
      <w:pPr>
        <w:spacing w:line="360" w:lineRule="auto"/>
        <w:jc w:val="both"/>
        <w:rPr>
          <w:rFonts w:ascii="Arial" w:hAnsi="Arial" w:cs="Arial"/>
          <w:sz w:val="24"/>
          <w:szCs w:val="24"/>
        </w:rPr>
      </w:pPr>
      <w:r w:rsidRPr="00906640">
        <w:rPr>
          <w:rFonts w:ascii="Arial" w:hAnsi="Arial" w:cs="Arial"/>
          <w:sz w:val="24"/>
          <w:szCs w:val="24"/>
        </w:rPr>
        <w:lastRenderedPageBreak/>
        <w:t xml:space="preserve">Although there was a modest increase in the costs of CCS patients, it is </w:t>
      </w:r>
      <w:r w:rsidR="001A5809">
        <w:rPr>
          <w:rFonts w:ascii="Arial" w:hAnsi="Arial" w:cs="Arial"/>
          <w:sz w:val="24"/>
          <w:szCs w:val="24"/>
        </w:rPr>
        <w:t>useful</w:t>
      </w:r>
      <w:r w:rsidRPr="00906640">
        <w:rPr>
          <w:rFonts w:ascii="Arial" w:hAnsi="Arial" w:cs="Arial"/>
          <w:sz w:val="24"/>
          <w:szCs w:val="24"/>
        </w:rPr>
        <w:t xml:space="preserve"> to view these costs paired with the potential improvement in outcomes. vFFR demonstrated that there may have been a visual-physiological discordance in 13/26 patients in CCS, which means that visually non-significant appearing lesions on CAG were functionally significant. Therefore, revascularisation would have been their more appropriate plan. Failure to revascularise them </w:t>
      </w:r>
      <w:r w:rsidR="001A5809">
        <w:rPr>
          <w:rFonts w:ascii="Arial" w:hAnsi="Arial" w:cs="Arial"/>
          <w:sz w:val="24"/>
          <w:szCs w:val="24"/>
        </w:rPr>
        <w:t>may</w:t>
      </w:r>
      <w:r w:rsidRPr="00906640">
        <w:rPr>
          <w:rFonts w:ascii="Arial" w:hAnsi="Arial" w:cs="Arial"/>
          <w:sz w:val="24"/>
          <w:szCs w:val="24"/>
        </w:rPr>
        <w:t xml:space="preserve"> result in long</w:t>
      </w:r>
      <w:r w:rsidR="001A5809">
        <w:rPr>
          <w:rFonts w:ascii="Arial" w:hAnsi="Arial" w:cs="Arial"/>
          <w:sz w:val="24"/>
          <w:szCs w:val="24"/>
        </w:rPr>
        <w:t xml:space="preserve"> </w:t>
      </w:r>
      <w:r w:rsidRPr="00906640">
        <w:rPr>
          <w:rFonts w:ascii="Arial" w:hAnsi="Arial" w:cs="Arial"/>
          <w:sz w:val="24"/>
          <w:szCs w:val="24"/>
        </w:rPr>
        <w:t xml:space="preserve">term issues </w:t>
      </w:r>
      <w:r w:rsidR="00AD7AAB">
        <w:rPr>
          <w:rFonts w:ascii="Arial" w:hAnsi="Arial" w:cs="Arial"/>
          <w:sz w:val="24"/>
          <w:szCs w:val="24"/>
        </w:rPr>
        <w:t>of</w:t>
      </w:r>
      <w:r w:rsidRPr="00906640">
        <w:rPr>
          <w:rFonts w:ascii="Arial" w:hAnsi="Arial" w:cs="Arial"/>
          <w:sz w:val="24"/>
          <w:szCs w:val="24"/>
        </w:rPr>
        <w:t xml:space="preserve"> repeat revascularisation and hospital admissions, thus</w:t>
      </w:r>
      <w:r w:rsidR="00AD7AAB">
        <w:rPr>
          <w:rFonts w:ascii="Arial" w:hAnsi="Arial" w:cs="Arial"/>
          <w:sz w:val="24"/>
          <w:szCs w:val="24"/>
        </w:rPr>
        <w:t xml:space="preserve"> also</w:t>
      </w:r>
      <w:r w:rsidRPr="00906640">
        <w:rPr>
          <w:rFonts w:ascii="Arial" w:hAnsi="Arial" w:cs="Arial"/>
          <w:sz w:val="24"/>
          <w:szCs w:val="24"/>
        </w:rPr>
        <w:t xml:space="preserve"> adversely affecting QOL. The impact </w:t>
      </w:r>
      <w:r w:rsidR="00AD7AAB">
        <w:rPr>
          <w:rFonts w:ascii="Arial" w:hAnsi="Arial" w:cs="Arial"/>
          <w:sz w:val="24"/>
          <w:szCs w:val="24"/>
        </w:rPr>
        <w:t xml:space="preserve">of vFFR </w:t>
      </w:r>
      <w:r w:rsidRPr="00906640">
        <w:rPr>
          <w:rFonts w:ascii="Arial" w:hAnsi="Arial" w:cs="Arial"/>
          <w:sz w:val="24"/>
          <w:szCs w:val="24"/>
        </w:rPr>
        <w:t xml:space="preserve">in the CCS cohort was more </w:t>
      </w:r>
      <w:r w:rsidR="00AD7AAB">
        <w:rPr>
          <w:rFonts w:ascii="Arial" w:hAnsi="Arial" w:cs="Arial"/>
          <w:sz w:val="24"/>
          <w:szCs w:val="24"/>
        </w:rPr>
        <w:t>p</w:t>
      </w:r>
      <w:r w:rsidRPr="00906640">
        <w:rPr>
          <w:rFonts w:ascii="Arial" w:hAnsi="Arial" w:cs="Arial"/>
          <w:sz w:val="24"/>
          <w:szCs w:val="24"/>
        </w:rPr>
        <w:t>r</w:t>
      </w:r>
      <w:r w:rsidR="00AD7AAB">
        <w:rPr>
          <w:rFonts w:ascii="Arial" w:hAnsi="Arial" w:cs="Arial"/>
          <w:sz w:val="24"/>
          <w:szCs w:val="24"/>
        </w:rPr>
        <w:t>o</w:t>
      </w:r>
      <w:r w:rsidRPr="00906640">
        <w:rPr>
          <w:rFonts w:ascii="Arial" w:hAnsi="Arial" w:cs="Arial"/>
          <w:sz w:val="24"/>
          <w:szCs w:val="24"/>
        </w:rPr>
        <w:t xml:space="preserve">nounced </w:t>
      </w:r>
      <w:r w:rsidR="00AD7AAB">
        <w:rPr>
          <w:rFonts w:ascii="Arial" w:hAnsi="Arial" w:cs="Arial"/>
          <w:sz w:val="24"/>
          <w:szCs w:val="24"/>
        </w:rPr>
        <w:t>possibly because</w:t>
      </w:r>
      <w:r w:rsidRPr="00906640">
        <w:rPr>
          <w:rFonts w:ascii="Arial" w:hAnsi="Arial" w:cs="Arial"/>
          <w:sz w:val="24"/>
          <w:szCs w:val="24"/>
        </w:rPr>
        <w:t xml:space="preserve"> patients </w:t>
      </w:r>
      <w:r w:rsidR="00AD7AAB">
        <w:rPr>
          <w:rFonts w:ascii="Arial" w:hAnsi="Arial" w:cs="Arial"/>
          <w:sz w:val="24"/>
          <w:szCs w:val="24"/>
        </w:rPr>
        <w:t>in this group were</w:t>
      </w:r>
      <w:r w:rsidRPr="00906640">
        <w:rPr>
          <w:rFonts w:ascii="Arial" w:hAnsi="Arial" w:cs="Arial"/>
          <w:sz w:val="24"/>
          <w:szCs w:val="24"/>
        </w:rPr>
        <w:t xml:space="preserve"> managed in non-interventional centres by general cardiologist</w:t>
      </w:r>
      <w:r w:rsidR="00AD7AAB">
        <w:rPr>
          <w:rFonts w:ascii="Arial" w:hAnsi="Arial" w:cs="Arial"/>
          <w:sz w:val="24"/>
          <w:szCs w:val="24"/>
        </w:rPr>
        <w:t>s</w:t>
      </w:r>
      <w:r w:rsidR="006C7A19">
        <w:rPr>
          <w:rFonts w:ascii="Arial" w:hAnsi="Arial" w:cs="Arial"/>
          <w:sz w:val="24"/>
          <w:szCs w:val="24"/>
        </w:rPr>
        <w:t>,</w:t>
      </w:r>
      <w:r w:rsidRPr="00906640">
        <w:rPr>
          <w:rFonts w:ascii="Arial" w:hAnsi="Arial" w:cs="Arial"/>
          <w:sz w:val="24"/>
          <w:szCs w:val="24"/>
        </w:rPr>
        <w:t xml:space="preserve"> not specialised in coronary intervention</w:t>
      </w:r>
      <w:r w:rsidR="00AD7AAB">
        <w:rPr>
          <w:rFonts w:ascii="Arial" w:hAnsi="Arial" w:cs="Arial"/>
          <w:sz w:val="24"/>
          <w:szCs w:val="24"/>
        </w:rPr>
        <w:t>;</w:t>
      </w:r>
      <w:r w:rsidRPr="00906640">
        <w:rPr>
          <w:rFonts w:ascii="Arial" w:hAnsi="Arial" w:cs="Arial"/>
          <w:sz w:val="24"/>
          <w:szCs w:val="24"/>
        </w:rPr>
        <w:t xml:space="preserve"> suggesting that vFFR may help to improve the decision-making process with an even greater impact in th</w:t>
      </w:r>
      <w:r w:rsidR="00AD7AAB">
        <w:rPr>
          <w:rFonts w:ascii="Arial" w:hAnsi="Arial" w:cs="Arial"/>
          <w:sz w:val="24"/>
          <w:szCs w:val="24"/>
        </w:rPr>
        <w:t>is setting</w:t>
      </w:r>
      <w:r w:rsidRPr="00906640">
        <w:rPr>
          <w:rFonts w:ascii="Arial" w:hAnsi="Arial" w:cs="Arial"/>
          <w:sz w:val="24"/>
          <w:szCs w:val="24"/>
        </w:rPr>
        <w:t>. Hence, it is reasonable to assume that the addition of vFFR would have resulted in more patients receiving appropriately targeted treatment, leading to improved health consequences in the long term.</w:t>
      </w:r>
    </w:p>
    <w:p w14:paraId="33D6D6E1" w14:textId="77777777" w:rsidR="00906640" w:rsidRPr="00F45CCB" w:rsidRDefault="00906640" w:rsidP="00510304">
      <w:pPr>
        <w:spacing w:line="360" w:lineRule="auto"/>
        <w:jc w:val="both"/>
        <w:rPr>
          <w:rFonts w:ascii="Arial" w:hAnsi="Arial" w:cs="Arial"/>
          <w:color w:val="4472C4" w:themeColor="accent1"/>
          <w:sz w:val="24"/>
          <w:szCs w:val="24"/>
        </w:rPr>
      </w:pPr>
    </w:p>
    <w:p w14:paraId="536896A6" w14:textId="5D3617B9" w:rsidR="004942B6" w:rsidRPr="00EC7385" w:rsidRDefault="004942B6" w:rsidP="00EC7385">
      <w:pPr>
        <w:pStyle w:val="Heading3"/>
        <w:spacing w:line="360" w:lineRule="auto"/>
        <w:jc w:val="both"/>
        <w:rPr>
          <w:rFonts w:ascii="Arial" w:hAnsi="Arial" w:cs="Arial"/>
          <w:color w:val="4472C4" w:themeColor="accent1"/>
          <w:sz w:val="24"/>
          <w:szCs w:val="24"/>
        </w:rPr>
      </w:pPr>
      <w:bookmarkStart w:id="1477" w:name="_Toc171203960"/>
      <w:r w:rsidRPr="00EC7385">
        <w:rPr>
          <w:rFonts w:ascii="Arial" w:hAnsi="Arial" w:cs="Arial"/>
          <w:color w:val="4472C4" w:themeColor="accent1"/>
          <w:sz w:val="24"/>
          <w:szCs w:val="24"/>
        </w:rPr>
        <w:t>4.</w:t>
      </w:r>
      <w:r w:rsidR="00E61ACC" w:rsidRPr="00EC7385">
        <w:rPr>
          <w:rFonts w:ascii="Arial" w:hAnsi="Arial" w:cs="Arial"/>
          <w:color w:val="4472C4" w:themeColor="accent1"/>
          <w:sz w:val="24"/>
          <w:szCs w:val="24"/>
        </w:rPr>
        <w:t>3.4</w:t>
      </w:r>
      <w:r w:rsidRPr="00EC7385">
        <w:rPr>
          <w:rFonts w:ascii="Arial" w:hAnsi="Arial" w:cs="Arial"/>
          <w:color w:val="4472C4" w:themeColor="accent1"/>
          <w:sz w:val="24"/>
          <w:szCs w:val="24"/>
        </w:rPr>
        <w:t xml:space="preserve"> </w:t>
      </w:r>
      <w:r w:rsidR="00510304" w:rsidRPr="00EC7385">
        <w:rPr>
          <w:rFonts w:ascii="Arial" w:hAnsi="Arial" w:cs="Arial"/>
          <w:color w:val="4472C4" w:themeColor="accent1"/>
          <w:sz w:val="24"/>
          <w:szCs w:val="24"/>
        </w:rPr>
        <w:t>W</w:t>
      </w:r>
      <w:r w:rsidR="00CB66AA" w:rsidRPr="00EC7385">
        <w:rPr>
          <w:rFonts w:ascii="Arial" w:hAnsi="Arial" w:cs="Arial"/>
          <w:color w:val="4472C4" w:themeColor="accent1"/>
          <w:sz w:val="24"/>
          <w:szCs w:val="24"/>
        </w:rPr>
        <w:t xml:space="preserve">hat was the impact of </w:t>
      </w:r>
      <w:r w:rsidR="0012399F" w:rsidRPr="00EC7385">
        <w:rPr>
          <w:rFonts w:ascii="Arial" w:hAnsi="Arial" w:cs="Arial"/>
          <w:color w:val="4472C4" w:themeColor="accent1"/>
          <w:sz w:val="24"/>
          <w:szCs w:val="24"/>
        </w:rPr>
        <w:t xml:space="preserve">vFFR on the concordance of treatment plans between </w:t>
      </w:r>
      <w:r w:rsidR="00510304" w:rsidRPr="00EC7385">
        <w:rPr>
          <w:rFonts w:ascii="Arial" w:hAnsi="Arial" w:cs="Arial"/>
          <w:color w:val="4472C4" w:themeColor="accent1"/>
          <w:sz w:val="24"/>
          <w:szCs w:val="24"/>
        </w:rPr>
        <w:t xml:space="preserve">the parent cardiologists and the expert </w:t>
      </w:r>
      <w:r w:rsidR="0012399F" w:rsidRPr="00EC7385">
        <w:rPr>
          <w:rFonts w:ascii="Arial" w:hAnsi="Arial" w:cs="Arial"/>
          <w:color w:val="4472C4" w:themeColor="accent1"/>
          <w:sz w:val="24"/>
          <w:szCs w:val="24"/>
        </w:rPr>
        <w:t>MDTs</w:t>
      </w:r>
      <w:r w:rsidR="00510304" w:rsidRPr="00EC7385">
        <w:rPr>
          <w:rFonts w:ascii="Arial" w:hAnsi="Arial" w:cs="Arial"/>
          <w:color w:val="4472C4" w:themeColor="accent1"/>
          <w:sz w:val="24"/>
          <w:szCs w:val="24"/>
        </w:rPr>
        <w:t>?</w:t>
      </w:r>
      <w:bookmarkEnd w:id="1477"/>
    </w:p>
    <w:p w14:paraId="400C411F" w14:textId="15F6F66E" w:rsidR="006D3891" w:rsidRPr="00181296" w:rsidRDefault="005466DD" w:rsidP="00510304">
      <w:pPr>
        <w:pStyle w:val="NormalWeb"/>
        <w:spacing w:before="240" w:beforeAutospacing="0" w:after="0" w:afterAutospacing="0"/>
        <w:jc w:val="both"/>
        <w:rPr>
          <w:rFonts w:ascii="Arial" w:hAnsi="Arial" w:cs="Arial"/>
          <w:color w:val="000000"/>
        </w:rPr>
      </w:pPr>
      <w:r w:rsidRPr="005466DD">
        <w:rPr>
          <w:rFonts w:ascii="Arial" w:hAnsi="Arial" w:cs="Arial"/>
          <w:color w:val="000000"/>
        </w:rPr>
        <w:t xml:space="preserve">I compared the </w:t>
      </w:r>
      <w:r w:rsidR="007C2D89">
        <w:rPr>
          <w:rFonts w:ascii="Arial" w:hAnsi="Arial" w:cs="Arial"/>
          <w:color w:val="000000"/>
        </w:rPr>
        <w:t xml:space="preserve">parent </w:t>
      </w:r>
      <w:r w:rsidR="00F009B9">
        <w:rPr>
          <w:rFonts w:ascii="Arial" w:hAnsi="Arial" w:cs="Arial"/>
          <w:color w:val="000000"/>
        </w:rPr>
        <w:t>cardiologists</w:t>
      </w:r>
      <w:r w:rsidR="00F009B9" w:rsidRPr="005466DD">
        <w:rPr>
          <w:rFonts w:ascii="Arial" w:hAnsi="Arial" w:cs="Arial"/>
          <w:color w:val="000000"/>
        </w:rPr>
        <w:t>’</w:t>
      </w:r>
      <w:r w:rsidRPr="005466DD">
        <w:rPr>
          <w:rFonts w:ascii="Arial" w:hAnsi="Arial" w:cs="Arial"/>
          <w:color w:val="000000"/>
        </w:rPr>
        <w:t xml:space="preserve"> pre- and post-vFFR plans with the expert </w:t>
      </w:r>
      <w:r w:rsidR="0012399F">
        <w:rPr>
          <w:rFonts w:ascii="Arial" w:hAnsi="Arial" w:cs="Arial"/>
          <w:color w:val="000000"/>
        </w:rPr>
        <w:t>MDT</w:t>
      </w:r>
      <w:r w:rsidRPr="005466DD">
        <w:rPr>
          <w:rFonts w:ascii="Arial" w:hAnsi="Arial" w:cs="Arial"/>
          <w:color w:val="000000"/>
        </w:rPr>
        <w:t>'s recommendations.</w:t>
      </w:r>
      <w:r w:rsidR="009F054E">
        <w:rPr>
          <w:rFonts w:ascii="Arial" w:hAnsi="Arial" w:cs="Arial"/>
          <w:color w:val="000000"/>
        </w:rPr>
        <w:t xml:space="preserve"> In the ACS group (n=39), </w:t>
      </w:r>
      <w:r w:rsidR="009F054E" w:rsidRPr="009F054E">
        <w:rPr>
          <w:rFonts w:ascii="Arial" w:hAnsi="Arial" w:cs="Arial"/>
          <w:color w:val="000000"/>
        </w:rPr>
        <w:t>only</w:t>
      </w:r>
      <w:r w:rsidR="009F054E">
        <w:rPr>
          <w:rFonts w:ascii="Arial" w:hAnsi="Arial" w:cs="Arial"/>
          <w:color w:val="000000"/>
        </w:rPr>
        <w:t xml:space="preserve"> 16/39</w:t>
      </w:r>
      <w:r w:rsidR="009F054E" w:rsidRPr="009F054E">
        <w:rPr>
          <w:rFonts w:ascii="Arial" w:hAnsi="Arial" w:cs="Arial"/>
          <w:color w:val="000000"/>
        </w:rPr>
        <w:t xml:space="preserve"> </w:t>
      </w:r>
      <w:r w:rsidR="009F054E">
        <w:rPr>
          <w:rFonts w:ascii="Arial" w:hAnsi="Arial" w:cs="Arial"/>
          <w:color w:val="000000"/>
        </w:rPr>
        <w:t xml:space="preserve">(41%) patients </w:t>
      </w:r>
      <w:r w:rsidR="009F054E" w:rsidRPr="009F054E">
        <w:rPr>
          <w:rFonts w:ascii="Arial" w:hAnsi="Arial" w:cs="Arial"/>
          <w:color w:val="000000"/>
        </w:rPr>
        <w:t>had identical</w:t>
      </w:r>
      <w:r w:rsidR="009F054E">
        <w:rPr>
          <w:rFonts w:ascii="Arial" w:hAnsi="Arial" w:cs="Arial"/>
          <w:color w:val="000000"/>
        </w:rPr>
        <w:t xml:space="preserve"> pre-vFFR</w:t>
      </w:r>
      <w:r w:rsidR="009F054E" w:rsidRPr="009F054E">
        <w:rPr>
          <w:rFonts w:ascii="Arial" w:hAnsi="Arial" w:cs="Arial"/>
          <w:color w:val="000000"/>
        </w:rPr>
        <w:t xml:space="preserve"> management plans between their parent and </w:t>
      </w:r>
      <w:r w:rsidR="009F054E">
        <w:rPr>
          <w:rFonts w:ascii="Arial" w:hAnsi="Arial" w:cs="Arial"/>
          <w:color w:val="000000"/>
        </w:rPr>
        <w:t>1st</w:t>
      </w:r>
      <w:r w:rsidR="009F054E" w:rsidRPr="009F054E">
        <w:rPr>
          <w:rFonts w:ascii="Arial" w:hAnsi="Arial" w:cs="Arial"/>
          <w:color w:val="000000"/>
        </w:rPr>
        <w:t xml:space="preserve"> expert team</w:t>
      </w:r>
      <w:r w:rsidR="009F054E">
        <w:rPr>
          <w:rFonts w:ascii="Arial" w:hAnsi="Arial" w:cs="Arial"/>
          <w:color w:val="000000"/>
        </w:rPr>
        <w:t>;</w:t>
      </w:r>
      <w:r w:rsidR="009F054E" w:rsidRPr="009F054E">
        <w:rPr>
          <w:rFonts w:ascii="Arial" w:hAnsi="Arial" w:cs="Arial"/>
          <w:color w:val="000000"/>
        </w:rPr>
        <w:t xml:space="preserve"> </w:t>
      </w:r>
      <w:r w:rsidR="009F054E">
        <w:rPr>
          <w:rFonts w:ascii="Arial" w:hAnsi="Arial" w:cs="Arial"/>
          <w:color w:val="000000"/>
        </w:rPr>
        <w:t>h</w:t>
      </w:r>
      <w:r w:rsidR="009F054E" w:rsidRPr="009F054E">
        <w:rPr>
          <w:rFonts w:ascii="Arial" w:hAnsi="Arial" w:cs="Arial"/>
          <w:color w:val="000000"/>
        </w:rPr>
        <w:t xml:space="preserve">owever, </w:t>
      </w:r>
      <w:r w:rsidR="009F054E">
        <w:rPr>
          <w:rFonts w:ascii="Arial" w:hAnsi="Arial" w:cs="Arial"/>
          <w:color w:val="000000"/>
        </w:rPr>
        <w:t xml:space="preserve">post-vFFR </w:t>
      </w:r>
      <w:r w:rsidR="009F054E" w:rsidRPr="009F054E">
        <w:rPr>
          <w:rFonts w:ascii="Arial" w:hAnsi="Arial" w:cs="Arial"/>
          <w:color w:val="000000"/>
        </w:rPr>
        <w:t xml:space="preserve">disclosure, </w:t>
      </w:r>
      <w:r w:rsidR="009F054E">
        <w:rPr>
          <w:rFonts w:ascii="Arial" w:hAnsi="Arial" w:cs="Arial"/>
          <w:color w:val="000000"/>
        </w:rPr>
        <w:t xml:space="preserve">it </w:t>
      </w:r>
      <w:r w:rsidR="009F054E" w:rsidRPr="009F054E">
        <w:rPr>
          <w:rFonts w:ascii="Arial" w:hAnsi="Arial" w:cs="Arial"/>
          <w:color w:val="000000"/>
        </w:rPr>
        <w:t>significantly increased to</w:t>
      </w:r>
      <w:r w:rsidR="009F054E">
        <w:rPr>
          <w:rFonts w:ascii="Arial" w:hAnsi="Arial" w:cs="Arial"/>
          <w:color w:val="000000"/>
        </w:rPr>
        <w:t xml:space="preserve"> 26/39 (66.6%) patients</w:t>
      </w:r>
      <w:r w:rsidR="009F054E" w:rsidRPr="009F054E">
        <w:rPr>
          <w:rFonts w:ascii="Arial" w:hAnsi="Arial" w:cs="Arial"/>
          <w:color w:val="000000"/>
        </w:rPr>
        <w:t>, indicating a notable improvement (p=0.04).</w:t>
      </w:r>
      <w:r w:rsidR="00025453">
        <w:rPr>
          <w:rFonts w:ascii="Arial" w:hAnsi="Arial" w:cs="Arial"/>
          <w:color w:val="000000"/>
        </w:rPr>
        <w:t>Simil</w:t>
      </w:r>
      <w:r w:rsidR="00181296">
        <w:rPr>
          <w:rFonts w:ascii="Arial" w:hAnsi="Arial" w:cs="Arial"/>
          <w:color w:val="000000"/>
        </w:rPr>
        <w:t>a</w:t>
      </w:r>
      <w:r w:rsidR="00025453">
        <w:rPr>
          <w:rFonts w:ascii="Arial" w:hAnsi="Arial" w:cs="Arial"/>
          <w:color w:val="000000"/>
        </w:rPr>
        <w:t>rly, in the CCS</w:t>
      </w:r>
      <w:r w:rsidR="006D3891">
        <w:rPr>
          <w:rFonts w:ascii="Arial" w:hAnsi="Arial" w:cs="Arial"/>
          <w:color w:val="000000"/>
        </w:rPr>
        <w:t xml:space="preserve"> group (n=26)</w:t>
      </w:r>
      <w:r w:rsidR="00025453">
        <w:rPr>
          <w:rFonts w:ascii="Arial" w:hAnsi="Arial" w:cs="Arial"/>
          <w:color w:val="000000"/>
        </w:rPr>
        <w:t>,</w:t>
      </w:r>
      <w:r w:rsidR="006D3891">
        <w:rPr>
          <w:rFonts w:ascii="Arial" w:hAnsi="Arial" w:cs="Arial"/>
          <w:color w:val="000000"/>
        </w:rPr>
        <w:t xml:space="preserve"> </w:t>
      </w:r>
      <w:r w:rsidR="006D3891" w:rsidRPr="00F1562A">
        <w:rPr>
          <w:rFonts w:ascii="Arial" w:hAnsi="Arial" w:cs="Arial"/>
          <w:color w:val="0E101A"/>
          <w:shd w:val="clear" w:color="auto" w:fill="FFFFFF"/>
          <w14:ligatures w14:val="none"/>
        </w:rPr>
        <w:t>1</w:t>
      </w:r>
      <w:r w:rsidR="006D3891">
        <w:rPr>
          <w:rFonts w:ascii="Arial" w:hAnsi="Arial" w:cs="Arial"/>
          <w:color w:val="0E101A"/>
          <w:shd w:val="clear" w:color="auto" w:fill="FFFFFF"/>
          <w14:ligatures w14:val="none"/>
        </w:rPr>
        <w:t>3</w:t>
      </w:r>
      <w:r w:rsidR="006D3891" w:rsidRPr="00F1562A">
        <w:rPr>
          <w:rFonts w:ascii="Arial" w:hAnsi="Arial" w:cs="Arial"/>
          <w:color w:val="0E101A"/>
          <w:shd w:val="clear" w:color="auto" w:fill="FFFFFF"/>
          <w14:ligatures w14:val="none"/>
        </w:rPr>
        <w:t>/</w:t>
      </w:r>
      <w:r w:rsidR="006D3891">
        <w:rPr>
          <w:rFonts w:ascii="Arial" w:hAnsi="Arial" w:cs="Arial"/>
          <w:color w:val="0E101A"/>
          <w:shd w:val="clear" w:color="auto" w:fill="FFFFFF"/>
          <w14:ligatures w14:val="none"/>
        </w:rPr>
        <w:t>26</w:t>
      </w:r>
      <w:r w:rsidR="006D3891" w:rsidRPr="00F1562A">
        <w:rPr>
          <w:rFonts w:ascii="Arial" w:hAnsi="Arial" w:cs="Arial"/>
          <w:color w:val="0E101A"/>
          <w:shd w:val="clear" w:color="auto" w:fill="FFFFFF"/>
          <w14:ligatures w14:val="none"/>
        </w:rPr>
        <w:t xml:space="preserve"> (</w:t>
      </w:r>
      <w:r w:rsidR="006D3891">
        <w:rPr>
          <w:rFonts w:ascii="Arial" w:hAnsi="Arial" w:cs="Arial"/>
          <w:color w:val="0E101A"/>
          <w:shd w:val="clear" w:color="auto" w:fill="FFFFFF"/>
          <w14:ligatures w14:val="none"/>
        </w:rPr>
        <w:t>50</w:t>
      </w:r>
      <w:r w:rsidR="006D3891" w:rsidRPr="00F1562A">
        <w:rPr>
          <w:rFonts w:ascii="Arial" w:hAnsi="Arial" w:cs="Arial"/>
          <w:color w:val="0E101A"/>
          <w:shd w:val="clear" w:color="auto" w:fill="FFFFFF"/>
          <w14:ligatures w14:val="none"/>
        </w:rPr>
        <w:t xml:space="preserve">%) patients had the same management plan between </w:t>
      </w:r>
      <w:r w:rsidR="006D3891">
        <w:rPr>
          <w:rFonts w:ascii="Arial" w:hAnsi="Arial" w:cs="Arial"/>
          <w:color w:val="0E101A"/>
          <w:shd w:val="clear" w:color="auto" w:fill="FFFFFF"/>
          <w14:ligatures w14:val="none"/>
        </w:rPr>
        <w:t>the</w:t>
      </w:r>
      <w:r w:rsidR="006D3891" w:rsidRPr="00F1562A">
        <w:rPr>
          <w:rFonts w:ascii="Arial" w:hAnsi="Arial" w:cs="Arial"/>
          <w:color w:val="0E101A"/>
          <w:shd w:val="clear" w:color="auto" w:fill="FFFFFF"/>
          <w14:ligatures w14:val="none"/>
        </w:rPr>
        <w:t xml:space="preserve"> parent and the 1st expert team before CAG (pre-vFFR); after vFFR disclosure</w:t>
      </w:r>
      <w:r w:rsidR="006D3891">
        <w:rPr>
          <w:rFonts w:ascii="Arial" w:hAnsi="Arial" w:cs="Arial"/>
          <w:color w:val="0E101A"/>
          <w:shd w:val="clear" w:color="auto" w:fill="FFFFFF"/>
          <w14:ligatures w14:val="none"/>
        </w:rPr>
        <w:t xml:space="preserve"> </w:t>
      </w:r>
      <w:r w:rsidR="008253A0">
        <w:rPr>
          <w:rFonts w:ascii="Arial" w:hAnsi="Arial" w:cs="Arial"/>
          <w:color w:val="0E101A"/>
          <w:shd w:val="clear" w:color="auto" w:fill="FFFFFF"/>
          <w14:ligatures w14:val="none"/>
        </w:rPr>
        <w:t>the number</w:t>
      </w:r>
      <w:r w:rsidR="006D3891">
        <w:rPr>
          <w:rFonts w:ascii="Arial" w:hAnsi="Arial" w:cs="Arial"/>
          <w:color w:val="0E101A"/>
          <w:shd w:val="clear" w:color="auto" w:fill="FFFFFF"/>
          <w14:ligatures w14:val="none"/>
        </w:rPr>
        <w:t xml:space="preserve"> </w:t>
      </w:r>
      <w:r w:rsidR="006D3891" w:rsidRPr="00F1562A">
        <w:rPr>
          <w:rFonts w:ascii="Arial" w:hAnsi="Arial" w:cs="Arial"/>
          <w:color w:val="0E101A"/>
          <w:shd w:val="clear" w:color="auto" w:fill="FFFFFF"/>
          <w14:ligatures w14:val="none"/>
        </w:rPr>
        <w:t xml:space="preserve">increased to </w:t>
      </w:r>
      <w:r w:rsidR="006D3891">
        <w:rPr>
          <w:rFonts w:ascii="Arial" w:hAnsi="Arial" w:cs="Arial"/>
          <w:color w:val="0E101A"/>
          <w:shd w:val="clear" w:color="auto" w:fill="FFFFFF"/>
          <w14:ligatures w14:val="none"/>
        </w:rPr>
        <w:t>17/</w:t>
      </w:r>
      <w:r w:rsidR="006D3891" w:rsidRPr="00F1562A">
        <w:rPr>
          <w:rFonts w:ascii="Arial" w:hAnsi="Arial" w:cs="Arial"/>
          <w:color w:val="0E101A"/>
          <w:shd w:val="clear" w:color="auto" w:fill="FFFFFF"/>
          <w14:ligatures w14:val="none"/>
        </w:rPr>
        <w:t>26 (6</w:t>
      </w:r>
      <w:r w:rsidR="006D3891">
        <w:rPr>
          <w:rFonts w:ascii="Arial" w:hAnsi="Arial" w:cs="Arial"/>
          <w:color w:val="0E101A"/>
          <w:shd w:val="clear" w:color="auto" w:fill="FFFFFF"/>
          <w14:ligatures w14:val="none"/>
        </w:rPr>
        <w:t>5.3</w:t>
      </w:r>
      <w:r w:rsidR="006D3891" w:rsidRPr="00F1562A">
        <w:rPr>
          <w:rFonts w:ascii="Arial" w:hAnsi="Arial" w:cs="Arial"/>
          <w:color w:val="0E101A"/>
          <w:shd w:val="clear" w:color="auto" w:fill="FFFFFF"/>
          <w14:ligatures w14:val="none"/>
        </w:rPr>
        <w:t>%) patients (p=0.4</w:t>
      </w:r>
      <w:r w:rsidR="00230FDC">
        <w:rPr>
          <w:rFonts w:ascii="Arial" w:hAnsi="Arial" w:cs="Arial"/>
          <w:color w:val="0E101A"/>
          <w:shd w:val="clear" w:color="auto" w:fill="FFFFFF"/>
          <w14:ligatures w14:val="none"/>
        </w:rPr>
        <w:t>0</w:t>
      </w:r>
      <w:r w:rsidR="006D3891" w:rsidRPr="00F1562A">
        <w:rPr>
          <w:rFonts w:ascii="Arial" w:hAnsi="Arial" w:cs="Arial"/>
          <w:color w:val="0E101A"/>
          <w:shd w:val="clear" w:color="auto" w:fill="FFFFFF"/>
          <w14:ligatures w14:val="none"/>
        </w:rPr>
        <w:t>).</w:t>
      </w:r>
    </w:p>
    <w:p w14:paraId="68D158AF" w14:textId="0AE2BD12" w:rsidR="001B5071" w:rsidRDefault="00307878" w:rsidP="00DC77CA">
      <w:pPr>
        <w:pStyle w:val="NormalWeb"/>
        <w:spacing w:before="240" w:beforeAutospacing="0" w:after="0" w:afterAutospacing="0"/>
        <w:jc w:val="both"/>
        <w:rPr>
          <w:rFonts w:ascii="Arial" w:hAnsi="Arial" w:cs="Arial"/>
          <w:color w:val="000000"/>
        </w:rPr>
      </w:pPr>
      <w:r>
        <w:rPr>
          <w:rFonts w:ascii="Arial" w:hAnsi="Arial" w:cs="Arial"/>
          <w:color w:val="0E101A"/>
          <w:shd w:val="clear" w:color="auto" w:fill="FFFFFF"/>
          <w14:ligatures w14:val="none"/>
        </w:rPr>
        <w:t xml:space="preserve">Comparison of plans from the </w:t>
      </w:r>
      <w:r w:rsidR="008E5362">
        <w:rPr>
          <w:rFonts w:ascii="Arial" w:hAnsi="Arial" w:cs="Arial"/>
          <w:color w:val="0E101A"/>
          <w:shd w:val="clear" w:color="auto" w:fill="FFFFFF"/>
          <w14:ligatures w14:val="none"/>
        </w:rPr>
        <w:t>expert MDT-2</w:t>
      </w:r>
      <w:r>
        <w:rPr>
          <w:rFonts w:ascii="Arial" w:hAnsi="Arial" w:cs="Arial"/>
          <w:color w:val="0E101A"/>
          <w:shd w:val="clear" w:color="auto" w:fill="FFFFFF"/>
          <w14:ligatures w14:val="none"/>
        </w:rPr>
        <w:t xml:space="preserve"> showed</w:t>
      </w:r>
      <w:r w:rsidR="00330430">
        <w:rPr>
          <w:rFonts w:ascii="Arial" w:hAnsi="Arial" w:cs="Arial"/>
          <w:color w:val="0E101A"/>
          <w:shd w:val="clear" w:color="auto" w:fill="FFFFFF"/>
          <w14:ligatures w14:val="none"/>
        </w:rPr>
        <w:t xml:space="preserve"> the similar trend of improvement</w:t>
      </w:r>
      <w:r w:rsidR="00633883">
        <w:rPr>
          <w:rFonts w:ascii="Arial" w:hAnsi="Arial" w:cs="Arial"/>
          <w:color w:val="0E101A"/>
          <w:shd w:val="clear" w:color="auto" w:fill="FFFFFF"/>
          <w14:ligatures w14:val="none"/>
        </w:rPr>
        <w:t xml:space="preserve"> (tho</w:t>
      </w:r>
      <w:r w:rsidR="005A1CB4">
        <w:rPr>
          <w:rFonts w:ascii="Arial" w:hAnsi="Arial" w:cs="Arial"/>
          <w:color w:val="0E101A"/>
          <w:shd w:val="clear" w:color="auto" w:fill="FFFFFF"/>
          <w14:ligatures w14:val="none"/>
        </w:rPr>
        <w:t>u</w:t>
      </w:r>
      <w:r w:rsidR="00633883">
        <w:rPr>
          <w:rFonts w:ascii="Arial" w:hAnsi="Arial" w:cs="Arial"/>
          <w:color w:val="0E101A"/>
          <w:shd w:val="clear" w:color="auto" w:fill="FFFFFF"/>
          <w14:ligatures w14:val="none"/>
        </w:rPr>
        <w:t>gh</w:t>
      </w:r>
      <w:r w:rsidR="005A1CB4">
        <w:rPr>
          <w:rFonts w:ascii="Arial" w:hAnsi="Arial" w:cs="Arial"/>
          <w:color w:val="0E101A"/>
          <w:shd w:val="clear" w:color="auto" w:fill="FFFFFF"/>
          <w14:ligatures w14:val="none"/>
        </w:rPr>
        <w:t xml:space="preserve"> non-significant)</w:t>
      </w:r>
      <w:r w:rsidR="00330430">
        <w:rPr>
          <w:rFonts w:ascii="Arial" w:hAnsi="Arial" w:cs="Arial"/>
          <w:color w:val="0E101A"/>
          <w:shd w:val="clear" w:color="auto" w:fill="FFFFFF"/>
          <w14:ligatures w14:val="none"/>
        </w:rPr>
        <w:t xml:space="preserve"> in concordance of parent and </w:t>
      </w:r>
      <w:r w:rsidR="008E5362">
        <w:rPr>
          <w:rFonts w:ascii="Arial" w:hAnsi="Arial" w:cs="Arial"/>
          <w:color w:val="0E101A"/>
          <w:shd w:val="clear" w:color="auto" w:fill="FFFFFF"/>
          <w14:ligatures w14:val="none"/>
        </w:rPr>
        <w:t>expert MDT-2</w:t>
      </w:r>
      <w:r w:rsidR="00330430">
        <w:rPr>
          <w:rFonts w:ascii="Arial" w:hAnsi="Arial" w:cs="Arial"/>
          <w:color w:val="0E101A"/>
          <w:shd w:val="clear" w:color="auto" w:fill="FFFFFF"/>
          <w14:ligatures w14:val="none"/>
        </w:rPr>
        <w:t>’s management plans. In</w:t>
      </w:r>
      <w:r w:rsidR="00375D46">
        <w:rPr>
          <w:rFonts w:ascii="Arial" w:hAnsi="Arial" w:cs="Arial"/>
          <w:color w:val="0E101A"/>
          <w:shd w:val="clear" w:color="auto" w:fill="FFFFFF"/>
          <w14:ligatures w14:val="none"/>
        </w:rPr>
        <w:t xml:space="preserve"> the ACS group (n=39),</w:t>
      </w:r>
      <w:r w:rsidR="00330430">
        <w:rPr>
          <w:rFonts w:ascii="Arial" w:hAnsi="Arial" w:cs="Arial"/>
          <w:color w:val="0E101A"/>
          <w:shd w:val="clear" w:color="auto" w:fill="FFFFFF"/>
          <w14:ligatures w14:val="none"/>
        </w:rPr>
        <w:t xml:space="preserve"> </w:t>
      </w:r>
      <w:r w:rsidR="005466DD" w:rsidRPr="005466DD">
        <w:rPr>
          <w:rFonts w:ascii="Arial" w:hAnsi="Arial" w:cs="Arial"/>
          <w:color w:val="000000"/>
        </w:rPr>
        <w:t>18/39 (46.1%) patients</w:t>
      </w:r>
      <w:r w:rsidR="00330430">
        <w:rPr>
          <w:rFonts w:ascii="Arial" w:hAnsi="Arial" w:cs="Arial"/>
          <w:color w:val="000000"/>
        </w:rPr>
        <w:t xml:space="preserve"> had the same </w:t>
      </w:r>
      <w:r w:rsidR="007C2D89">
        <w:rPr>
          <w:rFonts w:ascii="Arial" w:hAnsi="Arial" w:cs="Arial"/>
          <w:color w:val="000000"/>
        </w:rPr>
        <w:t xml:space="preserve">parent </w:t>
      </w:r>
      <w:r w:rsidR="00F009B9">
        <w:rPr>
          <w:rFonts w:ascii="Arial" w:hAnsi="Arial" w:cs="Arial"/>
          <w:color w:val="000000"/>
        </w:rPr>
        <w:t>cardiologist’s</w:t>
      </w:r>
      <w:r w:rsidR="00C33FB1">
        <w:rPr>
          <w:rFonts w:ascii="Arial" w:hAnsi="Arial" w:cs="Arial"/>
          <w:color w:val="000000"/>
        </w:rPr>
        <w:t xml:space="preserve"> management plan as that of </w:t>
      </w:r>
      <w:r w:rsidR="001C7003">
        <w:rPr>
          <w:rFonts w:ascii="Arial" w:hAnsi="Arial" w:cs="Arial"/>
          <w:color w:val="000000"/>
        </w:rPr>
        <w:t>2</w:t>
      </w:r>
      <w:r w:rsidR="001C7003" w:rsidRPr="001C7003">
        <w:rPr>
          <w:rFonts w:ascii="Arial" w:hAnsi="Arial" w:cs="Arial"/>
          <w:color w:val="000000"/>
          <w:vertAlign w:val="superscript"/>
        </w:rPr>
        <w:t>nd</w:t>
      </w:r>
      <w:r w:rsidR="001C7003">
        <w:rPr>
          <w:rFonts w:ascii="Arial" w:hAnsi="Arial" w:cs="Arial"/>
          <w:color w:val="000000"/>
        </w:rPr>
        <w:t xml:space="preserve"> </w:t>
      </w:r>
      <w:r w:rsidR="00C33FB1">
        <w:rPr>
          <w:rFonts w:ascii="Arial" w:hAnsi="Arial" w:cs="Arial"/>
          <w:color w:val="000000"/>
        </w:rPr>
        <w:t>expert team</w:t>
      </w:r>
      <w:r w:rsidR="00622D0C">
        <w:rPr>
          <w:rFonts w:ascii="Arial" w:hAnsi="Arial" w:cs="Arial"/>
          <w:color w:val="000000"/>
        </w:rPr>
        <w:t xml:space="preserve">; </w:t>
      </w:r>
      <w:r w:rsidR="005774D9">
        <w:rPr>
          <w:rFonts w:ascii="Arial" w:hAnsi="Arial" w:cs="Arial"/>
          <w:color w:val="000000"/>
        </w:rPr>
        <w:t>post-</w:t>
      </w:r>
      <w:r w:rsidR="00622D0C">
        <w:rPr>
          <w:rFonts w:ascii="Arial" w:hAnsi="Arial" w:cs="Arial"/>
          <w:color w:val="000000"/>
        </w:rPr>
        <w:t>vFFR disclosure, the</w:t>
      </w:r>
      <w:r w:rsidR="003F093F">
        <w:rPr>
          <w:rFonts w:ascii="Arial" w:hAnsi="Arial" w:cs="Arial"/>
          <w:color w:val="000000"/>
        </w:rPr>
        <w:t xml:space="preserve"> number of patients with same plans increased to</w:t>
      </w:r>
      <w:r w:rsidR="00622D0C">
        <w:rPr>
          <w:rFonts w:ascii="Arial" w:hAnsi="Arial" w:cs="Arial"/>
          <w:color w:val="000000"/>
        </w:rPr>
        <w:t xml:space="preserve"> 24/39</w:t>
      </w:r>
      <w:r w:rsidR="003F093F">
        <w:rPr>
          <w:rFonts w:ascii="Arial" w:hAnsi="Arial" w:cs="Arial"/>
          <w:color w:val="000000"/>
        </w:rPr>
        <w:t xml:space="preserve"> </w:t>
      </w:r>
      <w:r w:rsidR="00181296">
        <w:rPr>
          <w:rFonts w:ascii="Arial" w:hAnsi="Arial" w:cs="Arial"/>
          <w:color w:val="000000"/>
        </w:rPr>
        <w:t xml:space="preserve">(61.5%) </w:t>
      </w:r>
      <w:r w:rsidR="003F093F">
        <w:rPr>
          <w:rFonts w:ascii="Arial" w:hAnsi="Arial" w:cs="Arial"/>
          <w:color w:val="000000"/>
        </w:rPr>
        <w:t>patients</w:t>
      </w:r>
      <w:r w:rsidR="00D062F3">
        <w:rPr>
          <w:rFonts w:ascii="Arial" w:hAnsi="Arial" w:cs="Arial"/>
          <w:color w:val="000000"/>
        </w:rPr>
        <w:t xml:space="preserve"> (p=0.25)</w:t>
      </w:r>
      <w:r w:rsidR="003F093F">
        <w:rPr>
          <w:rFonts w:ascii="Arial" w:hAnsi="Arial" w:cs="Arial"/>
          <w:color w:val="000000"/>
        </w:rPr>
        <w:t>.</w:t>
      </w:r>
      <w:r w:rsidR="000C54B2">
        <w:rPr>
          <w:rFonts w:ascii="Arial" w:hAnsi="Arial" w:cs="Arial"/>
          <w:color w:val="000000"/>
        </w:rPr>
        <w:t xml:space="preserve"> Similarly, in the CCS group (n=26),</w:t>
      </w:r>
      <w:r w:rsidR="005466DD" w:rsidRPr="005466DD">
        <w:rPr>
          <w:rFonts w:ascii="Arial" w:hAnsi="Arial" w:cs="Arial"/>
          <w:color w:val="000000"/>
        </w:rPr>
        <w:t xml:space="preserve"> 9/26 (34.6%)</w:t>
      </w:r>
      <w:r w:rsidR="000C54B2">
        <w:rPr>
          <w:rFonts w:ascii="Arial" w:hAnsi="Arial" w:cs="Arial"/>
          <w:color w:val="000000"/>
        </w:rPr>
        <w:t xml:space="preserve"> patients had the same </w:t>
      </w:r>
      <w:r w:rsidR="007C2D89">
        <w:rPr>
          <w:rFonts w:ascii="Arial" w:hAnsi="Arial" w:cs="Arial"/>
          <w:color w:val="000000"/>
        </w:rPr>
        <w:t>parent cardiologists</w:t>
      </w:r>
      <w:r w:rsidR="00CE1D5F">
        <w:rPr>
          <w:rFonts w:ascii="Arial" w:hAnsi="Arial" w:cs="Arial"/>
          <w:color w:val="000000"/>
        </w:rPr>
        <w:t xml:space="preserve"> </w:t>
      </w:r>
      <w:r w:rsidR="000C54B2">
        <w:rPr>
          <w:rFonts w:ascii="Arial" w:hAnsi="Arial" w:cs="Arial"/>
          <w:color w:val="000000"/>
        </w:rPr>
        <w:t>plan</w:t>
      </w:r>
      <w:r w:rsidR="00CE1D5F">
        <w:rPr>
          <w:rFonts w:ascii="Arial" w:hAnsi="Arial" w:cs="Arial"/>
          <w:color w:val="000000"/>
        </w:rPr>
        <w:t xml:space="preserve"> as that of the expert plan which increased to</w:t>
      </w:r>
      <w:r w:rsidR="005466DD" w:rsidRPr="005466DD">
        <w:rPr>
          <w:rFonts w:ascii="Arial" w:hAnsi="Arial" w:cs="Arial"/>
          <w:color w:val="000000"/>
        </w:rPr>
        <w:t xml:space="preserve"> 10/26</w:t>
      </w:r>
      <w:r w:rsidR="00181296">
        <w:rPr>
          <w:rFonts w:ascii="Arial" w:hAnsi="Arial" w:cs="Arial"/>
          <w:color w:val="000000"/>
        </w:rPr>
        <w:t xml:space="preserve"> (38%)</w:t>
      </w:r>
      <w:r w:rsidR="005466DD" w:rsidRPr="005466DD">
        <w:rPr>
          <w:rFonts w:ascii="Arial" w:hAnsi="Arial" w:cs="Arial"/>
          <w:color w:val="000000"/>
        </w:rPr>
        <w:t xml:space="preserve"> </w:t>
      </w:r>
      <w:r w:rsidR="00CE1D5F">
        <w:rPr>
          <w:rFonts w:ascii="Arial" w:hAnsi="Arial" w:cs="Arial"/>
          <w:color w:val="000000"/>
        </w:rPr>
        <w:t>after vFFR disclosure (</w:t>
      </w:r>
      <w:r w:rsidR="00BB0568">
        <w:rPr>
          <w:rFonts w:ascii="Arial" w:hAnsi="Arial" w:cs="Arial"/>
          <w:color w:val="000000"/>
        </w:rPr>
        <w:t>p=0.9)</w:t>
      </w:r>
      <w:r w:rsidR="005466DD" w:rsidRPr="005466DD">
        <w:rPr>
          <w:rFonts w:ascii="Arial" w:hAnsi="Arial" w:cs="Arial"/>
          <w:color w:val="000000"/>
        </w:rPr>
        <w:t xml:space="preserve"> </w:t>
      </w:r>
    </w:p>
    <w:p w14:paraId="42B41122" w14:textId="2DB408F1" w:rsidR="00BC72FE" w:rsidRPr="001B5071" w:rsidRDefault="005466DD" w:rsidP="00DC77CA">
      <w:pPr>
        <w:pStyle w:val="NormalWeb"/>
        <w:spacing w:before="240" w:beforeAutospacing="0" w:after="0" w:afterAutospacing="0"/>
        <w:jc w:val="both"/>
        <w:rPr>
          <w:rFonts w:ascii="Arial" w:hAnsi="Arial" w:cs="Arial"/>
          <w:color w:val="000000"/>
        </w:rPr>
      </w:pPr>
      <w:r w:rsidRPr="005466DD">
        <w:rPr>
          <w:rFonts w:ascii="Arial" w:hAnsi="Arial" w:cs="Arial"/>
          <w:color w:val="000000"/>
        </w:rPr>
        <w:lastRenderedPageBreak/>
        <w:t>It is perhaps relevant that the patients in the ACS cohort were recruited from the interventional centre, so interventional cardiologists made the treatment plans.</w:t>
      </w:r>
      <w:r w:rsidR="001B5071">
        <w:rPr>
          <w:rFonts w:ascii="Arial" w:hAnsi="Arial" w:cs="Arial"/>
          <w:color w:val="000000"/>
        </w:rPr>
        <w:t xml:space="preserve"> </w:t>
      </w:r>
      <w:r w:rsidRPr="005466DD">
        <w:rPr>
          <w:rFonts w:ascii="Arial" w:hAnsi="Arial" w:cs="Arial"/>
          <w:color w:val="000000"/>
        </w:rPr>
        <w:t xml:space="preserve">In contrast, patients in the CCS cohort were recruited from district hospitals, where general, non-interventional cardiologists made the treatment plans. Whilst any difference in management plans may be attributable to a disparity between cardiologists with interventional and non-interventional backgrounds, this relates well with real-world practice. The index procedural cost of the CCS patients (being more expensive) reflects a potential specialist and logistic difference in plans adopted, which have implications on short- and long-term costs. It is </w:t>
      </w:r>
      <w:r w:rsidR="00A83354">
        <w:rPr>
          <w:rFonts w:ascii="Arial" w:hAnsi="Arial" w:cs="Arial"/>
          <w:color w:val="000000"/>
        </w:rPr>
        <w:t>worth</w:t>
      </w:r>
      <w:r w:rsidRPr="005466DD">
        <w:rPr>
          <w:rFonts w:ascii="Arial" w:hAnsi="Arial" w:cs="Arial"/>
          <w:color w:val="000000"/>
        </w:rPr>
        <w:t xml:space="preserve"> mention</w:t>
      </w:r>
      <w:r w:rsidR="00A83354">
        <w:rPr>
          <w:rFonts w:ascii="Arial" w:hAnsi="Arial" w:cs="Arial"/>
          <w:color w:val="000000"/>
        </w:rPr>
        <w:t>ing</w:t>
      </w:r>
      <w:r w:rsidRPr="005466DD">
        <w:rPr>
          <w:rFonts w:ascii="Arial" w:hAnsi="Arial" w:cs="Arial"/>
          <w:color w:val="000000"/>
        </w:rPr>
        <w:t xml:space="preserve"> that those who have their CAG performed in the non-interventional centres must undergo a second procedure if revascularisation is indicated, which impacts the cost and exposes them to additional procedural risks. However, it is reflective of contemporary clinical practice</w:t>
      </w:r>
      <w:r w:rsidR="00A83354">
        <w:rPr>
          <w:rFonts w:ascii="Arial" w:hAnsi="Arial" w:cs="Arial"/>
          <w:color w:val="000000"/>
        </w:rPr>
        <w:t xml:space="preserve"> in many places</w:t>
      </w:r>
      <w:r w:rsidRPr="005466DD">
        <w:rPr>
          <w:rFonts w:ascii="Arial" w:hAnsi="Arial" w:cs="Arial"/>
          <w:color w:val="000000"/>
        </w:rPr>
        <w:t xml:space="preserve">. Moreover, a significant increase in the number of patients with the identical post-vFFR plan as those from the expert teams (after vFFR disclosure to the </w:t>
      </w:r>
      <w:r w:rsidR="007C2D89">
        <w:rPr>
          <w:rFonts w:ascii="Arial" w:hAnsi="Arial" w:cs="Arial"/>
          <w:color w:val="000000"/>
        </w:rPr>
        <w:t>parent cardiologists</w:t>
      </w:r>
      <w:r w:rsidRPr="005466DD">
        <w:rPr>
          <w:rFonts w:ascii="Arial" w:hAnsi="Arial" w:cs="Arial"/>
          <w:color w:val="000000"/>
        </w:rPr>
        <w:t>) suggests that vFFR can help to make decision-making more consistent in CAD and can assist interventional and non-interventional cardiologists in choosing the most cost-effective and appropriate treatment strategies.</w:t>
      </w:r>
    </w:p>
    <w:p w14:paraId="3A783893" w14:textId="77777777" w:rsidR="00225D70" w:rsidRDefault="00225D70" w:rsidP="005466DD">
      <w:pPr>
        <w:spacing w:line="360" w:lineRule="auto"/>
        <w:jc w:val="both"/>
        <w:rPr>
          <w:rFonts w:ascii="Arial" w:hAnsi="Arial" w:cs="Arial"/>
          <w:color w:val="000000"/>
          <w:sz w:val="24"/>
          <w:szCs w:val="24"/>
        </w:rPr>
      </w:pPr>
    </w:p>
    <w:p w14:paraId="1C05EABC" w14:textId="5C970123" w:rsidR="002F045F" w:rsidRPr="006F73D6" w:rsidRDefault="002F045F" w:rsidP="006F73D6">
      <w:pPr>
        <w:pStyle w:val="Heading2"/>
        <w:rPr>
          <w:rFonts w:ascii="Arial" w:hAnsi="Arial" w:cs="Arial"/>
          <w:color w:val="4472C4" w:themeColor="accent1"/>
          <w:sz w:val="28"/>
          <w:szCs w:val="28"/>
        </w:rPr>
      </w:pPr>
      <w:bookmarkStart w:id="1478" w:name="_Toc171203961"/>
      <w:r w:rsidRPr="006F73D6">
        <w:rPr>
          <w:rFonts w:ascii="Arial" w:hAnsi="Arial" w:cs="Arial"/>
          <w:color w:val="4472C4" w:themeColor="accent1"/>
          <w:sz w:val="28"/>
          <w:szCs w:val="28"/>
        </w:rPr>
        <w:t xml:space="preserve">4.4 </w:t>
      </w:r>
      <w:r w:rsidR="006E6F70">
        <w:rPr>
          <w:rFonts w:ascii="Arial" w:hAnsi="Arial" w:cs="Arial"/>
          <w:color w:val="4472C4" w:themeColor="accent1"/>
          <w:sz w:val="28"/>
          <w:szCs w:val="28"/>
        </w:rPr>
        <w:t>Handling</w:t>
      </w:r>
      <w:r w:rsidR="0002660C">
        <w:rPr>
          <w:rFonts w:ascii="Arial" w:hAnsi="Arial" w:cs="Arial"/>
          <w:color w:val="4472C4" w:themeColor="accent1"/>
          <w:sz w:val="28"/>
          <w:szCs w:val="28"/>
        </w:rPr>
        <w:t xml:space="preserve"> of vFFR </w:t>
      </w:r>
      <w:r w:rsidR="006E6F70">
        <w:rPr>
          <w:rFonts w:ascii="Arial" w:hAnsi="Arial" w:cs="Arial"/>
          <w:color w:val="4472C4" w:themeColor="accent1"/>
          <w:sz w:val="28"/>
          <w:szCs w:val="28"/>
        </w:rPr>
        <w:t>by</w:t>
      </w:r>
      <w:r w:rsidR="0002660C">
        <w:rPr>
          <w:rFonts w:ascii="Arial" w:hAnsi="Arial" w:cs="Arial"/>
          <w:color w:val="4472C4" w:themeColor="accent1"/>
          <w:sz w:val="28"/>
          <w:szCs w:val="28"/>
        </w:rPr>
        <w:t xml:space="preserve"> </w:t>
      </w:r>
      <w:r w:rsidR="006F73D6" w:rsidRPr="006F73D6">
        <w:rPr>
          <w:rFonts w:ascii="Arial" w:hAnsi="Arial" w:cs="Arial"/>
          <w:color w:val="4472C4" w:themeColor="accent1"/>
          <w:sz w:val="28"/>
          <w:szCs w:val="28"/>
        </w:rPr>
        <w:t>expert MDT</w:t>
      </w:r>
      <w:r w:rsidR="006E6F70">
        <w:rPr>
          <w:rFonts w:ascii="Arial" w:hAnsi="Arial" w:cs="Arial"/>
          <w:color w:val="4472C4" w:themeColor="accent1"/>
          <w:sz w:val="28"/>
          <w:szCs w:val="28"/>
        </w:rPr>
        <w:t>s</w:t>
      </w:r>
      <w:bookmarkEnd w:id="1478"/>
    </w:p>
    <w:p w14:paraId="196179AC" w14:textId="77777777" w:rsidR="006F73D6" w:rsidRPr="006F73D6" w:rsidRDefault="006F73D6" w:rsidP="006F73D6"/>
    <w:p w14:paraId="6FE16C65" w14:textId="69BB6407" w:rsidR="004942B6" w:rsidRPr="00EC7385" w:rsidRDefault="004942B6" w:rsidP="00EC7385">
      <w:pPr>
        <w:pStyle w:val="Heading3"/>
        <w:spacing w:line="360" w:lineRule="auto"/>
        <w:jc w:val="both"/>
        <w:rPr>
          <w:rFonts w:ascii="Arial" w:hAnsi="Arial" w:cs="Arial"/>
          <w:color w:val="4472C4" w:themeColor="accent1"/>
          <w:sz w:val="24"/>
          <w:szCs w:val="24"/>
        </w:rPr>
      </w:pPr>
      <w:bookmarkStart w:id="1479" w:name="_Toc171203962"/>
      <w:r w:rsidRPr="00EC7385">
        <w:rPr>
          <w:rFonts w:ascii="Arial" w:hAnsi="Arial" w:cs="Arial"/>
          <w:color w:val="4472C4" w:themeColor="accent1"/>
          <w:sz w:val="24"/>
          <w:szCs w:val="24"/>
        </w:rPr>
        <w:t>4.</w:t>
      </w:r>
      <w:r w:rsidR="006F73D6" w:rsidRPr="00EC7385">
        <w:rPr>
          <w:rFonts w:ascii="Arial" w:hAnsi="Arial" w:cs="Arial"/>
          <w:color w:val="4472C4" w:themeColor="accent1"/>
          <w:sz w:val="24"/>
          <w:szCs w:val="24"/>
        </w:rPr>
        <w:t>4.1</w:t>
      </w:r>
      <w:r w:rsidRPr="00EC7385">
        <w:rPr>
          <w:rFonts w:ascii="Arial" w:hAnsi="Arial" w:cs="Arial"/>
          <w:color w:val="4472C4" w:themeColor="accent1"/>
          <w:sz w:val="24"/>
          <w:szCs w:val="24"/>
        </w:rPr>
        <w:t xml:space="preserve"> </w:t>
      </w:r>
      <w:r w:rsidR="008F4F62">
        <w:rPr>
          <w:rFonts w:ascii="Arial" w:hAnsi="Arial" w:cs="Arial"/>
          <w:color w:val="4472C4" w:themeColor="accent1"/>
          <w:sz w:val="24"/>
          <w:szCs w:val="24"/>
        </w:rPr>
        <w:t>C</w:t>
      </w:r>
      <w:r w:rsidR="0012399F" w:rsidRPr="00EC7385">
        <w:rPr>
          <w:rFonts w:ascii="Arial" w:hAnsi="Arial" w:cs="Arial"/>
          <w:color w:val="4472C4" w:themeColor="accent1"/>
          <w:sz w:val="24"/>
          <w:szCs w:val="24"/>
        </w:rPr>
        <w:t>oncordance of treatment plans</w:t>
      </w:r>
      <w:r w:rsidR="00EF5EE4" w:rsidRPr="00EC7385">
        <w:rPr>
          <w:rFonts w:ascii="Arial" w:hAnsi="Arial" w:cs="Arial"/>
          <w:color w:val="4472C4" w:themeColor="accent1"/>
          <w:sz w:val="24"/>
          <w:szCs w:val="24"/>
        </w:rPr>
        <w:t xml:space="preserve"> between </w:t>
      </w:r>
      <w:r w:rsidR="0012399F" w:rsidRPr="00EC7385">
        <w:rPr>
          <w:rFonts w:ascii="Arial" w:hAnsi="Arial" w:cs="Arial"/>
          <w:color w:val="4472C4" w:themeColor="accent1"/>
          <w:sz w:val="24"/>
          <w:szCs w:val="24"/>
        </w:rPr>
        <w:t>the two expert MDTs</w:t>
      </w:r>
      <w:bookmarkEnd w:id="1479"/>
    </w:p>
    <w:p w14:paraId="38C5B986" w14:textId="439D146B" w:rsidR="00820F6C" w:rsidRDefault="00820F6C" w:rsidP="00FF0B33">
      <w:pPr>
        <w:spacing w:line="360" w:lineRule="auto"/>
        <w:jc w:val="both"/>
        <w:rPr>
          <w:rFonts w:ascii="Arial" w:hAnsi="Arial" w:cs="Arial"/>
          <w:color w:val="000000"/>
          <w:sz w:val="24"/>
          <w:szCs w:val="24"/>
          <w14:ligatures w14:val="none"/>
        </w:rPr>
      </w:pPr>
      <w:r w:rsidRPr="00820F6C">
        <w:rPr>
          <w:rFonts w:ascii="Arial" w:hAnsi="Arial" w:cs="Arial"/>
          <w:color w:val="000000"/>
          <w:sz w:val="24"/>
          <w:szCs w:val="24"/>
          <w14:ligatures w14:val="none"/>
        </w:rPr>
        <w:t>The plans from both expert</w:t>
      </w:r>
      <w:r w:rsidR="00EF5EE4">
        <w:rPr>
          <w:rFonts w:ascii="Arial" w:hAnsi="Arial" w:cs="Arial"/>
          <w:color w:val="000000"/>
          <w:sz w:val="24"/>
          <w:szCs w:val="24"/>
          <w14:ligatures w14:val="none"/>
        </w:rPr>
        <w:t xml:space="preserve"> MDTs</w:t>
      </w:r>
      <w:r w:rsidRPr="00820F6C">
        <w:rPr>
          <w:rFonts w:ascii="Arial" w:hAnsi="Arial" w:cs="Arial"/>
          <w:color w:val="000000"/>
          <w:sz w:val="24"/>
          <w:szCs w:val="24"/>
          <w14:ligatures w14:val="none"/>
        </w:rPr>
        <w:t xml:space="preserve"> were compared to evaluate the inter</w:t>
      </w:r>
      <w:r w:rsidR="00A83354">
        <w:rPr>
          <w:rFonts w:ascii="Arial" w:hAnsi="Arial" w:cs="Arial"/>
          <w:color w:val="000000"/>
          <w:sz w:val="24"/>
          <w:szCs w:val="24"/>
          <w14:ligatures w14:val="none"/>
        </w:rPr>
        <w:t>-</w:t>
      </w:r>
      <w:r w:rsidRPr="00820F6C">
        <w:rPr>
          <w:rFonts w:ascii="Arial" w:hAnsi="Arial" w:cs="Arial"/>
          <w:color w:val="000000"/>
          <w:sz w:val="24"/>
          <w:szCs w:val="24"/>
          <w14:ligatures w14:val="none"/>
        </w:rPr>
        <w:t xml:space="preserve">observer variability and check the reproducibility of treatment decisions. The literature regarding the outcomes of collective decision-making in MDTs is scarce, but limited data suggest a tendency toward conservative management when a shared-decision approach is adopted. A prospective study of 399 patients discussed in a large tertiary care centre MDT suggested that conservative treatment was the most common decision in more than 30% of the patients, even with complex coronary artery disease. (205) The same patients were re-discussed within a different MDT from the same centre, and reproducibility rates of MDT decisions were demonstrated in up to 80% of cases. (205) In another study, the “Heart Team” reproducibility rate was 76%. (206) The results from my study showed a similar trend. Overall, 38/65 (58.4%) patients pre-vFFR and 45/65 (69.2%) patients post-vFFR had </w:t>
      </w:r>
      <w:r w:rsidR="00A83354">
        <w:rPr>
          <w:rFonts w:ascii="Arial" w:hAnsi="Arial" w:cs="Arial"/>
          <w:color w:val="000000"/>
          <w:sz w:val="24"/>
          <w:szCs w:val="24"/>
          <w14:ligatures w14:val="none"/>
        </w:rPr>
        <w:t>the same</w:t>
      </w:r>
      <w:r w:rsidRPr="00820F6C">
        <w:rPr>
          <w:rFonts w:ascii="Arial" w:hAnsi="Arial" w:cs="Arial"/>
          <w:color w:val="000000"/>
          <w:sz w:val="24"/>
          <w:szCs w:val="24"/>
          <w14:ligatures w14:val="none"/>
        </w:rPr>
        <w:t xml:space="preserve"> plans. In the ACS cohort, 24/39 </w:t>
      </w:r>
      <w:r w:rsidRPr="00820F6C">
        <w:rPr>
          <w:rFonts w:ascii="Arial" w:hAnsi="Arial" w:cs="Arial"/>
          <w:color w:val="000000"/>
          <w:sz w:val="24"/>
          <w:szCs w:val="24"/>
          <w14:ligatures w14:val="none"/>
        </w:rPr>
        <w:lastRenderedPageBreak/>
        <w:t xml:space="preserve">(61.5%) patients (r=0.53; p=0.25) had the </w:t>
      </w:r>
      <w:r w:rsidR="00A83354">
        <w:rPr>
          <w:rFonts w:ascii="Arial" w:hAnsi="Arial" w:cs="Arial"/>
          <w:color w:val="000000"/>
          <w:sz w:val="24"/>
          <w:szCs w:val="24"/>
          <w14:ligatures w14:val="none"/>
        </w:rPr>
        <w:t>same</w:t>
      </w:r>
      <w:r w:rsidRPr="00820F6C">
        <w:rPr>
          <w:rFonts w:ascii="Arial" w:hAnsi="Arial" w:cs="Arial"/>
          <w:color w:val="000000"/>
          <w:sz w:val="24"/>
          <w:szCs w:val="24"/>
          <w14:ligatures w14:val="none"/>
        </w:rPr>
        <w:t xml:space="preserve"> pre-vFFR plan, increas</w:t>
      </w:r>
      <w:r w:rsidR="00A83354">
        <w:rPr>
          <w:rFonts w:ascii="Arial" w:hAnsi="Arial" w:cs="Arial"/>
          <w:color w:val="000000"/>
          <w:sz w:val="24"/>
          <w:szCs w:val="24"/>
          <w14:ligatures w14:val="none"/>
        </w:rPr>
        <w:t>ing</w:t>
      </w:r>
      <w:r w:rsidRPr="00820F6C">
        <w:rPr>
          <w:rFonts w:ascii="Arial" w:hAnsi="Arial" w:cs="Arial"/>
          <w:color w:val="000000"/>
          <w:sz w:val="24"/>
          <w:szCs w:val="24"/>
          <w14:ligatures w14:val="none"/>
        </w:rPr>
        <w:t xml:space="preserve"> to 29/39 (74.3%) patients (r=0.89; p=0.02) after vFFR disclosure. In the CCS cohort, a similar trend was observed, in which 14/26 (53.8%) patients (r=0.49; p=0.35) had the </w:t>
      </w:r>
      <w:r w:rsidR="00D65131">
        <w:rPr>
          <w:rFonts w:ascii="Arial" w:hAnsi="Arial" w:cs="Arial"/>
          <w:color w:val="000000"/>
          <w:sz w:val="24"/>
          <w:szCs w:val="24"/>
          <w14:ligatures w14:val="none"/>
        </w:rPr>
        <w:t>same</w:t>
      </w:r>
      <w:r w:rsidRPr="00820F6C">
        <w:rPr>
          <w:rFonts w:ascii="Arial" w:hAnsi="Arial" w:cs="Arial"/>
          <w:color w:val="000000"/>
          <w:sz w:val="24"/>
          <w:szCs w:val="24"/>
          <w14:ligatures w14:val="none"/>
        </w:rPr>
        <w:t xml:space="preserve"> pre-vFFR plan, increas</w:t>
      </w:r>
      <w:r w:rsidR="00D65131">
        <w:rPr>
          <w:rFonts w:ascii="Arial" w:hAnsi="Arial" w:cs="Arial"/>
          <w:color w:val="000000"/>
          <w:sz w:val="24"/>
          <w:szCs w:val="24"/>
          <w14:ligatures w14:val="none"/>
        </w:rPr>
        <w:t>ing</w:t>
      </w:r>
      <w:r w:rsidRPr="00820F6C">
        <w:rPr>
          <w:rFonts w:ascii="Arial" w:hAnsi="Arial" w:cs="Arial"/>
          <w:color w:val="000000"/>
          <w:sz w:val="24"/>
          <w:szCs w:val="24"/>
          <w14:ligatures w14:val="none"/>
        </w:rPr>
        <w:t xml:space="preserve"> to 16/26 (61.5%) patients (r=0.62; p=0.25) after vFFR disclosure. Furthermore, the expert </w:t>
      </w:r>
      <w:r w:rsidR="00EF5EE4">
        <w:rPr>
          <w:rFonts w:ascii="Arial" w:hAnsi="Arial" w:cs="Arial"/>
          <w:color w:val="000000"/>
          <w:sz w:val="24"/>
          <w:szCs w:val="24"/>
          <w14:ligatures w14:val="none"/>
        </w:rPr>
        <w:t>MDT</w:t>
      </w:r>
      <w:r w:rsidRPr="00820F6C">
        <w:rPr>
          <w:rFonts w:ascii="Arial" w:hAnsi="Arial" w:cs="Arial"/>
          <w:color w:val="000000"/>
          <w:sz w:val="24"/>
          <w:szCs w:val="24"/>
          <w14:ligatures w14:val="none"/>
        </w:rPr>
        <w:t xml:space="preserve"> decisions in my study also demonstrated a slight tendency towards conservative treatment</w:t>
      </w:r>
      <w:r w:rsidR="0023247B">
        <w:rPr>
          <w:rFonts w:ascii="Arial" w:hAnsi="Arial" w:cs="Arial"/>
          <w:color w:val="000000"/>
          <w:sz w:val="24"/>
          <w:szCs w:val="24"/>
          <w14:ligatures w14:val="none"/>
        </w:rPr>
        <w:t xml:space="preserve"> than the </w:t>
      </w:r>
      <w:r w:rsidR="007C2D89">
        <w:rPr>
          <w:rFonts w:ascii="Arial" w:hAnsi="Arial" w:cs="Arial"/>
          <w:color w:val="000000"/>
          <w:sz w:val="24"/>
          <w:szCs w:val="24"/>
          <w14:ligatures w14:val="none"/>
        </w:rPr>
        <w:t>parent cardiologists</w:t>
      </w:r>
      <w:r w:rsidRPr="00820F6C">
        <w:rPr>
          <w:rFonts w:ascii="Arial" w:hAnsi="Arial" w:cs="Arial"/>
          <w:color w:val="000000"/>
          <w:sz w:val="24"/>
          <w:szCs w:val="24"/>
          <w14:ligatures w14:val="none"/>
        </w:rPr>
        <w:t xml:space="preserve">. Overall, 12/65 (18.4%) patients in the first and 8/65 (12.3%) in the second expert </w:t>
      </w:r>
      <w:r w:rsidR="00EF5EE4">
        <w:rPr>
          <w:rFonts w:ascii="Arial" w:hAnsi="Arial" w:cs="Arial"/>
          <w:color w:val="000000"/>
          <w:sz w:val="24"/>
          <w:szCs w:val="24"/>
          <w14:ligatures w14:val="none"/>
        </w:rPr>
        <w:t>MDT</w:t>
      </w:r>
      <w:r w:rsidRPr="00820F6C">
        <w:rPr>
          <w:rFonts w:ascii="Arial" w:hAnsi="Arial" w:cs="Arial"/>
          <w:color w:val="000000"/>
          <w:sz w:val="24"/>
          <w:szCs w:val="24"/>
          <w14:ligatures w14:val="none"/>
        </w:rPr>
        <w:t xml:space="preserve"> switched from invasive mFFR or PCI to medical therapy. Furthermore, a recommendation was made against performing an invasive mFFR for an additional vessel apart from culprit lesion PCI in 8/65 (12.3%) patients by the first</w:t>
      </w:r>
      <w:r w:rsidR="00FE2D7C">
        <w:rPr>
          <w:rFonts w:ascii="Arial" w:hAnsi="Arial" w:cs="Arial"/>
          <w:color w:val="000000"/>
          <w:sz w:val="24"/>
          <w:szCs w:val="24"/>
          <w14:ligatures w14:val="none"/>
        </w:rPr>
        <w:t>,</w:t>
      </w:r>
      <w:r w:rsidRPr="00820F6C">
        <w:rPr>
          <w:rFonts w:ascii="Arial" w:hAnsi="Arial" w:cs="Arial"/>
          <w:color w:val="000000"/>
          <w:sz w:val="24"/>
          <w:szCs w:val="24"/>
          <w14:ligatures w14:val="none"/>
        </w:rPr>
        <w:t xml:space="preserve"> and </w:t>
      </w:r>
      <w:r w:rsidR="00FE2D7C">
        <w:rPr>
          <w:rFonts w:ascii="Arial" w:hAnsi="Arial" w:cs="Arial"/>
          <w:color w:val="000000"/>
          <w:sz w:val="24"/>
          <w:szCs w:val="24"/>
          <w14:ligatures w14:val="none"/>
        </w:rPr>
        <w:t xml:space="preserve">in </w:t>
      </w:r>
      <w:r w:rsidRPr="00820F6C">
        <w:rPr>
          <w:rFonts w:ascii="Arial" w:hAnsi="Arial" w:cs="Arial"/>
          <w:color w:val="000000"/>
          <w:sz w:val="24"/>
          <w:szCs w:val="24"/>
          <w14:ligatures w14:val="none"/>
        </w:rPr>
        <w:t xml:space="preserve">6/65 (9.2%) patients by the second expert </w:t>
      </w:r>
      <w:r w:rsidR="0012399F">
        <w:rPr>
          <w:rFonts w:ascii="Arial" w:hAnsi="Arial" w:cs="Arial"/>
          <w:color w:val="000000"/>
          <w:sz w:val="24"/>
          <w:szCs w:val="24"/>
          <w14:ligatures w14:val="none"/>
        </w:rPr>
        <w:t>MDT</w:t>
      </w:r>
      <w:r w:rsidRPr="00820F6C">
        <w:rPr>
          <w:rFonts w:ascii="Arial" w:hAnsi="Arial" w:cs="Arial"/>
          <w:color w:val="000000"/>
          <w:sz w:val="24"/>
          <w:szCs w:val="24"/>
          <w14:ligatures w14:val="none"/>
        </w:rPr>
        <w:t xml:space="preserve">. There was a trend towards less invasive treatment as 2/65 (3%) patients in the first and 3/65 (4.6%) in the second expert </w:t>
      </w:r>
      <w:r w:rsidR="00EF5EE4">
        <w:rPr>
          <w:rFonts w:ascii="Arial" w:hAnsi="Arial" w:cs="Arial"/>
          <w:color w:val="000000"/>
          <w:sz w:val="24"/>
          <w:szCs w:val="24"/>
          <w14:ligatures w14:val="none"/>
        </w:rPr>
        <w:t>MDT</w:t>
      </w:r>
      <w:r w:rsidRPr="00820F6C">
        <w:rPr>
          <w:rFonts w:ascii="Arial" w:hAnsi="Arial" w:cs="Arial"/>
          <w:color w:val="000000"/>
          <w:sz w:val="24"/>
          <w:szCs w:val="24"/>
          <w14:ligatures w14:val="none"/>
        </w:rPr>
        <w:t xml:space="preserve"> were virtually changed from CABG to multivessel PCI. Conversely, 10/65 (15.3%) and 12/65 (18.4%) patients in the first and second expert </w:t>
      </w:r>
      <w:r w:rsidR="00EF5EE4">
        <w:rPr>
          <w:rFonts w:ascii="Arial" w:hAnsi="Arial" w:cs="Arial"/>
          <w:color w:val="000000"/>
          <w:sz w:val="24"/>
          <w:szCs w:val="24"/>
          <w14:ligatures w14:val="none"/>
        </w:rPr>
        <w:t>MDT</w:t>
      </w:r>
      <w:r w:rsidRPr="00820F6C">
        <w:rPr>
          <w:rFonts w:ascii="Arial" w:hAnsi="Arial" w:cs="Arial"/>
          <w:color w:val="000000"/>
          <w:sz w:val="24"/>
          <w:szCs w:val="24"/>
          <w14:ligatures w14:val="none"/>
        </w:rPr>
        <w:t xml:space="preserve">s were notionally changed from OMT to PCI within the CCS cohort. The expert teams recommended that PCI should have been enacted as their main plan for those patients, even before the vFFR results, given the severity of the disease. This may have been because the CCS patients were enrolled under the management of general cardiologists, </w:t>
      </w:r>
      <w:r w:rsidR="00FF0B33">
        <w:rPr>
          <w:rFonts w:ascii="Arial" w:hAnsi="Arial" w:cs="Arial"/>
          <w:color w:val="000000"/>
          <w:sz w:val="24"/>
          <w:szCs w:val="24"/>
          <w14:ligatures w14:val="none"/>
        </w:rPr>
        <w:t>possibly</w:t>
      </w:r>
      <w:r w:rsidRPr="00820F6C">
        <w:rPr>
          <w:rFonts w:ascii="Arial" w:hAnsi="Arial" w:cs="Arial"/>
          <w:color w:val="000000"/>
          <w:sz w:val="24"/>
          <w:szCs w:val="24"/>
          <w14:ligatures w14:val="none"/>
        </w:rPr>
        <w:t xml:space="preserve"> pointing towards non-specialist decision bias (see section 4.9).</w:t>
      </w:r>
      <w:r w:rsidR="00101C9C">
        <w:rPr>
          <w:rFonts w:ascii="Arial" w:hAnsi="Arial" w:cs="Arial"/>
          <w:color w:val="000000"/>
          <w:sz w:val="24"/>
          <w:szCs w:val="24"/>
          <w14:ligatures w14:val="none"/>
        </w:rPr>
        <w:t xml:space="preserve"> </w:t>
      </w:r>
      <w:r w:rsidRPr="00820F6C">
        <w:rPr>
          <w:rFonts w:ascii="Arial" w:hAnsi="Arial" w:cs="Arial"/>
          <w:color w:val="000000"/>
          <w:sz w:val="24"/>
          <w:szCs w:val="24"/>
          <w14:ligatures w14:val="none"/>
        </w:rPr>
        <w:t>Although OMT plans may be less costly during the index episodes, they may lead to more healthcare issues, with reduced patient satisfaction and QOL, in the longer term. In addition, it suggests that although revascularisation in CCS does not affect the MACE, it can positively influence the QOL by improving the functional capacity and rendering angina-free status in carefully selected patients for whom revascularisation is warranted.</w:t>
      </w:r>
      <w:r w:rsidR="000456EC">
        <w:rPr>
          <w:rFonts w:ascii="Arial" w:hAnsi="Arial" w:cs="Arial"/>
          <w:color w:val="000000"/>
          <w:sz w:val="24"/>
          <w:szCs w:val="24"/>
          <w14:ligatures w14:val="none"/>
        </w:rPr>
        <w:t xml:space="preserve"> </w:t>
      </w:r>
      <w:r w:rsidRPr="00820F6C">
        <w:rPr>
          <w:rFonts w:ascii="Arial" w:hAnsi="Arial" w:cs="Arial"/>
          <w:color w:val="000000"/>
          <w:sz w:val="24"/>
          <w:szCs w:val="24"/>
          <w14:ligatures w14:val="none"/>
        </w:rPr>
        <w:t xml:space="preserve">Therefore, the appropriateness of the management plans directly impacts the QOL. The above results suggest that the management strategies of interventional cardiologists </w:t>
      </w:r>
      <w:r w:rsidR="00FF0B33">
        <w:rPr>
          <w:rFonts w:ascii="Arial" w:hAnsi="Arial" w:cs="Arial"/>
          <w:color w:val="000000"/>
          <w:sz w:val="24"/>
          <w:szCs w:val="24"/>
          <w14:ligatures w14:val="none"/>
        </w:rPr>
        <w:t>may be</w:t>
      </w:r>
      <w:r w:rsidRPr="00820F6C">
        <w:rPr>
          <w:rFonts w:ascii="Arial" w:hAnsi="Arial" w:cs="Arial"/>
          <w:color w:val="000000"/>
          <w:sz w:val="24"/>
          <w:szCs w:val="24"/>
          <w14:ligatures w14:val="none"/>
        </w:rPr>
        <w:t xml:space="preserve"> more cost-effective than those of non-interventional cardiologists. For example, interventionists may be less likely to corroborate non-significant vFFR results with an invasive mFFR. Lastly, there could be a greater propensity to recommend conservative or less invasive treatment in a collective (MDT) environment than for an individual specialist.</w:t>
      </w:r>
    </w:p>
    <w:p w14:paraId="774CEFAA" w14:textId="77777777" w:rsidR="00225D70" w:rsidRPr="00225D70" w:rsidRDefault="00225D70" w:rsidP="00820F6C">
      <w:pPr>
        <w:spacing w:line="360" w:lineRule="auto"/>
        <w:jc w:val="both"/>
        <w:rPr>
          <w:rFonts w:ascii="Arial" w:hAnsi="Arial" w:cs="Arial"/>
          <w:color w:val="000000"/>
          <w:sz w:val="24"/>
          <w:szCs w:val="24"/>
          <w14:ligatures w14:val="none"/>
        </w:rPr>
      </w:pPr>
    </w:p>
    <w:p w14:paraId="1B74CB1F" w14:textId="525EFA8F" w:rsidR="00A66C69" w:rsidRPr="00EC7385" w:rsidRDefault="004942B6" w:rsidP="00EC7385">
      <w:pPr>
        <w:pStyle w:val="Heading3"/>
        <w:rPr>
          <w:rFonts w:ascii="Arial" w:hAnsi="Arial" w:cs="Arial"/>
          <w:color w:val="4472C4" w:themeColor="accent1"/>
          <w:sz w:val="24"/>
          <w:szCs w:val="24"/>
        </w:rPr>
      </w:pPr>
      <w:bookmarkStart w:id="1480" w:name="_Toc171203963"/>
      <w:r w:rsidRPr="00EC7385">
        <w:rPr>
          <w:rFonts w:ascii="Arial" w:hAnsi="Arial" w:cs="Arial"/>
          <w:color w:val="4472C4" w:themeColor="accent1"/>
          <w:sz w:val="24"/>
          <w:szCs w:val="24"/>
        </w:rPr>
        <w:lastRenderedPageBreak/>
        <w:t>4.</w:t>
      </w:r>
      <w:r w:rsidR="00EC7385" w:rsidRPr="00EC7385">
        <w:rPr>
          <w:rFonts w:ascii="Arial" w:hAnsi="Arial" w:cs="Arial"/>
          <w:color w:val="4472C4" w:themeColor="accent1"/>
          <w:sz w:val="24"/>
          <w:szCs w:val="24"/>
        </w:rPr>
        <w:t>4.2</w:t>
      </w:r>
      <w:r w:rsidRPr="00EC7385">
        <w:rPr>
          <w:rFonts w:ascii="Arial" w:hAnsi="Arial" w:cs="Arial"/>
          <w:color w:val="4472C4" w:themeColor="accent1"/>
          <w:sz w:val="24"/>
          <w:szCs w:val="24"/>
        </w:rPr>
        <w:t xml:space="preserve"> </w:t>
      </w:r>
      <w:r w:rsidR="008F4F62">
        <w:rPr>
          <w:rFonts w:ascii="Arial" w:hAnsi="Arial" w:cs="Arial"/>
          <w:color w:val="4472C4" w:themeColor="accent1"/>
          <w:sz w:val="24"/>
          <w:szCs w:val="24"/>
        </w:rPr>
        <w:t>C</w:t>
      </w:r>
      <w:r w:rsidRPr="00EC7385">
        <w:rPr>
          <w:rFonts w:ascii="Arial" w:hAnsi="Arial" w:cs="Arial"/>
          <w:color w:val="4472C4" w:themeColor="accent1"/>
          <w:sz w:val="24"/>
          <w:szCs w:val="24"/>
        </w:rPr>
        <w:t xml:space="preserve">ost implications of the expert </w:t>
      </w:r>
      <w:r w:rsidR="00510304" w:rsidRPr="00EC7385">
        <w:rPr>
          <w:rFonts w:ascii="Arial" w:hAnsi="Arial" w:cs="Arial"/>
          <w:color w:val="4472C4" w:themeColor="accent1"/>
          <w:sz w:val="24"/>
          <w:szCs w:val="24"/>
        </w:rPr>
        <w:t>MDT’s</w:t>
      </w:r>
      <w:r w:rsidRPr="00EC7385">
        <w:rPr>
          <w:rFonts w:ascii="Arial" w:hAnsi="Arial" w:cs="Arial"/>
          <w:color w:val="4472C4" w:themeColor="accent1"/>
          <w:sz w:val="24"/>
          <w:szCs w:val="24"/>
        </w:rPr>
        <w:t xml:space="preserve"> decisions</w:t>
      </w:r>
      <w:bookmarkStart w:id="1481" w:name="_Toc159320206"/>
      <w:bookmarkStart w:id="1482" w:name="_Toc159613651"/>
      <w:bookmarkStart w:id="1483" w:name="_Toc160981311"/>
      <w:bookmarkEnd w:id="1480"/>
    </w:p>
    <w:bookmarkEnd w:id="1481"/>
    <w:bookmarkEnd w:id="1482"/>
    <w:bookmarkEnd w:id="1483"/>
    <w:p w14:paraId="1FE83295" w14:textId="3EAA9669" w:rsidR="003073E3" w:rsidRDefault="00035911" w:rsidP="004942B6">
      <w:pPr>
        <w:spacing w:line="360" w:lineRule="auto"/>
        <w:jc w:val="both"/>
        <w:rPr>
          <w:rFonts w:ascii="Arial" w:eastAsia="Times New Roman" w:hAnsi="Arial" w:cs="Arial"/>
          <w:color w:val="0E101A"/>
          <w:sz w:val="24"/>
          <w:szCs w:val="24"/>
          <w:lang w:eastAsia="en-GB"/>
          <w14:ligatures w14:val="none"/>
        </w:rPr>
      </w:pPr>
      <w:r w:rsidRPr="00035911">
        <w:rPr>
          <w:rFonts w:ascii="Arial" w:eastAsia="Times New Roman" w:hAnsi="Arial" w:cs="Arial"/>
          <w:color w:val="0E101A"/>
          <w:sz w:val="24"/>
          <w:szCs w:val="24"/>
          <w:lang w:eastAsia="en-GB"/>
          <w14:ligatures w14:val="none"/>
        </w:rPr>
        <w:t xml:space="preserve">The pre-and post-vFFR management plan costs were virtually estimated for both expert </w:t>
      </w:r>
      <w:r w:rsidR="00EF5EE4">
        <w:rPr>
          <w:rFonts w:ascii="Arial" w:eastAsia="Times New Roman" w:hAnsi="Arial" w:cs="Arial"/>
          <w:color w:val="0E101A"/>
          <w:sz w:val="24"/>
          <w:szCs w:val="24"/>
          <w:lang w:eastAsia="en-GB"/>
          <w14:ligatures w14:val="none"/>
        </w:rPr>
        <w:t>MDT</w:t>
      </w:r>
      <w:r w:rsidRPr="00035911">
        <w:rPr>
          <w:rFonts w:ascii="Arial" w:eastAsia="Times New Roman" w:hAnsi="Arial" w:cs="Arial"/>
          <w:color w:val="0E101A"/>
          <w:sz w:val="24"/>
          <w:szCs w:val="24"/>
          <w:lang w:eastAsia="en-GB"/>
          <w14:ligatures w14:val="none"/>
        </w:rPr>
        <w:t xml:space="preserve">s to evaluate how the cost would have varied if the expert </w:t>
      </w:r>
      <w:r w:rsidR="0012399F">
        <w:rPr>
          <w:rFonts w:ascii="Arial" w:eastAsia="Times New Roman" w:hAnsi="Arial" w:cs="Arial"/>
          <w:color w:val="0E101A"/>
          <w:sz w:val="24"/>
          <w:szCs w:val="24"/>
          <w:lang w:eastAsia="en-GB"/>
          <w14:ligatures w14:val="none"/>
        </w:rPr>
        <w:t>MDT</w:t>
      </w:r>
      <w:r w:rsidRPr="00035911">
        <w:rPr>
          <w:rFonts w:ascii="Arial" w:eastAsia="Times New Roman" w:hAnsi="Arial" w:cs="Arial"/>
          <w:color w:val="0E101A"/>
          <w:sz w:val="24"/>
          <w:szCs w:val="24"/>
          <w:lang w:eastAsia="en-GB"/>
          <w14:ligatures w14:val="none"/>
        </w:rPr>
        <w:t xml:space="preserve"> decisions were to follow. The first expert team’s plans would have saved a total of £3678 (average £56.5 per patient) for the virtual change subset (n=65), correspond</w:t>
      </w:r>
      <w:r w:rsidR="00857C7F">
        <w:rPr>
          <w:rFonts w:ascii="Arial" w:eastAsia="Times New Roman" w:hAnsi="Arial" w:cs="Arial"/>
          <w:color w:val="0E101A"/>
          <w:sz w:val="24"/>
          <w:szCs w:val="24"/>
          <w:lang w:eastAsia="en-GB"/>
          <w14:ligatures w14:val="none"/>
        </w:rPr>
        <w:t>ing</w:t>
      </w:r>
      <w:r w:rsidRPr="00035911">
        <w:rPr>
          <w:rFonts w:ascii="Arial" w:eastAsia="Times New Roman" w:hAnsi="Arial" w:cs="Arial"/>
          <w:color w:val="0E101A"/>
          <w:sz w:val="24"/>
          <w:szCs w:val="24"/>
          <w:lang w:eastAsia="en-GB"/>
          <w14:ligatures w14:val="none"/>
        </w:rPr>
        <w:t xml:space="preserve"> to savings of £6663 (average £170.80 per patient) in </w:t>
      </w:r>
      <w:r w:rsidR="00857C7F">
        <w:rPr>
          <w:rFonts w:ascii="Arial" w:eastAsia="Times New Roman" w:hAnsi="Arial" w:cs="Arial"/>
          <w:color w:val="0E101A"/>
          <w:sz w:val="24"/>
          <w:szCs w:val="24"/>
          <w:lang w:eastAsia="en-GB"/>
          <w14:ligatures w14:val="none"/>
        </w:rPr>
        <w:t xml:space="preserve">the </w:t>
      </w:r>
      <w:r w:rsidRPr="00035911">
        <w:rPr>
          <w:rFonts w:ascii="Arial" w:eastAsia="Times New Roman" w:hAnsi="Arial" w:cs="Arial"/>
          <w:color w:val="0E101A"/>
          <w:sz w:val="24"/>
          <w:szCs w:val="24"/>
          <w:lang w:eastAsia="en-GB"/>
          <w14:ligatures w14:val="none"/>
        </w:rPr>
        <w:t xml:space="preserve">ACS </w:t>
      </w:r>
      <w:r w:rsidR="00857C7F">
        <w:rPr>
          <w:rFonts w:ascii="Arial" w:eastAsia="Times New Roman" w:hAnsi="Arial" w:cs="Arial"/>
          <w:color w:val="0E101A"/>
          <w:sz w:val="24"/>
          <w:szCs w:val="24"/>
          <w:lang w:eastAsia="en-GB"/>
          <w14:ligatures w14:val="none"/>
        </w:rPr>
        <w:t xml:space="preserve">group </w:t>
      </w:r>
      <w:r w:rsidRPr="00035911">
        <w:rPr>
          <w:rFonts w:ascii="Arial" w:eastAsia="Times New Roman" w:hAnsi="Arial" w:cs="Arial"/>
          <w:color w:val="0E101A"/>
          <w:sz w:val="24"/>
          <w:szCs w:val="24"/>
          <w:lang w:eastAsia="en-GB"/>
          <w14:ligatures w14:val="none"/>
        </w:rPr>
        <w:t>(n=39) and a</w:t>
      </w:r>
      <w:r w:rsidR="00857C7F">
        <w:rPr>
          <w:rFonts w:ascii="Arial" w:eastAsia="Times New Roman" w:hAnsi="Arial" w:cs="Arial"/>
          <w:color w:val="0E101A"/>
          <w:sz w:val="24"/>
          <w:szCs w:val="24"/>
          <w:lang w:eastAsia="en-GB"/>
          <w14:ligatures w14:val="none"/>
        </w:rPr>
        <w:t>n</w:t>
      </w:r>
      <w:r w:rsidRPr="00035911">
        <w:rPr>
          <w:rFonts w:ascii="Arial" w:eastAsia="Times New Roman" w:hAnsi="Arial" w:cs="Arial"/>
          <w:color w:val="0E101A"/>
          <w:sz w:val="24"/>
          <w:szCs w:val="24"/>
          <w:lang w:eastAsia="en-GB"/>
          <w14:ligatures w14:val="none"/>
        </w:rPr>
        <w:t xml:space="preserve"> overspend of £3039 (average £116.8 per patient) in </w:t>
      </w:r>
      <w:r w:rsidR="00857C7F">
        <w:rPr>
          <w:rFonts w:ascii="Arial" w:eastAsia="Times New Roman" w:hAnsi="Arial" w:cs="Arial"/>
          <w:color w:val="0E101A"/>
          <w:sz w:val="24"/>
          <w:szCs w:val="24"/>
          <w:lang w:eastAsia="en-GB"/>
          <w14:ligatures w14:val="none"/>
        </w:rPr>
        <w:t xml:space="preserve">the </w:t>
      </w:r>
      <w:r w:rsidRPr="00035911">
        <w:rPr>
          <w:rFonts w:ascii="Arial" w:eastAsia="Times New Roman" w:hAnsi="Arial" w:cs="Arial"/>
          <w:color w:val="0E101A"/>
          <w:sz w:val="24"/>
          <w:szCs w:val="24"/>
          <w:lang w:eastAsia="en-GB"/>
          <w14:ligatures w14:val="none"/>
        </w:rPr>
        <w:t xml:space="preserve">CCS </w:t>
      </w:r>
      <w:r w:rsidR="00857C7F">
        <w:rPr>
          <w:rFonts w:ascii="Arial" w:eastAsia="Times New Roman" w:hAnsi="Arial" w:cs="Arial"/>
          <w:color w:val="0E101A"/>
          <w:sz w:val="24"/>
          <w:szCs w:val="24"/>
          <w:lang w:eastAsia="en-GB"/>
          <w14:ligatures w14:val="none"/>
        </w:rPr>
        <w:t>group</w:t>
      </w:r>
      <w:r w:rsidR="00F90497">
        <w:rPr>
          <w:rFonts w:ascii="Arial" w:eastAsia="Times New Roman" w:hAnsi="Arial" w:cs="Arial"/>
          <w:color w:val="0E101A"/>
          <w:sz w:val="24"/>
          <w:szCs w:val="24"/>
          <w:lang w:eastAsia="en-GB"/>
          <w14:ligatures w14:val="none"/>
        </w:rPr>
        <w:t xml:space="preserve"> </w:t>
      </w:r>
      <w:r w:rsidRPr="00035911">
        <w:rPr>
          <w:rFonts w:ascii="Arial" w:eastAsia="Times New Roman" w:hAnsi="Arial" w:cs="Arial"/>
          <w:color w:val="0E101A"/>
          <w:sz w:val="24"/>
          <w:szCs w:val="24"/>
          <w:lang w:eastAsia="en-GB"/>
          <w14:ligatures w14:val="none"/>
        </w:rPr>
        <w:t>(n=26)</w:t>
      </w:r>
      <w:r w:rsidR="00857C7F">
        <w:rPr>
          <w:rFonts w:ascii="Arial" w:eastAsia="Times New Roman" w:hAnsi="Arial" w:cs="Arial"/>
          <w:color w:val="0E101A"/>
          <w:sz w:val="24"/>
          <w:szCs w:val="24"/>
          <w:lang w:eastAsia="en-GB"/>
          <w14:ligatures w14:val="none"/>
        </w:rPr>
        <w:t>; all equating to an overall saving of £</w:t>
      </w:r>
      <w:r w:rsidR="0076305D">
        <w:rPr>
          <w:rFonts w:ascii="Arial" w:eastAsia="Times New Roman" w:hAnsi="Arial" w:cs="Arial"/>
          <w:color w:val="0E101A"/>
          <w:sz w:val="24"/>
          <w:szCs w:val="24"/>
          <w:lang w:eastAsia="en-GB"/>
          <w14:ligatures w14:val="none"/>
        </w:rPr>
        <w:t>1</w:t>
      </w:r>
      <w:r w:rsidR="00A4730B">
        <w:rPr>
          <w:rFonts w:ascii="Arial" w:eastAsia="Times New Roman" w:hAnsi="Arial" w:cs="Arial"/>
          <w:color w:val="0E101A"/>
          <w:sz w:val="24"/>
          <w:szCs w:val="24"/>
          <w:lang w:eastAsia="en-GB"/>
          <w14:ligatures w14:val="none"/>
        </w:rPr>
        <w:t>4</w:t>
      </w:r>
      <w:r w:rsidR="0076305D">
        <w:rPr>
          <w:rFonts w:ascii="Arial" w:eastAsia="Times New Roman" w:hAnsi="Arial" w:cs="Arial"/>
          <w:color w:val="0E101A"/>
          <w:sz w:val="24"/>
          <w:szCs w:val="24"/>
          <w:lang w:eastAsia="en-GB"/>
          <w14:ligatures w14:val="none"/>
        </w:rPr>
        <w:t xml:space="preserve"> </w:t>
      </w:r>
      <w:r w:rsidR="00857C7F">
        <w:rPr>
          <w:rFonts w:ascii="Arial" w:eastAsia="Times New Roman" w:hAnsi="Arial" w:cs="Arial"/>
          <w:color w:val="0E101A"/>
          <w:sz w:val="24"/>
          <w:szCs w:val="24"/>
          <w:lang w:eastAsia="en-GB"/>
          <w14:ligatures w14:val="none"/>
        </w:rPr>
        <w:t>per patient in the entire cohort (n=266)</w:t>
      </w:r>
      <w:r w:rsidRPr="00035911">
        <w:rPr>
          <w:rFonts w:ascii="Arial" w:eastAsia="Times New Roman" w:hAnsi="Arial" w:cs="Arial"/>
          <w:color w:val="0E101A"/>
          <w:sz w:val="24"/>
          <w:szCs w:val="24"/>
          <w:lang w:eastAsia="en-GB"/>
          <w14:ligatures w14:val="none"/>
        </w:rPr>
        <w:t xml:space="preserve">. In contrast, the management plans from the second expert panel would have saved £24143 (average £371.40 per patient) owing to the savings of £16878 (average £432.7 per patient) in </w:t>
      </w:r>
      <w:r w:rsidR="00857C7F">
        <w:rPr>
          <w:rFonts w:ascii="Arial" w:eastAsia="Times New Roman" w:hAnsi="Arial" w:cs="Arial"/>
          <w:color w:val="0E101A"/>
          <w:sz w:val="24"/>
          <w:szCs w:val="24"/>
          <w:lang w:eastAsia="en-GB"/>
          <w14:ligatures w14:val="none"/>
        </w:rPr>
        <w:t xml:space="preserve">the </w:t>
      </w:r>
      <w:r w:rsidRPr="00035911">
        <w:rPr>
          <w:rFonts w:ascii="Arial" w:eastAsia="Times New Roman" w:hAnsi="Arial" w:cs="Arial"/>
          <w:color w:val="0E101A"/>
          <w:sz w:val="24"/>
          <w:szCs w:val="24"/>
          <w:lang w:eastAsia="en-GB"/>
          <w14:ligatures w14:val="none"/>
        </w:rPr>
        <w:t xml:space="preserve">ACS </w:t>
      </w:r>
      <w:r w:rsidR="00857C7F">
        <w:rPr>
          <w:rFonts w:ascii="Arial" w:eastAsia="Times New Roman" w:hAnsi="Arial" w:cs="Arial"/>
          <w:color w:val="0E101A"/>
          <w:sz w:val="24"/>
          <w:szCs w:val="24"/>
          <w:lang w:eastAsia="en-GB"/>
          <w14:ligatures w14:val="none"/>
        </w:rPr>
        <w:t xml:space="preserve">group </w:t>
      </w:r>
      <w:r w:rsidRPr="00035911">
        <w:rPr>
          <w:rFonts w:ascii="Arial" w:eastAsia="Times New Roman" w:hAnsi="Arial" w:cs="Arial"/>
          <w:color w:val="0E101A"/>
          <w:sz w:val="24"/>
          <w:szCs w:val="24"/>
          <w:lang w:eastAsia="en-GB"/>
          <w14:ligatures w14:val="none"/>
        </w:rPr>
        <w:t xml:space="preserve">(n=39) and £7265 (average £279.40 per patient) in </w:t>
      </w:r>
      <w:r w:rsidR="00857C7F">
        <w:rPr>
          <w:rFonts w:ascii="Arial" w:eastAsia="Times New Roman" w:hAnsi="Arial" w:cs="Arial"/>
          <w:color w:val="0E101A"/>
          <w:sz w:val="24"/>
          <w:szCs w:val="24"/>
          <w:lang w:eastAsia="en-GB"/>
          <w14:ligatures w14:val="none"/>
        </w:rPr>
        <w:t xml:space="preserve">the </w:t>
      </w:r>
      <w:r w:rsidRPr="00035911">
        <w:rPr>
          <w:rFonts w:ascii="Arial" w:eastAsia="Times New Roman" w:hAnsi="Arial" w:cs="Arial"/>
          <w:color w:val="0E101A"/>
          <w:sz w:val="24"/>
          <w:szCs w:val="24"/>
          <w:lang w:eastAsia="en-GB"/>
          <w14:ligatures w14:val="none"/>
        </w:rPr>
        <w:t xml:space="preserve">CCS </w:t>
      </w:r>
      <w:r w:rsidR="00857C7F">
        <w:rPr>
          <w:rFonts w:ascii="Arial" w:eastAsia="Times New Roman" w:hAnsi="Arial" w:cs="Arial"/>
          <w:color w:val="0E101A"/>
          <w:sz w:val="24"/>
          <w:szCs w:val="24"/>
          <w:lang w:eastAsia="en-GB"/>
          <w14:ligatures w14:val="none"/>
        </w:rPr>
        <w:t xml:space="preserve">group </w:t>
      </w:r>
      <w:r w:rsidRPr="00035911">
        <w:rPr>
          <w:rFonts w:ascii="Arial" w:eastAsia="Times New Roman" w:hAnsi="Arial" w:cs="Arial"/>
          <w:color w:val="0E101A"/>
          <w:sz w:val="24"/>
          <w:szCs w:val="24"/>
          <w:lang w:eastAsia="en-GB"/>
          <w14:ligatures w14:val="none"/>
        </w:rPr>
        <w:t>(n=26)</w:t>
      </w:r>
      <w:r w:rsidR="00857C7F">
        <w:rPr>
          <w:rFonts w:ascii="Arial" w:eastAsia="Times New Roman" w:hAnsi="Arial" w:cs="Arial"/>
          <w:color w:val="0E101A"/>
          <w:sz w:val="24"/>
          <w:szCs w:val="24"/>
          <w:lang w:eastAsia="en-GB"/>
          <w14:ligatures w14:val="none"/>
        </w:rPr>
        <w:t xml:space="preserve"> and £</w:t>
      </w:r>
      <w:r w:rsidR="003426B1">
        <w:rPr>
          <w:rFonts w:ascii="Arial" w:eastAsia="Times New Roman" w:hAnsi="Arial" w:cs="Arial"/>
          <w:color w:val="0E101A"/>
          <w:sz w:val="24"/>
          <w:szCs w:val="24"/>
          <w:lang w:eastAsia="en-GB"/>
          <w14:ligatures w14:val="none"/>
        </w:rPr>
        <w:t>90.7</w:t>
      </w:r>
      <w:r w:rsidR="00983AD5">
        <w:rPr>
          <w:rFonts w:ascii="Arial" w:eastAsia="Times New Roman" w:hAnsi="Arial" w:cs="Arial"/>
          <w:color w:val="0E101A"/>
          <w:sz w:val="24"/>
          <w:szCs w:val="24"/>
          <w:lang w:eastAsia="en-GB"/>
          <w14:ligatures w14:val="none"/>
        </w:rPr>
        <w:t xml:space="preserve"> </w:t>
      </w:r>
      <w:r w:rsidR="00857C7F">
        <w:rPr>
          <w:rFonts w:ascii="Arial" w:eastAsia="Times New Roman" w:hAnsi="Arial" w:cs="Arial"/>
          <w:color w:val="0E101A"/>
          <w:sz w:val="24"/>
          <w:szCs w:val="24"/>
          <w:lang w:eastAsia="en-GB"/>
          <w14:ligatures w14:val="none"/>
        </w:rPr>
        <w:t>per patient in the entire cohort</w:t>
      </w:r>
      <w:r w:rsidR="003426B1">
        <w:rPr>
          <w:rFonts w:ascii="Arial" w:eastAsia="Times New Roman" w:hAnsi="Arial" w:cs="Arial"/>
          <w:color w:val="0E101A"/>
          <w:sz w:val="24"/>
          <w:szCs w:val="24"/>
          <w:lang w:eastAsia="en-GB"/>
          <w14:ligatures w14:val="none"/>
        </w:rPr>
        <w:t xml:space="preserve"> (n=266)</w:t>
      </w:r>
      <w:r w:rsidRPr="00035911">
        <w:rPr>
          <w:rFonts w:ascii="Arial" w:eastAsia="Times New Roman" w:hAnsi="Arial" w:cs="Arial"/>
          <w:color w:val="0E101A"/>
          <w:sz w:val="24"/>
          <w:szCs w:val="24"/>
          <w:lang w:eastAsia="en-GB"/>
          <w14:ligatures w14:val="none"/>
        </w:rPr>
        <w:t xml:space="preserve">. The second expert </w:t>
      </w:r>
      <w:r w:rsidR="00EF5EE4">
        <w:rPr>
          <w:rFonts w:ascii="Arial" w:eastAsia="Times New Roman" w:hAnsi="Arial" w:cs="Arial"/>
          <w:color w:val="0E101A"/>
          <w:sz w:val="24"/>
          <w:szCs w:val="24"/>
          <w:lang w:eastAsia="en-GB"/>
          <w14:ligatures w14:val="none"/>
        </w:rPr>
        <w:t>MDT</w:t>
      </w:r>
      <w:r w:rsidRPr="00035911">
        <w:rPr>
          <w:rFonts w:ascii="Arial" w:eastAsia="Times New Roman" w:hAnsi="Arial" w:cs="Arial"/>
          <w:color w:val="0E101A"/>
          <w:sz w:val="24"/>
          <w:szCs w:val="24"/>
          <w:lang w:eastAsia="en-GB"/>
          <w14:ligatures w14:val="none"/>
        </w:rPr>
        <w:t xml:space="preserve"> delivered considerable savings because two patients were virtually switched from CABG to multivessel PCI and OMT plans, respectively, which resulted in savings of £20,000. Despite the current focus on Multidisciplinary Team (MDT) in guidelines, which suggests the benefits of using MDT discussions for most patients due to the appropriateness and cost-effectiveness of plans resulting from collective decision-making, in modern clinical practice, MDT is predominantly reserved for cases that are contentious and intricate, primarily due to administrative and scheduling logistics. Moreover, the simplicity and capability for offline execution can render vFFR a valuable tool in MDT settings, as addressing questions regarding lesion-specific physiology promptly may minimise waiting times and enhance cost-effectiveness.</w:t>
      </w:r>
    </w:p>
    <w:p w14:paraId="49FCC78C" w14:textId="77777777" w:rsidR="00035911" w:rsidRPr="003073E3" w:rsidRDefault="00035911" w:rsidP="004942B6">
      <w:pPr>
        <w:spacing w:line="360" w:lineRule="auto"/>
        <w:jc w:val="both"/>
        <w:rPr>
          <w:rFonts w:ascii="Arial" w:eastAsia="Times New Roman" w:hAnsi="Arial" w:cs="Arial"/>
          <w:color w:val="0E101A"/>
          <w:sz w:val="24"/>
          <w:szCs w:val="24"/>
          <w:lang w:eastAsia="en-GB"/>
          <w14:ligatures w14:val="none"/>
        </w:rPr>
      </w:pPr>
    </w:p>
    <w:p w14:paraId="79094A33" w14:textId="26A7426B" w:rsidR="004942B6" w:rsidRPr="001646D2" w:rsidRDefault="004942B6" w:rsidP="009156D8">
      <w:pPr>
        <w:pStyle w:val="Heading2"/>
        <w:spacing w:line="360" w:lineRule="auto"/>
        <w:jc w:val="both"/>
        <w:rPr>
          <w:rFonts w:ascii="Arial" w:hAnsi="Arial" w:cs="Arial"/>
          <w:color w:val="4472C4" w:themeColor="accent1"/>
          <w:sz w:val="28"/>
          <w:szCs w:val="28"/>
        </w:rPr>
      </w:pPr>
      <w:bookmarkStart w:id="1484" w:name="_Toc171203964"/>
      <w:r w:rsidRPr="001646D2">
        <w:rPr>
          <w:rFonts w:ascii="Arial" w:hAnsi="Arial" w:cs="Arial"/>
          <w:color w:val="4472C4" w:themeColor="accent1"/>
          <w:sz w:val="28"/>
          <w:szCs w:val="28"/>
        </w:rPr>
        <w:t>4.</w:t>
      </w:r>
      <w:r w:rsidR="0002660C">
        <w:rPr>
          <w:rFonts w:ascii="Arial" w:hAnsi="Arial" w:cs="Arial"/>
          <w:color w:val="4472C4" w:themeColor="accent1"/>
          <w:sz w:val="28"/>
          <w:szCs w:val="28"/>
        </w:rPr>
        <w:t>5</w:t>
      </w:r>
      <w:r w:rsidRPr="001646D2">
        <w:rPr>
          <w:rFonts w:ascii="Arial" w:hAnsi="Arial" w:cs="Arial"/>
          <w:color w:val="4472C4" w:themeColor="accent1"/>
          <w:sz w:val="28"/>
          <w:szCs w:val="28"/>
        </w:rPr>
        <w:t xml:space="preserve"> </w:t>
      </w:r>
      <w:r w:rsidR="003C20E6">
        <w:rPr>
          <w:rFonts w:ascii="Arial" w:hAnsi="Arial" w:cs="Arial"/>
          <w:color w:val="4472C4" w:themeColor="accent1"/>
          <w:sz w:val="28"/>
          <w:szCs w:val="28"/>
        </w:rPr>
        <w:t>We</w:t>
      </w:r>
      <w:r w:rsidRPr="001646D2">
        <w:rPr>
          <w:rFonts w:ascii="Arial" w:hAnsi="Arial" w:cs="Arial"/>
          <w:color w:val="4472C4" w:themeColor="accent1"/>
          <w:sz w:val="28"/>
          <w:szCs w:val="28"/>
        </w:rPr>
        <w:t>re the ICERs for the CAG-based and vFFR-based outcomes below the willingness to pay (WTP) threshold?</w:t>
      </w:r>
      <w:bookmarkEnd w:id="1484"/>
    </w:p>
    <w:p w14:paraId="77E90651" w14:textId="77777777" w:rsidR="009E2236" w:rsidRDefault="00F3647C" w:rsidP="00857C7F">
      <w:pPr>
        <w:spacing w:line="360" w:lineRule="auto"/>
        <w:jc w:val="both"/>
        <w:rPr>
          <w:rFonts w:ascii="Arial" w:hAnsi="Arial" w:cs="Arial"/>
          <w:sz w:val="24"/>
          <w:szCs w:val="24"/>
          <w:shd w:val="clear" w:color="auto" w:fill="FFFFFF"/>
        </w:rPr>
      </w:pPr>
      <w:r w:rsidRPr="00F3647C">
        <w:rPr>
          <w:rFonts w:ascii="Arial" w:hAnsi="Arial" w:cs="Arial"/>
          <w:sz w:val="24"/>
          <w:szCs w:val="24"/>
          <w:shd w:val="clear" w:color="auto" w:fill="FFFFFF"/>
        </w:rPr>
        <w:t xml:space="preserve">The Diagnostics Assessment Programme (DAP) was launched by the National Institute for Health and Care Excellence (NICE) in 2009 to encourage the swift endorsement of novel, contemporary diagnostic technological tools in the National Health Service (NHS) following their cost-effectiveness analysis (CEA). (217) The CEA has evolved as an objective method of evaluating new medical strategies by </w:t>
      </w:r>
      <w:r w:rsidR="009E2236">
        <w:rPr>
          <w:rFonts w:ascii="Arial" w:hAnsi="Arial" w:cs="Arial"/>
          <w:sz w:val="24"/>
          <w:szCs w:val="24"/>
          <w:shd w:val="clear" w:color="auto" w:fill="FFFFFF"/>
        </w:rPr>
        <w:t>4</w:t>
      </w:r>
    </w:p>
    <w:p w14:paraId="50262CAF" w14:textId="77777777" w:rsidR="009E2236" w:rsidRDefault="009E2236" w:rsidP="00857C7F">
      <w:pPr>
        <w:spacing w:line="360" w:lineRule="auto"/>
        <w:jc w:val="both"/>
        <w:rPr>
          <w:rFonts w:ascii="Arial" w:hAnsi="Arial" w:cs="Arial"/>
          <w:sz w:val="24"/>
          <w:szCs w:val="24"/>
          <w:shd w:val="clear" w:color="auto" w:fill="FFFFFF"/>
        </w:rPr>
      </w:pPr>
      <w:r>
        <w:rPr>
          <w:rFonts w:ascii="Arial" w:hAnsi="Arial" w:cs="Arial"/>
          <w:sz w:val="24"/>
          <w:szCs w:val="24"/>
          <w:shd w:val="clear" w:color="auto" w:fill="FFFFFF"/>
        </w:rPr>
        <w:t>er</w:t>
      </w:r>
    </w:p>
    <w:p w14:paraId="1CCADBA6" w14:textId="7BC06074" w:rsidR="004942B6" w:rsidRDefault="00F3647C" w:rsidP="00857C7F">
      <w:pPr>
        <w:spacing w:line="360" w:lineRule="auto"/>
        <w:jc w:val="both"/>
        <w:rPr>
          <w:rFonts w:ascii="Arial" w:hAnsi="Arial" w:cs="Arial"/>
          <w:sz w:val="24"/>
          <w:szCs w:val="24"/>
          <w:shd w:val="clear" w:color="auto" w:fill="FFFFFF"/>
        </w:rPr>
      </w:pPr>
      <w:r w:rsidRPr="00F3647C">
        <w:rPr>
          <w:rFonts w:ascii="Arial" w:hAnsi="Arial" w:cs="Arial"/>
          <w:sz w:val="24"/>
          <w:szCs w:val="24"/>
          <w:shd w:val="clear" w:color="auto" w:fill="FFFFFF"/>
        </w:rPr>
        <w:lastRenderedPageBreak/>
        <w:t>assessing the incremental health benefits against the incurred incremental costs. This is benchmarked by ICER of the novel intervention against the accepted standard of care concerning a set WTP threshold between £20,000 to £30,000 per QALY in the UK. (217) If the cost of a new intervention is above the described threshold, it is deemed too expensive to adopt, thus reflecting the displaced opportunity costs for other healthcare programs. If, however, the cost of new treatment falls below the WTP threshold, the strategy is considered acceptable to be incorporated into clinical practice. My study estimated ICERs of management plans based on CAG alone and plans incorporating vFFR in addition to CAG. It demonstrated that the costs of implementing vFFR in decision-making are trivial, especially when considered for a longer term. Adding a voucher-based or institution-based vFFR licence cost to the overall costs of the annual outcomes, they are still well below the WTP threshold, endorsing the cost-effectiveness of vFFR+CAG vs CAG-only. When considering the three-tier voucher-based licence costs, ICERs were £2803, £4077, and £6626 per QALY for a voucher cost of £50, £100, and £200 per patient, respectively. On the other hand, when estimated using an institutional licence basis, from low to high tariff tier, ICERs were £4077, £5352, and £7901 per QALY for an annual licence fee of £20000, £30000, and £50000, respectively. Despite the apparent favourable impact of vFFR upon ICER, this study was not sufficiently powered to suggest any recommendations in terms of cost-effectiveness.</w:t>
      </w:r>
      <w:r w:rsidR="00255AD0">
        <w:rPr>
          <w:rFonts w:ascii="Arial" w:hAnsi="Arial" w:cs="Arial"/>
          <w:sz w:val="24"/>
          <w:szCs w:val="24"/>
          <w:shd w:val="clear" w:color="auto" w:fill="FFFFFF"/>
        </w:rPr>
        <w:t xml:space="preserve"> However</w:t>
      </w:r>
      <w:r w:rsidRPr="00F3647C">
        <w:rPr>
          <w:rFonts w:ascii="Arial" w:hAnsi="Arial" w:cs="Arial"/>
          <w:sz w:val="24"/>
          <w:szCs w:val="24"/>
          <w:shd w:val="clear" w:color="auto" w:fill="FFFFFF"/>
        </w:rPr>
        <w:t>, it has produced pilot data for more extensive trials to be conducted with a prime focus on the cost-effectiveness of this technology. Although VIRTUHeart</w:t>
      </w:r>
      <w:r w:rsidR="00255AD0">
        <w:rPr>
          <w:rFonts w:ascii="Arial" w:hAnsi="Arial" w:cs="Arial"/>
          <w:sz w:val="24"/>
          <w:szCs w:val="24"/>
          <w:shd w:val="clear" w:color="auto" w:fill="FFFFFF"/>
          <w:vertAlign w:val="superscript"/>
        </w:rPr>
        <w:t>TM</w:t>
      </w:r>
      <w:r w:rsidRPr="00F3647C">
        <w:rPr>
          <w:rFonts w:ascii="Arial" w:hAnsi="Arial" w:cs="Arial"/>
          <w:sz w:val="24"/>
          <w:szCs w:val="24"/>
          <w:shd w:val="clear" w:color="auto" w:fill="FFFFFF"/>
        </w:rPr>
        <w:t xml:space="preserve"> is yet to be tested in the "actual" trial setting, this study's outlined economic outcomes </w:t>
      </w:r>
      <w:r w:rsidR="00857C7F">
        <w:rPr>
          <w:rFonts w:ascii="Arial" w:hAnsi="Arial" w:cs="Arial"/>
          <w:sz w:val="24"/>
          <w:szCs w:val="24"/>
          <w:shd w:val="clear" w:color="auto" w:fill="FFFFFF"/>
        </w:rPr>
        <w:t>are likely to be applicable to the</w:t>
      </w:r>
      <w:r w:rsidRPr="00F3647C">
        <w:rPr>
          <w:rFonts w:ascii="Arial" w:hAnsi="Arial" w:cs="Arial"/>
          <w:sz w:val="24"/>
          <w:szCs w:val="24"/>
          <w:shd w:val="clear" w:color="auto" w:fill="FFFFFF"/>
        </w:rPr>
        <w:t xml:space="preserve"> </w:t>
      </w:r>
      <w:r w:rsidR="00857C7F">
        <w:rPr>
          <w:rFonts w:ascii="Arial" w:hAnsi="Arial" w:cs="Arial"/>
          <w:sz w:val="24"/>
          <w:szCs w:val="24"/>
          <w:shd w:val="clear" w:color="auto" w:fill="FFFFFF"/>
        </w:rPr>
        <w:t xml:space="preserve">commercially available </w:t>
      </w:r>
      <w:r w:rsidRPr="00F3647C">
        <w:rPr>
          <w:rFonts w:ascii="Arial" w:hAnsi="Arial" w:cs="Arial"/>
          <w:sz w:val="24"/>
          <w:szCs w:val="24"/>
          <w:shd w:val="clear" w:color="auto" w:fill="FFFFFF"/>
        </w:rPr>
        <w:t>angiographically computed vFFR software (QFR, CAAS-vFFR). As this cutting-edge tool is probably here to stay, a comprehensive CEA of this technology may remove the final barrier to its more extensive application and acceptance in the diagnostic pathways for chest pain by the NICE</w:t>
      </w:r>
      <w:r w:rsidR="00583942">
        <w:rPr>
          <w:rFonts w:ascii="Arial" w:hAnsi="Arial" w:cs="Arial"/>
          <w:sz w:val="24"/>
          <w:szCs w:val="24"/>
          <w:shd w:val="clear" w:color="auto" w:fill="FFFFFF"/>
        </w:rPr>
        <w:t>.</w:t>
      </w:r>
    </w:p>
    <w:p w14:paraId="6F039F06" w14:textId="77777777" w:rsidR="00F3647C" w:rsidRPr="00E14EC1" w:rsidRDefault="00F3647C" w:rsidP="00F3647C">
      <w:pPr>
        <w:spacing w:line="360" w:lineRule="auto"/>
        <w:jc w:val="both"/>
        <w:rPr>
          <w:color w:val="4472C4" w:themeColor="accent1"/>
        </w:rPr>
      </w:pPr>
    </w:p>
    <w:p w14:paraId="2D593E5B" w14:textId="6A0BBDD3" w:rsidR="004942B6" w:rsidRPr="00545CB2" w:rsidRDefault="004942B6" w:rsidP="009156D8">
      <w:pPr>
        <w:pStyle w:val="Heading2"/>
        <w:spacing w:line="360" w:lineRule="auto"/>
        <w:rPr>
          <w:rFonts w:ascii="Arial" w:hAnsi="Arial" w:cs="Arial"/>
          <w:color w:val="4472C4" w:themeColor="accent1"/>
          <w:sz w:val="28"/>
          <w:szCs w:val="28"/>
        </w:rPr>
      </w:pPr>
      <w:bookmarkStart w:id="1485" w:name="_Toc171203965"/>
      <w:r w:rsidRPr="00545CB2">
        <w:rPr>
          <w:rFonts w:ascii="Arial" w:hAnsi="Arial" w:cs="Arial"/>
          <w:color w:val="4472C4" w:themeColor="accent1"/>
          <w:sz w:val="28"/>
          <w:szCs w:val="28"/>
        </w:rPr>
        <w:t>4.</w:t>
      </w:r>
      <w:r w:rsidR="00DA671B">
        <w:rPr>
          <w:rFonts w:ascii="Arial" w:hAnsi="Arial" w:cs="Arial"/>
          <w:color w:val="4472C4" w:themeColor="accent1"/>
          <w:sz w:val="28"/>
          <w:szCs w:val="28"/>
        </w:rPr>
        <w:t>6</w:t>
      </w:r>
      <w:r w:rsidRPr="00545CB2">
        <w:rPr>
          <w:rFonts w:ascii="Arial" w:hAnsi="Arial" w:cs="Arial"/>
          <w:color w:val="4472C4" w:themeColor="accent1"/>
          <w:sz w:val="28"/>
          <w:szCs w:val="28"/>
        </w:rPr>
        <w:t xml:space="preserve"> Impact of C</w:t>
      </w:r>
      <w:r w:rsidR="00E14EC1" w:rsidRPr="00545CB2">
        <w:rPr>
          <w:rFonts w:ascii="Arial" w:hAnsi="Arial" w:cs="Arial"/>
          <w:color w:val="4472C4" w:themeColor="accent1"/>
          <w:sz w:val="28"/>
          <w:szCs w:val="28"/>
        </w:rPr>
        <w:t>OVID</w:t>
      </w:r>
      <w:r w:rsidRPr="00545CB2">
        <w:rPr>
          <w:rFonts w:ascii="Arial" w:hAnsi="Arial" w:cs="Arial"/>
          <w:color w:val="4472C4" w:themeColor="accent1"/>
          <w:sz w:val="28"/>
          <w:szCs w:val="28"/>
        </w:rPr>
        <w:t>-19</w:t>
      </w:r>
      <w:bookmarkEnd w:id="1485"/>
    </w:p>
    <w:p w14:paraId="130C69AE" w14:textId="2DDDB21C" w:rsidR="00B274CD" w:rsidRDefault="00E749C3" w:rsidP="00A62397">
      <w:pPr>
        <w:spacing w:line="360" w:lineRule="auto"/>
        <w:jc w:val="both"/>
        <w:rPr>
          <w:rFonts w:ascii="Arial" w:hAnsi="Arial" w:cs="Arial"/>
          <w:sz w:val="24"/>
          <w:szCs w:val="24"/>
        </w:rPr>
      </w:pPr>
      <w:r w:rsidRPr="00E749C3">
        <w:rPr>
          <w:rFonts w:ascii="Arial" w:hAnsi="Arial" w:cs="Arial"/>
          <w:sz w:val="24"/>
          <w:szCs w:val="24"/>
        </w:rPr>
        <w:t>The COVID-19 pandemic significantly impacted global healthcare delivery systems, including the NHS, during the conduct of the VIRTU-4 study, both directly and indirectly. A similar effect was also noted in my follow-on study as well. First, in VIRTU-</w:t>
      </w:r>
      <w:r w:rsidRPr="00E749C3">
        <w:rPr>
          <w:rFonts w:ascii="Arial" w:hAnsi="Arial" w:cs="Arial"/>
          <w:sz w:val="24"/>
          <w:szCs w:val="24"/>
        </w:rPr>
        <w:lastRenderedPageBreak/>
        <w:t>4, recruitment to the CCS arm was particularly affected, as only 100 patients could be recruited instead of the initially planned 206. Furthermore, during the pandemic, all elective chest pain pathways and outpatient appointments were withheld, which led to considerable delays in patients awaiting elective procedures. Moreover, lack of contact with primary care services, cancellation of clinic reviews, and non-optimization of medical therapy all contributed to the aggravation of symptoms and led to a reduction in QOL. Second, there was a surge in patients with mental health issues during the pandemic, with limited or no psychiatric support available. According to a report from WHO, the COVID-19 pandemic resulted in a 25% increment in the prevalence of mental health issues (199), which by itself is associated with a reduction in QOL, morbidity, and mortality. (200) Several patients were also financially impacted by COVID-19 due to business closures and loss of jobs, resulting in difficulties in affording household bills, mortgage payments and food, which forced them to depend on income support. All of this contributed to stress levels, which led to further health issues. In my study, which followed the pandemic, 32/266 (12%) patients reported significant mental health issues, of which 24 patients (9%) had anxiety/</w:t>
      </w:r>
      <w:r w:rsidR="001670FE" w:rsidRPr="00E749C3">
        <w:rPr>
          <w:rFonts w:ascii="Arial" w:hAnsi="Arial" w:cs="Arial"/>
          <w:sz w:val="24"/>
          <w:szCs w:val="24"/>
        </w:rPr>
        <w:t>depression,</w:t>
      </w:r>
      <w:r w:rsidRPr="00E749C3">
        <w:rPr>
          <w:rFonts w:ascii="Arial" w:hAnsi="Arial" w:cs="Arial"/>
          <w:sz w:val="24"/>
          <w:szCs w:val="24"/>
        </w:rPr>
        <w:t xml:space="preserve"> and eight patients (3%) experienced substantial financial problems adding to the pronounced stress. Since the scope of this study did not specifically include mental health assessment, they were not investigated in detail. However, it would be worth exploring these aspects in future studies.</w:t>
      </w:r>
      <w:r w:rsidR="001670FE">
        <w:rPr>
          <w:rFonts w:ascii="Arial" w:hAnsi="Arial" w:cs="Arial"/>
          <w:sz w:val="24"/>
          <w:szCs w:val="24"/>
        </w:rPr>
        <w:t xml:space="preserve"> </w:t>
      </w:r>
    </w:p>
    <w:p w14:paraId="3AB7C005" w14:textId="77777777" w:rsidR="00C050DC" w:rsidRDefault="00C050DC" w:rsidP="00A62397">
      <w:pPr>
        <w:spacing w:line="360" w:lineRule="auto"/>
        <w:jc w:val="both"/>
        <w:rPr>
          <w:rFonts w:ascii="Arial" w:hAnsi="Arial" w:cs="Arial"/>
          <w:sz w:val="24"/>
          <w:szCs w:val="24"/>
        </w:rPr>
      </w:pPr>
    </w:p>
    <w:p w14:paraId="09EFEA5C" w14:textId="05B5067E" w:rsidR="00B274CD" w:rsidRPr="00545CB2" w:rsidRDefault="004942B6" w:rsidP="009156D8">
      <w:pPr>
        <w:pStyle w:val="Heading2"/>
        <w:jc w:val="both"/>
        <w:rPr>
          <w:rFonts w:ascii="Arial" w:hAnsi="Arial" w:cs="Arial"/>
          <w:color w:val="4472C4" w:themeColor="accent1"/>
          <w:sz w:val="28"/>
          <w:szCs w:val="28"/>
        </w:rPr>
      </w:pPr>
      <w:bookmarkStart w:id="1486" w:name="_Toc171203966"/>
      <w:r w:rsidRPr="00545CB2">
        <w:rPr>
          <w:rFonts w:ascii="Arial" w:hAnsi="Arial" w:cs="Arial"/>
          <w:color w:val="4472C4" w:themeColor="accent1"/>
          <w:sz w:val="28"/>
          <w:szCs w:val="28"/>
        </w:rPr>
        <w:t>4.</w:t>
      </w:r>
      <w:r w:rsidR="00DA671B">
        <w:rPr>
          <w:rFonts w:ascii="Arial" w:hAnsi="Arial" w:cs="Arial"/>
          <w:color w:val="4472C4" w:themeColor="accent1"/>
          <w:sz w:val="28"/>
          <w:szCs w:val="28"/>
        </w:rPr>
        <w:t>7</w:t>
      </w:r>
      <w:r w:rsidRPr="00545CB2">
        <w:rPr>
          <w:rFonts w:ascii="Arial" w:hAnsi="Arial" w:cs="Arial"/>
          <w:color w:val="4472C4" w:themeColor="accent1"/>
          <w:sz w:val="28"/>
          <w:szCs w:val="28"/>
        </w:rPr>
        <w:t xml:space="preserve"> Potential role of vFFR outside the ACS and CCS settings</w:t>
      </w:r>
      <w:bookmarkEnd w:id="1486"/>
    </w:p>
    <w:p w14:paraId="4D5C35BB" w14:textId="7A53F101" w:rsidR="004942B6" w:rsidRPr="00F3647C" w:rsidRDefault="00A62397" w:rsidP="001119CB">
      <w:pPr>
        <w:spacing w:line="360" w:lineRule="auto"/>
        <w:jc w:val="both"/>
        <w:rPr>
          <w:rFonts w:ascii="Arial" w:hAnsi="Arial" w:cs="Arial"/>
          <w:color w:val="4472C4" w:themeColor="accent1"/>
          <w:sz w:val="24"/>
          <w:szCs w:val="24"/>
        </w:rPr>
      </w:pPr>
      <w:r w:rsidRPr="00A62397">
        <w:rPr>
          <w:rFonts w:ascii="Arial" w:hAnsi="Arial" w:cs="Arial"/>
          <w:sz w:val="24"/>
          <w:szCs w:val="24"/>
        </w:rPr>
        <w:t xml:space="preserve">When applied to bystander disease, </w:t>
      </w:r>
      <w:r w:rsidR="00857C7F">
        <w:rPr>
          <w:rFonts w:ascii="Arial" w:hAnsi="Arial" w:cs="Arial"/>
          <w:sz w:val="24"/>
          <w:szCs w:val="24"/>
        </w:rPr>
        <w:t>v</w:t>
      </w:r>
      <w:r w:rsidRPr="00A62397">
        <w:rPr>
          <w:rFonts w:ascii="Arial" w:hAnsi="Arial" w:cs="Arial"/>
          <w:sz w:val="24"/>
          <w:szCs w:val="24"/>
        </w:rPr>
        <w:t xml:space="preserve">FFR can provide a valuable physiological measurement to guide the best revascularisation strategy. vFFR has the propensity to identify physiologically significant lesions in multivessel, multi-lesion disease, which is often encountered in clinical practice, and can minimise the risks of instrumentation by providing the relevant data non-invasively. Type-II MI and left ventricular dysfunction (LVSD) secondary to cardiomyopathy are among the common examples. The prevalence of Type-II MI ranges from 2% to 58% among individuals whose initial clinical presentation is MI, whereas cardiomyopathy-related LVSD has a prevalence of 1:2500 in the general population. In such conditions, non-culprit bystander disease is often found on diagnostic CAG, which usually does not require intervention. (207, 208) By providing a non-invasive physiological assessment, which generally </w:t>
      </w:r>
      <w:r w:rsidRPr="00A62397">
        <w:rPr>
          <w:rFonts w:ascii="Arial" w:hAnsi="Arial" w:cs="Arial"/>
          <w:sz w:val="24"/>
          <w:szCs w:val="24"/>
        </w:rPr>
        <w:lastRenderedPageBreak/>
        <w:t>demonstrates the non-physiological significance of borderline lesions, vFFR can help reassure both the patients and the physicians and shift the focus of investigations away from coronary disease in such situations. Even if significant bystander disease is not intervened during the index procedure, it still furnishes valuable information to help plan any intervention in the future, should the patients remain symptomatic. In addition, vFFR can provide helpful information in MDT settings, which can assist in decision-making in complex cases. Moreover, vFFR can also result in a down-grading of the severity of CAD based upon visual estimation, suggesting a less invasive plan. According to my study, management plans of 2/65 (3%) patients in the virtual change subset were notionally changed from CABG to multivessel PCI after vFFR disclosure, which was the less invasive treatment option. Furthermore, vFFR can also aid in virtual coronary intervention planning (by simulating a virtual stent insertion) for complex coronary lesions and predict the post-PCI physiological response and any residual ischaemic in the area of interest. (147)</w:t>
      </w:r>
    </w:p>
    <w:p w14:paraId="2CED046A" w14:textId="77777777" w:rsidR="001119CB" w:rsidRDefault="001119CB" w:rsidP="001119CB">
      <w:pPr>
        <w:spacing w:line="360" w:lineRule="auto"/>
        <w:jc w:val="both"/>
        <w:rPr>
          <w:rFonts w:ascii="Arial" w:hAnsi="Arial" w:cs="Arial"/>
          <w:sz w:val="24"/>
          <w:szCs w:val="24"/>
        </w:rPr>
      </w:pPr>
    </w:p>
    <w:p w14:paraId="6586269D" w14:textId="3E9C72AD" w:rsidR="004942B6" w:rsidRPr="00545CB2" w:rsidRDefault="004942B6" w:rsidP="004942B6">
      <w:pPr>
        <w:pStyle w:val="Heading2"/>
        <w:spacing w:line="360" w:lineRule="auto"/>
        <w:rPr>
          <w:rFonts w:ascii="Arial" w:hAnsi="Arial" w:cs="Arial"/>
          <w:color w:val="4472C4" w:themeColor="accent1"/>
          <w:sz w:val="28"/>
          <w:szCs w:val="28"/>
        </w:rPr>
      </w:pPr>
      <w:bookmarkStart w:id="1487" w:name="_Toc171203967"/>
      <w:r w:rsidRPr="00545CB2">
        <w:rPr>
          <w:rFonts w:ascii="Arial" w:hAnsi="Arial" w:cs="Arial"/>
          <w:color w:val="4472C4" w:themeColor="accent1"/>
          <w:sz w:val="28"/>
          <w:szCs w:val="28"/>
        </w:rPr>
        <w:t>4.</w:t>
      </w:r>
      <w:r w:rsidR="00DA671B">
        <w:rPr>
          <w:rFonts w:ascii="Arial" w:hAnsi="Arial" w:cs="Arial"/>
          <w:color w:val="4472C4" w:themeColor="accent1"/>
          <w:sz w:val="28"/>
          <w:szCs w:val="28"/>
        </w:rPr>
        <w:t>8</w:t>
      </w:r>
      <w:r w:rsidRPr="00545CB2">
        <w:rPr>
          <w:rFonts w:ascii="Arial" w:hAnsi="Arial" w:cs="Arial"/>
          <w:color w:val="4472C4" w:themeColor="accent1"/>
          <w:sz w:val="28"/>
          <w:szCs w:val="28"/>
        </w:rPr>
        <w:t xml:space="preserve"> Limitations of this study</w:t>
      </w:r>
      <w:bookmarkStart w:id="1488" w:name="_Hlk160984118"/>
      <w:bookmarkEnd w:id="1487"/>
    </w:p>
    <w:p w14:paraId="40B07AB0" w14:textId="45E40616" w:rsidR="00602547" w:rsidRDefault="005D58B1" w:rsidP="00C667AD">
      <w:pPr>
        <w:spacing w:line="360" w:lineRule="auto"/>
        <w:jc w:val="both"/>
        <w:rPr>
          <w:rFonts w:ascii="Arial" w:hAnsi="Arial" w:cs="Arial"/>
          <w:sz w:val="24"/>
          <w:szCs w:val="24"/>
        </w:rPr>
      </w:pPr>
      <w:r w:rsidRPr="005D58B1">
        <w:rPr>
          <w:rFonts w:ascii="Arial" w:hAnsi="Arial" w:cs="Arial"/>
          <w:sz w:val="24"/>
          <w:szCs w:val="24"/>
        </w:rPr>
        <w:t>VIRTU-4 HE had several limitations</w:t>
      </w:r>
      <w:r w:rsidR="00602547">
        <w:rPr>
          <w:rFonts w:ascii="Arial" w:hAnsi="Arial" w:cs="Arial"/>
          <w:sz w:val="24"/>
          <w:szCs w:val="24"/>
        </w:rPr>
        <w:t>:</w:t>
      </w:r>
    </w:p>
    <w:p w14:paraId="261F2BA5" w14:textId="77777777" w:rsidR="004E25F9" w:rsidRDefault="00602547" w:rsidP="00C667AD">
      <w:pPr>
        <w:spacing w:line="360" w:lineRule="auto"/>
        <w:jc w:val="both"/>
        <w:rPr>
          <w:rFonts w:ascii="Arial" w:hAnsi="Arial" w:cs="Arial"/>
          <w:sz w:val="24"/>
          <w:szCs w:val="24"/>
        </w:rPr>
      </w:pPr>
      <w:r>
        <w:rPr>
          <w:rFonts w:ascii="Arial" w:hAnsi="Arial" w:cs="Arial"/>
          <w:sz w:val="24"/>
          <w:szCs w:val="24"/>
        </w:rPr>
        <w:t>1. I</w:t>
      </w:r>
      <w:r w:rsidR="005D58B1" w:rsidRPr="005D58B1">
        <w:rPr>
          <w:rFonts w:ascii="Arial" w:hAnsi="Arial" w:cs="Arial"/>
          <w:sz w:val="24"/>
          <w:szCs w:val="24"/>
        </w:rPr>
        <w:t>t was a virtual study in which outcomes from the virtual changes in treatment due to vFFR were predicted using available literature. This approach was necessary because VIRTUHeart</w:t>
      </w:r>
      <w:r w:rsidR="005D58B1">
        <w:rPr>
          <w:rFonts w:ascii="Arial" w:hAnsi="Arial" w:cs="Arial"/>
          <w:sz w:val="24"/>
          <w:szCs w:val="24"/>
          <w:vertAlign w:val="superscript"/>
        </w:rPr>
        <w:t>TM</w:t>
      </w:r>
      <w:r w:rsidR="005D58B1" w:rsidRPr="005D58B1">
        <w:rPr>
          <w:rFonts w:ascii="Arial" w:hAnsi="Arial" w:cs="Arial"/>
          <w:sz w:val="24"/>
          <w:szCs w:val="24"/>
        </w:rPr>
        <w:t xml:space="preserve"> is a research-only tool and is not licensed for clinical use. Despite efforts to align the virtual outcomes with actual </w:t>
      </w:r>
      <w:r w:rsidR="00AF4831">
        <w:rPr>
          <w:rFonts w:ascii="Arial" w:hAnsi="Arial" w:cs="Arial"/>
          <w:sz w:val="24"/>
          <w:szCs w:val="24"/>
        </w:rPr>
        <w:t>ones</w:t>
      </w:r>
      <w:r w:rsidR="005D58B1" w:rsidRPr="005D58B1">
        <w:rPr>
          <w:rFonts w:ascii="Arial" w:hAnsi="Arial" w:cs="Arial"/>
          <w:sz w:val="24"/>
          <w:szCs w:val="24"/>
        </w:rPr>
        <w:t xml:space="preserve"> based on published literature, the inherent uncertainty of virtual simulations persists. </w:t>
      </w:r>
    </w:p>
    <w:p w14:paraId="0CDD2CB2" w14:textId="3DD8286C" w:rsidR="00602547" w:rsidRDefault="004E25F9" w:rsidP="00C667AD">
      <w:pPr>
        <w:spacing w:line="360" w:lineRule="auto"/>
        <w:jc w:val="both"/>
        <w:rPr>
          <w:rFonts w:ascii="Arial" w:hAnsi="Arial" w:cs="Arial"/>
          <w:sz w:val="24"/>
          <w:szCs w:val="24"/>
        </w:rPr>
      </w:pPr>
      <w:r>
        <w:rPr>
          <w:rFonts w:ascii="Arial" w:hAnsi="Arial" w:cs="Arial"/>
          <w:sz w:val="24"/>
          <w:szCs w:val="24"/>
        </w:rPr>
        <w:t xml:space="preserve">2. </w:t>
      </w:r>
      <w:r w:rsidR="005D58B1" w:rsidRPr="005D58B1">
        <w:rPr>
          <w:rFonts w:ascii="Arial" w:hAnsi="Arial" w:cs="Arial"/>
          <w:sz w:val="24"/>
          <w:szCs w:val="24"/>
        </w:rPr>
        <w:t>Health economics evaluations with actual outcomes will be more valuable and relevant in real-world practice, as it is challenging to determine the true costs and benefits of this novel technology without a trial involving long-term follow-up.</w:t>
      </w:r>
      <w:r w:rsidR="00B544F0">
        <w:rPr>
          <w:rFonts w:ascii="Arial" w:hAnsi="Arial" w:cs="Arial"/>
          <w:sz w:val="24"/>
          <w:szCs w:val="24"/>
        </w:rPr>
        <w:t xml:space="preserve"> </w:t>
      </w:r>
    </w:p>
    <w:p w14:paraId="7B5C5342" w14:textId="40A17288" w:rsidR="00C667AD" w:rsidRPr="00C667AD" w:rsidRDefault="004E25F9" w:rsidP="00C667AD">
      <w:pPr>
        <w:spacing w:line="360" w:lineRule="auto"/>
        <w:jc w:val="both"/>
        <w:rPr>
          <w:rFonts w:ascii="Arial" w:hAnsi="Arial" w:cs="Arial"/>
          <w:sz w:val="24"/>
          <w:szCs w:val="24"/>
        </w:rPr>
      </w:pPr>
      <w:r>
        <w:rPr>
          <w:rFonts w:ascii="Arial" w:hAnsi="Arial" w:cs="Arial"/>
          <w:sz w:val="24"/>
          <w:szCs w:val="24"/>
        </w:rPr>
        <w:t>3</w:t>
      </w:r>
      <w:r w:rsidR="00602547">
        <w:rPr>
          <w:rFonts w:ascii="Arial" w:hAnsi="Arial" w:cs="Arial"/>
          <w:sz w:val="24"/>
          <w:szCs w:val="24"/>
        </w:rPr>
        <w:t>. W</w:t>
      </w:r>
      <w:r w:rsidR="00C667AD" w:rsidRPr="00C667AD">
        <w:rPr>
          <w:rFonts w:ascii="Arial" w:hAnsi="Arial" w:cs="Arial"/>
          <w:sz w:val="24"/>
          <w:szCs w:val="24"/>
        </w:rPr>
        <w:t xml:space="preserve">hile vFFR is a reliable tool, it cannot entirely replace the invasive pressure wire-driven FFR because values in the grey zone (0.75-0.80) still require invasive mFFR evaluation to precisely assess physiological significance and guide treatment decisions. </w:t>
      </w:r>
    </w:p>
    <w:p w14:paraId="73608E01" w14:textId="61AF20E1" w:rsidR="00C667AD" w:rsidRDefault="004E25F9" w:rsidP="00C667AD">
      <w:pPr>
        <w:spacing w:line="360" w:lineRule="auto"/>
        <w:jc w:val="both"/>
        <w:rPr>
          <w:rFonts w:ascii="Arial" w:hAnsi="Arial" w:cs="Arial"/>
          <w:sz w:val="24"/>
          <w:szCs w:val="24"/>
        </w:rPr>
      </w:pPr>
      <w:r>
        <w:rPr>
          <w:rFonts w:ascii="Arial" w:hAnsi="Arial" w:cs="Arial"/>
          <w:sz w:val="24"/>
          <w:szCs w:val="24"/>
        </w:rPr>
        <w:t>4</w:t>
      </w:r>
      <w:r w:rsidR="00602547">
        <w:rPr>
          <w:rFonts w:ascii="Arial" w:hAnsi="Arial" w:cs="Arial"/>
          <w:sz w:val="24"/>
          <w:szCs w:val="24"/>
        </w:rPr>
        <w:t>. P</w:t>
      </w:r>
      <w:r w:rsidR="00C667AD" w:rsidRPr="00C667AD">
        <w:rPr>
          <w:rFonts w:ascii="Arial" w:hAnsi="Arial" w:cs="Arial"/>
          <w:sz w:val="24"/>
          <w:szCs w:val="24"/>
        </w:rPr>
        <w:t xml:space="preserve">atients with severe left main stem (LMS) disease, aorto-ostial lesions, lesions &gt;90%, diffuse coronary artery disease (CAD), and those with prior coronary artery </w:t>
      </w:r>
      <w:r w:rsidR="00C667AD" w:rsidRPr="00C667AD">
        <w:rPr>
          <w:rFonts w:ascii="Arial" w:hAnsi="Arial" w:cs="Arial"/>
          <w:sz w:val="24"/>
          <w:szCs w:val="24"/>
        </w:rPr>
        <w:lastRenderedPageBreak/>
        <w:t>bypass grafting (CABG) were excluded from VIRTU-4. Therefore, the study results should be cautiously applied only to patients similar to those included in VIRTU-4, and extrapolation to patients with different disease patterns should be approached with caution.</w:t>
      </w:r>
    </w:p>
    <w:p w14:paraId="3640ED2A" w14:textId="73F52784" w:rsidR="001670FE" w:rsidRPr="001670FE" w:rsidRDefault="008B3A14" w:rsidP="001823B4">
      <w:pPr>
        <w:spacing w:line="360" w:lineRule="auto"/>
        <w:jc w:val="both"/>
        <w:rPr>
          <w:rFonts w:ascii="Arial" w:hAnsi="Arial" w:cs="Arial"/>
        </w:rPr>
      </w:pPr>
      <w:r>
        <w:rPr>
          <w:rFonts w:ascii="Arial" w:hAnsi="Arial" w:cs="Arial"/>
          <w:sz w:val="24"/>
          <w:szCs w:val="24"/>
        </w:rPr>
        <w:t xml:space="preserve">5. </w:t>
      </w:r>
      <w:r w:rsidR="001670FE" w:rsidRPr="00BA71BC">
        <w:rPr>
          <w:rFonts w:ascii="Arial" w:hAnsi="Arial" w:cs="Arial"/>
          <w:sz w:val="24"/>
          <w:szCs w:val="24"/>
        </w:rPr>
        <w:t>The impact of vFFR on costs was assessed in relation to the index procedure costs; however, the analysis did not account for its potential influence on other healthcare expenses, such as hospitali</w:t>
      </w:r>
      <w:r w:rsidR="001670FE">
        <w:rPr>
          <w:rFonts w:ascii="Arial" w:hAnsi="Arial" w:cs="Arial"/>
          <w:sz w:val="24"/>
          <w:szCs w:val="24"/>
        </w:rPr>
        <w:t>s</w:t>
      </w:r>
      <w:r w:rsidR="001670FE" w:rsidRPr="00BA71BC">
        <w:rPr>
          <w:rFonts w:ascii="Arial" w:hAnsi="Arial" w:cs="Arial"/>
          <w:sz w:val="24"/>
          <w:szCs w:val="24"/>
        </w:rPr>
        <w:t xml:space="preserve">ations, outpatient visits, and </w:t>
      </w:r>
      <w:r w:rsidR="001670FE">
        <w:rPr>
          <w:rFonts w:ascii="Arial" w:hAnsi="Arial" w:cs="Arial"/>
          <w:sz w:val="24"/>
          <w:szCs w:val="24"/>
        </w:rPr>
        <w:t xml:space="preserve">any </w:t>
      </w:r>
      <w:r w:rsidR="001670FE" w:rsidRPr="00BA71BC">
        <w:rPr>
          <w:rFonts w:ascii="Arial" w:hAnsi="Arial" w:cs="Arial"/>
          <w:sz w:val="24"/>
          <w:szCs w:val="24"/>
        </w:rPr>
        <w:t>additional investigations. Since costs were not mode</w:t>
      </w:r>
      <w:r w:rsidR="001670FE">
        <w:rPr>
          <w:rFonts w:ascii="Arial" w:hAnsi="Arial" w:cs="Arial"/>
          <w:sz w:val="24"/>
          <w:szCs w:val="24"/>
        </w:rPr>
        <w:t>l</w:t>
      </w:r>
      <w:r w:rsidR="001670FE" w:rsidRPr="00BA71BC">
        <w:rPr>
          <w:rFonts w:ascii="Arial" w:hAnsi="Arial" w:cs="Arial"/>
          <w:sz w:val="24"/>
          <w:szCs w:val="24"/>
        </w:rPr>
        <w:t>led over the full 12-month follow-up period and were instead limited to index procedural costs, the analysis reflects only the immediate financial impact of vFFR rather than its long-term cost implications, thereby limiting the cost-effectiveness assessment.</w:t>
      </w:r>
    </w:p>
    <w:p w14:paraId="1A6BC67F" w14:textId="2BECDC60" w:rsidR="00602547" w:rsidRDefault="006C268E" w:rsidP="00C667AD">
      <w:pPr>
        <w:spacing w:line="360" w:lineRule="auto"/>
        <w:jc w:val="both"/>
        <w:rPr>
          <w:rFonts w:ascii="Arial" w:hAnsi="Arial" w:cs="Arial"/>
          <w:sz w:val="24"/>
          <w:szCs w:val="24"/>
        </w:rPr>
      </w:pPr>
      <w:r>
        <w:rPr>
          <w:rFonts w:ascii="Arial" w:hAnsi="Arial" w:cs="Arial"/>
          <w:sz w:val="24"/>
          <w:szCs w:val="24"/>
        </w:rPr>
        <w:t>6</w:t>
      </w:r>
      <w:r w:rsidR="00602547">
        <w:rPr>
          <w:rFonts w:ascii="Arial" w:hAnsi="Arial" w:cs="Arial"/>
          <w:sz w:val="24"/>
          <w:szCs w:val="24"/>
        </w:rPr>
        <w:t xml:space="preserve">. </w:t>
      </w:r>
      <w:r w:rsidR="00C667AD" w:rsidRPr="00C667AD">
        <w:rPr>
          <w:rFonts w:ascii="Arial" w:hAnsi="Arial" w:cs="Arial"/>
          <w:sz w:val="24"/>
          <w:szCs w:val="24"/>
        </w:rPr>
        <w:t xml:space="preserve">CCS cohort </w:t>
      </w:r>
      <w:r w:rsidR="00602547">
        <w:rPr>
          <w:rFonts w:ascii="Arial" w:hAnsi="Arial" w:cs="Arial"/>
          <w:sz w:val="24"/>
          <w:szCs w:val="24"/>
        </w:rPr>
        <w:t xml:space="preserve">in VIRTU-4 </w:t>
      </w:r>
      <w:r w:rsidR="00C667AD" w:rsidRPr="00C667AD">
        <w:rPr>
          <w:rFonts w:ascii="Arial" w:hAnsi="Arial" w:cs="Arial"/>
          <w:sz w:val="24"/>
          <w:szCs w:val="24"/>
        </w:rPr>
        <w:t>was recruited from district hospitals where treatment decisions were made by general cardiologists rather than interventional cardiologists. This potential lack of familiarity with coronary physiology might have introduced bias between treatment plans devised by general cardiologists and those by interventional cardiologists.</w:t>
      </w:r>
    </w:p>
    <w:p w14:paraId="45AE9A67" w14:textId="54A212E1" w:rsidR="001670FE" w:rsidRDefault="001670FE" w:rsidP="00C667AD">
      <w:pPr>
        <w:spacing w:line="360" w:lineRule="auto"/>
        <w:jc w:val="both"/>
        <w:rPr>
          <w:rFonts w:ascii="Arial" w:hAnsi="Arial" w:cs="Arial"/>
          <w:sz w:val="24"/>
          <w:szCs w:val="24"/>
        </w:rPr>
      </w:pPr>
      <w:r>
        <w:rPr>
          <w:rFonts w:ascii="Arial" w:hAnsi="Arial" w:cs="Arial"/>
          <w:sz w:val="24"/>
          <w:szCs w:val="24"/>
        </w:rPr>
        <w:t xml:space="preserve">7. The study was performed during the COVID-19 pandemic and therefore, due to lack of elective angiography lists, the result may be slightly different to the contemporary clinic practice without the pandemic era. In the usual settings, patients would be optimised with anti-anginal medications and reviewed in the outpatient clinic setting to assess the symptoms improvement with OMT but during the pandemic, patients were able to get limited support from the primary care services and therefore, QOL </w:t>
      </w:r>
      <w:r w:rsidR="00B92CAA">
        <w:rPr>
          <w:rFonts w:ascii="Arial" w:hAnsi="Arial" w:cs="Arial"/>
          <w:sz w:val="24"/>
          <w:szCs w:val="24"/>
        </w:rPr>
        <w:t xml:space="preserve">outcomes may </w:t>
      </w:r>
      <w:r>
        <w:rPr>
          <w:rFonts w:ascii="Arial" w:hAnsi="Arial" w:cs="Arial"/>
          <w:sz w:val="24"/>
          <w:szCs w:val="24"/>
        </w:rPr>
        <w:t xml:space="preserve">be </w:t>
      </w:r>
      <w:r w:rsidR="00B92CAA">
        <w:rPr>
          <w:rFonts w:ascii="Arial" w:hAnsi="Arial" w:cs="Arial"/>
          <w:sz w:val="24"/>
          <w:szCs w:val="24"/>
        </w:rPr>
        <w:t>represent slightly</w:t>
      </w:r>
      <w:r>
        <w:rPr>
          <w:rFonts w:ascii="Arial" w:hAnsi="Arial" w:cs="Arial"/>
          <w:sz w:val="24"/>
          <w:szCs w:val="24"/>
        </w:rPr>
        <w:t xml:space="preserve"> more limit</w:t>
      </w:r>
      <w:r w:rsidR="00B92CAA">
        <w:rPr>
          <w:rFonts w:ascii="Arial" w:hAnsi="Arial" w:cs="Arial"/>
          <w:sz w:val="24"/>
          <w:szCs w:val="24"/>
        </w:rPr>
        <w:t>ation</w:t>
      </w:r>
      <w:r>
        <w:rPr>
          <w:rFonts w:ascii="Arial" w:hAnsi="Arial" w:cs="Arial"/>
          <w:sz w:val="24"/>
          <w:szCs w:val="24"/>
        </w:rPr>
        <w:t xml:space="preserve"> than the contemporary settings. </w:t>
      </w:r>
    </w:p>
    <w:p w14:paraId="4D088ED4" w14:textId="50A5970D" w:rsidR="00602547" w:rsidRDefault="00951AB2" w:rsidP="00C667AD">
      <w:pPr>
        <w:spacing w:line="360" w:lineRule="auto"/>
        <w:jc w:val="both"/>
        <w:rPr>
          <w:rFonts w:ascii="Arial" w:hAnsi="Arial" w:cs="Arial"/>
          <w:sz w:val="24"/>
          <w:szCs w:val="24"/>
        </w:rPr>
      </w:pPr>
      <w:r>
        <w:rPr>
          <w:rFonts w:ascii="Arial" w:hAnsi="Arial" w:cs="Arial"/>
          <w:sz w:val="24"/>
          <w:szCs w:val="24"/>
        </w:rPr>
        <w:t>8</w:t>
      </w:r>
      <w:r w:rsidR="00602547">
        <w:rPr>
          <w:rFonts w:ascii="Arial" w:hAnsi="Arial" w:cs="Arial"/>
          <w:sz w:val="24"/>
          <w:szCs w:val="24"/>
        </w:rPr>
        <w:t>. T</w:t>
      </w:r>
      <w:r w:rsidR="00287DAF" w:rsidRPr="00287DAF">
        <w:rPr>
          <w:rFonts w:ascii="Arial" w:hAnsi="Arial" w:cs="Arial"/>
          <w:sz w:val="24"/>
          <w:szCs w:val="24"/>
        </w:rPr>
        <w:t xml:space="preserve">here is a need for dedicated training along with a learning curve required to operate the software and produce reliable results. Those in the earlier part of the software training or occasional users are more prone to make an error in the modelling steps, which may significantly skew results. </w:t>
      </w:r>
    </w:p>
    <w:p w14:paraId="023EFAD0" w14:textId="5CBBFDDF" w:rsidR="00602547" w:rsidRDefault="00951AB2" w:rsidP="00C667AD">
      <w:pPr>
        <w:spacing w:line="360" w:lineRule="auto"/>
        <w:jc w:val="both"/>
        <w:rPr>
          <w:rFonts w:ascii="Arial" w:hAnsi="Arial" w:cs="Arial"/>
          <w:sz w:val="24"/>
          <w:szCs w:val="24"/>
        </w:rPr>
      </w:pPr>
      <w:r>
        <w:rPr>
          <w:rFonts w:ascii="Arial" w:hAnsi="Arial" w:cs="Arial"/>
          <w:sz w:val="24"/>
          <w:szCs w:val="24"/>
        </w:rPr>
        <w:t>9</w:t>
      </w:r>
      <w:r w:rsidR="00602547">
        <w:rPr>
          <w:rFonts w:ascii="Arial" w:hAnsi="Arial" w:cs="Arial"/>
          <w:sz w:val="24"/>
          <w:szCs w:val="24"/>
        </w:rPr>
        <w:t>. A</w:t>
      </w:r>
      <w:r w:rsidR="00287DAF" w:rsidRPr="00287DAF">
        <w:rPr>
          <w:rFonts w:ascii="Arial" w:hAnsi="Arial" w:cs="Arial"/>
          <w:sz w:val="24"/>
          <w:szCs w:val="24"/>
        </w:rPr>
        <w:t xml:space="preserve">n accurate vFFR relies upon a good-quality coronary angiogram. An angiogram with inadequate catheter engagement and poor contrast opacification are the most common reasons for failure to model the intended vessel. Furthermore, lesions at the ostium and bifurcation can be a challenge for vFFR computation. </w:t>
      </w:r>
    </w:p>
    <w:p w14:paraId="600D9195" w14:textId="330743BB" w:rsidR="00602547" w:rsidRDefault="00951AB2" w:rsidP="00C667AD">
      <w:pPr>
        <w:spacing w:line="360" w:lineRule="auto"/>
        <w:jc w:val="both"/>
        <w:rPr>
          <w:rFonts w:ascii="Arial" w:hAnsi="Arial" w:cs="Arial"/>
          <w:sz w:val="24"/>
          <w:szCs w:val="24"/>
        </w:rPr>
      </w:pPr>
      <w:r>
        <w:rPr>
          <w:rFonts w:ascii="Arial" w:hAnsi="Arial" w:cs="Arial"/>
          <w:sz w:val="24"/>
          <w:szCs w:val="24"/>
        </w:rPr>
        <w:lastRenderedPageBreak/>
        <w:t>10</w:t>
      </w:r>
      <w:r w:rsidR="00602547">
        <w:rPr>
          <w:rFonts w:ascii="Arial" w:hAnsi="Arial" w:cs="Arial"/>
          <w:sz w:val="24"/>
          <w:szCs w:val="24"/>
        </w:rPr>
        <w:t>. T</w:t>
      </w:r>
      <w:r w:rsidR="00287DAF" w:rsidRPr="00287DAF">
        <w:rPr>
          <w:rFonts w:ascii="Arial" w:hAnsi="Arial" w:cs="Arial"/>
          <w:sz w:val="24"/>
          <w:szCs w:val="24"/>
        </w:rPr>
        <w:t>he follow-up duration was only one year, which may be short to comment on the longer-term impact on mortality, morbidity, and costs. In the economic analysis of FAME-2, the OMT-managed patients were less costly at one year but more costly in the coming years, owing to re-admissions and revascularisation; so that, in the third year, the ICERs for both OMT and PCI were comparable. This may apply to my study if a longer follow-up is incorporated.</w:t>
      </w:r>
    </w:p>
    <w:p w14:paraId="66368EBA" w14:textId="3A4C70D6" w:rsidR="00F549AB" w:rsidRDefault="006C268E" w:rsidP="00C667AD">
      <w:pPr>
        <w:spacing w:line="360" w:lineRule="auto"/>
        <w:jc w:val="both"/>
        <w:rPr>
          <w:rFonts w:ascii="Arial" w:hAnsi="Arial" w:cs="Arial"/>
          <w:sz w:val="24"/>
          <w:szCs w:val="24"/>
        </w:rPr>
      </w:pPr>
      <w:r>
        <w:rPr>
          <w:rFonts w:ascii="Arial" w:hAnsi="Arial" w:cs="Arial"/>
          <w:sz w:val="24"/>
          <w:szCs w:val="24"/>
        </w:rPr>
        <w:t>1</w:t>
      </w:r>
      <w:r w:rsidR="00951AB2">
        <w:rPr>
          <w:rFonts w:ascii="Arial" w:hAnsi="Arial" w:cs="Arial"/>
          <w:sz w:val="24"/>
          <w:szCs w:val="24"/>
        </w:rPr>
        <w:t>1</w:t>
      </w:r>
      <w:r w:rsidR="00602547">
        <w:rPr>
          <w:rFonts w:ascii="Arial" w:hAnsi="Arial" w:cs="Arial"/>
          <w:sz w:val="24"/>
          <w:szCs w:val="24"/>
        </w:rPr>
        <w:t xml:space="preserve">. </w:t>
      </w:r>
      <w:r w:rsidR="00287DAF" w:rsidRPr="00287DAF">
        <w:rPr>
          <w:rFonts w:ascii="Arial" w:hAnsi="Arial" w:cs="Arial"/>
          <w:sz w:val="24"/>
          <w:szCs w:val="24"/>
        </w:rPr>
        <w:t>Finally, during the vFFR estimation, predictions and assumptions are made about the maximal and constant microvascular resistance; however, microvascular resistance can be variable. However, using a personalised vFFR in the VIRTUHeart</w:t>
      </w:r>
      <w:r w:rsidR="00287DAF">
        <w:rPr>
          <w:rFonts w:ascii="Arial" w:hAnsi="Arial" w:cs="Arial"/>
          <w:sz w:val="24"/>
          <w:szCs w:val="24"/>
          <w:vertAlign w:val="superscript"/>
        </w:rPr>
        <w:t>TM</w:t>
      </w:r>
      <w:r w:rsidR="00287DAF" w:rsidRPr="00287DAF">
        <w:rPr>
          <w:rFonts w:ascii="Arial" w:hAnsi="Arial" w:cs="Arial"/>
          <w:sz w:val="24"/>
          <w:szCs w:val="24"/>
        </w:rPr>
        <w:t xml:space="preserve"> has improved the software's accuracy in detecting ischaemic lesions.</w:t>
      </w:r>
    </w:p>
    <w:p w14:paraId="2AABEEF1" w14:textId="77777777" w:rsidR="00035911" w:rsidRDefault="00035911" w:rsidP="009156D8">
      <w:pPr>
        <w:spacing w:line="360" w:lineRule="auto"/>
        <w:jc w:val="both"/>
        <w:rPr>
          <w:rFonts w:ascii="Arial" w:hAnsi="Arial" w:cs="Arial"/>
          <w:sz w:val="24"/>
          <w:szCs w:val="24"/>
        </w:rPr>
      </w:pPr>
    </w:p>
    <w:p w14:paraId="3CCE9F4D" w14:textId="6E1F9E72" w:rsidR="00F549AB" w:rsidRPr="00545CB2" w:rsidRDefault="004942B6" w:rsidP="009156D8">
      <w:pPr>
        <w:pStyle w:val="Heading2"/>
        <w:spacing w:line="360" w:lineRule="auto"/>
        <w:rPr>
          <w:rFonts w:ascii="Arial" w:hAnsi="Arial" w:cs="Arial"/>
          <w:color w:val="4472C4" w:themeColor="accent1"/>
          <w:sz w:val="28"/>
          <w:szCs w:val="28"/>
        </w:rPr>
      </w:pPr>
      <w:bookmarkStart w:id="1489" w:name="_Toc171203968"/>
      <w:r w:rsidRPr="00545CB2">
        <w:rPr>
          <w:rFonts w:ascii="Arial" w:hAnsi="Arial" w:cs="Arial"/>
          <w:color w:val="4472C4" w:themeColor="accent1"/>
          <w:sz w:val="28"/>
          <w:szCs w:val="28"/>
        </w:rPr>
        <w:t>4.</w:t>
      </w:r>
      <w:r w:rsidR="00DA671B">
        <w:rPr>
          <w:rFonts w:ascii="Arial" w:hAnsi="Arial" w:cs="Arial"/>
          <w:color w:val="4472C4" w:themeColor="accent1"/>
          <w:sz w:val="28"/>
          <w:szCs w:val="28"/>
        </w:rPr>
        <w:t>9</w:t>
      </w:r>
      <w:r w:rsidRPr="00545CB2">
        <w:rPr>
          <w:rFonts w:ascii="Arial" w:hAnsi="Arial" w:cs="Arial"/>
          <w:color w:val="4472C4" w:themeColor="accent1"/>
          <w:sz w:val="28"/>
          <w:szCs w:val="28"/>
        </w:rPr>
        <w:t xml:space="preserve"> Research Implications of</w:t>
      </w:r>
      <w:r w:rsidR="00F549AB" w:rsidRPr="00545CB2">
        <w:rPr>
          <w:rFonts w:ascii="Arial" w:hAnsi="Arial" w:cs="Arial"/>
          <w:color w:val="4472C4" w:themeColor="accent1"/>
          <w:sz w:val="28"/>
          <w:szCs w:val="28"/>
        </w:rPr>
        <w:t xml:space="preserve"> </w:t>
      </w:r>
      <w:r w:rsidR="00545CB2">
        <w:rPr>
          <w:rFonts w:ascii="Arial" w:hAnsi="Arial" w:cs="Arial"/>
          <w:color w:val="4472C4" w:themeColor="accent1"/>
          <w:sz w:val="28"/>
          <w:szCs w:val="28"/>
        </w:rPr>
        <w:t xml:space="preserve">this </w:t>
      </w:r>
      <w:r w:rsidR="00F549AB" w:rsidRPr="00545CB2">
        <w:rPr>
          <w:rFonts w:ascii="Arial" w:hAnsi="Arial" w:cs="Arial"/>
          <w:color w:val="4472C4" w:themeColor="accent1"/>
          <w:sz w:val="28"/>
          <w:szCs w:val="28"/>
        </w:rPr>
        <w:t>study</w:t>
      </w:r>
      <w:bookmarkEnd w:id="1489"/>
    </w:p>
    <w:p w14:paraId="121E4CCD" w14:textId="5714F193" w:rsidR="00F549AB" w:rsidRDefault="00CA62D4" w:rsidP="009156D8">
      <w:pPr>
        <w:spacing w:line="360" w:lineRule="auto"/>
        <w:jc w:val="both"/>
        <w:rPr>
          <w:rFonts w:ascii="Arial" w:hAnsi="Arial" w:cs="Arial"/>
          <w:color w:val="0E101A"/>
          <w:sz w:val="24"/>
          <w:szCs w:val="24"/>
          <w:shd w:val="clear" w:color="auto" w:fill="FFFFFF"/>
        </w:rPr>
      </w:pPr>
      <w:r w:rsidRPr="00CA62D4">
        <w:rPr>
          <w:rFonts w:ascii="Arial" w:hAnsi="Arial" w:cs="Arial"/>
          <w:color w:val="0E101A"/>
          <w:sz w:val="24"/>
          <w:szCs w:val="24"/>
          <w:shd w:val="clear" w:color="auto" w:fill="FFFFFF"/>
        </w:rPr>
        <w:t>vFFR is an exciting new field under active research, with keen industry interest. Efforts are being made to optimise image quality, improve accuracy, and make it a user-friendly technology. While invasive mFFR has shown positive results in terms of clinical outcomes and long-term economic improvement, vFFR has recently demonstrated promising results, of which China's FAVOR-III trial has received much attention</w:t>
      </w:r>
      <w:r w:rsidR="00573A78">
        <w:rPr>
          <w:rFonts w:ascii="Arial" w:hAnsi="Arial" w:cs="Arial"/>
          <w:color w:val="0E101A"/>
          <w:sz w:val="24"/>
          <w:szCs w:val="24"/>
          <w:shd w:val="clear" w:color="auto" w:fill="FFFFFF"/>
        </w:rPr>
        <w:t>,</w:t>
      </w:r>
      <w:r w:rsidRPr="00CA62D4">
        <w:rPr>
          <w:rFonts w:ascii="Arial" w:hAnsi="Arial" w:cs="Arial"/>
          <w:color w:val="0E101A"/>
          <w:sz w:val="24"/>
          <w:szCs w:val="24"/>
          <w:shd w:val="clear" w:color="auto" w:fill="FFFFFF"/>
        </w:rPr>
        <w:t xml:space="preserve"> described in detail in the section "Clinical evidence of vFFR"</w:t>
      </w:r>
      <w:r w:rsidR="00573A78">
        <w:rPr>
          <w:rFonts w:ascii="Arial" w:hAnsi="Arial" w:cs="Arial"/>
          <w:color w:val="0E101A"/>
          <w:sz w:val="24"/>
          <w:szCs w:val="24"/>
          <w:shd w:val="clear" w:color="auto" w:fill="FFFFFF"/>
        </w:rPr>
        <w:t>.</w:t>
      </w:r>
      <w:r w:rsidRPr="00CA62D4">
        <w:rPr>
          <w:rFonts w:ascii="Arial" w:hAnsi="Arial" w:cs="Arial"/>
          <w:color w:val="0E101A"/>
          <w:sz w:val="24"/>
          <w:szCs w:val="24"/>
          <w:shd w:val="clear" w:color="auto" w:fill="FFFFFF"/>
        </w:rPr>
        <w:t xml:space="preserve"> (198). More data are needed to assess the cost-effectiveness of the currently available </w:t>
      </w:r>
      <w:r w:rsidR="0036391D">
        <w:rPr>
          <w:rFonts w:ascii="Arial" w:hAnsi="Arial" w:cs="Arial"/>
          <w:color w:val="0E101A"/>
          <w:sz w:val="24"/>
          <w:szCs w:val="24"/>
          <w:shd w:val="clear" w:color="auto" w:fill="FFFFFF"/>
        </w:rPr>
        <w:t>vFFR</w:t>
      </w:r>
      <w:r w:rsidRPr="00CA62D4">
        <w:rPr>
          <w:rFonts w:ascii="Arial" w:hAnsi="Arial" w:cs="Arial"/>
          <w:color w:val="0E101A"/>
          <w:sz w:val="24"/>
          <w:szCs w:val="24"/>
          <w:shd w:val="clear" w:color="auto" w:fill="FFFFFF"/>
        </w:rPr>
        <w:t xml:space="preserve"> systems (QFR, CAAS-vFFR, FFRangio). My study serve</w:t>
      </w:r>
      <w:r w:rsidR="00B652AA">
        <w:rPr>
          <w:rFonts w:ascii="Arial" w:hAnsi="Arial" w:cs="Arial"/>
          <w:color w:val="0E101A"/>
          <w:sz w:val="24"/>
          <w:szCs w:val="24"/>
          <w:shd w:val="clear" w:color="auto" w:fill="FFFFFF"/>
        </w:rPr>
        <w:t>s</w:t>
      </w:r>
      <w:r w:rsidRPr="00CA62D4">
        <w:rPr>
          <w:rFonts w:ascii="Arial" w:hAnsi="Arial" w:cs="Arial"/>
          <w:color w:val="0E101A"/>
          <w:sz w:val="24"/>
          <w:szCs w:val="24"/>
          <w:shd w:val="clear" w:color="auto" w:fill="FFFFFF"/>
        </w:rPr>
        <w:t xml:space="preserve"> as pilot data for further RCTs to investigate the cost-effectiveness of vFFR</w:t>
      </w:r>
      <w:r w:rsidR="00573A78">
        <w:rPr>
          <w:rFonts w:ascii="Arial" w:hAnsi="Arial" w:cs="Arial"/>
          <w:color w:val="0E101A"/>
          <w:sz w:val="24"/>
          <w:szCs w:val="24"/>
          <w:shd w:val="clear" w:color="auto" w:fill="FFFFFF"/>
        </w:rPr>
        <w:t>-</w:t>
      </w:r>
      <w:r w:rsidRPr="00CA62D4">
        <w:rPr>
          <w:rFonts w:ascii="Arial" w:hAnsi="Arial" w:cs="Arial"/>
          <w:color w:val="0E101A"/>
          <w:sz w:val="24"/>
          <w:szCs w:val="24"/>
          <w:shd w:val="clear" w:color="auto" w:fill="FFFFFF"/>
        </w:rPr>
        <w:t>CAG. Although VIRTUHeart</w:t>
      </w:r>
      <w:r w:rsidR="00B25F39">
        <w:rPr>
          <w:rFonts w:ascii="Arial" w:hAnsi="Arial" w:cs="Arial"/>
          <w:color w:val="0E101A"/>
          <w:sz w:val="24"/>
          <w:szCs w:val="24"/>
          <w:shd w:val="clear" w:color="auto" w:fill="FFFFFF"/>
          <w:vertAlign w:val="superscript"/>
        </w:rPr>
        <w:t>TM</w:t>
      </w:r>
      <w:r w:rsidRPr="00CA62D4">
        <w:rPr>
          <w:rFonts w:ascii="Arial" w:hAnsi="Arial" w:cs="Arial"/>
          <w:color w:val="0E101A"/>
          <w:sz w:val="24"/>
          <w:szCs w:val="24"/>
          <w:shd w:val="clear" w:color="auto" w:fill="FFFFFF"/>
        </w:rPr>
        <w:t xml:space="preserve"> software is not licenced for clinical use, it has demonstrated good sensitivity (86%) and specificity (89%) against invasive mFFR to identify haemodynamically significant lesions (FFR&lt;0.80) within the VIRTU-4 trial. This has validated its potential clinical applicability; however, a detailed cost-effectiveness analysis is vital if vFFR were to be incorporated into mainstream clinical guidelines.</w:t>
      </w:r>
    </w:p>
    <w:p w14:paraId="55CCBF62" w14:textId="5F1F271D" w:rsidR="00035911" w:rsidRDefault="00CA62D4" w:rsidP="00035911">
      <w:pPr>
        <w:spacing w:line="360" w:lineRule="auto"/>
        <w:jc w:val="both"/>
        <w:rPr>
          <w:rFonts w:ascii="Arial" w:hAnsi="Arial" w:cs="Arial"/>
          <w:color w:val="0E101A"/>
          <w:sz w:val="24"/>
          <w:szCs w:val="24"/>
          <w:shd w:val="clear" w:color="auto" w:fill="FFFFFF"/>
        </w:rPr>
      </w:pPr>
      <w:r w:rsidRPr="00CA62D4">
        <w:rPr>
          <w:rFonts w:ascii="Arial" w:hAnsi="Arial" w:cs="Arial"/>
          <w:color w:val="0E101A"/>
          <w:sz w:val="24"/>
          <w:szCs w:val="24"/>
          <w:shd w:val="clear" w:color="auto" w:fill="FFFFFF"/>
        </w:rPr>
        <w:t xml:space="preserve">Another implication of incorporating vFFR technology in the diagnostic pathway is that it may avoid unnecessary revascularisations and associated risks. As per the British Cardiovascular Intervention Society (BCIS) audit data of National Interventional Procedures 2021-22, the UK has a total of 177 cardiac catheterisation centres, of which 60 (34%) are diagnostic-only centres (199). The diagnostic-only labs do not have the facility to perform an invasive FFR. Hence, if there is a clinical need to assess </w:t>
      </w:r>
      <w:r w:rsidRPr="00CA62D4">
        <w:rPr>
          <w:rFonts w:ascii="Arial" w:hAnsi="Arial" w:cs="Arial"/>
          <w:color w:val="0E101A"/>
          <w:sz w:val="24"/>
          <w:szCs w:val="24"/>
          <w:shd w:val="clear" w:color="auto" w:fill="FFFFFF"/>
        </w:rPr>
        <w:lastRenderedPageBreak/>
        <w:t>the physiological significance of an intermediate lesion (30-70% diameter stenosis), the patient is required to be transferred to the nearest PCI centre, which implies a more extended hospital stay, extra cost, and an additional invasive procedure with risks associated. Therefore, by adopting vFFR technology, we could provide the benefits of coronary physiology to more CAD patients and improve the cost</w:t>
      </w:r>
      <w:r w:rsidR="004853CE">
        <w:rPr>
          <w:rFonts w:ascii="Arial" w:hAnsi="Arial" w:cs="Arial"/>
          <w:color w:val="0E101A"/>
          <w:sz w:val="24"/>
          <w:szCs w:val="24"/>
          <w:shd w:val="clear" w:color="auto" w:fill="FFFFFF"/>
        </w:rPr>
        <w:t>-</w:t>
      </w:r>
      <w:r w:rsidRPr="00CA62D4">
        <w:rPr>
          <w:rFonts w:ascii="Arial" w:hAnsi="Arial" w:cs="Arial"/>
          <w:color w:val="0E101A"/>
          <w:sz w:val="24"/>
          <w:szCs w:val="24"/>
          <w:shd w:val="clear" w:color="auto" w:fill="FFFFFF"/>
        </w:rPr>
        <w:t>effectiveness of procedures.</w:t>
      </w:r>
    </w:p>
    <w:p w14:paraId="40536D90" w14:textId="77777777" w:rsidR="00545CB2" w:rsidRDefault="00545CB2" w:rsidP="00035911">
      <w:pPr>
        <w:spacing w:line="360" w:lineRule="auto"/>
        <w:jc w:val="both"/>
        <w:rPr>
          <w:rFonts w:ascii="Arial" w:hAnsi="Arial" w:cs="Arial"/>
          <w:color w:val="0E101A"/>
          <w:sz w:val="24"/>
          <w:szCs w:val="24"/>
          <w:shd w:val="clear" w:color="auto" w:fill="FFFFFF"/>
        </w:rPr>
      </w:pPr>
    </w:p>
    <w:p w14:paraId="5456E38A" w14:textId="236502D8" w:rsidR="00035911" w:rsidRPr="00545CB2" w:rsidRDefault="004942B6" w:rsidP="009156D8">
      <w:pPr>
        <w:pStyle w:val="Heading2"/>
        <w:spacing w:line="360" w:lineRule="auto"/>
        <w:rPr>
          <w:rFonts w:ascii="Arial" w:hAnsi="Arial" w:cs="Arial"/>
          <w:color w:val="4472C4" w:themeColor="accent1"/>
          <w:sz w:val="28"/>
          <w:szCs w:val="28"/>
        </w:rPr>
      </w:pPr>
      <w:bookmarkStart w:id="1490" w:name="_Toc171203969"/>
      <w:r w:rsidRPr="00545CB2">
        <w:rPr>
          <w:rFonts w:ascii="Arial" w:hAnsi="Arial" w:cs="Arial"/>
          <w:color w:val="4472C4" w:themeColor="accent1"/>
          <w:sz w:val="28"/>
          <w:szCs w:val="28"/>
        </w:rPr>
        <w:t>4.</w:t>
      </w:r>
      <w:r w:rsidR="00DA671B">
        <w:rPr>
          <w:rFonts w:ascii="Arial" w:hAnsi="Arial" w:cs="Arial"/>
          <w:color w:val="4472C4" w:themeColor="accent1"/>
          <w:sz w:val="28"/>
          <w:szCs w:val="28"/>
        </w:rPr>
        <w:t>10</w:t>
      </w:r>
      <w:r w:rsidRPr="00545CB2">
        <w:rPr>
          <w:rFonts w:ascii="Arial" w:hAnsi="Arial" w:cs="Arial"/>
          <w:color w:val="4472C4" w:themeColor="accent1"/>
          <w:sz w:val="28"/>
          <w:szCs w:val="28"/>
        </w:rPr>
        <w:t xml:space="preserve"> Future directions</w:t>
      </w:r>
      <w:bookmarkEnd w:id="1490"/>
    </w:p>
    <w:p w14:paraId="55A02BB0" w14:textId="303E141B" w:rsidR="008500C2" w:rsidRPr="001823B4" w:rsidRDefault="0048649D" w:rsidP="001823B4">
      <w:pPr>
        <w:spacing w:line="360" w:lineRule="auto"/>
        <w:jc w:val="both"/>
        <w:rPr>
          <w:rFonts w:ascii="Arial" w:hAnsi="Arial" w:cs="Arial"/>
          <w:sz w:val="24"/>
          <w:szCs w:val="24"/>
        </w:rPr>
      </w:pPr>
      <w:r w:rsidRPr="001823B4">
        <w:rPr>
          <w:rFonts w:ascii="Arial" w:hAnsi="Arial" w:cs="Arial"/>
          <w:sz w:val="24"/>
          <w:szCs w:val="24"/>
        </w:rPr>
        <w:t xml:space="preserve">In this study, vFFR has shown the potential to be a cost-effective alternative to conventional coronary angiography-based decision-making. </w:t>
      </w:r>
      <w:r w:rsidR="006B4091" w:rsidRPr="008500C2">
        <w:rPr>
          <w:rFonts w:ascii="Arial" w:hAnsi="Arial" w:cs="Arial"/>
          <w:color w:val="000000"/>
          <w:sz w:val="24"/>
          <w:szCs w:val="24"/>
        </w:rPr>
        <w:t>Although, s</w:t>
      </w:r>
      <w:r w:rsidR="004A475C" w:rsidRPr="008500C2">
        <w:rPr>
          <w:rFonts w:ascii="Arial" w:hAnsi="Arial" w:cs="Arial"/>
          <w:color w:val="000000"/>
          <w:sz w:val="24"/>
          <w:szCs w:val="24"/>
        </w:rPr>
        <w:t xml:space="preserve">everal studies have compared the </w:t>
      </w:r>
      <w:r w:rsidR="006B4091" w:rsidRPr="008500C2">
        <w:rPr>
          <w:rFonts w:ascii="Arial" w:hAnsi="Arial" w:cs="Arial"/>
          <w:color w:val="000000"/>
          <w:sz w:val="24"/>
          <w:szCs w:val="24"/>
        </w:rPr>
        <w:t xml:space="preserve">clinical </w:t>
      </w:r>
      <w:r w:rsidR="004A475C" w:rsidRPr="008500C2">
        <w:rPr>
          <w:rFonts w:ascii="Arial" w:hAnsi="Arial" w:cs="Arial"/>
          <w:color w:val="000000"/>
          <w:sz w:val="24"/>
          <w:szCs w:val="24"/>
        </w:rPr>
        <w:t>outcomes of the vFFR-directed treatment plans</w:t>
      </w:r>
      <w:r w:rsidR="00277DFC" w:rsidRPr="008500C2">
        <w:rPr>
          <w:rFonts w:ascii="Arial" w:hAnsi="Arial" w:cs="Arial"/>
          <w:color w:val="000000"/>
          <w:sz w:val="24"/>
          <w:szCs w:val="24"/>
        </w:rPr>
        <w:t>,</w:t>
      </w:r>
      <w:r w:rsidR="001823B4">
        <w:rPr>
          <w:rFonts w:ascii="Arial" w:hAnsi="Arial" w:cs="Arial"/>
          <w:color w:val="000000"/>
          <w:sz w:val="24"/>
          <w:szCs w:val="24"/>
        </w:rPr>
        <w:t xml:space="preserve"> </w:t>
      </w:r>
      <w:r w:rsidR="00277DFC" w:rsidRPr="008500C2">
        <w:rPr>
          <w:rFonts w:ascii="Arial" w:hAnsi="Arial" w:cs="Arial"/>
          <w:color w:val="000000"/>
          <w:sz w:val="24"/>
          <w:szCs w:val="24"/>
        </w:rPr>
        <w:t>h</w:t>
      </w:r>
      <w:r w:rsidR="004A475C" w:rsidRPr="008500C2">
        <w:rPr>
          <w:rFonts w:ascii="Arial" w:hAnsi="Arial" w:cs="Arial"/>
          <w:color w:val="000000"/>
          <w:sz w:val="24"/>
          <w:szCs w:val="24"/>
        </w:rPr>
        <w:t xml:space="preserve">owever, </w:t>
      </w:r>
      <w:r w:rsidR="00F0534E" w:rsidRPr="008500C2">
        <w:rPr>
          <w:rFonts w:ascii="Arial" w:hAnsi="Arial" w:cs="Arial"/>
          <w:color w:val="000000"/>
          <w:sz w:val="24"/>
          <w:szCs w:val="24"/>
        </w:rPr>
        <w:t xml:space="preserve">there are </w:t>
      </w:r>
      <w:r w:rsidR="004A475C" w:rsidRPr="008500C2">
        <w:rPr>
          <w:rFonts w:ascii="Arial" w:hAnsi="Arial" w:cs="Arial"/>
          <w:color w:val="000000"/>
          <w:sz w:val="24"/>
          <w:szCs w:val="24"/>
        </w:rPr>
        <w:t xml:space="preserve">no head-to-head trials </w:t>
      </w:r>
      <w:r w:rsidR="004832DD">
        <w:rPr>
          <w:rFonts w:ascii="Arial" w:hAnsi="Arial" w:cs="Arial"/>
          <w:color w:val="000000"/>
          <w:sz w:val="24"/>
          <w:szCs w:val="24"/>
        </w:rPr>
        <w:t>comparing</w:t>
      </w:r>
      <w:r w:rsidR="004A475C" w:rsidRPr="008500C2">
        <w:rPr>
          <w:rFonts w:ascii="Arial" w:hAnsi="Arial" w:cs="Arial"/>
          <w:color w:val="000000"/>
          <w:sz w:val="24"/>
          <w:szCs w:val="24"/>
        </w:rPr>
        <w:t xml:space="preserve"> vFFR against the invasive mFFR, which is the current gold standard. This gap in current evidence may be plugged in by the ongoing FAVOUR-III Japan-Europe trial (n=2000), which is planned to compare the QFR-based- with invasive mFFR-based-outcomes in moderately stenotic lesions in stable CAD, having MACE and unplanned revascularisations at 12 months as primary endpoints. (218) A comparative economic assessment can then </w:t>
      </w:r>
      <w:r w:rsidR="00F0534E" w:rsidRPr="008500C2">
        <w:rPr>
          <w:rFonts w:ascii="Arial" w:hAnsi="Arial" w:cs="Arial"/>
          <w:color w:val="000000"/>
          <w:sz w:val="24"/>
          <w:szCs w:val="24"/>
        </w:rPr>
        <w:t xml:space="preserve">directly </w:t>
      </w:r>
      <w:r w:rsidR="004A475C" w:rsidRPr="008500C2">
        <w:rPr>
          <w:rFonts w:ascii="Arial" w:hAnsi="Arial" w:cs="Arial"/>
          <w:color w:val="000000"/>
          <w:sz w:val="24"/>
          <w:szCs w:val="24"/>
        </w:rPr>
        <w:t>evaluate the cost-effectiveness of vFFR compared to invasive mFFR. This study may serve as a game-changer in the futuristic role of non-hyperaemic, wire-free coronary physiology</w:t>
      </w:r>
      <w:r w:rsidRPr="008500C2">
        <w:rPr>
          <w:rFonts w:ascii="Arial" w:hAnsi="Arial" w:cs="Arial"/>
          <w:color w:val="000000"/>
          <w:sz w:val="24"/>
          <w:szCs w:val="24"/>
        </w:rPr>
        <w:t>. It</w:t>
      </w:r>
      <w:r w:rsidR="004A475C" w:rsidRPr="008500C2">
        <w:rPr>
          <w:rFonts w:ascii="Arial" w:hAnsi="Arial" w:cs="Arial"/>
          <w:color w:val="000000"/>
          <w:sz w:val="24"/>
          <w:szCs w:val="24"/>
        </w:rPr>
        <w:t xml:space="preserve"> </w:t>
      </w:r>
      <w:r w:rsidR="008500C2" w:rsidRPr="008500C2">
        <w:rPr>
          <w:rFonts w:ascii="Arial" w:hAnsi="Arial" w:cs="Arial"/>
          <w:color w:val="000000"/>
          <w:sz w:val="24"/>
          <w:szCs w:val="24"/>
        </w:rPr>
        <w:t xml:space="preserve">may </w:t>
      </w:r>
      <w:r w:rsidR="004A475C" w:rsidRPr="008500C2">
        <w:rPr>
          <w:rFonts w:ascii="Arial" w:hAnsi="Arial" w:cs="Arial"/>
          <w:color w:val="000000"/>
          <w:sz w:val="24"/>
          <w:szCs w:val="24"/>
        </w:rPr>
        <w:t>even be feasible to apply the CAG-based vFFR retrospectively to the pivotal breakthrough trials in which coronary functional assessment was not employed for clinical decision-making, instigating how physiological guidance through vFFR would have influenced the treatment recommendations.</w:t>
      </w:r>
      <w:r w:rsidR="008500C2" w:rsidRPr="00BA71BC">
        <w:rPr>
          <w:rFonts w:ascii="Arial" w:hAnsi="Arial" w:cs="Arial"/>
          <w:sz w:val="24"/>
          <w:szCs w:val="24"/>
        </w:rPr>
        <w:t xml:space="preserve"> Furthermore, the utility of vFFR could be explored in a dedicated study where bystander lesions in ACS </w:t>
      </w:r>
      <w:r w:rsidR="008500C2">
        <w:rPr>
          <w:rFonts w:ascii="Arial" w:hAnsi="Arial" w:cs="Arial"/>
          <w:sz w:val="24"/>
          <w:szCs w:val="24"/>
        </w:rPr>
        <w:t xml:space="preserve">settings, </w:t>
      </w:r>
      <w:r w:rsidR="008500C2" w:rsidRPr="00BA71BC">
        <w:rPr>
          <w:rFonts w:ascii="Arial" w:hAnsi="Arial" w:cs="Arial"/>
          <w:sz w:val="24"/>
          <w:szCs w:val="24"/>
        </w:rPr>
        <w:t xml:space="preserve">are randomised to either </w:t>
      </w:r>
      <w:r w:rsidR="008500C2">
        <w:rPr>
          <w:rFonts w:ascii="Arial" w:hAnsi="Arial" w:cs="Arial"/>
          <w:sz w:val="24"/>
          <w:szCs w:val="24"/>
        </w:rPr>
        <w:t xml:space="preserve">undergo </w:t>
      </w:r>
      <w:r w:rsidR="008500C2" w:rsidRPr="001823B4">
        <w:rPr>
          <w:rFonts w:ascii="Arial" w:hAnsi="Arial" w:cs="Arial"/>
          <w:sz w:val="24"/>
          <w:szCs w:val="24"/>
        </w:rPr>
        <w:t xml:space="preserve">intervention or medical management, allowing for evaluation of </w:t>
      </w:r>
      <w:r w:rsidR="008500C2">
        <w:rPr>
          <w:rFonts w:ascii="Arial" w:hAnsi="Arial" w:cs="Arial"/>
          <w:sz w:val="24"/>
          <w:szCs w:val="24"/>
        </w:rPr>
        <w:t xml:space="preserve">the </w:t>
      </w:r>
      <w:r w:rsidR="008500C2" w:rsidRPr="001823B4">
        <w:rPr>
          <w:rFonts w:ascii="Arial" w:hAnsi="Arial" w:cs="Arial"/>
          <w:sz w:val="24"/>
          <w:szCs w:val="24"/>
        </w:rPr>
        <w:t>clinical outcomes. Such</w:t>
      </w:r>
      <w:r w:rsidR="008500C2">
        <w:rPr>
          <w:rFonts w:ascii="Arial" w:hAnsi="Arial" w:cs="Arial"/>
          <w:sz w:val="24"/>
          <w:szCs w:val="24"/>
        </w:rPr>
        <w:t xml:space="preserve"> a study</w:t>
      </w:r>
      <w:r w:rsidR="008500C2" w:rsidRPr="001823B4">
        <w:rPr>
          <w:rFonts w:ascii="Arial" w:hAnsi="Arial" w:cs="Arial"/>
          <w:sz w:val="24"/>
          <w:szCs w:val="24"/>
        </w:rPr>
        <w:t xml:space="preserve"> would offer valuable insights into the optimal management strategies for</w:t>
      </w:r>
      <w:r w:rsidR="004832DD">
        <w:rPr>
          <w:rFonts w:ascii="Arial" w:hAnsi="Arial" w:cs="Arial"/>
          <w:sz w:val="24"/>
          <w:szCs w:val="24"/>
        </w:rPr>
        <w:t xml:space="preserve"> such </w:t>
      </w:r>
      <w:r w:rsidR="008500C2" w:rsidRPr="00BA71BC">
        <w:rPr>
          <w:rFonts w:ascii="Arial" w:hAnsi="Arial" w:cs="Arial"/>
          <w:sz w:val="24"/>
          <w:szCs w:val="24"/>
        </w:rPr>
        <w:t>bystander lesions and further contribute to the growing body of evidence supporting physiology-guided decision-making in such circumstances.</w:t>
      </w:r>
      <w:r w:rsidR="00951AB2">
        <w:rPr>
          <w:rFonts w:ascii="Arial" w:hAnsi="Arial" w:cs="Arial"/>
          <w:sz w:val="24"/>
          <w:szCs w:val="24"/>
        </w:rPr>
        <w:t xml:space="preserve"> Additionally, this study could be utilised as a pilot for conducting a study of vFFR with health economics and quality of life as the primary endpoints.  </w:t>
      </w:r>
    </w:p>
    <w:p w14:paraId="55299E69" w14:textId="72968C3A" w:rsidR="00232D1D" w:rsidRPr="001823B4" w:rsidRDefault="008500C2" w:rsidP="008500C2">
      <w:pPr>
        <w:spacing w:line="360" w:lineRule="auto"/>
        <w:jc w:val="both"/>
        <w:rPr>
          <w:rFonts w:ascii="Arial" w:hAnsi="Arial" w:cs="Arial"/>
          <w:sz w:val="24"/>
          <w:szCs w:val="24"/>
        </w:rPr>
      </w:pPr>
      <w:r w:rsidRPr="008500C2">
        <w:rPr>
          <w:rFonts w:ascii="Arial" w:hAnsi="Arial" w:cs="Arial"/>
          <w:color w:val="000000"/>
          <w:sz w:val="24"/>
          <w:szCs w:val="24"/>
        </w:rPr>
        <w:t>Lastly</w:t>
      </w:r>
      <w:r w:rsidR="004A475C" w:rsidRPr="008500C2">
        <w:rPr>
          <w:rFonts w:ascii="Arial" w:hAnsi="Arial" w:cs="Arial"/>
          <w:color w:val="000000"/>
          <w:sz w:val="24"/>
          <w:szCs w:val="24"/>
        </w:rPr>
        <w:t xml:space="preserve">, with the ever-increasing role of artificial intelligence in clinical medicine, machine learning algorithms can be utilised to significantly enhance the blood flow </w:t>
      </w:r>
      <w:r w:rsidR="004A475C" w:rsidRPr="008500C2">
        <w:rPr>
          <w:rFonts w:ascii="Arial" w:hAnsi="Arial" w:cs="Arial"/>
          <w:color w:val="000000"/>
          <w:sz w:val="24"/>
          <w:szCs w:val="24"/>
        </w:rPr>
        <w:lastRenderedPageBreak/>
        <w:t>simulation properties of CFD techniques and improve the accuracy, sensitivity, and specificity of the vFFR.</w:t>
      </w:r>
    </w:p>
    <w:p w14:paraId="68CDF7F9" w14:textId="77777777" w:rsidR="004A475C" w:rsidRPr="004A475C" w:rsidRDefault="004A475C" w:rsidP="004A475C"/>
    <w:p w14:paraId="542E59EE" w14:textId="50363C02" w:rsidR="004942B6" w:rsidRPr="00545CB2" w:rsidRDefault="004942B6" w:rsidP="004370A0">
      <w:pPr>
        <w:pStyle w:val="Heading2"/>
        <w:spacing w:line="360" w:lineRule="auto"/>
        <w:jc w:val="both"/>
        <w:rPr>
          <w:rFonts w:ascii="Arial" w:hAnsi="Arial" w:cs="Arial"/>
          <w:color w:val="4472C4" w:themeColor="accent1"/>
          <w:sz w:val="28"/>
          <w:szCs w:val="28"/>
        </w:rPr>
      </w:pPr>
      <w:bookmarkStart w:id="1491" w:name="_Toc171203970"/>
      <w:r w:rsidRPr="00545CB2">
        <w:rPr>
          <w:rFonts w:ascii="Arial" w:hAnsi="Arial" w:cs="Arial"/>
          <w:color w:val="4472C4" w:themeColor="accent1"/>
          <w:sz w:val="28"/>
          <w:szCs w:val="28"/>
        </w:rPr>
        <w:t>4.1</w:t>
      </w:r>
      <w:r w:rsidR="00DA671B">
        <w:rPr>
          <w:rFonts w:ascii="Arial" w:hAnsi="Arial" w:cs="Arial"/>
          <w:color w:val="4472C4" w:themeColor="accent1"/>
          <w:sz w:val="28"/>
          <w:szCs w:val="28"/>
        </w:rPr>
        <w:t>1</w:t>
      </w:r>
      <w:r w:rsidRPr="00545CB2">
        <w:rPr>
          <w:rFonts w:ascii="Arial" w:hAnsi="Arial" w:cs="Arial"/>
          <w:color w:val="4472C4" w:themeColor="accent1"/>
          <w:sz w:val="28"/>
          <w:szCs w:val="28"/>
        </w:rPr>
        <w:t xml:space="preserve"> Final conclusions</w:t>
      </w:r>
      <w:bookmarkEnd w:id="1491"/>
    </w:p>
    <w:bookmarkEnd w:id="1488"/>
    <w:p w14:paraId="2BD5B02C" w14:textId="77777777" w:rsidR="004370A0" w:rsidRDefault="001425C7" w:rsidP="004370A0">
      <w:pPr>
        <w:spacing w:line="360" w:lineRule="auto"/>
        <w:jc w:val="both"/>
        <w:rPr>
          <w:rFonts w:ascii="Arial" w:hAnsi="Arial" w:cs="Arial"/>
          <w:sz w:val="24"/>
          <w:szCs w:val="24"/>
          <w:shd w:val="clear" w:color="auto" w:fill="FFFFFF"/>
        </w:rPr>
      </w:pPr>
      <w:r w:rsidRPr="001425C7">
        <w:rPr>
          <w:rFonts w:ascii="Arial" w:hAnsi="Arial" w:cs="Arial"/>
          <w:sz w:val="24"/>
          <w:szCs w:val="24"/>
          <w:shd w:val="clear" w:color="auto" w:fill="FFFFFF"/>
        </w:rPr>
        <w:t>This study shows that adding vFFR to the conventional angiography resulted in a positive virtual impact on the clinical outcomes, overall expenses and QOL by providing relevant physiological information non-invasively and guiding the operator to a more appropriate management plan. It can be achieved with a trivial additional cost, with an ICER well below the WTP UK threshold, making incorporating vFFR clinically and economically feasible in real-world practice. Although invasive mFFR cannot be entirely substituted by vFFR, it can serve as a non-invasive alternative tool to guide treatment in CAD in carefully selected patients undergoing an invasive CAG. The study demonstrated that the virtual change in management plans with vFFR led to more appropriate treatments (when correlated with expert teams) and improved predicted virtual QOL. With its ability to be incorporated into purely diagnostic cardiac catheterisation laboratories, the advantages of physiological guidance could be extended to a greater population of patients with CAD than at present. The pilot data from this study will provide a platform for larger trials to investigate the cost-effectiveness of this technology in future research.</w:t>
      </w:r>
    </w:p>
    <w:p w14:paraId="53CC1C38" w14:textId="77777777" w:rsidR="002D4EFE" w:rsidRDefault="002D4EFE" w:rsidP="004370A0">
      <w:pPr>
        <w:spacing w:line="360" w:lineRule="auto"/>
        <w:jc w:val="both"/>
        <w:rPr>
          <w:rFonts w:ascii="Arial" w:hAnsi="Arial" w:cs="Arial"/>
          <w:sz w:val="24"/>
          <w:szCs w:val="24"/>
          <w:shd w:val="clear" w:color="auto" w:fill="FFFFFF"/>
        </w:rPr>
      </w:pPr>
    </w:p>
    <w:p w14:paraId="5386F61D" w14:textId="77777777" w:rsidR="002D4EFE" w:rsidRDefault="002D4EFE" w:rsidP="004370A0">
      <w:pPr>
        <w:spacing w:line="360" w:lineRule="auto"/>
        <w:jc w:val="both"/>
        <w:rPr>
          <w:rFonts w:ascii="Arial" w:hAnsi="Arial" w:cs="Arial"/>
          <w:sz w:val="24"/>
          <w:szCs w:val="24"/>
          <w:shd w:val="clear" w:color="auto" w:fill="FFFFFF"/>
        </w:rPr>
      </w:pPr>
    </w:p>
    <w:p w14:paraId="5F1B74C6" w14:textId="77777777" w:rsidR="002D4EFE" w:rsidRDefault="002D4EFE" w:rsidP="004370A0">
      <w:pPr>
        <w:spacing w:line="360" w:lineRule="auto"/>
        <w:jc w:val="both"/>
        <w:rPr>
          <w:rFonts w:ascii="Arial" w:hAnsi="Arial" w:cs="Arial"/>
          <w:sz w:val="24"/>
          <w:szCs w:val="24"/>
          <w:shd w:val="clear" w:color="auto" w:fill="FFFFFF"/>
        </w:rPr>
      </w:pPr>
    </w:p>
    <w:p w14:paraId="53816C97" w14:textId="77777777" w:rsidR="002D4EFE" w:rsidRDefault="002D4EFE" w:rsidP="004370A0">
      <w:pPr>
        <w:spacing w:line="360" w:lineRule="auto"/>
        <w:jc w:val="both"/>
        <w:rPr>
          <w:rFonts w:ascii="Arial" w:hAnsi="Arial" w:cs="Arial"/>
          <w:sz w:val="24"/>
          <w:szCs w:val="24"/>
          <w:shd w:val="clear" w:color="auto" w:fill="FFFFFF"/>
        </w:rPr>
      </w:pPr>
    </w:p>
    <w:p w14:paraId="1D58DAF8" w14:textId="77777777" w:rsidR="002D4EFE" w:rsidRDefault="002D4EFE" w:rsidP="004370A0">
      <w:pPr>
        <w:spacing w:line="360" w:lineRule="auto"/>
        <w:jc w:val="both"/>
        <w:rPr>
          <w:rFonts w:ascii="Arial" w:hAnsi="Arial" w:cs="Arial"/>
          <w:sz w:val="24"/>
          <w:szCs w:val="24"/>
          <w:shd w:val="clear" w:color="auto" w:fill="FFFFFF"/>
        </w:rPr>
      </w:pPr>
    </w:p>
    <w:p w14:paraId="65378F2A" w14:textId="77777777" w:rsidR="002D4EFE" w:rsidRDefault="002D4EFE" w:rsidP="004370A0">
      <w:pPr>
        <w:spacing w:line="360" w:lineRule="auto"/>
        <w:jc w:val="both"/>
        <w:rPr>
          <w:rFonts w:ascii="Arial" w:hAnsi="Arial" w:cs="Arial"/>
          <w:sz w:val="24"/>
          <w:szCs w:val="24"/>
          <w:shd w:val="clear" w:color="auto" w:fill="FFFFFF"/>
        </w:rPr>
      </w:pPr>
    </w:p>
    <w:p w14:paraId="3EDF1EB0" w14:textId="77777777" w:rsidR="002D4EFE" w:rsidRDefault="002D4EFE" w:rsidP="004370A0">
      <w:pPr>
        <w:spacing w:line="360" w:lineRule="auto"/>
        <w:jc w:val="both"/>
        <w:rPr>
          <w:rFonts w:ascii="Arial" w:hAnsi="Arial" w:cs="Arial"/>
          <w:sz w:val="24"/>
          <w:szCs w:val="24"/>
          <w:shd w:val="clear" w:color="auto" w:fill="FFFFFF"/>
        </w:rPr>
      </w:pPr>
    </w:p>
    <w:bookmarkEnd w:id="1460"/>
    <w:p w14:paraId="30BCB8A3" w14:textId="77777777" w:rsidR="00BC5384" w:rsidRDefault="00BC5384" w:rsidP="004370A0">
      <w:pPr>
        <w:spacing w:line="360" w:lineRule="auto"/>
        <w:jc w:val="both"/>
        <w:rPr>
          <w:rFonts w:ascii="Arial" w:hAnsi="Arial" w:cs="Arial"/>
          <w:sz w:val="24"/>
          <w:szCs w:val="24"/>
          <w:shd w:val="clear" w:color="auto" w:fill="FFFFFF"/>
        </w:rPr>
      </w:pPr>
    </w:p>
    <w:p w14:paraId="0BFF7593" w14:textId="381E0C75" w:rsidR="004942B6" w:rsidRPr="00BC5384" w:rsidRDefault="00BC5384" w:rsidP="00C50945">
      <w:pPr>
        <w:pStyle w:val="Heading1"/>
        <w:numPr>
          <w:ilvl w:val="0"/>
          <w:numId w:val="20"/>
        </w:numPr>
        <w:rPr>
          <w:rFonts w:ascii="Arial" w:hAnsi="Arial" w:cs="Arial"/>
          <w:b/>
          <w:bCs/>
          <w:color w:val="4472C4" w:themeColor="accent1"/>
        </w:rPr>
      </w:pPr>
      <w:r w:rsidRPr="00BC5384">
        <w:rPr>
          <w:rFonts w:ascii="Arial" w:hAnsi="Arial" w:cs="Arial"/>
          <w:b/>
          <w:bCs/>
          <w:color w:val="4472C4" w:themeColor="accent1"/>
        </w:rPr>
        <w:lastRenderedPageBreak/>
        <w:t xml:space="preserve"> </w:t>
      </w:r>
      <w:bookmarkStart w:id="1492" w:name="_Toc171203971"/>
      <w:r w:rsidR="004942B6" w:rsidRPr="00BC5384">
        <w:rPr>
          <w:rFonts w:ascii="Arial" w:hAnsi="Arial" w:cs="Arial"/>
          <w:b/>
          <w:bCs/>
          <w:color w:val="4472C4" w:themeColor="accent1"/>
        </w:rPr>
        <w:t>Bibliography</w:t>
      </w:r>
      <w:bookmarkEnd w:id="1492"/>
    </w:p>
    <w:p w14:paraId="624E338F" w14:textId="77777777" w:rsidR="004942B6" w:rsidRPr="00357893" w:rsidRDefault="004942B6" w:rsidP="004942B6">
      <w:pPr>
        <w:spacing w:line="240" w:lineRule="auto"/>
        <w:rPr>
          <w:rFonts w:ascii="Arial" w:hAnsi="Arial" w:cs="Arial"/>
          <w:sz w:val="24"/>
          <w:szCs w:val="24"/>
          <w:lang w:eastAsia="en-GB"/>
        </w:rPr>
      </w:pPr>
    </w:p>
    <w:p w14:paraId="6D1CE6C3" w14:textId="77777777" w:rsidR="004942B6" w:rsidRPr="00BF62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57893">
        <w:rPr>
          <w:rFonts w:ascii="Arial" w:hAnsi="Arial" w:cs="Arial"/>
          <w:sz w:val="24"/>
          <w:szCs w:val="24"/>
          <w:shd w:val="clear" w:color="auto" w:fill="FFFFFF"/>
        </w:rPr>
        <w:t>Wong ND. (2014). Epidemiological studies of CHD and the evolution of preventive cardiology. Nature reviews. Cardiology, 11(5), 276–289.</w:t>
      </w:r>
    </w:p>
    <w:p w14:paraId="08CDC3AD" w14:textId="77777777" w:rsidR="004942B6" w:rsidRPr="00BF624A" w:rsidRDefault="004942B6" w:rsidP="004942B6">
      <w:pPr>
        <w:pStyle w:val="ListParagraph"/>
        <w:spacing w:line="240" w:lineRule="auto"/>
        <w:ind w:left="360"/>
        <w:jc w:val="both"/>
        <w:rPr>
          <w:rFonts w:ascii="Arial" w:hAnsi="Arial" w:cs="Arial"/>
          <w:sz w:val="24"/>
          <w:szCs w:val="24"/>
          <w:lang w:eastAsia="en-GB"/>
        </w:rPr>
      </w:pPr>
    </w:p>
    <w:p w14:paraId="58D868A3"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57893">
        <w:rPr>
          <w:rFonts w:ascii="Arial" w:hAnsi="Arial" w:cs="Arial"/>
          <w:sz w:val="24"/>
          <w:szCs w:val="24"/>
          <w:lang w:eastAsia="en-GB"/>
        </w:rPr>
        <w:t xml:space="preserve">Cardiovascular Disease Statistics 2018. British Heart Foundation. </w:t>
      </w:r>
      <w:r w:rsidRPr="00C56153">
        <w:rPr>
          <w:rFonts w:ascii="Arial" w:hAnsi="Arial" w:cs="Arial"/>
          <w:sz w:val="24"/>
          <w:szCs w:val="24"/>
          <w:lang w:eastAsia="en-GB"/>
        </w:rPr>
        <w:t>https://www.bhf.org.uk/what-we-do/our-research/heart-statistics/heart-statistics-publications/cardiovascular-disease-statistics-2018</w:t>
      </w:r>
      <w:r w:rsidRPr="00357893">
        <w:rPr>
          <w:rFonts w:ascii="Arial" w:hAnsi="Arial" w:cs="Arial"/>
          <w:sz w:val="24"/>
          <w:szCs w:val="24"/>
        </w:rPr>
        <w:t>.</w:t>
      </w:r>
    </w:p>
    <w:p w14:paraId="0133162D" w14:textId="77777777" w:rsidR="004942B6" w:rsidRPr="0074202B" w:rsidRDefault="004942B6" w:rsidP="004942B6">
      <w:pPr>
        <w:pStyle w:val="ListParagraph"/>
        <w:spacing w:line="240" w:lineRule="auto"/>
        <w:ind w:left="360"/>
        <w:jc w:val="both"/>
        <w:rPr>
          <w:rFonts w:ascii="Arial" w:hAnsi="Arial" w:cs="Arial"/>
          <w:sz w:val="24"/>
          <w:szCs w:val="24"/>
          <w:lang w:eastAsia="en-GB"/>
        </w:rPr>
      </w:pPr>
    </w:p>
    <w:p w14:paraId="1FE67179"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57893">
        <w:rPr>
          <w:rFonts w:ascii="Arial" w:hAnsi="Arial" w:cs="Arial"/>
          <w:sz w:val="24"/>
          <w:szCs w:val="24"/>
        </w:rPr>
        <w:t>Townsend N, Wilson L, Bhatnagar P, et al. (2016b). Cardiovascular disease in Europe: epidemiological update 2016. </w:t>
      </w:r>
      <w:r w:rsidRPr="00357893">
        <w:rPr>
          <w:rFonts w:ascii="Arial" w:hAnsi="Arial" w:cs="Arial"/>
          <w:sz w:val="24"/>
          <w:szCs w:val="24"/>
          <w:bdr w:val="single" w:sz="2" w:space="0" w:color="ECEDEE" w:frame="1"/>
        </w:rPr>
        <w:t>Eur Heart J.</w:t>
      </w:r>
      <w:r w:rsidRPr="00357893">
        <w:rPr>
          <w:rFonts w:ascii="Arial" w:hAnsi="Arial" w:cs="Arial"/>
          <w:sz w:val="24"/>
          <w:szCs w:val="24"/>
        </w:rPr>
        <w:t> </w:t>
      </w:r>
      <w:r w:rsidRPr="00357893">
        <w:rPr>
          <w:rFonts w:ascii="Arial" w:hAnsi="Arial" w:cs="Arial"/>
          <w:sz w:val="24"/>
          <w:szCs w:val="24"/>
          <w:bdr w:val="single" w:sz="2" w:space="0" w:color="ECEDEE" w:frame="1"/>
        </w:rPr>
        <w:t>37</w:t>
      </w:r>
      <w:r w:rsidRPr="00357893">
        <w:rPr>
          <w:rFonts w:ascii="Arial" w:hAnsi="Arial" w:cs="Arial"/>
          <w:sz w:val="24"/>
          <w:szCs w:val="24"/>
        </w:rPr>
        <w:t>(42),3232–3245. </w:t>
      </w:r>
    </w:p>
    <w:p w14:paraId="669C007A" w14:textId="77777777" w:rsidR="004942B6" w:rsidRPr="00521D1D" w:rsidRDefault="004942B6" w:rsidP="004942B6">
      <w:pPr>
        <w:pStyle w:val="ListParagraph"/>
        <w:spacing w:line="240" w:lineRule="auto"/>
        <w:ind w:left="360"/>
        <w:jc w:val="both"/>
        <w:rPr>
          <w:rFonts w:ascii="Arial" w:hAnsi="Arial" w:cs="Arial"/>
          <w:sz w:val="24"/>
          <w:szCs w:val="24"/>
          <w:lang w:eastAsia="en-GB"/>
        </w:rPr>
      </w:pPr>
    </w:p>
    <w:p w14:paraId="09CB45A4" w14:textId="77777777" w:rsidR="004942B6" w:rsidRPr="00BF62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57893">
        <w:rPr>
          <w:rFonts w:ascii="Arial" w:hAnsi="Arial" w:cs="Arial"/>
          <w:sz w:val="24"/>
          <w:szCs w:val="24"/>
        </w:rPr>
        <w:t xml:space="preserve">Heart &amp; Circulatory Disease Statistics 2020. British Heart Foundation. </w:t>
      </w:r>
      <w:r w:rsidRPr="00BF624A">
        <w:rPr>
          <w:rFonts w:ascii="Arial" w:hAnsi="Arial" w:cs="Arial"/>
          <w:sz w:val="24"/>
          <w:szCs w:val="24"/>
        </w:rPr>
        <w:t>https://www.bhf.org.uk/what-we-do/our-research/heart-statistics/heart-statistics-publications/cardiovascular-disease-statistics-2020</w:t>
      </w:r>
    </w:p>
    <w:p w14:paraId="563B635E" w14:textId="77777777" w:rsidR="004942B6" w:rsidRPr="00BF624A" w:rsidRDefault="004942B6" w:rsidP="004942B6">
      <w:pPr>
        <w:pStyle w:val="ListParagraph"/>
        <w:spacing w:line="240" w:lineRule="auto"/>
        <w:ind w:left="360"/>
        <w:jc w:val="both"/>
        <w:rPr>
          <w:rFonts w:ascii="Arial" w:hAnsi="Arial" w:cs="Arial"/>
          <w:sz w:val="24"/>
          <w:szCs w:val="24"/>
          <w:lang w:eastAsia="en-GB"/>
        </w:rPr>
      </w:pPr>
    </w:p>
    <w:p w14:paraId="3F5FEF3B"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57893">
        <w:rPr>
          <w:rFonts w:ascii="Arial" w:hAnsi="Arial" w:cs="Arial"/>
          <w:sz w:val="24"/>
          <w:szCs w:val="24"/>
          <w:lang w:eastAsia="en-GB"/>
        </w:rPr>
        <w:t xml:space="preserve">Jebari-Benslaiman S, Galicia-García U, Larrea-Sebal, et al. (2022). Pathophysiology of atherosclerosis. Int J Mol Sci, 23(6), 3346. </w:t>
      </w:r>
    </w:p>
    <w:p w14:paraId="5E697B5B" w14:textId="77777777" w:rsidR="004942B6" w:rsidRPr="00BF624A" w:rsidRDefault="004942B6" w:rsidP="004942B6">
      <w:pPr>
        <w:pStyle w:val="ListParagraph"/>
        <w:spacing w:line="240" w:lineRule="auto"/>
        <w:ind w:left="360"/>
        <w:jc w:val="both"/>
        <w:rPr>
          <w:rFonts w:ascii="Arial" w:hAnsi="Arial" w:cs="Arial"/>
          <w:sz w:val="24"/>
          <w:szCs w:val="24"/>
          <w:lang w:eastAsia="en-GB"/>
        </w:rPr>
      </w:pPr>
    </w:p>
    <w:p w14:paraId="0FAE327F"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57893">
        <w:rPr>
          <w:rFonts w:ascii="Arial" w:hAnsi="Arial" w:cs="Arial"/>
          <w:sz w:val="24"/>
          <w:szCs w:val="24"/>
          <w:lang w:eastAsia="en-GB"/>
        </w:rPr>
        <w:t xml:space="preserve">Wolf D, Ley K. (2019). Immunity and inflammation in atherosclerosis. Circulation Research, 124(2), 315–327. </w:t>
      </w:r>
    </w:p>
    <w:p w14:paraId="28D3DCD9" w14:textId="77777777" w:rsidR="004942B6" w:rsidRPr="0074202B" w:rsidRDefault="004942B6" w:rsidP="004942B6">
      <w:pPr>
        <w:pStyle w:val="ListParagraph"/>
        <w:rPr>
          <w:rFonts w:ascii="Arial" w:hAnsi="Arial" w:cs="Arial"/>
          <w:sz w:val="24"/>
          <w:szCs w:val="24"/>
        </w:rPr>
      </w:pPr>
    </w:p>
    <w:p w14:paraId="62CC38D6"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74202B">
        <w:rPr>
          <w:rFonts w:ascii="Arial" w:hAnsi="Arial" w:cs="Arial"/>
          <w:sz w:val="24"/>
          <w:szCs w:val="24"/>
        </w:rPr>
        <w:t>Zaman AG, Helft G, Worthley SG, et al. The role of plaque rupture and thrombosis in coronary artery disease. Atherosclerosis. 2000 Apr;149(2):251–266.</w:t>
      </w:r>
    </w:p>
    <w:p w14:paraId="4FAD58EF" w14:textId="77777777" w:rsidR="004942B6" w:rsidRPr="006658D6" w:rsidRDefault="004942B6" w:rsidP="004942B6">
      <w:pPr>
        <w:pStyle w:val="ListParagraph"/>
        <w:rPr>
          <w:rFonts w:ascii="Arial" w:hAnsi="Arial" w:cs="Arial"/>
          <w:sz w:val="24"/>
          <w:szCs w:val="24"/>
          <w:lang w:eastAsia="en-GB"/>
        </w:rPr>
      </w:pPr>
    </w:p>
    <w:p w14:paraId="4839B7F1"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6658D6">
        <w:rPr>
          <w:rFonts w:ascii="Arial" w:hAnsi="Arial" w:cs="Arial"/>
          <w:sz w:val="24"/>
          <w:szCs w:val="24"/>
          <w:lang w:eastAsia="en-GB"/>
        </w:rPr>
        <w:t xml:space="preserve">Daviglus ML, Stamler J, Pirzada A, et al. (2004). Favorable cardiovascular risk profile in young women and long-term risk of cardiovascular and All-Cause mortality. JAMA, 292(13), 1588. </w:t>
      </w:r>
    </w:p>
    <w:p w14:paraId="695280B3" w14:textId="77777777" w:rsidR="004942B6" w:rsidRPr="006658D6" w:rsidRDefault="004942B6" w:rsidP="004942B6">
      <w:pPr>
        <w:pStyle w:val="ListParagraph"/>
        <w:rPr>
          <w:rFonts w:ascii="Arial" w:hAnsi="Arial" w:cs="Arial"/>
          <w:sz w:val="24"/>
          <w:szCs w:val="24"/>
          <w:lang w:val="fr-FR" w:eastAsia="en-GB"/>
        </w:rPr>
      </w:pPr>
    </w:p>
    <w:p w14:paraId="1D203F4D"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6658D6">
        <w:rPr>
          <w:rFonts w:ascii="Arial" w:hAnsi="Arial" w:cs="Arial"/>
          <w:sz w:val="24"/>
          <w:szCs w:val="24"/>
          <w:lang w:val="fr-FR" w:eastAsia="en-GB"/>
        </w:rPr>
        <w:t xml:space="preserve">Villa A, Sammut E, Nair A, et al. </w:t>
      </w:r>
      <w:r w:rsidRPr="006658D6">
        <w:rPr>
          <w:rFonts w:ascii="Arial" w:hAnsi="Arial" w:cs="Arial"/>
          <w:sz w:val="24"/>
          <w:szCs w:val="24"/>
          <w:lang w:eastAsia="en-GB"/>
        </w:rPr>
        <w:t xml:space="preserve">(2016). Coronary artery anomalies overview: The normal and the abnormal. World J Radiol, 8(6), 537. </w:t>
      </w:r>
    </w:p>
    <w:p w14:paraId="79293281" w14:textId="77777777" w:rsidR="004942B6" w:rsidRPr="006658D6" w:rsidRDefault="004942B6" w:rsidP="004942B6">
      <w:pPr>
        <w:pStyle w:val="ListParagraph"/>
        <w:rPr>
          <w:rFonts w:ascii="Arial" w:hAnsi="Arial" w:cs="Arial"/>
          <w:sz w:val="24"/>
          <w:szCs w:val="24"/>
          <w:lang w:eastAsia="en-GB"/>
        </w:rPr>
      </w:pPr>
    </w:p>
    <w:p w14:paraId="3C836E48"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6658D6">
        <w:rPr>
          <w:rFonts w:ascii="Arial" w:hAnsi="Arial" w:cs="Arial"/>
          <w:sz w:val="24"/>
          <w:szCs w:val="24"/>
          <w:lang w:eastAsia="en-GB"/>
        </w:rPr>
        <w:t xml:space="preserve">Duerinckx AJ. (2006). Anatomy and physiology of coronary arteries. In Springer eBooks (pp. 10–18). </w:t>
      </w:r>
    </w:p>
    <w:p w14:paraId="192A9DE5" w14:textId="77777777" w:rsidR="004942B6" w:rsidRPr="006658D6" w:rsidRDefault="004942B6" w:rsidP="004942B6">
      <w:pPr>
        <w:pStyle w:val="ListParagraph"/>
        <w:rPr>
          <w:rFonts w:ascii="Arial" w:hAnsi="Arial" w:cs="Arial"/>
          <w:sz w:val="24"/>
          <w:szCs w:val="24"/>
          <w:lang w:val="fr-FR"/>
        </w:rPr>
      </w:pPr>
    </w:p>
    <w:p w14:paraId="12F81696"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6658D6">
        <w:rPr>
          <w:rFonts w:ascii="Arial" w:hAnsi="Arial" w:cs="Arial"/>
          <w:sz w:val="24"/>
          <w:szCs w:val="24"/>
          <w:lang w:val="fr-FR"/>
        </w:rPr>
        <w:t xml:space="preserve">Loukas M, Groat C, Khangura R, et al. </w:t>
      </w:r>
      <w:r w:rsidRPr="006658D6">
        <w:rPr>
          <w:rFonts w:ascii="Arial" w:hAnsi="Arial" w:cs="Arial"/>
          <w:sz w:val="24"/>
          <w:szCs w:val="24"/>
        </w:rPr>
        <w:t>(2008). The normal and abnormal anatomy of the coronary arteries. </w:t>
      </w:r>
      <w:r w:rsidRPr="006658D6">
        <w:rPr>
          <w:rFonts w:ascii="Arial" w:hAnsi="Arial" w:cs="Arial"/>
          <w:sz w:val="24"/>
          <w:szCs w:val="24"/>
          <w:bdr w:val="single" w:sz="2" w:space="0" w:color="ECEDEE" w:frame="1"/>
        </w:rPr>
        <w:t>Clinical Anatomy</w:t>
      </w:r>
      <w:r w:rsidRPr="006658D6">
        <w:rPr>
          <w:rFonts w:ascii="Arial" w:hAnsi="Arial" w:cs="Arial"/>
          <w:sz w:val="24"/>
          <w:szCs w:val="24"/>
        </w:rPr>
        <w:t>, </w:t>
      </w:r>
      <w:r w:rsidRPr="006658D6">
        <w:rPr>
          <w:rFonts w:ascii="Arial" w:hAnsi="Arial" w:cs="Arial"/>
          <w:sz w:val="24"/>
          <w:szCs w:val="24"/>
          <w:bdr w:val="single" w:sz="2" w:space="0" w:color="ECEDEE" w:frame="1"/>
        </w:rPr>
        <w:t>22</w:t>
      </w:r>
      <w:r w:rsidRPr="006658D6">
        <w:rPr>
          <w:rFonts w:ascii="Arial" w:hAnsi="Arial" w:cs="Arial"/>
          <w:sz w:val="24"/>
          <w:szCs w:val="24"/>
        </w:rPr>
        <w:t>(1), 114–128</w:t>
      </w:r>
      <w:r w:rsidRPr="006658D6">
        <w:rPr>
          <w:rFonts w:ascii="Arial" w:hAnsi="Arial" w:cs="Arial"/>
          <w:sz w:val="24"/>
          <w:szCs w:val="24"/>
          <w:lang w:eastAsia="en-GB"/>
        </w:rPr>
        <w:t>. </w:t>
      </w:r>
    </w:p>
    <w:p w14:paraId="52873B67" w14:textId="77777777" w:rsidR="004942B6" w:rsidRPr="006658D6" w:rsidRDefault="004942B6" w:rsidP="004942B6">
      <w:pPr>
        <w:pStyle w:val="ListParagraph"/>
        <w:rPr>
          <w:rFonts w:ascii="Arial" w:hAnsi="Arial" w:cs="Arial"/>
          <w:sz w:val="24"/>
          <w:szCs w:val="24"/>
          <w:shd w:val="clear" w:color="auto" w:fill="FFFFFF"/>
          <w:lang w:val="it-IT"/>
        </w:rPr>
      </w:pPr>
    </w:p>
    <w:p w14:paraId="28FEC020" w14:textId="77777777" w:rsidR="004942B6" w:rsidRPr="006658D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6658D6">
        <w:rPr>
          <w:rFonts w:ascii="Arial" w:hAnsi="Arial" w:cs="Arial"/>
          <w:sz w:val="24"/>
          <w:szCs w:val="24"/>
          <w:shd w:val="clear" w:color="auto" w:fill="FFFFFF"/>
          <w:lang w:val="it-IT"/>
        </w:rPr>
        <w:t xml:space="preserve">Aricatt DP, Prabhu A, Avadhani R, et al. </w:t>
      </w:r>
      <w:r w:rsidRPr="006658D6">
        <w:rPr>
          <w:rFonts w:ascii="Arial" w:hAnsi="Arial" w:cs="Arial"/>
          <w:sz w:val="24"/>
          <w:szCs w:val="24"/>
          <w:shd w:val="clear" w:color="auto" w:fill="FFFFFF"/>
        </w:rPr>
        <w:t>A study of coronary dominance and its clinical significance. Folia Morphologica. 2023;82(1):102-107</w:t>
      </w:r>
      <w:r w:rsidRPr="006658D6">
        <w:rPr>
          <w:rFonts w:ascii="Arial" w:hAnsi="Arial" w:cs="Arial"/>
          <w:sz w:val="24"/>
          <w:szCs w:val="24"/>
          <w:lang w:eastAsia="en-GB"/>
        </w:rPr>
        <w:t>.</w:t>
      </w:r>
    </w:p>
    <w:p w14:paraId="501D6012" w14:textId="77777777" w:rsidR="004942B6" w:rsidRPr="00357893" w:rsidRDefault="004942B6" w:rsidP="004942B6">
      <w:pPr>
        <w:pStyle w:val="ListParagraph"/>
        <w:spacing w:line="240" w:lineRule="auto"/>
        <w:ind w:left="360"/>
        <w:jc w:val="both"/>
        <w:rPr>
          <w:rFonts w:ascii="Arial" w:hAnsi="Arial" w:cs="Arial"/>
          <w:sz w:val="24"/>
          <w:szCs w:val="24"/>
          <w:lang w:eastAsia="en-GB"/>
        </w:rPr>
      </w:pPr>
    </w:p>
    <w:p w14:paraId="11FB6138"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BE4BE4">
        <w:rPr>
          <w:rFonts w:ascii="Arial" w:hAnsi="Arial" w:cs="Arial"/>
          <w:sz w:val="24"/>
          <w:szCs w:val="24"/>
          <w:lang w:val="nl-NL"/>
        </w:rPr>
        <w:t xml:space="preserve">Knuuti J, Wijns W, Saraste A., et al. </w:t>
      </w:r>
      <w:r w:rsidRPr="00357893">
        <w:rPr>
          <w:rFonts w:ascii="Arial" w:hAnsi="Arial" w:cs="Arial"/>
          <w:sz w:val="24"/>
          <w:szCs w:val="24"/>
        </w:rPr>
        <w:t>(2019). 2019 ESC Guidelines for the diagnosis and management of chronic coronary syndromes. </w:t>
      </w:r>
      <w:r w:rsidRPr="00D06D32">
        <w:rPr>
          <w:rFonts w:ascii="Arial" w:hAnsi="Arial" w:cs="Arial"/>
          <w:sz w:val="24"/>
          <w:szCs w:val="24"/>
          <w:bdr w:val="single" w:sz="2" w:space="0" w:color="ECEDEE" w:frame="1"/>
        </w:rPr>
        <w:t>Eur Heart J</w:t>
      </w:r>
      <w:r>
        <w:rPr>
          <w:rFonts w:ascii="Arial" w:hAnsi="Arial" w:cs="Arial"/>
          <w:sz w:val="24"/>
          <w:szCs w:val="24"/>
        </w:rPr>
        <w:t>.</w:t>
      </w:r>
      <w:r w:rsidRPr="00357893">
        <w:rPr>
          <w:rFonts w:ascii="Arial" w:hAnsi="Arial" w:cs="Arial"/>
          <w:sz w:val="24"/>
          <w:szCs w:val="24"/>
        </w:rPr>
        <w:t> </w:t>
      </w:r>
      <w:r w:rsidRPr="00357893">
        <w:rPr>
          <w:rFonts w:ascii="Arial" w:hAnsi="Arial" w:cs="Arial"/>
          <w:sz w:val="24"/>
          <w:szCs w:val="24"/>
          <w:bdr w:val="single" w:sz="2" w:space="0" w:color="ECEDEE" w:frame="1"/>
        </w:rPr>
        <w:t>41</w:t>
      </w:r>
      <w:r w:rsidRPr="00357893">
        <w:rPr>
          <w:rFonts w:ascii="Arial" w:hAnsi="Arial" w:cs="Arial"/>
          <w:sz w:val="24"/>
          <w:szCs w:val="24"/>
        </w:rPr>
        <w:t>(3), 407–477. </w:t>
      </w:r>
    </w:p>
    <w:p w14:paraId="73CD4A2D" w14:textId="77777777" w:rsidR="004942B6" w:rsidRPr="006658D6" w:rsidRDefault="004942B6" w:rsidP="004942B6">
      <w:pPr>
        <w:pStyle w:val="ListParagraph"/>
        <w:rPr>
          <w:rFonts w:ascii="Arial" w:hAnsi="Arial" w:cs="Arial"/>
          <w:sz w:val="24"/>
          <w:szCs w:val="24"/>
          <w:lang w:eastAsia="en-GB"/>
        </w:rPr>
      </w:pPr>
    </w:p>
    <w:p w14:paraId="25A3A054"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6658D6">
        <w:rPr>
          <w:rFonts w:ascii="Arial" w:hAnsi="Arial" w:cs="Arial"/>
          <w:sz w:val="24"/>
          <w:szCs w:val="24"/>
          <w:lang w:eastAsia="en-GB"/>
        </w:rPr>
        <w:t>Casser A. Chronic coronary artery disease: Diagnosis and management. Mayo Clin Proc. 2009;84(12):1130–46.</w:t>
      </w:r>
    </w:p>
    <w:p w14:paraId="114A7349" w14:textId="77777777" w:rsidR="004942B6" w:rsidRPr="00C050AE" w:rsidRDefault="004942B6" w:rsidP="004942B6">
      <w:pPr>
        <w:pStyle w:val="ListParagraph"/>
        <w:rPr>
          <w:rFonts w:ascii="Arial" w:hAnsi="Arial" w:cs="Arial"/>
          <w:sz w:val="24"/>
          <w:szCs w:val="24"/>
        </w:rPr>
      </w:pPr>
    </w:p>
    <w:p w14:paraId="703576E8"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050AE">
        <w:rPr>
          <w:rFonts w:ascii="Arial" w:hAnsi="Arial" w:cs="Arial"/>
          <w:sz w:val="24"/>
          <w:szCs w:val="24"/>
        </w:rPr>
        <w:lastRenderedPageBreak/>
        <w:t>Diamond GA (1983). A clinically relevant classification of chest discomfort. </w:t>
      </w:r>
      <w:r w:rsidRPr="00C050AE">
        <w:rPr>
          <w:rFonts w:ascii="Arial" w:hAnsi="Arial" w:cs="Arial"/>
          <w:sz w:val="24"/>
          <w:szCs w:val="24"/>
          <w:bdr w:val="single" w:sz="2" w:space="0" w:color="ECEDEE" w:frame="1"/>
        </w:rPr>
        <w:t>J Am Coll Cardio</w:t>
      </w:r>
      <w:r w:rsidRPr="00C050AE">
        <w:rPr>
          <w:rFonts w:ascii="Arial" w:hAnsi="Arial" w:cs="Arial"/>
          <w:sz w:val="24"/>
          <w:szCs w:val="24"/>
        </w:rPr>
        <w:t>, </w:t>
      </w:r>
      <w:r w:rsidRPr="00C050AE">
        <w:rPr>
          <w:rFonts w:ascii="Arial" w:hAnsi="Arial" w:cs="Arial"/>
          <w:sz w:val="24"/>
          <w:szCs w:val="24"/>
          <w:bdr w:val="single" w:sz="2" w:space="0" w:color="ECEDEE" w:frame="1"/>
        </w:rPr>
        <w:t>1</w:t>
      </w:r>
      <w:r w:rsidRPr="00C050AE">
        <w:rPr>
          <w:rFonts w:ascii="Arial" w:hAnsi="Arial" w:cs="Arial"/>
          <w:sz w:val="24"/>
          <w:szCs w:val="24"/>
        </w:rPr>
        <w:t>(2), 574–575.</w:t>
      </w:r>
    </w:p>
    <w:p w14:paraId="4E1F95BF" w14:textId="77777777" w:rsidR="004942B6" w:rsidRPr="00C050AE" w:rsidRDefault="004942B6" w:rsidP="004942B6">
      <w:pPr>
        <w:pStyle w:val="ListParagraph"/>
        <w:rPr>
          <w:rFonts w:ascii="Arial" w:hAnsi="Arial" w:cs="Arial"/>
          <w:sz w:val="24"/>
          <w:szCs w:val="24"/>
          <w:lang w:val="it-IT"/>
        </w:rPr>
      </w:pPr>
    </w:p>
    <w:p w14:paraId="2CC096C8"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050AE">
        <w:rPr>
          <w:rFonts w:ascii="Arial" w:hAnsi="Arial" w:cs="Arial"/>
          <w:sz w:val="24"/>
          <w:szCs w:val="24"/>
          <w:lang w:val="it-IT"/>
        </w:rPr>
        <w:t xml:space="preserve">Collet JP, Thiele H, Barbato E, et al. </w:t>
      </w:r>
      <w:r w:rsidRPr="00C050AE">
        <w:rPr>
          <w:rFonts w:ascii="Arial" w:hAnsi="Arial" w:cs="Arial"/>
          <w:sz w:val="24"/>
          <w:szCs w:val="24"/>
        </w:rPr>
        <w:t>(2020). 2020 ESC Guidelines for the management of acute coronary syndromes in patients presenting without persistent ST-segment elevation. </w:t>
      </w:r>
      <w:r w:rsidRPr="00C050AE">
        <w:rPr>
          <w:rFonts w:ascii="Arial" w:hAnsi="Arial" w:cs="Arial"/>
          <w:color w:val="212121"/>
          <w:sz w:val="24"/>
          <w:szCs w:val="24"/>
          <w:shd w:val="clear" w:color="auto" w:fill="FFFFFF"/>
        </w:rPr>
        <w:t>Eur Heart J</w:t>
      </w:r>
      <w:r w:rsidRPr="00C050AE">
        <w:rPr>
          <w:rFonts w:ascii="Arial" w:hAnsi="Arial" w:cs="Arial"/>
          <w:sz w:val="24"/>
          <w:szCs w:val="24"/>
        </w:rPr>
        <w:t>, </w:t>
      </w:r>
      <w:r w:rsidRPr="00C050AE">
        <w:rPr>
          <w:rFonts w:ascii="Arial" w:hAnsi="Arial" w:cs="Arial"/>
          <w:sz w:val="24"/>
          <w:szCs w:val="24"/>
          <w:bdr w:val="single" w:sz="2" w:space="0" w:color="ECEDEE" w:frame="1"/>
        </w:rPr>
        <w:t>42</w:t>
      </w:r>
      <w:r w:rsidRPr="00C050AE">
        <w:rPr>
          <w:rFonts w:ascii="Arial" w:hAnsi="Arial" w:cs="Arial"/>
          <w:sz w:val="24"/>
          <w:szCs w:val="24"/>
        </w:rPr>
        <w:t>(14), 1289–1367.</w:t>
      </w:r>
    </w:p>
    <w:p w14:paraId="73653AB0" w14:textId="77777777" w:rsidR="004942B6" w:rsidRPr="00C050AE" w:rsidRDefault="004942B6" w:rsidP="004942B6">
      <w:pPr>
        <w:pStyle w:val="ListParagraph"/>
        <w:rPr>
          <w:rFonts w:ascii="Arial" w:hAnsi="Arial" w:cs="Arial"/>
          <w:sz w:val="24"/>
          <w:szCs w:val="24"/>
        </w:rPr>
      </w:pPr>
    </w:p>
    <w:p w14:paraId="0D896F7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050AE">
        <w:rPr>
          <w:rFonts w:ascii="Arial" w:hAnsi="Arial" w:cs="Arial"/>
          <w:sz w:val="24"/>
          <w:szCs w:val="24"/>
        </w:rPr>
        <w:t>Amsterdam EA, Wenger NK, Brindis RG, et al. 2014 AHA/ACC Guideline for the Management of Patients With Non–ST-Elevation Acute Coronary Syndromes: A Report of the American College of Cardiology/American Heart Association Task Force on Practice Guidelines. J Am Coll Cardiol. 2014 Dec 23;64(24): e139–228.</w:t>
      </w:r>
    </w:p>
    <w:p w14:paraId="6C85257A" w14:textId="77777777" w:rsidR="004942B6" w:rsidRPr="00C050AE" w:rsidRDefault="004942B6" w:rsidP="004942B6">
      <w:pPr>
        <w:pStyle w:val="ListParagraph"/>
        <w:rPr>
          <w:rFonts w:ascii="Arial" w:hAnsi="Arial" w:cs="Arial"/>
          <w:sz w:val="24"/>
          <w:szCs w:val="24"/>
          <w:lang w:val="fr-FR"/>
        </w:rPr>
      </w:pPr>
    </w:p>
    <w:p w14:paraId="4AFBBAF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050AE">
        <w:rPr>
          <w:rFonts w:ascii="Arial" w:hAnsi="Arial" w:cs="Arial"/>
          <w:sz w:val="24"/>
          <w:szCs w:val="24"/>
          <w:lang w:val="fr-FR"/>
        </w:rPr>
        <w:t>Choudhury T, West NE, El</w:t>
      </w:r>
      <w:r w:rsidRPr="00C050AE">
        <w:rPr>
          <w:rFonts w:ascii="Cambria Math" w:hAnsi="Cambria Math" w:cs="Cambria Math"/>
          <w:sz w:val="24"/>
          <w:szCs w:val="24"/>
          <w:lang w:val="fr-FR"/>
        </w:rPr>
        <w:t>‐</w:t>
      </w:r>
      <w:r w:rsidRPr="00C050AE">
        <w:rPr>
          <w:rFonts w:ascii="Arial" w:hAnsi="Arial" w:cs="Arial"/>
          <w:sz w:val="24"/>
          <w:szCs w:val="24"/>
          <w:lang w:val="fr-FR"/>
        </w:rPr>
        <w:t xml:space="preserve">Omar M. (2016). </w:t>
      </w:r>
      <w:r w:rsidRPr="00C050AE">
        <w:rPr>
          <w:rFonts w:ascii="Arial" w:hAnsi="Arial" w:cs="Arial"/>
          <w:sz w:val="24"/>
          <w:szCs w:val="24"/>
        </w:rPr>
        <w:t>ST elevation myocardial infarction. J. Clin. Med, </w:t>
      </w:r>
      <w:r w:rsidRPr="00C050AE">
        <w:rPr>
          <w:rFonts w:ascii="Arial" w:hAnsi="Arial" w:cs="Arial"/>
          <w:sz w:val="24"/>
          <w:szCs w:val="24"/>
          <w:bdr w:val="single" w:sz="2" w:space="0" w:color="ECEDEE" w:frame="1"/>
        </w:rPr>
        <w:t>16</w:t>
      </w:r>
      <w:r w:rsidRPr="00C050AE">
        <w:rPr>
          <w:rFonts w:ascii="Arial" w:hAnsi="Arial" w:cs="Arial"/>
          <w:sz w:val="24"/>
          <w:szCs w:val="24"/>
        </w:rPr>
        <w:t>(3), 277–282. </w:t>
      </w:r>
    </w:p>
    <w:p w14:paraId="363FB90C" w14:textId="77777777" w:rsidR="004942B6" w:rsidRPr="00C050AE" w:rsidRDefault="004942B6" w:rsidP="004942B6">
      <w:pPr>
        <w:pStyle w:val="ListParagraph"/>
        <w:rPr>
          <w:rFonts w:ascii="Arial" w:hAnsi="Arial" w:cs="Arial"/>
          <w:sz w:val="24"/>
          <w:szCs w:val="24"/>
          <w:lang w:eastAsia="en-GB"/>
        </w:rPr>
      </w:pPr>
    </w:p>
    <w:p w14:paraId="45AAC0C0"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050AE">
        <w:rPr>
          <w:rFonts w:ascii="Arial" w:hAnsi="Arial" w:cs="Arial"/>
          <w:sz w:val="24"/>
          <w:szCs w:val="24"/>
          <w:lang w:eastAsia="en-GB"/>
        </w:rPr>
        <w:t>Thygesen K, Alpert JS, Jaffe AS, et al. (2018). Fourth Universal Definition of Myocardial Infarction (2018). Circulation, 138(20).</w:t>
      </w:r>
    </w:p>
    <w:p w14:paraId="42B152DA" w14:textId="77777777" w:rsidR="004942B6" w:rsidRPr="00DC1CA4" w:rsidRDefault="004942B6" w:rsidP="004942B6">
      <w:pPr>
        <w:pStyle w:val="ListParagraph"/>
        <w:rPr>
          <w:rFonts w:ascii="Arial" w:hAnsi="Arial" w:cs="Arial"/>
          <w:sz w:val="24"/>
          <w:szCs w:val="24"/>
        </w:rPr>
      </w:pPr>
    </w:p>
    <w:p w14:paraId="27C44B84"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Roffi M, Patrono C, Collet JP, et al. 2015 ESC Guidelines for the management of acute coronary syndromes in patients presenting without persistent ST-segment elevation. Task Force for the Management of Acute Coronary Syndromes in Patients Presenting without Persistent ST-Segment Elevation of the European Society of Cardiology (ESC). Eur Heart J. 2016 Jan 14;37(3):267–315.</w:t>
      </w:r>
    </w:p>
    <w:p w14:paraId="3091C405" w14:textId="77777777" w:rsidR="004942B6" w:rsidRPr="00DC1CA4" w:rsidRDefault="004942B6" w:rsidP="004942B6">
      <w:pPr>
        <w:pStyle w:val="ListParagraph"/>
        <w:rPr>
          <w:rFonts w:ascii="Arial" w:hAnsi="Arial" w:cs="Arial"/>
          <w:sz w:val="24"/>
          <w:szCs w:val="24"/>
        </w:rPr>
      </w:pPr>
    </w:p>
    <w:p w14:paraId="6319CF14"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Cohen M, Visveswaran G. (2020). Defining and managing patients with non</w:t>
      </w:r>
      <w:r w:rsidRPr="00DC1CA4">
        <w:rPr>
          <w:rFonts w:ascii="Cambria Math" w:hAnsi="Cambria Math" w:cs="Cambria Math"/>
          <w:sz w:val="24"/>
          <w:szCs w:val="24"/>
        </w:rPr>
        <w:t>‐</w:t>
      </w:r>
      <w:r w:rsidRPr="00DC1CA4">
        <w:rPr>
          <w:rFonts w:ascii="Arial" w:hAnsi="Arial" w:cs="Arial"/>
          <w:sz w:val="24"/>
          <w:szCs w:val="24"/>
        </w:rPr>
        <w:t>ST</w:t>
      </w:r>
      <w:r w:rsidRPr="00DC1CA4">
        <w:rPr>
          <w:rFonts w:ascii="Cambria Math" w:hAnsi="Cambria Math" w:cs="Cambria Math"/>
          <w:sz w:val="24"/>
          <w:szCs w:val="24"/>
        </w:rPr>
        <w:t>‐</w:t>
      </w:r>
      <w:r w:rsidRPr="00DC1CA4">
        <w:rPr>
          <w:rFonts w:ascii="Arial" w:hAnsi="Arial" w:cs="Arial"/>
          <w:sz w:val="24"/>
          <w:szCs w:val="24"/>
        </w:rPr>
        <w:t>elevation myocardial infarction: Sorting through type 1 vs other types. </w:t>
      </w:r>
      <w:r w:rsidRPr="00DC1CA4">
        <w:rPr>
          <w:rFonts w:ascii="Arial" w:hAnsi="Arial" w:cs="Arial"/>
          <w:sz w:val="24"/>
          <w:szCs w:val="24"/>
          <w:bdr w:val="single" w:sz="2" w:space="0" w:color="ECEDEE" w:frame="1"/>
        </w:rPr>
        <w:t>Clin Cardiol</w:t>
      </w:r>
      <w:r w:rsidRPr="00DC1CA4">
        <w:rPr>
          <w:rFonts w:ascii="Arial" w:hAnsi="Arial" w:cs="Arial"/>
          <w:sz w:val="24"/>
          <w:szCs w:val="24"/>
        </w:rPr>
        <w:t>, </w:t>
      </w:r>
      <w:r w:rsidRPr="00DC1CA4">
        <w:rPr>
          <w:rFonts w:ascii="Arial" w:hAnsi="Arial" w:cs="Arial"/>
          <w:sz w:val="24"/>
          <w:szCs w:val="24"/>
          <w:bdr w:val="single" w:sz="2" w:space="0" w:color="ECEDEE" w:frame="1"/>
        </w:rPr>
        <w:t>43</w:t>
      </w:r>
      <w:r w:rsidRPr="00DC1CA4">
        <w:rPr>
          <w:rFonts w:ascii="Arial" w:hAnsi="Arial" w:cs="Arial"/>
          <w:sz w:val="24"/>
          <w:szCs w:val="24"/>
        </w:rPr>
        <w:t>(3), 242–250.</w:t>
      </w:r>
    </w:p>
    <w:p w14:paraId="702A153E" w14:textId="77777777" w:rsidR="004942B6" w:rsidRPr="00DC1CA4" w:rsidRDefault="004942B6" w:rsidP="004942B6">
      <w:pPr>
        <w:pStyle w:val="ListParagraph"/>
        <w:rPr>
          <w:rFonts w:ascii="Arial" w:hAnsi="Arial" w:cs="Arial"/>
          <w:sz w:val="24"/>
          <w:szCs w:val="24"/>
          <w:lang w:val="pl-PL"/>
        </w:rPr>
      </w:pPr>
    </w:p>
    <w:p w14:paraId="197DE9B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lang w:val="pl-PL"/>
        </w:rPr>
        <w:t xml:space="preserve">Yasue H, Takizawa A, Nagao M, et al. </w:t>
      </w:r>
      <w:r w:rsidRPr="00DC1CA4">
        <w:rPr>
          <w:rFonts w:ascii="Arial" w:hAnsi="Arial" w:cs="Arial"/>
          <w:sz w:val="24"/>
          <w:szCs w:val="24"/>
        </w:rPr>
        <w:t>Long-term prognosis for patients with variant angina and influential factors. Circulation. 1988 Jul;78(1):1–9.</w:t>
      </w:r>
    </w:p>
    <w:p w14:paraId="0E7B73BD" w14:textId="77777777" w:rsidR="004942B6" w:rsidRPr="00DC1CA4" w:rsidRDefault="004942B6" w:rsidP="004942B6">
      <w:pPr>
        <w:pStyle w:val="ListParagraph"/>
        <w:rPr>
          <w:rFonts w:ascii="Arial" w:hAnsi="Arial" w:cs="Arial"/>
          <w:sz w:val="24"/>
          <w:szCs w:val="24"/>
        </w:rPr>
      </w:pPr>
    </w:p>
    <w:p w14:paraId="3113C8DE"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Williams M, Moss AJ, Dweck, et al. (2019). Coronary artery plaque characteristics associated with adverse outcomes in the SCOT-HEART study. </w:t>
      </w:r>
      <w:r w:rsidRPr="00DC1CA4">
        <w:rPr>
          <w:rFonts w:ascii="Arial" w:hAnsi="Arial" w:cs="Arial"/>
          <w:sz w:val="24"/>
          <w:szCs w:val="24"/>
          <w:bdr w:val="single" w:sz="2" w:space="0" w:color="ECEDEE" w:frame="1"/>
        </w:rPr>
        <w:t>J Am Coll Cardio</w:t>
      </w:r>
      <w:r w:rsidRPr="00DC1CA4">
        <w:rPr>
          <w:rFonts w:ascii="Arial" w:hAnsi="Arial" w:cs="Arial"/>
          <w:sz w:val="24"/>
          <w:szCs w:val="24"/>
        </w:rPr>
        <w:t>, </w:t>
      </w:r>
      <w:r w:rsidRPr="00DC1CA4">
        <w:rPr>
          <w:rFonts w:ascii="Arial" w:hAnsi="Arial" w:cs="Arial"/>
          <w:sz w:val="24"/>
          <w:szCs w:val="24"/>
          <w:bdr w:val="single" w:sz="2" w:space="0" w:color="ECEDEE" w:frame="1"/>
        </w:rPr>
        <w:t>73</w:t>
      </w:r>
      <w:r w:rsidRPr="00DC1CA4">
        <w:rPr>
          <w:rFonts w:ascii="Arial" w:hAnsi="Arial" w:cs="Arial"/>
          <w:sz w:val="24"/>
          <w:szCs w:val="24"/>
        </w:rPr>
        <w:t>(3), 291–301.</w:t>
      </w:r>
    </w:p>
    <w:p w14:paraId="5F0DB0C2" w14:textId="77777777" w:rsidR="004942B6" w:rsidRPr="00DC1CA4" w:rsidRDefault="004942B6" w:rsidP="004942B6">
      <w:pPr>
        <w:pStyle w:val="ListParagraph"/>
        <w:rPr>
          <w:rFonts w:ascii="Arial" w:hAnsi="Arial" w:cs="Arial"/>
          <w:sz w:val="24"/>
          <w:szCs w:val="24"/>
        </w:rPr>
      </w:pPr>
    </w:p>
    <w:p w14:paraId="2B42E097"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Turgeon RD, Sedlak T. (2021). Use of preventive medications in patients with nonobstructive coronary artery disease: analysis of the PROMISE Trial. </w:t>
      </w:r>
      <w:r w:rsidRPr="00DC1CA4">
        <w:rPr>
          <w:rFonts w:ascii="Arial" w:hAnsi="Arial" w:cs="Arial"/>
          <w:sz w:val="24"/>
          <w:szCs w:val="24"/>
          <w:bdr w:val="single" w:sz="2" w:space="0" w:color="ECEDEE" w:frame="1"/>
        </w:rPr>
        <w:t>CJC Open</w:t>
      </w:r>
      <w:r w:rsidRPr="00DC1CA4">
        <w:rPr>
          <w:rFonts w:ascii="Arial" w:hAnsi="Arial" w:cs="Arial"/>
          <w:sz w:val="24"/>
          <w:szCs w:val="24"/>
        </w:rPr>
        <w:t>, </w:t>
      </w:r>
      <w:r w:rsidRPr="00DC1CA4">
        <w:rPr>
          <w:rFonts w:ascii="Arial" w:hAnsi="Arial" w:cs="Arial"/>
          <w:sz w:val="24"/>
          <w:szCs w:val="24"/>
          <w:bdr w:val="single" w:sz="2" w:space="0" w:color="ECEDEE" w:frame="1"/>
        </w:rPr>
        <w:t>3</w:t>
      </w:r>
      <w:r w:rsidRPr="00DC1CA4">
        <w:rPr>
          <w:rFonts w:ascii="Arial" w:hAnsi="Arial" w:cs="Arial"/>
          <w:sz w:val="24"/>
          <w:szCs w:val="24"/>
        </w:rPr>
        <w:t>(2), 159–166.</w:t>
      </w:r>
    </w:p>
    <w:p w14:paraId="3FAEB9BA" w14:textId="77777777" w:rsidR="004942B6" w:rsidRPr="00DC1CA4" w:rsidRDefault="004942B6" w:rsidP="004942B6">
      <w:pPr>
        <w:pStyle w:val="ListParagraph"/>
        <w:rPr>
          <w:rFonts w:ascii="Arial" w:hAnsi="Arial" w:cs="Arial"/>
          <w:sz w:val="24"/>
          <w:szCs w:val="24"/>
          <w:lang w:val="fr-FR"/>
        </w:rPr>
      </w:pPr>
    </w:p>
    <w:p w14:paraId="2D17E93E"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lang w:val="fr-FR"/>
        </w:rPr>
        <w:t xml:space="preserve">Douglas PS, De Bruyne B, Pontone G, et al. </w:t>
      </w:r>
      <w:r w:rsidRPr="00DC1CA4">
        <w:rPr>
          <w:rFonts w:ascii="Arial" w:hAnsi="Arial" w:cs="Arial"/>
          <w:sz w:val="24"/>
          <w:szCs w:val="24"/>
        </w:rPr>
        <w:t>(2016). 1-Year outcomes of FFRCT-Guided care in patients with suspected coronary disease. </w:t>
      </w:r>
      <w:r w:rsidRPr="00DC1CA4">
        <w:rPr>
          <w:rFonts w:ascii="Arial" w:hAnsi="Arial" w:cs="Arial"/>
          <w:sz w:val="24"/>
          <w:szCs w:val="24"/>
          <w:bdr w:val="single" w:sz="2" w:space="0" w:color="ECEDEE" w:frame="1"/>
        </w:rPr>
        <w:t>J Am Coll Cardio</w:t>
      </w:r>
      <w:r w:rsidRPr="00DC1CA4">
        <w:rPr>
          <w:rFonts w:ascii="Arial" w:hAnsi="Arial" w:cs="Arial"/>
          <w:sz w:val="24"/>
          <w:szCs w:val="24"/>
        </w:rPr>
        <w:t>, </w:t>
      </w:r>
      <w:r w:rsidRPr="00DC1CA4">
        <w:rPr>
          <w:rFonts w:ascii="Arial" w:hAnsi="Arial" w:cs="Arial"/>
          <w:sz w:val="24"/>
          <w:szCs w:val="24"/>
          <w:bdr w:val="single" w:sz="2" w:space="0" w:color="ECEDEE" w:frame="1"/>
        </w:rPr>
        <w:t>68</w:t>
      </w:r>
      <w:r w:rsidRPr="00DC1CA4">
        <w:rPr>
          <w:rFonts w:ascii="Arial" w:hAnsi="Arial" w:cs="Arial"/>
          <w:sz w:val="24"/>
          <w:szCs w:val="24"/>
        </w:rPr>
        <w:t>(5), 435–445.</w:t>
      </w:r>
    </w:p>
    <w:p w14:paraId="095BACBE" w14:textId="77777777" w:rsidR="004942B6" w:rsidRPr="00DC1CA4" w:rsidRDefault="004942B6" w:rsidP="004942B6">
      <w:pPr>
        <w:pStyle w:val="ListParagraph"/>
        <w:rPr>
          <w:rFonts w:ascii="Arial" w:hAnsi="Arial" w:cs="Arial"/>
          <w:sz w:val="24"/>
          <w:szCs w:val="24"/>
          <w:shd w:val="clear" w:color="auto" w:fill="FFFFFF"/>
          <w:lang w:val="de-DE"/>
        </w:rPr>
      </w:pPr>
    </w:p>
    <w:p w14:paraId="1CFEB7DD" w14:textId="77777777" w:rsidR="004942B6" w:rsidRPr="00DC1CA4"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shd w:val="clear" w:color="auto" w:fill="FFFFFF"/>
          <w:lang w:val="de-DE"/>
        </w:rPr>
        <w:t xml:space="preserve">Hoffmann U, Truong QA, Schoenfeld DA, et al. </w:t>
      </w:r>
      <w:r w:rsidRPr="00DC1CA4">
        <w:rPr>
          <w:rFonts w:ascii="Arial" w:hAnsi="Arial" w:cs="Arial"/>
          <w:sz w:val="24"/>
          <w:szCs w:val="24"/>
          <w:shd w:val="clear" w:color="auto" w:fill="FFFFFF"/>
        </w:rPr>
        <w:t>(2012). Coronary CT angiography versus standard evaluation in acute chest pain. </w:t>
      </w:r>
      <w:r w:rsidRPr="00DC1CA4">
        <w:rPr>
          <w:rStyle w:val="Emphasis"/>
          <w:rFonts w:ascii="Arial" w:hAnsi="Arial" w:cs="Arial"/>
          <w:i w:val="0"/>
          <w:iCs w:val="0"/>
          <w:sz w:val="24"/>
          <w:szCs w:val="24"/>
        </w:rPr>
        <w:t>N Engl J Med, 367 4</w:t>
      </w:r>
      <w:r w:rsidRPr="00DC1CA4">
        <w:rPr>
          <w:rFonts w:ascii="Arial" w:hAnsi="Arial" w:cs="Arial"/>
          <w:sz w:val="24"/>
          <w:szCs w:val="24"/>
          <w:shd w:val="clear" w:color="auto" w:fill="FFFFFF"/>
        </w:rPr>
        <w:t>, 299-308.</w:t>
      </w:r>
    </w:p>
    <w:p w14:paraId="72E04DA8" w14:textId="77777777" w:rsidR="004942B6" w:rsidRPr="00DC1CA4" w:rsidRDefault="004942B6" w:rsidP="004942B6">
      <w:pPr>
        <w:pStyle w:val="ListParagraph"/>
        <w:rPr>
          <w:rFonts w:ascii="Arial" w:hAnsi="Arial" w:cs="Arial"/>
          <w:sz w:val="24"/>
          <w:szCs w:val="24"/>
          <w:lang w:val="nl-NL"/>
        </w:rPr>
      </w:pPr>
    </w:p>
    <w:p w14:paraId="221024F6"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lang w:val="nl-NL"/>
        </w:rPr>
        <w:t xml:space="preserve">Van Den Boogert TP, Claessen BE, Van Randen A, et al. </w:t>
      </w:r>
      <w:r w:rsidRPr="00DC1CA4">
        <w:rPr>
          <w:rFonts w:ascii="Arial" w:hAnsi="Arial" w:cs="Arial"/>
          <w:sz w:val="24"/>
          <w:szCs w:val="24"/>
        </w:rPr>
        <w:t xml:space="preserve">(2021). Implementation of CT coronary angiography as an alternative to invasive coronary angiography in </w:t>
      </w:r>
      <w:r w:rsidRPr="00DC1CA4">
        <w:rPr>
          <w:rFonts w:ascii="Arial" w:hAnsi="Arial" w:cs="Arial"/>
          <w:sz w:val="24"/>
          <w:szCs w:val="24"/>
        </w:rPr>
        <w:lastRenderedPageBreak/>
        <w:t>the diagnostic Work-Up of Non-Coronary cardiac surgery, cardiomyopathy, heart failure and ventricular arrhythmias. </w:t>
      </w:r>
      <w:r w:rsidRPr="00DC1CA4">
        <w:rPr>
          <w:rFonts w:ascii="Arial" w:hAnsi="Arial" w:cs="Arial"/>
          <w:sz w:val="24"/>
          <w:szCs w:val="24"/>
          <w:bdr w:val="single" w:sz="2" w:space="0" w:color="ECEDEE" w:frame="1"/>
        </w:rPr>
        <w:t>J. Clin. Med</w:t>
      </w:r>
      <w:r w:rsidRPr="00DC1CA4">
        <w:rPr>
          <w:rFonts w:ascii="Arial" w:hAnsi="Arial" w:cs="Arial"/>
          <w:sz w:val="24"/>
          <w:szCs w:val="24"/>
        </w:rPr>
        <w:t>, </w:t>
      </w:r>
      <w:r w:rsidRPr="00DC1CA4">
        <w:rPr>
          <w:rFonts w:ascii="Arial" w:hAnsi="Arial" w:cs="Arial"/>
          <w:sz w:val="24"/>
          <w:szCs w:val="24"/>
          <w:bdr w:val="single" w:sz="2" w:space="0" w:color="ECEDEE" w:frame="1"/>
        </w:rPr>
        <w:t>10</w:t>
      </w:r>
      <w:r w:rsidRPr="00DC1CA4">
        <w:rPr>
          <w:rFonts w:ascii="Arial" w:hAnsi="Arial" w:cs="Arial"/>
          <w:sz w:val="24"/>
          <w:szCs w:val="24"/>
        </w:rPr>
        <w:t>(11), 2374-6.</w:t>
      </w:r>
    </w:p>
    <w:p w14:paraId="6066BFD1" w14:textId="77777777" w:rsidR="004942B6" w:rsidRPr="00DC1CA4" w:rsidRDefault="004942B6" w:rsidP="004942B6">
      <w:pPr>
        <w:pStyle w:val="ListParagraph"/>
        <w:rPr>
          <w:rFonts w:ascii="Arial" w:hAnsi="Arial" w:cs="Arial"/>
          <w:sz w:val="24"/>
          <w:szCs w:val="24"/>
          <w:lang w:val="it-IT"/>
        </w:rPr>
      </w:pPr>
    </w:p>
    <w:p w14:paraId="60D9959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lang w:val="it-IT"/>
        </w:rPr>
        <w:t>Knuuti J, Ballo H, Juarez</w:t>
      </w:r>
      <w:r w:rsidRPr="00DC1CA4">
        <w:rPr>
          <w:rFonts w:ascii="Cambria Math" w:hAnsi="Cambria Math" w:cs="Cambria Math"/>
          <w:sz w:val="24"/>
          <w:szCs w:val="24"/>
          <w:lang w:val="it-IT"/>
        </w:rPr>
        <w:t>‐</w:t>
      </w:r>
      <w:r w:rsidRPr="00DC1CA4">
        <w:rPr>
          <w:rFonts w:ascii="Arial" w:hAnsi="Arial" w:cs="Arial"/>
          <w:sz w:val="24"/>
          <w:szCs w:val="24"/>
          <w:lang w:val="it-IT"/>
        </w:rPr>
        <w:t xml:space="preserve">Orozco LE, et al. </w:t>
      </w:r>
      <w:r w:rsidRPr="00DC1CA4">
        <w:rPr>
          <w:rFonts w:ascii="Arial" w:hAnsi="Arial" w:cs="Arial"/>
          <w:sz w:val="24"/>
          <w:szCs w:val="24"/>
        </w:rPr>
        <w:t>(2018). The performance of non-invasive tests to rule-in and rule-out significant coronary artery stenosis in patients with stable angina: a meta-analysis focused on post-test disease probability. </w:t>
      </w:r>
      <w:r w:rsidRPr="00DC1CA4">
        <w:rPr>
          <w:rFonts w:ascii="Arial" w:hAnsi="Arial" w:cs="Arial"/>
          <w:sz w:val="24"/>
          <w:szCs w:val="24"/>
          <w:bdr w:val="single" w:sz="2" w:space="0" w:color="ECEDEE" w:frame="1"/>
        </w:rPr>
        <w:t>Eur Heart J</w:t>
      </w:r>
      <w:r w:rsidRPr="00DC1CA4">
        <w:rPr>
          <w:rFonts w:ascii="Arial" w:hAnsi="Arial" w:cs="Arial"/>
          <w:sz w:val="24"/>
          <w:szCs w:val="24"/>
        </w:rPr>
        <w:t>, </w:t>
      </w:r>
      <w:r w:rsidRPr="00DC1CA4">
        <w:rPr>
          <w:rFonts w:ascii="Arial" w:hAnsi="Arial" w:cs="Arial"/>
          <w:sz w:val="24"/>
          <w:szCs w:val="24"/>
          <w:bdr w:val="single" w:sz="2" w:space="0" w:color="ECEDEE" w:frame="1"/>
        </w:rPr>
        <w:t>39</w:t>
      </w:r>
      <w:r w:rsidRPr="00DC1CA4">
        <w:rPr>
          <w:rFonts w:ascii="Arial" w:hAnsi="Arial" w:cs="Arial"/>
          <w:sz w:val="24"/>
          <w:szCs w:val="24"/>
        </w:rPr>
        <w:t>(35), 3322–3330.</w:t>
      </w:r>
    </w:p>
    <w:p w14:paraId="164C5B1C" w14:textId="77777777" w:rsidR="004942B6" w:rsidRPr="00DC1CA4" w:rsidRDefault="004942B6" w:rsidP="004942B6">
      <w:pPr>
        <w:pStyle w:val="ListParagraph"/>
        <w:rPr>
          <w:rFonts w:ascii="Arial" w:hAnsi="Arial" w:cs="Arial"/>
          <w:sz w:val="24"/>
          <w:szCs w:val="24"/>
        </w:rPr>
      </w:pPr>
    </w:p>
    <w:p w14:paraId="0A4FFCD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Shah BN, Macnab A, Lynch JF, et al. (2018). Stress echocardiography in contemporary clinical cardiology: practical considerations and accreditation. </w:t>
      </w:r>
      <w:r w:rsidRPr="00DC1CA4">
        <w:rPr>
          <w:rFonts w:ascii="Arial" w:hAnsi="Arial" w:cs="Arial"/>
          <w:sz w:val="24"/>
          <w:szCs w:val="24"/>
          <w:bdr w:val="single" w:sz="2" w:space="0" w:color="ECEDEE" w:frame="1"/>
        </w:rPr>
        <w:t>Echo Research &amp; Practice</w:t>
      </w:r>
      <w:r w:rsidRPr="00DC1CA4">
        <w:rPr>
          <w:rFonts w:ascii="Arial" w:hAnsi="Arial" w:cs="Arial"/>
          <w:sz w:val="24"/>
          <w:szCs w:val="24"/>
        </w:rPr>
        <w:t>, </w:t>
      </w:r>
      <w:r w:rsidRPr="00DC1CA4">
        <w:rPr>
          <w:rFonts w:ascii="Arial" w:hAnsi="Arial" w:cs="Arial"/>
          <w:sz w:val="24"/>
          <w:szCs w:val="24"/>
          <w:bdr w:val="single" w:sz="2" w:space="0" w:color="ECEDEE" w:frame="1"/>
        </w:rPr>
        <w:t>5</w:t>
      </w:r>
      <w:r w:rsidRPr="00DC1CA4">
        <w:rPr>
          <w:rFonts w:ascii="Arial" w:hAnsi="Arial" w:cs="Arial"/>
          <w:sz w:val="24"/>
          <w:szCs w:val="24"/>
        </w:rPr>
        <w:t>(1), E1–E6.</w:t>
      </w:r>
    </w:p>
    <w:p w14:paraId="39A2A7E1" w14:textId="77777777" w:rsidR="004942B6" w:rsidRPr="00DC1CA4" w:rsidRDefault="004942B6" w:rsidP="004942B6">
      <w:pPr>
        <w:pStyle w:val="ListParagraph"/>
        <w:rPr>
          <w:rFonts w:ascii="Arial" w:hAnsi="Arial" w:cs="Arial"/>
          <w:sz w:val="24"/>
          <w:szCs w:val="24"/>
        </w:rPr>
      </w:pPr>
    </w:p>
    <w:p w14:paraId="300F474B"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Zacharias K, Ahmed A, Shah BN, et al. (2016). Relative clinical and economic impact of exercise echocardiography vs. exercise electrocardiography, as first line investigation in patients without known coronary artery disease and new stable angina: a randomized prospective study. </w:t>
      </w:r>
      <w:r w:rsidRPr="00DC1CA4">
        <w:rPr>
          <w:rFonts w:ascii="Arial" w:hAnsi="Arial" w:cs="Arial"/>
          <w:sz w:val="24"/>
          <w:szCs w:val="24"/>
          <w:bdr w:val="single" w:sz="2" w:space="0" w:color="ECEDEE" w:frame="1"/>
        </w:rPr>
        <w:t>Eur Heart J. Cardiovasc. Imaging</w:t>
      </w:r>
      <w:r w:rsidRPr="00DC1CA4">
        <w:rPr>
          <w:rFonts w:ascii="Arial" w:hAnsi="Arial" w:cs="Arial"/>
          <w:sz w:val="24"/>
          <w:szCs w:val="24"/>
        </w:rPr>
        <w:t>, </w:t>
      </w:r>
      <w:r w:rsidRPr="00DC1CA4">
        <w:rPr>
          <w:rFonts w:ascii="Arial" w:hAnsi="Arial" w:cs="Arial"/>
          <w:sz w:val="24"/>
          <w:szCs w:val="24"/>
          <w:bdr w:val="single" w:sz="2" w:space="0" w:color="ECEDEE" w:frame="1"/>
        </w:rPr>
        <w:t>18</w:t>
      </w:r>
      <w:r w:rsidRPr="00DC1CA4">
        <w:rPr>
          <w:rFonts w:ascii="Arial" w:hAnsi="Arial" w:cs="Arial"/>
          <w:sz w:val="24"/>
          <w:szCs w:val="24"/>
        </w:rPr>
        <w:t>(2), 195–202.</w:t>
      </w:r>
    </w:p>
    <w:p w14:paraId="552ED8F1" w14:textId="77777777" w:rsidR="004942B6" w:rsidRPr="00DC1CA4" w:rsidRDefault="004942B6" w:rsidP="004942B6">
      <w:pPr>
        <w:pStyle w:val="ListParagraph"/>
        <w:rPr>
          <w:rFonts w:ascii="Arial" w:hAnsi="Arial" w:cs="Arial"/>
          <w:sz w:val="24"/>
          <w:szCs w:val="24"/>
        </w:rPr>
      </w:pPr>
    </w:p>
    <w:p w14:paraId="0145877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Kowatsch I, Tsutsui J, Osório A, et al. (2007). Head-to-Head comparison of dobutamine and adenosine stress real-time myocardial perfusion echocardiography for the detection of coronary artery disease. </w:t>
      </w:r>
      <w:r w:rsidRPr="00DC1CA4">
        <w:rPr>
          <w:rFonts w:ascii="Arial" w:hAnsi="Arial" w:cs="Arial"/>
          <w:sz w:val="24"/>
          <w:szCs w:val="24"/>
          <w:bdr w:val="single" w:sz="2" w:space="0" w:color="ECEDEE" w:frame="1"/>
        </w:rPr>
        <w:t>J Am Soc Echocardiogr.</w:t>
      </w:r>
      <w:r w:rsidRPr="00DC1CA4">
        <w:rPr>
          <w:rFonts w:ascii="Arial" w:hAnsi="Arial" w:cs="Arial"/>
          <w:sz w:val="24"/>
          <w:szCs w:val="24"/>
        </w:rPr>
        <w:t> </w:t>
      </w:r>
      <w:r w:rsidRPr="00DC1CA4">
        <w:rPr>
          <w:rFonts w:ascii="Arial" w:hAnsi="Arial" w:cs="Arial"/>
          <w:sz w:val="24"/>
          <w:szCs w:val="24"/>
          <w:bdr w:val="single" w:sz="2" w:space="0" w:color="ECEDEE" w:frame="1"/>
        </w:rPr>
        <w:t>20</w:t>
      </w:r>
      <w:r w:rsidRPr="00DC1CA4">
        <w:rPr>
          <w:rFonts w:ascii="Arial" w:hAnsi="Arial" w:cs="Arial"/>
          <w:sz w:val="24"/>
          <w:szCs w:val="24"/>
        </w:rPr>
        <w:t>(9), 1109–1117.</w:t>
      </w:r>
    </w:p>
    <w:p w14:paraId="6369D77C" w14:textId="77777777" w:rsidR="004942B6" w:rsidRPr="00DC1CA4" w:rsidRDefault="004942B6" w:rsidP="004942B6">
      <w:pPr>
        <w:pStyle w:val="ListParagraph"/>
        <w:rPr>
          <w:rFonts w:ascii="Arial" w:hAnsi="Arial" w:cs="Arial"/>
          <w:sz w:val="24"/>
          <w:szCs w:val="24"/>
        </w:rPr>
      </w:pPr>
    </w:p>
    <w:p w14:paraId="6E7C9D4A"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Beller GA, Heede RC. (2011). SPECT imaging for detecting coronary artery disease and determining prognosis by non-invasive assessment of myocardial perfusion and myocardial viability. </w:t>
      </w:r>
      <w:r w:rsidRPr="00DC1CA4">
        <w:rPr>
          <w:rFonts w:ascii="Arial" w:hAnsi="Arial" w:cs="Arial"/>
          <w:sz w:val="24"/>
          <w:szCs w:val="24"/>
          <w:bdr w:val="single" w:sz="2" w:space="0" w:color="ECEDEE" w:frame="1"/>
        </w:rPr>
        <w:t>J Cardiovasc Transl Res</w:t>
      </w:r>
      <w:r w:rsidRPr="00DC1CA4">
        <w:rPr>
          <w:rFonts w:ascii="Arial" w:hAnsi="Arial" w:cs="Arial"/>
          <w:sz w:val="24"/>
          <w:szCs w:val="24"/>
        </w:rPr>
        <w:t>, </w:t>
      </w:r>
      <w:r w:rsidRPr="00DC1CA4">
        <w:rPr>
          <w:rFonts w:ascii="Arial" w:hAnsi="Arial" w:cs="Arial"/>
          <w:sz w:val="24"/>
          <w:szCs w:val="24"/>
          <w:bdr w:val="single" w:sz="2" w:space="0" w:color="ECEDEE" w:frame="1"/>
        </w:rPr>
        <w:t>4</w:t>
      </w:r>
      <w:r w:rsidRPr="00DC1CA4">
        <w:rPr>
          <w:rFonts w:ascii="Arial" w:hAnsi="Arial" w:cs="Arial"/>
          <w:sz w:val="24"/>
          <w:szCs w:val="24"/>
        </w:rPr>
        <w:t>(4), 416–424.</w:t>
      </w:r>
    </w:p>
    <w:p w14:paraId="3DAB251B" w14:textId="77777777" w:rsidR="004942B6" w:rsidRPr="00DC1CA4" w:rsidRDefault="004942B6" w:rsidP="004942B6">
      <w:pPr>
        <w:pStyle w:val="ListParagraph"/>
        <w:rPr>
          <w:rFonts w:ascii="Arial" w:hAnsi="Arial" w:cs="Arial"/>
          <w:sz w:val="24"/>
          <w:szCs w:val="24"/>
        </w:rPr>
      </w:pPr>
    </w:p>
    <w:p w14:paraId="69BB5526"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Danad I, Raijmakers P, Driessen R, et al. (2017). Comparison of coronary CT angiography, SPECT, PET, and hybrid imaging for diagnosis of ischemic heart disease determined by fractional flow reserve. </w:t>
      </w:r>
      <w:r w:rsidRPr="00DC1CA4">
        <w:rPr>
          <w:rFonts w:ascii="Arial" w:hAnsi="Arial" w:cs="Arial"/>
          <w:sz w:val="24"/>
          <w:szCs w:val="24"/>
          <w:bdr w:val="single" w:sz="2" w:space="0" w:color="ECEDEE" w:frame="1"/>
        </w:rPr>
        <w:t>JAMA Cardiology</w:t>
      </w:r>
      <w:r w:rsidRPr="00DC1CA4">
        <w:rPr>
          <w:rFonts w:ascii="Arial" w:hAnsi="Arial" w:cs="Arial"/>
          <w:sz w:val="24"/>
          <w:szCs w:val="24"/>
        </w:rPr>
        <w:t>, </w:t>
      </w:r>
      <w:r w:rsidRPr="00DC1CA4">
        <w:rPr>
          <w:rFonts w:ascii="Arial" w:hAnsi="Arial" w:cs="Arial"/>
          <w:sz w:val="24"/>
          <w:szCs w:val="24"/>
          <w:bdr w:val="single" w:sz="2" w:space="0" w:color="ECEDEE" w:frame="1"/>
        </w:rPr>
        <w:t>2</w:t>
      </w:r>
      <w:r w:rsidRPr="00DC1CA4">
        <w:rPr>
          <w:rFonts w:ascii="Arial" w:hAnsi="Arial" w:cs="Arial"/>
          <w:sz w:val="24"/>
          <w:szCs w:val="24"/>
        </w:rPr>
        <w:t>(10), 1100. </w:t>
      </w:r>
    </w:p>
    <w:p w14:paraId="52BE7290" w14:textId="77777777" w:rsidR="004942B6" w:rsidRPr="00DC1CA4" w:rsidRDefault="004942B6" w:rsidP="004942B6">
      <w:pPr>
        <w:pStyle w:val="ListParagraph"/>
        <w:rPr>
          <w:rFonts w:ascii="Arial" w:hAnsi="Arial" w:cs="Arial"/>
          <w:sz w:val="24"/>
          <w:szCs w:val="24"/>
        </w:rPr>
      </w:pPr>
    </w:p>
    <w:p w14:paraId="6F3DDD6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Panjer M, Dobrolińska M, Wagenaar N, et al. (2021). Diagnostic accuracy of dynamic CZT-SPECT in coronary artery disease. A systematic review and meta-analysis. </w:t>
      </w:r>
      <w:r w:rsidRPr="00DC1CA4">
        <w:rPr>
          <w:rFonts w:ascii="Arial" w:hAnsi="Arial" w:cs="Arial"/>
          <w:sz w:val="24"/>
          <w:szCs w:val="24"/>
          <w:bdr w:val="single" w:sz="2" w:space="0" w:color="ECEDEE" w:frame="1"/>
        </w:rPr>
        <w:t>J Nucl Cardiol</w:t>
      </w:r>
      <w:r w:rsidRPr="00DC1CA4">
        <w:rPr>
          <w:rFonts w:ascii="Arial" w:hAnsi="Arial" w:cs="Arial"/>
          <w:sz w:val="24"/>
          <w:szCs w:val="24"/>
        </w:rPr>
        <w:t>, </w:t>
      </w:r>
      <w:r w:rsidRPr="00DC1CA4">
        <w:rPr>
          <w:rFonts w:ascii="Arial" w:hAnsi="Arial" w:cs="Arial"/>
          <w:sz w:val="24"/>
          <w:szCs w:val="24"/>
          <w:bdr w:val="single" w:sz="2" w:space="0" w:color="ECEDEE" w:frame="1"/>
        </w:rPr>
        <w:t>29</w:t>
      </w:r>
      <w:r w:rsidRPr="00DC1CA4">
        <w:rPr>
          <w:rFonts w:ascii="Arial" w:hAnsi="Arial" w:cs="Arial"/>
          <w:sz w:val="24"/>
          <w:szCs w:val="24"/>
        </w:rPr>
        <w:t>(4), 1686–1697.</w:t>
      </w:r>
    </w:p>
    <w:p w14:paraId="336358CA" w14:textId="77777777" w:rsidR="004942B6" w:rsidRPr="00DC1CA4" w:rsidRDefault="004942B6" w:rsidP="004942B6">
      <w:pPr>
        <w:pStyle w:val="ListParagraph"/>
        <w:rPr>
          <w:rFonts w:ascii="Arial" w:hAnsi="Arial" w:cs="Arial"/>
          <w:sz w:val="24"/>
          <w:szCs w:val="24"/>
        </w:rPr>
      </w:pPr>
    </w:p>
    <w:p w14:paraId="055202D8"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Rahmim A, Zaidi H. (2008). PET versus SPECT: strengths, limitations, and challenges. </w:t>
      </w:r>
      <w:r w:rsidRPr="00DC1CA4">
        <w:rPr>
          <w:rFonts w:ascii="Arial" w:hAnsi="Arial" w:cs="Arial"/>
          <w:sz w:val="24"/>
          <w:szCs w:val="24"/>
          <w:bdr w:val="single" w:sz="2" w:space="0" w:color="ECEDEE" w:frame="1"/>
        </w:rPr>
        <w:t>Nuclear Medicine Communications</w:t>
      </w:r>
      <w:r w:rsidRPr="00DC1CA4">
        <w:rPr>
          <w:rFonts w:ascii="Arial" w:hAnsi="Arial" w:cs="Arial"/>
          <w:sz w:val="24"/>
          <w:szCs w:val="24"/>
        </w:rPr>
        <w:t>, </w:t>
      </w:r>
      <w:r w:rsidRPr="00DC1CA4">
        <w:rPr>
          <w:rFonts w:ascii="Arial" w:hAnsi="Arial" w:cs="Arial"/>
          <w:sz w:val="24"/>
          <w:szCs w:val="24"/>
          <w:bdr w:val="single" w:sz="2" w:space="0" w:color="ECEDEE" w:frame="1"/>
        </w:rPr>
        <w:t>29</w:t>
      </w:r>
      <w:r w:rsidRPr="00DC1CA4">
        <w:rPr>
          <w:rFonts w:ascii="Arial" w:hAnsi="Arial" w:cs="Arial"/>
          <w:sz w:val="24"/>
          <w:szCs w:val="24"/>
        </w:rPr>
        <w:t>(3), 193–207.</w:t>
      </w:r>
    </w:p>
    <w:p w14:paraId="3643DA8E" w14:textId="77777777" w:rsidR="004942B6" w:rsidRPr="00DC1CA4" w:rsidRDefault="004942B6" w:rsidP="004942B6">
      <w:pPr>
        <w:pStyle w:val="ListParagraph"/>
        <w:rPr>
          <w:rFonts w:ascii="Arial" w:hAnsi="Arial" w:cs="Arial"/>
          <w:sz w:val="24"/>
          <w:szCs w:val="24"/>
        </w:rPr>
      </w:pPr>
    </w:p>
    <w:p w14:paraId="64245B5E"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Patel AR, Salerno M, Kwong RY, et al. (2021). Stress cardiac magnetic resonance myocardial perfusion imaging. </w:t>
      </w:r>
      <w:r w:rsidRPr="00DC1CA4">
        <w:rPr>
          <w:rFonts w:ascii="Arial" w:hAnsi="Arial" w:cs="Arial"/>
          <w:sz w:val="24"/>
          <w:szCs w:val="24"/>
          <w:bdr w:val="single" w:sz="2" w:space="0" w:color="ECEDEE" w:frame="1"/>
        </w:rPr>
        <w:t>J Am Coll Cardio</w:t>
      </w:r>
      <w:r w:rsidRPr="00DC1CA4">
        <w:rPr>
          <w:rFonts w:ascii="Arial" w:hAnsi="Arial" w:cs="Arial"/>
          <w:sz w:val="24"/>
          <w:szCs w:val="24"/>
        </w:rPr>
        <w:t>, </w:t>
      </w:r>
      <w:r w:rsidRPr="00DC1CA4">
        <w:rPr>
          <w:rFonts w:ascii="Arial" w:hAnsi="Arial" w:cs="Arial"/>
          <w:sz w:val="24"/>
          <w:szCs w:val="24"/>
          <w:bdr w:val="single" w:sz="2" w:space="0" w:color="ECEDEE" w:frame="1"/>
        </w:rPr>
        <w:t>78</w:t>
      </w:r>
      <w:r w:rsidRPr="00DC1CA4">
        <w:rPr>
          <w:rFonts w:ascii="Arial" w:hAnsi="Arial" w:cs="Arial"/>
          <w:sz w:val="24"/>
          <w:szCs w:val="24"/>
        </w:rPr>
        <w:t>(16), 1655–1668.</w:t>
      </w:r>
    </w:p>
    <w:p w14:paraId="61D2008F" w14:textId="77777777" w:rsidR="004942B6" w:rsidRPr="00DC1CA4" w:rsidRDefault="004942B6" w:rsidP="004942B6">
      <w:pPr>
        <w:pStyle w:val="ListParagraph"/>
        <w:rPr>
          <w:rFonts w:ascii="Arial" w:hAnsi="Arial" w:cs="Arial"/>
          <w:sz w:val="24"/>
          <w:szCs w:val="24"/>
        </w:rPr>
      </w:pPr>
    </w:p>
    <w:p w14:paraId="506C5EDE"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Greenwood JP, Maredia N, Younger J, et al. (2012). Cardiovascular magnetic resonance and single-photon emission computed tomography for diagnosis of coronary heart disease (CE-MARC): a prospective trial. </w:t>
      </w:r>
      <w:r w:rsidRPr="00DC1CA4">
        <w:rPr>
          <w:rFonts w:ascii="Arial" w:hAnsi="Arial" w:cs="Arial"/>
          <w:sz w:val="24"/>
          <w:szCs w:val="24"/>
          <w:bdr w:val="single" w:sz="2" w:space="0" w:color="ECEDEE" w:frame="1"/>
        </w:rPr>
        <w:t>The Lancet</w:t>
      </w:r>
      <w:r w:rsidRPr="00DC1CA4">
        <w:rPr>
          <w:rFonts w:ascii="Arial" w:hAnsi="Arial" w:cs="Arial"/>
          <w:sz w:val="24"/>
          <w:szCs w:val="24"/>
        </w:rPr>
        <w:t>, </w:t>
      </w:r>
      <w:r w:rsidRPr="00DC1CA4">
        <w:rPr>
          <w:rFonts w:ascii="Arial" w:hAnsi="Arial" w:cs="Arial"/>
          <w:sz w:val="24"/>
          <w:szCs w:val="24"/>
          <w:bdr w:val="single" w:sz="2" w:space="0" w:color="ECEDEE" w:frame="1"/>
        </w:rPr>
        <w:t>379</w:t>
      </w:r>
      <w:r w:rsidRPr="00DC1CA4">
        <w:rPr>
          <w:rFonts w:ascii="Arial" w:hAnsi="Arial" w:cs="Arial"/>
          <w:sz w:val="24"/>
          <w:szCs w:val="24"/>
        </w:rPr>
        <w:t>(9814), 453–460.</w:t>
      </w:r>
    </w:p>
    <w:p w14:paraId="68803A38" w14:textId="77777777" w:rsidR="004942B6" w:rsidRPr="00DC1CA4" w:rsidRDefault="004942B6" w:rsidP="004942B6">
      <w:pPr>
        <w:pStyle w:val="ListParagraph"/>
        <w:rPr>
          <w:rFonts w:ascii="Arial" w:hAnsi="Arial" w:cs="Arial"/>
          <w:sz w:val="24"/>
          <w:szCs w:val="24"/>
        </w:rPr>
      </w:pPr>
    </w:p>
    <w:p w14:paraId="1A4672CD"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1CA4">
        <w:rPr>
          <w:rFonts w:ascii="Arial" w:hAnsi="Arial" w:cs="Arial"/>
          <w:sz w:val="24"/>
          <w:szCs w:val="24"/>
        </w:rPr>
        <w:t xml:space="preserve">Greenwood, JP, Ripley DP, Berry C, et al. (2016). Effect of care guided by cardiovascular magnetic resonance, myocardial perfusion scintigraphy, or NICE </w:t>
      </w:r>
      <w:r w:rsidRPr="00DC1CA4">
        <w:rPr>
          <w:rFonts w:ascii="Arial" w:hAnsi="Arial" w:cs="Arial"/>
          <w:sz w:val="24"/>
          <w:szCs w:val="24"/>
        </w:rPr>
        <w:lastRenderedPageBreak/>
        <w:t>guidelines on subsequent unnecessary angiography rates. </w:t>
      </w:r>
      <w:r>
        <w:rPr>
          <w:rFonts w:ascii="Arial" w:hAnsi="Arial" w:cs="Arial"/>
          <w:sz w:val="24"/>
          <w:szCs w:val="24"/>
          <w:bdr w:val="single" w:sz="2" w:space="0" w:color="ECEDEE" w:frame="1"/>
        </w:rPr>
        <w:t>J Am Med Assoc</w:t>
      </w:r>
      <w:r w:rsidRPr="00DC1CA4">
        <w:rPr>
          <w:rFonts w:ascii="Arial" w:hAnsi="Arial" w:cs="Arial"/>
          <w:sz w:val="24"/>
          <w:szCs w:val="24"/>
        </w:rPr>
        <w:t>, </w:t>
      </w:r>
      <w:r w:rsidRPr="00DC1CA4">
        <w:rPr>
          <w:rFonts w:ascii="Arial" w:hAnsi="Arial" w:cs="Arial"/>
          <w:sz w:val="24"/>
          <w:szCs w:val="24"/>
          <w:bdr w:val="single" w:sz="2" w:space="0" w:color="ECEDEE" w:frame="1"/>
        </w:rPr>
        <w:t>316</w:t>
      </w:r>
      <w:r w:rsidRPr="00DC1CA4">
        <w:rPr>
          <w:rFonts w:ascii="Arial" w:hAnsi="Arial" w:cs="Arial"/>
          <w:sz w:val="24"/>
          <w:szCs w:val="24"/>
        </w:rPr>
        <w:t>(10), 1051. </w:t>
      </w:r>
    </w:p>
    <w:p w14:paraId="1BAEF100" w14:textId="77777777" w:rsidR="004942B6" w:rsidRPr="00DC64E9" w:rsidRDefault="004942B6" w:rsidP="004942B6">
      <w:pPr>
        <w:pStyle w:val="ListParagraph"/>
        <w:rPr>
          <w:rFonts w:ascii="Arial" w:hAnsi="Arial" w:cs="Arial"/>
          <w:sz w:val="24"/>
          <w:szCs w:val="24"/>
          <w:shd w:val="clear" w:color="auto" w:fill="FFFFFF"/>
        </w:rPr>
      </w:pPr>
    </w:p>
    <w:p w14:paraId="21604E44" w14:textId="77777777" w:rsidR="004942B6" w:rsidRPr="00DC64E9"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Pr>
          <w:rFonts w:ascii="Arial" w:hAnsi="Arial" w:cs="Arial"/>
          <w:sz w:val="24"/>
          <w:szCs w:val="24"/>
          <w:shd w:val="clear" w:color="auto" w:fill="FFFFFF"/>
        </w:rPr>
        <w:t>S</w:t>
      </w:r>
      <w:r w:rsidRPr="00715BC0">
        <w:rPr>
          <w:rFonts w:ascii="Arial" w:hAnsi="Arial" w:cs="Arial"/>
          <w:sz w:val="24"/>
          <w:szCs w:val="24"/>
          <w:shd w:val="clear" w:color="auto" w:fill="FFFFFF"/>
        </w:rPr>
        <w:t xml:space="preserve">ones </w:t>
      </w:r>
      <w:r>
        <w:rPr>
          <w:rFonts w:ascii="Arial" w:hAnsi="Arial" w:cs="Arial"/>
          <w:sz w:val="24"/>
          <w:szCs w:val="24"/>
          <w:shd w:val="clear" w:color="auto" w:fill="FFFFFF"/>
        </w:rPr>
        <w:t>FM</w:t>
      </w:r>
      <w:r w:rsidRPr="00715BC0">
        <w:rPr>
          <w:rFonts w:ascii="Arial" w:hAnsi="Arial" w:cs="Arial"/>
          <w:sz w:val="24"/>
          <w:szCs w:val="24"/>
          <w:shd w:val="clear" w:color="auto" w:fill="FFFFFF"/>
        </w:rPr>
        <w:t xml:space="preserve"> </w:t>
      </w:r>
      <w:r>
        <w:rPr>
          <w:rFonts w:ascii="Arial" w:hAnsi="Arial" w:cs="Arial"/>
          <w:sz w:val="24"/>
          <w:szCs w:val="24"/>
          <w:shd w:val="clear" w:color="auto" w:fill="FFFFFF"/>
        </w:rPr>
        <w:t>J</w:t>
      </w:r>
      <w:r w:rsidRPr="00715BC0">
        <w:rPr>
          <w:rFonts w:ascii="Arial" w:hAnsi="Arial" w:cs="Arial"/>
          <w:sz w:val="24"/>
          <w:szCs w:val="24"/>
          <w:shd w:val="clear" w:color="auto" w:fill="FFFFFF"/>
        </w:rPr>
        <w:t xml:space="preserve">r, </w:t>
      </w:r>
      <w:r>
        <w:rPr>
          <w:rFonts w:ascii="Arial" w:hAnsi="Arial" w:cs="Arial"/>
          <w:sz w:val="24"/>
          <w:szCs w:val="24"/>
          <w:shd w:val="clear" w:color="auto" w:fill="FFFFFF"/>
        </w:rPr>
        <w:t>S</w:t>
      </w:r>
      <w:r w:rsidRPr="00715BC0">
        <w:rPr>
          <w:rFonts w:ascii="Arial" w:hAnsi="Arial" w:cs="Arial"/>
          <w:sz w:val="24"/>
          <w:szCs w:val="24"/>
          <w:shd w:val="clear" w:color="auto" w:fill="FFFFFF"/>
        </w:rPr>
        <w:t>hir</w:t>
      </w:r>
      <w:r>
        <w:rPr>
          <w:rFonts w:ascii="Arial" w:hAnsi="Arial" w:cs="Arial"/>
          <w:sz w:val="24"/>
          <w:szCs w:val="24"/>
          <w:shd w:val="clear" w:color="auto" w:fill="FFFFFF"/>
        </w:rPr>
        <w:t>l</w:t>
      </w:r>
      <w:r w:rsidRPr="00715BC0">
        <w:rPr>
          <w:rFonts w:ascii="Arial" w:hAnsi="Arial" w:cs="Arial"/>
          <w:sz w:val="24"/>
          <w:szCs w:val="24"/>
          <w:shd w:val="clear" w:color="auto" w:fill="FFFFFF"/>
        </w:rPr>
        <w:t>ey ek. Cine coronary arteriography. Mod Concepts Cardiovasc Dis. 1962 Jul; 31:735-8.</w:t>
      </w:r>
    </w:p>
    <w:p w14:paraId="06A74233" w14:textId="77777777" w:rsidR="004942B6" w:rsidRPr="004E1F19" w:rsidRDefault="004942B6" w:rsidP="004942B6">
      <w:pPr>
        <w:pStyle w:val="ListParagraph"/>
        <w:rPr>
          <w:rFonts w:ascii="Arial" w:hAnsi="Arial" w:cs="Arial"/>
          <w:sz w:val="24"/>
          <w:szCs w:val="24"/>
        </w:rPr>
      </w:pPr>
    </w:p>
    <w:p w14:paraId="59A35A8B"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lang w:val="fr-FR"/>
        </w:rPr>
        <w:t xml:space="preserve">Noto T, Johnson LW, Krone RJ, et al. </w:t>
      </w:r>
      <w:r w:rsidRPr="00DC64E9">
        <w:rPr>
          <w:rFonts w:ascii="Arial" w:hAnsi="Arial" w:cs="Arial"/>
          <w:sz w:val="24"/>
          <w:szCs w:val="24"/>
        </w:rPr>
        <w:t>(1991). Cardiac catheterization 1990: A report of the registry of the society for cardiac angiography and interventions (SCA&amp;I). </w:t>
      </w:r>
      <w:r w:rsidRPr="00DC64E9">
        <w:rPr>
          <w:rFonts w:ascii="Arial" w:hAnsi="Arial" w:cs="Arial"/>
          <w:sz w:val="24"/>
          <w:szCs w:val="24"/>
          <w:bdr w:val="single" w:sz="2" w:space="0" w:color="ECEDEE" w:frame="1"/>
        </w:rPr>
        <w:t>Catheter Cardiovasc Diagn</w:t>
      </w:r>
      <w:r w:rsidRPr="00DC64E9">
        <w:rPr>
          <w:rFonts w:ascii="Arial" w:hAnsi="Arial" w:cs="Arial"/>
          <w:sz w:val="24"/>
          <w:szCs w:val="24"/>
        </w:rPr>
        <w:t>, </w:t>
      </w:r>
      <w:r w:rsidRPr="00DC64E9">
        <w:rPr>
          <w:rFonts w:ascii="Arial" w:hAnsi="Arial" w:cs="Arial"/>
          <w:sz w:val="24"/>
          <w:szCs w:val="24"/>
          <w:bdr w:val="single" w:sz="2" w:space="0" w:color="ECEDEE" w:frame="1"/>
        </w:rPr>
        <w:t>24</w:t>
      </w:r>
      <w:r w:rsidRPr="00DC64E9">
        <w:rPr>
          <w:rFonts w:ascii="Arial" w:hAnsi="Arial" w:cs="Arial"/>
          <w:sz w:val="24"/>
          <w:szCs w:val="24"/>
        </w:rPr>
        <w:t>(2), 75–83. </w:t>
      </w:r>
    </w:p>
    <w:p w14:paraId="6AD5734A" w14:textId="77777777" w:rsidR="004942B6" w:rsidRPr="00DC64E9" w:rsidRDefault="004942B6" w:rsidP="004942B6">
      <w:pPr>
        <w:pStyle w:val="ListParagraph"/>
        <w:rPr>
          <w:rFonts w:ascii="Arial" w:hAnsi="Arial" w:cs="Arial"/>
          <w:sz w:val="24"/>
          <w:szCs w:val="24"/>
          <w:lang w:val="nl-NL"/>
        </w:rPr>
      </w:pPr>
    </w:p>
    <w:p w14:paraId="19B4D43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lang w:val="nl-NL"/>
        </w:rPr>
        <w:t xml:space="preserve">Jolly S, Yusuf S, Cairns JA, et al. </w:t>
      </w:r>
      <w:r w:rsidRPr="00DC64E9">
        <w:rPr>
          <w:rFonts w:ascii="Arial" w:hAnsi="Arial" w:cs="Arial"/>
          <w:sz w:val="24"/>
          <w:szCs w:val="24"/>
        </w:rPr>
        <w:t>(2011). Radial versus femoral access for coronary angiography and intervention in patients with acute coronary syndromes (RIVAL): a randomised, parallel group, multicentre trial. </w:t>
      </w:r>
      <w:r w:rsidRPr="00DC64E9">
        <w:rPr>
          <w:rFonts w:ascii="Arial" w:hAnsi="Arial" w:cs="Arial"/>
          <w:sz w:val="24"/>
          <w:szCs w:val="24"/>
          <w:bdr w:val="single" w:sz="2" w:space="0" w:color="ECEDEE" w:frame="1"/>
        </w:rPr>
        <w:t>The Lancet</w:t>
      </w:r>
      <w:r w:rsidRPr="00DC64E9">
        <w:rPr>
          <w:rFonts w:ascii="Arial" w:hAnsi="Arial" w:cs="Arial"/>
          <w:sz w:val="24"/>
          <w:szCs w:val="24"/>
        </w:rPr>
        <w:t>, </w:t>
      </w:r>
      <w:r w:rsidRPr="00DC64E9">
        <w:rPr>
          <w:rFonts w:ascii="Arial" w:hAnsi="Arial" w:cs="Arial"/>
          <w:sz w:val="24"/>
          <w:szCs w:val="24"/>
          <w:bdr w:val="single" w:sz="2" w:space="0" w:color="ECEDEE" w:frame="1"/>
        </w:rPr>
        <w:t>377</w:t>
      </w:r>
      <w:r w:rsidRPr="00DC64E9">
        <w:rPr>
          <w:rFonts w:ascii="Arial" w:hAnsi="Arial" w:cs="Arial"/>
          <w:sz w:val="24"/>
          <w:szCs w:val="24"/>
        </w:rPr>
        <w:t>(9775), 1409–1420.</w:t>
      </w:r>
    </w:p>
    <w:p w14:paraId="493D54CF" w14:textId="77777777" w:rsidR="004942B6" w:rsidRPr="00DC64E9" w:rsidRDefault="004942B6" w:rsidP="004942B6">
      <w:pPr>
        <w:pStyle w:val="ListParagraph"/>
        <w:rPr>
          <w:rFonts w:ascii="Arial" w:hAnsi="Arial" w:cs="Arial"/>
          <w:sz w:val="24"/>
          <w:szCs w:val="24"/>
        </w:rPr>
      </w:pPr>
    </w:p>
    <w:p w14:paraId="50EB7073"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rPr>
        <w:t>Visseren FJ, Mach F, Smulders YM, et al. (2021). 2021 ESC Guidelines on cardiovascular disease prevention in clinical practice. </w:t>
      </w:r>
      <w:r w:rsidRPr="00DC64E9">
        <w:rPr>
          <w:rFonts w:ascii="Arial" w:hAnsi="Arial" w:cs="Arial"/>
          <w:sz w:val="24"/>
          <w:szCs w:val="24"/>
          <w:bdr w:val="single" w:sz="2" w:space="0" w:color="ECEDEE" w:frame="1"/>
        </w:rPr>
        <w:t>Eur Heart J</w:t>
      </w:r>
      <w:r w:rsidRPr="00DC64E9">
        <w:rPr>
          <w:rFonts w:ascii="Arial" w:hAnsi="Arial" w:cs="Arial"/>
          <w:sz w:val="24"/>
          <w:szCs w:val="24"/>
        </w:rPr>
        <w:t>, </w:t>
      </w:r>
      <w:r w:rsidRPr="00DC64E9">
        <w:rPr>
          <w:rFonts w:ascii="Arial" w:hAnsi="Arial" w:cs="Arial"/>
          <w:sz w:val="24"/>
          <w:szCs w:val="24"/>
          <w:bdr w:val="single" w:sz="2" w:space="0" w:color="ECEDEE" w:frame="1"/>
        </w:rPr>
        <w:t>42</w:t>
      </w:r>
      <w:r w:rsidRPr="00DC64E9">
        <w:rPr>
          <w:rFonts w:ascii="Arial" w:hAnsi="Arial" w:cs="Arial"/>
          <w:sz w:val="24"/>
          <w:szCs w:val="24"/>
        </w:rPr>
        <w:t>(34), 3227–3337.</w:t>
      </w:r>
    </w:p>
    <w:p w14:paraId="7345D127" w14:textId="77777777" w:rsidR="004942B6" w:rsidRPr="00DC64E9" w:rsidRDefault="004942B6" w:rsidP="004942B6">
      <w:pPr>
        <w:pStyle w:val="ListParagraph"/>
        <w:rPr>
          <w:rFonts w:ascii="Arial" w:hAnsi="Arial" w:cs="Arial"/>
          <w:sz w:val="24"/>
          <w:szCs w:val="24"/>
        </w:rPr>
      </w:pPr>
    </w:p>
    <w:p w14:paraId="5875BC27"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rPr>
        <w:t>Critchley J, Capewell S. (2003). Mortality risk reduction associated with smoking cessation in patients with coronary heart disease. </w:t>
      </w:r>
      <w:r w:rsidRPr="00DC64E9">
        <w:rPr>
          <w:rFonts w:ascii="Arial" w:hAnsi="Arial" w:cs="Arial"/>
          <w:sz w:val="24"/>
          <w:szCs w:val="24"/>
          <w:bdr w:val="single" w:sz="2" w:space="0" w:color="ECEDEE" w:frame="1"/>
        </w:rPr>
        <w:t>JAMA</w:t>
      </w:r>
      <w:r w:rsidRPr="00DC64E9">
        <w:rPr>
          <w:rFonts w:ascii="Arial" w:hAnsi="Arial" w:cs="Arial"/>
          <w:sz w:val="24"/>
          <w:szCs w:val="24"/>
        </w:rPr>
        <w:t>, </w:t>
      </w:r>
      <w:r w:rsidRPr="00DC64E9">
        <w:rPr>
          <w:rFonts w:ascii="Arial" w:hAnsi="Arial" w:cs="Arial"/>
          <w:sz w:val="24"/>
          <w:szCs w:val="24"/>
          <w:bdr w:val="single" w:sz="2" w:space="0" w:color="ECEDEE" w:frame="1"/>
        </w:rPr>
        <w:t>290</w:t>
      </w:r>
      <w:r w:rsidRPr="00DC64E9">
        <w:rPr>
          <w:rFonts w:ascii="Arial" w:hAnsi="Arial" w:cs="Arial"/>
          <w:sz w:val="24"/>
          <w:szCs w:val="24"/>
        </w:rPr>
        <w:t>(1), 86-88.</w:t>
      </w:r>
      <w:r w:rsidRPr="00DC64E9">
        <w:rPr>
          <w:rFonts w:ascii="Arial" w:hAnsi="Arial" w:cs="Arial"/>
          <w:sz w:val="24"/>
          <w:szCs w:val="24"/>
          <w:lang w:eastAsia="en-GB"/>
        </w:rPr>
        <w:t xml:space="preserve"> </w:t>
      </w:r>
    </w:p>
    <w:p w14:paraId="37C00F17" w14:textId="77777777" w:rsidR="004942B6" w:rsidRPr="00DC64E9" w:rsidRDefault="004942B6" w:rsidP="004942B6">
      <w:pPr>
        <w:pStyle w:val="ListParagraph"/>
        <w:rPr>
          <w:rFonts w:ascii="Arial" w:hAnsi="Arial" w:cs="Arial"/>
          <w:sz w:val="24"/>
          <w:szCs w:val="24"/>
          <w:shd w:val="clear" w:color="auto" w:fill="FFFFFF"/>
        </w:rPr>
      </w:pPr>
    </w:p>
    <w:p w14:paraId="5E0FC6E9" w14:textId="77777777" w:rsidR="004942B6" w:rsidRPr="00DC64E9"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shd w:val="clear" w:color="auto" w:fill="FFFFFF"/>
        </w:rPr>
        <w:t>Keteyian SJ, Brawner CA, Savage PD, et al. (2008). Peak aerobic capacity predicts prognosis in patients with coronary heart disease.  Am Heart J</w:t>
      </w:r>
      <w:r w:rsidRPr="00DC64E9">
        <w:rPr>
          <w:rStyle w:val="Emphasis"/>
          <w:rFonts w:ascii="Arial" w:hAnsi="Arial" w:cs="Arial"/>
          <w:i w:val="0"/>
          <w:iCs w:val="0"/>
          <w:sz w:val="24"/>
          <w:szCs w:val="24"/>
        </w:rPr>
        <w:t>, 156 2</w:t>
      </w:r>
      <w:r w:rsidRPr="00DC64E9">
        <w:rPr>
          <w:rFonts w:ascii="Arial" w:hAnsi="Arial" w:cs="Arial"/>
          <w:sz w:val="24"/>
          <w:szCs w:val="24"/>
          <w:shd w:val="clear" w:color="auto" w:fill="FFFFFF"/>
        </w:rPr>
        <w:t>, 292-300.</w:t>
      </w:r>
    </w:p>
    <w:p w14:paraId="1E4EC585" w14:textId="77777777" w:rsidR="004942B6" w:rsidRPr="00DC64E9" w:rsidRDefault="004942B6" w:rsidP="004942B6">
      <w:pPr>
        <w:pStyle w:val="ListParagraph"/>
        <w:rPr>
          <w:rFonts w:ascii="Arial" w:hAnsi="Arial" w:cs="Arial"/>
          <w:sz w:val="24"/>
          <w:szCs w:val="24"/>
        </w:rPr>
      </w:pPr>
    </w:p>
    <w:p w14:paraId="4EFC2FDF"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rPr>
        <w:t>Baigent C, Blackwell L, Collins R, et al. (2009). Aspirin in the primary and secondary prevention of vascular disease: collaborative meta-analysis of individual participant data from randomised trials. </w:t>
      </w:r>
      <w:r w:rsidRPr="00DC64E9">
        <w:rPr>
          <w:rFonts w:ascii="Arial" w:hAnsi="Arial" w:cs="Arial"/>
          <w:sz w:val="24"/>
          <w:szCs w:val="24"/>
          <w:bdr w:val="single" w:sz="2" w:space="0" w:color="ECEDEE" w:frame="1"/>
        </w:rPr>
        <w:t>The Lancet</w:t>
      </w:r>
      <w:r w:rsidRPr="00DC64E9">
        <w:rPr>
          <w:rFonts w:ascii="Arial" w:hAnsi="Arial" w:cs="Arial"/>
          <w:sz w:val="24"/>
          <w:szCs w:val="24"/>
        </w:rPr>
        <w:t>, </w:t>
      </w:r>
      <w:r w:rsidRPr="00DC64E9">
        <w:rPr>
          <w:rFonts w:ascii="Arial" w:hAnsi="Arial" w:cs="Arial"/>
          <w:sz w:val="24"/>
          <w:szCs w:val="24"/>
          <w:bdr w:val="single" w:sz="2" w:space="0" w:color="ECEDEE" w:frame="1"/>
        </w:rPr>
        <w:t>373</w:t>
      </w:r>
      <w:r w:rsidRPr="00DC64E9">
        <w:rPr>
          <w:rFonts w:ascii="Arial" w:hAnsi="Arial" w:cs="Arial"/>
          <w:sz w:val="24"/>
          <w:szCs w:val="24"/>
        </w:rPr>
        <w:t>(9678), 1849–1860.</w:t>
      </w:r>
    </w:p>
    <w:p w14:paraId="3BC54C76" w14:textId="77777777" w:rsidR="004942B6" w:rsidRPr="00DC64E9" w:rsidRDefault="004942B6" w:rsidP="004942B6">
      <w:pPr>
        <w:pStyle w:val="ListParagraph"/>
        <w:rPr>
          <w:rFonts w:ascii="Arial" w:hAnsi="Arial" w:cs="Arial"/>
          <w:sz w:val="24"/>
          <w:szCs w:val="24"/>
        </w:rPr>
      </w:pPr>
    </w:p>
    <w:p w14:paraId="1B132B87"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rPr>
        <w:t>Storey RF, Bliden KP, Ecob R, et al. (2011). Earlier recovery of platelet function after discontinuation of treatment with ticagrelor compared with clopidogrel in patients with high antiplatelet responses. </w:t>
      </w:r>
      <w:r w:rsidRPr="00DC64E9">
        <w:rPr>
          <w:rFonts w:ascii="Arial" w:hAnsi="Arial" w:cs="Arial"/>
          <w:sz w:val="24"/>
          <w:szCs w:val="24"/>
          <w:bdr w:val="single" w:sz="2" w:space="0" w:color="ECEDEE" w:frame="1"/>
        </w:rPr>
        <w:t>Journal of Thrombosis and Haemostasis</w:t>
      </w:r>
      <w:r w:rsidRPr="00DC64E9">
        <w:rPr>
          <w:rFonts w:ascii="Arial" w:hAnsi="Arial" w:cs="Arial"/>
          <w:sz w:val="24"/>
          <w:szCs w:val="24"/>
        </w:rPr>
        <w:t>, </w:t>
      </w:r>
      <w:r w:rsidRPr="00DC64E9">
        <w:rPr>
          <w:rFonts w:ascii="Arial" w:hAnsi="Arial" w:cs="Arial"/>
          <w:sz w:val="24"/>
          <w:szCs w:val="24"/>
          <w:bdr w:val="single" w:sz="2" w:space="0" w:color="ECEDEE" w:frame="1"/>
        </w:rPr>
        <w:t>9</w:t>
      </w:r>
      <w:r w:rsidRPr="00DC64E9">
        <w:rPr>
          <w:rFonts w:ascii="Arial" w:hAnsi="Arial" w:cs="Arial"/>
          <w:sz w:val="24"/>
          <w:szCs w:val="24"/>
        </w:rPr>
        <w:t>(9), 1730–1737.</w:t>
      </w:r>
    </w:p>
    <w:p w14:paraId="497999A8" w14:textId="77777777" w:rsidR="004942B6" w:rsidRPr="00DC64E9" w:rsidRDefault="004942B6" w:rsidP="004942B6">
      <w:pPr>
        <w:pStyle w:val="ListParagraph"/>
        <w:rPr>
          <w:rFonts w:ascii="Arial" w:hAnsi="Arial" w:cs="Arial"/>
          <w:sz w:val="24"/>
          <w:szCs w:val="24"/>
        </w:rPr>
      </w:pPr>
    </w:p>
    <w:p w14:paraId="5908A409"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rPr>
        <w:t>Storey RF, Angiolillo DJ, Patil SG, et al. (2010). Inhibitory effects of ticagrelor compared with clopidogrel on platelet function in patients with acute coronary syndromes. </w:t>
      </w:r>
      <w:r w:rsidRPr="00DC64E9">
        <w:rPr>
          <w:rFonts w:ascii="Arial" w:hAnsi="Arial" w:cs="Arial"/>
          <w:sz w:val="24"/>
          <w:szCs w:val="24"/>
          <w:bdr w:val="single" w:sz="2" w:space="0" w:color="ECEDEE" w:frame="1"/>
        </w:rPr>
        <w:t>J Am Coll Cardio</w:t>
      </w:r>
      <w:r w:rsidRPr="00DC64E9">
        <w:rPr>
          <w:rFonts w:ascii="Arial" w:hAnsi="Arial" w:cs="Arial"/>
          <w:sz w:val="24"/>
          <w:szCs w:val="24"/>
        </w:rPr>
        <w:t>, </w:t>
      </w:r>
      <w:r w:rsidRPr="00DC64E9">
        <w:rPr>
          <w:rFonts w:ascii="Arial" w:hAnsi="Arial" w:cs="Arial"/>
          <w:sz w:val="24"/>
          <w:szCs w:val="24"/>
          <w:bdr w:val="single" w:sz="2" w:space="0" w:color="ECEDEE" w:frame="1"/>
        </w:rPr>
        <w:t>56</w:t>
      </w:r>
      <w:r w:rsidRPr="00DC64E9">
        <w:rPr>
          <w:rFonts w:ascii="Arial" w:hAnsi="Arial" w:cs="Arial"/>
          <w:sz w:val="24"/>
          <w:szCs w:val="24"/>
        </w:rPr>
        <w:t>(18), 1456–1462.</w:t>
      </w:r>
    </w:p>
    <w:p w14:paraId="3B89DD96" w14:textId="77777777" w:rsidR="004942B6" w:rsidRPr="00DC64E9" w:rsidRDefault="004942B6" w:rsidP="004942B6">
      <w:pPr>
        <w:pStyle w:val="ListParagraph"/>
        <w:rPr>
          <w:rFonts w:ascii="Arial" w:hAnsi="Arial" w:cs="Arial"/>
          <w:sz w:val="24"/>
          <w:szCs w:val="24"/>
        </w:rPr>
      </w:pPr>
    </w:p>
    <w:p w14:paraId="3306A80C"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rPr>
        <w:t>Wiviott SD, Braunwald E, McCabe CH, et al. (2007). Prasugrel versus Clopidogrel in Patients with Acute Coronary Syndromes. N Engl J M</w:t>
      </w:r>
      <w:r w:rsidRPr="00DC64E9">
        <w:rPr>
          <w:rFonts w:ascii="Arial" w:hAnsi="Arial" w:cs="Arial"/>
          <w:sz w:val="24"/>
          <w:szCs w:val="24"/>
          <w:bdr w:val="single" w:sz="2" w:space="0" w:color="ECEDEE" w:frame="1"/>
        </w:rPr>
        <w:t>ed</w:t>
      </w:r>
      <w:r w:rsidRPr="00DC64E9">
        <w:rPr>
          <w:rFonts w:ascii="Arial" w:hAnsi="Arial" w:cs="Arial"/>
          <w:sz w:val="24"/>
          <w:szCs w:val="24"/>
        </w:rPr>
        <w:t>, </w:t>
      </w:r>
      <w:r w:rsidRPr="00DC64E9">
        <w:rPr>
          <w:rFonts w:ascii="Arial" w:hAnsi="Arial" w:cs="Arial"/>
          <w:sz w:val="24"/>
          <w:szCs w:val="24"/>
          <w:bdr w:val="single" w:sz="2" w:space="0" w:color="ECEDEE" w:frame="1"/>
        </w:rPr>
        <w:t>357</w:t>
      </w:r>
      <w:r w:rsidRPr="00DC64E9">
        <w:rPr>
          <w:rFonts w:ascii="Arial" w:hAnsi="Arial" w:cs="Arial"/>
          <w:sz w:val="24"/>
          <w:szCs w:val="24"/>
        </w:rPr>
        <w:t>(20), 2001–2015.</w:t>
      </w:r>
    </w:p>
    <w:p w14:paraId="2169A50F" w14:textId="77777777" w:rsidR="004942B6" w:rsidRPr="00DC64E9" w:rsidRDefault="004942B6" w:rsidP="004942B6">
      <w:pPr>
        <w:pStyle w:val="ListParagraph"/>
        <w:rPr>
          <w:rFonts w:ascii="Arial" w:hAnsi="Arial" w:cs="Arial"/>
          <w:sz w:val="24"/>
          <w:szCs w:val="24"/>
        </w:rPr>
      </w:pPr>
    </w:p>
    <w:p w14:paraId="6CEDFBF9"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rPr>
        <w:t>Bhatt DL, Bonaca MP, Bansilal S, et al. (2016). Reduction in ischemic events with ticagrelor in diabetic patients with prior myocardial infarction in PEGASUS–TIMI 54. </w:t>
      </w:r>
      <w:r w:rsidRPr="00DC64E9">
        <w:rPr>
          <w:rFonts w:ascii="Arial" w:hAnsi="Arial" w:cs="Arial"/>
          <w:sz w:val="24"/>
          <w:szCs w:val="24"/>
          <w:bdr w:val="single" w:sz="2" w:space="0" w:color="ECEDEE" w:frame="1"/>
        </w:rPr>
        <w:t>J Am Coll Cardio</w:t>
      </w:r>
      <w:r w:rsidRPr="00DC64E9">
        <w:rPr>
          <w:rFonts w:ascii="Arial" w:hAnsi="Arial" w:cs="Arial"/>
          <w:sz w:val="24"/>
          <w:szCs w:val="24"/>
        </w:rPr>
        <w:t>, </w:t>
      </w:r>
      <w:r w:rsidRPr="00DC64E9">
        <w:rPr>
          <w:rFonts w:ascii="Arial" w:hAnsi="Arial" w:cs="Arial"/>
          <w:sz w:val="24"/>
          <w:szCs w:val="24"/>
          <w:bdr w:val="single" w:sz="2" w:space="0" w:color="ECEDEE" w:frame="1"/>
        </w:rPr>
        <w:t>67</w:t>
      </w:r>
      <w:r w:rsidRPr="00DC64E9">
        <w:rPr>
          <w:rFonts w:ascii="Arial" w:hAnsi="Arial" w:cs="Arial"/>
          <w:sz w:val="24"/>
          <w:szCs w:val="24"/>
        </w:rPr>
        <w:t>(23), 2732–2740.</w:t>
      </w:r>
    </w:p>
    <w:p w14:paraId="00E88343" w14:textId="77777777" w:rsidR="004942B6" w:rsidRPr="00DC64E9" w:rsidRDefault="004942B6" w:rsidP="004942B6">
      <w:pPr>
        <w:pStyle w:val="ListParagraph"/>
        <w:rPr>
          <w:rFonts w:ascii="Arial" w:hAnsi="Arial" w:cs="Arial"/>
          <w:sz w:val="24"/>
          <w:szCs w:val="24"/>
        </w:rPr>
      </w:pPr>
    </w:p>
    <w:p w14:paraId="730041EE"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rPr>
        <w:t>Belsey J, Savelieva I, Mugelli A, Camm AJ. (2014). Relative efficacy of antianginal drugs used as add-on therapy in patients with stable angina: A systematic review and meta-analysis. Eur J Prev Cardiol, </w:t>
      </w:r>
      <w:r w:rsidRPr="00DC64E9">
        <w:rPr>
          <w:rFonts w:ascii="Arial" w:hAnsi="Arial" w:cs="Arial"/>
          <w:sz w:val="24"/>
          <w:szCs w:val="24"/>
          <w:bdr w:val="single" w:sz="2" w:space="0" w:color="ECEDEE" w:frame="1"/>
        </w:rPr>
        <w:t>22</w:t>
      </w:r>
      <w:r w:rsidRPr="00DC64E9">
        <w:rPr>
          <w:rFonts w:ascii="Arial" w:hAnsi="Arial" w:cs="Arial"/>
          <w:sz w:val="24"/>
          <w:szCs w:val="24"/>
        </w:rPr>
        <w:t>(7), 837–848.</w:t>
      </w:r>
    </w:p>
    <w:p w14:paraId="6BEE4830" w14:textId="77777777" w:rsidR="004942B6" w:rsidRPr="00DC64E9" w:rsidRDefault="004942B6" w:rsidP="004942B6">
      <w:pPr>
        <w:pStyle w:val="ListParagraph"/>
        <w:rPr>
          <w:rFonts w:ascii="Arial" w:hAnsi="Arial" w:cs="Arial"/>
          <w:sz w:val="24"/>
          <w:szCs w:val="24"/>
        </w:rPr>
      </w:pPr>
    </w:p>
    <w:p w14:paraId="2F544111"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rPr>
        <w:lastRenderedPageBreak/>
        <w:t xml:space="preserve">Aarvik MD, Sandven I, Dondo TB, et al. (2018). Effect of oral β-blocker treatment on mortality in contemporary post-myocardial infarction patients: a systematic review and meta-analysis. </w:t>
      </w:r>
      <w:r w:rsidRPr="00DC64E9">
        <w:rPr>
          <w:rFonts w:ascii="Arial" w:hAnsi="Arial" w:cs="Arial"/>
          <w:sz w:val="24"/>
          <w:szCs w:val="24"/>
          <w:bdr w:val="single" w:sz="2" w:space="0" w:color="ECEDEE" w:frame="1"/>
        </w:rPr>
        <w:t>Eur Heart J Cardiovasc Pharmacother</w:t>
      </w:r>
      <w:r w:rsidRPr="00DC64E9">
        <w:rPr>
          <w:rFonts w:ascii="Arial" w:hAnsi="Arial" w:cs="Arial"/>
          <w:sz w:val="24"/>
          <w:szCs w:val="24"/>
        </w:rPr>
        <w:t>, </w:t>
      </w:r>
      <w:r w:rsidRPr="00DC64E9">
        <w:rPr>
          <w:rFonts w:ascii="Arial" w:hAnsi="Arial" w:cs="Arial"/>
          <w:sz w:val="24"/>
          <w:szCs w:val="24"/>
          <w:bdr w:val="single" w:sz="2" w:space="0" w:color="ECEDEE" w:frame="1"/>
        </w:rPr>
        <w:t>5</w:t>
      </w:r>
      <w:r w:rsidRPr="00DC64E9">
        <w:rPr>
          <w:rFonts w:ascii="Arial" w:hAnsi="Arial" w:cs="Arial"/>
          <w:sz w:val="24"/>
          <w:szCs w:val="24"/>
        </w:rPr>
        <w:t>(1), 12–20.</w:t>
      </w:r>
    </w:p>
    <w:p w14:paraId="4E50E4BE" w14:textId="77777777" w:rsidR="004942B6" w:rsidRPr="00DC64E9" w:rsidRDefault="004942B6" w:rsidP="004942B6">
      <w:pPr>
        <w:pStyle w:val="ListParagraph"/>
        <w:rPr>
          <w:rFonts w:ascii="Arial" w:hAnsi="Arial" w:cs="Arial"/>
          <w:sz w:val="24"/>
          <w:szCs w:val="24"/>
          <w:lang w:val="nl-NL"/>
        </w:rPr>
      </w:pPr>
    </w:p>
    <w:p w14:paraId="10643660"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lang w:val="nl-NL"/>
        </w:rPr>
        <w:t xml:space="preserve">Hwang D, Lee JM, Kim HK, et al. </w:t>
      </w:r>
      <w:r w:rsidRPr="00DC64E9">
        <w:rPr>
          <w:rFonts w:ascii="Arial" w:hAnsi="Arial" w:cs="Arial"/>
          <w:sz w:val="24"/>
          <w:szCs w:val="24"/>
        </w:rPr>
        <w:t>(2019). Prognostic impact of Β-Blocker dose after acute myocardial infarction. </w:t>
      </w:r>
      <w:r w:rsidRPr="00DC64E9">
        <w:rPr>
          <w:rFonts w:ascii="Arial" w:hAnsi="Arial" w:cs="Arial"/>
          <w:sz w:val="24"/>
          <w:szCs w:val="24"/>
          <w:bdr w:val="single" w:sz="2" w:space="0" w:color="ECEDEE" w:frame="1"/>
        </w:rPr>
        <w:t>Circulation</w:t>
      </w:r>
      <w:r w:rsidRPr="00DC64E9">
        <w:rPr>
          <w:rFonts w:ascii="Arial" w:hAnsi="Arial" w:cs="Arial"/>
          <w:sz w:val="24"/>
          <w:szCs w:val="24"/>
        </w:rPr>
        <w:t>, </w:t>
      </w:r>
      <w:r w:rsidRPr="00DC64E9">
        <w:rPr>
          <w:rFonts w:ascii="Arial" w:hAnsi="Arial" w:cs="Arial"/>
          <w:sz w:val="24"/>
          <w:szCs w:val="24"/>
          <w:bdr w:val="single" w:sz="2" w:space="0" w:color="ECEDEE" w:frame="1"/>
        </w:rPr>
        <w:t>83</w:t>
      </w:r>
      <w:r w:rsidRPr="00DC64E9">
        <w:rPr>
          <w:rFonts w:ascii="Arial" w:hAnsi="Arial" w:cs="Arial"/>
          <w:sz w:val="24"/>
          <w:szCs w:val="24"/>
        </w:rPr>
        <w:t>(2), 410–417.</w:t>
      </w:r>
    </w:p>
    <w:p w14:paraId="6F86C32F" w14:textId="77777777" w:rsidR="004942B6" w:rsidRPr="00DC64E9" w:rsidRDefault="004942B6" w:rsidP="004942B6">
      <w:pPr>
        <w:pStyle w:val="ListParagraph"/>
        <w:rPr>
          <w:rFonts w:ascii="Arial" w:hAnsi="Arial" w:cs="Arial"/>
          <w:sz w:val="24"/>
          <w:szCs w:val="24"/>
        </w:rPr>
      </w:pPr>
    </w:p>
    <w:p w14:paraId="1FFAD8C3"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rPr>
        <w:t>Poole</w:t>
      </w:r>
      <w:r w:rsidRPr="00DC64E9">
        <w:rPr>
          <w:rFonts w:ascii="Cambria Math" w:hAnsi="Cambria Math" w:cs="Cambria Math"/>
          <w:sz w:val="24"/>
          <w:szCs w:val="24"/>
        </w:rPr>
        <w:t>‐</w:t>
      </w:r>
      <w:r w:rsidRPr="00DC64E9">
        <w:rPr>
          <w:rFonts w:ascii="Arial" w:hAnsi="Arial" w:cs="Arial"/>
          <w:sz w:val="24"/>
          <w:szCs w:val="24"/>
        </w:rPr>
        <w:t>Wilson PA, Lubsen J, Kirwan B, et al. (2004). Effect of long acting nifedipine on mortality and cardiovascular morbidity in patients with stable angina requiring treatment (ACTION trial): randomised controlled trial. </w:t>
      </w:r>
      <w:r w:rsidRPr="00DC64E9">
        <w:rPr>
          <w:rFonts w:ascii="Arial" w:hAnsi="Arial" w:cs="Arial"/>
          <w:sz w:val="24"/>
          <w:szCs w:val="24"/>
          <w:bdr w:val="single" w:sz="2" w:space="0" w:color="ECEDEE" w:frame="1"/>
        </w:rPr>
        <w:t>The Lancet</w:t>
      </w:r>
      <w:r w:rsidRPr="00DC64E9">
        <w:rPr>
          <w:rFonts w:ascii="Arial" w:hAnsi="Arial" w:cs="Arial"/>
          <w:sz w:val="24"/>
          <w:szCs w:val="24"/>
        </w:rPr>
        <w:t>, </w:t>
      </w:r>
      <w:r w:rsidRPr="00DC64E9">
        <w:rPr>
          <w:rFonts w:ascii="Arial" w:hAnsi="Arial" w:cs="Arial"/>
          <w:sz w:val="24"/>
          <w:szCs w:val="24"/>
          <w:bdr w:val="single" w:sz="2" w:space="0" w:color="ECEDEE" w:frame="1"/>
        </w:rPr>
        <w:t>364</w:t>
      </w:r>
      <w:r w:rsidRPr="00DC64E9">
        <w:rPr>
          <w:rFonts w:ascii="Arial" w:hAnsi="Arial" w:cs="Arial"/>
          <w:sz w:val="24"/>
          <w:szCs w:val="24"/>
        </w:rPr>
        <w:t>(9437), 849–857.</w:t>
      </w:r>
    </w:p>
    <w:p w14:paraId="755A7FE3" w14:textId="77777777" w:rsidR="004942B6" w:rsidRPr="00DC64E9" w:rsidRDefault="004942B6" w:rsidP="004942B6">
      <w:pPr>
        <w:pStyle w:val="ListParagraph"/>
        <w:rPr>
          <w:rFonts w:ascii="Arial" w:hAnsi="Arial" w:cs="Arial"/>
          <w:sz w:val="24"/>
          <w:szCs w:val="24"/>
          <w:lang w:val="sv-SE"/>
        </w:rPr>
      </w:pPr>
    </w:p>
    <w:p w14:paraId="2BE9198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C64E9">
        <w:rPr>
          <w:rFonts w:ascii="Arial" w:hAnsi="Arial" w:cs="Arial"/>
          <w:sz w:val="24"/>
          <w:szCs w:val="24"/>
          <w:lang w:val="sv-SE"/>
        </w:rPr>
        <w:t xml:space="preserve">Fox K, Ford I, Steg PG, Tardif J. (2014). </w:t>
      </w:r>
      <w:r w:rsidRPr="00DC64E9">
        <w:rPr>
          <w:rFonts w:ascii="Arial" w:hAnsi="Arial" w:cs="Arial"/>
          <w:sz w:val="24"/>
          <w:szCs w:val="24"/>
        </w:rPr>
        <w:t>Ivabradine in Stable Coronary Artery Disease without Clinical Heart Failure. N Engl J Med, </w:t>
      </w:r>
      <w:r w:rsidRPr="00DC64E9">
        <w:rPr>
          <w:rFonts w:ascii="Arial" w:hAnsi="Arial" w:cs="Arial"/>
          <w:sz w:val="24"/>
          <w:szCs w:val="24"/>
          <w:bdr w:val="single" w:sz="2" w:space="0" w:color="ECEDEE" w:frame="1"/>
        </w:rPr>
        <w:t>371</w:t>
      </w:r>
      <w:r w:rsidRPr="00DC64E9">
        <w:rPr>
          <w:rFonts w:ascii="Arial" w:hAnsi="Arial" w:cs="Arial"/>
          <w:sz w:val="24"/>
          <w:szCs w:val="24"/>
        </w:rPr>
        <w:t>(12), 1091–1099.</w:t>
      </w:r>
    </w:p>
    <w:p w14:paraId="28845563" w14:textId="77777777" w:rsidR="004942B6" w:rsidRPr="00EB514E" w:rsidRDefault="004942B6" w:rsidP="004942B6">
      <w:pPr>
        <w:pStyle w:val="ListParagraph"/>
        <w:rPr>
          <w:rFonts w:ascii="Arial" w:hAnsi="Arial" w:cs="Arial"/>
          <w:sz w:val="24"/>
          <w:szCs w:val="24"/>
          <w:lang w:val="sv-SE"/>
        </w:rPr>
      </w:pPr>
    </w:p>
    <w:p w14:paraId="77CC838A"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lang w:val="sv-SE"/>
        </w:rPr>
        <w:t xml:space="preserve">Fox K, Ford I, Steg PG, et al. </w:t>
      </w:r>
      <w:r w:rsidRPr="00EB514E">
        <w:rPr>
          <w:rFonts w:ascii="Arial" w:hAnsi="Arial" w:cs="Arial"/>
          <w:sz w:val="24"/>
          <w:szCs w:val="24"/>
        </w:rPr>
        <w:t>(2008). Ivabradine for patients with stable coronary artery disease and left-ventricular systolic dysfunction (BEAUTIFUL): a randomised, double-blind, placebo-controlled trial. </w:t>
      </w:r>
      <w:r w:rsidRPr="00EB514E">
        <w:rPr>
          <w:rFonts w:ascii="Arial" w:hAnsi="Arial" w:cs="Arial"/>
          <w:sz w:val="24"/>
          <w:szCs w:val="24"/>
          <w:bdr w:val="single" w:sz="2" w:space="0" w:color="ECEDEE" w:frame="1"/>
        </w:rPr>
        <w:t>The Lancet</w:t>
      </w:r>
      <w:r w:rsidRPr="00EB514E">
        <w:rPr>
          <w:rFonts w:ascii="Arial" w:hAnsi="Arial" w:cs="Arial"/>
          <w:sz w:val="24"/>
          <w:szCs w:val="24"/>
        </w:rPr>
        <w:t>, </w:t>
      </w:r>
      <w:r w:rsidRPr="00EB514E">
        <w:rPr>
          <w:rFonts w:ascii="Arial" w:hAnsi="Arial" w:cs="Arial"/>
          <w:sz w:val="24"/>
          <w:szCs w:val="24"/>
          <w:bdr w:val="single" w:sz="2" w:space="0" w:color="ECEDEE" w:frame="1"/>
        </w:rPr>
        <w:t>372</w:t>
      </w:r>
      <w:r w:rsidRPr="00EB514E">
        <w:rPr>
          <w:rFonts w:ascii="Arial" w:hAnsi="Arial" w:cs="Arial"/>
          <w:sz w:val="24"/>
          <w:szCs w:val="24"/>
        </w:rPr>
        <w:t>(9641), 807–816.</w:t>
      </w:r>
    </w:p>
    <w:p w14:paraId="7BDF3765" w14:textId="77777777" w:rsidR="004942B6" w:rsidRPr="00EB514E" w:rsidRDefault="004942B6" w:rsidP="004942B6">
      <w:pPr>
        <w:pStyle w:val="ListParagraph"/>
        <w:rPr>
          <w:rFonts w:ascii="Arial" w:hAnsi="Arial" w:cs="Arial"/>
          <w:color w:val="212121"/>
          <w:sz w:val="24"/>
          <w:szCs w:val="24"/>
          <w:shd w:val="clear" w:color="auto" w:fill="FFFFFF"/>
        </w:rPr>
      </w:pPr>
    </w:p>
    <w:p w14:paraId="3D5D1E0B" w14:textId="77777777" w:rsidR="004942B6" w:rsidRPr="00EB514E"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color w:val="212121"/>
          <w:sz w:val="24"/>
          <w:szCs w:val="24"/>
          <w:shd w:val="clear" w:color="auto" w:fill="FFFFFF"/>
        </w:rPr>
        <w:t>IONA Study Group (2002). Effect of nicorandil on coronary events in patients with stable angina: the Impact Of Nicorandil in Angina (IONA) randomised trial. The Lancet (London, England), 359(9314), 1269–1275.</w:t>
      </w:r>
    </w:p>
    <w:p w14:paraId="38566BAE" w14:textId="77777777" w:rsidR="004942B6" w:rsidRPr="00EB514E" w:rsidRDefault="004942B6" w:rsidP="004942B6">
      <w:pPr>
        <w:pStyle w:val="ListParagraph"/>
        <w:rPr>
          <w:rFonts w:ascii="Arial" w:hAnsi="Arial" w:cs="Arial"/>
          <w:sz w:val="24"/>
          <w:szCs w:val="24"/>
          <w:shd w:val="clear" w:color="auto" w:fill="FFFFFF"/>
        </w:rPr>
      </w:pPr>
    </w:p>
    <w:p w14:paraId="666DCA53" w14:textId="77777777" w:rsidR="004942B6" w:rsidRPr="00EB514E"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shd w:val="clear" w:color="auto" w:fill="FFFFFF"/>
        </w:rPr>
        <w:t xml:space="preserve">Morrow DA, Scirica BM, Karwatowska-Prokopczuk E, et al. MERLIN-TIMI 36 Trial Investigators. Effects of ranolazine on recurrent cardiovascular events in patients with non-ST-elevation acute coronary syndromes: the MERLIN-TIMI 36 randomized trial. JAMA. 2007 Apr 25;297(16):1775-83. </w:t>
      </w:r>
    </w:p>
    <w:p w14:paraId="1CF7C35F" w14:textId="77777777" w:rsidR="004942B6" w:rsidRPr="00EB514E" w:rsidRDefault="004942B6" w:rsidP="004942B6">
      <w:pPr>
        <w:pStyle w:val="ListParagraph"/>
        <w:rPr>
          <w:rFonts w:ascii="Arial" w:hAnsi="Arial" w:cs="Arial"/>
          <w:sz w:val="24"/>
          <w:szCs w:val="24"/>
          <w:lang w:val="it-IT"/>
        </w:rPr>
      </w:pPr>
    </w:p>
    <w:p w14:paraId="680ED898"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lang w:val="it-IT"/>
        </w:rPr>
        <w:t xml:space="preserve">Giugliano RP, Cannon CP, Blazing MA., et al. </w:t>
      </w:r>
      <w:r w:rsidRPr="00EB514E">
        <w:rPr>
          <w:rFonts w:ascii="Arial" w:hAnsi="Arial" w:cs="Arial"/>
          <w:sz w:val="24"/>
          <w:szCs w:val="24"/>
        </w:rPr>
        <w:t>(2018). Benefit of adding ezetimibe to statin therapy on cardiovascular outcomes and safety in patients with versus without diabetes mellitus. </w:t>
      </w:r>
      <w:r w:rsidRPr="00EB514E">
        <w:rPr>
          <w:rFonts w:ascii="Arial" w:hAnsi="Arial" w:cs="Arial"/>
          <w:sz w:val="24"/>
          <w:szCs w:val="24"/>
          <w:bdr w:val="single" w:sz="2" w:space="0" w:color="ECEDEE" w:frame="1"/>
        </w:rPr>
        <w:t>Circulation</w:t>
      </w:r>
      <w:r w:rsidRPr="00EB514E">
        <w:rPr>
          <w:rFonts w:ascii="Arial" w:hAnsi="Arial" w:cs="Arial"/>
          <w:sz w:val="24"/>
          <w:szCs w:val="24"/>
        </w:rPr>
        <w:t>, </w:t>
      </w:r>
      <w:r w:rsidRPr="00EB514E">
        <w:rPr>
          <w:rFonts w:ascii="Arial" w:hAnsi="Arial" w:cs="Arial"/>
          <w:sz w:val="24"/>
          <w:szCs w:val="24"/>
          <w:bdr w:val="single" w:sz="2" w:space="0" w:color="ECEDEE" w:frame="1"/>
        </w:rPr>
        <w:t>137</w:t>
      </w:r>
      <w:r w:rsidRPr="00EB514E">
        <w:rPr>
          <w:rFonts w:ascii="Arial" w:hAnsi="Arial" w:cs="Arial"/>
          <w:sz w:val="24"/>
          <w:szCs w:val="24"/>
        </w:rPr>
        <w:t>(15), 1571–1582.</w:t>
      </w:r>
    </w:p>
    <w:p w14:paraId="1C982B31" w14:textId="77777777" w:rsidR="004942B6" w:rsidRPr="00EB514E" w:rsidRDefault="004942B6" w:rsidP="004942B6">
      <w:pPr>
        <w:pStyle w:val="ListParagraph"/>
        <w:rPr>
          <w:rFonts w:ascii="Arial" w:hAnsi="Arial" w:cs="Arial"/>
          <w:sz w:val="24"/>
          <w:szCs w:val="24"/>
          <w:lang w:val="it-IT"/>
        </w:rPr>
      </w:pPr>
    </w:p>
    <w:p w14:paraId="14BDC6D4"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lang w:val="it-IT"/>
        </w:rPr>
        <w:t xml:space="preserve">Sabatine MS, Giugliano RP, Keech A, et al. </w:t>
      </w:r>
      <w:r w:rsidRPr="00EB514E">
        <w:rPr>
          <w:rFonts w:ascii="Arial" w:hAnsi="Arial" w:cs="Arial"/>
          <w:sz w:val="24"/>
          <w:szCs w:val="24"/>
        </w:rPr>
        <w:t>(2017). Evolocumab and Clinical Outcomes in Patients with Cardiovascular Disease. </w:t>
      </w:r>
      <w:r w:rsidRPr="00EB514E">
        <w:rPr>
          <w:rFonts w:ascii="Arial" w:hAnsi="Arial" w:cs="Arial"/>
          <w:sz w:val="24"/>
          <w:szCs w:val="24"/>
          <w:bdr w:val="single" w:sz="2" w:space="0" w:color="ECEDEE" w:frame="1"/>
        </w:rPr>
        <w:t>N Engl J Med</w:t>
      </w:r>
      <w:r w:rsidRPr="00EB514E">
        <w:rPr>
          <w:rFonts w:ascii="Arial" w:hAnsi="Arial" w:cs="Arial"/>
          <w:sz w:val="24"/>
          <w:szCs w:val="24"/>
        </w:rPr>
        <w:t>, </w:t>
      </w:r>
      <w:r w:rsidRPr="00EB514E">
        <w:rPr>
          <w:rFonts w:ascii="Arial" w:hAnsi="Arial" w:cs="Arial"/>
          <w:sz w:val="24"/>
          <w:szCs w:val="24"/>
          <w:bdr w:val="single" w:sz="2" w:space="0" w:color="ECEDEE" w:frame="1"/>
        </w:rPr>
        <w:t>376</w:t>
      </w:r>
      <w:r w:rsidRPr="00EB514E">
        <w:rPr>
          <w:rFonts w:ascii="Arial" w:hAnsi="Arial" w:cs="Arial"/>
          <w:sz w:val="24"/>
          <w:szCs w:val="24"/>
        </w:rPr>
        <w:t>(18), 1713–1722. </w:t>
      </w:r>
    </w:p>
    <w:p w14:paraId="4F816631" w14:textId="77777777" w:rsidR="004942B6" w:rsidRPr="00EB514E" w:rsidRDefault="004942B6" w:rsidP="004942B6">
      <w:pPr>
        <w:pStyle w:val="ListParagraph"/>
        <w:rPr>
          <w:rFonts w:ascii="Arial" w:hAnsi="Arial" w:cs="Arial"/>
          <w:sz w:val="24"/>
          <w:szCs w:val="24"/>
          <w:lang w:val="fr-FR"/>
        </w:rPr>
      </w:pPr>
    </w:p>
    <w:p w14:paraId="323A41F7"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lang w:val="fr-FR"/>
        </w:rPr>
        <w:t xml:space="preserve">Robinson JG, Farnier M, Krempf M, et al. </w:t>
      </w:r>
      <w:r w:rsidRPr="00EB514E">
        <w:rPr>
          <w:rFonts w:ascii="Arial" w:hAnsi="Arial" w:cs="Arial"/>
          <w:sz w:val="24"/>
          <w:szCs w:val="24"/>
        </w:rPr>
        <w:t>(2015). Efficacy and safety of alirocumab in reducing lipids and cardiovascular events. </w:t>
      </w:r>
      <w:r w:rsidRPr="00EB514E">
        <w:rPr>
          <w:rFonts w:ascii="Arial" w:hAnsi="Arial" w:cs="Arial"/>
          <w:sz w:val="24"/>
          <w:szCs w:val="24"/>
          <w:bdr w:val="single" w:sz="2" w:space="0" w:color="ECEDEE" w:frame="1"/>
        </w:rPr>
        <w:t>N Engl J Med</w:t>
      </w:r>
      <w:r w:rsidRPr="00EB514E">
        <w:rPr>
          <w:rFonts w:ascii="Arial" w:hAnsi="Arial" w:cs="Arial"/>
          <w:sz w:val="24"/>
          <w:szCs w:val="24"/>
        </w:rPr>
        <w:t>, </w:t>
      </w:r>
      <w:r w:rsidRPr="00EB514E">
        <w:rPr>
          <w:rFonts w:ascii="Arial" w:hAnsi="Arial" w:cs="Arial"/>
          <w:sz w:val="24"/>
          <w:szCs w:val="24"/>
          <w:bdr w:val="single" w:sz="2" w:space="0" w:color="ECEDEE" w:frame="1"/>
        </w:rPr>
        <w:t>372</w:t>
      </w:r>
      <w:r w:rsidRPr="00EB514E">
        <w:rPr>
          <w:rFonts w:ascii="Arial" w:hAnsi="Arial" w:cs="Arial"/>
          <w:sz w:val="24"/>
          <w:szCs w:val="24"/>
        </w:rPr>
        <w:t>(16), 1489–1499.</w:t>
      </w:r>
    </w:p>
    <w:p w14:paraId="0001643F" w14:textId="77777777" w:rsidR="004942B6" w:rsidRPr="00EB514E" w:rsidRDefault="004942B6" w:rsidP="004942B6">
      <w:pPr>
        <w:pStyle w:val="ListParagraph"/>
        <w:rPr>
          <w:rFonts w:ascii="Arial" w:hAnsi="Arial" w:cs="Arial"/>
          <w:sz w:val="24"/>
          <w:szCs w:val="24"/>
          <w:shd w:val="clear" w:color="auto" w:fill="FFFFFF"/>
          <w:lang w:val="fr-FR"/>
        </w:rPr>
      </w:pPr>
    </w:p>
    <w:p w14:paraId="506F6B40" w14:textId="77777777" w:rsidR="004942B6" w:rsidRPr="00FA0D2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FA0D2A">
        <w:rPr>
          <w:rFonts w:ascii="Arial" w:hAnsi="Arial" w:cs="Arial"/>
          <w:sz w:val="24"/>
          <w:szCs w:val="24"/>
          <w:shd w:val="clear" w:color="auto" w:fill="FFFFFF"/>
        </w:rPr>
        <w:t>Scafa-Udriște A, Niculescu AG, Grumezescu A, et al. (2021). Cardiovascular Stents: A Review of Past, Current, and Emerging Devices. Materials (Basel, Switzerland), 14(10), 2498-99.</w:t>
      </w:r>
    </w:p>
    <w:p w14:paraId="5D725017" w14:textId="77777777" w:rsidR="004942B6" w:rsidRPr="00FA0D2A" w:rsidRDefault="004942B6" w:rsidP="004942B6">
      <w:pPr>
        <w:pStyle w:val="ListParagraph"/>
        <w:rPr>
          <w:rFonts w:ascii="Arial" w:hAnsi="Arial" w:cs="Arial"/>
          <w:sz w:val="24"/>
          <w:szCs w:val="24"/>
          <w:lang w:val="nl-NL"/>
        </w:rPr>
      </w:pPr>
    </w:p>
    <w:p w14:paraId="057761E5" w14:textId="77777777" w:rsidR="004942B6" w:rsidRPr="00FA0D2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9918A2">
        <w:rPr>
          <w:rFonts w:ascii="Arial" w:hAnsi="Arial" w:cs="Arial"/>
          <w:sz w:val="24"/>
          <w:szCs w:val="24"/>
          <w:shd w:val="clear" w:color="auto" w:fill="FFFFFF"/>
          <w:lang w:val="pt-PT"/>
        </w:rPr>
        <w:t xml:space="preserve">Vale N, Madeira S, Almeida M, et al. </w:t>
      </w:r>
      <w:r w:rsidRPr="00FA0D2A">
        <w:rPr>
          <w:rFonts w:ascii="Arial" w:hAnsi="Arial" w:cs="Arial"/>
          <w:sz w:val="24"/>
          <w:szCs w:val="24"/>
          <w:shd w:val="clear" w:color="auto" w:fill="FFFFFF"/>
        </w:rPr>
        <w:t>(2020). Ten-year survival of patients undergoing coronary angioplasty with first-generation sirolimus-eluting stents and bare-metal stents. </w:t>
      </w:r>
      <w:r w:rsidRPr="00FA0D2A">
        <w:rPr>
          <w:rStyle w:val="ref-journal"/>
          <w:rFonts w:ascii="Arial" w:hAnsi="Arial" w:cs="Arial"/>
          <w:sz w:val="24"/>
          <w:szCs w:val="24"/>
          <w:shd w:val="clear" w:color="auto" w:fill="FFFFFF"/>
        </w:rPr>
        <w:t>Rev. Port. Cardiol</w:t>
      </w:r>
      <w:r w:rsidRPr="00FA0D2A">
        <w:rPr>
          <w:rFonts w:ascii="Arial" w:hAnsi="Arial" w:cs="Arial"/>
          <w:sz w:val="24"/>
          <w:szCs w:val="24"/>
          <w:shd w:val="clear" w:color="auto" w:fill="FFFFFF"/>
        </w:rPr>
        <w:t xml:space="preserve">; </w:t>
      </w:r>
      <w:r w:rsidRPr="00FA0D2A">
        <w:rPr>
          <w:rStyle w:val="ref-vol"/>
          <w:rFonts w:ascii="Arial" w:hAnsi="Arial" w:cs="Arial"/>
          <w:sz w:val="24"/>
          <w:szCs w:val="24"/>
          <w:shd w:val="clear" w:color="auto" w:fill="FFFFFF"/>
        </w:rPr>
        <w:t>39</w:t>
      </w:r>
      <w:r w:rsidRPr="00FA0D2A">
        <w:rPr>
          <w:rFonts w:ascii="Arial" w:hAnsi="Arial" w:cs="Arial"/>
          <w:sz w:val="24"/>
          <w:szCs w:val="24"/>
          <w:shd w:val="clear" w:color="auto" w:fill="FFFFFF"/>
        </w:rPr>
        <w:t>: 639–647. </w:t>
      </w:r>
    </w:p>
    <w:p w14:paraId="4FF33202" w14:textId="77777777" w:rsidR="004942B6" w:rsidRPr="00EB514E" w:rsidRDefault="004942B6" w:rsidP="004942B6">
      <w:pPr>
        <w:pStyle w:val="ListParagraph"/>
        <w:rPr>
          <w:rFonts w:ascii="Arial" w:hAnsi="Arial" w:cs="Arial"/>
          <w:sz w:val="24"/>
          <w:szCs w:val="24"/>
          <w:shd w:val="clear" w:color="auto" w:fill="FFFFFF"/>
          <w:lang w:val="nl-NL"/>
        </w:rPr>
      </w:pPr>
    </w:p>
    <w:p w14:paraId="3FD249D3" w14:textId="77777777" w:rsidR="004942B6" w:rsidRPr="00E32654"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shd w:val="clear" w:color="auto" w:fill="FFFFFF"/>
          <w:lang w:val="nl-NL"/>
        </w:rPr>
        <w:lastRenderedPageBreak/>
        <w:t xml:space="preserve">De Luca G, Dirksen MT, Spaulding C, et al. </w:t>
      </w:r>
      <w:r w:rsidRPr="00EB514E">
        <w:rPr>
          <w:rFonts w:ascii="Arial" w:hAnsi="Arial" w:cs="Arial"/>
          <w:sz w:val="24"/>
          <w:szCs w:val="24"/>
          <w:shd w:val="clear" w:color="auto" w:fill="FFFFFF"/>
        </w:rPr>
        <w:t>Drug-Eluting Stent in Primary Angioplasty (DESERT) Cooperation. Drug-eluting vs bare-metal stents in primary angioplasty: a pooled patient-level meta-analysis of randomized trials. Arch Intern Med. 2012 Apr 23;172(8):611-21; discussion 621-2.</w:t>
      </w:r>
    </w:p>
    <w:p w14:paraId="0166E7FE" w14:textId="77777777" w:rsidR="004942B6" w:rsidRPr="00E32654" w:rsidRDefault="004942B6" w:rsidP="004942B6">
      <w:pPr>
        <w:pStyle w:val="ListParagraph"/>
        <w:rPr>
          <w:rFonts w:ascii="Arial" w:hAnsi="Arial" w:cs="Arial"/>
          <w:sz w:val="24"/>
          <w:szCs w:val="24"/>
        </w:rPr>
      </w:pPr>
    </w:p>
    <w:p w14:paraId="63DEA18F" w14:textId="77777777" w:rsidR="004942B6" w:rsidRPr="00E32654"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32654">
        <w:rPr>
          <w:rFonts w:ascii="Arial" w:hAnsi="Arial" w:cs="Arial"/>
          <w:sz w:val="24"/>
          <w:szCs w:val="24"/>
        </w:rPr>
        <w:t>Chacko L, Howard JP, Rajkumar C, et al. (2020). Effects of percutaneous coronary intervention on death and myocardial infarction stratified by stable and unstable coronary artery disease. </w:t>
      </w:r>
      <w:r w:rsidRPr="00E32654">
        <w:rPr>
          <w:rFonts w:ascii="Arial" w:hAnsi="Arial" w:cs="Arial"/>
          <w:sz w:val="24"/>
          <w:szCs w:val="24"/>
          <w:bdr w:val="single" w:sz="2" w:space="0" w:color="ECEDEE" w:frame="1"/>
        </w:rPr>
        <w:t>Circulation: Cardiovasc Qual Outcomes</w:t>
      </w:r>
      <w:r w:rsidRPr="00E32654">
        <w:rPr>
          <w:rFonts w:ascii="Arial" w:hAnsi="Arial" w:cs="Arial"/>
          <w:sz w:val="24"/>
          <w:szCs w:val="24"/>
        </w:rPr>
        <w:t>, </w:t>
      </w:r>
      <w:r w:rsidRPr="00E32654">
        <w:rPr>
          <w:rFonts w:ascii="Arial" w:hAnsi="Arial" w:cs="Arial"/>
          <w:sz w:val="24"/>
          <w:szCs w:val="24"/>
          <w:bdr w:val="single" w:sz="2" w:space="0" w:color="ECEDEE" w:frame="1"/>
        </w:rPr>
        <w:t>13</w:t>
      </w:r>
      <w:r w:rsidRPr="00E32654">
        <w:rPr>
          <w:rFonts w:ascii="Arial" w:hAnsi="Arial" w:cs="Arial"/>
          <w:sz w:val="24"/>
          <w:szCs w:val="24"/>
        </w:rPr>
        <w:t xml:space="preserve">(2), e006363. </w:t>
      </w:r>
    </w:p>
    <w:p w14:paraId="6EE8E42F" w14:textId="77777777" w:rsidR="004942B6" w:rsidRPr="00EB514E" w:rsidRDefault="004942B6" w:rsidP="004942B6">
      <w:pPr>
        <w:pStyle w:val="ListParagraph"/>
        <w:rPr>
          <w:rFonts w:ascii="Arial" w:hAnsi="Arial" w:cs="Arial"/>
          <w:sz w:val="24"/>
          <w:szCs w:val="24"/>
        </w:rPr>
      </w:pPr>
    </w:p>
    <w:p w14:paraId="7786C054"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9918A2">
        <w:rPr>
          <w:sz w:val="27"/>
          <w:szCs w:val="27"/>
          <w:lang w:val="de-DE"/>
        </w:rPr>
        <w:t xml:space="preserve">Berg ES, Tegn N, Abdelnoor M, et al. </w:t>
      </w:r>
      <w:r w:rsidRPr="00D117D6">
        <w:rPr>
          <w:sz w:val="27"/>
          <w:szCs w:val="27"/>
        </w:rPr>
        <w:t>(2023). Long-Term Outcomes of Invasive vs Conservative Strategies for Older Patients With Non–ST-Segment Elevation Acute Coronary Syndromes. </w:t>
      </w:r>
      <w:r w:rsidRPr="00D117D6">
        <w:rPr>
          <w:sz w:val="27"/>
          <w:szCs w:val="27"/>
          <w:bdr w:val="single" w:sz="2" w:space="0" w:color="ECEDEE" w:frame="1"/>
        </w:rPr>
        <w:t>J Am Coll Cardiol</w:t>
      </w:r>
      <w:r w:rsidRPr="00D117D6">
        <w:rPr>
          <w:sz w:val="27"/>
          <w:szCs w:val="27"/>
        </w:rPr>
        <w:t>, </w:t>
      </w:r>
      <w:r w:rsidRPr="00D117D6">
        <w:rPr>
          <w:sz w:val="27"/>
          <w:szCs w:val="27"/>
          <w:bdr w:val="single" w:sz="2" w:space="0" w:color="ECEDEE" w:frame="1"/>
        </w:rPr>
        <w:t>82</w:t>
      </w:r>
      <w:r w:rsidRPr="00D117D6">
        <w:rPr>
          <w:sz w:val="27"/>
          <w:szCs w:val="27"/>
        </w:rPr>
        <w:t>(21), 2021–2030</w:t>
      </w:r>
    </w:p>
    <w:p w14:paraId="078D4E08" w14:textId="77777777" w:rsidR="004942B6" w:rsidRPr="00EB514E" w:rsidRDefault="004942B6" w:rsidP="004942B6">
      <w:pPr>
        <w:pStyle w:val="ListParagraph"/>
        <w:rPr>
          <w:rFonts w:ascii="Arial" w:hAnsi="Arial" w:cs="Arial"/>
          <w:color w:val="212121"/>
          <w:sz w:val="24"/>
          <w:szCs w:val="24"/>
          <w:shd w:val="clear" w:color="auto" w:fill="FFFFFF"/>
        </w:rPr>
      </w:pPr>
    </w:p>
    <w:p w14:paraId="52F73197" w14:textId="77777777" w:rsidR="004942B6" w:rsidRPr="00D117D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rPr>
        <w:t>Chen X, Barywani SB, Sigurjónsdóttir R, et al. (2018). Improved short- and long-term survival associated with percutaneous coronary intervention in the elderly patients with acute coronary syndrome. </w:t>
      </w:r>
      <w:r w:rsidRPr="00EB514E">
        <w:rPr>
          <w:rFonts w:ascii="Arial" w:hAnsi="Arial" w:cs="Arial"/>
          <w:sz w:val="24"/>
          <w:szCs w:val="24"/>
          <w:bdr w:val="single" w:sz="2" w:space="0" w:color="ECEDEE" w:frame="1"/>
        </w:rPr>
        <w:t>BMC Geriatrics</w:t>
      </w:r>
      <w:r w:rsidRPr="00EB514E">
        <w:rPr>
          <w:rFonts w:ascii="Arial" w:hAnsi="Arial" w:cs="Arial"/>
          <w:sz w:val="24"/>
          <w:szCs w:val="24"/>
        </w:rPr>
        <w:t>, </w:t>
      </w:r>
      <w:r w:rsidRPr="00EB514E">
        <w:rPr>
          <w:rFonts w:ascii="Arial" w:hAnsi="Arial" w:cs="Arial"/>
          <w:sz w:val="24"/>
          <w:szCs w:val="24"/>
          <w:bdr w:val="single" w:sz="2" w:space="0" w:color="ECEDEE" w:frame="1"/>
        </w:rPr>
        <w:t>18</w:t>
      </w:r>
      <w:r w:rsidRPr="00EB514E">
        <w:rPr>
          <w:rFonts w:ascii="Arial" w:hAnsi="Arial" w:cs="Arial"/>
          <w:sz w:val="24"/>
          <w:szCs w:val="24"/>
        </w:rPr>
        <w:t>(1), 137-139</w:t>
      </w:r>
    </w:p>
    <w:p w14:paraId="70365FE5" w14:textId="77777777" w:rsidR="004942B6" w:rsidRPr="00EB514E" w:rsidRDefault="004942B6" w:rsidP="004942B6">
      <w:pPr>
        <w:pStyle w:val="ListParagraph"/>
        <w:rPr>
          <w:rFonts w:ascii="Arial" w:hAnsi="Arial" w:cs="Arial"/>
          <w:sz w:val="24"/>
          <w:szCs w:val="24"/>
        </w:rPr>
      </w:pPr>
    </w:p>
    <w:p w14:paraId="7109BF90"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rPr>
        <w:t>Betriu A, Masotti M. (2005). Comparison of mortality rates in acute myocardial infarction treated by percutaneous coronary intervention versus fibrinolysis. </w:t>
      </w:r>
      <w:r w:rsidRPr="00EB514E">
        <w:rPr>
          <w:rFonts w:ascii="Arial" w:hAnsi="Arial" w:cs="Arial"/>
          <w:color w:val="212121"/>
          <w:sz w:val="24"/>
          <w:szCs w:val="24"/>
          <w:shd w:val="clear" w:color="auto" w:fill="FFFFFF"/>
        </w:rPr>
        <w:t>Am J Cardiol</w:t>
      </w:r>
      <w:r w:rsidRPr="00EB514E">
        <w:rPr>
          <w:rFonts w:ascii="Arial" w:hAnsi="Arial" w:cs="Arial"/>
          <w:sz w:val="24"/>
          <w:szCs w:val="24"/>
        </w:rPr>
        <w:t>, </w:t>
      </w:r>
      <w:r w:rsidRPr="00EB514E">
        <w:rPr>
          <w:rFonts w:ascii="Arial" w:hAnsi="Arial" w:cs="Arial"/>
          <w:sz w:val="24"/>
          <w:szCs w:val="24"/>
          <w:bdr w:val="single" w:sz="2" w:space="0" w:color="ECEDEE" w:frame="1"/>
        </w:rPr>
        <w:t>95</w:t>
      </w:r>
      <w:r w:rsidRPr="00EB514E">
        <w:rPr>
          <w:rFonts w:ascii="Arial" w:hAnsi="Arial" w:cs="Arial"/>
          <w:sz w:val="24"/>
          <w:szCs w:val="24"/>
        </w:rPr>
        <w:t>(1), 100–101.</w:t>
      </w:r>
    </w:p>
    <w:p w14:paraId="1E06DC65" w14:textId="77777777" w:rsidR="004942B6" w:rsidRPr="00EB514E" w:rsidRDefault="004942B6" w:rsidP="004942B6">
      <w:pPr>
        <w:pStyle w:val="ListParagraph"/>
        <w:rPr>
          <w:rFonts w:ascii="Arial" w:hAnsi="Arial" w:cs="Arial"/>
          <w:sz w:val="24"/>
          <w:szCs w:val="24"/>
        </w:rPr>
      </w:pPr>
    </w:p>
    <w:p w14:paraId="0841C38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rPr>
        <w:t>Boersma E. (2006). Does time matter? A pooled analysis of randomized clinical trials comparing primary percutaneous coronary intervention and in-hospital fibrinolysis in acute myocardial infarction patients. </w:t>
      </w:r>
      <w:r w:rsidRPr="00EB514E">
        <w:rPr>
          <w:rFonts w:ascii="Arial" w:hAnsi="Arial" w:cs="Arial"/>
          <w:sz w:val="24"/>
          <w:szCs w:val="24"/>
          <w:bdr w:val="single" w:sz="2" w:space="0" w:color="ECEDEE" w:frame="1"/>
        </w:rPr>
        <w:t>Eur Heart J</w:t>
      </w:r>
      <w:r w:rsidRPr="00EB514E">
        <w:rPr>
          <w:rFonts w:ascii="Arial" w:hAnsi="Arial" w:cs="Arial"/>
          <w:sz w:val="24"/>
          <w:szCs w:val="24"/>
        </w:rPr>
        <w:t>, </w:t>
      </w:r>
      <w:r w:rsidRPr="00EB514E">
        <w:rPr>
          <w:rFonts w:ascii="Arial" w:hAnsi="Arial" w:cs="Arial"/>
          <w:sz w:val="24"/>
          <w:szCs w:val="24"/>
          <w:bdr w:val="single" w:sz="2" w:space="0" w:color="ECEDEE" w:frame="1"/>
        </w:rPr>
        <w:t>27</w:t>
      </w:r>
      <w:r w:rsidRPr="00EB514E">
        <w:rPr>
          <w:rFonts w:ascii="Arial" w:hAnsi="Arial" w:cs="Arial"/>
          <w:sz w:val="24"/>
          <w:szCs w:val="24"/>
        </w:rPr>
        <w:t>(7), 779–788.</w:t>
      </w:r>
    </w:p>
    <w:p w14:paraId="5DF67AF7" w14:textId="77777777" w:rsidR="004942B6" w:rsidRPr="00EB514E" w:rsidRDefault="004942B6" w:rsidP="004942B6">
      <w:pPr>
        <w:pStyle w:val="ListParagraph"/>
        <w:rPr>
          <w:rFonts w:ascii="Arial" w:hAnsi="Arial" w:cs="Arial"/>
          <w:sz w:val="24"/>
          <w:szCs w:val="24"/>
        </w:rPr>
      </w:pPr>
    </w:p>
    <w:p w14:paraId="53D831AB"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rPr>
        <w:t>West R, Cattle BA, Bouyssie M, et al (2010). Impact of hospital proportion and volume on primary percutaneous coronary intervention performance in England and Wales. </w:t>
      </w:r>
      <w:r w:rsidRPr="00EB514E">
        <w:rPr>
          <w:rFonts w:ascii="Arial" w:hAnsi="Arial" w:cs="Arial"/>
          <w:sz w:val="24"/>
          <w:szCs w:val="24"/>
          <w:bdr w:val="single" w:sz="2" w:space="0" w:color="ECEDEE" w:frame="1"/>
        </w:rPr>
        <w:t>Eur Heart J</w:t>
      </w:r>
      <w:r w:rsidRPr="00EB514E">
        <w:rPr>
          <w:rFonts w:ascii="Arial" w:hAnsi="Arial" w:cs="Arial"/>
          <w:sz w:val="24"/>
          <w:szCs w:val="24"/>
        </w:rPr>
        <w:t>, </w:t>
      </w:r>
      <w:r w:rsidRPr="00EB514E">
        <w:rPr>
          <w:rFonts w:ascii="Arial" w:hAnsi="Arial" w:cs="Arial"/>
          <w:sz w:val="24"/>
          <w:szCs w:val="24"/>
          <w:bdr w:val="single" w:sz="2" w:space="0" w:color="ECEDEE" w:frame="1"/>
        </w:rPr>
        <w:t>32</w:t>
      </w:r>
      <w:r w:rsidRPr="00EB514E">
        <w:rPr>
          <w:rFonts w:ascii="Arial" w:hAnsi="Arial" w:cs="Arial"/>
          <w:sz w:val="24"/>
          <w:szCs w:val="24"/>
        </w:rPr>
        <w:t>(6), 706–711.</w:t>
      </w:r>
    </w:p>
    <w:p w14:paraId="27F64217" w14:textId="77777777" w:rsidR="004942B6" w:rsidRPr="00EB514E" w:rsidRDefault="004942B6" w:rsidP="004942B6">
      <w:pPr>
        <w:pStyle w:val="ListParagraph"/>
        <w:rPr>
          <w:rFonts w:ascii="Arial" w:hAnsi="Arial" w:cs="Arial"/>
          <w:sz w:val="24"/>
          <w:szCs w:val="24"/>
        </w:rPr>
      </w:pPr>
    </w:p>
    <w:p w14:paraId="2D52457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rPr>
        <w:t>Ibáñez B, James S, Agewall S, et al. (2017). 2017 ESC Guidelines for the management of acute myocardial infarction in patients presenting with ST-segment elevation. </w:t>
      </w:r>
      <w:r w:rsidRPr="00EB514E">
        <w:rPr>
          <w:rFonts w:ascii="Arial" w:hAnsi="Arial" w:cs="Arial"/>
          <w:sz w:val="24"/>
          <w:szCs w:val="24"/>
          <w:bdr w:val="single" w:sz="2" w:space="0" w:color="ECEDEE" w:frame="1"/>
        </w:rPr>
        <w:t>Eur Heart J</w:t>
      </w:r>
      <w:r w:rsidRPr="00EB514E">
        <w:rPr>
          <w:rFonts w:ascii="Arial" w:hAnsi="Arial" w:cs="Arial"/>
          <w:sz w:val="24"/>
          <w:szCs w:val="24"/>
        </w:rPr>
        <w:t>, </w:t>
      </w:r>
      <w:r w:rsidRPr="00EB514E">
        <w:rPr>
          <w:rFonts w:ascii="Arial" w:hAnsi="Arial" w:cs="Arial"/>
          <w:sz w:val="24"/>
          <w:szCs w:val="24"/>
          <w:bdr w:val="single" w:sz="2" w:space="0" w:color="ECEDEE" w:frame="1"/>
        </w:rPr>
        <w:t>39</w:t>
      </w:r>
      <w:r w:rsidRPr="00EB514E">
        <w:rPr>
          <w:rFonts w:ascii="Arial" w:hAnsi="Arial" w:cs="Arial"/>
          <w:sz w:val="24"/>
          <w:szCs w:val="24"/>
        </w:rPr>
        <w:t>(2), 119–177.</w:t>
      </w:r>
    </w:p>
    <w:p w14:paraId="483EFF21" w14:textId="77777777" w:rsidR="004942B6" w:rsidRPr="00EB514E" w:rsidRDefault="004942B6" w:rsidP="004942B6">
      <w:pPr>
        <w:pStyle w:val="ListParagraph"/>
        <w:rPr>
          <w:rFonts w:ascii="Arial" w:hAnsi="Arial" w:cs="Arial"/>
          <w:sz w:val="24"/>
          <w:szCs w:val="24"/>
          <w:lang w:val="fr-FR"/>
        </w:rPr>
      </w:pPr>
    </w:p>
    <w:p w14:paraId="33CE713A"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lang w:val="fr-FR"/>
        </w:rPr>
        <w:t xml:space="preserve">Byrne RA, Rosselló X, Coughlan J, et al. </w:t>
      </w:r>
      <w:r w:rsidRPr="00EB514E">
        <w:rPr>
          <w:rFonts w:ascii="Arial" w:hAnsi="Arial" w:cs="Arial"/>
          <w:sz w:val="24"/>
          <w:szCs w:val="24"/>
        </w:rPr>
        <w:t>(2023). 2023 ESC Guidelines for the management of acute coronary syndromes. </w:t>
      </w:r>
      <w:r w:rsidRPr="00EB514E">
        <w:rPr>
          <w:rFonts w:ascii="Arial" w:hAnsi="Arial" w:cs="Arial"/>
          <w:sz w:val="24"/>
          <w:szCs w:val="24"/>
          <w:bdr w:val="single" w:sz="2" w:space="0" w:color="ECEDEE" w:frame="1"/>
        </w:rPr>
        <w:t>Eur Heart J</w:t>
      </w:r>
      <w:r w:rsidRPr="00EB514E">
        <w:rPr>
          <w:rFonts w:ascii="Arial" w:hAnsi="Arial" w:cs="Arial"/>
          <w:sz w:val="24"/>
          <w:szCs w:val="24"/>
        </w:rPr>
        <w:t>, </w:t>
      </w:r>
      <w:r w:rsidRPr="00EB514E">
        <w:rPr>
          <w:rFonts w:ascii="Arial" w:hAnsi="Arial" w:cs="Arial"/>
          <w:sz w:val="24"/>
          <w:szCs w:val="24"/>
          <w:bdr w:val="single" w:sz="2" w:space="0" w:color="ECEDEE" w:frame="1"/>
        </w:rPr>
        <w:t>44</w:t>
      </w:r>
      <w:r w:rsidRPr="00EB514E">
        <w:rPr>
          <w:rFonts w:ascii="Arial" w:hAnsi="Arial" w:cs="Arial"/>
          <w:sz w:val="24"/>
          <w:szCs w:val="24"/>
        </w:rPr>
        <w:t>(38), 3720–3826.</w:t>
      </w:r>
    </w:p>
    <w:p w14:paraId="11DA888D" w14:textId="77777777" w:rsidR="004942B6" w:rsidRPr="00EB514E" w:rsidRDefault="004942B6" w:rsidP="004942B6">
      <w:pPr>
        <w:pStyle w:val="ListParagraph"/>
        <w:rPr>
          <w:rFonts w:ascii="Arial" w:hAnsi="Arial" w:cs="Arial"/>
          <w:sz w:val="24"/>
          <w:szCs w:val="24"/>
          <w:lang w:val="fr-FR"/>
        </w:rPr>
      </w:pPr>
    </w:p>
    <w:p w14:paraId="07B551D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lang w:val="fr-FR"/>
        </w:rPr>
        <w:t xml:space="preserve">Fearon WF, Nishi T, De Bruyne B, et al. </w:t>
      </w:r>
      <w:r w:rsidRPr="00EB514E">
        <w:rPr>
          <w:rFonts w:ascii="Arial" w:hAnsi="Arial" w:cs="Arial"/>
          <w:sz w:val="24"/>
          <w:szCs w:val="24"/>
        </w:rPr>
        <w:t>(2018). Clinical Outcomes and Cost-Effectiveness of Fractional Flow Reserve–Guided percutaneous coronary intervention in patients with stable coronary artery Disease. </w:t>
      </w:r>
      <w:r w:rsidRPr="00EB514E">
        <w:rPr>
          <w:rFonts w:ascii="Arial" w:hAnsi="Arial" w:cs="Arial"/>
          <w:sz w:val="24"/>
          <w:szCs w:val="24"/>
          <w:bdr w:val="single" w:sz="2" w:space="0" w:color="ECEDEE" w:frame="1"/>
        </w:rPr>
        <w:t>Circulation</w:t>
      </w:r>
      <w:r w:rsidRPr="00EB514E">
        <w:rPr>
          <w:rFonts w:ascii="Arial" w:hAnsi="Arial" w:cs="Arial"/>
          <w:sz w:val="24"/>
          <w:szCs w:val="24"/>
        </w:rPr>
        <w:t>, </w:t>
      </w:r>
      <w:r w:rsidRPr="00EB514E">
        <w:rPr>
          <w:rFonts w:ascii="Arial" w:hAnsi="Arial" w:cs="Arial"/>
          <w:sz w:val="24"/>
          <w:szCs w:val="24"/>
          <w:bdr w:val="single" w:sz="2" w:space="0" w:color="ECEDEE" w:frame="1"/>
        </w:rPr>
        <w:t>137</w:t>
      </w:r>
      <w:r w:rsidRPr="00EB514E">
        <w:rPr>
          <w:rFonts w:ascii="Arial" w:hAnsi="Arial" w:cs="Arial"/>
          <w:sz w:val="24"/>
          <w:szCs w:val="24"/>
        </w:rPr>
        <w:t>(5), 480–487.</w:t>
      </w:r>
    </w:p>
    <w:p w14:paraId="52110C3A" w14:textId="77777777" w:rsidR="004942B6" w:rsidRPr="00EB514E" w:rsidRDefault="004942B6" w:rsidP="004942B6">
      <w:pPr>
        <w:pStyle w:val="ListParagraph"/>
        <w:rPr>
          <w:rFonts w:ascii="Arial" w:hAnsi="Arial" w:cs="Arial"/>
          <w:sz w:val="24"/>
          <w:szCs w:val="24"/>
          <w:shd w:val="clear" w:color="auto" w:fill="FFFFFF"/>
        </w:rPr>
      </w:pPr>
    </w:p>
    <w:p w14:paraId="730F0195" w14:textId="77777777" w:rsidR="004942B6" w:rsidRPr="00EB514E"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shd w:val="clear" w:color="auto" w:fill="FFFFFF"/>
        </w:rPr>
        <w:t xml:space="preserve">Windecker S, Stortecky S, Stefanini GG, et al. Revascularisation versus medical treatment in patients with stable coronary artery disease: network meta-analysis. BMJ. 2014 Jun 23;348–351. </w:t>
      </w:r>
    </w:p>
    <w:p w14:paraId="21BC9C47" w14:textId="77777777" w:rsidR="004942B6" w:rsidRPr="00EB514E" w:rsidRDefault="004942B6" w:rsidP="004942B6">
      <w:pPr>
        <w:pStyle w:val="ListParagraph"/>
        <w:rPr>
          <w:rFonts w:ascii="Arial" w:hAnsi="Arial" w:cs="Arial"/>
          <w:sz w:val="24"/>
          <w:szCs w:val="24"/>
        </w:rPr>
      </w:pPr>
    </w:p>
    <w:p w14:paraId="5BC4200A"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rPr>
        <w:t>Neumann F, Sousa</w:t>
      </w:r>
      <w:r w:rsidRPr="00EB514E">
        <w:rPr>
          <w:rFonts w:ascii="Cambria Math" w:hAnsi="Cambria Math" w:cs="Cambria Math"/>
          <w:sz w:val="24"/>
          <w:szCs w:val="24"/>
        </w:rPr>
        <w:t>‐</w:t>
      </w:r>
      <w:r w:rsidRPr="00EB514E">
        <w:rPr>
          <w:rFonts w:ascii="Arial" w:hAnsi="Arial" w:cs="Arial"/>
          <w:sz w:val="24"/>
          <w:szCs w:val="24"/>
        </w:rPr>
        <w:t>Uva M, Ahlsson A, et al. (2018). 2018 ESC/EACTS Guidelines on myocardial revascularization. </w:t>
      </w:r>
      <w:r w:rsidRPr="00EB514E">
        <w:rPr>
          <w:rFonts w:ascii="Arial" w:hAnsi="Arial" w:cs="Arial"/>
          <w:sz w:val="24"/>
          <w:szCs w:val="24"/>
          <w:bdr w:val="single" w:sz="2" w:space="0" w:color="ECEDEE" w:frame="1"/>
        </w:rPr>
        <w:t>Eur Heart J</w:t>
      </w:r>
      <w:r w:rsidRPr="00EB514E">
        <w:rPr>
          <w:rFonts w:ascii="Arial" w:hAnsi="Arial" w:cs="Arial"/>
          <w:sz w:val="24"/>
          <w:szCs w:val="24"/>
        </w:rPr>
        <w:t>, </w:t>
      </w:r>
      <w:r w:rsidRPr="00EB514E">
        <w:rPr>
          <w:rFonts w:ascii="Arial" w:hAnsi="Arial" w:cs="Arial"/>
          <w:sz w:val="24"/>
          <w:szCs w:val="24"/>
          <w:bdr w:val="single" w:sz="2" w:space="0" w:color="ECEDEE" w:frame="1"/>
        </w:rPr>
        <w:t>40</w:t>
      </w:r>
      <w:r w:rsidRPr="00EB514E">
        <w:rPr>
          <w:rFonts w:ascii="Arial" w:hAnsi="Arial" w:cs="Arial"/>
          <w:sz w:val="24"/>
          <w:szCs w:val="24"/>
        </w:rPr>
        <w:t>(2), 87–165.</w:t>
      </w:r>
    </w:p>
    <w:p w14:paraId="0E0E0E15" w14:textId="77777777" w:rsidR="004942B6" w:rsidRPr="00EB514E" w:rsidRDefault="004942B6" w:rsidP="004942B6">
      <w:pPr>
        <w:pStyle w:val="ListParagraph"/>
        <w:rPr>
          <w:rFonts w:ascii="Arial" w:hAnsi="Arial" w:cs="Arial"/>
          <w:sz w:val="24"/>
          <w:szCs w:val="24"/>
        </w:rPr>
      </w:pPr>
    </w:p>
    <w:p w14:paraId="4C3EE510"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rPr>
        <w:lastRenderedPageBreak/>
        <w:t>Kirklin JW, Akins CW, Blackstone EH, et al. (1991). Guidelines and indications for coronary artery bypass graft surgery. </w:t>
      </w:r>
      <w:r w:rsidRPr="00EB514E">
        <w:rPr>
          <w:rFonts w:ascii="Arial" w:hAnsi="Arial" w:cs="Arial"/>
          <w:sz w:val="24"/>
          <w:szCs w:val="24"/>
          <w:bdr w:val="single" w:sz="2" w:space="0" w:color="ECEDEE" w:frame="1"/>
        </w:rPr>
        <w:t>J Am Coll Cardio</w:t>
      </w:r>
      <w:r w:rsidRPr="00EB514E">
        <w:rPr>
          <w:rFonts w:ascii="Arial" w:hAnsi="Arial" w:cs="Arial"/>
          <w:sz w:val="24"/>
          <w:szCs w:val="24"/>
        </w:rPr>
        <w:t>, </w:t>
      </w:r>
      <w:r w:rsidRPr="00EB514E">
        <w:rPr>
          <w:rFonts w:ascii="Arial" w:hAnsi="Arial" w:cs="Arial"/>
          <w:sz w:val="24"/>
          <w:szCs w:val="24"/>
          <w:bdr w:val="single" w:sz="2" w:space="0" w:color="ECEDEE" w:frame="1"/>
        </w:rPr>
        <w:t>17</w:t>
      </w:r>
      <w:r w:rsidRPr="00EB514E">
        <w:rPr>
          <w:rFonts w:ascii="Arial" w:hAnsi="Arial" w:cs="Arial"/>
          <w:sz w:val="24"/>
          <w:szCs w:val="24"/>
        </w:rPr>
        <w:t>(3), 543–589.</w:t>
      </w:r>
    </w:p>
    <w:p w14:paraId="23E681D0" w14:textId="77777777" w:rsidR="004942B6" w:rsidRPr="00A0405F" w:rsidRDefault="004942B6" w:rsidP="004942B6">
      <w:pPr>
        <w:pStyle w:val="ListParagraph"/>
        <w:rPr>
          <w:rFonts w:ascii="Arial" w:hAnsi="Arial" w:cs="Arial"/>
          <w:sz w:val="24"/>
          <w:szCs w:val="24"/>
        </w:rPr>
      </w:pPr>
    </w:p>
    <w:p w14:paraId="5D0ECAB9"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EB514E">
        <w:rPr>
          <w:rFonts w:ascii="Arial" w:hAnsi="Arial" w:cs="Arial"/>
          <w:sz w:val="24"/>
          <w:szCs w:val="24"/>
        </w:rPr>
        <w:t>Domanski MJ, Borkowf CB, Campeau L, et al. (2000). Prognostic factors for atherosclerosis progression in saphenous vein grafts. </w:t>
      </w:r>
      <w:r w:rsidRPr="00EB514E">
        <w:rPr>
          <w:rFonts w:ascii="Arial" w:hAnsi="Arial" w:cs="Arial"/>
          <w:sz w:val="24"/>
          <w:szCs w:val="24"/>
          <w:bdr w:val="single" w:sz="2" w:space="0" w:color="ECEDEE" w:frame="1"/>
        </w:rPr>
        <w:t>J Am Coll Cardio</w:t>
      </w:r>
      <w:r w:rsidRPr="00EB514E">
        <w:rPr>
          <w:rFonts w:ascii="Arial" w:hAnsi="Arial" w:cs="Arial"/>
          <w:sz w:val="24"/>
          <w:szCs w:val="24"/>
        </w:rPr>
        <w:t>, </w:t>
      </w:r>
      <w:r w:rsidRPr="00EB514E">
        <w:rPr>
          <w:rFonts w:ascii="Arial" w:hAnsi="Arial" w:cs="Arial"/>
          <w:sz w:val="24"/>
          <w:szCs w:val="24"/>
          <w:bdr w:val="single" w:sz="2" w:space="0" w:color="ECEDEE" w:frame="1"/>
        </w:rPr>
        <w:t>36</w:t>
      </w:r>
      <w:r w:rsidRPr="00EB514E">
        <w:rPr>
          <w:rFonts w:ascii="Arial" w:hAnsi="Arial" w:cs="Arial"/>
          <w:sz w:val="24"/>
          <w:szCs w:val="24"/>
        </w:rPr>
        <w:t>(6), 1877–1883.</w:t>
      </w:r>
    </w:p>
    <w:p w14:paraId="1B8403F6" w14:textId="77777777" w:rsidR="004942B6" w:rsidRPr="00A0405F" w:rsidRDefault="004942B6" w:rsidP="004942B6">
      <w:pPr>
        <w:pStyle w:val="ListParagraph"/>
        <w:rPr>
          <w:rFonts w:ascii="Arial" w:hAnsi="Arial" w:cs="Arial"/>
          <w:sz w:val="24"/>
          <w:szCs w:val="24"/>
          <w:lang w:val="nl-NL"/>
        </w:rPr>
      </w:pPr>
    </w:p>
    <w:p w14:paraId="3298A54C"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0405F">
        <w:rPr>
          <w:rFonts w:ascii="Arial" w:hAnsi="Arial" w:cs="Arial"/>
          <w:sz w:val="24"/>
          <w:szCs w:val="24"/>
          <w:lang w:val="nl-NL"/>
        </w:rPr>
        <w:t xml:space="preserve">Van Domburg RT, Kappetein AP, Bogers AJ. </w:t>
      </w:r>
      <w:r w:rsidRPr="00A0405F">
        <w:rPr>
          <w:rFonts w:ascii="Arial" w:hAnsi="Arial" w:cs="Arial"/>
          <w:sz w:val="24"/>
          <w:szCs w:val="24"/>
        </w:rPr>
        <w:t>(2008). The clinical outcome after coronary bypass surgery: a 30-year follow-up study. </w:t>
      </w:r>
      <w:r w:rsidRPr="00A0405F">
        <w:rPr>
          <w:rFonts w:ascii="Arial" w:hAnsi="Arial" w:cs="Arial"/>
          <w:sz w:val="24"/>
          <w:szCs w:val="24"/>
          <w:bdr w:val="single" w:sz="2" w:space="0" w:color="ECEDEE" w:frame="1"/>
        </w:rPr>
        <w:t>Eur Heart J</w:t>
      </w:r>
      <w:r w:rsidRPr="00A0405F">
        <w:rPr>
          <w:rFonts w:ascii="Arial" w:hAnsi="Arial" w:cs="Arial"/>
          <w:sz w:val="24"/>
          <w:szCs w:val="24"/>
        </w:rPr>
        <w:t>, </w:t>
      </w:r>
      <w:r w:rsidRPr="00A0405F">
        <w:rPr>
          <w:rFonts w:ascii="Arial" w:hAnsi="Arial" w:cs="Arial"/>
          <w:sz w:val="24"/>
          <w:szCs w:val="24"/>
          <w:bdr w:val="single" w:sz="2" w:space="0" w:color="ECEDEE" w:frame="1"/>
        </w:rPr>
        <w:t>30</w:t>
      </w:r>
      <w:r w:rsidRPr="00A0405F">
        <w:rPr>
          <w:rFonts w:ascii="Arial" w:hAnsi="Arial" w:cs="Arial"/>
          <w:sz w:val="24"/>
          <w:szCs w:val="24"/>
        </w:rPr>
        <w:t>(4), 453–458. </w:t>
      </w:r>
    </w:p>
    <w:p w14:paraId="250A1F8A" w14:textId="77777777" w:rsidR="004942B6" w:rsidRPr="00A0405F" w:rsidRDefault="004942B6" w:rsidP="004942B6">
      <w:pPr>
        <w:pStyle w:val="ListParagraph"/>
        <w:rPr>
          <w:rFonts w:ascii="Arial" w:hAnsi="Arial" w:cs="Arial"/>
          <w:sz w:val="24"/>
          <w:szCs w:val="24"/>
        </w:rPr>
      </w:pPr>
    </w:p>
    <w:p w14:paraId="1068BD30"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0405F">
        <w:rPr>
          <w:rFonts w:ascii="Arial" w:hAnsi="Arial" w:cs="Arial"/>
          <w:sz w:val="24"/>
          <w:szCs w:val="24"/>
        </w:rPr>
        <w:t>Head SJ, Milojevic M, Daemen J, et al. (2018). Mortality after coronary artery bypass grafting versus percutaneous coronary intervention with stenting for coronary artery disease: a pooled analysis of individual patient data. </w:t>
      </w:r>
      <w:r w:rsidRPr="00A0405F">
        <w:rPr>
          <w:rFonts w:ascii="Arial" w:hAnsi="Arial" w:cs="Arial"/>
          <w:sz w:val="24"/>
          <w:szCs w:val="24"/>
          <w:bdr w:val="single" w:sz="2" w:space="0" w:color="ECEDEE" w:frame="1"/>
        </w:rPr>
        <w:t>The Lancet</w:t>
      </w:r>
      <w:r w:rsidRPr="00A0405F">
        <w:rPr>
          <w:rFonts w:ascii="Arial" w:hAnsi="Arial" w:cs="Arial"/>
          <w:sz w:val="24"/>
          <w:szCs w:val="24"/>
        </w:rPr>
        <w:t>, </w:t>
      </w:r>
      <w:r w:rsidRPr="00A0405F">
        <w:rPr>
          <w:rFonts w:ascii="Arial" w:hAnsi="Arial" w:cs="Arial"/>
          <w:sz w:val="24"/>
          <w:szCs w:val="24"/>
          <w:bdr w:val="single" w:sz="2" w:space="0" w:color="ECEDEE" w:frame="1"/>
        </w:rPr>
        <w:t>391</w:t>
      </w:r>
      <w:r w:rsidRPr="00A0405F">
        <w:rPr>
          <w:rFonts w:ascii="Arial" w:hAnsi="Arial" w:cs="Arial"/>
          <w:sz w:val="24"/>
          <w:szCs w:val="24"/>
        </w:rPr>
        <w:t>(10124), 939–948.</w:t>
      </w:r>
    </w:p>
    <w:p w14:paraId="1D2E9BED" w14:textId="77777777" w:rsidR="004942B6" w:rsidRPr="00A0405F" w:rsidRDefault="004942B6" w:rsidP="004942B6">
      <w:pPr>
        <w:pStyle w:val="ListParagraph"/>
        <w:rPr>
          <w:rFonts w:ascii="Arial" w:hAnsi="Arial" w:cs="Arial"/>
          <w:sz w:val="24"/>
          <w:szCs w:val="24"/>
        </w:rPr>
      </w:pPr>
    </w:p>
    <w:p w14:paraId="2020A37F"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0405F">
        <w:rPr>
          <w:rFonts w:ascii="Arial" w:hAnsi="Arial" w:cs="Arial"/>
          <w:sz w:val="24"/>
          <w:szCs w:val="24"/>
        </w:rPr>
        <w:t>Akintoye E, Salih M, Olagoke O, et al. (2021). Intermediate and Late Outcomes With PCI vs CABG for Left Main Disease — Landmark Meta-Analysis of Randomized Trials. </w:t>
      </w:r>
      <w:r w:rsidRPr="00A0405F">
        <w:rPr>
          <w:rFonts w:ascii="Arial" w:hAnsi="Arial" w:cs="Arial"/>
          <w:sz w:val="24"/>
          <w:szCs w:val="24"/>
          <w:bdr w:val="single" w:sz="2" w:space="0" w:color="ECEDEE" w:frame="1"/>
        </w:rPr>
        <w:t>Cardiovasc Revasc Med</w:t>
      </w:r>
      <w:r w:rsidRPr="00A0405F">
        <w:rPr>
          <w:rFonts w:ascii="Arial" w:hAnsi="Arial" w:cs="Arial"/>
          <w:sz w:val="24"/>
          <w:szCs w:val="24"/>
        </w:rPr>
        <w:t>, </w:t>
      </w:r>
      <w:r w:rsidRPr="00A0405F">
        <w:rPr>
          <w:rFonts w:ascii="Arial" w:hAnsi="Arial" w:cs="Arial"/>
          <w:sz w:val="24"/>
          <w:szCs w:val="24"/>
          <w:bdr w:val="single" w:sz="2" w:space="0" w:color="ECEDEE" w:frame="1"/>
        </w:rPr>
        <w:t>23</w:t>
      </w:r>
      <w:r w:rsidRPr="00A0405F">
        <w:rPr>
          <w:rFonts w:ascii="Arial" w:hAnsi="Arial" w:cs="Arial"/>
          <w:sz w:val="24"/>
          <w:szCs w:val="24"/>
        </w:rPr>
        <w:t>, 114–118.</w:t>
      </w:r>
    </w:p>
    <w:p w14:paraId="1F2D1528" w14:textId="77777777" w:rsidR="004942B6" w:rsidRPr="00A0405F" w:rsidRDefault="004942B6" w:rsidP="004942B6">
      <w:pPr>
        <w:pStyle w:val="ListParagraph"/>
        <w:rPr>
          <w:rFonts w:ascii="Arial" w:hAnsi="Arial" w:cs="Arial"/>
          <w:sz w:val="24"/>
          <w:szCs w:val="24"/>
        </w:rPr>
      </w:pPr>
    </w:p>
    <w:p w14:paraId="1F916717"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0405F">
        <w:rPr>
          <w:rFonts w:ascii="Arial" w:hAnsi="Arial" w:cs="Arial"/>
          <w:sz w:val="24"/>
          <w:szCs w:val="24"/>
        </w:rPr>
        <w:t>Ramanathan T, Skinner H. (2005). Coronary blood flow. </w:t>
      </w:r>
      <w:r w:rsidRPr="00A0405F">
        <w:rPr>
          <w:rFonts w:ascii="Arial" w:hAnsi="Arial" w:cs="Arial"/>
          <w:sz w:val="24"/>
          <w:szCs w:val="24"/>
          <w:bdr w:val="single" w:sz="2" w:space="0" w:color="ECEDEE" w:frame="1"/>
        </w:rPr>
        <w:t>Continuing Education in Anaesthesia, Critical Care &amp; Pain</w:t>
      </w:r>
      <w:r w:rsidRPr="00A0405F">
        <w:rPr>
          <w:rFonts w:ascii="Arial" w:hAnsi="Arial" w:cs="Arial"/>
          <w:sz w:val="24"/>
          <w:szCs w:val="24"/>
        </w:rPr>
        <w:t>, </w:t>
      </w:r>
      <w:r w:rsidRPr="00A0405F">
        <w:rPr>
          <w:rFonts w:ascii="Arial" w:hAnsi="Arial" w:cs="Arial"/>
          <w:sz w:val="24"/>
          <w:szCs w:val="24"/>
          <w:bdr w:val="single" w:sz="2" w:space="0" w:color="ECEDEE" w:frame="1"/>
        </w:rPr>
        <w:t>5</w:t>
      </w:r>
      <w:r w:rsidRPr="00A0405F">
        <w:rPr>
          <w:rFonts w:ascii="Arial" w:hAnsi="Arial" w:cs="Arial"/>
          <w:sz w:val="24"/>
          <w:szCs w:val="24"/>
        </w:rPr>
        <w:t>(2), 61–64.</w:t>
      </w:r>
    </w:p>
    <w:p w14:paraId="282CA2BE" w14:textId="77777777" w:rsidR="004942B6" w:rsidRPr="00A0405F" w:rsidRDefault="004942B6" w:rsidP="004942B6">
      <w:pPr>
        <w:pStyle w:val="ListParagraph"/>
        <w:rPr>
          <w:rFonts w:ascii="Arial" w:hAnsi="Arial" w:cs="Arial"/>
          <w:sz w:val="24"/>
          <w:szCs w:val="24"/>
        </w:rPr>
      </w:pPr>
    </w:p>
    <w:p w14:paraId="536C0E24"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0405F">
        <w:rPr>
          <w:rFonts w:ascii="Arial" w:hAnsi="Arial" w:cs="Arial"/>
          <w:sz w:val="24"/>
          <w:szCs w:val="24"/>
        </w:rPr>
        <w:t>Shah S, Pfau S. (2019). Coronary physiology in the Cardiac Catheterization Laboratory. </w:t>
      </w:r>
      <w:r w:rsidRPr="00A0405F">
        <w:rPr>
          <w:rFonts w:ascii="Arial" w:hAnsi="Arial" w:cs="Arial"/>
          <w:sz w:val="24"/>
          <w:szCs w:val="24"/>
          <w:bdr w:val="single" w:sz="2" w:space="0" w:color="ECEDEE" w:frame="1"/>
        </w:rPr>
        <w:t>J Clin Med</w:t>
      </w:r>
      <w:r w:rsidRPr="00A0405F">
        <w:rPr>
          <w:rFonts w:ascii="Arial" w:hAnsi="Arial" w:cs="Arial"/>
          <w:sz w:val="24"/>
          <w:szCs w:val="24"/>
        </w:rPr>
        <w:t>, </w:t>
      </w:r>
      <w:r w:rsidRPr="00A0405F">
        <w:rPr>
          <w:rFonts w:ascii="Arial" w:hAnsi="Arial" w:cs="Arial"/>
          <w:sz w:val="24"/>
          <w:szCs w:val="24"/>
          <w:bdr w:val="single" w:sz="2" w:space="0" w:color="ECEDEE" w:frame="1"/>
        </w:rPr>
        <w:t>8</w:t>
      </w:r>
      <w:r w:rsidRPr="00A0405F">
        <w:rPr>
          <w:rFonts w:ascii="Arial" w:hAnsi="Arial" w:cs="Arial"/>
          <w:sz w:val="24"/>
          <w:szCs w:val="24"/>
        </w:rPr>
        <w:t>(2), 255-257.</w:t>
      </w:r>
      <w:r w:rsidRPr="00A0405F">
        <w:rPr>
          <w:rFonts w:ascii="Arial" w:hAnsi="Arial" w:cs="Arial"/>
          <w:sz w:val="24"/>
          <w:szCs w:val="24"/>
          <w:lang w:eastAsia="en-GB"/>
        </w:rPr>
        <w:t xml:space="preserve"> </w:t>
      </w:r>
    </w:p>
    <w:p w14:paraId="736760FA" w14:textId="77777777" w:rsidR="004942B6" w:rsidRPr="00A0405F" w:rsidRDefault="004942B6" w:rsidP="004942B6">
      <w:pPr>
        <w:pStyle w:val="ListParagraph"/>
        <w:rPr>
          <w:rFonts w:ascii="Arial" w:hAnsi="Arial" w:cs="Arial"/>
          <w:sz w:val="24"/>
          <w:szCs w:val="24"/>
        </w:rPr>
      </w:pPr>
    </w:p>
    <w:p w14:paraId="60005838"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0405F">
        <w:rPr>
          <w:rFonts w:ascii="Arial" w:hAnsi="Arial" w:cs="Arial"/>
          <w:sz w:val="24"/>
          <w:szCs w:val="24"/>
        </w:rPr>
        <w:t xml:space="preserve">White CW, Wright CB, Doty DB, et al. Does Visual Interpretation of the Coronary Arteriogram Predict the Physiologic Importance of a Coronary Stenosis? N Engl J Med. 1984 Mar 29;310(13):819–24. </w:t>
      </w:r>
    </w:p>
    <w:p w14:paraId="084550DC" w14:textId="77777777" w:rsidR="004942B6" w:rsidRPr="00A0405F" w:rsidRDefault="004942B6" w:rsidP="004942B6">
      <w:pPr>
        <w:pStyle w:val="ListParagraph"/>
        <w:rPr>
          <w:rFonts w:ascii="Arial" w:hAnsi="Arial" w:cs="Arial"/>
          <w:color w:val="212121"/>
          <w:sz w:val="24"/>
          <w:szCs w:val="24"/>
          <w:shd w:val="clear" w:color="auto" w:fill="FFFFFF"/>
        </w:rPr>
      </w:pPr>
    </w:p>
    <w:p w14:paraId="663BCCB4" w14:textId="77777777" w:rsidR="004942B6" w:rsidRPr="00A0405F"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0405F">
        <w:rPr>
          <w:rFonts w:ascii="Arial" w:hAnsi="Arial" w:cs="Arial"/>
          <w:color w:val="212121"/>
          <w:sz w:val="24"/>
          <w:szCs w:val="24"/>
          <w:shd w:val="clear" w:color="auto" w:fill="FFFFFF"/>
        </w:rPr>
        <w:t>Morris, PD, Al-Lamee RK, Berry C, &amp; BCIS Research and Development Committee (2022). Coronary physiological assessment in the catheter laboratory: haemodynamics, clinical assessment and future perspectives. Heart (British Cardiac Society), 108(21), 1737–1746.</w:t>
      </w:r>
    </w:p>
    <w:p w14:paraId="1F290BDB" w14:textId="77777777" w:rsidR="004942B6" w:rsidRPr="00A0405F" w:rsidRDefault="004942B6" w:rsidP="004942B6">
      <w:pPr>
        <w:pStyle w:val="ListParagraph"/>
        <w:rPr>
          <w:rFonts w:ascii="Arial" w:hAnsi="Arial" w:cs="Arial"/>
          <w:sz w:val="24"/>
          <w:szCs w:val="24"/>
        </w:rPr>
      </w:pPr>
    </w:p>
    <w:p w14:paraId="04B88AB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0405F">
        <w:rPr>
          <w:rFonts w:ascii="Arial" w:hAnsi="Arial" w:cs="Arial"/>
          <w:sz w:val="24"/>
          <w:szCs w:val="24"/>
        </w:rPr>
        <w:t>Gould KL, Lipscomb K, Hamilton GW. (1974). Physiologic basis for assessing critical coronary stenosis. </w:t>
      </w:r>
      <w:r w:rsidRPr="00A0405F">
        <w:rPr>
          <w:rFonts w:ascii="Arial" w:hAnsi="Arial" w:cs="Arial"/>
          <w:sz w:val="24"/>
          <w:szCs w:val="24"/>
          <w:bdr w:val="single" w:sz="2" w:space="0" w:color="ECEDEE" w:frame="1"/>
        </w:rPr>
        <w:t>American Journal of Cardiology</w:t>
      </w:r>
      <w:r w:rsidRPr="00A0405F">
        <w:rPr>
          <w:rFonts w:ascii="Arial" w:hAnsi="Arial" w:cs="Arial"/>
          <w:sz w:val="24"/>
          <w:szCs w:val="24"/>
        </w:rPr>
        <w:t>, </w:t>
      </w:r>
      <w:r w:rsidRPr="00A0405F">
        <w:rPr>
          <w:rFonts w:ascii="Arial" w:hAnsi="Arial" w:cs="Arial"/>
          <w:sz w:val="24"/>
          <w:szCs w:val="24"/>
          <w:bdr w:val="single" w:sz="2" w:space="0" w:color="ECEDEE" w:frame="1"/>
        </w:rPr>
        <w:t>33</w:t>
      </w:r>
      <w:r w:rsidRPr="00A0405F">
        <w:rPr>
          <w:rFonts w:ascii="Arial" w:hAnsi="Arial" w:cs="Arial"/>
          <w:sz w:val="24"/>
          <w:szCs w:val="24"/>
        </w:rPr>
        <w:t>(1), 87–94.</w:t>
      </w:r>
    </w:p>
    <w:p w14:paraId="36ADF36F" w14:textId="77777777" w:rsidR="004942B6" w:rsidRPr="00A0405F" w:rsidRDefault="004942B6" w:rsidP="004942B6">
      <w:pPr>
        <w:pStyle w:val="ListParagraph"/>
        <w:rPr>
          <w:rFonts w:ascii="Arial" w:hAnsi="Arial" w:cs="Arial"/>
          <w:sz w:val="24"/>
          <w:szCs w:val="24"/>
        </w:rPr>
      </w:pPr>
    </w:p>
    <w:p w14:paraId="4A60AD3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0405F">
        <w:rPr>
          <w:rFonts w:ascii="Arial" w:hAnsi="Arial" w:cs="Arial"/>
          <w:sz w:val="24"/>
          <w:szCs w:val="24"/>
        </w:rPr>
        <w:t>Shishehbor MH, Lauer MS, Singh I, et al. (2007). In unstable angina or Non–ST-Segment Acute Coronary Syndrome, should patients with multivessel coronary artery disease undergo Multivessel or Culprit-Only stenting? </w:t>
      </w:r>
      <w:r w:rsidRPr="00A0405F">
        <w:rPr>
          <w:rFonts w:ascii="Arial" w:hAnsi="Arial" w:cs="Arial"/>
          <w:sz w:val="24"/>
          <w:szCs w:val="24"/>
          <w:bdr w:val="single" w:sz="2" w:space="0" w:color="ECEDEE" w:frame="1"/>
        </w:rPr>
        <w:t>J Am Coll Cardio</w:t>
      </w:r>
      <w:r w:rsidRPr="00A0405F">
        <w:rPr>
          <w:rFonts w:ascii="Arial" w:hAnsi="Arial" w:cs="Arial"/>
          <w:sz w:val="24"/>
          <w:szCs w:val="24"/>
        </w:rPr>
        <w:t>, </w:t>
      </w:r>
      <w:r w:rsidRPr="00A0405F">
        <w:rPr>
          <w:rFonts w:ascii="Arial" w:hAnsi="Arial" w:cs="Arial"/>
          <w:sz w:val="24"/>
          <w:szCs w:val="24"/>
          <w:bdr w:val="single" w:sz="2" w:space="0" w:color="ECEDEE" w:frame="1"/>
        </w:rPr>
        <w:t>49</w:t>
      </w:r>
      <w:r w:rsidRPr="00A0405F">
        <w:rPr>
          <w:rFonts w:ascii="Arial" w:hAnsi="Arial" w:cs="Arial"/>
          <w:sz w:val="24"/>
          <w:szCs w:val="24"/>
        </w:rPr>
        <w:t>(8), 849–854.</w:t>
      </w:r>
    </w:p>
    <w:p w14:paraId="79E1B9D2" w14:textId="77777777" w:rsidR="004942B6" w:rsidRPr="00A0405F" w:rsidRDefault="004942B6" w:rsidP="004942B6">
      <w:pPr>
        <w:pStyle w:val="ListParagraph"/>
        <w:rPr>
          <w:rFonts w:ascii="Arial" w:hAnsi="Arial" w:cs="Arial"/>
          <w:color w:val="212121"/>
          <w:sz w:val="24"/>
          <w:szCs w:val="24"/>
          <w:shd w:val="clear" w:color="auto" w:fill="FFFFFF"/>
        </w:rPr>
      </w:pPr>
    </w:p>
    <w:p w14:paraId="63A298E2" w14:textId="77777777" w:rsidR="004942B6" w:rsidRPr="00C770D1"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0405F">
        <w:rPr>
          <w:rFonts w:ascii="Arial" w:hAnsi="Arial" w:cs="Arial"/>
          <w:color w:val="212121"/>
          <w:sz w:val="24"/>
          <w:szCs w:val="24"/>
          <w:shd w:val="clear" w:color="auto" w:fill="FFFFFF"/>
        </w:rPr>
        <w:t>Toth GG, Toth B, Johnson NP, et al. (2014). Revascularization decisions in patients with stable angina and intermediate lesions: results of the international survey on interventional strategy. Circulation Cardiovasc interven, 7(6), 751–759.</w:t>
      </w:r>
    </w:p>
    <w:p w14:paraId="6FD01002" w14:textId="77777777" w:rsidR="004942B6" w:rsidRPr="00C770D1" w:rsidRDefault="004942B6" w:rsidP="004942B6">
      <w:pPr>
        <w:pStyle w:val="ListParagraph"/>
        <w:rPr>
          <w:rFonts w:ascii="Arial" w:hAnsi="Arial" w:cs="Arial"/>
          <w:sz w:val="24"/>
          <w:szCs w:val="24"/>
          <w:lang w:val="fr-FR"/>
        </w:rPr>
      </w:pPr>
    </w:p>
    <w:p w14:paraId="1C030AE0"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lang w:val="fr-FR"/>
        </w:rPr>
        <w:t xml:space="preserve">Green NE, Chen SJ, Messenger P, et al. </w:t>
      </w:r>
      <w:r w:rsidRPr="00C770D1">
        <w:rPr>
          <w:rFonts w:ascii="Arial" w:hAnsi="Arial" w:cs="Arial"/>
          <w:sz w:val="24"/>
          <w:szCs w:val="24"/>
        </w:rPr>
        <w:t>(2004). Three-dimensional vascular angiography. </w:t>
      </w:r>
      <w:r w:rsidRPr="00C770D1">
        <w:rPr>
          <w:rFonts w:ascii="Arial" w:hAnsi="Arial" w:cs="Arial"/>
          <w:sz w:val="24"/>
          <w:szCs w:val="24"/>
          <w:bdr w:val="single" w:sz="2" w:space="0" w:color="ECEDEE" w:frame="1"/>
        </w:rPr>
        <w:t>Current Problems in Cardiology</w:t>
      </w:r>
      <w:r w:rsidRPr="00C770D1">
        <w:rPr>
          <w:rFonts w:ascii="Arial" w:hAnsi="Arial" w:cs="Arial"/>
          <w:sz w:val="24"/>
          <w:szCs w:val="24"/>
        </w:rPr>
        <w:t>, </w:t>
      </w:r>
      <w:r w:rsidRPr="00C770D1">
        <w:rPr>
          <w:rFonts w:ascii="Arial" w:hAnsi="Arial" w:cs="Arial"/>
          <w:sz w:val="24"/>
          <w:szCs w:val="24"/>
          <w:bdr w:val="single" w:sz="2" w:space="0" w:color="ECEDEE" w:frame="1"/>
        </w:rPr>
        <w:t>29</w:t>
      </w:r>
      <w:r w:rsidRPr="00C770D1">
        <w:rPr>
          <w:rFonts w:ascii="Arial" w:hAnsi="Arial" w:cs="Arial"/>
          <w:sz w:val="24"/>
          <w:szCs w:val="24"/>
        </w:rPr>
        <w:t>(3), 104–142.</w:t>
      </w:r>
    </w:p>
    <w:p w14:paraId="3BC4E773" w14:textId="77777777" w:rsidR="004942B6" w:rsidRPr="00C770D1" w:rsidRDefault="004942B6" w:rsidP="004942B6">
      <w:pPr>
        <w:pStyle w:val="ListParagraph"/>
        <w:rPr>
          <w:rFonts w:ascii="Arial" w:hAnsi="Arial" w:cs="Arial"/>
          <w:sz w:val="24"/>
          <w:szCs w:val="24"/>
        </w:rPr>
      </w:pPr>
    </w:p>
    <w:p w14:paraId="0BF009D6"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rPr>
        <w:lastRenderedPageBreak/>
        <w:t>Whittaker AK, Curzen N. (2013). What has the RIPCORD trial told us about using fractional flow reserve for diagnostic angiography? </w:t>
      </w:r>
      <w:r w:rsidRPr="00C770D1">
        <w:rPr>
          <w:rFonts w:ascii="Arial" w:hAnsi="Arial" w:cs="Arial"/>
          <w:sz w:val="24"/>
          <w:szCs w:val="24"/>
          <w:bdr w:val="single" w:sz="2" w:space="0" w:color="ECEDEE" w:frame="1"/>
        </w:rPr>
        <w:t>Interven Cardiol</w:t>
      </w:r>
      <w:r w:rsidRPr="00C770D1">
        <w:rPr>
          <w:rFonts w:ascii="Arial" w:hAnsi="Arial" w:cs="Arial"/>
          <w:sz w:val="24"/>
          <w:szCs w:val="24"/>
        </w:rPr>
        <w:t>, </w:t>
      </w:r>
      <w:r w:rsidRPr="00C770D1">
        <w:rPr>
          <w:rFonts w:ascii="Arial" w:hAnsi="Arial" w:cs="Arial"/>
          <w:sz w:val="24"/>
          <w:szCs w:val="24"/>
          <w:bdr w:val="single" w:sz="2" w:space="0" w:color="ECEDEE" w:frame="1"/>
        </w:rPr>
        <w:t>5</w:t>
      </w:r>
      <w:r w:rsidRPr="00C770D1">
        <w:rPr>
          <w:rFonts w:ascii="Arial" w:hAnsi="Arial" w:cs="Arial"/>
          <w:sz w:val="24"/>
          <w:szCs w:val="24"/>
        </w:rPr>
        <w:t>(6), 593–596.</w:t>
      </w:r>
    </w:p>
    <w:p w14:paraId="12B60F2B" w14:textId="77777777" w:rsidR="004942B6" w:rsidRPr="00C770D1" w:rsidRDefault="004942B6" w:rsidP="004942B6">
      <w:pPr>
        <w:pStyle w:val="ListParagraph"/>
        <w:rPr>
          <w:rFonts w:ascii="Arial" w:hAnsi="Arial" w:cs="Arial"/>
          <w:sz w:val="24"/>
          <w:szCs w:val="24"/>
          <w:lang w:val="nl-NL"/>
        </w:rPr>
      </w:pPr>
    </w:p>
    <w:p w14:paraId="6D708F7A"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lang w:val="nl-NL"/>
        </w:rPr>
        <w:t xml:space="preserve">Park S, Kang S, Ahn J, et al. </w:t>
      </w:r>
      <w:r w:rsidRPr="00C770D1">
        <w:rPr>
          <w:rFonts w:ascii="Arial" w:hAnsi="Arial" w:cs="Arial"/>
          <w:sz w:val="24"/>
          <w:szCs w:val="24"/>
        </w:rPr>
        <w:t>(2012). Visual-Functional mismatch between coronary angiography and fractional flow reserve. </w:t>
      </w:r>
      <w:r w:rsidRPr="00C770D1">
        <w:rPr>
          <w:rFonts w:ascii="Arial" w:hAnsi="Arial" w:cs="Arial"/>
          <w:sz w:val="24"/>
          <w:szCs w:val="24"/>
          <w:bdr w:val="single" w:sz="2" w:space="0" w:color="ECEDEE" w:frame="1"/>
        </w:rPr>
        <w:t>JACC Cardiovasc Interven</w:t>
      </w:r>
      <w:r w:rsidRPr="00C770D1">
        <w:rPr>
          <w:rFonts w:ascii="Arial" w:hAnsi="Arial" w:cs="Arial"/>
          <w:sz w:val="24"/>
          <w:szCs w:val="24"/>
        </w:rPr>
        <w:t>, </w:t>
      </w:r>
      <w:r w:rsidRPr="00C770D1">
        <w:rPr>
          <w:rFonts w:ascii="Arial" w:hAnsi="Arial" w:cs="Arial"/>
          <w:sz w:val="24"/>
          <w:szCs w:val="24"/>
          <w:bdr w:val="single" w:sz="2" w:space="0" w:color="ECEDEE" w:frame="1"/>
        </w:rPr>
        <w:t>5</w:t>
      </w:r>
      <w:r w:rsidRPr="00C770D1">
        <w:rPr>
          <w:rFonts w:ascii="Arial" w:hAnsi="Arial" w:cs="Arial"/>
          <w:sz w:val="24"/>
          <w:szCs w:val="24"/>
        </w:rPr>
        <w:t>(10), 1029–1036.</w:t>
      </w:r>
    </w:p>
    <w:p w14:paraId="123D37A1" w14:textId="77777777" w:rsidR="004942B6" w:rsidRPr="00C770D1" w:rsidRDefault="004942B6" w:rsidP="004942B6">
      <w:pPr>
        <w:pStyle w:val="ListParagraph"/>
        <w:rPr>
          <w:rFonts w:ascii="Arial" w:hAnsi="Arial" w:cs="Arial"/>
          <w:sz w:val="24"/>
          <w:szCs w:val="24"/>
        </w:rPr>
      </w:pPr>
    </w:p>
    <w:p w14:paraId="518BDC27"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rPr>
        <w:t>Tóth GG, Hamilos M, Pyxaras SA, et al. (2014). Evolving concepts of angiogram: fractional flow reserve discordances in 4000 coronary stenoses. </w:t>
      </w:r>
      <w:r w:rsidRPr="00C770D1">
        <w:rPr>
          <w:rFonts w:ascii="Arial" w:hAnsi="Arial" w:cs="Arial"/>
          <w:sz w:val="24"/>
          <w:szCs w:val="24"/>
          <w:bdr w:val="single" w:sz="2" w:space="0" w:color="ECEDEE" w:frame="1"/>
        </w:rPr>
        <w:t>Eur Heart J</w:t>
      </w:r>
      <w:r w:rsidRPr="00C770D1">
        <w:rPr>
          <w:rFonts w:ascii="Arial" w:hAnsi="Arial" w:cs="Arial"/>
          <w:sz w:val="24"/>
          <w:szCs w:val="24"/>
        </w:rPr>
        <w:t>, </w:t>
      </w:r>
      <w:r w:rsidRPr="00C770D1">
        <w:rPr>
          <w:rFonts w:ascii="Arial" w:hAnsi="Arial" w:cs="Arial"/>
          <w:sz w:val="24"/>
          <w:szCs w:val="24"/>
          <w:bdr w:val="single" w:sz="2" w:space="0" w:color="ECEDEE" w:frame="1"/>
        </w:rPr>
        <w:t>35</w:t>
      </w:r>
      <w:r w:rsidRPr="00C770D1">
        <w:rPr>
          <w:rFonts w:ascii="Arial" w:hAnsi="Arial" w:cs="Arial"/>
          <w:sz w:val="24"/>
          <w:szCs w:val="24"/>
        </w:rPr>
        <w:t>(40), 2831–2838. </w:t>
      </w:r>
    </w:p>
    <w:p w14:paraId="7D8994A3" w14:textId="77777777" w:rsidR="004942B6" w:rsidRPr="00C770D1" w:rsidRDefault="004942B6" w:rsidP="004942B6">
      <w:pPr>
        <w:pStyle w:val="ListParagraph"/>
        <w:rPr>
          <w:rFonts w:ascii="Arial" w:hAnsi="Arial" w:cs="Arial"/>
          <w:color w:val="212121"/>
          <w:sz w:val="24"/>
          <w:szCs w:val="24"/>
          <w:shd w:val="clear" w:color="auto" w:fill="FFFFFF"/>
        </w:rPr>
      </w:pPr>
    </w:p>
    <w:p w14:paraId="22183491" w14:textId="77777777" w:rsidR="004942B6" w:rsidRPr="00C770D1"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color w:val="212121"/>
          <w:sz w:val="24"/>
          <w:szCs w:val="24"/>
          <w:shd w:val="clear" w:color="auto" w:fill="FFFFFF"/>
        </w:rPr>
        <w:t>Haley HA, Ghobrial M, Morris PD, et al. (2021). Virtual (Computed) Fractional Flow Reserve: Future Role in Acute Coronary Syndromes. Frontiers in cardiovascular medicine, 8, 735008.</w:t>
      </w:r>
    </w:p>
    <w:p w14:paraId="15A56230" w14:textId="77777777" w:rsidR="004942B6" w:rsidRPr="009918A2" w:rsidRDefault="004942B6" w:rsidP="004942B6">
      <w:pPr>
        <w:pStyle w:val="ListParagraph"/>
        <w:rPr>
          <w:rFonts w:ascii="Arial" w:hAnsi="Arial" w:cs="Arial"/>
          <w:sz w:val="24"/>
          <w:szCs w:val="24"/>
        </w:rPr>
      </w:pPr>
    </w:p>
    <w:p w14:paraId="04B4982B"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lang w:val="nl-NL"/>
        </w:rPr>
        <w:t xml:space="preserve">Peper J, Becker LM, Van Kuijk J, et al (2021). </w:t>
      </w:r>
      <w:r w:rsidRPr="00C770D1">
        <w:rPr>
          <w:rFonts w:ascii="Arial" w:hAnsi="Arial" w:cs="Arial"/>
          <w:sz w:val="24"/>
          <w:szCs w:val="24"/>
        </w:rPr>
        <w:t>Fractional Flow Reserve: Patient selection and Perspectives. </w:t>
      </w:r>
      <w:r w:rsidRPr="00C770D1">
        <w:rPr>
          <w:rFonts w:ascii="Arial" w:hAnsi="Arial" w:cs="Arial"/>
          <w:sz w:val="24"/>
          <w:szCs w:val="24"/>
          <w:bdr w:val="single" w:sz="2" w:space="0" w:color="ECEDEE" w:frame="1"/>
        </w:rPr>
        <w:t>Vascular Health and Risk Management</w:t>
      </w:r>
      <w:r w:rsidRPr="00C770D1">
        <w:rPr>
          <w:rFonts w:ascii="Arial" w:hAnsi="Arial" w:cs="Arial"/>
          <w:sz w:val="24"/>
          <w:szCs w:val="24"/>
        </w:rPr>
        <w:t>, </w:t>
      </w:r>
      <w:r w:rsidRPr="00C770D1">
        <w:rPr>
          <w:rFonts w:ascii="Arial" w:hAnsi="Arial" w:cs="Arial"/>
          <w:sz w:val="24"/>
          <w:szCs w:val="24"/>
          <w:bdr w:val="single" w:sz="2" w:space="0" w:color="ECEDEE" w:frame="1"/>
        </w:rPr>
        <w:t>Volume 17</w:t>
      </w:r>
      <w:r w:rsidRPr="00C770D1">
        <w:rPr>
          <w:rFonts w:ascii="Arial" w:hAnsi="Arial" w:cs="Arial"/>
          <w:sz w:val="24"/>
          <w:szCs w:val="24"/>
        </w:rPr>
        <w:t>, 817–831.</w:t>
      </w:r>
    </w:p>
    <w:p w14:paraId="1F3E5D19" w14:textId="77777777" w:rsidR="004942B6" w:rsidRPr="00C770D1" w:rsidRDefault="004942B6" w:rsidP="004942B6">
      <w:pPr>
        <w:pStyle w:val="ListParagraph"/>
        <w:rPr>
          <w:rFonts w:ascii="Arial" w:hAnsi="Arial" w:cs="Arial"/>
          <w:sz w:val="24"/>
          <w:szCs w:val="24"/>
        </w:rPr>
      </w:pPr>
    </w:p>
    <w:p w14:paraId="368659C1"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rPr>
        <w:t>Zimmermann FM, Ferrara A, Johnson NP, et al. (2015). Deferral vs. performance of percutaneous coronary intervention of functionally non-significant coronary stenosis: 15-year follow-up of the DEFER trial. </w:t>
      </w:r>
      <w:r w:rsidRPr="00C770D1">
        <w:rPr>
          <w:rFonts w:ascii="Arial" w:hAnsi="Arial" w:cs="Arial"/>
          <w:sz w:val="24"/>
          <w:szCs w:val="24"/>
          <w:bdr w:val="single" w:sz="2" w:space="0" w:color="ECEDEE" w:frame="1"/>
        </w:rPr>
        <w:t>Eur Heart J</w:t>
      </w:r>
      <w:r w:rsidRPr="00C770D1">
        <w:rPr>
          <w:rFonts w:ascii="Arial" w:hAnsi="Arial" w:cs="Arial"/>
          <w:sz w:val="24"/>
          <w:szCs w:val="24"/>
        </w:rPr>
        <w:t>, </w:t>
      </w:r>
      <w:r w:rsidRPr="00C770D1">
        <w:rPr>
          <w:rFonts w:ascii="Arial" w:hAnsi="Arial" w:cs="Arial"/>
          <w:sz w:val="24"/>
          <w:szCs w:val="24"/>
          <w:bdr w:val="single" w:sz="2" w:space="0" w:color="ECEDEE" w:frame="1"/>
        </w:rPr>
        <w:t>36</w:t>
      </w:r>
      <w:r w:rsidRPr="00C770D1">
        <w:rPr>
          <w:rFonts w:ascii="Arial" w:hAnsi="Arial" w:cs="Arial"/>
          <w:sz w:val="24"/>
          <w:szCs w:val="24"/>
        </w:rPr>
        <w:t>(45), 3182–3188.</w:t>
      </w:r>
    </w:p>
    <w:p w14:paraId="5B2E1A80" w14:textId="77777777" w:rsidR="004942B6" w:rsidRPr="00C770D1" w:rsidRDefault="004942B6" w:rsidP="004942B6">
      <w:pPr>
        <w:pStyle w:val="ListParagraph"/>
        <w:rPr>
          <w:rFonts w:ascii="Arial" w:hAnsi="Arial" w:cs="Arial"/>
          <w:sz w:val="24"/>
          <w:szCs w:val="24"/>
          <w:shd w:val="clear" w:color="auto" w:fill="FFFFFF"/>
        </w:rPr>
      </w:pPr>
    </w:p>
    <w:p w14:paraId="12BB9517" w14:textId="77777777" w:rsidR="004942B6" w:rsidRPr="00C770D1"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shd w:val="clear" w:color="auto" w:fill="FFFFFF"/>
        </w:rPr>
        <w:t>Windecker S, Kolh P, Alfonso F, et al. 2014 ESC/EACTS Guidelines on myocardial revascularization: The Task Force on Myocardial Revascularization of the European Society of Cardiology (ESC) and the European Association for Cardio-Thoracic Surgery (EACTS) - Developed with the special contribution of the European Association of Percutaneous Cardiovascular Interventions (EAPCI). Eur Heart J. 2014 Oct 1;35(37):2541-619. </w:t>
      </w:r>
    </w:p>
    <w:p w14:paraId="41535F1C" w14:textId="77777777" w:rsidR="004942B6" w:rsidRPr="00C770D1" w:rsidRDefault="004942B6" w:rsidP="004942B6">
      <w:pPr>
        <w:pStyle w:val="ListParagraph"/>
        <w:rPr>
          <w:rFonts w:ascii="Arial" w:hAnsi="Arial" w:cs="Arial"/>
          <w:sz w:val="24"/>
          <w:szCs w:val="24"/>
          <w:lang w:val="de-DE"/>
        </w:rPr>
      </w:pPr>
    </w:p>
    <w:p w14:paraId="36748126"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lang w:val="de-DE"/>
        </w:rPr>
        <w:t xml:space="preserve">Achenbach S, Rudolph TK, Rieber J, et al. </w:t>
      </w:r>
      <w:r w:rsidRPr="00C770D1">
        <w:rPr>
          <w:rFonts w:ascii="Arial" w:hAnsi="Arial" w:cs="Arial"/>
          <w:sz w:val="24"/>
          <w:szCs w:val="24"/>
        </w:rPr>
        <w:t>(2017). Performing and Interpreting fractional flow reserve measurements in Clinical practice: an expert Consensus document. </w:t>
      </w:r>
      <w:r w:rsidRPr="00C770D1">
        <w:rPr>
          <w:rFonts w:ascii="Arial" w:hAnsi="Arial" w:cs="Arial"/>
          <w:sz w:val="24"/>
          <w:szCs w:val="24"/>
          <w:bdr w:val="single" w:sz="2" w:space="0" w:color="ECEDEE" w:frame="1"/>
        </w:rPr>
        <w:t>Interventional Cardiology Review</w:t>
      </w:r>
      <w:r w:rsidRPr="00C770D1">
        <w:rPr>
          <w:rFonts w:ascii="Arial" w:hAnsi="Arial" w:cs="Arial"/>
          <w:sz w:val="24"/>
          <w:szCs w:val="24"/>
        </w:rPr>
        <w:t>, </w:t>
      </w:r>
      <w:r w:rsidRPr="00C770D1">
        <w:rPr>
          <w:rFonts w:ascii="Arial" w:hAnsi="Arial" w:cs="Arial"/>
          <w:sz w:val="24"/>
          <w:szCs w:val="24"/>
          <w:bdr w:val="single" w:sz="2" w:space="0" w:color="ECEDEE" w:frame="1"/>
        </w:rPr>
        <w:t>12</w:t>
      </w:r>
      <w:r w:rsidRPr="00C770D1">
        <w:rPr>
          <w:rFonts w:ascii="Arial" w:hAnsi="Arial" w:cs="Arial"/>
          <w:sz w:val="24"/>
          <w:szCs w:val="24"/>
        </w:rPr>
        <w:t>(02), 97-109.</w:t>
      </w:r>
    </w:p>
    <w:p w14:paraId="2E8B6FB0" w14:textId="77777777" w:rsidR="004942B6" w:rsidRPr="00C770D1" w:rsidRDefault="004942B6" w:rsidP="004942B6">
      <w:pPr>
        <w:pStyle w:val="ListParagraph"/>
        <w:rPr>
          <w:rFonts w:ascii="Arial" w:hAnsi="Arial" w:cs="Arial"/>
          <w:sz w:val="24"/>
          <w:szCs w:val="24"/>
        </w:rPr>
      </w:pPr>
    </w:p>
    <w:p w14:paraId="3648877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rPr>
        <w:t>Tonino PA, De Bruyne B, Pijls NH, et al. (2009). Fractional Flow Reserve versus Angiography for Guiding Percutaneous Coronary Intervention. </w:t>
      </w:r>
      <w:r w:rsidRPr="00C770D1">
        <w:rPr>
          <w:rFonts w:ascii="Arial" w:hAnsi="Arial" w:cs="Arial"/>
          <w:sz w:val="24"/>
          <w:szCs w:val="24"/>
          <w:bdr w:val="single" w:sz="2" w:space="0" w:color="ECEDEE" w:frame="1"/>
        </w:rPr>
        <w:t>N Engl J Med</w:t>
      </w:r>
      <w:r w:rsidRPr="00C770D1">
        <w:rPr>
          <w:rFonts w:ascii="Arial" w:hAnsi="Arial" w:cs="Arial"/>
          <w:sz w:val="24"/>
          <w:szCs w:val="24"/>
        </w:rPr>
        <w:t>, </w:t>
      </w:r>
      <w:r w:rsidRPr="00C770D1">
        <w:rPr>
          <w:rFonts w:ascii="Arial" w:hAnsi="Arial" w:cs="Arial"/>
          <w:sz w:val="24"/>
          <w:szCs w:val="24"/>
          <w:bdr w:val="single" w:sz="2" w:space="0" w:color="ECEDEE" w:frame="1"/>
        </w:rPr>
        <w:t>360</w:t>
      </w:r>
      <w:r w:rsidRPr="00C770D1">
        <w:rPr>
          <w:rFonts w:ascii="Arial" w:hAnsi="Arial" w:cs="Arial"/>
          <w:sz w:val="24"/>
          <w:szCs w:val="24"/>
        </w:rPr>
        <w:t>(3), 213–224</w:t>
      </w:r>
      <w:r>
        <w:rPr>
          <w:rFonts w:ascii="Arial" w:hAnsi="Arial" w:cs="Arial"/>
          <w:sz w:val="24"/>
          <w:szCs w:val="24"/>
        </w:rPr>
        <w:t>.</w:t>
      </w:r>
    </w:p>
    <w:p w14:paraId="17816926" w14:textId="77777777" w:rsidR="004942B6" w:rsidRPr="00C770D1" w:rsidRDefault="004942B6" w:rsidP="004942B6">
      <w:pPr>
        <w:pStyle w:val="ListParagraph"/>
        <w:rPr>
          <w:rFonts w:ascii="Arial" w:hAnsi="Arial" w:cs="Arial"/>
          <w:sz w:val="24"/>
          <w:szCs w:val="24"/>
          <w:lang w:val="nl-NL"/>
        </w:rPr>
      </w:pPr>
    </w:p>
    <w:p w14:paraId="5AABA1E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lang w:val="nl-NL"/>
        </w:rPr>
        <w:t xml:space="preserve">Van Nunen LX, Zimmermann FM, Tonino, PA, et al. </w:t>
      </w:r>
      <w:r w:rsidRPr="00C770D1">
        <w:rPr>
          <w:rFonts w:ascii="Arial" w:hAnsi="Arial" w:cs="Arial"/>
          <w:sz w:val="24"/>
          <w:szCs w:val="24"/>
        </w:rPr>
        <w:t>(2015). Fractional flow reserve versus angiography for guidance of PCI in patients with multivessel coronary artery disease (FAME): 5-year follow-up of a randomised controlled trial. </w:t>
      </w:r>
      <w:r w:rsidRPr="00C770D1">
        <w:rPr>
          <w:rFonts w:ascii="Arial" w:hAnsi="Arial" w:cs="Arial"/>
          <w:sz w:val="24"/>
          <w:szCs w:val="24"/>
          <w:bdr w:val="single" w:sz="2" w:space="0" w:color="ECEDEE" w:frame="1"/>
        </w:rPr>
        <w:t>The Lancet</w:t>
      </w:r>
      <w:r w:rsidRPr="00C770D1">
        <w:rPr>
          <w:rFonts w:ascii="Arial" w:hAnsi="Arial" w:cs="Arial"/>
          <w:sz w:val="24"/>
          <w:szCs w:val="24"/>
        </w:rPr>
        <w:t>, </w:t>
      </w:r>
      <w:r w:rsidRPr="00C770D1">
        <w:rPr>
          <w:rFonts w:ascii="Arial" w:hAnsi="Arial" w:cs="Arial"/>
          <w:sz w:val="24"/>
          <w:szCs w:val="24"/>
          <w:bdr w:val="single" w:sz="2" w:space="0" w:color="ECEDEE" w:frame="1"/>
        </w:rPr>
        <w:t>386</w:t>
      </w:r>
      <w:r w:rsidRPr="00C770D1">
        <w:rPr>
          <w:rFonts w:ascii="Arial" w:hAnsi="Arial" w:cs="Arial"/>
          <w:sz w:val="24"/>
          <w:szCs w:val="24"/>
        </w:rPr>
        <w:t>(10006), 1853–1860.</w:t>
      </w:r>
    </w:p>
    <w:p w14:paraId="056E3518" w14:textId="77777777" w:rsidR="004942B6" w:rsidRPr="00C770D1" w:rsidRDefault="004942B6" w:rsidP="004942B6">
      <w:pPr>
        <w:pStyle w:val="ListParagraph"/>
        <w:rPr>
          <w:rFonts w:ascii="Arial" w:hAnsi="Arial" w:cs="Arial"/>
          <w:sz w:val="24"/>
          <w:szCs w:val="24"/>
          <w:lang w:val="nl-NL"/>
        </w:rPr>
      </w:pPr>
    </w:p>
    <w:p w14:paraId="6FF792F6"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C770D1">
        <w:rPr>
          <w:rFonts w:ascii="Arial" w:hAnsi="Arial" w:cs="Arial"/>
          <w:sz w:val="24"/>
          <w:szCs w:val="24"/>
          <w:lang w:val="nl-NL"/>
        </w:rPr>
        <w:t xml:space="preserve">De Bruyne B, Fearon WF, Pijls NH, et al. </w:t>
      </w:r>
      <w:r w:rsidRPr="00C770D1">
        <w:rPr>
          <w:rFonts w:ascii="Arial" w:hAnsi="Arial" w:cs="Arial"/>
          <w:sz w:val="24"/>
          <w:szCs w:val="24"/>
        </w:rPr>
        <w:t>(2014). Fractional Flow Reserve–Guided PCI for stable coronary artery disease. </w:t>
      </w:r>
      <w:r w:rsidRPr="00C770D1">
        <w:rPr>
          <w:rFonts w:ascii="Arial" w:hAnsi="Arial" w:cs="Arial"/>
          <w:sz w:val="24"/>
          <w:szCs w:val="24"/>
          <w:bdr w:val="single" w:sz="2" w:space="0" w:color="ECEDEE" w:frame="1"/>
        </w:rPr>
        <w:t>N Engl J Med</w:t>
      </w:r>
      <w:r w:rsidRPr="00C770D1">
        <w:rPr>
          <w:rFonts w:ascii="Arial" w:hAnsi="Arial" w:cs="Arial"/>
          <w:sz w:val="24"/>
          <w:szCs w:val="24"/>
        </w:rPr>
        <w:t>, </w:t>
      </w:r>
      <w:r w:rsidRPr="00C770D1">
        <w:rPr>
          <w:rFonts w:ascii="Arial" w:hAnsi="Arial" w:cs="Arial"/>
          <w:sz w:val="24"/>
          <w:szCs w:val="24"/>
          <w:bdr w:val="single" w:sz="2" w:space="0" w:color="ECEDEE" w:frame="1"/>
        </w:rPr>
        <w:t>371</w:t>
      </w:r>
      <w:r w:rsidRPr="00C770D1">
        <w:rPr>
          <w:rFonts w:ascii="Arial" w:hAnsi="Arial" w:cs="Arial"/>
          <w:sz w:val="24"/>
          <w:szCs w:val="24"/>
        </w:rPr>
        <w:t>(13), 1208–1217.</w:t>
      </w:r>
    </w:p>
    <w:p w14:paraId="07CDDEE2" w14:textId="77777777" w:rsidR="004942B6" w:rsidRPr="00D96788" w:rsidRDefault="004942B6" w:rsidP="004942B6">
      <w:pPr>
        <w:pStyle w:val="ListParagraph"/>
        <w:rPr>
          <w:rFonts w:ascii="Arial" w:hAnsi="Arial" w:cs="Arial"/>
          <w:sz w:val="24"/>
          <w:szCs w:val="24"/>
          <w:lang w:val="pt-PT"/>
        </w:rPr>
      </w:pPr>
    </w:p>
    <w:p w14:paraId="7FEC2CC9"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lang w:val="pt-PT"/>
        </w:rPr>
        <w:t xml:space="preserve">Anchan R, Cifu AS, Paul J. (2021). </w:t>
      </w:r>
      <w:r w:rsidRPr="00D96788">
        <w:rPr>
          <w:rFonts w:ascii="Arial" w:hAnsi="Arial" w:cs="Arial"/>
          <w:sz w:val="24"/>
          <w:szCs w:val="24"/>
        </w:rPr>
        <w:t>Management of acute coronary syndromes in patients without persistent ST-Segment elevation. </w:t>
      </w:r>
      <w:r w:rsidRPr="00D96788">
        <w:rPr>
          <w:rFonts w:ascii="Arial" w:hAnsi="Arial" w:cs="Arial"/>
          <w:sz w:val="24"/>
          <w:szCs w:val="24"/>
          <w:bdr w:val="single" w:sz="2" w:space="0" w:color="ECEDEE" w:frame="1"/>
        </w:rPr>
        <w:t>JAMA</w:t>
      </w:r>
      <w:r w:rsidRPr="00D96788">
        <w:rPr>
          <w:rFonts w:ascii="Arial" w:hAnsi="Arial" w:cs="Arial"/>
          <w:sz w:val="24"/>
          <w:szCs w:val="24"/>
        </w:rPr>
        <w:t>, </w:t>
      </w:r>
      <w:r w:rsidRPr="00D96788">
        <w:rPr>
          <w:rFonts w:ascii="Arial" w:hAnsi="Arial" w:cs="Arial"/>
          <w:sz w:val="24"/>
          <w:szCs w:val="24"/>
          <w:bdr w:val="single" w:sz="2" w:space="0" w:color="ECEDEE" w:frame="1"/>
        </w:rPr>
        <w:t>325</w:t>
      </w:r>
      <w:r w:rsidRPr="00D96788">
        <w:rPr>
          <w:rFonts w:ascii="Arial" w:hAnsi="Arial" w:cs="Arial"/>
          <w:sz w:val="24"/>
          <w:szCs w:val="24"/>
        </w:rPr>
        <w:t>(15), 1556-1557.</w:t>
      </w:r>
    </w:p>
    <w:p w14:paraId="227F0D10" w14:textId="77777777" w:rsidR="004942B6" w:rsidRPr="00D96788" w:rsidRDefault="004942B6" w:rsidP="004942B6">
      <w:pPr>
        <w:pStyle w:val="ListParagraph"/>
        <w:rPr>
          <w:rFonts w:ascii="Arial" w:hAnsi="Arial" w:cs="Arial"/>
          <w:sz w:val="24"/>
          <w:szCs w:val="24"/>
          <w:lang w:val="fr-FR"/>
        </w:rPr>
      </w:pPr>
    </w:p>
    <w:p w14:paraId="7F24E3F8"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lang w:val="fr-FR"/>
        </w:rPr>
        <w:t xml:space="preserve">Ntalianis A, Sels JW, Davidavičius G, et al. </w:t>
      </w:r>
      <w:r w:rsidRPr="00D96788">
        <w:rPr>
          <w:rFonts w:ascii="Arial" w:hAnsi="Arial" w:cs="Arial"/>
          <w:sz w:val="24"/>
          <w:szCs w:val="24"/>
        </w:rPr>
        <w:t>(2010). Fractional flow reserve for the assessment of nonculprit coronary artery stenoses in patients with acute myocardial infarction. </w:t>
      </w:r>
      <w:r w:rsidRPr="00D96788">
        <w:rPr>
          <w:rFonts w:ascii="Arial" w:hAnsi="Arial" w:cs="Arial"/>
          <w:sz w:val="24"/>
          <w:szCs w:val="24"/>
          <w:bdr w:val="single" w:sz="2" w:space="0" w:color="ECEDEE" w:frame="1"/>
        </w:rPr>
        <w:t>JACC Cardiovasc Interven</w:t>
      </w:r>
      <w:r w:rsidRPr="00D96788">
        <w:rPr>
          <w:rFonts w:ascii="Arial" w:hAnsi="Arial" w:cs="Arial"/>
          <w:sz w:val="24"/>
          <w:szCs w:val="24"/>
        </w:rPr>
        <w:t>, </w:t>
      </w:r>
      <w:r w:rsidRPr="00D96788">
        <w:rPr>
          <w:rFonts w:ascii="Arial" w:hAnsi="Arial" w:cs="Arial"/>
          <w:sz w:val="24"/>
          <w:szCs w:val="24"/>
          <w:bdr w:val="single" w:sz="2" w:space="0" w:color="ECEDEE" w:frame="1"/>
        </w:rPr>
        <w:t>3</w:t>
      </w:r>
      <w:r w:rsidRPr="00D96788">
        <w:rPr>
          <w:rFonts w:ascii="Arial" w:hAnsi="Arial" w:cs="Arial"/>
          <w:sz w:val="24"/>
          <w:szCs w:val="24"/>
        </w:rPr>
        <w:t>(12), 1274–1281.</w:t>
      </w:r>
    </w:p>
    <w:p w14:paraId="454A9409" w14:textId="77777777" w:rsidR="004942B6" w:rsidRPr="00D96788" w:rsidRDefault="004942B6" w:rsidP="004942B6">
      <w:pPr>
        <w:pStyle w:val="ListParagraph"/>
        <w:rPr>
          <w:rFonts w:ascii="Arial" w:hAnsi="Arial" w:cs="Arial"/>
          <w:sz w:val="24"/>
          <w:szCs w:val="24"/>
        </w:rPr>
      </w:pPr>
    </w:p>
    <w:p w14:paraId="591DE95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rPr>
        <w:t>Mehta SR, Wood D, Storey RF, et al. (2019). Complete Revascularization with Multivessel PCI for Myocardial Infarction. </w:t>
      </w:r>
      <w:r w:rsidRPr="00D96788">
        <w:rPr>
          <w:rFonts w:ascii="Arial" w:hAnsi="Arial" w:cs="Arial"/>
          <w:sz w:val="24"/>
          <w:szCs w:val="24"/>
          <w:bdr w:val="single" w:sz="2" w:space="0" w:color="ECEDEE" w:frame="1"/>
        </w:rPr>
        <w:t>N Engl J Med</w:t>
      </w:r>
      <w:r w:rsidRPr="00D96788">
        <w:rPr>
          <w:rFonts w:ascii="Arial" w:hAnsi="Arial" w:cs="Arial"/>
          <w:sz w:val="24"/>
          <w:szCs w:val="24"/>
        </w:rPr>
        <w:t>, </w:t>
      </w:r>
      <w:r w:rsidRPr="00D96788">
        <w:rPr>
          <w:rFonts w:ascii="Arial" w:hAnsi="Arial" w:cs="Arial"/>
          <w:sz w:val="24"/>
          <w:szCs w:val="24"/>
          <w:bdr w:val="single" w:sz="2" w:space="0" w:color="ECEDEE" w:frame="1"/>
        </w:rPr>
        <w:t>381</w:t>
      </w:r>
      <w:r w:rsidRPr="00D96788">
        <w:rPr>
          <w:rFonts w:ascii="Arial" w:hAnsi="Arial" w:cs="Arial"/>
          <w:sz w:val="24"/>
          <w:szCs w:val="24"/>
        </w:rPr>
        <w:t>(15), 1411–1421.</w:t>
      </w:r>
    </w:p>
    <w:p w14:paraId="6B8CD6A3" w14:textId="77777777" w:rsidR="004942B6" w:rsidRPr="00D96788" w:rsidRDefault="004942B6" w:rsidP="004942B6">
      <w:pPr>
        <w:pStyle w:val="ListParagraph"/>
        <w:rPr>
          <w:rFonts w:ascii="Arial" w:hAnsi="Arial" w:cs="Arial"/>
          <w:sz w:val="24"/>
          <w:szCs w:val="24"/>
        </w:rPr>
      </w:pPr>
    </w:p>
    <w:p w14:paraId="151321FB"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rPr>
        <w:t>Gershlick A, Khan JN, Kelly DJ, et al (2015). Randomized trial of Complete versus Lesion-Only revascularization in patients undergoing primary percutaneous coronary intervention for STEMI and multivessel disease. </w:t>
      </w:r>
      <w:r w:rsidRPr="00D96788">
        <w:rPr>
          <w:rFonts w:ascii="Arial" w:hAnsi="Arial" w:cs="Arial"/>
          <w:sz w:val="24"/>
          <w:szCs w:val="24"/>
          <w:bdr w:val="single" w:sz="2" w:space="0" w:color="ECEDEE" w:frame="1"/>
        </w:rPr>
        <w:t>J Am Coll Cardio</w:t>
      </w:r>
      <w:r w:rsidRPr="00D96788">
        <w:rPr>
          <w:rFonts w:ascii="Arial" w:hAnsi="Arial" w:cs="Arial"/>
          <w:sz w:val="24"/>
          <w:szCs w:val="24"/>
        </w:rPr>
        <w:t>, </w:t>
      </w:r>
      <w:r w:rsidRPr="00D96788">
        <w:rPr>
          <w:rFonts w:ascii="Arial" w:hAnsi="Arial" w:cs="Arial"/>
          <w:sz w:val="24"/>
          <w:szCs w:val="24"/>
          <w:bdr w:val="single" w:sz="2" w:space="0" w:color="ECEDEE" w:frame="1"/>
        </w:rPr>
        <w:t>65</w:t>
      </w:r>
      <w:r w:rsidRPr="00D96788">
        <w:rPr>
          <w:rFonts w:ascii="Arial" w:hAnsi="Arial" w:cs="Arial"/>
          <w:sz w:val="24"/>
          <w:szCs w:val="24"/>
        </w:rPr>
        <w:t>(10), 963–972.</w:t>
      </w:r>
    </w:p>
    <w:p w14:paraId="1A0B49EA" w14:textId="77777777" w:rsidR="004942B6" w:rsidRPr="00D96788" w:rsidRDefault="004942B6" w:rsidP="004942B6">
      <w:pPr>
        <w:pStyle w:val="ListParagraph"/>
        <w:rPr>
          <w:rFonts w:ascii="Arial" w:hAnsi="Arial" w:cs="Arial"/>
          <w:sz w:val="24"/>
          <w:szCs w:val="24"/>
          <w:lang w:val="nl-NL"/>
        </w:rPr>
      </w:pPr>
    </w:p>
    <w:p w14:paraId="3E1F6488"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lang w:val="nl-NL"/>
        </w:rPr>
        <w:t xml:space="preserve">Wald DS, Morris JK, Wald N, et al. </w:t>
      </w:r>
      <w:r w:rsidRPr="00D96788">
        <w:rPr>
          <w:rFonts w:ascii="Arial" w:hAnsi="Arial" w:cs="Arial"/>
          <w:sz w:val="24"/>
          <w:szCs w:val="24"/>
        </w:rPr>
        <w:t>(2013). Randomized trial of preventive angioplasty in myocardial infarction. </w:t>
      </w:r>
      <w:r w:rsidRPr="00D96788">
        <w:rPr>
          <w:rFonts w:ascii="Arial" w:hAnsi="Arial" w:cs="Arial"/>
          <w:sz w:val="24"/>
          <w:szCs w:val="24"/>
          <w:bdr w:val="single" w:sz="2" w:space="0" w:color="ECEDEE" w:frame="1"/>
        </w:rPr>
        <w:t>N Engl J Med</w:t>
      </w:r>
      <w:r w:rsidRPr="00D96788">
        <w:rPr>
          <w:rFonts w:ascii="Arial" w:hAnsi="Arial" w:cs="Arial"/>
          <w:sz w:val="24"/>
          <w:szCs w:val="24"/>
        </w:rPr>
        <w:t>, </w:t>
      </w:r>
      <w:r w:rsidRPr="00D96788">
        <w:rPr>
          <w:rFonts w:ascii="Arial" w:hAnsi="Arial" w:cs="Arial"/>
          <w:sz w:val="24"/>
          <w:szCs w:val="24"/>
          <w:bdr w:val="single" w:sz="2" w:space="0" w:color="ECEDEE" w:frame="1"/>
        </w:rPr>
        <w:t>369</w:t>
      </w:r>
      <w:r w:rsidRPr="00D96788">
        <w:rPr>
          <w:rFonts w:ascii="Arial" w:hAnsi="Arial" w:cs="Arial"/>
          <w:sz w:val="24"/>
          <w:szCs w:val="24"/>
        </w:rPr>
        <w:t>(12), 1115–1123.</w:t>
      </w:r>
    </w:p>
    <w:p w14:paraId="55609D08" w14:textId="77777777" w:rsidR="004942B6" w:rsidRPr="00D96788" w:rsidRDefault="004942B6" w:rsidP="004942B6">
      <w:pPr>
        <w:pStyle w:val="ListParagraph"/>
        <w:rPr>
          <w:rFonts w:ascii="Arial" w:hAnsi="Arial" w:cs="Arial"/>
          <w:sz w:val="24"/>
          <w:szCs w:val="24"/>
        </w:rPr>
      </w:pPr>
    </w:p>
    <w:p w14:paraId="76751DC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rPr>
        <w:t>Smits PC, Abdel</w:t>
      </w:r>
      <w:r w:rsidRPr="00D96788">
        <w:rPr>
          <w:rFonts w:ascii="Cambria Math" w:hAnsi="Cambria Math" w:cs="Cambria Math"/>
          <w:sz w:val="24"/>
          <w:szCs w:val="24"/>
        </w:rPr>
        <w:t>‐</w:t>
      </w:r>
      <w:r w:rsidRPr="00D96788">
        <w:rPr>
          <w:rFonts w:ascii="Arial" w:hAnsi="Arial" w:cs="Arial"/>
          <w:sz w:val="24"/>
          <w:szCs w:val="24"/>
        </w:rPr>
        <w:t>Wahab M, Neumann F, et al. (2017). Fractional flow Reserve–Guided multivessel angioplasty in myocardial infarction. </w:t>
      </w:r>
      <w:r w:rsidRPr="00D96788">
        <w:rPr>
          <w:rFonts w:ascii="Arial" w:hAnsi="Arial" w:cs="Arial"/>
          <w:sz w:val="24"/>
          <w:szCs w:val="24"/>
          <w:bdr w:val="single" w:sz="2" w:space="0" w:color="ECEDEE" w:frame="1"/>
        </w:rPr>
        <w:t>N Engl J Med</w:t>
      </w:r>
      <w:r w:rsidRPr="00D96788">
        <w:rPr>
          <w:rFonts w:ascii="Arial" w:hAnsi="Arial" w:cs="Arial"/>
          <w:sz w:val="24"/>
          <w:szCs w:val="24"/>
        </w:rPr>
        <w:t>, </w:t>
      </w:r>
      <w:r w:rsidRPr="00D96788">
        <w:rPr>
          <w:rFonts w:ascii="Arial" w:hAnsi="Arial" w:cs="Arial"/>
          <w:sz w:val="24"/>
          <w:szCs w:val="24"/>
          <w:bdr w:val="single" w:sz="2" w:space="0" w:color="ECEDEE" w:frame="1"/>
        </w:rPr>
        <w:t>376</w:t>
      </w:r>
      <w:r w:rsidRPr="00D96788">
        <w:rPr>
          <w:rFonts w:ascii="Arial" w:hAnsi="Arial" w:cs="Arial"/>
          <w:sz w:val="24"/>
          <w:szCs w:val="24"/>
        </w:rPr>
        <w:t>(13), 1234–1244.</w:t>
      </w:r>
    </w:p>
    <w:p w14:paraId="0603A439" w14:textId="77777777" w:rsidR="004942B6" w:rsidRPr="00D96788" w:rsidRDefault="004942B6" w:rsidP="004942B6">
      <w:pPr>
        <w:pStyle w:val="ListParagraph"/>
        <w:rPr>
          <w:rFonts w:ascii="Arial" w:hAnsi="Arial" w:cs="Arial"/>
          <w:sz w:val="24"/>
          <w:szCs w:val="24"/>
        </w:rPr>
      </w:pPr>
    </w:p>
    <w:p w14:paraId="54BFE537"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rPr>
        <w:t>Engstrøm T, Kelbæk H, Helqvist S, et al. (2015). Complete revascularisation versus treatment of the culprit lesion only in patients with ST-segment elevation myocardial infarction and multivessel disease (DANAMI-3 PRIMULTI): an open-label, randomised controlled trial. </w:t>
      </w:r>
      <w:r w:rsidRPr="00D96788">
        <w:rPr>
          <w:rFonts w:ascii="Arial" w:hAnsi="Arial" w:cs="Arial"/>
          <w:sz w:val="24"/>
          <w:szCs w:val="24"/>
          <w:bdr w:val="single" w:sz="2" w:space="0" w:color="ECEDEE" w:frame="1"/>
        </w:rPr>
        <w:t>The Lancet</w:t>
      </w:r>
      <w:r w:rsidRPr="00D96788">
        <w:rPr>
          <w:rFonts w:ascii="Arial" w:hAnsi="Arial" w:cs="Arial"/>
          <w:sz w:val="24"/>
          <w:szCs w:val="24"/>
        </w:rPr>
        <w:t>, </w:t>
      </w:r>
      <w:r w:rsidRPr="00D96788">
        <w:rPr>
          <w:rFonts w:ascii="Arial" w:hAnsi="Arial" w:cs="Arial"/>
          <w:sz w:val="24"/>
          <w:szCs w:val="24"/>
          <w:bdr w:val="single" w:sz="2" w:space="0" w:color="ECEDEE" w:frame="1"/>
        </w:rPr>
        <w:t>386</w:t>
      </w:r>
      <w:r w:rsidRPr="00D96788">
        <w:rPr>
          <w:rFonts w:ascii="Arial" w:hAnsi="Arial" w:cs="Arial"/>
          <w:sz w:val="24"/>
          <w:szCs w:val="24"/>
        </w:rPr>
        <w:t>(9994), 665–671.</w:t>
      </w:r>
    </w:p>
    <w:p w14:paraId="60C945E5" w14:textId="77777777" w:rsidR="004942B6" w:rsidRPr="00D96788" w:rsidRDefault="004942B6" w:rsidP="004942B6">
      <w:pPr>
        <w:pStyle w:val="ListParagraph"/>
        <w:rPr>
          <w:rFonts w:ascii="Arial" w:hAnsi="Arial" w:cs="Arial"/>
          <w:sz w:val="24"/>
          <w:szCs w:val="24"/>
        </w:rPr>
      </w:pPr>
    </w:p>
    <w:p w14:paraId="248B570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rPr>
        <w:t>Layland J, Oldroyd KG, Curzen N, et al. (2014). Fractional flow reserve vs. angiography in guiding management to optimize outcomes in non-ST-segment elevation myocardial infarction: the British Heart Foundation FAMOUS-NSTEMI randomized trial. </w:t>
      </w:r>
      <w:r w:rsidRPr="00D96788">
        <w:rPr>
          <w:rFonts w:ascii="Arial" w:hAnsi="Arial" w:cs="Arial"/>
          <w:sz w:val="24"/>
          <w:szCs w:val="24"/>
          <w:bdr w:val="single" w:sz="2" w:space="0" w:color="ECEDEE" w:frame="1"/>
        </w:rPr>
        <w:t>Eur Heart J</w:t>
      </w:r>
      <w:r w:rsidRPr="00D96788">
        <w:rPr>
          <w:rFonts w:ascii="Arial" w:hAnsi="Arial" w:cs="Arial"/>
          <w:sz w:val="24"/>
          <w:szCs w:val="24"/>
        </w:rPr>
        <w:t>, </w:t>
      </w:r>
      <w:r w:rsidRPr="00D96788">
        <w:rPr>
          <w:rFonts w:ascii="Arial" w:hAnsi="Arial" w:cs="Arial"/>
          <w:sz w:val="24"/>
          <w:szCs w:val="24"/>
          <w:bdr w:val="single" w:sz="2" w:space="0" w:color="ECEDEE" w:frame="1"/>
        </w:rPr>
        <w:t>36</w:t>
      </w:r>
      <w:r w:rsidRPr="00D96788">
        <w:rPr>
          <w:rFonts w:ascii="Arial" w:hAnsi="Arial" w:cs="Arial"/>
          <w:sz w:val="24"/>
          <w:szCs w:val="24"/>
        </w:rPr>
        <w:t>(2), 100–111.</w:t>
      </w:r>
    </w:p>
    <w:p w14:paraId="1095A206" w14:textId="77777777" w:rsidR="004942B6" w:rsidRPr="00D96788" w:rsidRDefault="004942B6" w:rsidP="004942B6">
      <w:pPr>
        <w:pStyle w:val="ListParagraph"/>
        <w:rPr>
          <w:rFonts w:ascii="Arial" w:hAnsi="Arial" w:cs="Arial"/>
          <w:sz w:val="24"/>
          <w:szCs w:val="24"/>
          <w:lang w:val="fr-FR"/>
        </w:rPr>
      </w:pPr>
    </w:p>
    <w:p w14:paraId="57757FCB"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lang w:val="fr-FR"/>
        </w:rPr>
        <w:t xml:space="preserve">Puymirat É, Cayla G, Simon T, et al. </w:t>
      </w:r>
      <w:r w:rsidRPr="00D96788">
        <w:rPr>
          <w:rFonts w:ascii="Arial" w:hAnsi="Arial" w:cs="Arial"/>
          <w:sz w:val="24"/>
          <w:szCs w:val="24"/>
        </w:rPr>
        <w:t>(2021). Multivessel PCI guided by FFR or angiography for myocardial infarction. </w:t>
      </w:r>
      <w:r w:rsidRPr="00D96788">
        <w:rPr>
          <w:rFonts w:ascii="Arial" w:hAnsi="Arial" w:cs="Arial"/>
          <w:sz w:val="24"/>
          <w:szCs w:val="24"/>
          <w:bdr w:val="single" w:sz="2" w:space="0" w:color="ECEDEE" w:frame="1"/>
        </w:rPr>
        <w:t>N Engl J Med</w:t>
      </w:r>
      <w:r w:rsidRPr="00D96788">
        <w:rPr>
          <w:rFonts w:ascii="Arial" w:hAnsi="Arial" w:cs="Arial"/>
          <w:sz w:val="24"/>
          <w:szCs w:val="24"/>
        </w:rPr>
        <w:t>, </w:t>
      </w:r>
      <w:r w:rsidRPr="00D96788">
        <w:rPr>
          <w:rFonts w:ascii="Arial" w:hAnsi="Arial" w:cs="Arial"/>
          <w:sz w:val="24"/>
          <w:szCs w:val="24"/>
          <w:bdr w:val="single" w:sz="2" w:space="0" w:color="ECEDEE" w:frame="1"/>
        </w:rPr>
        <w:t>385</w:t>
      </w:r>
      <w:r w:rsidRPr="00D96788">
        <w:rPr>
          <w:rFonts w:ascii="Arial" w:hAnsi="Arial" w:cs="Arial"/>
          <w:sz w:val="24"/>
          <w:szCs w:val="24"/>
        </w:rPr>
        <w:t>(4), 297–308.</w:t>
      </w:r>
    </w:p>
    <w:p w14:paraId="51B470C0" w14:textId="77777777" w:rsidR="004942B6" w:rsidRPr="00D96788" w:rsidRDefault="004942B6" w:rsidP="004942B6">
      <w:pPr>
        <w:pStyle w:val="ListParagraph"/>
        <w:rPr>
          <w:rFonts w:ascii="Arial" w:hAnsi="Arial" w:cs="Arial"/>
          <w:sz w:val="24"/>
          <w:szCs w:val="24"/>
          <w:lang w:val="fr-FR"/>
        </w:rPr>
      </w:pPr>
    </w:p>
    <w:p w14:paraId="12566612"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lang w:val="fr-FR"/>
        </w:rPr>
        <w:t xml:space="preserve">Omran J, Enezate T, Abdullah O, et al. </w:t>
      </w:r>
      <w:r w:rsidRPr="00D96788">
        <w:rPr>
          <w:rFonts w:ascii="Arial" w:hAnsi="Arial" w:cs="Arial"/>
          <w:sz w:val="24"/>
          <w:szCs w:val="24"/>
        </w:rPr>
        <w:t>(2019). Outcomes of fractional flow reserve</w:t>
      </w:r>
      <w:r w:rsidRPr="00D96788">
        <w:rPr>
          <w:rFonts w:ascii="Cambria Math" w:hAnsi="Cambria Math" w:cs="Cambria Math"/>
          <w:sz w:val="24"/>
          <w:szCs w:val="24"/>
        </w:rPr>
        <w:t>‐</w:t>
      </w:r>
      <w:r w:rsidRPr="00D96788">
        <w:rPr>
          <w:rFonts w:ascii="Arial" w:hAnsi="Arial" w:cs="Arial"/>
          <w:sz w:val="24"/>
          <w:szCs w:val="24"/>
        </w:rPr>
        <w:t>guided percutaneous coronary interventions in patients with acute coronary syndrome. </w:t>
      </w:r>
      <w:r w:rsidRPr="00D96788">
        <w:rPr>
          <w:rFonts w:ascii="Arial" w:hAnsi="Arial" w:cs="Arial"/>
          <w:sz w:val="24"/>
          <w:szCs w:val="24"/>
          <w:bdr w:val="single" w:sz="2" w:space="0" w:color="ECEDEE" w:frame="1"/>
        </w:rPr>
        <w:t>Catheter Cardiovasc Interven</w:t>
      </w:r>
      <w:r w:rsidRPr="00D96788">
        <w:rPr>
          <w:rFonts w:ascii="Arial" w:hAnsi="Arial" w:cs="Arial"/>
          <w:sz w:val="24"/>
          <w:szCs w:val="24"/>
        </w:rPr>
        <w:t>, </w:t>
      </w:r>
      <w:r w:rsidRPr="00D96788">
        <w:rPr>
          <w:rFonts w:ascii="Arial" w:hAnsi="Arial" w:cs="Arial"/>
          <w:sz w:val="24"/>
          <w:szCs w:val="24"/>
          <w:bdr w:val="single" w:sz="2" w:space="0" w:color="ECEDEE" w:frame="1"/>
        </w:rPr>
        <w:t>96</w:t>
      </w:r>
      <w:r w:rsidRPr="00D96788">
        <w:rPr>
          <w:rFonts w:ascii="Arial" w:hAnsi="Arial" w:cs="Arial"/>
          <w:sz w:val="24"/>
          <w:szCs w:val="24"/>
        </w:rPr>
        <w:t>(2), 149-154.</w:t>
      </w:r>
    </w:p>
    <w:p w14:paraId="17967EBB" w14:textId="77777777" w:rsidR="004942B6" w:rsidRPr="00D96788" w:rsidRDefault="004942B6" w:rsidP="004942B6">
      <w:pPr>
        <w:pStyle w:val="ListParagraph"/>
        <w:rPr>
          <w:rFonts w:ascii="Arial" w:hAnsi="Arial" w:cs="Arial"/>
          <w:sz w:val="24"/>
          <w:szCs w:val="24"/>
        </w:rPr>
      </w:pPr>
    </w:p>
    <w:p w14:paraId="03889CA3"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rPr>
        <w:t>Lee JM, Choi GH, Koo BK, et al. (2017). Prognosis of deferred non-culprit lesions according to fractional flow reserve in patients with acute coronary syndrome. </w:t>
      </w:r>
      <w:r w:rsidRPr="00D96788">
        <w:rPr>
          <w:rFonts w:ascii="Arial" w:hAnsi="Arial" w:cs="Arial"/>
          <w:sz w:val="24"/>
          <w:szCs w:val="24"/>
          <w:bdr w:val="single" w:sz="2" w:space="0" w:color="ECEDEE" w:frame="1"/>
        </w:rPr>
        <w:t>Eurointervention</w:t>
      </w:r>
      <w:r w:rsidRPr="00D96788">
        <w:rPr>
          <w:rFonts w:ascii="Arial" w:hAnsi="Arial" w:cs="Arial"/>
          <w:sz w:val="24"/>
          <w:szCs w:val="24"/>
        </w:rPr>
        <w:t>, </w:t>
      </w:r>
      <w:r w:rsidRPr="00D96788">
        <w:rPr>
          <w:rFonts w:ascii="Arial" w:hAnsi="Arial" w:cs="Arial"/>
          <w:sz w:val="24"/>
          <w:szCs w:val="24"/>
          <w:bdr w:val="single" w:sz="2" w:space="0" w:color="ECEDEE" w:frame="1"/>
        </w:rPr>
        <w:t>13</w:t>
      </w:r>
      <w:r w:rsidRPr="00D96788">
        <w:rPr>
          <w:rFonts w:ascii="Arial" w:hAnsi="Arial" w:cs="Arial"/>
          <w:sz w:val="24"/>
          <w:szCs w:val="24"/>
        </w:rPr>
        <w:t>(9), e1112–e1119.</w:t>
      </w:r>
    </w:p>
    <w:p w14:paraId="2AEDBE62" w14:textId="77777777" w:rsidR="004942B6" w:rsidRPr="00D96788" w:rsidRDefault="004942B6" w:rsidP="004942B6">
      <w:pPr>
        <w:pStyle w:val="ListParagraph"/>
        <w:rPr>
          <w:rFonts w:ascii="Arial" w:hAnsi="Arial" w:cs="Arial"/>
          <w:sz w:val="24"/>
          <w:szCs w:val="24"/>
        </w:rPr>
      </w:pPr>
    </w:p>
    <w:p w14:paraId="7DAD6CAC"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rPr>
        <w:t>Briasoulis Α, Palla M, Mostafa A, Afonso L, Grines CL. (2015). Fractional flow-guided management in patients with acute coronary syndromes: A systematic review and meta-analysis. </w:t>
      </w:r>
      <w:r w:rsidRPr="00D96788">
        <w:rPr>
          <w:rFonts w:ascii="Arial" w:hAnsi="Arial" w:cs="Arial"/>
          <w:sz w:val="24"/>
          <w:szCs w:val="24"/>
          <w:bdr w:val="single" w:sz="2" w:space="0" w:color="ECEDEE" w:frame="1"/>
        </w:rPr>
        <w:t>Int J Cardiol</w:t>
      </w:r>
      <w:r w:rsidRPr="00D96788">
        <w:rPr>
          <w:rFonts w:ascii="Arial" w:hAnsi="Arial" w:cs="Arial"/>
          <w:sz w:val="24"/>
          <w:szCs w:val="24"/>
        </w:rPr>
        <w:t>, </w:t>
      </w:r>
      <w:r w:rsidRPr="00D96788">
        <w:rPr>
          <w:rFonts w:ascii="Arial" w:hAnsi="Arial" w:cs="Arial"/>
          <w:sz w:val="24"/>
          <w:szCs w:val="24"/>
          <w:bdr w:val="single" w:sz="2" w:space="0" w:color="ECEDEE" w:frame="1"/>
        </w:rPr>
        <w:t>187</w:t>
      </w:r>
      <w:r w:rsidRPr="00D96788">
        <w:rPr>
          <w:rFonts w:ascii="Arial" w:hAnsi="Arial" w:cs="Arial"/>
          <w:sz w:val="24"/>
          <w:szCs w:val="24"/>
        </w:rPr>
        <w:t>, 334–337.</w:t>
      </w:r>
    </w:p>
    <w:p w14:paraId="012EEFBC" w14:textId="77777777" w:rsidR="004942B6" w:rsidRPr="00D96788" w:rsidRDefault="004942B6" w:rsidP="004942B6">
      <w:pPr>
        <w:pStyle w:val="ListParagraph"/>
        <w:rPr>
          <w:rFonts w:ascii="Arial" w:hAnsi="Arial" w:cs="Arial"/>
          <w:sz w:val="24"/>
          <w:szCs w:val="24"/>
          <w:shd w:val="clear" w:color="auto" w:fill="FFFFFF"/>
        </w:rPr>
      </w:pPr>
    </w:p>
    <w:p w14:paraId="00AFAC7C" w14:textId="77777777" w:rsidR="004942B6" w:rsidRPr="00D96788"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shd w:val="clear" w:color="auto" w:fill="FFFFFF"/>
        </w:rPr>
        <w:t>Martins JL, Afreixo V, Santos J, Gonçalves L. Fractional Flow Reserve-Guided Strategy in Acute Coronary Syndrome. A Systematic Review and Meta-Analysis. Arq Bras Cardiol. 2018 Oct;111(4):542-550.</w:t>
      </w:r>
    </w:p>
    <w:p w14:paraId="6E78B277" w14:textId="77777777" w:rsidR="004942B6" w:rsidRPr="009918A2" w:rsidRDefault="004942B6" w:rsidP="004942B6">
      <w:pPr>
        <w:pStyle w:val="ListParagraph"/>
        <w:rPr>
          <w:rFonts w:ascii="Arial" w:hAnsi="Arial" w:cs="Arial"/>
          <w:sz w:val="24"/>
          <w:szCs w:val="24"/>
        </w:rPr>
      </w:pPr>
    </w:p>
    <w:p w14:paraId="2763650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lang w:val="nl-NL"/>
        </w:rPr>
        <w:lastRenderedPageBreak/>
        <w:t xml:space="preserve">Van De Hoef TP, Siebes M, Spaan, JE, et al. </w:t>
      </w:r>
      <w:r w:rsidRPr="00D96788">
        <w:rPr>
          <w:rFonts w:ascii="Arial" w:hAnsi="Arial" w:cs="Arial"/>
          <w:sz w:val="24"/>
          <w:szCs w:val="24"/>
        </w:rPr>
        <w:t>(2015). Fundamentals in clinical coronary physiology: why coronary flow is more important than coronary pressure. </w:t>
      </w:r>
      <w:r w:rsidRPr="00D96788">
        <w:rPr>
          <w:rFonts w:ascii="Arial" w:hAnsi="Arial" w:cs="Arial"/>
          <w:sz w:val="24"/>
          <w:szCs w:val="24"/>
          <w:bdr w:val="single" w:sz="2" w:space="0" w:color="ECEDEE" w:frame="1"/>
        </w:rPr>
        <w:t>Eur Heart J</w:t>
      </w:r>
      <w:r w:rsidRPr="00D96788">
        <w:rPr>
          <w:rFonts w:ascii="Arial" w:hAnsi="Arial" w:cs="Arial"/>
          <w:sz w:val="24"/>
          <w:szCs w:val="24"/>
        </w:rPr>
        <w:t>, </w:t>
      </w:r>
      <w:r w:rsidRPr="00D96788">
        <w:rPr>
          <w:rFonts w:ascii="Arial" w:hAnsi="Arial" w:cs="Arial"/>
          <w:sz w:val="24"/>
          <w:szCs w:val="24"/>
          <w:bdr w:val="single" w:sz="2" w:space="0" w:color="ECEDEE" w:frame="1"/>
        </w:rPr>
        <w:t>36</w:t>
      </w:r>
      <w:r w:rsidRPr="00D96788">
        <w:rPr>
          <w:rFonts w:ascii="Arial" w:hAnsi="Arial" w:cs="Arial"/>
          <w:sz w:val="24"/>
          <w:szCs w:val="24"/>
        </w:rPr>
        <w:t>(47), 3312–3319.</w:t>
      </w:r>
    </w:p>
    <w:p w14:paraId="2B273D9F" w14:textId="77777777" w:rsidR="004942B6" w:rsidRPr="00D96788" w:rsidRDefault="004942B6" w:rsidP="004942B6">
      <w:pPr>
        <w:pStyle w:val="ListParagraph"/>
        <w:rPr>
          <w:rFonts w:ascii="Arial" w:hAnsi="Arial" w:cs="Arial"/>
          <w:sz w:val="24"/>
          <w:szCs w:val="24"/>
          <w:shd w:val="clear" w:color="auto" w:fill="FFFFFF"/>
        </w:rPr>
      </w:pPr>
    </w:p>
    <w:p w14:paraId="1B73B735" w14:textId="77777777" w:rsidR="004942B6" w:rsidRPr="00D96788"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shd w:val="clear" w:color="auto" w:fill="FFFFFF"/>
        </w:rPr>
        <w:t>Matsumoto H, Nakatsuma K, Shimada T, et al. Effect of caffeine on intravenous adenosine-induced hyperaemia in fractional flow reserve measurement. J Invasive Cardiol. 2014 Nov;26(11): 580-5.</w:t>
      </w:r>
    </w:p>
    <w:p w14:paraId="414839CE" w14:textId="77777777" w:rsidR="004942B6" w:rsidRPr="00D96788" w:rsidRDefault="004942B6" w:rsidP="004942B6">
      <w:pPr>
        <w:pStyle w:val="ListParagraph"/>
        <w:rPr>
          <w:rFonts w:ascii="Arial" w:hAnsi="Arial" w:cs="Arial"/>
          <w:sz w:val="24"/>
          <w:szCs w:val="24"/>
          <w:shd w:val="clear" w:color="auto" w:fill="FFFFFF"/>
        </w:rPr>
      </w:pPr>
    </w:p>
    <w:p w14:paraId="0ADE6D9B" w14:textId="77777777" w:rsidR="004942B6" w:rsidRPr="00D96788"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shd w:val="clear" w:color="auto" w:fill="FFFFFF"/>
        </w:rPr>
        <w:t>Kumar G. Letter to the editor: The influence of right atrial pressure on fractional flow reserve. The Journal of Invasive Cardiology. 2012 Oct;24(10): A43-4.</w:t>
      </w:r>
    </w:p>
    <w:p w14:paraId="121F77A7" w14:textId="77777777" w:rsidR="004942B6" w:rsidRPr="00D96788" w:rsidRDefault="004942B6" w:rsidP="004942B6">
      <w:pPr>
        <w:pStyle w:val="ListParagraph"/>
        <w:rPr>
          <w:rFonts w:ascii="Arial" w:hAnsi="Arial" w:cs="Arial"/>
          <w:sz w:val="24"/>
          <w:szCs w:val="24"/>
        </w:rPr>
      </w:pPr>
    </w:p>
    <w:p w14:paraId="5C3DF8D0"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6788">
        <w:rPr>
          <w:rFonts w:ascii="Arial" w:hAnsi="Arial" w:cs="Arial"/>
          <w:sz w:val="24"/>
          <w:szCs w:val="24"/>
        </w:rPr>
        <w:t>Layland J, Wilson A, Whitbourn R, et al. (2013). Impact of right atrial pressure on decision-making using fractional flow reserve (FFR) in elective percutaneous intervention. </w:t>
      </w:r>
      <w:r w:rsidRPr="00D96788">
        <w:rPr>
          <w:rFonts w:ascii="Arial" w:hAnsi="Arial" w:cs="Arial"/>
          <w:sz w:val="24"/>
          <w:szCs w:val="24"/>
          <w:bdr w:val="single" w:sz="2" w:space="0" w:color="ECEDEE" w:frame="1"/>
        </w:rPr>
        <w:t>International Journal of Cardiology</w:t>
      </w:r>
      <w:r w:rsidRPr="00D96788">
        <w:rPr>
          <w:rFonts w:ascii="Arial" w:hAnsi="Arial" w:cs="Arial"/>
          <w:sz w:val="24"/>
          <w:szCs w:val="24"/>
        </w:rPr>
        <w:t>, </w:t>
      </w:r>
      <w:r w:rsidRPr="00D96788">
        <w:rPr>
          <w:rFonts w:ascii="Arial" w:hAnsi="Arial" w:cs="Arial"/>
          <w:sz w:val="24"/>
          <w:szCs w:val="24"/>
          <w:bdr w:val="single" w:sz="2" w:space="0" w:color="ECEDEE" w:frame="1"/>
        </w:rPr>
        <w:t>167</w:t>
      </w:r>
      <w:r w:rsidRPr="00D96788">
        <w:rPr>
          <w:rFonts w:ascii="Arial" w:hAnsi="Arial" w:cs="Arial"/>
          <w:sz w:val="24"/>
          <w:szCs w:val="24"/>
        </w:rPr>
        <w:t>(3), 951–953.</w:t>
      </w:r>
    </w:p>
    <w:p w14:paraId="507F37C7" w14:textId="77777777" w:rsidR="004942B6" w:rsidRPr="00A3106C" w:rsidRDefault="004942B6" w:rsidP="004942B6">
      <w:pPr>
        <w:pStyle w:val="ListParagraph"/>
        <w:rPr>
          <w:rFonts w:ascii="Arial" w:hAnsi="Arial" w:cs="Arial"/>
          <w:sz w:val="24"/>
          <w:szCs w:val="24"/>
          <w:lang w:val="it-IT"/>
        </w:rPr>
      </w:pPr>
    </w:p>
    <w:p w14:paraId="3B8B9C91"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3106C">
        <w:rPr>
          <w:rFonts w:ascii="Arial" w:hAnsi="Arial" w:cs="Arial"/>
          <w:sz w:val="24"/>
          <w:szCs w:val="24"/>
          <w:lang w:val="it-IT"/>
        </w:rPr>
        <w:t xml:space="preserve">Müller O, Mangiacapra F, Ntalianis A, et al. </w:t>
      </w:r>
      <w:r w:rsidRPr="00A3106C">
        <w:rPr>
          <w:rFonts w:ascii="Arial" w:hAnsi="Arial" w:cs="Arial"/>
          <w:sz w:val="24"/>
          <w:szCs w:val="24"/>
        </w:rPr>
        <w:t>(2011). Long-Term Follow-Up after fractional flow Reserve–Guided treatment strategy in patients with an isolated proximal left anterior descending coronary artery stenosis. </w:t>
      </w:r>
      <w:r w:rsidRPr="00A3106C">
        <w:rPr>
          <w:rFonts w:ascii="Arial" w:hAnsi="Arial" w:cs="Arial"/>
          <w:sz w:val="24"/>
          <w:szCs w:val="24"/>
          <w:bdr w:val="single" w:sz="2" w:space="0" w:color="ECEDEE" w:frame="1"/>
        </w:rPr>
        <w:t>JACC Cardiovasc Interven</w:t>
      </w:r>
      <w:r w:rsidRPr="00A3106C">
        <w:rPr>
          <w:rFonts w:ascii="Arial" w:hAnsi="Arial" w:cs="Arial"/>
          <w:sz w:val="24"/>
          <w:szCs w:val="24"/>
        </w:rPr>
        <w:t>, </w:t>
      </w:r>
      <w:r w:rsidRPr="00A3106C">
        <w:rPr>
          <w:rFonts w:ascii="Arial" w:hAnsi="Arial" w:cs="Arial"/>
          <w:sz w:val="24"/>
          <w:szCs w:val="24"/>
          <w:bdr w:val="single" w:sz="2" w:space="0" w:color="ECEDEE" w:frame="1"/>
        </w:rPr>
        <w:t>4</w:t>
      </w:r>
      <w:r w:rsidRPr="00A3106C">
        <w:rPr>
          <w:rFonts w:ascii="Arial" w:hAnsi="Arial" w:cs="Arial"/>
          <w:sz w:val="24"/>
          <w:szCs w:val="24"/>
        </w:rPr>
        <w:t>(11), 1175–1182.</w:t>
      </w:r>
    </w:p>
    <w:p w14:paraId="76024741" w14:textId="77777777" w:rsidR="004942B6" w:rsidRPr="00A3106C" w:rsidRDefault="004942B6" w:rsidP="004942B6">
      <w:pPr>
        <w:pStyle w:val="ListParagraph"/>
        <w:rPr>
          <w:rFonts w:ascii="Arial" w:hAnsi="Arial" w:cs="Arial"/>
          <w:sz w:val="24"/>
          <w:szCs w:val="24"/>
        </w:rPr>
      </w:pPr>
    </w:p>
    <w:p w14:paraId="50748DFC"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3106C">
        <w:rPr>
          <w:rFonts w:ascii="Arial" w:hAnsi="Arial" w:cs="Arial"/>
          <w:sz w:val="24"/>
          <w:szCs w:val="24"/>
        </w:rPr>
        <w:t>Jeremias A, Kirtane AJ, Stone GW. (2017). A test in context. </w:t>
      </w:r>
      <w:r w:rsidRPr="00A3106C">
        <w:rPr>
          <w:rFonts w:ascii="Arial" w:hAnsi="Arial" w:cs="Arial"/>
          <w:sz w:val="24"/>
          <w:szCs w:val="24"/>
          <w:bdr w:val="single" w:sz="2" w:space="0" w:color="ECEDEE" w:frame="1"/>
        </w:rPr>
        <w:t>J Am Coll Cardio</w:t>
      </w:r>
      <w:r w:rsidRPr="00A3106C">
        <w:rPr>
          <w:rFonts w:ascii="Arial" w:hAnsi="Arial" w:cs="Arial"/>
          <w:sz w:val="24"/>
          <w:szCs w:val="24"/>
        </w:rPr>
        <w:t>, </w:t>
      </w:r>
      <w:r w:rsidRPr="00A3106C">
        <w:rPr>
          <w:rFonts w:ascii="Arial" w:hAnsi="Arial" w:cs="Arial"/>
          <w:sz w:val="24"/>
          <w:szCs w:val="24"/>
          <w:bdr w:val="single" w:sz="2" w:space="0" w:color="ECEDEE" w:frame="1"/>
        </w:rPr>
        <w:t>69</w:t>
      </w:r>
      <w:r w:rsidRPr="00A3106C">
        <w:rPr>
          <w:rFonts w:ascii="Arial" w:hAnsi="Arial" w:cs="Arial"/>
          <w:sz w:val="24"/>
          <w:szCs w:val="24"/>
        </w:rPr>
        <w:t>(22), 2748–2758.</w:t>
      </w:r>
    </w:p>
    <w:p w14:paraId="2277E2AD" w14:textId="77777777" w:rsidR="004942B6" w:rsidRPr="00A3106C" w:rsidRDefault="004942B6" w:rsidP="004942B6">
      <w:pPr>
        <w:pStyle w:val="ListParagraph"/>
        <w:rPr>
          <w:rFonts w:ascii="Arial" w:hAnsi="Arial" w:cs="Arial"/>
          <w:sz w:val="24"/>
          <w:szCs w:val="24"/>
        </w:rPr>
      </w:pPr>
    </w:p>
    <w:p w14:paraId="6C3FD06D"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3106C">
        <w:rPr>
          <w:rFonts w:ascii="Arial" w:hAnsi="Arial" w:cs="Arial"/>
          <w:sz w:val="24"/>
          <w:szCs w:val="24"/>
        </w:rPr>
        <w:t>Petraco R, Sen S, Nijjer S, et al. (2013). Fractional flow Reserve–Guided revascularization. </w:t>
      </w:r>
      <w:r w:rsidRPr="00A3106C">
        <w:rPr>
          <w:rFonts w:ascii="Arial" w:hAnsi="Arial" w:cs="Arial"/>
          <w:sz w:val="24"/>
          <w:szCs w:val="24"/>
          <w:bdr w:val="single" w:sz="2" w:space="0" w:color="ECEDEE" w:frame="1"/>
        </w:rPr>
        <w:t>JACC Cardiovasc Interven</w:t>
      </w:r>
      <w:r w:rsidRPr="00A3106C">
        <w:rPr>
          <w:rFonts w:ascii="Arial" w:hAnsi="Arial" w:cs="Arial"/>
          <w:sz w:val="24"/>
          <w:szCs w:val="24"/>
        </w:rPr>
        <w:t>, </w:t>
      </w:r>
      <w:r w:rsidRPr="00A3106C">
        <w:rPr>
          <w:rFonts w:ascii="Arial" w:hAnsi="Arial" w:cs="Arial"/>
          <w:sz w:val="24"/>
          <w:szCs w:val="24"/>
          <w:bdr w:val="single" w:sz="2" w:space="0" w:color="ECEDEE" w:frame="1"/>
        </w:rPr>
        <w:t>6</w:t>
      </w:r>
      <w:r w:rsidRPr="00A3106C">
        <w:rPr>
          <w:rFonts w:ascii="Arial" w:hAnsi="Arial" w:cs="Arial"/>
          <w:sz w:val="24"/>
          <w:szCs w:val="24"/>
        </w:rPr>
        <w:t>(3), 222–225. </w:t>
      </w:r>
    </w:p>
    <w:p w14:paraId="672BCDAC" w14:textId="77777777" w:rsidR="004942B6" w:rsidRPr="00A3106C" w:rsidRDefault="004942B6" w:rsidP="004942B6">
      <w:pPr>
        <w:pStyle w:val="ListParagraph"/>
        <w:rPr>
          <w:rFonts w:ascii="Arial" w:hAnsi="Arial" w:cs="Arial"/>
          <w:sz w:val="24"/>
          <w:szCs w:val="24"/>
        </w:rPr>
      </w:pPr>
    </w:p>
    <w:p w14:paraId="167E24DD"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3106C">
        <w:rPr>
          <w:rFonts w:ascii="Arial" w:hAnsi="Arial" w:cs="Arial"/>
          <w:sz w:val="24"/>
          <w:szCs w:val="24"/>
        </w:rPr>
        <w:t>Nijjer S, Sen S, Petraco R, et al. (2015). The Instantaneous wave-Free Ratio (iFR) pullback: a novel innovation using baseline physiology to optimise coronary angioplasty in tandem lesions. </w:t>
      </w:r>
      <w:r w:rsidRPr="00A3106C">
        <w:rPr>
          <w:rFonts w:ascii="Arial" w:hAnsi="Arial" w:cs="Arial"/>
          <w:sz w:val="24"/>
          <w:szCs w:val="24"/>
          <w:bdr w:val="single" w:sz="2" w:space="0" w:color="ECEDEE" w:frame="1"/>
        </w:rPr>
        <w:t>Cardiovasc Revasc Med</w:t>
      </w:r>
      <w:r w:rsidRPr="00A3106C">
        <w:rPr>
          <w:rFonts w:ascii="Arial" w:hAnsi="Arial" w:cs="Arial"/>
          <w:sz w:val="24"/>
          <w:szCs w:val="24"/>
        </w:rPr>
        <w:t>, </w:t>
      </w:r>
      <w:r w:rsidRPr="00A3106C">
        <w:rPr>
          <w:rFonts w:ascii="Arial" w:hAnsi="Arial" w:cs="Arial"/>
          <w:sz w:val="24"/>
          <w:szCs w:val="24"/>
          <w:bdr w:val="single" w:sz="2" w:space="0" w:color="ECEDEE" w:frame="1"/>
        </w:rPr>
        <w:t>16</w:t>
      </w:r>
      <w:r w:rsidRPr="00A3106C">
        <w:rPr>
          <w:rFonts w:ascii="Arial" w:hAnsi="Arial" w:cs="Arial"/>
          <w:sz w:val="24"/>
          <w:szCs w:val="24"/>
        </w:rPr>
        <w:t>(3), 167–171.</w:t>
      </w:r>
    </w:p>
    <w:p w14:paraId="005902EA" w14:textId="77777777" w:rsidR="004942B6" w:rsidRPr="00A3106C" w:rsidRDefault="004942B6" w:rsidP="004942B6">
      <w:pPr>
        <w:pStyle w:val="ListParagraph"/>
        <w:rPr>
          <w:rFonts w:ascii="Arial" w:hAnsi="Arial" w:cs="Arial"/>
          <w:sz w:val="24"/>
          <w:szCs w:val="24"/>
        </w:rPr>
      </w:pPr>
    </w:p>
    <w:p w14:paraId="71D16934"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3106C">
        <w:rPr>
          <w:rFonts w:ascii="Arial" w:hAnsi="Arial" w:cs="Arial"/>
          <w:sz w:val="24"/>
          <w:szCs w:val="24"/>
        </w:rPr>
        <w:t>Götberg M, Christiansen EH, Guðmundsdóttir I, et al. (2017). Instantaneous Wave-free Ratio versus Fractional Flow Reserve to Guide PCI. </w:t>
      </w:r>
      <w:r w:rsidRPr="00A3106C">
        <w:rPr>
          <w:rFonts w:ascii="Arial" w:hAnsi="Arial" w:cs="Arial"/>
          <w:sz w:val="24"/>
          <w:szCs w:val="24"/>
          <w:bdr w:val="single" w:sz="2" w:space="0" w:color="ECEDEE" w:frame="1"/>
        </w:rPr>
        <w:t>N Engl J Med</w:t>
      </w:r>
      <w:r w:rsidRPr="00A3106C">
        <w:rPr>
          <w:rFonts w:ascii="Arial" w:hAnsi="Arial" w:cs="Arial"/>
          <w:sz w:val="24"/>
          <w:szCs w:val="24"/>
        </w:rPr>
        <w:t>, </w:t>
      </w:r>
      <w:r w:rsidRPr="00A3106C">
        <w:rPr>
          <w:rFonts w:ascii="Arial" w:hAnsi="Arial" w:cs="Arial"/>
          <w:sz w:val="24"/>
          <w:szCs w:val="24"/>
          <w:bdr w:val="single" w:sz="2" w:space="0" w:color="ECEDEE" w:frame="1"/>
        </w:rPr>
        <w:t>376</w:t>
      </w:r>
      <w:r w:rsidRPr="00A3106C">
        <w:rPr>
          <w:rFonts w:ascii="Arial" w:hAnsi="Arial" w:cs="Arial"/>
          <w:sz w:val="24"/>
          <w:szCs w:val="24"/>
        </w:rPr>
        <w:t>(19), 1813–1823. </w:t>
      </w:r>
    </w:p>
    <w:p w14:paraId="09BDD174" w14:textId="77777777" w:rsidR="004942B6" w:rsidRPr="00A3106C" w:rsidRDefault="004942B6" w:rsidP="004942B6">
      <w:pPr>
        <w:pStyle w:val="ListParagraph"/>
        <w:rPr>
          <w:rFonts w:ascii="Arial" w:hAnsi="Arial" w:cs="Arial"/>
          <w:sz w:val="24"/>
          <w:szCs w:val="24"/>
          <w:lang w:val="es-ES_tradnl"/>
        </w:rPr>
      </w:pPr>
    </w:p>
    <w:p w14:paraId="5218FDAC"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3106C">
        <w:rPr>
          <w:rFonts w:ascii="Arial" w:hAnsi="Arial" w:cs="Arial"/>
          <w:sz w:val="24"/>
          <w:szCs w:val="24"/>
          <w:lang w:val="es-ES_tradnl"/>
        </w:rPr>
        <w:t>Escaned J, Ryan N, Mejía</w:t>
      </w:r>
      <w:r w:rsidRPr="00A3106C">
        <w:rPr>
          <w:rFonts w:ascii="Cambria Math" w:hAnsi="Cambria Math" w:cs="Cambria Math"/>
          <w:sz w:val="24"/>
          <w:szCs w:val="24"/>
          <w:lang w:val="es-ES_tradnl"/>
        </w:rPr>
        <w:t>‐</w:t>
      </w:r>
      <w:r w:rsidRPr="00A3106C">
        <w:rPr>
          <w:rFonts w:ascii="Arial" w:hAnsi="Arial" w:cs="Arial"/>
          <w:sz w:val="24"/>
          <w:szCs w:val="24"/>
          <w:lang w:val="es-ES_tradnl"/>
        </w:rPr>
        <w:t xml:space="preserve">Rentería H, et al. </w:t>
      </w:r>
      <w:r w:rsidRPr="00A3106C">
        <w:rPr>
          <w:rFonts w:ascii="Arial" w:hAnsi="Arial" w:cs="Arial"/>
          <w:sz w:val="24"/>
          <w:szCs w:val="24"/>
        </w:rPr>
        <w:t>(2018). Safety of the deferral of coronary revascularization on the basis of instantaneous Wave-Free ratio and fractional flow reserve measurements in stable coronary artery disease and acute coronary syndromes. </w:t>
      </w:r>
      <w:r w:rsidRPr="00A3106C">
        <w:rPr>
          <w:rFonts w:ascii="Arial" w:hAnsi="Arial" w:cs="Arial"/>
          <w:sz w:val="24"/>
          <w:szCs w:val="24"/>
          <w:bdr w:val="single" w:sz="2" w:space="0" w:color="ECEDEE" w:frame="1"/>
        </w:rPr>
        <w:t>JACC Cardiovasc Interven</w:t>
      </w:r>
      <w:r w:rsidRPr="00A3106C">
        <w:rPr>
          <w:rFonts w:ascii="Arial" w:hAnsi="Arial" w:cs="Arial"/>
          <w:sz w:val="24"/>
          <w:szCs w:val="24"/>
        </w:rPr>
        <w:t>, </w:t>
      </w:r>
      <w:r w:rsidRPr="00A3106C">
        <w:rPr>
          <w:rFonts w:ascii="Arial" w:hAnsi="Arial" w:cs="Arial"/>
          <w:sz w:val="24"/>
          <w:szCs w:val="24"/>
          <w:bdr w:val="single" w:sz="2" w:space="0" w:color="ECEDEE" w:frame="1"/>
        </w:rPr>
        <w:t>11</w:t>
      </w:r>
      <w:r w:rsidRPr="00A3106C">
        <w:rPr>
          <w:rFonts w:ascii="Arial" w:hAnsi="Arial" w:cs="Arial"/>
          <w:sz w:val="24"/>
          <w:szCs w:val="24"/>
        </w:rPr>
        <w:t>(15), 1437–1449.</w:t>
      </w:r>
    </w:p>
    <w:p w14:paraId="23C8819C" w14:textId="77777777" w:rsidR="004942B6" w:rsidRPr="00A3106C" w:rsidRDefault="004942B6" w:rsidP="004942B6">
      <w:pPr>
        <w:pStyle w:val="ListParagraph"/>
        <w:rPr>
          <w:rFonts w:ascii="Arial" w:hAnsi="Arial" w:cs="Arial"/>
          <w:sz w:val="24"/>
          <w:szCs w:val="24"/>
        </w:rPr>
      </w:pPr>
    </w:p>
    <w:p w14:paraId="5E20F42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3106C">
        <w:rPr>
          <w:rFonts w:ascii="Arial" w:hAnsi="Arial" w:cs="Arial"/>
          <w:sz w:val="24"/>
          <w:szCs w:val="24"/>
        </w:rPr>
        <w:t>Okutucu S, Çilingiroğlu M, Feldman MD. (2021). Physiologic Assessment of Coronary Stenosis: Current status and future directions. </w:t>
      </w:r>
      <w:r w:rsidRPr="00A3106C">
        <w:rPr>
          <w:rFonts w:ascii="Arial" w:hAnsi="Arial" w:cs="Arial"/>
          <w:sz w:val="24"/>
          <w:szCs w:val="24"/>
          <w:bdr w:val="single" w:sz="2" w:space="0" w:color="ECEDEE" w:frame="1"/>
        </w:rPr>
        <w:t>Curr Cardiol Rep</w:t>
      </w:r>
      <w:r w:rsidRPr="00A3106C">
        <w:rPr>
          <w:rFonts w:ascii="Arial" w:hAnsi="Arial" w:cs="Arial"/>
          <w:sz w:val="24"/>
          <w:szCs w:val="24"/>
        </w:rPr>
        <w:t>, </w:t>
      </w:r>
      <w:r w:rsidRPr="00A3106C">
        <w:rPr>
          <w:rFonts w:ascii="Arial" w:hAnsi="Arial" w:cs="Arial"/>
          <w:sz w:val="24"/>
          <w:szCs w:val="24"/>
          <w:bdr w:val="single" w:sz="2" w:space="0" w:color="ECEDEE" w:frame="1"/>
        </w:rPr>
        <w:t>23</w:t>
      </w:r>
      <w:r w:rsidRPr="00A3106C">
        <w:rPr>
          <w:rFonts w:ascii="Arial" w:hAnsi="Arial" w:cs="Arial"/>
          <w:sz w:val="24"/>
          <w:szCs w:val="24"/>
        </w:rPr>
        <w:t>(7), 88-90.</w:t>
      </w:r>
    </w:p>
    <w:p w14:paraId="31430B4E" w14:textId="77777777" w:rsidR="004942B6" w:rsidRPr="00A3106C" w:rsidRDefault="004942B6" w:rsidP="004942B6">
      <w:pPr>
        <w:pStyle w:val="ListParagraph"/>
        <w:rPr>
          <w:rFonts w:ascii="Arial" w:hAnsi="Arial" w:cs="Arial"/>
          <w:sz w:val="24"/>
          <w:szCs w:val="24"/>
          <w:lang w:val="it-IT"/>
        </w:rPr>
      </w:pPr>
    </w:p>
    <w:p w14:paraId="74157D5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A3106C">
        <w:rPr>
          <w:rFonts w:ascii="Arial" w:hAnsi="Arial" w:cs="Arial"/>
          <w:sz w:val="24"/>
          <w:szCs w:val="24"/>
          <w:lang w:val="it-IT"/>
        </w:rPr>
        <w:t xml:space="preserve">Candreva A, De Nisco G, Rizzini ML, et al. </w:t>
      </w:r>
      <w:r w:rsidRPr="00A3106C">
        <w:rPr>
          <w:rFonts w:ascii="Arial" w:hAnsi="Arial" w:cs="Arial"/>
          <w:sz w:val="24"/>
          <w:szCs w:val="24"/>
        </w:rPr>
        <w:t>(2022). Current and future applications of computational fluid dynamics in coronary artery Disease. </w:t>
      </w:r>
      <w:r w:rsidRPr="00A3106C">
        <w:rPr>
          <w:rFonts w:ascii="Arial" w:hAnsi="Arial" w:cs="Arial"/>
          <w:sz w:val="24"/>
          <w:szCs w:val="24"/>
          <w:bdr w:val="single" w:sz="2" w:space="0" w:color="ECEDEE" w:frame="1"/>
        </w:rPr>
        <w:t>Rev Cardiovasc Med</w:t>
      </w:r>
      <w:r w:rsidRPr="00A3106C">
        <w:rPr>
          <w:rFonts w:ascii="Arial" w:hAnsi="Arial" w:cs="Arial"/>
          <w:sz w:val="24"/>
          <w:szCs w:val="24"/>
        </w:rPr>
        <w:t>, </w:t>
      </w:r>
      <w:r w:rsidRPr="00A3106C">
        <w:rPr>
          <w:rFonts w:ascii="Arial" w:hAnsi="Arial" w:cs="Arial"/>
          <w:sz w:val="24"/>
          <w:szCs w:val="24"/>
          <w:bdr w:val="single" w:sz="2" w:space="0" w:color="ECEDEE" w:frame="1"/>
        </w:rPr>
        <w:t>23</w:t>
      </w:r>
      <w:r w:rsidRPr="00A3106C">
        <w:rPr>
          <w:rFonts w:ascii="Arial" w:hAnsi="Arial" w:cs="Arial"/>
          <w:sz w:val="24"/>
          <w:szCs w:val="24"/>
        </w:rPr>
        <w:t>(11), 377.</w:t>
      </w:r>
    </w:p>
    <w:p w14:paraId="77762973" w14:textId="77777777" w:rsidR="004942B6" w:rsidRPr="00620673" w:rsidRDefault="004942B6" w:rsidP="004942B6">
      <w:pPr>
        <w:pStyle w:val="ListParagraph"/>
        <w:rPr>
          <w:rFonts w:ascii="Arial" w:hAnsi="Arial" w:cs="Arial"/>
          <w:color w:val="212121"/>
          <w:sz w:val="24"/>
          <w:szCs w:val="24"/>
          <w:shd w:val="clear" w:color="auto" w:fill="FFFFFF"/>
        </w:rPr>
      </w:pPr>
    </w:p>
    <w:p w14:paraId="0B211F7C" w14:textId="77777777" w:rsidR="004942B6" w:rsidRPr="00620673"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620673">
        <w:rPr>
          <w:rFonts w:ascii="Arial" w:hAnsi="Arial" w:cs="Arial"/>
          <w:color w:val="212121"/>
          <w:sz w:val="24"/>
          <w:szCs w:val="24"/>
          <w:shd w:val="clear" w:color="auto" w:fill="FFFFFF"/>
        </w:rPr>
        <w:t>Reid L. (2021). An Introduction to Biomedical Computational Fluid Dynamics. Advances in experimental medicine and biology, 1334, 205–222.</w:t>
      </w:r>
    </w:p>
    <w:p w14:paraId="10C19185" w14:textId="77777777" w:rsidR="004942B6" w:rsidRPr="00620673" w:rsidRDefault="004942B6" w:rsidP="004942B6">
      <w:pPr>
        <w:pStyle w:val="ListParagraph"/>
        <w:rPr>
          <w:rFonts w:ascii="Arial" w:hAnsi="Arial" w:cs="Arial"/>
          <w:sz w:val="24"/>
          <w:szCs w:val="24"/>
          <w:lang w:val="nl-NL"/>
        </w:rPr>
      </w:pPr>
    </w:p>
    <w:p w14:paraId="6CF85B01"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620673">
        <w:rPr>
          <w:rFonts w:ascii="Arial" w:hAnsi="Arial" w:cs="Arial"/>
          <w:sz w:val="24"/>
          <w:szCs w:val="24"/>
          <w:lang w:val="nl-NL"/>
        </w:rPr>
        <w:t xml:space="preserve">Morris PD, Van De Vosse F, Lawford P. (2015). </w:t>
      </w:r>
      <w:r w:rsidRPr="00620673">
        <w:rPr>
          <w:rFonts w:ascii="Arial" w:hAnsi="Arial" w:cs="Arial"/>
          <w:sz w:val="24"/>
          <w:szCs w:val="24"/>
        </w:rPr>
        <w:t>“Virtual” (Computed) fractional flow reserve. </w:t>
      </w:r>
      <w:r w:rsidRPr="00620673">
        <w:rPr>
          <w:rFonts w:ascii="Arial" w:hAnsi="Arial" w:cs="Arial"/>
          <w:sz w:val="24"/>
          <w:szCs w:val="24"/>
          <w:bdr w:val="single" w:sz="2" w:space="0" w:color="ECEDEE" w:frame="1"/>
        </w:rPr>
        <w:t>JACC: Cardiovascular Interventions</w:t>
      </w:r>
      <w:r w:rsidRPr="00620673">
        <w:rPr>
          <w:rFonts w:ascii="Arial" w:hAnsi="Arial" w:cs="Arial"/>
          <w:sz w:val="24"/>
          <w:szCs w:val="24"/>
        </w:rPr>
        <w:t>, </w:t>
      </w:r>
      <w:r w:rsidRPr="00620673">
        <w:rPr>
          <w:rFonts w:ascii="Arial" w:hAnsi="Arial" w:cs="Arial"/>
          <w:sz w:val="24"/>
          <w:szCs w:val="24"/>
          <w:bdr w:val="single" w:sz="2" w:space="0" w:color="ECEDEE" w:frame="1"/>
        </w:rPr>
        <w:t>8</w:t>
      </w:r>
      <w:r w:rsidRPr="00620673">
        <w:rPr>
          <w:rFonts w:ascii="Arial" w:hAnsi="Arial" w:cs="Arial"/>
          <w:sz w:val="24"/>
          <w:szCs w:val="24"/>
        </w:rPr>
        <w:t>(8), 1009–1017. </w:t>
      </w:r>
    </w:p>
    <w:p w14:paraId="0EC81E57" w14:textId="77777777" w:rsidR="004942B6" w:rsidRPr="00620673" w:rsidRDefault="004942B6" w:rsidP="004942B6">
      <w:pPr>
        <w:pStyle w:val="ListParagraph"/>
        <w:rPr>
          <w:rFonts w:ascii="Arial" w:hAnsi="Arial" w:cs="Arial"/>
          <w:sz w:val="24"/>
          <w:szCs w:val="24"/>
        </w:rPr>
      </w:pPr>
    </w:p>
    <w:p w14:paraId="2E40B584"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620673">
        <w:rPr>
          <w:rFonts w:ascii="Arial" w:hAnsi="Arial" w:cs="Arial"/>
          <w:sz w:val="24"/>
          <w:szCs w:val="24"/>
        </w:rPr>
        <w:t>Morris PD, Narracott, A, Von Tengg-Kobligk H, et al. (2015). Computational fluid dynamics modelling in cardiovascular medicine. </w:t>
      </w:r>
      <w:r w:rsidRPr="00620673">
        <w:rPr>
          <w:rFonts w:ascii="Arial" w:hAnsi="Arial" w:cs="Arial"/>
          <w:sz w:val="24"/>
          <w:szCs w:val="24"/>
          <w:bdr w:val="single" w:sz="2" w:space="0" w:color="ECEDEE" w:frame="1"/>
        </w:rPr>
        <w:t>Heart</w:t>
      </w:r>
      <w:r w:rsidRPr="00620673">
        <w:rPr>
          <w:rFonts w:ascii="Arial" w:hAnsi="Arial" w:cs="Arial"/>
          <w:sz w:val="24"/>
          <w:szCs w:val="24"/>
        </w:rPr>
        <w:t>, </w:t>
      </w:r>
      <w:r w:rsidRPr="00620673">
        <w:rPr>
          <w:rFonts w:ascii="Arial" w:hAnsi="Arial" w:cs="Arial"/>
          <w:sz w:val="24"/>
          <w:szCs w:val="24"/>
          <w:bdr w:val="single" w:sz="2" w:space="0" w:color="ECEDEE" w:frame="1"/>
        </w:rPr>
        <w:t>102</w:t>
      </w:r>
      <w:r w:rsidRPr="00620673">
        <w:rPr>
          <w:rFonts w:ascii="Arial" w:hAnsi="Arial" w:cs="Arial"/>
          <w:sz w:val="24"/>
          <w:szCs w:val="24"/>
        </w:rPr>
        <w:t>(1), 18–28. </w:t>
      </w:r>
    </w:p>
    <w:p w14:paraId="03804E7E" w14:textId="77777777" w:rsidR="004942B6" w:rsidRPr="00620673" w:rsidRDefault="004942B6" w:rsidP="004942B6">
      <w:pPr>
        <w:pStyle w:val="ListParagraph"/>
        <w:rPr>
          <w:rFonts w:ascii="Arial" w:hAnsi="Arial" w:cs="Arial"/>
          <w:sz w:val="24"/>
          <w:szCs w:val="24"/>
          <w:lang w:val="sv-SE"/>
        </w:rPr>
      </w:pPr>
    </w:p>
    <w:p w14:paraId="6C4FDA76"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620673">
        <w:rPr>
          <w:rFonts w:ascii="Arial" w:hAnsi="Arial" w:cs="Arial"/>
          <w:sz w:val="24"/>
          <w:szCs w:val="24"/>
          <w:lang w:val="sv-SE"/>
        </w:rPr>
        <w:t xml:space="preserve">Taylor CA, Fonte TA, Min JK. </w:t>
      </w:r>
      <w:r w:rsidRPr="00620673">
        <w:rPr>
          <w:rFonts w:ascii="Arial" w:hAnsi="Arial" w:cs="Arial"/>
          <w:sz w:val="24"/>
          <w:szCs w:val="24"/>
        </w:rPr>
        <w:t>(2013). Computational fluid dynamics applied to cardiac computed tomography for non-invasive quantification of fractional flow reserve. </w:t>
      </w:r>
      <w:r w:rsidRPr="00620673">
        <w:rPr>
          <w:rFonts w:ascii="Arial" w:hAnsi="Arial" w:cs="Arial"/>
          <w:sz w:val="24"/>
          <w:szCs w:val="24"/>
          <w:bdr w:val="single" w:sz="2" w:space="0" w:color="ECEDEE" w:frame="1"/>
        </w:rPr>
        <w:t>J Am Coll Cardio</w:t>
      </w:r>
      <w:r w:rsidRPr="00620673">
        <w:rPr>
          <w:rFonts w:ascii="Arial" w:hAnsi="Arial" w:cs="Arial"/>
          <w:sz w:val="24"/>
          <w:szCs w:val="24"/>
        </w:rPr>
        <w:t>, </w:t>
      </w:r>
      <w:r w:rsidRPr="00620673">
        <w:rPr>
          <w:rFonts w:ascii="Arial" w:hAnsi="Arial" w:cs="Arial"/>
          <w:sz w:val="24"/>
          <w:szCs w:val="24"/>
          <w:bdr w:val="single" w:sz="2" w:space="0" w:color="ECEDEE" w:frame="1"/>
        </w:rPr>
        <w:t>61</w:t>
      </w:r>
      <w:r w:rsidRPr="00620673">
        <w:rPr>
          <w:rFonts w:ascii="Arial" w:hAnsi="Arial" w:cs="Arial"/>
          <w:sz w:val="24"/>
          <w:szCs w:val="24"/>
        </w:rPr>
        <w:t>(22), 2233–2241. </w:t>
      </w:r>
    </w:p>
    <w:p w14:paraId="4E7CE4E4" w14:textId="77777777" w:rsidR="004942B6" w:rsidRPr="0048057A" w:rsidRDefault="004942B6" w:rsidP="004942B6">
      <w:pPr>
        <w:pStyle w:val="ListParagraph"/>
        <w:rPr>
          <w:rFonts w:ascii="Arial" w:hAnsi="Arial" w:cs="Arial"/>
          <w:sz w:val="24"/>
          <w:szCs w:val="24"/>
        </w:rPr>
      </w:pPr>
    </w:p>
    <w:p w14:paraId="2865DAC4"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8057A">
        <w:rPr>
          <w:rFonts w:ascii="Arial" w:hAnsi="Arial" w:cs="Arial"/>
          <w:sz w:val="24"/>
          <w:szCs w:val="24"/>
        </w:rPr>
        <w:t>Sotiropoulos F, Borazjani I. (2009). A review of state-of-the-art numerical methods for simulating flow through mechanical heart valves. </w:t>
      </w:r>
      <w:r w:rsidRPr="0048057A">
        <w:rPr>
          <w:rFonts w:ascii="Arial" w:hAnsi="Arial" w:cs="Arial"/>
          <w:sz w:val="24"/>
          <w:szCs w:val="24"/>
          <w:bdr w:val="single" w:sz="2" w:space="0" w:color="ECEDEE" w:frame="1"/>
        </w:rPr>
        <w:t>Medical &amp; Biological Engineering &amp; Computing</w:t>
      </w:r>
      <w:r w:rsidRPr="0048057A">
        <w:rPr>
          <w:rFonts w:ascii="Arial" w:hAnsi="Arial" w:cs="Arial"/>
          <w:sz w:val="24"/>
          <w:szCs w:val="24"/>
        </w:rPr>
        <w:t>, </w:t>
      </w:r>
      <w:r w:rsidRPr="0048057A">
        <w:rPr>
          <w:rFonts w:ascii="Arial" w:hAnsi="Arial" w:cs="Arial"/>
          <w:sz w:val="24"/>
          <w:szCs w:val="24"/>
          <w:bdr w:val="single" w:sz="2" w:space="0" w:color="ECEDEE" w:frame="1"/>
        </w:rPr>
        <w:t>47</w:t>
      </w:r>
      <w:r w:rsidRPr="0048057A">
        <w:rPr>
          <w:rFonts w:ascii="Arial" w:hAnsi="Arial" w:cs="Arial"/>
          <w:sz w:val="24"/>
          <w:szCs w:val="24"/>
        </w:rPr>
        <w:t>(3), 245–256.</w:t>
      </w:r>
    </w:p>
    <w:p w14:paraId="6686662B" w14:textId="77777777" w:rsidR="004942B6" w:rsidRPr="0048057A" w:rsidRDefault="004942B6" w:rsidP="004942B6">
      <w:pPr>
        <w:pStyle w:val="ListParagraph"/>
        <w:rPr>
          <w:rFonts w:ascii="Arial" w:hAnsi="Arial" w:cs="Arial"/>
          <w:sz w:val="24"/>
          <w:szCs w:val="24"/>
        </w:rPr>
      </w:pPr>
    </w:p>
    <w:p w14:paraId="4D0A7F13"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8057A">
        <w:rPr>
          <w:rFonts w:ascii="Arial" w:hAnsi="Arial" w:cs="Arial"/>
          <w:sz w:val="24"/>
          <w:szCs w:val="24"/>
        </w:rPr>
        <w:t>Wentzel JJ, Krams R, Schuurbiers JC, et al. (2001). Relationship between neointimal thickness and shear stress after stent implantation in human coronary arteries. </w:t>
      </w:r>
      <w:r w:rsidRPr="0048057A">
        <w:rPr>
          <w:rFonts w:ascii="Arial" w:hAnsi="Arial" w:cs="Arial"/>
          <w:sz w:val="24"/>
          <w:szCs w:val="24"/>
          <w:bdr w:val="single" w:sz="2" w:space="0" w:color="ECEDEE" w:frame="1"/>
        </w:rPr>
        <w:t>Circulation</w:t>
      </w:r>
      <w:r w:rsidRPr="0048057A">
        <w:rPr>
          <w:rFonts w:ascii="Arial" w:hAnsi="Arial" w:cs="Arial"/>
          <w:sz w:val="24"/>
          <w:szCs w:val="24"/>
        </w:rPr>
        <w:t>, </w:t>
      </w:r>
      <w:r w:rsidRPr="0048057A">
        <w:rPr>
          <w:rFonts w:ascii="Arial" w:hAnsi="Arial" w:cs="Arial"/>
          <w:sz w:val="24"/>
          <w:szCs w:val="24"/>
          <w:bdr w:val="single" w:sz="2" w:space="0" w:color="ECEDEE" w:frame="1"/>
        </w:rPr>
        <w:t>103</w:t>
      </w:r>
      <w:r w:rsidRPr="0048057A">
        <w:rPr>
          <w:rFonts w:ascii="Arial" w:hAnsi="Arial" w:cs="Arial"/>
          <w:sz w:val="24"/>
          <w:szCs w:val="24"/>
        </w:rPr>
        <w:t>(13), 1740–1745.</w:t>
      </w:r>
    </w:p>
    <w:p w14:paraId="26B9D49F" w14:textId="77777777" w:rsidR="004942B6" w:rsidRPr="0048057A" w:rsidRDefault="004942B6" w:rsidP="004942B6">
      <w:pPr>
        <w:pStyle w:val="ListParagraph"/>
        <w:rPr>
          <w:rFonts w:ascii="Arial" w:hAnsi="Arial" w:cs="Arial"/>
          <w:sz w:val="24"/>
          <w:szCs w:val="24"/>
        </w:rPr>
      </w:pPr>
    </w:p>
    <w:p w14:paraId="421E8DA3"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8057A">
        <w:rPr>
          <w:rFonts w:ascii="Arial" w:hAnsi="Arial" w:cs="Arial"/>
          <w:sz w:val="24"/>
          <w:szCs w:val="24"/>
        </w:rPr>
        <w:t>Jiménez JM, Davies PF. (2009). Hemodynamically driven stent strut design. </w:t>
      </w:r>
      <w:r w:rsidRPr="0048057A">
        <w:rPr>
          <w:rFonts w:ascii="Arial" w:hAnsi="Arial" w:cs="Arial"/>
          <w:sz w:val="24"/>
          <w:szCs w:val="24"/>
          <w:bdr w:val="single" w:sz="2" w:space="0" w:color="ECEDEE" w:frame="1"/>
        </w:rPr>
        <w:t>Ann Biomed Eng</w:t>
      </w:r>
      <w:r w:rsidRPr="0048057A">
        <w:rPr>
          <w:rFonts w:ascii="Arial" w:hAnsi="Arial" w:cs="Arial"/>
          <w:sz w:val="24"/>
          <w:szCs w:val="24"/>
        </w:rPr>
        <w:t>, </w:t>
      </w:r>
      <w:r w:rsidRPr="0048057A">
        <w:rPr>
          <w:rFonts w:ascii="Arial" w:hAnsi="Arial" w:cs="Arial"/>
          <w:sz w:val="24"/>
          <w:szCs w:val="24"/>
          <w:bdr w:val="single" w:sz="2" w:space="0" w:color="ECEDEE" w:frame="1"/>
        </w:rPr>
        <w:t>37</w:t>
      </w:r>
      <w:r w:rsidRPr="0048057A">
        <w:rPr>
          <w:rFonts w:ascii="Arial" w:hAnsi="Arial" w:cs="Arial"/>
          <w:sz w:val="24"/>
          <w:szCs w:val="24"/>
        </w:rPr>
        <w:t>(8), 1483–1494. </w:t>
      </w:r>
    </w:p>
    <w:p w14:paraId="292C70B2" w14:textId="77777777" w:rsidR="004942B6" w:rsidRPr="0048057A" w:rsidRDefault="004942B6" w:rsidP="004942B6">
      <w:pPr>
        <w:pStyle w:val="ListParagraph"/>
        <w:rPr>
          <w:rFonts w:ascii="Arial" w:hAnsi="Arial" w:cs="Arial"/>
          <w:sz w:val="24"/>
          <w:szCs w:val="24"/>
        </w:rPr>
      </w:pPr>
    </w:p>
    <w:p w14:paraId="28EC2545"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8057A">
        <w:rPr>
          <w:rFonts w:ascii="Arial" w:hAnsi="Arial" w:cs="Arial"/>
          <w:sz w:val="24"/>
          <w:szCs w:val="24"/>
        </w:rPr>
        <w:t>Georgakarakos E, Ioannou CV, Papaharilaou Y, et al. (2011). Computational evaluation of aortic aneurysm rupture risk: What have we learned so far? </w:t>
      </w:r>
      <w:r w:rsidRPr="0048057A">
        <w:rPr>
          <w:rFonts w:ascii="Arial" w:hAnsi="Arial" w:cs="Arial"/>
          <w:sz w:val="24"/>
          <w:szCs w:val="24"/>
          <w:bdr w:val="single" w:sz="2" w:space="0" w:color="ECEDEE" w:frame="1"/>
        </w:rPr>
        <w:t>J Endovasc Ther</w:t>
      </w:r>
      <w:r w:rsidRPr="0048057A">
        <w:rPr>
          <w:rFonts w:ascii="Arial" w:hAnsi="Arial" w:cs="Arial"/>
          <w:sz w:val="24"/>
          <w:szCs w:val="24"/>
        </w:rPr>
        <w:t>, </w:t>
      </w:r>
      <w:r w:rsidRPr="0048057A">
        <w:rPr>
          <w:rFonts w:ascii="Arial" w:hAnsi="Arial" w:cs="Arial"/>
          <w:sz w:val="24"/>
          <w:szCs w:val="24"/>
          <w:bdr w:val="single" w:sz="2" w:space="0" w:color="ECEDEE" w:frame="1"/>
        </w:rPr>
        <w:t>18</w:t>
      </w:r>
      <w:r w:rsidRPr="0048057A">
        <w:rPr>
          <w:rFonts w:ascii="Arial" w:hAnsi="Arial" w:cs="Arial"/>
          <w:sz w:val="24"/>
          <w:szCs w:val="24"/>
        </w:rPr>
        <w:t>(2), 214–225. </w:t>
      </w:r>
    </w:p>
    <w:p w14:paraId="065EA249" w14:textId="77777777" w:rsidR="004942B6" w:rsidRPr="0048057A" w:rsidRDefault="004942B6" w:rsidP="004942B6">
      <w:pPr>
        <w:pStyle w:val="ListParagraph"/>
        <w:rPr>
          <w:rFonts w:ascii="Arial" w:hAnsi="Arial" w:cs="Arial"/>
          <w:sz w:val="24"/>
          <w:szCs w:val="24"/>
        </w:rPr>
      </w:pPr>
    </w:p>
    <w:p w14:paraId="7784724E"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8057A">
        <w:rPr>
          <w:rFonts w:ascii="Arial" w:hAnsi="Arial" w:cs="Arial"/>
          <w:sz w:val="24"/>
          <w:szCs w:val="24"/>
        </w:rPr>
        <w:t>Erhart P, Hyhlik-Dürr A, Geisbüsch P, et al. (2015). Finite element analysis in asymptomatic, symptomatic, and ruptured abdominal aortic aneurysms: In search of new rupture risk Predictors. </w:t>
      </w:r>
      <w:r w:rsidRPr="0048057A">
        <w:rPr>
          <w:rFonts w:ascii="Arial" w:hAnsi="Arial" w:cs="Arial"/>
          <w:sz w:val="24"/>
          <w:szCs w:val="24"/>
          <w:bdr w:val="single" w:sz="2" w:space="0" w:color="ECEDEE" w:frame="1"/>
        </w:rPr>
        <w:t>Eur J Vasc Endovasc Surg</w:t>
      </w:r>
      <w:r w:rsidRPr="0048057A">
        <w:rPr>
          <w:rFonts w:ascii="Arial" w:hAnsi="Arial" w:cs="Arial"/>
          <w:sz w:val="24"/>
          <w:szCs w:val="24"/>
        </w:rPr>
        <w:t>, </w:t>
      </w:r>
      <w:r w:rsidRPr="0048057A">
        <w:rPr>
          <w:rFonts w:ascii="Arial" w:hAnsi="Arial" w:cs="Arial"/>
          <w:sz w:val="24"/>
          <w:szCs w:val="24"/>
          <w:bdr w:val="single" w:sz="2" w:space="0" w:color="ECEDEE" w:frame="1"/>
        </w:rPr>
        <w:t>49</w:t>
      </w:r>
      <w:r w:rsidRPr="0048057A">
        <w:rPr>
          <w:rFonts w:ascii="Arial" w:hAnsi="Arial" w:cs="Arial"/>
          <w:sz w:val="24"/>
          <w:szCs w:val="24"/>
        </w:rPr>
        <w:t>(3), 239–245.</w:t>
      </w:r>
    </w:p>
    <w:p w14:paraId="2F22057C" w14:textId="77777777" w:rsidR="004942B6" w:rsidRPr="0048057A" w:rsidRDefault="004942B6" w:rsidP="004942B6">
      <w:pPr>
        <w:pStyle w:val="ListParagraph"/>
        <w:rPr>
          <w:rFonts w:ascii="Arial" w:hAnsi="Arial" w:cs="Arial"/>
          <w:sz w:val="24"/>
          <w:szCs w:val="24"/>
          <w:lang w:val="pt-PT"/>
        </w:rPr>
      </w:pPr>
    </w:p>
    <w:p w14:paraId="4739364C"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8057A">
        <w:rPr>
          <w:rFonts w:ascii="Arial" w:hAnsi="Arial" w:cs="Arial"/>
          <w:sz w:val="24"/>
          <w:szCs w:val="24"/>
          <w:lang w:val="pt-PT"/>
        </w:rPr>
        <w:t xml:space="preserve">DeCampli WM, Argueta-Morales IR, Divo E, Kassab AJ (2012). </w:t>
      </w:r>
      <w:r w:rsidRPr="0048057A">
        <w:rPr>
          <w:rFonts w:ascii="Arial" w:hAnsi="Arial" w:cs="Arial"/>
          <w:sz w:val="24"/>
          <w:szCs w:val="24"/>
        </w:rPr>
        <w:t>Computational fluid dynamics in congenital heart disease. </w:t>
      </w:r>
      <w:r w:rsidRPr="0048057A">
        <w:rPr>
          <w:rFonts w:ascii="Arial" w:hAnsi="Arial" w:cs="Arial"/>
          <w:sz w:val="24"/>
          <w:szCs w:val="24"/>
          <w:bdr w:val="single" w:sz="2" w:space="0" w:color="ECEDEE" w:frame="1"/>
        </w:rPr>
        <w:t>Cardiol Young</w:t>
      </w:r>
      <w:r w:rsidRPr="0048057A">
        <w:rPr>
          <w:rFonts w:ascii="Arial" w:hAnsi="Arial" w:cs="Arial"/>
          <w:sz w:val="24"/>
          <w:szCs w:val="24"/>
        </w:rPr>
        <w:t>, </w:t>
      </w:r>
      <w:r w:rsidRPr="0048057A">
        <w:rPr>
          <w:rFonts w:ascii="Arial" w:hAnsi="Arial" w:cs="Arial"/>
          <w:sz w:val="24"/>
          <w:szCs w:val="24"/>
          <w:bdr w:val="single" w:sz="2" w:space="0" w:color="ECEDEE" w:frame="1"/>
        </w:rPr>
        <w:t>22</w:t>
      </w:r>
      <w:r w:rsidRPr="0048057A">
        <w:rPr>
          <w:rFonts w:ascii="Arial" w:hAnsi="Arial" w:cs="Arial"/>
          <w:sz w:val="24"/>
          <w:szCs w:val="24"/>
        </w:rPr>
        <w:t>(6), 800–808.</w:t>
      </w:r>
    </w:p>
    <w:p w14:paraId="78E4C9B0" w14:textId="77777777" w:rsidR="004942B6" w:rsidRPr="0048057A" w:rsidRDefault="004942B6" w:rsidP="004942B6">
      <w:pPr>
        <w:pStyle w:val="ListParagraph"/>
        <w:rPr>
          <w:rFonts w:ascii="Arial" w:hAnsi="Arial" w:cs="Arial"/>
          <w:sz w:val="24"/>
          <w:szCs w:val="24"/>
        </w:rPr>
      </w:pPr>
    </w:p>
    <w:p w14:paraId="7C1A5B19"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8057A">
        <w:rPr>
          <w:rFonts w:ascii="Arial" w:hAnsi="Arial" w:cs="Arial"/>
          <w:sz w:val="24"/>
          <w:szCs w:val="24"/>
        </w:rPr>
        <w:t>Farag M, Karmonik C, Rengier F, et al. (2014). Review of Recent Results using Computational Fluid Dynamics Simulations in Patients Receiving Mechanical Assist Devices for End-Stage Heart Failure. </w:t>
      </w:r>
      <w:r w:rsidRPr="0048057A">
        <w:rPr>
          <w:rFonts w:ascii="Arial" w:hAnsi="Arial" w:cs="Arial"/>
          <w:sz w:val="24"/>
          <w:szCs w:val="24"/>
          <w:bdr w:val="single" w:sz="2" w:space="0" w:color="ECEDEE" w:frame="1"/>
        </w:rPr>
        <w:t>Methodist DeBakey Cardiovasc J</w:t>
      </w:r>
      <w:r w:rsidRPr="0048057A">
        <w:rPr>
          <w:rFonts w:ascii="Arial" w:hAnsi="Arial" w:cs="Arial"/>
          <w:sz w:val="24"/>
          <w:szCs w:val="24"/>
        </w:rPr>
        <w:t>, </w:t>
      </w:r>
      <w:r w:rsidRPr="0048057A">
        <w:rPr>
          <w:rFonts w:ascii="Arial" w:hAnsi="Arial" w:cs="Arial"/>
          <w:sz w:val="24"/>
          <w:szCs w:val="24"/>
          <w:bdr w:val="single" w:sz="2" w:space="0" w:color="ECEDEE" w:frame="1"/>
        </w:rPr>
        <w:t>10</w:t>
      </w:r>
      <w:r w:rsidRPr="0048057A">
        <w:rPr>
          <w:rFonts w:ascii="Arial" w:hAnsi="Arial" w:cs="Arial"/>
          <w:sz w:val="24"/>
          <w:szCs w:val="24"/>
        </w:rPr>
        <w:t>(3), 185-189.</w:t>
      </w:r>
    </w:p>
    <w:p w14:paraId="1A25B928" w14:textId="77777777" w:rsidR="004942B6" w:rsidRDefault="004942B6" w:rsidP="004942B6">
      <w:pPr>
        <w:pStyle w:val="ListParagraph"/>
      </w:pPr>
    </w:p>
    <w:p w14:paraId="343CFCBD" w14:textId="77777777" w:rsidR="004942B6"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F63179">
        <w:rPr>
          <w:rFonts w:ascii="Arial" w:hAnsi="Arial" w:cs="Arial"/>
        </w:rPr>
        <w:t>NICE. (2010, March 24). </w:t>
      </w:r>
      <w:r w:rsidRPr="00F63179">
        <w:rPr>
          <w:rFonts w:ascii="Arial" w:hAnsi="Arial" w:cs="Arial"/>
          <w:bdr w:val="single" w:sz="2" w:space="0" w:color="ECEDEE" w:frame="1"/>
        </w:rPr>
        <w:t>Recent-onset chest pain of suspected cardiac origin: Assessment and diagnosis</w:t>
      </w:r>
      <w:r w:rsidRPr="00F63179">
        <w:rPr>
          <w:rFonts w:ascii="Arial" w:hAnsi="Arial" w:cs="Arial"/>
        </w:rPr>
        <w:t xml:space="preserve">. Available from </w:t>
      </w:r>
      <w:r w:rsidRPr="00F63179">
        <w:rPr>
          <w:rFonts w:ascii="Arial" w:hAnsi="Arial" w:cs="Arial"/>
          <w:bdr w:val="single" w:sz="2" w:space="0" w:color="ECEDEE" w:frame="1"/>
        </w:rPr>
        <w:t>https://www.nice.org.uk/Guidance/CG95</w:t>
      </w:r>
      <w:r w:rsidRPr="00F63179">
        <w:rPr>
          <w:rFonts w:ascii="Arial" w:hAnsi="Arial" w:cs="Arial"/>
          <w:lang w:eastAsia="en-GB"/>
        </w:rPr>
        <w:t>.</w:t>
      </w:r>
    </w:p>
    <w:p w14:paraId="22B8A3E5" w14:textId="77777777" w:rsidR="004942B6" w:rsidRPr="00F63179" w:rsidRDefault="004942B6" w:rsidP="004942B6">
      <w:pPr>
        <w:pStyle w:val="ListParagraph"/>
        <w:rPr>
          <w:rFonts w:ascii="Arial" w:hAnsi="Arial" w:cs="Arial"/>
          <w:sz w:val="24"/>
          <w:szCs w:val="24"/>
        </w:rPr>
      </w:pPr>
    </w:p>
    <w:p w14:paraId="20745BBD" w14:textId="77777777" w:rsidR="004942B6" w:rsidRPr="00A731E5"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F63179">
        <w:rPr>
          <w:rFonts w:ascii="Arial" w:hAnsi="Arial" w:cs="Arial"/>
          <w:sz w:val="24"/>
          <w:szCs w:val="24"/>
        </w:rPr>
        <w:t>Moss AJ, Williams M, Newby DE, et al. (2017). The updated NICE guidelines: Cardiac CT as the First-Line Test for Coronary Artery Disease. </w:t>
      </w:r>
      <w:r w:rsidRPr="00F63179">
        <w:rPr>
          <w:rFonts w:ascii="Arial" w:hAnsi="Arial" w:cs="Arial"/>
          <w:sz w:val="24"/>
          <w:szCs w:val="24"/>
          <w:bdr w:val="single" w:sz="2" w:space="0" w:color="ECEDEE" w:frame="1"/>
        </w:rPr>
        <w:t>Curr Cardiovasc Imag Rep</w:t>
      </w:r>
      <w:r w:rsidRPr="00F63179">
        <w:rPr>
          <w:rFonts w:ascii="Arial" w:hAnsi="Arial" w:cs="Arial"/>
          <w:sz w:val="24"/>
          <w:szCs w:val="24"/>
        </w:rPr>
        <w:t>, </w:t>
      </w:r>
      <w:r w:rsidRPr="00F63179">
        <w:rPr>
          <w:rFonts w:ascii="Arial" w:hAnsi="Arial" w:cs="Arial"/>
          <w:sz w:val="24"/>
          <w:szCs w:val="24"/>
          <w:bdr w:val="single" w:sz="2" w:space="0" w:color="ECEDEE" w:frame="1"/>
        </w:rPr>
        <w:t>10</w:t>
      </w:r>
      <w:r w:rsidRPr="00F63179">
        <w:rPr>
          <w:rFonts w:ascii="Arial" w:hAnsi="Arial" w:cs="Arial"/>
          <w:sz w:val="24"/>
          <w:szCs w:val="24"/>
        </w:rPr>
        <w:t>(5), 15-20.</w:t>
      </w:r>
    </w:p>
    <w:p w14:paraId="2AF02971" w14:textId="77777777" w:rsidR="004942B6" w:rsidRPr="00A731E5" w:rsidRDefault="004942B6" w:rsidP="004942B6">
      <w:pPr>
        <w:pStyle w:val="ListParagraph"/>
        <w:rPr>
          <w:rFonts w:ascii="Arial" w:hAnsi="Arial" w:cs="Arial"/>
          <w:sz w:val="24"/>
          <w:szCs w:val="24"/>
        </w:rPr>
      </w:pPr>
    </w:p>
    <w:p w14:paraId="5A72AE57" w14:textId="77777777" w:rsidR="004942B6" w:rsidRPr="0025273D"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A731E5">
        <w:rPr>
          <w:rFonts w:ascii="Arial" w:hAnsi="Arial" w:cs="Arial"/>
          <w:sz w:val="24"/>
          <w:szCs w:val="24"/>
        </w:rPr>
        <w:t>Koo B, Ērglis A, Doh JH, et al. (2011). Diagnosis of Ischemia-Causing coronary stenoses by non-invasive fractional flow reserve computed from coronary computed tomographic angiograms. </w:t>
      </w:r>
      <w:r w:rsidRPr="00A731E5">
        <w:rPr>
          <w:rFonts w:ascii="Arial" w:hAnsi="Arial" w:cs="Arial"/>
          <w:sz w:val="24"/>
          <w:szCs w:val="24"/>
          <w:bdr w:val="single" w:sz="2" w:space="0" w:color="ECEDEE" w:frame="1"/>
        </w:rPr>
        <w:t>J Am Coll Cardio</w:t>
      </w:r>
      <w:r w:rsidRPr="00A731E5">
        <w:rPr>
          <w:rFonts w:ascii="Arial" w:hAnsi="Arial" w:cs="Arial"/>
          <w:sz w:val="24"/>
          <w:szCs w:val="24"/>
        </w:rPr>
        <w:t>, </w:t>
      </w:r>
      <w:r w:rsidRPr="00A731E5">
        <w:rPr>
          <w:rFonts w:ascii="Arial" w:hAnsi="Arial" w:cs="Arial"/>
          <w:sz w:val="24"/>
          <w:szCs w:val="24"/>
          <w:bdr w:val="single" w:sz="2" w:space="0" w:color="ECEDEE" w:frame="1"/>
        </w:rPr>
        <w:t>58</w:t>
      </w:r>
      <w:r w:rsidRPr="00A731E5">
        <w:rPr>
          <w:rFonts w:ascii="Arial" w:hAnsi="Arial" w:cs="Arial"/>
          <w:sz w:val="24"/>
          <w:szCs w:val="24"/>
        </w:rPr>
        <w:t>(19), 1989–1997. </w:t>
      </w:r>
    </w:p>
    <w:p w14:paraId="7C9714B8" w14:textId="77777777" w:rsidR="004942B6" w:rsidRPr="0025273D" w:rsidRDefault="004942B6" w:rsidP="004942B6">
      <w:pPr>
        <w:pStyle w:val="ListParagraph"/>
        <w:rPr>
          <w:rFonts w:ascii="Arial" w:hAnsi="Arial" w:cs="Arial"/>
          <w:color w:val="212121"/>
          <w:sz w:val="24"/>
          <w:szCs w:val="24"/>
          <w:shd w:val="clear" w:color="auto" w:fill="FFFFFF"/>
          <w:lang w:val="de-DE"/>
        </w:rPr>
      </w:pPr>
    </w:p>
    <w:p w14:paraId="4B02E43C" w14:textId="77777777" w:rsidR="004942B6" w:rsidRPr="0025273D"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25273D">
        <w:rPr>
          <w:rFonts w:ascii="Arial" w:hAnsi="Arial" w:cs="Arial"/>
          <w:color w:val="212121"/>
          <w:sz w:val="24"/>
          <w:szCs w:val="24"/>
          <w:shd w:val="clear" w:color="auto" w:fill="FFFFFF"/>
          <w:lang w:val="de-DE"/>
        </w:rPr>
        <w:lastRenderedPageBreak/>
        <w:t>Gutberlet M, Krieghoff C, Gohmann R. (2020). Werden die Karten der CT-Koronarangiographie mit der FFR</w:t>
      </w:r>
      <w:r w:rsidRPr="0025273D">
        <w:rPr>
          <w:rFonts w:ascii="Arial" w:hAnsi="Arial" w:cs="Arial"/>
          <w:color w:val="212121"/>
          <w:sz w:val="24"/>
          <w:szCs w:val="24"/>
          <w:shd w:val="clear" w:color="auto" w:fill="FFFFFF"/>
          <w:vertAlign w:val="subscript"/>
          <w:lang w:val="de-DE"/>
        </w:rPr>
        <w:t>CT</w:t>
      </w:r>
      <w:r w:rsidRPr="0025273D">
        <w:rPr>
          <w:rFonts w:ascii="Arial" w:hAnsi="Arial" w:cs="Arial"/>
          <w:color w:val="212121"/>
          <w:sz w:val="24"/>
          <w:szCs w:val="24"/>
          <w:shd w:val="clear" w:color="auto" w:fill="FFFFFF"/>
          <w:lang w:val="de-DE"/>
        </w:rPr>
        <w:t xml:space="preserve"> neu gemischt? </w:t>
      </w:r>
      <w:r w:rsidRPr="0025273D">
        <w:rPr>
          <w:rFonts w:ascii="Arial" w:hAnsi="Arial" w:cs="Arial"/>
          <w:color w:val="212121"/>
          <w:sz w:val="24"/>
          <w:szCs w:val="24"/>
          <w:shd w:val="clear" w:color="auto" w:fill="FFFFFF"/>
        </w:rPr>
        <w:t>[Is FFR</w:t>
      </w:r>
      <w:r w:rsidRPr="0025273D">
        <w:rPr>
          <w:rFonts w:ascii="Arial" w:hAnsi="Arial" w:cs="Arial"/>
          <w:color w:val="212121"/>
          <w:sz w:val="24"/>
          <w:szCs w:val="24"/>
          <w:shd w:val="clear" w:color="auto" w:fill="FFFFFF"/>
          <w:vertAlign w:val="subscript"/>
        </w:rPr>
        <w:t>CT</w:t>
      </w:r>
      <w:r w:rsidRPr="0025273D">
        <w:rPr>
          <w:rFonts w:ascii="Arial" w:hAnsi="Arial" w:cs="Arial"/>
          <w:color w:val="212121"/>
          <w:sz w:val="24"/>
          <w:szCs w:val="24"/>
          <w:shd w:val="clear" w:color="auto" w:fill="FFFFFF"/>
        </w:rPr>
        <w:t> a game changer in coronary CT angiography?]. Herz, 45(5), 431–440.</w:t>
      </w:r>
    </w:p>
    <w:p w14:paraId="48FAA258" w14:textId="77777777" w:rsidR="004942B6" w:rsidRPr="009918A2" w:rsidRDefault="004942B6" w:rsidP="004942B6">
      <w:pPr>
        <w:pStyle w:val="ListParagraph"/>
        <w:rPr>
          <w:rFonts w:ascii="Arial" w:hAnsi="Arial" w:cs="Arial"/>
          <w:sz w:val="24"/>
          <w:szCs w:val="24"/>
        </w:rPr>
      </w:pPr>
    </w:p>
    <w:p w14:paraId="5232EDEC" w14:textId="77777777" w:rsidR="004942B6" w:rsidRPr="0025273D"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25273D">
        <w:rPr>
          <w:rFonts w:ascii="Arial" w:hAnsi="Arial" w:cs="Arial"/>
          <w:sz w:val="24"/>
          <w:szCs w:val="24"/>
          <w:lang w:val="nl-NL"/>
        </w:rPr>
        <w:t xml:space="preserve">Nørgaard BL, Leipsic J, Gaur S, et al. </w:t>
      </w:r>
      <w:r w:rsidRPr="0025273D">
        <w:rPr>
          <w:rFonts w:ascii="Arial" w:hAnsi="Arial" w:cs="Arial"/>
          <w:sz w:val="24"/>
          <w:szCs w:val="24"/>
        </w:rPr>
        <w:t>(2014). Diagnostic performance of non-invasive fractional flow reserve derived from coronary computed tomography angiography in suspected coronary artery disease. </w:t>
      </w:r>
      <w:r w:rsidRPr="0025273D">
        <w:rPr>
          <w:rFonts w:ascii="Arial" w:hAnsi="Arial" w:cs="Arial"/>
          <w:sz w:val="24"/>
          <w:szCs w:val="24"/>
          <w:bdr w:val="single" w:sz="2" w:space="0" w:color="ECEDEE" w:frame="1"/>
        </w:rPr>
        <w:t>J Am Coll Cardio</w:t>
      </w:r>
      <w:r w:rsidRPr="0025273D">
        <w:rPr>
          <w:rFonts w:ascii="Arial" w:hAnsi="Arial" w:cs="Arial"/>
          <w:sz w:val="24"/>
          <w:szCs w:val="24"/>
        </w:rPr>
        <w:t>, </w:t>
      </w:r>
      <w:r w:rsidRPr="0025273D">
        <w:rPr>
          <w:rFonts w:ascii="Arial" w:hAnsi="Arial" w:cs="Arial"/>
          <w:sz w:val="24"/>
          <w:szCs w:val="24"/>
          <w:bdr w:val="single" w:sz="2" w:space="0" w:color="ECEDEE" w:frame="1"/>
        </w:rPr>
        <w:t>63</w:t>
      </w:r>
      <w:r w:rsidRPr="0025273D">
        <w:rPr>
          <w:rFonts w:ascii="Arial" w:hAnsi="Arial" w:cs="Arial"/>
          <w:sz w:val="24"/>
          <w:szCs w:val="24"/>
        </w:rPr>
        <w:t>(12), 1145–1155. </w:t>
      </w:r>
    </w:p>
    <w:p w14:paraId="06DE5C6A" w14:textId="77777777" w:rsidR="004942B6" w:rsidRPr="0025273D" w:rsidRDefault="004942B6" w:rsidP="004942B6">
      <w:pPr>
        <w:pStyle w:val="ListParagraph"/>
        <w:rPr>
          <w:rFonts w:ascii="Arial" w:hAnsi="Arial" w:cs="Arial"/>
          <w:sz w:val="24"/>
          <w:szCs w:val="24"/>
        </w:rPr>
      </w:pPr>
    </w:p>
    <w:p w14:paraId="1B8C14A5" w14:textId="77777777" w:rsidR="004942B6" w:rsidRPr="0025273D"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25273D">
        <w:rPr>
          <w:rFonts w:ascii="Arial" w:hAnsi="Arial" w:cs="Arial"/>
          <w:sz w:val="24"/>
          <w:szCs w:val="24"/>
        </w:rPr>
        <w:t>Graby J, Khavandi A, Thompson DV., et al. (2021). CT coronary angiography-guided cardiovascular risk screening in asymptomatic patients: is it time? </w:t>
      </w:r>
      <w:r w:rsidRPr="0025273D">
        <w:rPr>
          <w:rFonts w:ascii="Arial" w:hAnsi="Arial" w:cs="Arial"/>
          <w:sz w:val="24"/>
          <w:szCs w:val="24"/>
          <w:bdr w:val="single" w:sz="2" w:space="0" w:color="ECEDEE" w:frame="1"/>
        </w:rPr>
        <w:t>Clin Radiol</w:t>
      </w:r>
      <w:r w:rsidRPr="0025273D">
        <w:rPr>
          <w:rFonts w:ascii="Arial" w:hAnsi="Arial" w:cs="Arial"/>
          <w:sz w:val="24"/>
          <w:szCs w:val="24"/>
        </w:rPr>
        <w:t>, </w:t>
      </w:r>
      <w:r w:rsidRPr="0025273D">
        <w:rPr>
          <w:rFonts w:ascii="Arial" w:hAnsi="Arial" w:cs="Arial"/>
          <w:sz w:val="24"/>
          <w:szCs w:val="24"/>
          <w:bdr w:val="single" w:sz="2" w:space="0" w:color="ECEDEE" w:frame="1"/>
        </w:rPr>
        <w:t>76</w:t>
      </w:r>
      <w:r w:rsidRPr="0025273D">
        <w:rPr>
          <w:rFonts w:ascii="Arial" w:hAnsi="Arial" w:cs="Arial"/>
          <w:sz w:val="24"/>
          <w:szCs w:val="24"/>
        </w:rPr>
        <w:t>(11), 801–811.</w:t>
      </w:r>
    </w:p>
    <w:p w14:paraId="6800B204" w14:textId="77777777" w:rsidR="004942B6" w:rsidRPr="0025273D" w:rsidRDefault="004942B6" w:rsidP="004942B6">
      <w:pPr>
        <w:pStyle w:val="ListParagraph"/>
        <w:rPr>
          <w:rFonts w:ascii="Arial" w:hAnsi="Arial" w:cs="Arial"/>
          <w:sz w:val="24"/>
          <w:szCs w:val="24"/>
        </w:rPr>
      </w:pPr>
    </w:p>
    <w:p w14:paraId="7DBA2681" w14:textId="77777777" w:rsidR="004942B6" w:rsidRPr="0025273D"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25273D">
        <w:rPr>
          <w:rFonts w:ascii="Arial" w:hAnsi="Arial" w:cs="Arial"/>
          <w:sz w:val="24"/>
          <w:szCs w:val="24"/>
        </w:rPr>
        <w:t>Hecht HS, Narula J, Fearon WF. (2016). Fractional flow reserve and coronary computed tomographic angiography. </w:t>
      </w:r>
      <w:r w:rsidRPr="0025273D">
        <w:rPr>
          <w:rFonts w:ascii="Arial" w:hAnsi="Arial" w:cs="Arial"/>
          <w:sz w:val="24"/>
          <w:szCs w:val="24"/>
          <w:bdr w:val="single" w:sz="2" w:space="0" w:color="ECEDEE" w:frame="1"/>
        </w:rPr>
        <w:t>Circ Res</w:t>
      </w:r>
      <w:r w:rsidRPr="0025273D">
        <w:rPr>
          <w:rFonts w:ascii="Arial" w:hAnsi="Arial" w:cs="Arial"/>
          <w:sz w:val="24"/>
          <w:szCs w:val="24"/>
        </w:rPr>
        <w:t>, </w:t>
      </w:r>
      <w:r w:rsidRPr="0025273D">
        <w:rPr>
          <w:rFonts w:ascii="Arial" w:hAnsi="Arial" w:cs="Arial"/>
          <w:sz w:val="24"/>
          <w:szCs w:val="24"/>
          <w:bdr w:val="single" w:sz="2" w:space="0" w:color="ECEDEE" w:frame="1"/>
        </w:rPr>
        <w:t>119</w:t>
      </w:r>
      <w:r w:rsidRPr="0025273D">
        <w:rPr>
          <w:rFonts w:ascii="Arial" w:hAnsi="Arial" w:cs="Arial"/>
          <w:sz w:val="24"/>
          <w:szCs w:val="24"/>
        </w:rPr>
        <w:t>(2), 300–316.</w:t>
      </w:r>
    </w:p>
    <w:p w14:paraId="69642802" w14:textId="77777777" w:rsidR="004942B6" w:rsidRPr="0025273D" w:rsidRDefault="004942B6" w:rsidP="004942B6">
      <w:pPr>
        <w:pStyle w:val="ListParagraph"/>
        <w:rPr>
          <w:rFonts w:ascii="Arial" w:hAnsi="Arial" w:cs="Arial"/>
          <w:sz w:val="24"/>
          <w:szCs w:val="24"/>
          <w:lang w:val="nl-NL"/>
        </w:rPr>
      </w:pPr>
    </w:p>
    <w:p w14:paraId="425FCC63" w14:textId="77777777" w:rsidR="004942B6" w:rsidRPr="0025273D"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25273D">
        <w:rPr>
          <w:rFonts w:ascii="Arial" w:hAnsi="Arial" w:cs="Arial"/>
          <w:sz w:val="24"/>
          <w:szCs w:val="24"/>
          <w:lang w:val="nl-NL"/>
        </w:rPr>
        <w:t xml:space="preserve">Tu S, Westra J, Yang J, et al. </w:t>
      </w:r>
      <w:r w:rsidRPr="0025273D">
        <w:rPr>
          <w:rFonts w:ascii="Arial" w:hAnsi="Arial" w:cs="Arial"/>
          <w:sz w:val="24"/>
          <w:szCs w:val="24"/>
        </w:rPr>
        <w:t>(2016). Diagnostic accuracy of fast computational approaches to derive fractional flow reserve from diagnostic coronary angiography. </w:t>
      </w:r>
      <w:r w:rsidRPr="0025273D">
        <w:rPr>
          <w:rFonts w:ascii="Arial" w:hAnsi="Arial" w:cs="Arial"/>
          <w:sz w:val="24"/>
          <w:szCs w:val="24"/>
          <w:bdr w:val="single" w:sz="2" w:space="0" w:color="ECEDEE" w:frame="1"/>
        </w:rPr>
        <w:t>JACC Cardiovasc Interven</w:t>
      </w:r>
      <w:r w:rsidRPr="0025273D">
        <w:rPr>
          <w:rFonts w:ascii="Arial" w:hAnsi="Arial" w:cs="Arial"/>
          <w:sz w:val="24"/>
          <w:szCs w:val="24"/>
        </w:rPr>
        <w:t>, </w:t>
      </w:r>
      <w:r w:rsidRPr="0025273D">
        <w:rPr>
          <w:rFonts w:ascii="Arial" w:hAnsi="Arial" w:cs="Arial"/>
          <w:sz w:val="24"/>
          <w:szCs w:val="24"/>
          <w:bdr w:val="single" w:sz="2" w:space="0" w:color="ECEDEE" w:frame="1"/>
        </w:rPr>
        <w:t>9</w:t>
      </w:r>
      <w:r w:rsidRPr="0025273D">
        <w:rPr>
          <w:rFonts w:ascii="Arial" w:hAnsi="Arial" w:cs="Arial"/>
          <w:sz w:val="24"/>
          <w:szCs w:val="24"/>
        </w:rPr>
        <w:t>(19), 2024–2035.</w:t>
      </w:r>
    </w:p>
    <w:p w14:paraId="7030CEE0" w14:textId="77777777" w:rsidR="004942B6" w:rsidRPr="0025273D" w:rsidRDefault="004942B6" w:rsidP="004942B6">
      <w:pPr>
        <w:pStyle w:val="ListParagraph"/>
        <w:rPr>
          <w:rFonts w:ascii="Arial" w:hAnsi="Arial" w:cs="Arial"/>
          <w:sz w:val="24"/>
          <w:szCs w:val="24"/>
          <w:lang w:val="sv-SE"/>
        </w:rPr>
      </w:pPr>
    </w:p>
    <w:p w14:paraId="1B7D4A35"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25273D">
        <w:rPr>
          <w:rFonts w:ascii="Arial" w:hAnsi="Arial" w:cs="Arial"/>
          <w:sz w:val="24"/>
          <w:szCs w:val="24"/>
          <w:lang w:val="sv-SE"/>
        </w:rPr>
        <w:t xml:space="preserve">Ghobrial M, Haley HA, Gosling R, et al. </w:t>
      </w:r>
      <w:r w:rsidRPr="0025273D">
        <w:rPr>
          <w:rFonts w:ascii="Arial" w:hAnsi="Arial" w:cs="Arial"/>
          <w:sz w:val="24"/>
          <w:szCs w:val="24"/>
        </w:rPr>
        <w:t>(2021). The new role of diagnostic angiography in coronary physiological assessment. </w:t>
      </w:r>
      <w:r w:rsidRPr="0025273D">
        <w:rPr>
          <w:rFonts w:ascii="Arial" w:hAnsi="Arial" w:cs="Arial"/>
          <w:sz w:val="24"/>
          <w:szCs w:val="24"/>
          <w:bdr w:val="single" w:sz="2" w:space="0" w:color="ECEDEE" w:frame="1"/>
        </w:rPr>
        <w:t>Heart</w:t>
      </w:r>
      <w:r w:rsidRPr="0025273D">
        <w:rPr>
          <w:rFonts w:ascii="Arial" w:hAnsi="Arial" w:cs="Arial"/>
          <w:sz w:val="24"/>
          <w:szCs w:val="24"/>
        </w:rPr>
        <w:t>, </w:t>
      </w:r>
      <w:r w:rsidRPr="0025273D">
        <w:rPr>
          <w:rFonts w:ascii="Arial" w:hAnsi="Arial" w:cs="Arial"/>
          <w:sz w:val="24"/>
          <w:szCs w:val="24"/>
          <w:bdr w:val="single" w:sz="2" w:space="0" w:color="ECEDEE" w:frame="1"/>
        </w:rPr>
        <w:t>107</w:t>
      </w:r>
      <w:r w:rsidRPr="0025273D">
        <w:rPr>
          <w:rFonts w:ascii="Arial" w:hAnsi="Arial" w:cs="Arial"/>
          <w:sz w:val="24"/>
          <w:szCs w:val="24"/>
        </w:rPr>
        <w:t>(10), 783–789.</w:t>
      </w:r>
    </w:p>
    <w:p w14:paraId="30949D36" w14:textId="77777777" w:rsidR="004942B6" w:rsidRPr="00446BF8" w:rsidRDefault="004942B6" w:rsidP="004942B6">
      <w:pPr>
        <w:pStyle w:val="ListParagraph"/>
        <w:rPr>
          <w:rFonts w:ascii="Arial" w:hAnsi="Arial" w:cs="Arial"/>
          <w:sz w:val="24"/>
          <w:szCs w:val="24"/>
          <w:lang w:val="nl-NL"/>
        </w:rPr>
      </w:pPr>
    </w:p>
    <w:p w14:paraId="505FDECF"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lang w:val="nl-NL"/>
        </w:rPr>
        <w:t xml:space="preserve">Masdjedi K, Van Zandvoort LJ, Balbi, et al. </w:t>
      </w:r>
      <w:r w:rsidRPr="00446BF8">
        <w:rPr>
          <w:rFonts w:ascii="Arial" w:hAnsi="Arial" w:cs="Arial"/>
          <w:sz w:val="24"/>
          <w:szCs w:val="24"/>
        </w:rPr>
        <w:t>(2020). Validation of a three-dimensional quantitative coronary angiography-based software to calculate fractional flow reserve: the FAST study. </w:t>
      </w:r>
      <w:r w:rsidRPr="00446BF8">
        <w:rPr>
          <w:rFonts w:ascii="Arial" w:hAnsi="Arial" w:cs="Arial"/>
          <w:sz w:val="24"/>
          <w:szCs w:val="24"/>
          <w:bdr w:val="single" w:sz="2" w:space="0" w:color="ECEDEE" w:frame="1"/>
        </w:rPr>
        <w:t>Eurointervention</w:t>
      </w:r>
      <w:r w:rsidRPr="00446BF8">
        <w:rPr>
          <w:rFonts w:ascii="Arial" w:hAnsi="Arial" w:cs="Arial"/>
          <w:sz w:val="24"/>
          <w:szCs w:val="24"/>
        </w:rPr>
        <w:t>, </w:t>
      </w:r>
      <w:r w:rsidRPr="00446BF8">
        <w:rPr>
          <w:rFonts w:ascii="Arial" w:hAnsi="Arial" w:cs="Arial"/>
          <w:sz w:val="24"/>
          <w:szCs w:val="24"/>
          <w:bdr w:val="single" w:sz="2" w:space="0" w:color="ECEDEE" w:frame="1"/>
        </w:rPr>
        <w:t>16</w:t>
      </w:r>
      <w:r w:rsidRPr="00446BF8">
        <w:rPr>
          <w:rFonts w:ascii="Arial" w:hAnsi="Arial" w:cs="Arial"/>
          <w:sz w:val="24"/>
          <w:szCs w:val="24"/>
        </w:rPr>
        <w:t>(7), 591–599.</w:t>
      </w:r>
    </w:p>
    <w:p w14:paraId="08F37BE7" w14:textId="77777777" w:rsidR="004942B6" w:rsidRPr="00446BF8" w:rsidRDefault="004942B6" w:rsidP="004942B6">
      <w:pPr>
        <w:pStyle w:val="ListParagraph"/>
        <w:rPr>
          <w:rFonts w:ascii="Arial" w:hAnsi="Arial" w:cs="Arial"/>
          <w:sz w:val="24"/>
          <w:szCs w:val="24"/>
        </w:rPr>
      </w:pPr>
    </w:p>
    <w:p w14:paraId="7FE4F214"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Morris PD, Ryan D, Morton A, et al. (2013). Virtual Fractional flow reserve from Coronary angiography: Modelling the significance of coronary lesions. </w:t>
      </w:r>
      <w:r w:rsidRPr="00446BF8">
        <w:rPr>
          <w:rFonts w:ascii="Arial" w:hAnsi="Arial" w:cs="Arial"/>
          <w:sz w:val="24"/>
          <w:szCs w:val="24"/>
          <w:bdr w:val="single" w:sz="2" w:space="0" w:color="ECEDEE" w:frame="1"/>
        </w:rPr>
        <w:t>JACC Cardiovasc Interven</w:t>
      </w:r>
      <w:r w:rsidRPr="00446BF8">
        <w:rPr>
          <w:rFonts w:ascii="Arial" w:hAnsi="Arial" w:cs="Arial"/>
          <w:sz w:val="24"/>
          <w:szCs w:val="24"/>
        </w:rPr>
        <w:t>, </w:t>
      </w:r>
      <w:r w:rsidRPr="00446BF8">
        <w:rPr>
          <w:rFonts w:ascii="Arial" w:hAnsi="Arial" w:cs="Arial"/>
          <w:sz w:val="24"/>
          <w:szCs w:val="24"/>
          <w:bdr w:val="single" w:sz="2" w:space="0" w:color="ECEDEE" w:frame="1"/>
        </w:rPr>
        <w:t>6</w:t>
      </w:r>
      <w:r w:rsidRPr="00446BF8">
        <w:rPr>
          <w:rFonts w:ascii="Arial" w:hAnsi="Arial" w:cs="Arial"/>
          <w:sz w:val="24"/>
          <w:szCs w:val="24"/>
        </w:rPr>
        <w:t>(2), 149–157. </w:t>
      </w:r>
    </w:p>
    <w:p w14:paraId="0D27ED11" w14:textId="77777777" w:rsidR="004942B6" w:rsidRPr="00446BF8" w:rsidRDefault="004942B6" w:rsidP="004942B6">
      <w:pPr>
        <w:pStyle w:val="ListParagraph"/>
        <w:rPr>
          <w:rFonts w:ascii="Arial" w:hAnsi="Arial" w:cs="Arial"/>
          <w:color w:val="212121"/>
          <w:sz w:val="24"/>
          <w:szCs w:val="24"/>
          <w:shd w:val="clear" w:color="auto" w:fill="FFFFFF"/>
          <w:lang w:val="pt-PT"/>
        </w:rPr>
      </w:pPr>
    </w:p>
    <w:p w14:paraId="4FBE6C22"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color w:val="212121"/>
          <w:sz w:val="24"/>
          <w:szCs w:val="24"/>
          <w:shd w:val="clear" w:color="auto" w:fill="FFFFFF"/>
          <w:lang w:val="pt-PT"/>
        </w:rPr>
        <w:t xml:space="preserve">Morris PD, Curzen N, Gunn JP. </w:t>
      </w:r>
      <w:r w:rsidRPr="00446BF8">
        <w:rPr>
          <w:rFonts w:ascii="Arial" w:hAnsi="Arial" w:cs="Arial"/>
          <w:color w:val="212121"/>
          <w:sz w:val="24"/>
          <w:szCs w:val="24"/>
          <w:shd w:val="clear" w:color="auto" w:fill="FFFFFF"/>
        </w:rPr>
        <w:t>(2020). Angiography-Derived Fractional Flow Reserve: More or Less Physiology?. J Am Heart Assoc, 9(6), e015586.</w:t>
      </w:r>
    </w:p>
    <w:p w14:paraId="57472EB7" w14:textId="77777777" w:rsidR="004942B6" w:rsidRPr="00446BF8" w:rsidRDefault="004942B6" w:rsidP="004942B6">
      <w:pPr>
        <w:pStyle w:val="ListParagraph"/>
        <w:rPr>
          <w:rFonts w:ascii="Arial" w:hAnsi="Arial" w:cs="Arial"/>
          <w:sz w:val="24"/>
          <w:szCs w:val="24"/>
        </w:rPr>
      </w:pPr>
    </w:p>
    <w:p w14:paraId="60D7FE91"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Gosling R, Morris PD, Soto S, et al. (2019). Virtual coronary intervention. </w:t>
      </w:r>
      <w:r w:rsidRPr="00446BF8">
        <w:rPr>
          <w:rFonts w:ascii="Arial" w:hAnsi="Arial" w:cs="Arial"/>
          <w:sz w:val="24"/>
          <w:szCs w:val="24"/>
          <w:bdr w:val="single" w:sz="2" w:space="0" w:color="ECEDEE" w:frame="1"/>
        </w:rPr>
        <w:t>JACC Cardiovasc Imag</w:t>
      </w:r>
      <w:r w:rsidRPr="00446BF8">
        <w:rPr>
          <w:rFonts w:ascii="Arial" w:hAnsi="Arial" w:cs="Arial"/>
          <w:sz w:val="24"/>
          <w:szCs w:val="24"/>
        </w:rPr>
        <w:t>, </w:t>
      </w:r>
      <w:r w:rsidRPr="00446BF8">
        <w:rPr>
          <w:rFonts w:ascii="Arial" w:hAnsi="Arial" w:cs="Arial"/>
          <w:sz w:val="24"/>
          <w:szCs w:val="24"/>
          <w:bdr w:val="single" w:sz="2" w:space="0" w:color="ECEDEE" w:frame="1"/>
        </w:rPr>
        <w:t>12</w:t>
      </w:r>
      <w:r w:rsidRPr="00446BF8">
        <w:rPr>
          <w:rFonts w:ascii="Arial" w:hAnsi="Arial" w:cs="Arial"/>
          <w:sz w:val="24"/>
          <w:szCs w:val="24"/>
        </w:rPr>
        <w:t>(5), 865–872.</w:t>
      </w:r>
    </w:p>
    <w:p w14:paraId="594DE394" w14:textId="77777777" w:rsidR="004942B6" w:rsidRPr="00446BF8" w:rsidRDefault="004942B6" w:rsidP="004942B6">
      <w:pPr>
        <w:pStyle w:val="ListParagraph"/>
        <w:rPr>
          <w:rFonts w:ascii="Arial" w:hAnsi="Arial" w:cs="Arial"/>
          <w:sz w:val="24"/>
          <w:szCs w:val="24"/>
        </w:rPr>
      </w:pPr>
    </w:p>
    <w:p w14:paraId="1C209BFB"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Scoccia A, Tomaniak M, Neleman T, et al. (2022). Angiography-Based Fractional Flow Reserve: state of the art. </w:t>
      </w:r>
      <w:r w:rsidRPr="00446BF8">
        <w:rPr>
          <w:rFonts w:ascii="Arial" w:hAnsi="Arial" w:cs="Arial"/>
          <w:sz w:val="24"/>
          <w:szCs w:val="24"/>
          <w:bdr w:val="single" w:sz="2" w:space="0" w:color="ECEDEE" w:frame="1"/>
        </w:rPr>
        <w:t>Curr Cardiol Rep</w:t>
      </w:r>
      <w:r w:rsidRPr="00446BF8">
        <w:rPr>
          <w:rFonts w:ascii="Arial" w:hAnsi="Arial" w:cs="Arial"/>
          <w:sz w:val="24"/>
          <w:szCs w:val="24"/>
        </w:rPr>
        <w:t>, </w:t>
      </w:r>
      <w:r w:rsidRPr="00446BF8">
        <w:rPr>
          <w:rFonts w:ascii="Arial" w:hAnsi="Arial" w:cs="Arial"/>
          <w:sz w:val="24"/>
          <w:szCs w:val="24"/>
          <w:bdr w:val="single" w:sz="2" w:space="0" w:color="ECEDEE" w:frame="1"/>
        </w:rPr>
        <w:t>24</w:t>
      </w:r>
      <w:r w:rsidRPr="00446BF8">
        <w:rPr>
          <w:rFonts w:ascii="Arial" w:hAnsi="Arial" w:cs="Arial"/>
          <w:sz w:val="24"/>
          <w:szCs w:val="24"/>
        </w:rPr>
        <w:t>(6), 667–678.</w:t>
      </w:r>
    </w:p>
    <w:p w14:paraId="2A0C9F49" w14:textId="77777777" w:rsidR="004942B6" w:rsidRPr="00446BF8" w:rsidRDefault="004942B6" w:rsidP="004942B6">
      <w:pPr>
        <w:pStyle w:val="ListParagraph"/>
        <w:rPr>
          <w:rFonts w:ascii="Arial" w:hAnsi="Arial" w:cs="Arial"/>
          <w:color w:val="212121"/>
          <w:sz w:val="24"/>
          <w:szCs w:val="24"/>
          <w:shd w:val="clear" w:color="auto" w:fill="FFFFFF"/>
          <w:lang w:val="nl-NL"/>
        </w:rPr>
      </w:pPr>
    </w:p>
    <w:p w14:paraId="414788B7"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color w:val="212121"/>
          <w:sz w:val="24"/>
          <w:szCs w:val="24"/>
          <w:shd w:val="clear" w:color="auto" w:fill="FFFFFF"/>
          <w:lang w:val="nl-NL"/>
        </w:rPr>
        <w:t xml:space="preserve">Westra J, Andersen BK, Campo, et al. </w:t>
      </w:r>
      <w:r w:rsidRPr="00446BF8">
        <w:rPr>
          <w:rFonts w:ascii="Arial" w:hAnsi="Arial" w:cs="Arial"/>
          <w:color w:val="212121"/>
          <w:sz w:val="24"/>
          <w:szCs w:val="24"/>
          <w:shd w:val="clear" w:color="auto" w:fill="FFFFFF"/>
        </w:rPr>
        <w:t>(2018). Diagnostic Performance of In-Procedure Angiography-Derived Quantitative Flow Reserve Compared to Pressure-Derived Fractional Flow Reserve: The FAVOR II Europe-Japan Study. J Am Heart Assoc, 7(14), e009603.</w:t>
      </w:r>
    </w:p>
    <w:p w14:paraId="70549C1C" w14:textId="77777777" w:rsidR="004942B6" w:rsidRPr="00446BF8" w:rsidRDefault="004942B6" w:rsidP="004942B6">
      <w:pPr>
        <w:pStyle w:val="ListParagraph"/>
        <w:rPr>
          <w:rFonts w:ascii="Arial" w:hAnsi="Arial" w:cs="Arial"/>
          <w:sz w:val="24"/>
          <w:szCs w:val="24"/>
          <w:lang w:val="fr-FR"/>
        </w:rPr>
      </w:pPr>
    </w:p>
    <w:p w14:paraId="78F5D0E2"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lang w:val="fr-FR"/>
        </w:rPr>
        <w:t xml:space="preserve">Xu B, Tu S, Song L, et al. </w:t>
      </w:r>
      <w:r w:rsidRPr="00446BF8">
        <w:rPr>
          <w:rFonts w:ascii="Arial" w:hAnsi="Arial" w:cs="Arial"/>
          <w:sz w:val="24"/>
          <w:szCs w:val="24"/>
        </w:rPr>
        <w:t>(2021). Angiographic quantitative flow ratio-guided coronary intervention (FAVOR III China): a multicentre, randomised, sham-controlled trial. </w:t>
      </w:r>
      <w:r w:rsidRPr="00446BF8">
        <w:rPr>
          <w:rFonts w:ascii="Arial" w:hAnsi="Arial" w:cs="Arial"/>
          <w:sz w:val="24"/>
          <w:szCs w:val="24"/>
          <w:bdr w:val="single" w:sz="2" w:space="0" w:color="ECEDEE" w:frame="1"/>
        </w:rPr>
        <w:t>The Lancet</w:t>
      </w:r>
      <w:r w:rsidRPr="00446BF8">
        <w:rPr>
          <w:rFonts w:ascii="Arial" w:hAnsi="Arial" w:cs="Arial"/>
          <w:sz w:val="24"/>
          <w:szCs w:val="24"/>
        </w:rPr>
        <w:t>, </w:t>
      </w:r>
      <w:r w:rsidRPr="00446BF8">
        <w:rPr>
          <w:rFonts w:ascii="Arial" w:hAnsi="Arial" w:cs="Arial"/>
          <w:sz w:val="24"/>
          <w:szCs w:val="24"/>
          <w:bdr w:val="single" w:sz="2" w:space="0" w:color="ECEDEE" w:frame="1"/>
        </w:rPr>
        <w:t>398</w:t>
      </w:r>
      <w:r w:rsidRPr="00446BF8">
        <w:rPr>
          <w:rFonts w:ascii="Arial" w:hAnsi="Arial" w:cs="Arial"/>
          <w:sz w:val="24"/>
          <w:szCs w:val="24"/>
        </w:rPr>
        <w:t>(10317), 2149–2159.</w:t>
      </w:r>
    </w:p>
    <w:p w14:paraId="095B71E7" w14:textId="77777777" w:rsidR="004942B6" w:rsidRPr="00446BF8" w:rsidRDefault="004942B6" w:rsidP="004942B6">
      <w:pPr>
        <w:pStyle w:val="ListParagraph"/>
        <w:rPr>
          <w:rFonts w:ascii="Arial" w:hAnsi="Arial" w:cs="Arial"/>
          <w:sz w:val="24"/>
          <w:szCs w:val="24"/>
          <w:lang w:val="nl-NL"/>
        </w:rPr>
      </w:pPr>
    </w:p>
    <w:p w14:paraId="142D71E1"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lang w:val="nl-NL"/>
        </w:rPr>
        <w:lastRenderedPageBreak/>
        <w:t xml:space="preserve">Neleman T, Masdjedi K, Van Zandvoort, et al. </w:t>
      </w:r>
      <w:r w:rsidRPr="00446BF8">
        <w:rPr>
          <w:rFonts w:ascii="Arial" w:hAnsi="Arial" w:cs="Arial"/>
          <w:sz w:val="24"/>
          <w:szCs w:val="24"/>
        </w:rPr>
        <w:t>(2021). Extended validation of novel 3D Quantitative coronary angiography-based software to calculate vFFR. </w:t>
      </w:r>
      <w:r w:rsidRPr="00446BF8">
        <w:rPr>
          <w:rFonts w:ascii="Arial" w:hAnsi="Arial" w:cs="Arial"/>
          <w:sz w:val="24"/>
          <w:szCs w:val="24"/>
          <w:bdr w:val="single" w:sz="2" w:space="0" w:color="ECEDEE" w:frame="1"/>
        </w:rPr>
        <w:t>JACC Cardiovasc Imag</w:t>
      </w:r>
      <w:r w:rsidRPr="00446BF8">
        <w:rPr>
          <w:rFonts w:ascii="Arial" w:hAnsi="Arial" w:cs="Arial"/>
          <w:sz w:val="24"/>
          <w:szCs w:val="24"/>
        </w:rPr>
        <w:t>, </w:t>
      </w:r>
      <w:r w:rsidRPr="00446BF8">
        <w:rPr>
          <w:rFonts w:ascii="Arial" w:hAnsi="Arial" w:cs="Arial"/>
          <w:sz w:val="24"/>
          <w:szCs w:val="24"/>
          <w:bdr w:val="single" w:sz="2" w:space="0" w:color="ECEDEE" w:frame="1"/>
        </w:rPr>
        <w:t>14</w:t>
      </w:r>
      <w:r w:rsidRPr="00446BF8">
        <w:rPr>
          <w:rFonts w:ascii="Arial" w:hAnsi="Arial" w:cs="Arial"/>
          <w:sz w:val="24"/>
          <w:szCs w:val="24"/>
        </w:rPr>
        <w:t>(2), 504–506.</w:t>
      </w:r>
    </w:p>
    <w:p w14:paraId="2E7678BD" w14:textId="77777777" w:rsidR="004942B6" w:rsidRPr="00446BF8" w:rsidRDefault="004942B6" w:rsidP="004942B6">
      <w:pPr>
        <w:pStyle w:val="ListParagraph"/>
        <w:rPr>
          <w:rFonts w:ascii="Arial" w:hAnsi="Arial" w:cs="Arial"/>
          <w:sz w:val="24"/>
          <w:szCs w:val="24"/>
        </w:rPr>
      </w:pPr>
    </w:p>
    <w:p w14:paraId="1202C6C0"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Masdjedi K, Tanaka N, Van Belle É, et al. (2022). Vessel fractional flow reserve (vFFR) for the assessment of stenosis severity: the FAST II study. </w:t>
      </w:r>
      <w:r w:rsidRPr="00446BF8">
        <w:rPr>
          <w:rFonts w:ascii="Arial" w:hAnsi="Arial" w:cs="Arial"/>
          <w:sz w:val="24"/>
          <w:szCs w:val="24"/>
          <w:bdr w:val="single" w:sz="2" w:space="0" w:color="ECEDEE" w:frame="1"/>
        </w:rPr>
        <w:t>Eurointervention</w:t>
      </w:r>
      <w:r w:rsidRPr="00446BF8">
        <w:rPr>
          <w:rFonts w:ascii="Arial" w:hAnsi="Arial" w:cs="Arial"/>
          <w:sz w:val="24"/>
          <w:szCs w:val="24"/>
        </w:rPr>
        <w:t>, </w:t>
      </w:r>
      <w:r w:rsidRPr="00446BF8">
        <w:rPr>
          <w:rFonts w:ascii="Arial" w:hAnsi="Arial" w:cs="Arial"/>
          <w:sz w:val="24"/>
          <w:szCs w:val="24"/>
          <w:bdr w:val="single" w:sz="2" w:space="0" w:color="ECEDEE" w:frame="1"/>
        </w:rPr>
        <w:t>17</w:t>
      </w:r>
      <w:r w:rsidRPr="00446BF8">
        <w:rPr>
          <w:rFonts w:ascii="Arial" w:hAnsi="Arial" w:cs="Arial"/>
          <w:sz w:val="24"/>
          <w:szCs w:val="24"/>
        </w:rPr>
        <w:t>(18), 1498–1505.</w:t>
      </w:r>
    </w:p>
    <w:p w14:paraId="0F8F704C" w14:textId="77777777" w:rsidR="004942B6" w:rsidRPr="00446BF8" w:rsidRDefault="004942B6" w:rsidP="004942B6">
      <w:pPr>
        <w:pStyle w:val="ListParagraph"/>
        <w:rPr>
          <w:rFonts w:ascii="Arial" w:hAnsi="Arial" w:cs="Arial"/>
          <w:sz w:val="24"/>
          <w:szCs w:val="24"/>
        </w:rPr>
      </w:pPr>
    </w:p>
    <w:p w14:paraId="0CD3BE19"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Fearon WF, Achenbach S, Engstrøm T, Assali A, et al. (2019). Accuracy of fractional flow reserve derived from coronary angiography. </w:t>
      </w:r>
      <w:r w:rsidRPr="00446BF8">
        <w:rPr>
          <w:rFonts w:ascii="Arial" w:hAnsi="Arial" w:cs="Arial"/>
          <w:sz w:val="24"/>
          <w:szCs w:val="24"/>
          <w:bdr w:val="single" w:sz="2" w:space="0" w:color="ECEDEE" w:frame="1"/>
        </w:rPr>
        <w:t>Circulation</w:t>
      </w:r>
      <w:r w:rsidRPr="00446BF8">
        <w:rPr>
          <w:rFonts w:ascii="Arial" w:hAnsi="Arial" w:cs="Arial"/>
          <w:sz w:val="24"/>
          <w:szCs w:val="24"/>
        </w:rPr>
        <w:t>, </w:t>
      </w:r>
      <w:r w:rsidRPr="00446BF8">
        <w:rPr>
          <w:rFonts w:ascii="Arial" w:hAnsi="Arial" w:cs="Arial"/>
          <w:sz w:val="24"/>
          <w:szCs w:val="24"/>
          <w:bdr w:val="single" w:sz="2" w:space="0" w:color="ECEDEE" w:frame="1"/>
        </w:rPr>
        <w:t>139</w:t>
      </w:r>
      <w:r w:rsidRPr="00446BF8">
        <w:rPr>
          <w:rFonts w:ascii="Arial" w:hAnsi="Arial" w:cs="Arial"/>
          <w:sz w:val="24"/>
          <w:szCs w:val="24"/>
        </w:rPr>
        <w:t>(4), 477–484.</w:t>
      </w:r>
    </w:p>
    <w:p w14:paraId="3230782F" w14:textId="77777777" w:rsidR="004942B6" w:rsidRPr="00446BF8" w:rsidRDefault="004942B6" w:rsidP="004942B6">
      <w:pPr>
        <w:pStyle w:val="ListParagraph"/>
        <w:rPr>
          <w:rFonts w:ascii="Arial" w:hAnsi="Arial" w:cs="Arial"/>
          <w:sz w:val="24"/>
          <w:szCs w:val="24"/>
        </w:rPr>
      </w:pPr>
    </w:p>
    <w:p w14:paraId="087F7845"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Witberg G, De Bruyne B, Fearon WF, et al. (2020). Diagnostic performance of Angiogram-Derived fractional flow reserve. </w:t>
      </w:r>
      <w:r w:rsidRPr="00446BF8">
        <w:rPr>
          <w:rFonts w:ascii="Arial" w:hAnsi="Arial" w:cs="Arial"/>
          <w:sz w:val="24"/>
          <w:szCs w:val="24"/>
          <w:bdr w:val="single" w:sz="2" w:space="0" w:color="ECEDEE" w:frame="1"/>
        </w:rPr>
        <w:t>JACC Cardiovasc Interven</w:t>
      </w:r>
      <w:r w:rsidRPr="00446BF8">
        <w:rPr>
          <w:rFonts w:ascii="Arial" w:hAnsi="Arial" w:cs="Arial"/>
          <w:sz w:val="24"/>
          <w:szCs w:val="24"/>
        </w:rPr>
        <w:t>, </w:t>
      </w:r>
      <w:r w:rsidRPr="00446BF8">
        <w:rPr>
          <w:rFonts w:ascii="Arial" w:hAnsi="Arial" w:cs="Arial"/>
          <w:sz w:val="24"/>
          <w:szCs w:val="24"/>
          <w:bdr w:val="single" w:sz="2" w:space="0" w:color="ECEDEE" w:frame="1"/>
        </w:rPr>
        <w:t>13</w:t>
      </w:r>
      <w:r w:rsidRPr="00446BF8">
        <w:rPr>
          <w:rFonts w:ascii="Arial" w:hAnsi="Arial" w:cs="Arial"/>
          <w:sz w:val="24"/>
          <w:szCs w:val="24"/>
        </w:rPr>
        <w:t>(4), 488–497.</w:t>
      </w:r>
    </w:p>
    <w:p w14:paraId="1D35B6B3" w14:textId="77777777" w:rsidR="004942B6" w:rsidRPr="00446BF8" w:rsidRDefault="004942B6" w:rsidP="004942B6">
      <w:pPr>
        <w:pStyle w:val="ListParagraph"/>
        <w:rPr>
          <w:rFonts w:ascii="Arial" w:hAnsi="Arial" w:cs="Arial"/>
          <w:sz w:val="24"/>
          <w:szCs w:val="24"/>
        </w:rPr>
      </w:pPr>
    </w:p>
    <w:p w14:paraId="30AEBD61"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Omori H, Witberg G, Kawase Y, et al. (2019). Angiogram based fractional flow reserve in patients with dual/triple vessel coronary artery disease. </w:t>
      </w:r>
      <w:r w:rsidRPr="00446BF8">
        <w:rPr>
          <w:rFonts w:ascii="Arial" w:hAnsi="Arial" w:cs="Arial"/>
          <w:sz w:val="24"/>
          <w:szCs w:val="24"/>
          <w:bdr w:val="single" w:sz="2" w:space="0" w:color="ECEDEE" w:frame="1"/>
        </w:rPr>
        <w:t>Int J Cardiol</w:t>
      </w:r>
      <w:r w:rsidRPr="00446BF8">
        <w:rPr>
          <w:rFonts w:ascii="Arial" w:hAnsi="Arial" w:cs="Arial"/>
          <w:sz w:val="24"/>
          <w:szCs w:val="24"/>
        </w:rPr>
        <w:t>, </w:t>
      </w:r>
      <w:r w:rsidRPr="00446BF8">
        <w:rPr>
          <w:rFonts w:ascii="Arial" w:hAnsi="Arial" w:cs="Arial"/>
          <w:sz w:val="24"/>
          <w:szCs w:val="24"/>
          <w:bdr w:val="single" w:sz="2" w:space="0" w:color="ECEDEE" w:frame="1"/>
        </w:rPr>
        <w:t>283</w:t>
      </w:r>
      <w:r w:rsidRPr="00446BF8">
        <w:rPr>
          <w:rFonts w:ascii="Arial" w:hAnsi="Arial" w:cs="Arial"/>
          <w:sz w:val="24"/>
          <w:szCs w:val="24"/>
        </w:rPr>
        <w:t>, 17–22.</w:t>
      </w:r>
    </w:p>
    <w:p w14:paraId="3AA40F99" w14:textId="77777777" w:rsidR="004942B6" w:rsidRPr="00446BF8" w:rsidRDefault="004942B6" w:rsidP="004942B6">
      <w:pPr>
        <w:pStyle w:val="ListParagraph"/>
        <w:rPr>
          <w:rFonts w:ascii="Arial" w:hAnsi="Arial" w:cs="Arial"/>
          <w:sz w:val="24"/>
          <w:szCs w:val="24"/>
        </w:rPr>
      </w:pPr>
    </w:p>
    <w:p w14:paraId="42F746DC"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Witberg G, Bental T, Levi A, et al. (2022). Clinical outcomes of FFRangio-Guided treatment for coronary artery disease. </w:t>
      </w:r>
      <w:r w:rsidRPr="00446BF8">
        <w:rPr>
          <w:rFonts w:ascii="Arial" w:hAnsi="Arial" w:cs="Arial"/>
          <w:sz w:val="24"/>
          <w:szCs w:val="24"/>
          <w:bdr w:val="single" w:sz="2" w:space="0" w:color="ECEDEE" w:frame="1"/>
        </w:rPr>
        <w:t>JACC Cardiovasc Interven</w:t>
      </w:r>
      <w:r w:rsidRPr="00446BF8">
        <w:rPr>
          <w:rFonts w:ascii="Arial" w:hAnsi="Arial" w:cs="Arial"/>
          <w:sz w:val="24"/>
          <w:szCs w:val="24"/>
        </w:rPr>
        <w:t>, </w:t>
      </w:r>
      <w:r w:rsidRPr="00446BF8">
        <w:rPr>
          <w:rFonts w:ascii="Arial" w:hAnsi="Arial" w:cs="Arial"/>
          <w:sz w:val="24"/>
          <w:szCs w:val="24"/>
          <w:bdr w:val="single" w:sz="2" w:space="0" w:color="ECEDEE" w:frame="1"/>
        </w:rPr>
        <w:t>15</w:t>
      </w:r>
      <w:r w:rsidRPr="00446BF8">
        <w:rPr>
          <w:rFonts w:ascii="Arial" w:hAnsi="Arial" w:cs="Arial"/>
          <w:sz w:val="24"/>
          <w:szCs w:val="24"/>
        </w:rPr>
        <w:t>(4), 468–470.</w:t>
      </w:r>
    </w:p>
    <w:p w14:paraId="23663D71" w14:textId="77777777" w:rsidR="004942B6" w:rsidRPr="00446BF8" w:rsidRDefault="004942B6" w:rsidP="004942B6">
      <w:pPr>
        <w:pStyle w:val="ListParagraph"/>
        <w:rPr>
          <w:rFonts w:ascii="Arial" w:hAnsi="Arial" w:cs="Arial"/>
          <w:color w:val="212121"/>
          <w:sz w:val="24"/>
          <w:szCs w:val="24"/>
          <w:shd w:val="clear" w:color="auto" w:fill="FFFFFF"/>
        </w:rPr>
      </w:pPr>
    </w:p>
    <w:p w14:paraId="244FD186"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color w:val="212121"/>
          <w:sz w:val="24"/>
          <w:szCs w:val="24"/>
          <w:shd w:val="clear" w:color="auto" w:fill="FFFFFF"/>
        </w:rPr>
        <w:t>Kim KH, Doh JH, Koo BK, et al. (2014). A novel non-invasive technology for treatment planning using virtual coronary stenting and computed tomography-derived computed fractional flow reserve. JACC Cardiovasc interven, 7(1), 72–78.</w:t>
      </w:r>
    </w:p>
    <w:p w14:paraId="2525C15F" w14:textId="77777777" w:rsidR="004942B6" w:rsidRPr="00446BF8" w:rsidRDefault="004942B6" w:rsidP="004942B6">
      <w:pPr>
        <w:pStyle w:val="ListParagraph"/>
        <w:rPr>
          <w:rFonts w:ascii="Arial" w:hAnsi="Arial" w:cs="Arial"/>
          <w:sz w:val="24"/>
          <w:szCs w:val="24"/>
          <w:lang w:val="sv-SE"/>
        </w:rPr>
      </w:pPr>
    </w:p>
    <w:p w14:paraId="34781C20"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lang w:val="sv-SE"/>
        </w:rPr>
        <w:t xml:space="preserve">Lal K, Gosling R, Ghobrial M, et al. </w:t>
      </w:r>
      <w:r w:rsidRPr="00446BF8">
        <w:rPr>
          <w:rFonts w:ascii="Arial" w:hAnsi="Arial" w:cs="Arial"/>
          <w:sz w:val="24"/>
          <w:szCs w:val="24"/>
        </w:rPr>
        <w:t>(2021). Operator-dependent variability of angiography-derived fractional flow reserve and the implications for treatment. </w:t>
      </w:r>
      <w:r w:rsidRPr="00446BF8">
        <w:rPr>
          <w:rFonts w:ascii="Arial" w:hAnsi="Arial" w:cs="Arial"/>
          <w:sz w:val="24"/>
          <w:szCs w:val="24"/>
          <w:bdr w:val="single" w:sz="2" w:space="0" w:color="ECEDEE" w:frame="1"/>
        </w:rPr>
        <w:t>Eur Heart J</w:t>
      </w:r>
      <w:r w:rsidRPr="00446BF8">
        <w:rPr>
          <w:rFonts w:ascii="Arial" w:hAnsi="Arial" w:cs="Arial"/>
          <w:sz w:val="24"/>
          <w:szCs w:val="24"/>
        </w:rPr>
        <w:t>, </w:t>
      </w:r>
      <w:r w:rsidRPr="00446BF8">
        <w:rPr>
          <w:rFonts w:ascii="Arial" w:hAnsi="Arial" w:cs="Arial"/>
          <w:sz w:val="24"/>
          <w:szCs w:val="24"/>
          <w:bdr w:val="single" w:sz="2" w:space="0" w:color="ECEDEE" w:frame="1"/>
        </w:rPr>
        <w:t>2</w:t>
      </w:r>
      <w:r w:rsidRPr="00446BF8">
        <w:rPr>
          <w:rFonts w:ascii="Arial" w:hAnsi="Arial" w:cs="Arial"/>
          <w:sz w:val="24"/>
          <w:szCs w:val="24"/>
        </w:rPr>
        <w:t>(2), 263–270. </w:t>
      </w:r>
    </w:p>
    <w:p w14:paraId="7EDBBD74" w14:textId="77777777" w:rsidR="004942B6" w:rsidRPr="00446BF8" w:rsidRDefault="004942B6" w:rsidP="004942B6">
      <w:pPr>
        <w:pStyle w:val="ListParagraph"/>
        <w:rPr>
          <w:rFonts w:ascii="Arial" w:hAnsi="Arial" w:cs="Arial"/>
          <w:spacing w:val="-5"/>
          <w:sz w:val="24"/>
          <w:szCs w:val="24"/>
          <w:shd w:val="clear" w:color="auto" w:fill="FFFFFF"/>
        </w:rPr>
      </w:pPr>
    </w:p>
    <w:p w14:paraId="4F00166F"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pacing w:val="-5"/>
          <w:sz w:val="24"/>
          <w:szCs w:val="24"/>
          <w:shd w:val="clear" w:color="auto" w:fill="FFFFFF"/>
        </w:rPr>
        <w:t>Arrow KJ. (1963). Uncertainty and the Welfare Economics of Medical Care. Am Econ Rev, 53(5), 941–973.</w:t>
      </w:r>
    </w:p>
    <w:p w14:paraId="51696D93" w14:textId="77777777" w:rsidR="004942B6" w:rsidRPr="00446BF8" w:rsidRDefault="004942B6" w:rsidP="004942B6">
      <w:pPr>
        <w:pStyle w:val="ListParagraph"/>
        <w:rPr>
          <w:rFonts w:ascii="Arial" w:hAnsi="Arial" w:cs="Arial"/>
          <w:sz w:val="24"/>
          <w:szCs w:val="24"/>
        </w:rPr>
      </w:pPr>
    </w:p>
    <w:p w14:paraId="549D84A8"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Kernick D, (2003). Introduction to health economics for the medical practitioner. </w:t>
      </w:r>
      <w:r w:rsidRPr="00446BF8">
        <w:rPr>
          <w:rFonts w:ascii="Arial" w:hAnsi="Arial" w:cs="Arial"/>
          <w:sz w:val="24"/>
          <w:szCs w:val="24"/>
          <w:bdr w:val="single" w:sz="2" w:space="0" w:color="ECEDEE" w:frame="1"/>
        </w:rPr>
        <w:t>Postgrad Med J</w:t>
      </w:r>
      <w:r w:rsidRPr="00446BF8">
        <w:rPr>
          <w:rFonts w:ascii="Arial" w:hAnsi="Arial" w:cs="Arial"/>
          <w:sz w:val="24"/>
          <w:szCs w:val="24"/>
        </w:rPr>
        <w:t>, </w:t>
      </w:r>
      <w:r w:rsidRPr="00446BF8">
        <w:rPr>
          <w:rFonts w:ascii="Arial" w:hAnsi="Arial" w:cs="Arial"/>
          <w:sz w:val="24"/>
          <w:szCs w:val="24"/>
          <w:bdr w:val="single" w:sz="2" w:space="0" w:color="ECEDEE" w:frame="1"/>
        </w:rPr>
        <w:t>79</w:t>
      </w:r>
      <w:r w:rsidRPr="00446BF8">
        <w:rPr>
          <w:rFonts w:ascii="Arial" w:hAnsi="Arial" w:cs="Arial"/>
          <w:sz w:val="24"/>
          <w:szCs w:val="24"/>
        </w:rPr>
        <w:t>(929), 147–150.</w:t>
      </w:r>
    </w:p>
    <w:p w14:paraId="39F6FC38" w14:textId="77777777" w:rsidR="004942B6" w:rsidRPr="00446BF8" w:rsidRDefault="004942B6" w:rsidP="004942B6">
      <w:pPr>
        <w:pStyle w:val="ListParagraph"/>
        <w:rPr>
          <w:rFonts w:ascii="Arial" w:hAnsi="Arial" w:cs="Arial"/>
          <w:sz w:val="24"/>
          <w:szCs w:val="24"/>
        </w:rPr>
      </w:pPr>
    </w:p>
    <w:p w14:paraId="5336CC5B"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Smith EA, Cooper NJ, Sutton AJ, et al. (2021). A review of the quantitative effectiveness evidence synthesis methods used in public health intervention guidelines. </w:t>
      </w:r>
      <w:r w:rsidRPr="00446BF8">
        <w:rPr>
          <w:rFonts w:ascii="Arial" w:hAnsi="Arial" w:cs="Arial"/>
          <w:sz w:val="24"/>
          <w:szCs w:val="24"/>
          <w:bdr w:val="single" w:sz="2" w:space="0" w:color="ECEDEE" w:frame="1"/>
        </w:rPr>
        <w:t>BMC Public Health</w:t>
      </w:r>
      <w:r w:rsidRPr="00446BF8">
        <w:rPr>
          <w:rFonts w:ascii="Arial" w:hAnsi="Arial" w:cs="Arial"/>
          <w:sz w:val="24"/>
          <w:szCs w:val="24"/>
        </w:rPr>
        <w:t>, </w:t>
      </w:r>
      <w:r w:rsidRPr="00446BF8">
        <w:rPr>
          <w:rFonts w:ascii="Arial" w:hAnsi="Arial" w:cs="Arial"/>
          <w:sz w:val="24"/>
          <w:szCs w:val="24"/>
          <w:bdr w:val="single" w:sz="2" w:space="0" w:color="ECEDEE" w:frame="1"/>
        </w:rPr>
        <w:t>21</w:t>
      </w:r>
      <w:r w:rsidRPr="00446BF8">
        <w:rPr>
          <w:rFonts w:ascii="Arial" w:hAnsi="Arial" w:cs="Arial"/>
          <w:sz w:val="24"/>
          <w:szCs w:val="24"/>
        </w:rPr>
        <w:t>(1), 278-283.</w:t>
      </w:r>
    </w:p>
    <w:p w14:paraId="784A9AFE" w14:textId="77777777" w:rsidR="004942B6" w:rsidRPr="00446BF8" w:rsidRDefault="004942B6" w:rsidP="004942B6">
      <w:pPr>
        <w:pStyle w:val="ListParagraph"/>
        <w:rPr>
          <w:rFonts w:ascii="Arial" w:hAnsi="Arial" w:cs="Arial"/>
          <w:sz w:val="24"/>
          <w:szCs w:val="24"/>
        </w:rPr>
      </w:pPr>
    </w:p>
    <w:p w14:paraId="6128FD9B"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Rudmik L, Drummond M. (2013). Health economic evaluation: Important principles and methodology. </w:t>
      </w:r>
      <w:r w:rsidRPr="00446BF8">
        <w:rPr>
          <w:rFonts w:ascii="Arial" w:hAnsi="Arial" w:cs="Arial"/>
          <w:sz w:val="24"/>
          <w:szCs w:val="24"/>
          <w:bdr w:val="single" w:sz="2" w:space="0" w:color="ECEDEE" w:frame="1"/>
        </w:rPr>
        <w:t>The Laryngoscope</w:t>
      </w:r>
      <w:r w:rsidRPr="00446BF8">
        <w:rPr>
          <w:rFonts w:ascii="Arial" w:hAnsi="Arial" w:cs="Arial"/>
          <w:sz w:val="24"/>
          <w:szCs w:val="24"/>
        </w:rPr>
        <w:t>, </w:t>
      </w:r>
      <w:r w:rsidRPr="00446BF8">
        <w:rPr>
          <w:rFonts w:ascii="Arial" w:hAnsi="Arial" w:cs="Arial"/>
          <w:sz w:val="24"/>
          <w:szCs w:val="24"/>
          <w:bdr w:val="single" w:sz="2" w:space="0" w:color="ECEDEE" w:frame="1"/>
        </w:rPr>
        <w:t>123</w:t>
      </w:r>
      <w:r w:rsidRPr="00446BF8">
        <w:rPr>
          <w:rFonts w:ascii="Arial" w:hAnsi="Arial" w:cs="Arial"/>
          <w:sz w:val="24"/>
          <w:szCs w:val="24"/>
        </w:rPr>
        <w:t>(6), 1341–1347.</w:t>
      </w:r>
    </w:p>
    <w:p w14:paraId="7C95FC8B" w14:textId="77777777" w:rsidR="004942B6" w:rsidRPr="00446BF8" w:rsidRDefault="004942B6" w:rsidP="004942B6">
      <w:pPr>
        <w:pStyle w:val="ListParagraph"/>
        <w:rPr>
          <w:rFonts w:ascii="Arial" w:hAnsi="Arial" w:cs="Arial"/>
          <w:color w:val="212121"/>
          <w:sz w:val="24"/>
          <w:szCs w:val="24"/>
          <w:shd w:val="clear" w:color="auto" w:fill="FFFFFF"/>
        </w:rPr>
      </w:pPr>
    </w:p>
    <w:p w14:paraId="21066D83"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color w:val="212121"/>
          <w:sz w:val="24"/>
          <w:szCs w:val="24"/>
          <w:shd w:val="clear" w:color="auto" w:fill="FFFFFF"/>
        </w:rPr>
        <w:t>Turner HC, Archer RA, Downey LE, et al. (2021). An Introduction to the Main Types of Economic Evaluations Used for Informing Priority Setting and Resource Allocation in Healthcare: Key Features, Uses, and Limitations. Front public health, 9, 722927.</w:t>
      </w:r>
    </w:p>
    <w:p w14:paraId="0EA40EBD" w14:textId="77777777" w:rsidR="004942B6" w:rsidRPr="00446BF8" w:rsidRDefault="004942B6" w:rsidP="004942B6">
      <w:pPr>
        <w:pStyle w:val="ListParagraph"/>
        <w:rPr>
          <w:rFonts w:ascii="Arial" w:hAnsi="Arial" w:cs="Arial"/>
          <w:sz w:val="24"/>
          <w:szCs w:val="24"/>
        </w:rPr>
      </w:pPr>
    </w:p>
    <w:p w14:paraId="46D61B76"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lastRenderedPageBreak/>
        <w:t>Gafni A, Birch S. (2006). Incremental cost-effectiveness ratios (ICERs): The silence of the lambda. </w:t>
      </w:r>
      <w:r w:rsidRPr="00446BF8">
        <w:rPr>
          <w:rFonts w:ascii="Arial" w:hAnsi="Arial" w:cs="Arial"/>
          <w:sz w:val="24"/>
          <w:szCs w:val="24"/>
          <w:bdr w:val="single" w:sz="2" w:space="0" w:color="ECEDEE" w:frame="1"/>
        </w:rPr>
        <w:t>Soc Sci Med</w:t>
      </w:r>
      <w:r w:rsidRPr="00446BF8">
        <w:rPr>
          <w:rFonts w:ascii="Arial" w:hAnsi="Arial" w:cs="Arial"/>
          <w:sz w:val="24"/>
          <w:szCs w:val="24"/>
        </w:rPr>
        <w:t>, </w:t>
      </w:r>
      <w:r w:rsidRPr="00446BF8">
        <w:rPr>
          <w:rFonts w:ascii="Arial" w:hAnsi="Arial" w:cs="Arial"/>
          <w:sz w:val="24"/>
          <w:szCs w:val="24"/>
          <w:bdr w:val="single" w:sz="2" w:space="0" w:color="ECEDEE" w:frame="1"/>
        </w:rPr>
        <w:t>62</w:t>
      </w:r>
      <w:r w:rsidRPr="00446BF8">
        <w:rPr>
          <w:rFonts w:ascii="Arial" w:hAnsi="Arial" w:cs="Arial"/>
          <w:sz w:val="24"/>
          <w:szCs w:val="24"/>
        </w:rPr>
        <w:t>(9), 2091–2100.</w:t>
      </w:r>
    </w:p>
    <w:p w14:paraId="1EE85D8E" w14:textId="77777777" w:rsidR="004942B6" w:rsidRPr="00446BF8" w:rsidRDefault="004942B6" w:rsidP="004942B6">
      <w:pPr>
        <w:pStyle w:val="ListParagraph"/>
        <w:rPr>
          <w:rFonts w:ascii="Arial" w:hAnsi="Arial" w:cs="Arial"/>
          <w:sz w:val="24"/>
          <w:szCs w:val="24"/>
        </w:rPr>
      </w:pPr>
    </w:p>
    <w:p w14:paraId="5359C256"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Paulden, M. (2020). Calculating and interpreting ICERs and net benefit. </w:t>
      </w:r>
      <w:r w:rsidRPr="00446BF8">
        <w:rPr>
          <w:rFonts w:ascii="Arial" w:hAnsi="Arial" w:cs="Arial"/>
          <w:sz w:val="24"/>
          <w:szCs w:val="24"/>
          <w:bdr w:val="single" w:sz="2" w:space="0" w:color="ECEDEE" w:frame="1"/>
        </w:rPr>
        <w:t>PharmacoEconomics</w:t>
      </w:r>
      <w:r w:rsidRPr="00446BF8">
        <w:rPr>
          <w:rFonts w:ascii="Arial" w:hAnsi="Arial" w:cs="Arial"/>
          <w:sz w:val="24"/>
          <w:szCs w:val="24"/>
        </w:rPr>
        <w:t>, </w:t>
      </w:r>
      <w:r w:rsidRPr="00446BF8">
        <w:rPr>
          <w:rFonts w:ascii="Arial" w:hAnsi="Arial" w:cs="Arial"/>
          <w:sz w:val="24"/>
          <w:szCs w:val="24"/>
          <w:bdr w:val="single" w:sz="2" w:space="0" w:color="ECEDEE" w:frame="1"/>
        </w:rPr>
        <w:t>38</w:t>
      </w:r>
      <w:r w:rsidRPr="00446BF8">
        <w:rPr>
          <w:rFonts w:ascii="Arial" w:hAnsi="Arial" w:cs="Arial"/>
          <w:sz w:val="24"/>
          <w:szCs w:val="24"/>
        </w:rPr>
        <w:t>(8), 785–807.</w:t>
      </w:r>
    </w:p>
    <w:p w14:paraId="35814E76" w14:textId="77777777" w:rsidR="004942B6" w:rsidRPr="00446BF8" w:rsidRDefault="004942B6" w:rsidP="004942B6">
      <w:pPr>
        <w:pStyle w:val="ListParagraph"/>
        <w:rPr>
          <w:rFonts w:ascii="Arial" w:hAnsi="Arial" w:cs="Arial"/>
          <w:sz w:val="24"/>
          <w:szCs w:val="24"/>
        </w:rPr>
      </w:pPr>
    </w:p>
    <w:p w14:paraId="3CABC9F4" w14:textId="77777777" w:rsidR="004942B6" w:rsidRPr="00446BF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Rabin R, Gudex C, Selai C, Herdman M. (2014). From Translation to Version Management: A History and Review of methods for the cultural adaptation of the EuroQOL Five-Dimensional Questionnaire. </w:t>
      </w:r>
      <w:r w:rsidRPr="00446BF8">
        <w:rPr>
          <w:rFonts w:ascii="Arial" w:hAnsi="Arial" w:cs="Arial"/>
          <w:sz w:val="24"/>
          <w:szCs w:val="24"/>
          <w:bdr w:val="single" w:sz="2" w:space="0" w:color="ECEDEE" w:frame="1"/>
        </w:rPr>
        <w:t>Value in Health</w:t>
      </w:r>
      <w:r w:rsidRPr="00446BF8">
        <w:rPr>
          <w:rFonts w:ascii="Arial" w:hAnsi="Arial" w:cs="Arial"/>
          <w:sz w:val="24"/>
          <w:szCs w:val="24"/>
        </w:rPr>
        <w:t>, </w:t>
      </w:r>
      <w:r w:rsidRPr="00446BF8">
        <w:rPr>
          <w:rFonts w:ascii="Arial" w:hAnsi="Arial" w:cs="Arial"/>
          <w:sz w:val="24"/>
          <w:szCs w:val="24"/>
          <w:bdr w:val="single" w:sz="2" w:space="0" w:color="ECEDEE" w:frame="1"/>
        </w:rPr>
        <w:t>17</w:t>
      </w:r>
      <w:r w:rsidRPr="00446BF8">
        <w:rPr>
          <w:rFonts w:ascii="Arial" w:hAnsi="Arial" w:cs="Arial"/>
          <w:sz w:val="24"/>
          <w:szCs w:val="24"/>
        </w:rPr>
        <w:t>(1), 70–76.</w:t>
      </w:r>
    </w:p>
    <w:p w14:paraId="256F5B40" w14:textId="77777777" w:rsidR="004942B6" w:rsidRPr="00446BF8" w:rsidRDefault="004942B6" w:rsidP="004942B6">
      <w:pPr>
        <w:pStyle w:val="ListParagraph"/>
        <w:rPr>
          <w:rFonts w:ascii="Arial" w:hAnsi="Arial" w:cs="Arial"/>
          <w:sz w:val="24"/>
          <w:szCs w:val="24"/>
        </w:rPr>
      </w:pPr>
    </w:p>
    <w:p w14:paraId="3C0C7646" w14:textId="77777777" w:rsidR="004942B6" w:rsidRPr="006247A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rPr>
        <w:t>Weir</w:t>
      </w:r>
      <w:r w:rsidRPr="00446BF8">
        <w:rPr>
          <w:rFonts w:ascii="Cambria Math" w:hAnsi="Cambria Math" w:cs="Cambria Math"/>
          <w:sz w:val="24"/>
          <w:szCs w:val="24"/>
        </w:rPr>
        <w:t>‐</w:t>
      </w:r>
      <w:r w:rsidRPr="00446BF8">
        <w:rPr>
          <w:rFonts w:ascii="Arial" w:hAnsi="Arial" w:cs="Arial"/>
          <w:sz w:val="24"/>
          <w:szCs w:val="24"/>
        </w:rPr>
        <w:t>McCall JR, Williams MC, Shah A, et al. (2023). National Trends in coronary Artery Disease Imaging. </w:t>
      </w:r>
      <w:r w:rsidRPr="00446BF8">
        <w:rPr>
          <w:rFonts w:ascii="Arial" w:hAnsi="Arial" w:cs="Arial"/>
          <w:sz w:val="24"/>
          <w:szCs w:val="24"/>
          <w:bdr w:val="single" w:sz="2" w:space="0" w:color="ECEDEE" w:frame="1"/>
        </w:rPr>
        <w:t>JACC Cardiovasc Imag</w:t>
      </w:r>
      <w:r w:rsidRPr="00446BF8">
        <w:rPr>
          <w:rFonts w:ascii="Arial" w:hAnsi="Arial" w:cs="Arial"/>
          <w:sz w:val="24"/>
          <w:szCs w:val="24"/>
        </w:rPr>
        <w:t>, </w:t>
      </w:r>
      <w:r w:rsidRPr="00446BF8">
        <w:rPr>
          <w:rFonts w:ascii="Arial" w:hAnsi="Arial" w:cs="Arial"/>
          <w:sz w:val="24"/>
          <w:szCs w:val="24"/>
          <w:bdr w:val="single" w:sz="2" w:space="0" w:color="ECEDEE" w:frame="1"/>
        </w:rPr>
        <w:t>16</w:t>
      </w:r>
      <w:r w:rsidRPr="00446BF8">
        <w:rPr>
          <w:rFonts w:ascii="Arial" w:hAnsi="Arial" w:cs="Arial"/>
          <w:sz w:val="24"/>
          <w:szCs w:val="24"/>
        </w:rPr>
        <w:t>(5), 659–671. </w:t>
      </w:r>
    </w:p>
    <w:p w14:paraId="452234F8" w14:textId="77777777" w:rsidR="004942B6" w:rsidRPr="006247A8" w:rsidRDefault="004942B6" w:rsidP="004942B6">
      <w:pPr>
        <w:pStyle w:val="ListParagraph"/>
        <w:rPr>
          <w:rFonts w:ascii="Arial" w:hAnsi="Arial" w:cs="Arial"/>
          <w:sz w:val="24"/>
          <w:szCs w:val="24"/>
          <w:bdr w:val="single" w:sz="2" w:space="0" w:color="ECEDEE" w:frame="1"/>
        </w:rPr>
      </w:pPr>
    </w:p>
    <w:p w14:paraId="4C56EA41" w14:textId="77777777" w:rsidR="004942B6" w:rsidRPr="006247A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446BF8">
        <w:rPr>
          <w:rFonts w:ascii="Arial" w:hAnsi="Arial" w:cs="Arial"/>
          <w:sz w:val="24"/>
          <w:szCs w:val="24"/>
          <w:bdr w:val="single" w:sz="2" w:space="0" w:color="ECEDEE" w:frame="1"/>
        </w:rPr>
        <w:t>NHS England -National tariff payment system 2022-2023</w:t>
      </w:r>
      <w:r w:rsidRPr="00446BF8">
        <w:rPr>
          <w:rFonts w:ascii="Arial" w:hAnsi="Arial" w:cs="Arial"/>
          <w:sz w:val="24"/>
          <w:szCs w:val="24"/>
        </w:rPr>
        <w:t>. </w:t>
      </w:r>
      <w:r w:rsidRPr="006247A8">
        <w:rPr>
          <w:rFonts w:ascii="Arial" w:hAnsi="Arial" w:cs="Arial"/>
          <w:sz w:val="24"/>
          <w:szCs w:val="24"/>
        </w:rPr>
        <w:t>https://www.england.nhs.uk/pay-syst/national-tariff/national-tariff-payment-system/</w:t>
      </w:r>
    </w:p>
    <w:p w14:paraId="3D65A97D" w14:textId="77777777" w:rsidR="004942B6" w:rsidRPr="006247A8" w:rsidRDefault="004942B6" w:rsidP="004942B6">
      <w:pPr>
        <w:pStyle w:val="ListParagraph"/>
        <w:rPr>
          <w:rFonts w:ascii="Arial" w:hAnsi="Arial" w:cs="Arial"/>
          <w:sz w:val="24"/>
          <w:szCs w:val="24"/>
          <w:lang w:eastAsia="en-GB"/>
        </w:rPr>
      </w:pPr>
    </w:p>
    <w:p w14:paraId="0023ED24" w14:textId="701F69F5" w:rsidR="004942B6" w:rsidRPr="00D95DF8" w:rsidRDefault="004942B6" w:rsidP="00E50651">
      <w:pPr>
        <w:pStyle w:val="ListParagraph"/>
        <w:numPr>
          <w:ilvl w:val="0"/>
          <w:numId w:val="28"/>
        </w:numPr>
        <w:tabs>
          <w:tab w:val="num" w:pos="360"/>
        </w:tabs>
        <w:spacing w:line="240" w:lineRule="auto"/>
        <w:ind w:left="360"/>
        <w:jc w:val="both"/>
        <w:rPr>
          <w:rStyle w:val="Hyperlink"/>
          <w:rFonts w:ascii="Arial" w:hAnsi="Arial" w:cs="Arial"/>
          <w:lang w:val="de-DE" w:eastAsia="en-GB"/>
        </w:rPr>
      </w:pPr>
      <w:r w:rsidRPr="006247A8">
        <w:rPr>
          <w:rFonts w:ascii="Arial" w:hAnsi="Arial" w:cs="Arial"/>
          <w:sz w:val="24"/>
          <w:szCs w:val="24"/>
          <w:lang w:eastAsia="en-GB"/>
        </w:rPr>
        <w:t xml:space="preserve">NHS England. Consultation on 2021/22 National Tariff Payment System. </w:t>
      </w:r>
      <w:r w:rsidRPr="006247A8">
        <w:rPr>
          <w:rFonts w:ascii="Arial" w:hAnsi="Arial" w:cs="Arial"/>
          <w:sz w:val="24"/>
          <w:szCs w:val="24"/>
          <w:lang w:val="de-DE" w:eastAsia="en-GB"/>
        </w:rPr>
        <w:t>NHS England. 2021. </w:t>
      </w:r>
      <w:r w:rsidRPr="009D18D1">
        <w:rPr>
          <w:rFonts w:ascii="Arial" w:hAnsi="Arial" w:cs="Arial"/>
          <w:sz w:val="24"/>
          <w:szCs w:val="24"/>
          <w:lang w:val="de-DE"/>
        </w:rPr>
        <w:t>https://www.england.nhs.uk/pay-syst/national-tariff/</w:t>
      </w:r>
    </w:p>
    <w:p w14:paraId="7D4D318D" w14:textId="77777777" w:rsidR="004942B6" w:rsidRPr="00D95DF8" w:rsidRDefault="004942B6" w:rsidP="004942B6">
      <w:pPr>
        <w:pStyle w:val="ListParagraph"/>
        <w:rPr>
          <w:rFonts w:ascii="Arial" w:hAnsi="Arial" w:cs="Arial"/>
          <w:sz w:val="24"/>
          <w:szCs w:val="24"/>
          <w:shd w:val="clear" w:color="auto" w:fill="FFFFFF"/>
          <w:lang w:val="de-DE"/>
        </w:rPr>
      </w:pPr>
    </w:p>
    <w:p w14:paraId="1572E643" w14:textId="77777777" w:rsidR="004942B6" w:rsidRPr="006247A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6247A8">
        <w:rPr>
          <w:rFonts w:ascii="Arial" w:hAnsi="Arial" w:cs="Arial"/>
          <w:sz w:val="24"/>
          <w:szCs w:val="24"/>
          <w:shd w:val="clear" w:color="auto" w:fill="FFFFFF"/>
          <w:lang w:val="pl-PL"/>
        </w:rPr>
        <w:t xml:space="preserve">Elguindy M, Stables R, Nicholas Z, Kemp I, Curzen N. (2018). </w:t>
      </w:r>
      <w:r w:rsidRPr="006247A8">
        <w:rPr>
          <w:rFonts w:ascii="Arial" w:hAnsi="Arial" w:cs="Arial"/>
          <w:sz w:val="24"/>
          <w:szCs w:val="24"/>
          <w:shd w:val="clear" w:color="auto" w:fill="FFFFFF"/>
        </w:rPr>
        <w:t>Design and Rationale of the RIPCORD 2 Trial (Does Routine Pressure Wire Assessment Influence Management Strategy at Coronary Angiography for Diagnosis of Chest Pain?): A Randomized Controlled Trial to Compare Routine Pressure Wire Assessment With Conventional Angiography in the Management of Patients With Coronary Artery Disease. Circulation Cardiovasc Qual Outcomes, 11(2), e004191.</w:t>
      </w:r>
    </w:p>
    <w:p w14:paraId="73F859C0" w14:textId="77777777" w:rsidR="004942B6" w:rsidRPr="006247A8" w:rsidRDefault="004942B6" w:rsidP="004942B6">
      <w:pPr>
        <w:pStyle w:val="ListParagraph"/>
        <w:rPr>
          <w:rFonts w:ascii="Arial" w:hAnsi="Arial" w:cs="Arial"/>
          <w:sz w:val="24"/>
          <w:szCs w:val="24"/>
          <w:shd w:val="clear" w:color="auto" w:fill="FFFFFF"/>
          <w:lang w:val="pt-PT"/>
        </w:rPr>
      </w:pPr>
    </w:p>
    <w:p w14:paraId="19980A8C" w14:textId="77777777" w:rsidR="004942B6" w:rsidRPr="006247A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6247A8">
        <w:rPr>
          <w:rFonts w:ascii="Arial" w:hAnsi="Arial" w:cs="Arial"/>
          <w:sz w:val="24"/>
          <w:szCs w:val="24"/>
          <w:shd w:val="clear" w:color="auto" w:fill="FFFFFF"/>
          <w:lang w:val="pt-PT"/>
        </w:rPr>
        <w:t xml:space="preserve">Leal J, Luengo-Fernández R, Gray A, Petersen S, Rayner M. (2006). </w:t>
      </w:r>
      <w:r w:rsidRPr="006247A8">
        <w:rPr>
          <w:rFonts w:ascii="Arial" w:hAnsi="Arial" w:cs="Arial"/>
          <w:sz w:val="24"/>
          <w:szCs w:val="24"/>
          <w:shd w:val="clear" w:color="auto" w:fill="FFFFFF"/>
        </w:rPr>
        <w:t>Economic burden of cardiovascular diseases in the enlarged European Union. Eur Heart J, 27(13), 1610–1619.</w:t>
      </w:r>
    </w:p>
    <w:p w14:paraId="78D950A2" w14:textId="77777777" w:rsidR="004942B6" w:rsidRPr="006247A8" w:rsidRDefault="004942B6" w:rsidP="004942B6">
      <w:pPr>
        <w:pStyle w:val="ListParagraph"/>
        <w:rPr>
          <w:rFonts w:ascii="Arial" w:hAnsi="Arial" w:cs="Arial"/>
          <w:sz w:val="24"/>
          <w:szCs w:val="24"/>
          <w:shd w:val="clear" w:color="auto" w:fill="FFFFFF"/>
          <w:lang w:val="de-DE"/>
        </w:rPr>
      </w:pPr>
    </w:p>
    <w:p w14:paraId="43F74466" w14:textId="77777777" w:rsidR="004942B6" w:rsidRPr="006247A8"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6247A8">
        <w:rPr>
          <w:rFonts w:ascii="Arial" w:hAnsi="Arial" w:cs="Arial"/>
          <w:sz w:val="24"/>
          <w:szCs w:val="24"/>
          <w:shd w:val="clear" w:color="auto" w:fill="FFFFFF"/>
          <w:lang w:val="de-DE"/>
        </w:rPr>
        <w:t xml:space="preserve">Bauersachs R, Zeymer U, Brière JB, et al. </w:t>
      </w:r>
      <w:r w:rsidRPr="006247A8">
        <w:rPr>
          <w:rFonts w:ascii="Arial" w:hAnsi="Arial" w:cs="Arial"/>
          <w:sz w:val="24"/>
          <w:szCs w:val="24"/>
          <w:shd w:val="clear" w:color="auto" w:fill="FFFFFF"/>
        </w:rPr>
        <w:t>(2019). Burden of Coronary Artery Disease and Peripheral Artery Disease: A Literature Review. Cardiovascular Ther, 2019, 8295054.</w:t>
      </w:r>
    </w:p>
    <w:p w14:paraId="0007C61D" w14:textId="77777777" w:rsidR="004942B6" w:rsidRPr="006247A8" w:rsidRDefault="004942B6" w:rsidP="004942B6">
      <w:pPr>
        <w:pStyle w:val="ListParagraph"/>
        <w:rPr>
          <w:rFonts w:ascii="Arial" w:hAnsi="Arial" w:cs="Arial"/>
          <w:sz w:val="24"/>
          <w:szCs w:val="24"/>
          <w:shd w:val="clear" w:color="auto" w:fill="FFFFFF"/>
          <w:lang w:val="sv-SE"/>
        </w:rPr>
      </w:pPr>
    </w:p>
    <w:p w14:paraId="4547FDD5"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6247A8">
        <w:rPr>
          <w:rFonts w:ascii="Arial" w:hAnsi="Arial" w:cs="Arial"/>
          <w:sz w:val="24"/>
          <w:szCs w:val="24"/>
          <w:shd w:val="clear" w:color="auto" w:fill="FFFFFF"/>
          <w:lang w:val="sv-SE"/>
        </w:rPr>
        <w:t xml:space="preserve">Dunbar SB, Khavjou OA, Bakas T, et al. </w:t>
      </w:r>
      <w:r w:rsidRPr="006247A8">
        <w:rPr>
          <w:rFonts w:ascii="Arial" w:hAnsi="Arial" w:cs="Arial"/>
          <w:sz w:val="24"/>
          <w:szCs w:val="24"/>
          <w:shd w:val="clear" w:color="auto" w:fill="FFFFFF"/>
        </w:rPr>
        <w:t>(2018). Projected Costs of Informal Caregiving for Cardiovascular Disease: 2015 to 2035: A Policy statement from the American Heart Association. Circulation, 137(19), e558–e577.</w:t>
      </w:r>
    </w:p>
    <w:p w14:paraId="75E1B02A" w14:textId="77777777" w:rsidR="004942B6" w:rsidRPr="00093277" w:rsidRDefault="004942B6" w:rsidP="004942B6">
      <w:pPr>
        <w:pStyle w:val="ListParagraph"/>
        <w:rPr>
          <w:rFonts w:ascii="Arial" w:hAnsi="Arial" w:cs="Arial"/>
          <w:sz w:val="24"/>
          <w:szCs w:val="24"/>
          <w:shd w:val="clear" w:color="auto" w:fill="FFFFFF"/>
        </w:rPr>
      </w:pPr>
    </w:p>
    <w:p w14:paraId="6E30364A"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Jolly SS, Niemelä K, Xavier D, et al. (2011). Design and rationale of the radial versus femoral access for coronary intervention (RIVAL) trial: a randomized comparison of radial versus femoral access for coronary angiography or intervention in patients with acute coronary syndromes. Am Heart J, 161(2), 254–260.</w:t>
      </w:r>
    </w:p>
    <w:p w14:paraId="4A9F989D" w14:textId="77777777" w:rsidR="004942B6" w:rsidRPr="00093277" w:rsidRDefault="004942B6" w:rsidP="004942B6">
      <w:pPr>
        <w:pStyle w:val="ListParagraph"/>
        <w:rPr>
          <w:rFonts w:ascii="Arial" w:hAnsi="Arial" w:cs="Arial"/>
          <w:sz w:val="24"/>
          <w:szCs w:val="24"/>
          <w:shd w:val="clear" w:color="auto" w:fill="FFFFFF"/>
        </w:rPr>
      </w:pPr>
    </w:p>
    <w:p w14:paraId="67AE8FE1"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Mamas MA, Tosh J, Hulme W, et al. (2018). Health Economic analysis of access site practice in England during changes in practice: Insights from the British Cardiovascular Interventional Society. Circulation Cardiovasc Qual Outcomes, 11(5), e004482.</w:t>
      </w:r>
    </w:p>
    <w:p w14:paraId="2ED2AA91" w14:textId="77777777" w:rsidR="004942B6" w:rsidRPr="00093277" w:rsidRDefault="004942B6" w:rsidP="004942B6">
      <w:pPr>
        <w:pStyle w:val="ListParagraph"/>
        <w:rPr>
          <w:rFonts w:ascii="Arial" w:hAnsi="Arial" w:cs="Arial"/>
          <w:sz w:val="24"/>
          <w:szCs w:val="24"/>
          <w:shd w:val="clear" w:color="auto" w:fill="FFFFFF"/>
        </w:rPr>
      </w:pPr>
    </w:p>
    <w:p w14:paraId="62E651DE"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Cohen DJ, Osnabrugge RL, Magnuson E, et al. (2014). Cost-effectiveness of percutaneous coronary intervention with drug-eluting stents versus bypass surgery for patients with 3-vessel or left main coronary artery disease: final results from the Synergy Between Percutaneous Coronary Intervention With TAXUS and Cardiac Surgery (SYNTAX) trial. Circulation, 130(14), 1146–1157.</w:t>
      </w:r>
    </w:p>
    <w:p w14:paraId="38DF9FA5" w14:textId="77777777" w:rsidR="004942B6" w:rsidRPr="00093277" w:rsidRDefault="004942B6" w:rsidP="004942B6">
      <w:pPr>
        <w:pStyle w:val="ListParagraph"/>
        <w:rPr>
          <w:rFonts w:ascii="Arial" w:hAnsi="Arial" w:cs="Arial"/>
          <w:sz w:val="24"/>
          <w:szCs w:val="24"/>
          <w:shd w:val="clear" w:color="auto" w:fill="FFFFFF"/>
          <w:lang w:val="fr-FR"/>
        </w:rPr>
      </w:pPr>
    </w:p>
    <w:p w14:paraId="75FC494A"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lang w:val="fr-FR"/>
        </w:rPr>
        <w:t xml:space="preserve">Magnuson, EA, Farkouh ME, Fuster V, et al. </w:t>
      </w:r>
      <w:r w:rsidRPr="00093277">
        <w:rPr>
          <w:rFonts w:ascii="Arial" w:hAnsi="Arial" w:cs="Arial"/>
          <w:sz w:val="24"/>
          <w:szCs w:val="24"/>
          <w:shd w:val="clear" w:color="auto" w:fill="FFFFFF"/>
        </w:rPr>
        <w:t>(2013). Cost-effectiveness of percutaneous coronary intervention with drug eluting stents versus bypass surgery for patients with diabetes mellitus and multivessel coronary artery disease: results from the FREEDOM trial. Circulation, 127(7), 820–831.</w:t>
      </w:r>
    </w:p>
    <w:p w14:paraId="6A949F9B" w14:textId="77777777" w:rsidR="004942B6" w:rsidRPr="00093277" w:rsidRDefault="004942B6" w:rsidP="004942B6">
      <w:pPr>
        <w:pStyle w:val="ListParagraph"/>
        <w:rPr>
          <w:rFonts w:ascii="Arial" w:hAnsi="Arial" w:cs="Arial"/>
          <w:sz w:val="24"/>
          <w:szCs w:val="24"/>
          <w:shd w:val="clear" w:color="auto" w:fill="FFFFFF"/>
        </w:rPr>
      </w:pPr>
    </w:p>
    <w:p w14:paraId="62BBE3BC"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Fearon WF, Bornschein B, Tonino PA, et al. (2010). Economic evaluation of fractional flow reserve-guided percutaneous coronary intervention in patients with multivessel disease. Circulation, 122(24), 2545–2550.</w:t>
      </w:r>
    </w:p>
    <w:p w14:paraId="5D1C88C0" w14:textId="77777777" w:rsidR="004942B6" w:rsidRPr="00093277" w:rsidRDefault="004942B6" w:rsidP="004942B6">
      <w:pPr>
        <w:pStyle w:val="ListParagraph"/>
        <w:rPr>
          <w:rFonts w:ascii="Arial" w:hAnsi="Arial" w:cs="Arial"/>
          <w:sz w:val="24"/>
          <w:szCs w:val="24"/>
          <w:shd w:val="clear" w:color="auto" w:fill="FFFFFF"/>
          <w:lang w:val="pl-PL"/>
        </w:rPr>
      </w:pPr>
    </w:p>
    <w:p w14:paraId="2AB70558"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lang w:val="pl-PL"/>
        </w:rPr>
        <w:t xml:space="preserve">Curzen N, Rana O, Nicholas Z, et al. </w:t>
      </w:r>
      <w:r w:rsidRPr="00093277">
        <w:rPr>
          <w:rFonts w:ascii="Arial" w:hAnsi="Arial" w:cs="Arial"/>
          <w:sz w:val="24"/>
          <w:szCs w:val="24"/>
          <w:shd w:val="clear" w:color="auto" w:fill="FFFFFF"/>
        </w:rPr>
        <w:t>(2014). Does routine pressure wire assessment influence management strategy at coronary angiography for diagnosis of chest pain? DeThe RIPCORD study. Circulation Cardiovasc interven, 7(2), 248–255.</w:t>
      </w:r>
    </w:p>
    <w:p w14:paraId="4A54C168" w14:textId="77777777" w:rsidR="004942B6" w:rsidRPr="00093277" w:rsidRDefault="004942B6" w:rsidP="004942B6">
      <w:pPr>
        <w:pStyle w:val="ListParagraph"/>
        <w:rPr>
          <w:rFonts w:ascii="Arial" w:hAnsi="Arial" w:cs="Arial"/>
          <w:sz w:val="24"/>
          <w:szCs w:val="24"/>
          <w:shd w:val="clear" w:color="auto" w:fill="FFFFFF"/>
        </w:rPr>
      </w:pPr>
    </w:p>
    <w:p w14:paraId="308C94B7"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Smits PC, Laforgia PL, Abdel-Wahab M, et al. Fractional flow reserve-guided multivessel angioplasty in myocardial infarction: three-year follow-up with cost benefit analysis of the Compare-Acute trial. EuroIntervention: The Journal of EuroPCR in collaboration with the working group on Interventional Cardiology of the European Society of Cardiology, 16(3), 225–232.</w:t>
      </w:r>
    </w:p>
    <w:p w14:paraId="1C31F378" w14:textId="77777777" w:rsidR="004942B6" w:rsidRPr="00093277" w:rsidRDefault="004942B6" w:rsidP="004942B6">
      <w:pPr>
        <w:pStyle w:val="ListParagraph"/>
        <w:rPr>
          <w:rFonts w:ascii="Arial" w:hAnsi="Arial" w:cs="Arial"/>
          <w:sz w:val="24"/>
          <w:szCs w:val="24"/>
          <w:shd w:val="clear" w:color="auto" w:fill="FFFFFF"/>
        </w:rPr>
      </w:pPr>
    </w:p>
    <w:p w14:paraId="435604E8"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Graby J, Metters R, Kandan SR, et al. (2021). Real-world clinical and cost analysis of CT coronary angiography and CT coronary angiography-derived fractional flow reserve (FFR</w:t>
      </w:r>
      <w:r w:rsidRPr="00093277">
        <w:rPr>
          <w:rFonts w:ascii="Arial" w:hAnsi="Arial" w:cs="Arial"/>
          <w:sz w:val="24"/>
          <w:szCs w:val="24"/>
          <w:shd w:val="clear" w:color="auto" w:fill="FFFFFF"/>
          <w:vertAlign w:val="subscript"/>
        </w:rPr>
        <w:t>CT</w:t>
      </w:r>
      <w:r w:rsidRPr="00093277">
        <w:rPr>
          <w:rFonts w:ascii="Arial" w:hAnsi="Arial" w:cs="Arial"/>
          <w:sz w:val="24"/>
          <w:szCs w:val="24"/>
          <w:shd w:val="clear" w:color="auto" w:fill="FFFFFF"/>
        </w:rPr>
        <w:t>)-guided care in the National Health Service. Clin Radiol, 76(11), 862.e19–862.e28.</w:t>
      </w:r>
    </w:p>
    <w:p w14:paraId="5607089A" w14:textId="77777777" w:rsidR="004942B6" w:rsidRPr="00093277" w:rsidRDefault="004942B6" w:rsidP="004942B6">
      <w:pPr>
        <w:pStyle w:val="ListParagraph"/>
        <w:rPr>
          <w:rFonts w:ascii="Arial" w:hAnsi="Arial" w:cs="Arial"/>
          <w:sz w:val="24"/>
          <w:szCs w:val="24"/>
          <w:shd w:val="clear" w:color="auto" w:fill="FFFFFF"/>
        </w:rPr>
      </w:pPr>
    </w:p>
    <w:p w14:paraId="66E1F15B"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Maron DJ, Hochman JS, Reynolds, et al.  (2020). Initial Invasive or Conservative Strategy for Stable Coronary Disease. N Engl J Med, 382(15), 1395–1407.</w:t>
      </w:r>
    </w:p>
    <w:p w14:paraId="04F5221A" w14:textId="77777777" w:rsidR="004942B6" w:rsidRPr="00093277" w:rsidRDefault="004942B6" w:rsidP="004942B6">
      <w:pPr>
        <w:pStyle w:val="ListParagraph"/>
        <w:rPr>
          <w:rFonts w:ascii="Arial" w:hAnsi="Arial" w:cs="Arial"/>
          <w:sz w:val="24"/>
          <w:szCs w:val="24"/>
          <w:shd w:val="clear" w:color="auto" w:fill="FFFFFF"/>
          <w:lang w:val="nl-NL"/>
        </w:rPr>
      </w:pPr>
    </w:p>
    <w:p w14:paraId="4B2A0474"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lang w:val="nl-NL"/>
        </w:rPr>
        <w:t xml:space="preserve">Boden WE, O'Rourke RA, Teo KK, et al. </w:t>
      </w:r>
      <w:r w:rsidRPr="00093277">
        <w:rPr>
          <w:rFonts w:ascii="Arial" w:hAnsi="Arial" w:cs="Arial"/>
          <w:sz w:val="24"/>
          <w:szCs w:val="24"/>
          <w:shd w:val="clear" w:color="auto" w:fill="FFFFFF"/>
        </w:rPr>
        <w:t>(2007). Optimal medical therapy with or without PCI for stable coronary disease. N Engl J Med, 356(15), 1503–1516.</w:t>
      </w:r>
    </w:p>
    <w:p w14:paraId="25F9BB25" w14:textId="77777777" w:rsidR="004942B6" w:rsidRPr="00093277" w:rsidRDefault="004942B6" w:rsidP="004942B6">
      <w:pPr>
        <w:pStyle w:val="ListParagraph"/>
        <w:rPr>
          <w:rFonts w:ascii="Arial" w:hAnsi="Arial" w:cs="Arial"/>
          <w:sz w:val="24"/>
          <w:szCs w:val="24"/>
          <w:shd w:val="clear" w:color="auto" w:fill="FFFFFF"/>
        </w:rPr>
      </w:pPr>
    </w:p>
    <w:p w14:paraId="788D4E95"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Duarte A, Llewellyn A, Walker R, et al. (2021). Non-invasive imaging software to assess the functional significance of coronary stenoses: a systematic review and economic evaluation. Health technology assessment (Winchester, England), 25(56), 1–230. </w:t>
      </w:r>
    </w:p>
    <w:p w14:paraId="600CA9A8" w14:textId="77777777" w:rsidR="004942B6" w:rsidRPr="00093277" w:rsidRDefault="004942B6" w:rsidP="004942B6">
      <w:pPr>
        <w:pStyle w:val="ListParagraph"/>
        <w:rPr>
          <w:rFonts w:ascii="Arial" w:hAnsi="Arial" w:cs="Arial"/>
          <w:sz w:val="24"/>
          <w:szCs w:val="24"/>
          <w:shd w:val="clear" w:color="auto" w:fill="FFFFFF"/>
        </w:rPr>
      </w:pPr>
    </w:p>
    <w:p w14:paraId="60D571DD"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Fox KA, Poole-Wilson P, Clayton TC, et al. (2005). 5-year outcome of an interventional strategy in non-ST-elevation acute coronary syndrome: the British Heart Foundation RITA 3 randomised trial. Lancet (London, England), 366(9489), 914–920.</w:t>
      </w:r>
    </w:p>
    <w:p w14:paraId="777E1156" w14:textId="77777777" w:rsidR="004942B6" w:rsidRPr="00093277" w:rsidRDefault="004942B6" w:rsidP="004942B6">
      <w:pPr>
        <w:pStyle w:val="ListParagraph"/>
        <w:rPr>
          <w:rFonts w:ascii="Arial" w:hAnsi="Arial" w:cs="Arial"/>
          <w:sz w:val="24"/>
          <w:szCs w:val="24"/>
          <w:shd w:val="clear" w:color="auto" w:fill="FFFFFF"/>
        </w:rPr>
      </w:pPr>
    </w:p>
    <w:p w14:paraId="3A6BF938"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lastRenderedPageBreak/>
        <w:t>Ram E, Sternik L, Klempfner R, et al. (2020). Outcomes of different revascularization strategies among patients presenting with acute coronary syndromes without ST elevation. J Thorac Cardiovasc Surgery, 160(4), 926–935.</w:t>
      </w:r>
    </w:p>
    <w:p w14:paraId="5B449F40" w14:textId="77777777" w:rsidR="004942B6" w:rsidRPr="00093277" w:rsidRDefault="004942B6" w:rsidP="004942B6">
      <w:pPr>
        <w:pStyle w:val="ListParagraph"/>
        <w:rPr>
          <w:rFonts w:ascii="Arial" w:hAnsi="Arial" w:cs="Arial"/>
          <w:sz w:val="24"/>
          <w:szCs w:val="24"/>
          <w:shd w:val="clear" w:color="auto" w:fill="FFFFFF"/>
          <w:lang w:val="nl-NL"/>
        </w:rPr>
      </w:pPr>
    </w:p>
    <w:p w14:paraId="729E4625"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lang w:val="nl-NL"/>
        </w:rPr>
        <w:t xml:space="preserve">De Bruyne B, Pijls NH, Kalesan B, et al. </w:t>
      </w:r>
      <w:r w:rsidRPr="00093277">
        <w:rPr>
          <w:rFonts w:ascii="Arial" w:hAnsi="Arial" w:cs="Arial"/>
          <w:sz w:val="24"/>
          <w:szCs w:val="24"/>
          <w:shd w:val="clear" w:color="auto" w:fill="FFFFFF"/>
        </w:rPr>
        <w:t>(2012). Fractional flow reserve-guided PCI versus medical therapy in stable coronary disease. N Engl J Med, 367(11), 991–1001.</w:t>
      </w:r>
    </w:p>
    <w:p w14:paraId="3CF5E8DC" w14:textId="77777777" w:rsidR="004942B6" w:rsidRPr="00093277" w:rsidRDefault="004942B6" w:rsidP="004942B6">
      <w:pPr>
        <w:pStyle w:val="ListParagraph"/>
        <w:rPr>
          <w:rFonts w:ascii="Arial" w:hAnsi="Arial" w:cs="Arial"/>
          <w:sz w:val="24"/>
          <w:szCs w:val="24"/>
          <w:shd w:val="clear" w:color="auto" w:fill="FFFFFF"/>
        </w:rPr>
      </w:pPr>
    </w:p>
    <w:p w14:paraId="40F31DA8"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Fearon WF, Zimmermann FM, De Bruyne, et al. (2022). Fractional Flow Reserve-Guided PCI as Compared with Coronary Bypass Surgery. N Engl J Med, 386(2), 128–137.</w:t>
      </w:r>
    </w:p>
    <w:p w14:paraId="49C598C9" w14:textId="77777777" w:rsidR="004942B6" w:rsidRPr="00093277" w:rsidRDefault="004942B6" w:rsidP="004942B6">
      <w:pPr>
        <w:pStyle w:val="ListParagraph"/>
        <w:rPr>
          <w:rFonts w:ascii="Arial" w:hAnsi="Arial" w:cs="Arial"/>
          <w:sz w:val="24"/>
          <w:szCs w:val="24"/>
          <w:shd w:val="clear" w:color="auto" w:fill="FFFFFF"/>
        </w:rPr>
      </w:pPr>
    </w:p>
    <w:p w14:paraId="3C83404B"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Kim J, Henderson RA, Pocock SJ, et al. (2005). Health-related quality of life after interventional or conservative strategy in patients with unstable angina or non-ST-segment elevation myocardial infarction: one-year results of the third Randomized Intervention Trial of unstable Angina (RITA-3). J Am Coll Cardio, 45(2), 221–228.</w:t>
      </w:r>
    </w:p>
    <w:p w14:paraId="12465EF5" w14:textId="77777777" w:rsidR="004942B6" w:rsidRPr="00093277" w:rsidRDefault="004942B6" w:rsidP="004942B6">
      <w:pPr>
        <w:pStyle w:val="ListParagraph"/>
        <w:rPr>
          <w:rFonts w:ascii="Arial" w:hAnsi="Arial" w:cs="Arial"/>
          <w:sz w:val="24"/>
          <w:szCs w:val="24"/>
          <w:shd w:val="clear" w:color="auto" w:fill="FFFFFF"/>
        </w:rPr>
      </w:pPr>
    </w:p>
    <w:p w14:paraId="30B58B16"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rPr>
        <w:t>Fearon WF, Zimmermann FM, Ding VY, et al. (2022). Quality of Life After Fractional Flow Reserve-Guided PCI Compared With Coronary Bypass Surgery. Circulation, 145(22), 1655–1662.</w:t>
      </w:r>
    </w:p>
    <w:p w14:paraId="3FA599AB" w14:textId="77777777" w:rsidR="004942B6" w:rsidRPr="00093277" w:rsidRDefault="004942B6" w:rsidP="004942B6">
      <w:pPr>
        <w:pStyle w:val="ListParagraph"/>
        <w:rPr>
          <w:rFonts w:ascii="Arial" w:hAnsi="Arial" w:cs="Arial"/>
          <w:sz w:val="24"/>
          <w:szCs w:val="24"/>
          <w:shd w:val="clear" w:color="auto" w:fill="FFFFFF"/>
          <w:lang w:val="es-ES_tradnl"/>
        </w:rPr>
      </w:pPr>
    </w:p>
    <w:p w14:paraId="4F050452" w14:textId="77777777" w:rsidR="004942B6" w:rsidRPr="00093277"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lang w:val="es-ES_tradnl"/>
        </w:rPr>
        <w:t xml:space="preserve">Yan BP, Chan LY, Lee, VY, et al (2018). </w:t>
      </w:r>
      <w:r w:rsidRPr="00093277">
        <w:rPr>
          <w:rFonts w:ascii="Arial" w:hAnsi="Arial" w:cs="Arial"/>
          <w:sz w:val="24"/>
          <w:szCs w:val="24"/>
          <w:shd w:val="clear" w:color="auto" w:fill="FFFFFF"/>
        </w:rPr>
        <w:t>Sustained 3-Year Benefits in Quality of Life After Percutaneous Coronary Interventions in the Elderly: A Prospective Cohort Study. Value in health: The Journal of the International Society for Pharmacoeconomics and Outcomes Research, 21(4), 423–431.</w:t>
      </w:r>
    </w:p>
    <w:p w14:paraId="0E839768" w14:textId="77777777" w:rsidR="004942B6" w:rsidRPr="00D95DF8" w:rsidRDefault="004942B6" w:rsidP="004942B6">
      <w:pPr>
        <w:pStyle w:val="ListParagraph"/>
        <w:rPr>
          <w:rFonts w:ascii="Arial" w:hAnsi="Arial" w:cs="Arial"/>
          <w:sz w:val="24"/>
          <w:szCs w:val="24"/>
          <w:shd w:val="clear" w:color="auto" w:fill="FFFFFF"/>
        </w:rPr>
      </w:pPr>
    </w:p>
    <w:p w14:paraId="69542D8C" w14:textId="77777777" w:rsidR="004942B6" w:rsidRPr="003740C9"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093277">
        <w:rPr>
          <w:rFonts w:ascii="Arial" w:hAnsi="Arial" w:cs="Arial"/>
          <w:sz w:val="24"/>
          <w:szCs w:val="24"/>
          <w:shd w:val="clear" w:color="auto" w:fill="FFFFFF"/>
          <w:lang w:val="de-DE"/>
        </w:rPr>
        <w:t xml:space="preserve">Ahn JM, Park DW, Shin ES, et al.  </w:t>
      </w:r>
      <w:r w:rsidRPr="00093277">
        <w:rPr>
          <w:rFonts w:ascii="Arial" w:hAnsi="Arial" w:cs="Arial"/>
          <w:sz w:val="24"/>
          <w:szCs w:val="24"/>
          <w:shd w:val="clear" w:color="auto" w:fill="FFFFFF"/>
        </w:rPr>
        <w:t>(2017). Fractional Flow Reserve and Cardiac Events in Coronary Artery Disease: Data From a Prospective IRIS-FFR Registry (Interventional Cardiology Research Incooperation Society Fractional Flow Reserve). Circulation, 135(23), 2241–2251.</w:t>
      </w:r>
    </w:p>
    <w:p w14:paraId="5D64399C" w14:textId="77777777" w:rsidR="004942B6" w:rsidRPr="003740C9" w:rsidRDefault="004942B6" w:rsidP="004942B6">
      <w:pPr>
        <w:pStyle w:val="ListParagraph"/>
        <w:rPr>
          <w:rFonts w:ascii="Arial" w:hAnsi="Arial" w:cs="Arial"/>
          <w:sz w:val="24"/>
          <w:szCs w:val="24"/>
          <w:shd w:val="clear" w:color="auto" w:fill="FFFFFF"/>
        </w:rPr>
      </w:pPr>
    </w:p>
    <w:p w14:paraId="69030922" w14:textId="77777777" w:rsidR="004942B6" w:rsidRPr="003740C9"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3740C9">
        <w:rPr>
          <w:rFonts w:ascii="Arial" w:hAnsi="Arial" w:cs="Arial"/>
          <w:sz w:val="24"/>
          <w:szCs w:val="24"/>
          <w:shd w:val="clear" w:color="auto" w:fill="FFFFFF"/>
        </w:rPr>
        <w:t>Adelborg K, Horváth-Puhó E, Schmidt M, et al. (2017). Thirty-Year Mortality After Coronary Artery Bypass Graft Surgery: A Danish Nationwide Population-Based Cohort Study. Circulation. Cardiovasc Qual Outcomes, 10(5), e002708.</w:t>
      </w:r>
    </w:p>
    <w:p w14:paraId="34825A09" w14:textId="77777777" w:rsidR="004942B6" w:rsidRPr="003740C9" w:rsidRDefault="004942B6" w:rsidP="004942B6">
      <w:pPr>
        <w:pStyle w:val="ListParagraph"/>
        <w:rPr>
          <w:rFonts w:ascii="Arial" w:hAnsi="Arial" w:cs="Arial"/>
          <w:sz w:val="24"/>
          <w:szCs w:val="24"/>
          <w:shd w:val="clear" w:color="auto" w:fill="FFFFFF"/>
        </w:rPr>
      </w:pPr>
    </w:p>
    <w:p w14:paraId="07C4C857" w14:textId="77777777" w:rsidR="004942B6" w:rsidRPr="003740C9"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3740C9">
        <w:rPr>
          <w:rFonts w:ascii="Arial" w:hAnsi="Arial" w:cs="Arial"/>
          <w:sz w:val="24"/>
          <w:szCs w:val="24"/>
          <w:shd w:val="clear" w:color="auto" w:fill="FFFFFF"/>
        </w:rPr>
        <w:t>Brener SJ, Tarantini G, Leon G, et al. (2018). Cardiovascular and Noncardiovascular Death After Percutaneous Coronary Intervention: Insights From 32 882 Patients Enrolled in 21 Randomized Trials. Circulation. Cardiovasc Interven, 11(7), e006488.</w:t>
      </w:r>
    </w:p>
    <w:p w14:paraId="23466682" w14:textId="77777777" w:rsidR="004942B6" w:rsidRPr="003740C9" w:rsidRDefault="004942B6" w:rsidP="004942B6">
      <w:pPr>
        <w:pStyle w:val="ListParagraph"/>
        <w:rPr>
          <w:rFonts w:ascii="Arial" w:hAnsi="Arial" w:cs="Arial"/>
          <w:sz w:val="24"/>
          <w:szCs w:val="24"/>
          <w:shd w:val="clear" w:color="auto" w:fill="FFFFFF"/>
        </w:rPr>
      </w:pPr>
    </w:p>
    <w:p w14:paraId="5ED745D8" w14:textId="77777777" w:rsidR="004942B6" w:rsidRPr="003740C9"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3740C9">
        <w:rPr>
          <w:rFonts w:ascii="Arial" w:hAnsi="Arial" w:cs="Arial"/>
          <w:sz w:val="24"/>
          <w:szCs w:val="24"/>
          <w:shd w:val="clear" w:color="auto" w:fill="FFFFFF"/>
        </w:rPr>
        <w:t>Grašič K, Mason AR, &amp; Street, A. (2015). Paying for the quantity and quality of hospital care: the foundations and evolution of payment policy in England. Health Econ Rev, 5(1), 50-53.</w:t>
      </w:r>
    </w:p>
    <w:p w14:paraId="039F474A" w14:textId="77777777" w:rsidR="004942B6" w:rsidRPr="003740C9" w:rsidRDefault="004942B6" w:rsidP="004942B6">
      <w:pPr>
        <w:pStyle w:val="ListParagraph"/>
        <w:rPr>
          <w:rFonts w:ascii="Arial" w:hAnsi="Arial" w:cs="Arial"/>
          <w:sz w:val="24"/>
          <w:szCs w:val="24"/>
        </w:rPr>
      </w:pPr>
    </w:p>
    <w:p w14:paraId="107E90DE" w14:textId="77777777" w:rsidR="004942B6" w:rsidRPr="003740C9"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3740C9">
        <w:rPr>
          <w:rFonts w:ascii="Arial" w:hAnsi="Arial" w:cs="Arial"/>
          <w:sz w:val="24"/>
          <w:szCs w:val="24"/>
        </w:rPr>
        <w:t>Barker JR (2015). Interactive complexity and comorbidity splits in Health Resource Group 4+. </w:t>
      </w:r>
      <w:r w:rsidRPr="003740C9">
        <w:rPr>
          <w:rFonts w:ascii="Arial" w:hAnsi="Arial" w:cs="Arial"/>
          <w:sz w:val="24"/>
          <w:szCs w:val="24"/>
          <w:bdr w:val="single" w:sz="2" w:space="0" w:color="ECEDEE" w:frame="1"/>
        </w:rPr>
        <w:t>Br J Health Care Manag</w:t>
      </w:r>
      <w:r w:rsidRPr="003740C9">
        <w:rPr>
          <w:rFonts w:ascii="Arial" w:hAnsi="Arial" w:cs="Arial"/>
          <w:sz w:val="24"/>
          <w:szCs w:val="24"/>
        </w:rPr>
        <w:t>, </w:t>
      </w:r>
      <w:r w:rsidRPr="003740C9">
        <w:rPr>
          <w:rFonts w:ascii="Arial" w:hAnsi="Arial" w:cs="Arial"/>
          <w:sz w:val="24"/>
          <w:szCs w:val="24"/>
          <w:bdr w:val="single" w:sz="2" w:space="0" w:color="ECEDEE" w:frame="1"/>
        </w:rPr>
        <w:t>21</w:t>
      </w:r>
      <w:r w:rsidRPr="003740C9">
        <w:rPr>
          <w:rFonts w:ascii="Arial" w:hAnsi="Arial" w:cs="Arial"/>
          <w:sz w:val="24"/>
          <w:szCs w:val="24"/>
        </w:rPr>
        <w:t>(9), 433–439.</w:t>
      </w:r>
    </w:p>
    <w:p w14:paraId="628843DA" w14:textId="77777777" w:rsidR="004942B6" w:rsidRPr="003740C9" w:rsidRDefault="004942B6" w:rsidP="004942B6">
      <w:pPr>
        <w:pStyle w:val="ListParagraph"/>
        <w:rPr>
          <w:rFonts w:ascii="Arial" w:hAnsi="Arial" w:cs="Arial"/>
          <w:sz w:val="24"/>
          <w:szCs w:val="24"/>
          <w:shd w:val="clear" w:color="auto" w:fill="FFFFFF"/>
          <w:lang w:val="fr-FR"/>
        </w:rPr>
      </w:pPr>
    </w:p>
    <w:p w14:paraId="209FECAC" w14:textId="77777777" w:rsidR="004942B6" w:rsidRPr="003740C9" w:rsidRDefault="004942B6" w:rsidP="00E50651">
      <w:pPr>
        <w:pStyle w:val="ListParagraph"/>
        <w:numPr>
          <w:ilvl w:val="0"/>
          <w:numId w:val="28"/>
        </w:numPr>
        <w:tabs>
          <w:tab w:val="num" w:pos="360"/>
        </w:tabs>
        <w:spacing w:line="240" w:lineRule="auto"/>
        <w:ind w:left="360"/>
        <w:jc w:val="both"/>
        <w:rPr>
          <w:rFonts w:ascii="Arial" w:hAnsi="Arial" w:cs="Arial"/>
          <w:lang w:eastAsia="en-GB"/>
        </w:rPr>
      </w:pPr>
      <w:r w:rsidRPr="003740C9">
        <w:rPr>
          <w:rFonts w:ascii="Arial" w:hAnsi="Arial" w:cs="Arial"/>
          <w:sz w:val="24"/>
          <w:szCs w:val="24"/>
          <w:shd w:val="clear" w:color="auto" w:fill="FFFFFF"/>
          <w:lang w:val="fr-FR"/>
        </w:rPr>
        <w:lastRenderedPageBreak/>
        <w:t xml:space="preserve">Song L, Tu S, Sun Z, Wang Y, et al. </w:t>
      </w:r>
      <w:r w:rsidRPr="003740C9">
        <w:rPr>
          <w:rFonts w:ascii="Arial" w:hAnsi="Arial" w:cs="Arial"/>
          <w:sz w:val="24"/>
          <w:szCs w:val="24"/>
          <w:shd w:val="clear" w:color="auto" w:fill="FFFFFF"/>
        </w:rPr>
        <w:t>(2020). Quantitative flow ratio-guided strategy versus angiography-guided strategy for percutaneous coronary intervention: Rationale and design of the FAVOR III China trial. Am Heart J, 223, 72–80.</w:t>
      </w:r>
    </w:p>
    <w:p w14:paraId="32473A3B" w14:textId="77777777" w:rsidR="004942B6" w:rsidRPr="003740C9" w:rsidRDefault="004942B6" w:rsidP="004942B6">
      <w:pPr>
        <w:pStyle w:val="ListParagraph"/>
        <w:rPr>
          <w:rFonts w:ascii="Arial" w:hAnsi="Arial" w:cs="Arial"/>
          <w:sz w:val="24"/>
          <w:szCs w:val="24"/>
        </w:rPr>
      </w:pPr>
    </w:p>
    <w:p w14:paraId="7191C8AA" w14:textId="77777777" w:rsidR="004942B6" w:rsidRPr="004417C0"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740C9">
        <w:rPr>
          <w:rFonts w:ascii="Arial" w:hAnsi="Arial" w:cs="Arial"/>
          <w:sz w:val="24"/>
          <w:szCs w:val="24"/>
        </w:rPr>
        <w:t>British Cardiovascular Intervention Society. (2022, June 14). </w:t>
      </w:r>
      <w:r w:rsidRPr="003740C9">
        <w:rPr>
          <w:rFonts w:ascii="Arial" w:hAnsi="Arial" w:cs="Arial"/>
          <w:sz w:val="24"/>
          <w:szCs w:val="24"/>
          <w:bdr w:val="single" w:sz="2" w:space="0" w:color="ECEDEE" w:frame="1"/>
        </w:rPr>
        <w:t>PCI and Adult Structural Annual Intervention Audit 2021/22 - British Cardiovascular Intervention Society</w:t>
      </w:r>
      <w:r w:rsidRPr="003740C9">
        <w:rPr>
          <w:rFonts w:ascii="Arial" w:hAnsi="Arial" w:cs="Arial"/>
          <w:sz w:val="24"/>
          <w:szCs w:val="24"/>
        </w:rPr>
        <w:t>. </w:t>
      </w:r>
      <w:r w:rsidRPr="004417C0">
        <w:rPr>
          <w:rFonts w:ascii="Arial" w:hAnsi="Arial" w:cs="Arial"/>
          <w:sz w:val="24"/>
          <w:szCs w:val="24"/>
          <w:bdr w:val="single" w:sz="2" w:space="0" w:color="ECEDEE" w:frame="1"/>
        </w:rPr>
        <w:t xml:space="preserve">https://www.bcis.org.uk/pci-and-adult-structural-annual-intervention-audit-2021-22/. </w:t>
      </w:r>
    </w:p>
    <w:p w14:paraId="00CC1CCB" w14:textId="77777777" w:rsidR="004942B6" w:rsidRPr="004417C0" w:rsidRDefault="004942B6" w:rsidP="004942B6">
      <w:pPr>
        <w:pStyle w:val="ListParagraph"/>
        <w:rPr>
          <w:rFonts w:ascii="Arial" w:hAnsi="Arial" w:cs="Arial"/>
          <w:sz w:val="24"/>
          <w:szCs w:val="24"/>
        </w:rPr>
      </w:pPr>
    </w:p>
    <w:p w14:paraId="3179551D" w14:textId="77777777" w:rsidR="004942B6" w:rsidRPr="00CC0DDD"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5DF8">
        <w:rPr>
          <w:rFonts w:ascii="Arial" w:hAnsi="Arial" w:cs="Arial"/>
          <w:sz w:val="24"/>
          <w:szCs w:val="24"/>
          <w:lang w:val="it-IT"/>
        </w:rPr>
        <w:t xml:space="preserve">Talevi D, Socci V, Carai M, et al. </w:t>
      </w:r>
      <w:r w:rsidRPr="004417C0">
        <w:rPr>
          <w:rFonts w:ascii="Arial" w:hAnsi="Arial" w:cs="Arial"/>
          <w:sz w:val="24"/>
          <w:szCs w:val="24"/>
        </w:rPr>
        <w:t>(2020). Mental health outcomes of the C</w:t>
      </w:r>
      <w:r>
        <w:rPr>
          <w:rFonts w:ascii="Arial" w:hAnsi="Arial" w:cs="Arial"/>
          <w:sz w:val="24"/>
          <w:szCs w:val="24"/>
        </w:rPr>
        <w:t>O</w:t>
      </w:r>
      <w:r w:rsidRPr="004417C0">
        <w:rPr>
          <w:rFonts w:ascii="Arial" w:hAnsi="Arial" w:cs="Arial"/>
          <w:sz w:val="24"/>
          <w:szCs w:val="24"/>
        </w:rPr>
        <w:t xml:space="preserve">ViD-19 </w:t>
      </w:r>
      <w:r w:rsidRPr="00CC0DDD">
        <w:rPr>
          <w:rFonts w:ascii="Arial" w:hAnsi="Arial" w:cs="Arial"/>
          <w:sz w:val="24"/>
          <w:szCs w:val="24"/>
        </w:rPr>
        <w:t>pandemic. </w:t>
      </w:r>
      <w:r w:rsidRPr="00CC0DDD">
        <w:rPr>
          <w:rFonts w:ascii="Arial" w:hAnsi="Arial" w:cs="Arial"/>
          <w:sz w:val="24"/>
          <w:szCs w:val="24"/>
          <w:bdr w:val="single" w:sz="2" w:space="0" w:color="ECEDEE" w:frame="1"/>
        </w:rPr>
        <w:t>Rivista Di Psichiatria</w:t>
      </w:r>
      <w:r w:rsidRPr="00CC0DDD">
        <w:rPr>
          <w:rFonts w:ascii="Arial" w:hAnsi="Arial" w:cs="Arial"/>
          <w:sz w:val="24"/>
          <w:szCs w:val="24"/>
        </w:rPr>
        <w:t>, </w:t>
      </w:r>
      <w:r w:rsidRPr="00CC0DDD">
        <w:rPr>
          <w:rFonts w:ascii="Arial" w:hAnsi="Arial" w:cs="Arial"/>
          <w:sz w:val="24"/>
          <w:szCs w:val="24"/>
          <w:bdr w:val="single" w:sz="2" w:space="0" w:color="ECEDEE" w:frame="1"/>
        </w:rPr>
        <w:t>55</w:t>
      </w:r>
      <w:r w:rsidRPr="00CC0DDD">
        <w:rPr>
          <w:rFonts w:ascii="Arial" w:hAnsi="Arial" w:cs="Arial"/>
          <w:sz w:val="24"/>
          <w:szCs w:val="24"/>
        </w:rPr>
        <w:t xml:space="preserve">(3), 137–144. </w:t>
      </w:r>
    </w:p>
    <w:p w14:paraId="16C30A50" w14:textId="77777777" w:rsidR="004942B6" w:rsidRPr="00CC0DDD" w:rsidRDefault="004942B6" w:rsidP="004942B6">
      <w:pPr>
        <w:pStyle w:val="ListParagraph"/>
        <w:jc w:val="both"/>
        <w:rPr>
          <w:rFonts w:ascii="Arial" w:hAnsi="Arial" w:cs="Arial"/>
          <w:color w:val="212121"/>
          <w:sz w:val="24"/>
          <w:szCs w:val="24"/>
          <w:shd w:val="clear" w:color="auto" w:fill="FFFFFF"/>
        </w:rPr>
      </w:pPr>
    </w:p>
    <w:p w14:paraId="536F56B2" w14:textId="77777777" w:rsidR="004942B6" w:rsidRPr="00C21CB0"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5DF8">
        <w:rPr>
          <w:rFonts w:ascii="Arial" w:hAnsi="Arial" w:cs="Arial"/>
          <w:sz w:val="24"/>
          <w:szCs w:val="24"/>
          <w:shd w:val="clear" w:color="auto" w:fill="FFFFFF"/>
          <w:lang w:val="sv-SE"/>
        </w:rPr>
        <w:t xml:space="preserve">Kessler, R. C., &amp; Bromet, E. J. (2013). </w:t>
      </w:r>
      <w:r w:rsidRPr="00C21CB0">
        <w:rPr>
          <w:rFonts w:ascii="Arial" w:hAnsi="Arial" w:cs="Arial"/>
          <w:sz w:val="24"/>
          <w:szCs w:val="24"/>
          <w:shd w:val="clear" w:color="auto" w:fill="FFFFFF"/>
        </w:rPr>
        <w:t xml:space="preserve">The epidemiology of depression across cultures. Annu Rev Public Health, 34, 119–138. </w:t>
      </w:r>
    </w:p>
    <w:p w14:paraId="715DD2A0" w14:textId="77777777" w:rsidR="004942B6" w:rsidRPr="00C21CB0" w:rsidRDefault="004942B6" w:rsidP="004942B6">
      <w:pPr>
        <w:pStyle w:val="ListParagraph"/>
        <w:rPr>
          <w:rFonts w:ascii="Arial" w:hAnsi="Arial" w:cs="Arial"/>
          <w:sz w:val="24"/>
          <w:szCs w:val="24"/>
        </w:rPr>
      </w:pPr>
    </w:p>
    <w:p w14:paraId="3766321F" w14:textId="77777777" w:rsidR="004942B6" w:rsidRPr="004A3B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A3B4A">
        <w:rPr>
          <w:rFonts w:ascii="Arial" w:hAnsi="Arial" w:cs="Arial"/>
          <w:sz w:val="24"/>
          <w:szCs w:val="24"/>
        </w:rPr>
        <w:t>Bahall, M., Legall, G., &amp; Khan, K. (2020). Quality of life among patients with cardiac disease: the impact of comorbid depression. </w:t>
      </w:r>
      <w:r w:rsidRPr="004A3B4A">
        <w:rPr>
          <w:rFonts w:ascii="Arial" w:hAnsi="Arial" w:cs="Arial"/>
          <w:sz w:val="24"/>
          <w:szCs w:val="24"/>
          <w:bdr w:val="single" w:sz="2" w:space="0" w:color="ECEDEE" w:frame="1"/>
        </w:rPr>
        <w:t>Health Qual Life Outcomes</w:t>
      </w:r>
      <w:r w:rsidRPr="004A3B4A">
        <w:rPr>
          <w:rFonts w:ascii="Arial" w:hAnsi="Arial" w:cs="Arial"/>
          <w:sz w:val="24"/>
          <w:szCs w:val="24"/>
        </w:rPr>
        <w:t>, </w:t>
      </w:r>
      <w:r w:rsidRPr="004A3B4A">
        <w:rPr>
          <w:rFonts w:ascii="Arial" w:hAnsi="Arial" w:cs="Arial"/>
          <w:sz w:val="24"/>
          <w:szCs w:val="24"/>
          <w:bdr w:val="single" w:sz="2" w:space="0" w:color="ECEDEE" w:frame="1"/>
        </w:rPr>
        <w:t>18</w:t>
      </w:r>
      <w:r w:rsidRPr="004A3B4A">
        <w:rPr>
          <w:rFonts w:ascii="Arial" w:hAnsi="Arial" w:cs="Arial"/>
          <w:sz w:val="24"/>
          <w:szCs w:val="24"/>
        </w:rPr>
        <w:t xml:space="preserve">(1), 1477-1525. </w:t>
      </w:r>
    </w:p>
    <w:p w14:paraId="669D9B9D" w14:textId="77777777" w:rsidR="004942B6" w:rsidRPr="004A3B4A" w:rsidRDefault="004942B6" w:rsidP="004942B6">
      <w:pPr>
        <w:pStyle w:val="ListParagraph"/>
        <w:rPr>
          <w:rFonts w:ascii="Roboto" w:hAnsi="Roboto"/>
          <w:sz w:val="24"/>
          <w:szCs w:val="24"/>
          <w:shd w:val="clear" w:color="auto" w:fill="FFFFFF"/>
        </w:rPr>
      </w:pPr>
    </w:p>
    <w:p w14:paraId="4767B365" w14:textId="77777777" w:rsidR="004942B6" w:rsidRPr="004A3B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5DF8">
        <w:rPr>
          <w:rFonts w:ascii="Arial" w:hAnsi="Arial" w:cs="Arial"/>
          <w:sz w:val="24"/>
          <w:szCs w:val="24"/>
          <w:shd w:val="clear" w:color="auto" w:fill="FFFFFF"/>
          <w:lang w:val="pt-PT"/>
        </w:rPr>
        <w:t xml:space="preserve">Oliveira SM, Costa NBC, Silva GD, et al. </w:t>
      </w:r>
      <w:r w:rsidRPr="004A3B4A">
        <w:rPr>
          <w:rFonts w:ascii="Arial" w:hAnsi="Arial" w:cs="Arial"/>
          <w:sz w:val="24"/>
          <w:szCs w:val="24"/>
          <w:shd w:val="clear" w:color="auto" w:fill="FFFFFF"/>
        </w:rPr>
        <w:t>(2019). Readmission of Patients with Acute Coronary Syndrome and Determinants. Arquivos brasileiros de cardiologia, 113(1), 42–49.</w:t>
      </w:r>
    </w:p>
    <w:p w14:paraId="705A0FF7" w14:textId="77777777" w:rsidR="004942B6" w:rsidRPr="004A3B4A" w:rsidRDefault="004942B6" w:rsidP="004942B6">
      <w:pPr>
        <w:pStyle w:val="ListParagraph"/>
        <w:rPr>
          <w:rFonts w:ascii="Arial" w:hAnsi="Arial" w:cs="Arial"/>
          <w:sz w:val="24"/>
          <w:szCs w:val="24"/>
          <w:shd w:val="clear" w:color="auto" w:fill="FFFFFF"/>
        </w:rPr>
      </w:pPr>
    </w:p>
    <w:p w14:paraId="4A23749C" w14:textId="77777777" w:rsidR="004942B6" w:rsidRPr="004A3B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A3B4A">
        <w:rPr>
          <w:rFonts w:ascii="Arial" w:hAnsi="Arial" w:cs="Arial"/>
          <w:sz w:val="24"/>
          <w:szCs w:val="24"/>
          <w:shd w:val="clear" w:color="auto" w:fill="FFFFFF"/>
        </w:rPr>
        <w:t>Rashidi A, Whitehead L, Glass C. (2022). Factors affecting hospital readmission rates following an acute coronary syndrome: A systematic review. Journal of clinical nursing, 31(17-18), 2377–2397.</w:t>
      </w:r>
    </w:p>
    <w:p w14:paraId="4D3D6481" w14:textId="77777777" w:rsidR="004942B6" w:rsidRPr="004A3B4A" w:rsidRDefault="004942B6" w:rsidP="004942B6">
      <w:pPr>
        <w:pStyle w:val="ListParagraph"/>
        <w:rPr>
          <w:rFonts w:ascii="Arial" w:hAnsi="Arial" w:cs="Arial"/>
          <w:sz w:val="24"/>
          <w:szCs w:val="24"/>
        </w:rPr>
      </w:pPr>
    </w:p>
    <w:p w14:paraId="47458EEA" w14:textId="77777777" w:rsidR="004942B6" w:rsidRPr="004A3B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5DF8">
        <w:rPr>
          <w:rFonts w:ascii="Arial" w:hAnsi="Arial" w:cs="Arial"/>
          <w:sz w:val="24"/>
          <w:szCs w:val="24"/>
          <w:lang w:val="nl-NL"/>
        </w:rPr>
        <w:t xml:space="preserve">Oreel T H, Nieuwkerk P T, Hartog ID, et al. </w:t>
      </w:r>
      <w:r w:rsidRPr="004A3B4A">
        <w:rPr>
          <w:rFonts w:ascii="Arial" w:hAnsi="Arial" w:cs="Arial"/>
          <w:sz w:val="24"/>
          <w:szCs w:val="24"/>
        </w:rPr>
        <w:t>(2020). Gender differences in quality of life in coronary artery disease patients with comorbidities undergoing coronary revascularization. </w:t>
      </w:r>
      <w:r w:rsidRPr="004A3B4A">
        <w:rPr>
          <w:rFonts w:ascii="Arial" w:hAnsi="Arial" w:cs="Arial"/>
          <w:sz w:val="24"/>
          <w:szCs w:val="24"/>
          <w:bdr w:val="single" w:sz="2" w:space="0" w:color="ECEDEE" w:frame="1"/>
        </w:rPr>
        <w:t>PLOS ONE</w:t>
      </w:r>
      <w:r w:rsidRPr="004A3B4A">
        <w:rPr>
          <w:rFonts w:ascii="Arial" w:hAnsi="Arial" w:cs="Arial"/>
          <w:sz w:val="24"/>
          <w:szCs w:val="24"/>
        </w:rPr>
        <w:t>, </w:t>
      </w:r>
      <w:r w:rsidRPr="004A3B4A">
        <w:rPr>
          <w:rFonts w:ascii="Arial" w:hAnsi="Arial" w:cs="Arial"/>
          <w:sz w:val="24"/>
          <w:szCs w:val="24"/>
          <w:bdr w:val="single" w:sz="2" w:space="0" w:color="ECEDEE" w:frame="1"/>
        </w:rPr>
        <w:t>15</w:t>
      </w:r>
      <w:r w:rsidRPr="004A3B4A">
        <w:rPr>
          <w:rFonts w:ascii="Arial" w:hAnsi="Arial" w:cs="Arial"/>
          <w:sz w:val="24"/>
          <w:szCs w:val="24"/>
        </w:rPr>
        <w:t xml:space="preserve">(6), e0234543. </w:t>
      </w:r>
    </w:p>
    <w:p w14:paraId="52888FFB" w14:textId="77777777" w:rsidR="004942B6" w:rsidRPr="004A3B4A" w:rsidRDefault="004942B6" w:rsidP="004942B6">
      <w:pPr>
        <w:pStyle w:val="ListParagraph"/>
        <w:jc w:val="both"/>
        <w:rPr>
          <w:rFonts w:ascii="Arial" w:hAnsi="Arial" w:cs="Arial"/>
          <w:sz w:val="24"/>
          <w:szCs w:val="24"/>
          <w:shd w:val="clear" w:color="auto" w:fill="FFFFFF"/>
        </w:rPr>
      </w:pPr>
    </w:p>
    <w:p w14:paraId="5C087C61" w14:textId="77777777" w:rsidR="004942B6" w:rsidRPr="004A3B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5DF8">
        <w:rPr>
          <w:rFonts w:ascii="Arial" w:hAnsi="Arial" w:cs="Arial"/>
          <w:sz w:val="24"/>
          <w:szCs w:val="24"/>
          <w:shd w:val="clear" w:color="auto" w:fill="FFFFFF"/>
          <w:lang w:val="nl-NL"/>
        </w:rPr>
        <w:t xml:space="preserve">Gijsberts, CM, Agostoni P, Hoefer IE, et al. </w:t>
      </w:r>
      <w:r w:rsidRPr="004A3B4A">
        <w:rPr>
          <w:rFonts w:ascii="Arial" w:hAnsi="Arial" w:cs="Arial"/>
          <w:sz w:val="24"/>
          <w:szCs w:val="24"/>
          <w:shd w:val="clear" w:color="auto" w:fill="FFFFFF"/>
        </w:rPr>
        <w:t xml:space="preserve">(2015). Gender differences in health-related quality of life in patients undergoing coronary angiography. BMJ </w:t>
      </w:r>
      <w:r w:rsidRPr="004A3B4A">
        <w:rPr>
          <w:rFonts w:ascii="Arial" w:hAnsi="Arial" w:cs="Arial"/>
          <w:sz w:val="24"/>
          <w:szCs w:val="24"/>
          <w:bdr w:val="single" w:sz="2" w:space="0" w:color="ECEDEE" w:frame="1"/>
          <w:shd w:val="clear" w:color="auto" w:fill="FFFFFF"/>
        </w:rPr>
        <w:t>Open Heart</w:t>
      </w:r>
      <w:r w:rsidRPr="004A3B4A">
        <w:rPr>
          <w:rFonts w:ascii="Arial" w:hAnsi="Arial" w:cs="Arial"/>
          <w:sz w:val="24"/>
          <w:szCs w:val="24"/>
          <w:shd w:val="clear" w:color="auto" w:fill="FFFFFF"/>
        </w:rPr>
        <w:t>, </w:t>
      </w:r>
      <w:r w:rsidRPr="004A3B4A">
        <w:rPr>
          <w:rFonts w:ascii="Arial" w:hAnsi="Arial" w:cs="Arial"/>
          <w:sz w:val="24"/>
          <w:szCs w:val="24"/>
          <w:bdr w:val="single" w:sz="2" w:space="0" w:color="ECEDEE" w:frame="1"/>
          <w:shd w:val="clear" w:color="auto" w:fill="FFFFFF"/>
        </w:rPr>
        <w:t>2</w:t>
      </w:r>
      <w:r w:rsidRPr="004A3B4A">
        <w:rPr>
          <w:rFonts w:ascii="Arial" w:hAnsi="Arial" w:cs="Arial"/>
          <w:sz w:val="24"/>
          <w:szCs w:val="24"/>
          <w:shd w:val="clear" w:color="auto" w:fill="FFFFFF"/>
        </w:rPr>
        <w:t xml:space="preserve">(1), e000231. </w:t>
      </w:r>
    </w:p>
    <w:p w14:paraId="4C987A2B" w14:textId="77777777" w:rsidR="004942B6" w:rsidRPr="004A3B4A" w:rsidRDefault="004942B6" w:rsidP="004942B6">
      <w:pPr>
        <w:pStyle w:val="ListParagraph"/>
        <w:rPr>
          <w:rFonts w:ascii="Arial" w:hAnsi="Arial" w:cs="Arial"/>
          <w:sz w:val="24"/>
          <w:szCs w:val="24"/>
        </w:rPr>
      </w:pPr>
    </w:p>
    <w:p w14:paraId="109390CD" w14:textId="77777777" w:rsidR="004942B6" w:rsidRPr="004A3B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A3B4A">
        <w:rPr>
          <w:rFonts w:ascii="Arial" w:hAnsi="Arial" w:cs="Arial"/>
          <w:sz w:val="24"/>
          <w:szCs w:val="24"/>
        </w:rPr>
        <w:t>Pavlidis AN, Perera D, Karamasis G V, et al. Bapat, V., Young, C., Clapp, B., Blauth, C., Roxburgh, J., Thomas, M., &amp; Redwood, S. (2016). Implementation and consistency of Heart Team decision-making in complex coronary revascularisation. </w:t>
      </w:r>
      <w:r w:rsidRPr="004A3B4A">
        <w:rPr>
          <w:rFonts w:ascii="Arial" w:hAnsi="Arial" w:cs="Arial"/>
          <w:sz w:val="24"/>
          <w:szCs w:val="24"/>
          <w:bdr w:val="single" w:sz="2" w:space="0" w:color="ECEDEE" w:frame="1"/>
        </w:rPr>
        <w:t>Int J Cardiol</w:t>
      </w:r>
      <w:r w:rsidRPr="004A3B4A">
        <w:rPr>
          <w:rFonts w:ascii="Arial" w:hAnsi="Arial" w:cs="Arial"/>
          <w:sz w:val="24"/>
          <w:szCs w:val="24"/>
        </w:rPr>
        <w:t>, </w:t>
      </w:r>
      <w:r w:rsidRPr="004A3B4A">
        <w:rPr>
          <w:rFonts w:ascii="Arial" w:hAnsi="Arial" w:cs="Arial"/>
          <w:sz w:val="24"/>
          <w:szCs w:val="24"/>
          <w:bdr w:val="single" w:sz="2" w:space="0" w:color="ECEDEE" w:frame="1"/>
        </w:rPr>
        <w:t>206</w:t>
      </w:r>
      <w:r w:rsidRPr="004A3B4A">
        <w:rPr>
          <w:rFonts w:ascii="Arial" w:hAnsi="Arial" w:cs="Arial"/>
          <w:sz w:val="24"/>
          <w:szCs w:val="24"/>
        </w:rPr>
        <w:t xml:space="preserve">, 37–41. </w:t>
      </w:r>
    </w:p>
    <w:p w14:paraId="0826BF66" w14:textId="77777777" w:rsidR="004942B6" w:rsidRPr="004A3B4A" w:rsidRDefault="004942B6" w:rsidP="004942B6">
      <w:pPr>
        <w:pStyle w:val="ListParagraph"/>
        <w:rPr>
          <w:rFonts w:ascii="Arial" w:hAnsi="Arial" w:cs="Arial"/>
          <w:sz w:val="24"/>
          <w:szCs w:val="24"/>
          <w:shd w:val="clear" w:color="auto" w:fill="FFFFFF"/>
        </w:rPr>
      </w:pPr>
    </w:p>
    <w:p w14:paraId="51896500" w14:textId="77777777" w:rsidR="004942B6" w:rsidRPr="004A3B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A3B4A">
        <w:rPr>
          <w:rFonts w:ascii="Arial" w:hAnsi="Arial" w:cs="Arial"/>
          <w:sz w:val="24"/>
          <w:szCs w:val="24"/>
          <w:shd w:val="clear" w:color="auto" w:fill="FFFFFF"/>
        </w:rPr>
        <w:t xml:space="preserve">Long J, Luckraz H, Thekkudan J, et al. (2012). Heart team discussion in managing patients with coronary artery disease: outcome and reproducibility. Interact Cardiovasc Thorac Surg, 14(5), 594–598. </w:t>
      </w:r>
    </w:p>
    <w:p w14:paraId="1EF48CA4" w14:textId="77777777" w:rsidR="004942B6" w:rsidRPr="004A3B4A" w:rsidRDefault="004942B6" w:rsidP="004942B6">
      <w:pPr>
        <w:pStyle w:val="ListParagraph"/>
        <w:rPr>
          <w:rFonts w:ascii="Arial" w:hAnsi="Arial" w:cs="Arial"/>
          <w:sz w:val="24"/>
          <w:szCs w:val="24"/>
        </w:rPr>
      </w:pPr>
    </w:p>
    <w:p w14:paraId="26C428AD" w14:textId="77777777" w:rsidR="004942B6" w:rsidRPr="004A3B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A3B4A">
        <w:rPr>
          <w:rFonts w:ascii="Arial" w:hAnsi="Arial" w:cs="Arial"/>
          <w:sz w:val="24"/>
          <w:szCs w:val="24"/>
        </w:rPr>
        <w:t>DeFilippis AP, Chapman AR, De Lemos JA, et al. (2019). Assessment and treatment of patients with Type 2 myocardial infarction and acute non-ischaemic myocardial injury. </w:t>
      </w:r>
      <w:r w:rsidRPr="004A3B4A">
        <w:rPr>
          <w:rFonts w:ascii="Arial" w:hAnsi="Arial" w:cs="Arial"/>
          <w:sz w:val="24"/>
          <w:szCs w:val="24"/>
          <w:bdr w:val="single" w:sz="2" w:space="0" w:color="ECEDEE" w:frame="1"/>
        </w:rPr>
        <w:t>Circ J,</w:t>
      </w:r>
      <w:r w:rsidRPr="004A3B4A">
        <w:rPr>
          <w:rFonts w:ascii="Arial" w:hAnsi="Arial" w:cs="Arial"/>
          <w:sz w:val="24"/>
          <w:szCs w:val="24"/>
        </w:rPr>
        <w:t> </w:t>
      </w:r>
      <w:r w:rsidRPr="004A3B4A">
        <w:rPr>
          <w:rFonts w:ascii="Arial" w:hAnsi="Arial" w:cs="Arial"/>
          <w:sz w:val="24"/>
          <w:szCs w:val="24"/>
          <w:bdr w:val="single" w:sz="2" w:space="0" w:color="ECEDEE" w:frame="1"/>
        </w:rPr>
        <w:t>140</w:t>
      </w:r>
      <w:r w:rsidRPr="004A3B4A">
        <w:rPr>
          <w:rFonts w:ascii="Arial" w:hAnsi="Arial" w:cs="Arial"/>
          <w:sz w:val="24"/>
          <w:szCs w:val="24"/>
        </w:rPr>
        <w:t xml:space="preserve">(20), 1661–1678. </w:t>
      </w:r>
    </w:p>
    <w:p w14:paraId="4E59380F" w14:textId="77777777" w:rsidR="004942B6" w:rsidRPr="004A3B4A" w:rsidRDefault="004942B6" w:rsidP="004942B6">
      <w:pPr>
        <w:pStyle w:val="ListParagraph"/>
        <w:rPr>
          <w:rFonts w:ascii="Arial" w:hAnsi="Arial" w:cs="Arial"/>
          <w:sz w:val="24"/>
          <w:szCs w:val="24"/>
          <w:shd w:val="clear" w:color="auto" w:fill="FFFFFF"/>
        </w:rPr>
      </w:pPr>
    </w:p>
    <w:p w14:paraId="4FC86EAA" w14:textId="77777777" w:rsidR="004942B6" w:rsidRPr="004A3B4A"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A3B4A">
        <w:rPr>
          <w:rFonts w:ascii="Arial" w:hAnsi="Arial" w:cs="Arial"/>
          <w:sz w:val="24"/>
          <w:szCs w:val="24"/>
          <w:shd w:val="clear" w:color="auto" w:fill="FFFFFF"/>
        </w:rPr>
        <w:lastRenderedPageBreak/>
        <w:t xml:space="preserve">Ciarambino T, Menna G, Sansone, G, et al. (2021). Cardiomyopathies: An Overview. Int J Mol Sci, 22(14), 7722-7725. </w:t>
      </w:r>
    </w:p>
    <w:p w14:paraId="574A5A14" w14:textId="77777777" w:rsidR="004942B6" w:rsidRPr="004A3B4A" w:rsidRDefault="004942B6" w:rsidP="004942B6">
      <w:pPr>
        <w:pStyle w:val="ListParagraph"/>
        <w:rPr>
          <w:rFonts w:ascii="Arial" w:hAnsi="Arial" w:cs="Arial"/>
          <w:sz w:val="24"/>
          <w:szCs w:val="24"/>
          <w:shd w:val="clear" w:color="auto" w:fill="FFFFFF"/>
        </w:rPr>
      </w:pPr>
    </w:p>
    <w:p w14:paraId="5A6EA7CD" w14:textId="77777777" w:rsidR="004942B6" w:rsidRPr="003A427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4A3B4A">
        <w:rPr>
          <w:rFonts w:ascii="Arial" w:hAnsi="Arial" w:cs="Arial"/>
          <w:sz w:val="24"/>
          <w:szCs w:val="24"/>
          <w:shd w:val="clear" w:color="auto" w:fill="FFFFFF"/>
        </w:rPr>
        <w:t>Boulos PK, Messenger JC, Waldo SW. (2021). Readmission After ACS: Burde</w:t>
      </w:r>
      <w:r w:rsidRPr="003A4276">
        <w:rPr>
          <w:rFonts w:ascii="Arial" w:hAnsi="Arial" w:cs="Arial"/>
          <w:sz w:val="24"/>
          <w:szCs w:val="24"/>
          <w:shd w:val="clear" w:color="auto" w:fill="FFFFFF"/>
        </w:rPr>
        <w:t xml:space="preserve">n, Epidemiology, and Mitigation. Curr Cardiol Rep 24, 807–815. </w:t>
      </w:r>
    </w:p>
    <w:p w14:paraId="62284AF2" w14:textId="77777777" w:rsidR="004942B6" w:rsidRPr="003A4276" w:rsidRDefault="004942B6" w:rsidP="004942B6">
      <w:pPr>
        <w:pStyle w:val="ListParagraph"/>
        <w:rPr>
          <w:rFonts w:ascii="Arial" w:hAnsi="Arial" w:cs="Arial"/>
          <w:sz w:val="24"/>
          <w:szCs w:val="24"/>
        </w:rPr>
      </w:pPr>
    </w:p>
    <w:p w14:paraId="3ED02033" w14:textId="77777777" w:rsidR="004942B6" w:rsidRPr="003A427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A4276">
        <w:rPr>
          <w:rFonts w:ascii="Arial" w:hAnsi="Arial" w:cs="Arial"/>
          <w:sz w:val="24"/>
          <w:szCs w:val="24"/>
        </w:rPr>
        <w:t>Xu, R. H., Sun, R., Tian, L., Cheung, A., &amp; Wong, E. L. (2024). Health-related quality of life in primary care patients: a comparison between EQ-5D-5L utility score and EQ-visual analogue scale. </w:t>
      </w:r>
      <w:r w:rsidRPr="003A4276">
        <w:rPr>
          <w:rFonts w:ascii="Arial" w:hAnsi="Arial" w:cs="Arial"/>
          <w:sz w:val="24"/>
          <w:szCs w:val="24"/>
          <w:bdr w:val="single" w:sz="2" w:space="0" w:color="ECEDEE" w:frame="1"/>
        </w:rPr>
        <w:t>Health Qual Life Outcomes</w:t>
      </w:r>
      <w:r w:rsidRPr="003A4276">
        <w:rPr>
          <w:rFonts w:ascii="Arial" w:hAnsi="Arial" w:cs="Arial"/>
          <w:sz w:val="24"/>
          <w:szCs w:val="24"/>
        </w:rPr>
        <w:t>, </w:t>
      </w:r>
      <w:r w:rsidRPr="003A4276">
        <w:rPr>
          <w:rFonts w:ascii="Arial" w:hAnsi="Arial" w:cs="Arial"/>
          <w:sz w:val="24"/>
          <w:szCs w:val="24"/>
          <w:bdr w:val="single" w:sz="2" w:space="0" w:color="ECEDEE" w:frame="1"/>
        </w:rPr>
        <w:t>22</w:t>
      </w:r>
      <w:r w:rsidRPr="003A4276">
        <w:rPr>
          <w:rFonts w:ascii="Arial" w:hAnsi="Arial" w:cs="Arial"/>
          <w:sz w:val="24"/>
          <w:szCs w:val="24"/>
        </w:rPr>
        <w:t>(1), 955-957.</w:t>
      </w:r>
    </w:p>
    <w:p w14:paraId="517008C9" w14:textId="77777777" w:rsidR="004942B6" w:rsidRPr="003A4276" w:rsidRDefault="004942B6" w:rsidP="004942B6">
      <w:pPr>
        <w:pStyle w:val="ListParagraph"/>
        <w:rPr>
          <w:rFonts w:ascii="Arial" w:hAnsi="Arial" w:cs="Arial"/>
          <w:sz w:val="24"/>
          <w:szCs w:val="24"/>
        </w:rPr>
      </w:pPr>
    </w:p>
    <w:p w14:paraId="520DF311" w14:textId="77777777" w:rsidR="004942B6" w:rsidRPr="003A427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A4276">
        <w:rPr>
          <w:rFonts w:ascii="Arial" w:hAnsi="Arial" w:cs="Arial"/>
          <w:sz w:val="24"/>
          <w:szCs w:val="24"/>
        </w:rPr>
        <w:t xml:space="preserve"> </w:t>
      </w:r>
      <w:r w:rsidRPr="003A4276">
        <w:rPr>
          <w:rFonts w:ascii="Arial" w:hAnsi="Arial" w:cs="Arial"/>
          <w:sz w:val="24"/>
          <w:szCs w:val="24"/>
          <w:shd w:val="clear" w:color="auto" w:fill="FFFFFF"/>
        </w:rPr>
        <w:t xml:space="preserve">Conradie A, Atherton J, Chowdhury E, et al. (2022). Health-Related Quality of Life (HRQoL) and the Effect on Outcome in Patients Presenting with Coronary Artery Disease and Treated with Percutaneous Coronary Intervention (PCI): Differences Noted by Sex and Age. J Clin Med, 11(17), 5231-32. </w:t>
      </w:r>
    </w:p>
    <w:p w14:paraId="7C32AA2A" w14:textId="77777777" w:rsidR="004942B6" w:rsidRPr="003A4276" w:rsidRDefault="004942B6" w:rsidP="004942B6">
      <w:pPr>
        <w:pStyle w:val="ListParagraph"/>
        <w:rPr>
          <w:rFonts w:ascii="Arial" w:hAnsi="Arial" w:cs="Arial"/>
          <w:sz w:val="24"/>
          <w:szCs w:val="24"/>
          <w:shd w:val="clear" w:color="auto" w:fill="FFFFFF"/>
        </w:rPr>
      </w:pPr>
    </w:p>
    <w:p w14:paraId="3EB7090A" w14:textId="77777777" w:rsidR="004942B6" w:rsidRPr="003A4276"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5DF8">
        <w:rPr>
          <w:rFonts w:ascii="Arial" w:hAnsi="Arial" w:cs="Arial"/>
          <w:sz w:val="24"/>
          <w:szCs w:val="24"/>
          <w:shd w:val="clear" w:color="auto" w:fill="FFFFFF"/>
          <w:lang w:val="nl-NL"/>
        </w:rPr>
        <w:t xml:space="preserve">Gijsberts CM, Agostoni P, Hoefer IE, et al. </w:t>
      </w:r>
      <w:r w:rsidRPr="003A4276">
        <w:rPr>
          <w:rFonts w:ascii="Arial" w:hAnsi="Arial" w:cs="Arial"/>
          <w:sz w:val="24"/>
          <w:szCs w:val="24"/>
          <w:shd w:val="clear" w:color="auto" w:fill="FFFFFF"/>
        </w:rPr>
        <w:t xml:space="preserve">(2015). Gender differences in health-related quality of life in patients undergoing coronary angiography. Open heart, 2(1), e000231. </w:t>
      </w:r>
    </w:p>
    <w:p w14:paraId="0EE2A12C" w14:textId="77777777" w:rsidR="004942B6" w:rsidRPr="003A4276" w:rsidRDefault="004942B6" w:rsidP="004942B6">
      <w:pPr>
        <w:pStyle w:val="ListParagraph"/>
        <w:rPr>
          <w:rFonts w:ascii="Arial" w:hAnsi="Arial" w:cs="Arial"/>
          <w:sz w:val="24"/>
          <w:szCs w:val="24"/>
        </w:rPr>
      </w:pPr>
    </w:p>
    <w:p w14:paraId="274DD4FA" w14:textId="77777777" w:rsidR="004942B6" w:rsidRPr="0085751D"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A4276">
        <w:rPr>
          <w:rFonts w:ascii="Arial" w:hAnsi="Arial" w:cs="Arial"/>
          <w:sz w:val="24"/>
          <w:szCs w:val="24"/>
          <w:shd w:val="clear" w:color="auto" w:fill="FFFFFF"/>
        </w:rPr>
        <w:t>Byrne RA, Rossello X, Coughlan JJ, et al. ESC Scientific Document Group, 2023 ESC Guidelines for the management of acute coronary syndromes: Developed by the task force on the management of acute coronary syndromes of the European Society of Cardiology (ESC), </w:t>
      </w:r>
      <w:r w:rsidRPr="003A4276">
        <w:rPr>
          <w:rStyle w:val="Emphasis"/>
          <w:rFonts w:ascii="Arial" w:hAnsi="Arial" w:cs="Arial"/>
          <w:i w:val="0"/>
          <w:iCs w:val="0"/>
          <w:sz w:val="24"/>
          <w:szCs w:val="24"/>
          <w:bdr w:val="none" w:sz="0" w:space="0" w:color="auto" w:frame="1"/>
          <w:shd w:val="clear" w:color="auto" w:fill="FFFFFF"/>
        </w:rPr>
        <w:t>Eur Heart J</w:t>
      </w:r>
      <w:r w:rsidRPr="003A4276">
        <w:rPr>
          <w:rFonts w:ascii="Arial" w:hAnsi="Arial" w:cs="Arial"/>
          <w:i/>
          <w:iCs/>
          <w:sz w:val="24"/>
          <w:szCs w:val="24"/>
          <w:shd w:val="clear" w:color="auto" w:fill="FFFFFF"/>
        </w:rPr>
        <w:t>,</w:t>
      </w:r>
      <w:r w:rsidRPr="003A4276">
        <w:rPr>
          <w:rFonts w:ascii="Arial" w:hAnsi="Arial" w:cs="Arial"/>
          <w:sz w:val="24"/>
          <w:szCs w:val="24"/>
          <w:shd w:val="clear" w:color="auto" w:fill="FFFFFF"/>
        </w:rPr>
        <w:t xml:space="preserve"> Volume 44,</w:t>
      </w:r>
      <w:r w:rsidRPr="004A3B4A">
        <w:rPr>
          <w:rFonts w:ascii="Arial" w:hAnsi="Arial" w:cs="Arial"/>
          <w:sz w:val="24"/>
          <w:szCs w:val="24"/>
          <w:shd w:val="clear" w:color="auto" w:fill="FFFFFF"/>
        </w:rPr>
        <w:t xml:space="preserve"> Issue 38, 7 October 2023, 3720–3826. </w:t>
      </w:r>
    </w:p>
    <w:p w14:paraId="6FF032F0" w14:textId="77777777" w:rsidR="004942B6" w:rsidRPr="003A4276" w:rsidRDefault="004942B6" w:rsidP="004942B6">
      <w:pPr>
        <w:pStyle w:val="ListParagraph"/>
        <w:rPr>
          <w:rFonts w:ascii="Arial" w:hAnsi="Arial" w:cs="Arial"/>
          <w:sz w:val="24"/>
          <w:szCs w:val="24"/>
          <w:shd w:val="clear" w:color="auto" w:fill="FFFFFF"/>
        </w:rPr>
      </w:pPr>
    </w:p>
    <w:p w14:paraId="6CDF2343" w14:textId="77777777" w:rsidR="004942B6" w:rsidRPr="0085751D"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B2E21">
        <w:rPr>
          <w:rFonts w:ascii="Arial" w:hAnsi="Arial" w:cs="Arial"/>
          <w:sz w:val="24"/>
          <w:szCs w:val="24"/>
        </w:rPr>
        <w:t>Knuuti J, Wijns W, Saraste A, et al. 2019 ESC Guidelines for the diagnosis and management of chronic coronary syndromes. </w:t>
      </w:r>
      <w:r w:rsidRPr="003B2E21">
        <w:rPr>
          <w:rFonts w:ascii="Arial" w:hAnsi="Arial" w:cs="Arial"/>
          <w:sz w:val="24"/>
          <w:szCs w:val="24"/>
          <w:bdr w:val="single" w:sz="2" w:space="0" w:color="ECEDEE" w:frame="1"/>
        </w:rPr>
        <w:t>Eur Heart J</w:t>
      </w:r>
      <w:r w:rsidRPr="003B2E21">
        <w:rPr>
          <w:rFonts w:ascii="Arial" w:hAnsi="Arial" w:cs="Arial"/>
          <w:sz w:val="24"/>
          <w:szCs w:val="24"/>
        </w:rPr>
        <w:t>, </w:t>
      </w:r>
      <w:r w:rsidRPr="003B2E21">
        <w:rPr>
          <w:rFonts w:ascii="Arial" w:hAnsi="Arial" w:cs="Arial"/>
          <w:sz w:val="24"/>
          <w:szCs w:val="24"/>
          <w:bdr w:val="single" w:sz="2" w:space="0" w:color="ECEDEE" w:frame="1"/>
        </w:rPr>
        <w:t>41</w:t>
      </w:r>
      <w:r w:rsidRPr="003B2E21">
        <w:rPr>
          <w:rFonts w:ascii="Arial" w:hAnsi="Arial" w:cs="Arial"/>
          <w:sz w:val="24"/>
          <w:szCs w:val="24"/>
        </w:rPr>
        <w:t>(3), 407–477.</w:t>
      </w:r>
    </w:p>
    <w:p w14:paraId="4758A7C4" w14:textId="77777777" w:rsidR="004942B6" w:rsidRPr="004A3B4A" w:rsidRDefault="004942B6" w:rsidP="004942B6">
      <w:pPr>
        <w:pStyle w:val="ListParagraph"/>
        <w:rPr>
          <w:rFonts w:ascii="Arial" w:hAnsi="Arial" w:cs="Arial"/>
          <w:sz w:val="24"/>
          <w:szCs w:val="24"/>
        </w:rPr>
      </w:pPr>
    </w:p>
    <w:p w14:paraId="2F28EFBB" w14:textId="77777777" w:rsidR="004942B6" w:rsidRPr="003B2E21"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D95DF8">
        <w:rPr>
          <w:rFonts w:ascii="Arial" w:hAnsi="Arial" w:cs="Arial"/>
          <w:sz w:val="24"/>
          <w:szCs w:val="24"/>
          <w:lang w:val="fr-FR"/>
        </w:rPr>
        <w:t xml:space="preserve">Chen G, Peirce V, Marsh W. (2020). </w:t>
      </w:r>
      <w:r w:rsidRPr="003B2E21">
        <w:rPr>
          <w:rFonts w:ascii="Arial" w:hAnsi="Arial" w:cs="Arial"/>
          <w:sz w:val="24"/>
          <w:szCs w:val="24"/>
        </w:rPr>
        <w:t>Evaluation of the National Institute for Health and Care Excellence Diagnostics Assessment Program Decisions: Incremental Cost-Effectiveness Ratio Thresholds and Decision-Modifying Factors. </w:t>
      </w:r>
      <w:r w:rsidRPr="003B2E21">
        <w:rPr>
          <w:rFonts w:ascii="Arial" w:hAnsi="Arial" w:cs="Arial"/>
          <w:sz w:val="24"/>
          <w:szCs w:val="24"/>
          <w:bdr w:val="single" w:sz="2" w:space="0" w:color="ECEDEE" w:frame="1"/>
        </w:rPr>
        <w:t>Value in Health</w:t>
      </w:r>
      <w:r w:rsidRPr="003B2E21">
        <w:rPr>
          <w:rFonts w:ascii="Arial" w:hAnsi="Arial" w:cs="Arial"/>
          <w:sz w:val="24"/>
          <w:szCs w:val="24"/>
        </w:rPr>
        <w:t>, </w:t>
      </w:r>
      <w:r w:rsidRPr="003B2E21">
        <w:rPr>
          <w:rFonts w:ascii="Arial" w:hAnsi="Arial" w:cs="Arial"/>
          <w:sz w:val="24"/>
          <w:szCs w:val="24"/>
          <w:bdr w:val="single" w:sz="2" w:space="0" w:color="ECEDEE" w:frame="1"/>
        </w:rPr>
        <w:t>23</w:t>
      </w:r>
      <w:r w:rsidRPr="003B2E21">
        <w:rPr>
          <w:rFonts w:ascii="Arial" w:hAnsi="Arial" w:cs="Arial"/>
          <w:sz w:val="24"/>
          <w:szCs w:val="24"/>
        </w:rPr>
        <w:t>(10), 1300–1306.</w:t>
      </w:r>
    </w:p>
    <w:p w14:paraId="5081B77E" w14:textId="77777777" w:rsidR="004942B6" w:rsidRPr="003B2E21" w:rsidRDefault="004942B6" w:rsidP="004942B6">
      <w:pPr>
        <w:pStyle w:val="ListParagraph"/>
        <w:rPr>
          <w:rFonts w:ascii="Arial" w:hAnsi="Arial" w:cs="Arial"/>
          <w:color w:val="05103E"/>
          <w:sz w:val="24"/>
          <w:szCs w:val="24"/>
        </w:rPr>
      </w:pPr>
    </w:p>
    <w:p w14:paraId="5C61E3F1" w14:textId="77777777" w:rsidR="000154EB" w:rsidRDefault="004942B6"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3B2E21">
        <w:rPr>
          <w:rFonts w:ascii="Arial" w:hAnsi="Arial" w:cs="Arial"/>
          <w:sz w:val="24"/>
          <w:szCs w:val="24"/>
        </w:rPr>
        <w:t>Andersen BB, Sejr-Hansen M, Westra J, et al. (2023). Quantitative flow ratio versus fractional flow reserve for guiding percutaneous coronary intervention: design and rationale of the randomised FAVOR III Europe Japan trial. </w:t>
      </w:r>
      <w:r w:rsidRPr="003B2E21">
        <w:rPr>
          <w:rFonts w:ascii="Arial" w:hAnsi="Arial" w:cs="Arial"/>
          <w:sz w:val="24"/>
          <w:szCs w:val="24"/>
          <w:bdr w:val="single" w:sz="2" w:space="0" w:color="ECEDEE" w:frame="1"/>
        </w:rPr>
        <w:t>EuroIntervention</w:t>
      </w:r>
      <w:r w:rsidRPr="003B2E21">
        <w:rPr>
          <w:rFonts w:ascii="Arial" w:hAnsi="Arial" w:cs="Arial"/>
          <w:sz w:val="24"/>
          <w:szCs w:val="24"/>
        </w:rPr>
        <w:t>, </w:t>
      </w:r>
      <w:r w:rsidRPr="003B2E21">
        <w:rPr>
          <w:rFonts w:ascii="Arial" w:hAnsi="Arial" w:cs="Arial"/>
          <w:sz w:val="24"/>
          <w:szCs w:val="24"/>
          <w:bdr w:val="single" w:sz="2" w:space="0" w:color="ECEDEE" w:frame="1"/>
        </w:rPr>
        <w:t>18</w:t>
      </w:r>
      <w:r w:rsidRPr="003B2E21">
        <w:rPr>
          <w:rFonts w:ascii="Arial" w:hAnsi="Arial" w:cs="Arial"/>
          <w:sz w:val="24"/>
          <w:szCs w:val="24"/>
        </w:rPr>
        <w:t>(16), e1358–e1364.</w:t>
      </w:r>
    </w:p>
    <w:p w14:paraId="467A9013" w14:textId="2C83EE83" w:rsidR="00155DD4" w:rsidRPr="001328C9" w:rsidRDefault="00155DD4" w:rsidP="00E50651">
      <w:pPr>
        <w:pStyle w:val="ListParagraph"/>
        <w:numPr>
          <w:ilvl w:val="0"/>
          <w:numId w:val="28"/>
        </w:numPr>
        <w:tabs>
          <w:tab w:val="num" w:pos="360"/>
        </w:tabs>
        <w:spacing w:line="240" w:lineRule="auto"/>
        <w:ind w:left="360"/>
        <w:jc w:val="both"/>
        <w:rPr>
          <w:rFonts w:ascii="Arial" w:hAnsi="Arial" w:cs="Arial"/>
          <w:sz w:val="24"/>
          <w:szCs w:val="24"/>
          <w:lang w:eastAsia="en-GB"/>
        </w:rPr>
      </w:pPr>
      <w:r w:rsidRPr="001328C9">
        <w:rPr>
          <w:rFonts w:ascii="Arial" w:hAnsi="Arial" w:cs="Arial"/>
          <w:b/>
          <w:bCs/>
        </w:rPr>
        <w:br w:type="page"/>
      </w:r>
    </w:p>
    <w:p w14:paraId="0C6C3A1B" w14:textId="5397666B" w:rsidR="004942B6" w:rsidRPr="00BC5384" w:rsidRDefault="00822497" w:rsidP="004942B6">
      <w:pPr>
        <w:pStyle w:val="Heading1"/>
        <w:rPr>
          <w:rFonts w:ascii="Arial" w:hAnsi="Arial" w:cs="Arial"/>
          <w:b/>
          <w:bCs/>
          <w:color w:val="4472C4" w:themeColor="accent1"/>
        </w:rPr>
      </w:pPr>
      <w:bookmarkStart w:id="1493" w:name="_Toc171203972"/>
      <w:r w:rsidRPr="00BC5384">
        <w:rPr>
          <w:rFonts w:ascii="Arial" w:hAnsi="Arial" w:cs="Arial"/>
          <w:b/>
          <w:bCs/>
          <w:color w:val="4472C4" w:themeColor="accent1"/>
        </w:rPr>
        <w:lastRenderedPageBreak/>
        <w:t>6</w:t>
      </w:r>
      <w:r w:rsidR="00C618C3" w:rsidRPr="00BC5384">
        <w:rPr>
          <w:rFonts w:ascii="Arial" w:hAnsi="Arial" w:cs="Arial"/>
          <w:b/>
          <w:bCs/>
          <w:color w:val="4472C4" w:themeColor="accent1"/>
        </w:rPr>
        <w:t xml:space="preserve">. </w:t>
      </w:r>
      <w:r w:rsidR="004942B6" w:rsidRPr="00BC5384">
        <w:rPr>
          <w:rFonts w:ascii="Arial" w:hAnsi="Arial" w:cs="Arial"/>
          <w:b/>
          <w:bCs/>
          <w:color w:val="4472C4" w:themeColor="accent1"/>
        </w:rPr>
        <w:t>Appendix:</w:t>
      </w:r>
      <w:bookmarkEnd w:id="1493"/>
      <w:r w:rsidR="004942B6" w:rsidRPr="00BC5384">
        <w:rPr>
          <w:rFonts w:ascii="Arial" w:hAnsi="Arial" w:cs="Arial"/>
          <w:b/>
          <w:bCs/>
          <w:color w:val="4472C4" w:themeColor="accent1"/>
        </w:rPr>
        <w:t xml:space="preserve"> </w:t>
      </w:r>
      <w:bookmarkStart w:id="1494" w:name="_Hlk160984162"/>
    </w:p>
    <w:p w14:paraId="2EFDD183" w14:textId="77777777" w:rsidR="004942B6" w:rsidRDefault="004942B6" w:rsidP="004942B6"/>
    <w:p w14:paraId="5A5B4ECD" w14:textId="3ECCD9E5" w:rsidR="004942B6" w:rsidRPr="009D5474" w:rsidRDefault="00822497" w:rsidP="009D5474">
      <w:pPr>
        <w:pStyle w:val="Heading2"/>
        <w:jc w:val="both"/>
        <w:rPr>
          <w:rFonts w:ascii="Arial" w:hAnsi="Arial" w:cs="Arial"/>
          <w:color w:val="4472C4" w:themeColor="accent1"/>
          <w:sz w:val="24"/>
          <w:szCs w:val="24"/>
        </w:rPr>
      </w:pPr>
      <w:bookmarkStart w:id="1495" w:name="_Toc159320217"/>
      <w:bookmarkStart w:id="1496" w:name="_Toc171203973"/>
      <w:r>
        <w:rPr>
          <w:rFonts w:ascii="Arial" w:hAnsi="Arial" w:cs="Arial"/>
          <w:color w:val="4472C4" w:themeColor="accent1"/>
          <w:sz w:val="24"/>
          <w:szCs w:val="24"/>
        </w:rPr>
        <w:t>6</w:t>
      </w:r>
      <w:r w:rsidR="009D5474" w:rsidRPr="009D5474">
        <w:rPr>
          <w:rFonts w:ascii="Arial" w:hAnsi="Arial" w:cs="Arial"/>
          <w:color w:val="4472C4" w:themeColor="accent1"/>
          <w:sz w:val="24"/>
          <w:szCs w:val="24"/>
        </w:rPr>
        <w:t xml:space="preserve">.1 </w:t>
      </w:r>
      <w:r w:rsidR="004942B6" w:rsidRPr="009D5474">
        <w:rPr>
          <w:rFonts w:ascii="Arial" w:hAnsi="Arial" w:cs="Arial"/>
          <w:color w:val="4472C4" w:themeColor="accent1"/>
          <w:sz w:val="24"/>
          <w:szCs w:val="24"/>
        </w:rPr>
        <w:t>VIRTU-4HE - Questionnaire for the follow-up telephone consultation</w:t>
      </w:r>
      <w:bookmarkEnd w:id="1495"/>
      <w:bookmarkEnd w:id="1496"/>
    </w:p>
    <w:p w14:paraId="7BEB01DC" w14:textId="77777777" w:rsidR="004942B6" w:rsidRDefault="004942B6" w:rsidP="004942B6"/>
    <w:p w14:paraId="01B34AA3" w14:textId="77777777" w:rsidR="004942B6" w:rsidRDefault="004942B6" w:rsidP="004942B6">
      <w:r>
        <w:t>The person filling out the proforma:</w:t>
      </w:r>
    </w:p>
    <w:p w14:paraId="5643107A" w14:textId="77777777" w:rsidR="004942B6" w:rsidRDefault="004942B6" w:rsidP="004942B6">
      <w:r>
        <w:t>Patient’s name:</w:t>
      </w:r>
    </w:p>
    <w:p w14:paraId="65DBFA2D" w14:textId="77777777" w:rsidR="004942B6" w:rsidRDefault="004942B6" w:rsidP="004942B6">
      <w:r>
        <w:t>Hospital / NHS number:</w:t>
      </w:r>
    </w:p>
    <w:p w14:paraId="431989BB" w14:textId="77777777" w:rsidR="004942B6" w:rsidRDefault="004942B6" w:rsidP="004942B6">
      <w:r>
        <w:t>DOB:</w:t>
      </w:r>
    </w:p>
    <w:p w14:paraId="45C5AEAA" w14:textId="77777777" w:rsidR="004942B6" w:rsidRDefault="004942B6" w:rsidP="004942B6">
      <w:r>
        <w:t>Date of original procedure:</w:t>
      </w:r>
    </w:p>
    <w:p w14:paraId="4BCA8088" w14:textId="77777777" w:rsidR="004942B6" w:rsidRDefault="004942B6" w:rsidP="004942B6">
      <w:r>
        <w:t>Date of this call:</w:t>
      </w:r>
    </w:p>
    <w:p w14:paraId="32B1B3E7" w14:textId="77777777" w:rsidR="004942B6" w:rsidRDefault="004942B6" w:rsidP="004942B6">
      <w:r>
        <w:t>Time difference (months):</w:t>
      </w:r>
    </w:p>
    <w:p w14:paraId="664F7E3B" w14:textId="77777777" w:rsidR="004942B6" w:rsidRDefault="004942B6" w:rsidP="004942B6">
      <w:r>
        <w:t>Phone number used:</w:t>
      </w:r>
    </w:p>
    <w:p w14:paraId="12AA8B0F" w14:textId="77777777" w:rsidR="004942B6" w:rsidRDefault="004942B6" w:rsidP="004942B6">
      <w:pPr>
        <w:tabs>
          <w:tab w:val="left" w:pos="5120"/>
        </w:tabs>
      </w:pPr>
      <w:r>
        <w:tab/>
      </w:r>
    </w:p>
    <w:p w14:paraId="33A567F6" w14:textId="77777777" w:rsidR="004942B6" w:rsidRDefault="004942B6" w:rsidP="004942B6">
      <w:pPr>
        <w:spacing w:line="360" w:lineRule="auto"/>
      </w:pPr>
      <w:r>
        <w:t>Introduce yourself and say you are working under the supervision of Professor Gunn and Dr Morris</w:t>
      </w:r>
    </w:p>
    <w:p w14:paraId="6B9213F8" w14:textId="77777777" w:rsidR="004942B6" w:rsidRDefault="004942B6" w:rsidP="004942B6">
      <w:pPr>
        <w:spacing w:line="360" w:lineRule="auto"/>
      </w:pPr>
      <w:r>
        <w:t>at the Northern General Hospital Sheffield.</w:t>
      </w:r>
    </w:p>
    <w:p w14:paraId="5E14F57F" w14:textId="77777777" w:rsidR="004942B6" w:rsidRDefault="004942B6" w:rsidP="004942B6">
      <w:pPr>
        <w:spacing w:line="360" w:lineRule="auto"/>
      </w:pPr>
      <w:r>
        <w:t>This is a follow-up for the VIRTU-4 study in which you might recall being enrolled. This was a study of</w:t>
      </w:r>
    </w:p>
    <w:p w14:paraId="651AF242" w14:textId="77777777" w:rsidR="004942B6" w:rsidRDefault="004942B6" w:rsidP="004942B6">
      <w:pPr>
        <w:spacing w:line="360" w:lineRule="auto"/>
      </w:pPr>
      <w:r>
        <w:t>using your angiogram heart pictures to construct a computer model of the circulation to help guide</w:t>
      </w:r>
    </w:p>
    <w:p w14:paraId="55CCC81C" w14:textId="77777777" w:rsidR="004942B6" w:rsidRDefault="004942B6" w:rsidP="004942B6">
      <w:pPr>
        <w:spacing w:line="360" w:lineRule="auto"/>
      </w:pPr>
      <w:r>
        <w:t>treatment. The research has gone very well. We enrolled more than 300 patients and showed that</w:t>
      </w:r>
    </w:p>
    <w:p w14:paraId="2C25B6DC" w14:textId="77777777" w:rsidR="004942B6" w:rsidRDefault="004942B6" w:rsidP="004942B6">
      <w:pPr>
        <w:spacing w:line="360" w:lineRule="auto"/>
      </w:pPr>
      <w:r>
        <w:t>the computer model could (if it were adopted widely) have the potential to change the treatment with stents in around 20% of patients. We are now documenting outcomes on all our study patients,</w:t>
      </w:r>
    </w:p>
    <w:p w14:paraId="3DE4E3D9" w14:textId="77777777" w:rsidR="004942B6" w:rsidRDefault="004942B6" w:rsidP="004942B6">
      <w:pPr>
        <w:spacing w:line="360" w:lineRule="auto"/>
      </w:pPr>
      <w:r>
        <w:t>to see if the computer model would help in the longer term.</w:t>
      </w:r>
    </w:p>
    <w:p w14:paraId="1105D214" w14:textId="77777777" w:rsidR="004942B6" w:rsidRDefault="004942B6" w:rsidP="004942B6">
      <w:pPr>
        <w:spacing w:line="360" w:lineRule="auto"/>
      </w:pPr>
      <w:r>
        <w:t>Are you happy to continue the follow-up phone conversation, so we can see how you</w:t>
      </w:r>
    </w:p>
    <w:p w14:paraId="2758FF5E" w14:textId="77777777" w:rsidR="004942B6" w:rsidRDefault="004942B6" w:rsidP="004942B6">
      <w:pPr>
        <w:spacing w:line="360" w:lineRule="auto"/>
      </w:pPr>
      <w:r>
        <w:t>are getting on?</w:t>
      </w:r>
    </w:p>
    <w:p w14:paraId="1C49722C" w14:textId="77777777" w:rsidR="004942B6" w:rsidRDefault="004942B6" w:rsidP="004942B6">
      <w:pPr>
        <w:spacing w:line="360" w:lineRule="auto"/>
      </w:pPr>
      <w:r>
        <w:t>If yes…</w:t>
      </w:r>
    </w:p>
    <w:p w14:paraId="48ADBE3A" w14:textId="77777777" w:rsidR="004942B6" w:rsidRDefault="004942B6" w:rsidP="004942B6">
      <w:pPr>
        <w:spacing w:line="360" w:lineRule="auto"/>
      </w:pPr>
      <w:r>
        <w:t>I am going to ask a few questions about your health since the procedure on your heart.</w:t>
      </w:r>
    </w:p>
    <w:p w14:paraId="4C679268" w14:textId="77777777" w:rsidR="004942B6" w:rsidRDefault="004942B6" w:rsidP="004942B6"/>
    <w:p w14:paraId="3C6889BB" w14:textId="77777777" w:rsidR="004942B6" w:rsidRDefault="004942B6" w:rsidP="004942B6">
      <w:r>
        <w:t>Since the angiogram:</w:t>
      </w:r>
    </w:p>
    <w:p w14:paraId="11789EA2" w14:textId="77777777" w:rsidR="004942B6" w:rsidRDefault="004942B6" w:rsidP="004942B6">
      <w:r>
        <w:t>Have you been re-admitted to the hospital? If yes, how many times?</w:t>
      </w:r>
    </w:p>
    <w:p w14:paraId="5B6A5C34" w14:textId="77777777" w:rsidR="004942B6" w:rsidRDefault="004942B6" w:rsidP="004942B6">
      <w:r>
        <w:lastRenderedPageBreak/>
        <w:t>Which hospital?</w:t>
      </w:r>
    </w:p>
    <w:p w14:paraId="1A602F4E" w14:textId="77777777" w:rsidR="004942B6" w:rsidRDefault="004942B6" w:rsidP="004942B6">
      <w:r>
        <w:t>Was the admission an emergency admission or an elective one?</w:t>
      </w:r>
    </w:p>
    <w:p w14:paraId="770372D6" w14:textId="77777777" w:rsidR="004942B6" w:rsidRDefault="004942B6" w:rsidP="004942B6">
      <w:r>
        <w:t>Was the admission related to heart problems or any other problem?</w:t>
      </w:r>
    </w:p>
    <w:p w14:paraId="5A598216" w14:textId="77777777" w:rsidR="004942B6" w:rsidRDefault="004942B6" w:rsidP="004942B6">
      <w:r>
        <w:t>How long were you in the hospital?</w:t>
      </w:r>
    </w:p>
    <w:p w14:paraId="36E07A0F" w14:textId="77777777" w:rsidR="004942B6" w:rsidRDefault="004942B6" w:rsidP="004942B6">
      <w:r>
        <w:t xml:space="preserve">Have you had any outpatient visits to the hospital? </w:t>
      </w:r>
    </w:p>
    <w:p w14:paraId="5CB752C9" w14:textId="77777777" w:rsidR="004942B6" w:rsidRDefault="004942B6" w:rsidP="004942B6">
      <w:r>
        <w:t xml:space="preserve">How many times you have visited outpatients? </w:t>
      </w:r>
    </w:p>
    <w:p w14:paraId="7FEFD1D7" w14:textId="77777777" w:rsidR="004942B6" w:rsidRDefault="004942B6" w:rsidP="004942B6">
      <w:r>
        <w:t>Which hospital?</w:t>
      </w:r>
    </w:p>
    <w:p w14:paraId="2E5229BB" w14:textId="77777777" w:rsidR="004942B6" w:rsidRDefault="004942B6" w:rsidP="004942B6">
      <w:r>
        <w:t>Have you had any tests done on your heart?</w:t>
      </w:r>
    </w:p>
    <w:p w14:paraId="2117B1E5" w14:textId="77777777" w:rsidR="004942B6" w:rsidRDefault="004942B6" w:rsidP="004942B6"/>
    <w:p w14:paraId="25105232" w14:textId="77777777" w:rsidR="004942B6" w:rsidRDefault="004942B6" w:rsidP="004942B6">
      <w:r>
        <w:t>As far as you are aware, since the procedure, have you had:</w:t>
      </w:r>
    </w:p>
    <w:p w14:paraId="7E2DFDE2" w14:textId="77777777" w:rsidR="004942B6" w:rsidRDefault="004942B6" w:rsidP="004942B6">
      <w:r>
        <w:t>A heart attack? When?</w:t>
      </w:r>
    </w:p>
    <w:p w14:paraId="4571D05F" w14:textId="77777777" w:rsidR="004942B6" w:rsidRDefault="004942B6" w:rsidP="004942B6">
      <w:r>
        <w:t>A stroke or a mini stroke? When?</w:t>
      </w:r>
    </w:p>
    <w:p w14:paraId="3A539D5C" w14:textId="77777777" w:rsidR="004942B6" w:rsidRDefault="004942B6" w:rsidP="004942B6">
      <w:r>
        <w:t>Repeat angiograms or stents?</w:t>
      </w:r>
    </w:p>
    <w:p w14:paraId="34C8ABE3" w14:textId="77777777" w:rsidR="004942B6" w:rsidRDefault="004942B6" w:rsidP="004942B6">
      <w:r>
        <w:t>Are you waiting to have some treatment for your heart?</w:t>
      </w:r>
    </w:p>
    <w:p w14:paraId="1176F8A9" w14:textId="77777777" w:rsidR="004942B6" w:rsidRDefault="004942B6" w:rsidP="004942B6"/>
    <w:p w14:paraId="1C2E3307" w14:textId="77777777" w:rsidR="004942B6" w:rsidRDefault="004942B6" w:rsidP="004942B6">
      <w:r>
        <w:t>Currently:</w:t>
      </w:r>
    </w:p>
    <w:p w14:paraId="33685FE5" w14:textId="77777777" w:rsidR="004942B6" w:rsidRDefault="004942B6" w:rsidP="004942B6">
      <w:r>
        <w:t>Do you get any chest pain or discomfort?</w:t>
      </w:r>
    </w:p>
    <w:p w14:paraId="4633B18D" w14:textId="77777777" w:rsidR="004942B6" w:rsidRDefault="004942B6" w:rsidP="004942B6">
      <w:r>
        <w:t>How much effort brings it on? (CCS class of angina 1-4)</w:t>
      </w:r>
    </w:p>
    <w:p w14:paraId="482F5480" w14:textId="77777777" w:rsidR="004942B6" w:rsidRDefault="004942B6" w:rsidP="004942B6">
      <w:r>
        <w:t>Do you get any breathlessness on exertion (NYHA class 1-4)</w:t>
      </w:r>
    </w:p>
    <w:p w14:paraId="5AC98A04" w14:textId="77777777" w:rsidR="004942B6" w:rsidRDefault="004942B6" w:rsidP="004942B6">
      <w:r>
        <w:t>Have you got a list of your medication handy? Could you bring them to the phone?</w:t>
      </w:r>
    </w:p>
    <w:p w14:paraId="00C09B4A" w14:textId="77777777" w:rsidR="004942B6" w:rsidRDefault="004942B6" w:rsidP="004942B6">
      <w:r>
        <w:t>Please could you read them out?</w:t>
      </w:r>
    </w:p>
    <w:p w14:paraId="78122592" w14:textId="77777777" w:rsidR="004942B6" w:rsidRDefault="004942B6" w:rsidP="004942B6">
      <w:r>
        <w:t>(The number of anti-anginal)</w:t>
      </w:r>
    </w:p>
    <w:p w14:paraId="6B383B03" w14:textId="77777777" w:rsidR="004942B6" w:rsidRDefault="004942B6" w:rsidP="004942B6">
      <w:r>
        <w:t>Since the original procedure, have you had any changes to your medication?</w:t>
      </w:r>
    </w:p>
    <w:p w14:paraId="673CD9E6" w14:textId="77777777" w:rsidR="004942B6" w:rsidRDefault="004942B6" w:rsidP="004942B6"/>
    <w:p w14:paraId="2480377B" w14:textId="77777777" w:rsidR="004942B6" w:rsidRDefault="004942B6" w:rsidP="004942B6">
      <w:r>
        <w:t>I’d like to ask you about the impact the procedure has had on your life. I’d like you to compare how things were before with how things are now.</w:t>
      </w:r>
    </w:p>
    <w:p w14:paraId="65DD24E0" w14:textId="77777777" w:rsidR="004942B6" w:rsidRDefault="004942B6" w:rsidP="004942B6">
      <w:r>
        <w:t>What difference has the procedure made to:</w:t>
      </w:r>
    </w:p>
    <w:p w14:paraId="6FDC923E" w14:textId="77777777" w:rsidR="004942B6" w:rsidRDefault="004942B6" w:rsidP="004942B6">
      <w:r>
        <w:t>Work?</w:t>
      </w:r>
    </w:p>
    <w:p w14:paraId="7BE351CD" w14:textId="77777777" w:rsidR="004942B6" w:rsidRDefault="004942B6" w:rsidP="004942B6">
      <w:r>
        <w:t>What is your job?</w:t>
      </w:r>
    </w:p>
    <w:p w14:paraId="5AC61A49" w14:textId="77777777" w:rsidR="004942B6" w:rsidRDefault="004942B6" w:rsidP="004942B6">
      <w:r>
        <w:t>Have you had to have time off or have you returned to work? How long?</w:t>
      </w:r>
    </w:p>
    <w:p w14:paraId="7CEB4340" w14:textId="77777777" w:rsidR="004942B6" w:rsidRDefault="004942B6" w:rsidP="004942B6">
      <w:r>
        <w:t>Has the nature of the work changed?</w:t>
      </w:r>
    </w:p>
    <w:p w14:paraId="687FDB32" w14:textId="77777777" w:rsidR="004942B6" w:rsidRDefault="004942B6" w:rsidP="004942B6">
      <w:r>
        <w:lastRenderedPageBreak/>
        <w:t>Have you been to the cardiac rehab programme after the heart attack? (to be asked in ACS patients)</w:t>
      </w:r>
    </w:p>
    <w:p w14:paraId="0C08EB34" w14:textId="77777777" w:rsidR="004942B6" w:rsidRDefault="004942B6" w:rsidP="004942B6">
      <w:r>
        <w:t>Are you on benefits? Has the procedure made any difference?</w:t>
      </w:r>
    </w:p>
    <w:p w14:paraId="4D33DBCB" w14:textId="77777777" w:rsidR="004942B6" w:rsidRDefault="004942B6" w:rsidP="004942B6">
      <w:r>
        <w:t>What was the impact of the procedure on your family?</w:t>
      </w:r>
    </w:p>
    <w:p w14:paraId="5983D389" w14:textId="77777777" w:rsidR="004942B6" w:rsidRDefault="004942B6" w:rsidP="004942B6">
      <w:r>
        <w:t xml:space="preserve">Did you require any extra help or assistance at home following the procedure on your heart? </w:t>
      </w:r>
    </w:p>
    <w:p w14:paraId="315711FA" w14:textId="77777777" w:rsidR="004942B6" w:rsidRDefault="004942B6" w:rsidP="004942B6"/>
    <w:p w14:paraId="74596A2D" w14:textId="77777777" w:rsidR="004942B6" w:rsidRDefault="004942B6" w:rsidP="004942B6">
      <w:r>
        <w:t>I would like to ask a few questions about the impact of the procedure on your quality of life and mental well-being.</w:t>
      </w:r>
    </w:p>
    <w:p w14:paraId="254B2FB1" w14:textId="77777777" w:rsidR="004942B6" w:rsidRDefault="004942B6" w:rsidP="004942B6">
      <w:r>
        <w:t>Do you have any problems with mobility?</w:t>
      </w:r>
    </w:p>
    <w:p w14:paraId="50717024" w14:textId="77777777" w:rsidR="004942B6" w:rsidRDefault="004942B6" w:rsidP="004942B6">
      <w:r>
        <w:t>Any problems with caring for yourself?</w:t>
      </w:r>
    </w:p>
    <w:p w14:paraId="2AE802ED" w14:textId="77777777" w:rsidR="004942B6" w:rsidRDefault="004942B6" w:rsidP="004942B6">
      <w:r>
        <w:t>Are you able to perform your routine daily activities without any assistance?</w:t>
      </w:r>
    </w:p>
    <w:p w14:paraId="21C4FC84" w14:textId="77777777" w:rsidR="004942B6" w:rsidRDefault="004942B6" w:rsidP="004942B6">
      <w:r>
        <w:t>Do you have any aches and pains in your body limiting your ability to perform routine daily activities?</w:t>
      </w:r>
    </w:p>
    <w:p w14:paraId="1D181332" w14:textId="77777777" w:rsidR="004942B6" w:rsidRDefault="004942B6" w:rsidP="004942B6">
      <w:r>
        <w:t>Has the experience had any effect on your mood? Either better or worse?</w:t>
      </w:r>
    </w:p>
    <w:p w14:paraId="3FA52454" w14:textId="77777777" w:rsidR="004942B6" w:rsidRDefault="004942B6" w:rsidP="004942B6">
      <w:r>
        <w:t>How would you rate your general health from 1-100 scale (1 being the worst and 100 being the best health state?</w:t>
      </w:r>
    </w:p>
    <w:p w14:paraId="3D6F8913" w14:textId="77777777" w:rsidR="004942B6" w:rsidRDefault="004942B6" w:rsidP="004942B6">
      <w:r>
        <w:t>Is there anything else you’d like to mention?</w:t>
      </w:r>
    </w:p>
    <w:p w14:paraId="7AEA8094" w14:textId="77777777" w:rsidR="004942B6" w:rsidRDefault="004942B6" w:rsidP="004942B6"/>
    <w:p w14:paraId="1153B670" w14:textId="77777777" w:rsidR="004942B6" w:rsidRDefault="004942B6" w:rsidP="004942B6">
      <w:r>
        <w:t>Thank you very much for helping us, and future patients, with the research. It is much appreciated.</w:t>
      </w:r>
    </w:p>
    <w:p w14:paraId="538AA627" w14:textId="77777777" w:rsidR="004942B6" w:rsidRDefault="004942B6" w:rsidP="004942B6"/>
    <w:p w14:paraId="0914FA3E" w14:textId="77777777" w:rsidR="004942B6" w:rsidRDefault="004942B6" w:rsidP="004942B6"/>
    <w:p w14:paraId="04D0C85C" w14:textId="77777777" w:rsidR="004942B6" w:rsidRDefault="004942B6" w:rsidP="004942B6"/>
    <w:p w14:paraId="58A32EDD" w14:textId="77777777" w:rsidR="004942B6" w:rsidRDefault="004942B6" w:rsidP="004942B6"/>
    <w:p w14:paraId="0749AC08" w14:textId="77777777" w:rsidR="004942B6" w:rsidRDefault="004942B6" w:rsidP="004942B6"/>
    <w:p w14:paraId="305956EB" w14:textId="77777777" w:rsidR="004942B6" w:rsidRDefault="004942B6" w:rsidP="004942B6"/>
    <w:p w14:paraId="6E684F0F" w14:textId="77777777" w:rsidR="004942B6" w:rsidRDefault="004942B6" w:rsidP="004942B6"/>
    <w:p w14:paraId="32ADDC8C" w14:textId="77777777" w:rsidR="004942B6" w:rsidRDefault="004942B6" w:rsidP="004942B6"/>
    <w:p w14:paraId="52F2C87D" w14:textId="77777777" w:rsidR="004942B6" w:rsidRDefault="004942B6" w:rsidP="004942B6"/>
    <w:p w14:paraId="47025740" w14:textId="77777777" w:rsidR="004942B6" w:rsidRDefault="004942B6" w:rsidP="004942B6"/>
    <w:p w14:paraId="28DD38B4" w14:textId="77777777" w:rsidR="008A6296" w:rsidRDefault="008A6296" w:rsidP="00C50945">
      <w:pPr>
        <w:pStyle w:val="Heading2"/>
        <w:rPr>
          <w:rFonts w:ascii="Arial" w:hAnsi="Arial" w:cs="Arial"/>
          <w:color w:val="4472C4" w:themeColor="accent1"/>
          <w:sz w:val="24"/>
          <w:szCs w:val="24"/>
        </w:rPr>
      </w:pPr>
    </w:p>
    <w:p w14:paraId="3C165C58" w14:textId="77777777" w:rsidR="008A6296" w:rsidRDefault="008A6296" w:rsidP="008A6296"/>
    <w:p w14:paraId="223271BD" w14:textId="77777777" w:rsidR="008A6296" w:rsidRPr="008A6296" w:rsidRDefault="008A6296" w:rsidP="008A6296"/>
    <w:p w14:paraId="438659F1" w14:textId="29F4A150" w:rsidR="004942B6" w:rsidRPr="00C50945" w:rsidRDefault="00822497" w:rsidP="001126CC">
      <w:pPr>
        <w:pStyle w:val="Heading2"/>
        <w:spacing w:line="360" w:lineRule="auto"/>
        <w:rPr>
          <w:rFonts w:ascii="Arial" w:hAnsi="Arial" w:cs="Arial"/>
          <w:color w:val="4472C4" w:themeColor="accent1"/>
          <w:sz w:val="24"/>
          <w:szCs w:val="24"/>
        </w:rPr>
      </w:pPr>
      <w:bookmarkStart w:id="1497" w:name="_Toc171203974"/>
      <w:r>
        <w:rPr>
          <w:rFonts w:ascii="Arial" w:hAnsi="Arial" w:cs="Arial"/>
          <w:color w:val="4472C4" w:themeColor="accent1"/>
          <w:sz w:val="24"/>
          <w:szCs w:val="24"/>
        </w:rPr>
        <w:lastRenderedPageBreak/>
        <w:t>6</w:t>
      </w:r>
      <w:r w:rsidR="00C50945">
        <w:rPr>
          <w:rFonts w:ascii="Arial" w:hAnsi="Arial" w:cs="Arial"/>
          <w:color w:val="4472C4" w:themeColor="accent1"/>
          <w:sz w:val="24"/>
          <w:szCs w:val="24"/>
        </w:rPr>
        <w:t xml:space="preserve">.2 </w:t>
      </w:r>
      <w:r w:rsidR="004942B6" w:rsidRPr="00C50945">
        <w:rPr>
          <w:rFonts w:ascii="Arial" w:hAnsi="Arial" w:cs="Arial"/>
          <w:color w:val="4472C4" w:themeColor="accent1"/>
          <w:sz w:val="24"/>
          <w:szCs w:val="24"/>
        </w:rPr>
        <w:t xml:space="preserve">Comparison of the individualised “actual” and </w:t>
      </w:r>
      <w:r w:rsidR="008A6296">
        <w:rPr>
          <w:rFonts w:ascii="Arial" w:hAnsi="Arial" w:cs="Arial"/>
          <w:color w:val="4472C4" w:themeColor="accent1"/>
          <w:sz w:val="24"/>
          <w:szCs w:val="24"/>
        </w:rPr>
        <w:t xml:space="preserve">post-vFFR </w:t>
      </w:r>
      <w:r w:rsidR="004942B6" w:rsidRPr="00C50945">
        <w:rPr>
          <w:rFonts w:ascii="Arial" w:hAnsi="Arial" w:cs="Arial"/>
          <w:color w:val="4472C4" w:themeColor="accent1"/>
          <w:sz w:val="24"/>
          <w:szCs w:val="24"/>
        </w:rPr>
        <w:t>“virtual” EQ-VAS and EQ-indexed scores of patients in the virtual change subset</w:t>
      </w:r>
      <w:bookmarkEnd w:id="1497"/>
    </w:p>
    <w:p w14:paraId="143538D6" w14:textId="77777777" w:rsidR="004942B6" w:rsidRDefault="004942B6" w:rsidP="004942B6"/>
    <w:p w14:paraId="58D22BC1" w14:textId="1E9C68C5" w:rsidR="004942B6" w:rsidRPr="00745826" w:rsidRDefault="004942B6" w:rsidP="004942B6">
      <w:pPr>
        <w:pStyle w:val="Caption"/>
        <w:rPr>
          <w:rFonts w:ascii="Arial" w:hAnsi="Arial" w:cs="Arial"/>
          <w:color w:val="auto"/>
          <w:sz w:val="20"/>
          <w:szCs w:val="20"/>
        </w:rPr>
      </w:pPr>
      <w:bookmarkStart w:id="1498" w:name="_Toc153725854"/>
      <w:bookmarkStart w:id="1499" w:name="_Toc159318296"/>
      <w:bookmarkStart w:id="1500" w:name="_Toc159610331"/>
      <w:bookmarkStart w:id="1501" w:name="_Toc164699088"/>
      <w:bookmarkStart w:id="1502" w:name="_Toc171206730"/>
      <w:r w:rsidRPr="00745826">
        <w:rPr>
          <w:rFonts w:ascii="Arial" w:hAnsi="Arial" w:cs="Arial"/>
          <w:b/>
          <w:bCs/>
          <w:color w:val="auto"/>
          <w:sz w:val="20"/>
          <w:szCs w:val="20"/>
        </w:rPr>
        <w:t xml:space="preserve">Table </w:t>
      </w:r>
      <w:r w:rsidR="003F22A1">
        <w:rPr>
          <w:rFonts w:ascii="Arial" w:hAnsi="Arial" w:cs="Arial"/>
          <w:b/>
          <w:bCs/>
          <w:color w:val="auto"/>
          <w:sz w:val="20"/>
          <w:szCs w:val="20"/>
        </w:rPr>
        <w:t>20</w:t>
      </w:r>
      <w:r w:rsidRPr="00745826">
        <w:rPr>
          <w:rFonts w:ascii="Arial" w:hAnsi="Arial" w:cs="Arial"/>
          <w:b/>
          <w:bCs/>
          <w:color w:val="auto"/>
          <w:sz w:val="20"/>
          <w:szCs w:val="20"/>
        </w:rPr>
        <w:t>:</w:t>
      </w:r>
      <w:r w:rsidRPr="00745826">
        <w:rPr>
          <w:rFonts w:ascii="Arial" w:hAnsi="Arial" w:cs="Arial"/>
          <w:color w:val="auto"/>
          <w:sz w:val="20"/>
          <w:szCs w:val="20"/>
        </w:rPr>
        <w:t xml:space="preserve"> Comparison of the individualised "actual" and "virtual" EQ-VAS and EQ-indexed scores of ACS patients in</w:t>
      </w:r>
      <w:r>
        <w:rPr>
          <w:rFonts w:ascii="Arial" w:hAnsi="Arial" w:cs="Arial"/>
          <w:color w:val="auto"/>
          <w:sz w:val="20"/>
          <w:szCs w:val="20"/>
        </w:rPr>
        <w:t xml:space="preserve"> the</w:t>
      </w:r>
      <w:r w:rsidRPr="00745826">
        <w:rPr>
          <w:rFonts w:ascii="Arial" w:hAnsi="Arial" w:cs="Arial"/>
          <w:color w:val="auto"/>
          <w:sz w:val="20"/>
          <w:szCs w:val="20"/>
        </w:rPr>
        <w:t xml:space="preserve"> virtual change subset at one year</w:t>
      </w:r>
      <w:bookmarkEnd w:id="1498"/>
      <w:bookmarkEnd w:id="1499"/>
      <w:bookmarkEnd w:id="1500"/>
      <w:bookmarkEnd w:id="1501"/>
      <w:bookmarkEnd w:id="1502"/>
    </w:p>
    <w:tbl>
      <w:tblPr>
        <w:tblStyle w:val="TableGrid"/>
        <w:tblW w:w="9276" w:type="dxa"/>
        <w:tblInd w:w="-34" w:type="dxa"/>
        <w:tblLook w:val="04A0" w:firstRow="1" w:lastRow="0" w:firstColumn="1" w:lastColumn="0" w:noHBand="0" w:noVBand="1"/>
      </w:tblPr>
      <w:tblGrid>
        <w:gridCol w:w="986"/>
        <w:gridCol w:w="1283"/>
        <w:gridCol w:w="1417"/>
        <w:gridCol w:w="1305"/>
        <w:gridCol w:w="1388"/>
        <w:gridCol w:w="1418"/>
        <w:gridCol w:w="1479"/>
      </w:tblGrid>
      <w:tr w:rsidR="004942B6" w14:paraId="6E185507" w14:textId="77777777" w:rsidTr="002C2525">
        <w:trPr>
          <w:trHeight w:val="876"/>
        </w:trPr>
        <w:tc>
          <w:tcPr>
            <w:tcW w:w="986" w:type="dxa"/>
            <w:vMerge w:val="restart"/>
          </w:tcPr>
          <w:p w14:paraId="11E565EE" w14:textId="77777777" w:rsidR="004942B6" w:rsidRPr="000165D7" w:rsidRDefault="004942B6" w:rsidP="002C2525">
            <w:pPr>
              <w:spacing w:line="360" w:lineRule="auto"/>
              <w:jc w:val="both"/>
              <w:rPr>
                <w:b/>
                <w:bCs/>
                <w:sz w:val="24"/>
                <w:szCs w:val="24"/>
              </w:rPr>
            </w:pPr>
            <w:r w:rsidRPr="000165D7">
              <w:rPr>
                <w:b/>
                <w:bCs/>
                <w:sz w:val="24"/>
                <w:szCs w:val="24"/>
              </w:rPr>
              <w:t>Study ID</w:t>
            </w:r>
          </w:p>
        </w:tc>
        <w:tc>
          <w:tcPr>
            <w:tcW w:w="8290" w:type="dxa"/>
            <w:gridSpan w:val="6"/>
          </w:tcPr>
          <w:p w14:paraId="288414A2" w14:textId="77777777" w:rsidR="004942B6" w:rsidRDefault="004942B6" w:rsidP="002C2525">
            <w:pPr>
              <w:spacing w:line="360" w:lineRule="auto"/>
              <w:jc w:val="both"/>
              <w:rPr>
                <w:b/>
                <w:bCs/>
                <w:sz w:val="24"/>
                <w:szCs w:val="24"/>
              </w:rPr>
            </w:pPr>
            <w:r w:rsidRPr="00C4040C">
              <w:rPr>
                <w:rFonts w:ascii="Arial" w:hAnsi="Arial" w:cs="Arial"/>
                <w:b/>
                <w:bCs/>
                <w:sz w:val="28"/>
                <w:szCs w:val="28"/>
              </w:rPr>
              <w:t xml:space="preserve">           </w:t>
            </w:r>
            <w:r>
              <w:rPr>
                <w:rFonts w:ascii="Arial" w:hAnsi="Arial" w:cs="Arial"/>
                <w:b/>
                <w:bCs/>
                <w:sz w:val="28"/>
                <w:szCs w:val="28"/>
              </w:rPr>
              <w:t>A</w:t>
            </w:r>
            <w:r w:rsidRPr="00C4040C">
              <w:rPr>
                <w:rFonts w:ascii="Arial" w:hAnsi="Arial" w:cs="Arial"/>
                <w:b/>
                <w:bCs/>
                <w:sz w:val="28"/>
                <w:szCs w:val="28"/>
              </w:rPr>
              <w:t>CS (n=</w:t>
            </w:r>
            <w:r>
              <w:rPr>
                <w:rFonts w:ascii="Arial" w:hAnsi="Arial" w:cs="Arial"/>
                <w:b/>
                <w:bCs/>
                <w:sz w:val="28"/>
                <w:szCs w:val="28"/>
              </w:rPr>
              <w:t>39</w:t>
            </w:r>
            <w:r w:rsidRPr="00C4040C">
              <w:rPr>
                <w:rFonts w:ascii="Arial" w:hAnsi="Arial" w:cs="Arial"/>
                <w:b/>
                <w:bCs/>
                <w:sz w:val="28"/>
                <w:szCs w:val="28"/>
              </w:rPr>
              <w:t>) patients in virtual change subset</w:t>
            </w:r>
          </w:p>
        </w:tc>
      </w:tr>
      <w:tr w:rsidR="004942B6" w14:paraId="7D00D99F" w14:textId="77777777" w:rsidTr="002C2525">
        <w:trPr>
          <w:trHeight w:val="876"/>
        </w:trPr>
        <w:tc>
          <w:tcPr>
            <w:tcW w:w="986" w:type="dxa"/>
            <w:vMerge/>
          </w:tcPr>
          <w:p w14:paraId="3682E701" w14:textId="77777777" w:rsidR="004942B6" w:rsidRPr="000165D7" w:rsidRDefault="004942B6" w:rsidP="002C2525">
            <w:pPr>
              <w:spacing w:line="360" w:lineRule="auto"/>
              <w:jc w:val="both"/>
              <w:rPr>
                <w:b/>
                <w:bCs/>
                <w:sz w:val="24"/>
                <w:szCs w:val="24"/>
              </w:rPr>
            </w:pPr>
          </w:p>
        </w:tc>
        <w:tc>
          <w:tcPr>
            <w:tcW w:w="2700" w:type="dxa"/>
            <w:gridSpan w:val="2"/>
          </w:tcPr>
          <w:p w14:paraId="56E4D5C6" w14:textId="77777777" w:rsidR="004942B6" w:rsidRPr="000165D7" w:rsidRDefault="004942B6" w:rsidP="002C2525">
            <w:pPr>
              <w:spacing w:line="360" w:lineRule="auto"/>
              <w:jc w:val="both"/>
              <w:rPr>
                <w:b/>
                <w:bCs/>
                <w:sz w:val="24"/>
                <w:szCs w:val="24"/>
              </w:rPr>
            </w:pPr>
            <w:r w:rsidRPr="000165D7">
              <w:rPr>
                <w:b/>
                <w:bCs/>
                <w:sz w:val="24"/>
                <w:szCs w:val="24"/>
              </w:rPr>
              <w:t>EQ</w:t>
            </w:r>
            <w:r>
              <w:rPr>
                <w:b/>
                <w:bCs/>
                <w:sz w:val="24"/>
                <w:szCs w:val="24"/>
              </w:rPr>
              <w:t>-5D scores</w:t>
            </w:r>
            <w:r w:rsidRPr="000165D7">
              <w:rPr>
                <w:b/>
                <w:bCs/>
                <w:sz w:val="24"/>
                <w:szCs w:val="24"/>
              </w:rPr>
              <w:t xml:space="preserve"> </w:t>
            </w:r>
            <w:r>
              <w:rPr>
                <w:b/>
                <w:bCs/>
                <w:sz w:val="24"/>
                <w:szCs w:val="24"/>
              </w:rPr>
              <w:t xml:space="preserve">(baseline) </w:t>
            </w:r>
          </w:p>
        </w:tc>
        <w:tc>
          <w:tcPr>
            <w:tcW w:w="2693" w:type="dxa"/>
            <w:gridSpan w:val="2"/>
          </w:tcPr>
          <w:p w14:paraId="23E9E08D" w14:textId="77777777" w:rsidR="004942B6" w:rsidRDefault="004942B6" w:rsidP="002C2525">
            <w:pPr>
              <w:spacing w:line="360" w:lineRule="auto"/>
              <w:jc w:val="both"/>
              <w:rPr>
                <w:b/>
                <w:bCs/>
                <w:sz w:val="24"/>
                <w:szCs w:val="24"/>
              </w:rPr>
            </w:pPr>
            <w:r>
              <w:rPr>
                <w:b/>
                <w:bCs/>
                <w:sz w:val="24"/>
                <w:szCs w:val="24"/>
              </w:rPr>
              <w:t xml:space="preserve"> EQ-VAS score at one-year follow-up </w:t>
            </w:r>
          </w:p>
        </w:tc>
        <w:tc>
          <w:tcPr>
            <w:tcW w:w="2897" w:type="dxa"/>
            <w:gridSpan w:val="2"/>
          </w:tcPr>
          <w:p w14:paraId="5E584FF9" w14:textId="77777777" w:rsidR="004942B6" w:rsidRDefault="004942B6" w:rsidP="002C2525">
            <w:pPr>
              <w:spacing w:line="360" w:lineRule="auto"/>
              <w:jc w:val="both"/>
              <w:rPr>
                <w:b/>
                <w:bCs/>
                <w:sz w:val="24"/>
                <w:szCs w:val="24"/>
              </w:rPr>
            </w:pPr>
            <w:r>
              <w:rPr>
                <w:b/>
                <w:bCs/>
                <w:sz w:val="24"/>
                <w:szCs w:val="24"/>
              </w:rPr>
              <w:t xml:space="preserve"> EQ-indexed score at one-year follow-up </w:t>
            </w:r>
          </w:p>
        </w:tc>
      </w:tr>
      <w:tr w:rsidR="004942B6" w14:paraId="3B06D548" w14:textId="77777777" w:rsidTr="002C2525">
        <w:trPr>
          <w:trHeight w:val="876"/>
        </w:trPr>
        <w:tc>
          <w:tcPr>
            <w:tcW w:w="986" w:type="dxa"/>
            <w:vMerge/>
          </w:tcPr>
          <w:p w14:paraId="24A9A49F" w14:textId="77777777" w:rsidR="004942B6" w:rsidRPr="000165D7" w:rsidRDefault="004942B6" w:rsidP="002C2525">
            <w:pPr>
              <w:spacing w:line="360" w:lineRule="auto"/>
              <w:jc w:val="both"/>
              <w:rPr>
                <w:b/>
                <w:bCs/>
                <w:sz w:val="24"/>
                <w:szCs w:val="24"/>
              </w:rPr>
            </w:pPr>
          </w:p>
        </w:tc>
        <w:tc>
          <w:tcPr>
            <w:tcW w:w="1283" w:type="dxa"/>
          </w:tcPr>
          <w:p w14:paraId="1B1D24FB" w14:textId="77777777" w:rsidR="004942B6" w:rsidRPr="000165D7" w:rsidRDefault="004942B6" w:rsidP="002C2525">
            <w:pPr>
              <w:spacing w:line="360" w:lineRule="auto"/>
              <w:jc w:val="both"/>
              <w:rPr>
                <w:b/>
                <w:bCs/>
                <w:sz w:val="24"/>
                <w:szCs w:val="24"/>
              </w:rPr>
            </w:pPr>
            <w:r>
              <w:rPr>
                <w:b/>
                <w:bCs/>
                <w:sz w:val="24"/>
                <w:szCs w:val="24"/>
              </w:rPr>
              <w:t xml:space="preserve"> EQ-VAS </w:t>
            </w:r>
          </w:p>
        </w:tc>
        <w:tc>
          <w:tcPr>
            <w:tcW w:w="1417" w:type="dxa"/>
          </w:tcPr>
          <w:p w14:paraId="48207405" w14:textId="77777777" w:rsidR="004942B6" w:rsidRDefault="004942B6" w:rsidP="002C2525">
            <w:pPr>
              <w:spacing w:line="360" w:lineRule="auto"/>
              <w:jc w:val="both"/>
              <w:rPr>
                <w:b/>
                <w:bCs/>
                <w:sz w:val="24"/>
                <w:szCs w:val="24"/>
              </w:rPr>
            </w:pPr>
            <w:r>
              <w:rPr>
                <w:b/>
                <w:bCs/>
                <w:sz w:val="24"/>
                <w:szCs w:val="24"/>
              </w:rPr>
              <w:t>EQ-indexed</w:t>
            </w:r>
          </w:p>
        </w:tc>
        <w:tc>
          <w:tcPr>
            <w:tcW w:w="1305" w:type="dxa"/>
          </w:tcPr>
          <w:p w14:paraId="200FBE8F" w14:textId="77777777" w:rsidR="004942B6" w:rsidRPr="000165D7" w:rsidRDefault="004942B6" w:rsidP="002C2525">
            <w:pPr>
              <w:spacing w:line="360" w:lineRule="auto"/>
              <w:jc w:val="both"/>
              <w:rPr>
                <w:b/>
                <w:bCs/>
                <w:sz w:val="24"/>
                <w:szCs w:val="24"/>
              </w:rPr>
            </w:pPr>
            <w:r>
              <w:rPr>
                <w:b/>
                <w:bCs/>
                <w:sz w:val="24"/>
                <w:szCs w:val="24"/>
              </w:rPr>
              <w:t>Actual</w:t>
            </w:r>
          </w:p>
        </w:tc>
        <w:tc>
          <w:tcPr>
            <w:tcW w:w="1388" w:type="dxa"/>
          </w:tcPr>
          <w:p w14:paraId="170E2627" w14:textId="77777777" w:rsidR="004942B6" w:rsidRDefault="004942B6" w:rsidP="002C2525">
            <w:pPr>
              <w:spacing w:line="360" w:lineRule="auto"/>
              <w:jc w:val="both"/>
              <w:rPr>
                <w:b/>
                <w:bCs/>
                <w:sz w:val="24"/>
                <w:szCs w:val="24"/>
              </w:rPr>
            </w:pPr>
            <w:r>
              <w:rPr>
                <w:b/>
                <w:bCs/>
                <w:sz w:val="24"/>
                <w:szCs w:val="24"/>
              </w:rPr>
              <w:t>Virtual</w:t>
            </w:r>
          </w:p>
        </w:tc>
        <w:tc>
          <w:tcPr>
            <w:tcW w:w="1418" w:type="dxa"/>
          </w:tcPr>
          <w:p w14:paraId="14DA7479" w14:textId="77777777" w:rsidR="004942B6" w:rsidRDefault="004942B6" w:rsidP="002C2525">
            <w:pPr>
              <w:spacing w:line="360" w:lineRule="auto"/>
              <w:jc w:val="both"/>
              <w:rPr>
                <w:b/>
                <w:bCs/>
                <w:sz w:val="24"/>
                <w:szCs w:val="24"/>
              </w:rPr>
            </w:pPr>
            <w:r>
              <w:rPr>
                <w:b/>
                <w:bCs/>
                <w:sz w:val="24"/>
                <w:szCs w:val="24"/>
              </w:rPr>
              <w:t>Actual</w:t>
            </w:r>
          </w:p>
        </w:tc>
        <w:tc>
          <w:tcPr>
            <w:tcW w:w="1479" w:type="dxa"/>
          </w:tcPr>
          <w:p w14:paraId="1BB2F251" w14:textId="77777777" w:rsidR="004942B6" w:rsidRDefault="004942B6" w:rsidP="002C2525">
            <w:pPr>
              <w:spacing w:line="360" w:lineRule="auto"/>
              <w:jc w:val="both"/>
              <w:rPr>
                <w:b/>
                <w:bCs/>
                <w:sz w:val="24"/>
                <w:szCs w:val="24"/>
              </w:rPr>
            </w:pPr>
            <w:r>
              <w:rPr>
                <w:b/>
                <w:bCs/>
                <w:sz w:val="24"/>
                <w:szCs w:val="24"/>
              </w:rPr>
              <w:t>Virtual</w:t>
            </w:r>
          </w:p>
        </w:tc>
      </w:tr>
      <w:tr w:rsidR="004942B6" w14:paraId="2C1026B6" w14:textId="77777777" w:rsidTr="002C2525">
        <w:trPr>
          <w:trHeight w:val="326"/>
        </w:trPr>
        <w:tc>
          <w:tcPr>
            <w:tcW w:w="986" w:type="dxa"/>
          </w:tcPr>
          <w:p w14:paraId="10310C6B" w14:textId="77777777" w:rsidR="004942B6" w:rsidRDefault="004942B6" w:rsidP="002C2525">
            <w:pPr>
              <w:spacing w:line="360" w:lineRule="auto"/>
              <w:jc w:val="both"/>
            </w:pPr>
            <w:r w:rsidRPr="00FD1D5A">
              <w:t>6</w:t>
            </w:r>
          </w:p>
        </w:tc>
        <w:tc>
          <w:tcPr>
            <w:tcW w:w="1283" w:type="dxa"/>
            <w:vAlign w:val="bottom"/>
          </w:tcPr>
          <w:p w14:paraId="44B60F81" w14:textId="77777777" w:rsidR="004942B6" w:rsidRDefault="004942B6" w:rsidP="002C2525">
            <w:pPr>
              <w:spacing w:line="360" w:lineRule="auto"/>
              <w:jc w:val="both"/>
            </w:pPr>
            <w:r>
              <w:rPr>
                <w:rFonts w:ascii="Calibri" w:hAnsi="Calibri" w:cs="Calibri"/>
                <w:color w:val="000000"/>
              </w:rPr>
              <w:t>90</w:t>
            </w:r>
          </w:p>
        </w:tc>
        <w:tc>
          <w:tcPr>
            <w:tcW w:w="1417" w:type="dxa"/>
          </w:tcPr>
          <w:p w14:paraId="177DAF44" w14:textId="77777777" w:rsidR="004942B6" w:rsidRDefault="004942B6" w:rsidP="002C2525">
            <w:pPr>
              <w:spacing w:line="360" w:lineRule="auto"/>
              <w:jc w:val="both"/>
            </w:pPr>
            <w:r>
              <w:t>0.92</w:t>
            </w:r>
          </w:p>
        </w:tc>
        <w:tc>
          <w:tcPr>
            <w:tcW w:w="1305" w:type="dxa"/>
          </w:tcPr>
          <w:p w14:paraId="4BB990A7" w14:textId="77777777" w:rsidR="004942B6" w:rsidRDefault="004942B6" w:rsidP="002C2525">
            <w:pPr>
              <w:spacing w:line="360" w:lineRule="auto"/>
              <w:jc w:val="both"/>
            </w:pPr>
            <w:r>
              <w:t>96</w:t>
            </w:r>
          </w:p>
        </w:tc>
        <w:tc>
          <w:tcPr>
            <w:tcW w:w="1388" w:type="dxa"/>
          </w:tcPr>
          <w:p w14:paraId="28EF456A" w14:textId="77777777" w:rsidR="004942B6" w:rsidRDefault="004942B6" w:rsidP="002C2525">
            <w:pPr>
              <w:spacing w:line="360" w:lineRule="auto"/>
              <w:jc w:val="both"/>
            </w:pPr>
            <w:r>
              <w:t>96</w:t>
            </w:r>
          </w:p>
        </w:tc>
        <w:tc>
          <w:tcPr>
            <w:tcW w:w="1418" w:type="dxa"/>
          </w:tcPr>
          <w:p w14:paraId="7E46B8D0" w14:textId="77777777" w:rsidR="004942B6" w:rsidRDefault="004942B6" w:rsidP="002C2525">
            <w:pPr>
              <w:spacing w:line="360" w:lineRule="auto"/>
              <w:jc w:val="both"/>
            </w:pPr>
            <w:r>
              <w:t>0.94</w:t>
            </w:r>
          </w:p>
        </w:tc>
        <w:tc>
          <w:tcPr>
            <w:tcW w:w="1479" w:type="dxa"/>
          </w:tcPr>
          <w:p w14:paraId="7A2D0470" w14:textId="77777777" w:rsidR="004942B6" w:rsidRDefault="004942B6" w:rsidP="002C2525">
            <w:pPr>
              <w:spacing w:line="360" w:lineRule="auto"/>
              <w:jc w:val="both"/>
            </w:pPr>
            <w:r>
              <w:t>0.94</w:t>
            </w:r>
          </w:p>
        </w:tc>
      </w:tr>
      <w:tr w:rsidR="004942B6" w14:paraId="316DAEDD" w14:textId="77777777" w:rsidTr="002C2525">
        <w:tc>
          <w:tcPr>
            <w:tcW w:w="986" w:type="dxa"/>
          </w:tcPr>
          <w:p w14:paraId="02A9EEDC" w14:textId="77777777" w:rsidR="004942B6" w:rsidRDefault="004942B6" w:rsidP="002C2525">
            <w:pPr>
              <w:spacing w:line="360" w:lineRule="auto"/>
              <w:jc w:val="both"/>
            </w:pPr>
            <w:r w:rsidRPr="00FD1D5A">
              <w:t>14</w:t>
            </w:r>
          </w:p>
        </w:tc>
        <w:tc>
          <w:tcPr>
            <w:tcW w:w="1283" w:type="dxa"/>
            <w:vAlign w:val="bottom"/>
          </w:tcPr>
          <w:p w14:paraId="4C3D2020" w14:textId="77777777" w:rsidR="004942B6" w:rsidRDefault="004942B6" w:rsidP="002C2525">
            <w:pPr>
              <w:spacing w:line="360" w:lineRule="auto"/>
              <w:jc w:val="both"/>
            </w:pPr>
            <w:r>
              <w:rPr>
                <w:rFonts w:ascii="Calibri" w:hAnsi="Calibri" w:cs="Calibri"/>
                <w:color w:val="000000"/>
              </w:rPr>
              <w:t>50</w:t>
            </w:r>
          </w:p>
        </w:tc>
        <w:tc>
          <w:tcPr>
            <w:tcW w:w="1417" w:type="dxa"/>
          </w:tcPr>
          <w:p w14:paraId="600639ED" w14:textId="77777777" w:rsidR="004942B6" w:rsidRPr="009B05D9" w:rsidRDefault="004942B6" w:rsidP="002C2525">
            <w:pPr>
              <w:spacing w:line="360" w:lineRule="auto"/>
              <w:jc w:val="both"/>
              <w:rPr>
                <w:color w:val="000000" w:themeColor="text1"/>
              </w:rPr>
            </w:pPr>
            <w:r>
              <w:rPr>
                <w:color w:val="000000" w:themeColor="text1"/>
              </w:rPr>
              <w:t>0.61</w:t>
            </w:r>
          </w:p>
        </w:tc>
        <w:tc>
          <w:tcPr>
            <w:tcW w:w="1305" w:type="dxa"/>
          </w:tcPr>
          <w:p w14:paraId="69E922D2" w14:textId="77777777" w:rsidR="004942B6" w:rsidRPr="009B05D9" w:rsidRDefault="004942B6" w:rsidP="002C2525">
            <w:pPr>
              <w:spacing w:line="360" w:lineRule="auto"/>
              <w:jc w:val="both"/>
              <w:rPr>
                <w:color w:val="000000" w:themeColor="text1"/>
              </w:rPr>
            </w:pPr>
            <w:r w:rsidRPr="009B05D9">
              <w:rPr>
                <w:color w:val="000000" w:themeColor="text1"/>
              </w:rPr>
              <w:t xml:space="preserve">15** </w:t>
            </w:r>
          </w:p>
        </w:tc>
        <w:tc>
          <w:tcPr>
            <w:tcW w:w="1388" w:type="dxa"/>
          </w:tcPr>
          <w:p w14:paraId="2FE9B772" w14:textId="77777777" w:rsidR="004942B6" w:rsidRDefault="004942B6" w:rsidP="002C2525">
            <w:pPr>
              <w:spacing w:line="360" w:lineRule="auto"/>
              <w:jc w:val="both"/>
            </w:pPr>
            <w:r>
              <w:t>15</w:t>
            </w:r>
          </w:p>
        </w:tc>
        <w:tc>
          <w:tcPr>
            <w:tcW w:w="1418" w:type="dxa"/>
          </w:tcPr>
          <w:p w14:paraId="342F4C22" w14:textId="77777777" w:rsidR="004942B6" w:rsidRDefault="004942B6" w:rsidP="002C2525">
            <w:pPr>
              <w:spacing w:line="360" w:lineRule="auto"/>
              <w:jc w:val="both"/>
            </w:pPr>
            <w:r>
              <w:t>0.48**</w:t>
            </w:r>
          </w:p>
        </w:tc>
        <w:tc>
          <w:tcPr>
            <w:tcW w:w="1479" w:type="dxa"/>
          </w:tcPr>
          <w:p w14:paraId="15888547" w14:textId="77777777" w:rsidR="004942B6" w:rsidRDefault="004942B6" w:rsidP="002C2525">
            <w:pPr>
              <w:spacing w:line="360" w:lineRule="auto"/>
              <w:jc w:val="both"/>
            </w:pPr>
            <w:r>
              <w:t>0.48</w:t>
            </w:r>
          </w:p>
        </w:tc>
      </w:tr>
      <w:tr w:rsidR="004942B6" w14:paraId="44EAADE6" w14:textId="77777777" w:rsidTr="002C2525">
        <w:tc>
          <w:tcPr>
            <w:tcW w:w="986" w:type="dxa"/>
          </w:tcPr>
          <w:p w14:paraId="57DA255B" w14:textId="77777777" w:rsidR="004942B6" w:rsidRDefault="004942B6" w:rsidP="002C2525">
            <w:pPr>
              <w:spacing w:line="360" w:lineRule="auto"/>
              <w:jc w:val="both"/>
            </w:pPr>
            <w:r w:rsidRPr="00FD1D5A">
              <w:t>38</w:t>
            </w:r>
          </w:p>
        </w:tc>
        <w:tc>
          <w:tcPr>
            <w:tcW w:w="1283" w:type="dxa"/>
            <w:vAlign w:val="bottom"/>
          </w:tcPr>
          <w:p w14:paraId="66D8026D" w14:textId="77777777" w:rsidR="004942B6" w:rsidRDefault="004942B6" w:rsidP="002C2525">
            <w:pPr>
              <w:spacing w:line="360" w:lineRule="auto"/>
              <w:jc w:val="both"/>
            </w:pPr>
            <w:r>
              <w:rPr>
                <w:rFonts w:ascii="Calibri" w:hAnsi="Calibri" w:cs="Calibri"/>
                <w:color w:val="000000"/>
              </w:rPr>
              <w:t>70</w:t>
            </w:r>
          </w:p>
        </w:tc>
        <w:tc>
          <w:tcPr>
            <w:tcW w:w="1417" w:type="dxa"/>
          </w:tcPr>
          <w:p w14:paraId="07E1FECC" w14:textId="77777777" w:rsidR="004942B6" w:rsidRPr="009B05D9" w:rsidRDefault="004942B6" w:rsidP="002C2525">
            <w:pPr>
              <w:spacing w:line="360" w:lineRule="auto"/>
              <w:jc w:val="both"/>
              <w:rPr>
                <w:color w:val="000000" w:themeColor="text1"/>
              </w:rPr>
            </w:pPr>
            <w:r>
              <w:rPr>
                <w:color w:val="000000" w:themeColor="text1"/>
              </w:rPr>
              <w:t>0.76</w:t>
            </w:r>
          </w:p>
        </w:tc>
        <w:tc>
          <w:tcPr>
            <w:tcW w:w="1305" w:type="dxa"/>
          </w:tcPr>
          <w:p w14:paraId="03F87A81" w14:textId="77777777" w:rsidR="004942B6" w:rsidRPr="009B05D9" w:rsidRDefault="004942B6" w:rsidP="002C2525">
            <w:pPr>
              <w:spacing w:line="360" w:lineRule="auto"/>
              <w:jc w:val="both"/>
              <w:rPr>
                <w:color w:val="000000" w:themeColor="text1"/>
              </w:rPr>
            </w:pPr>
            <w:r w:rsidRPr="009B05D9">
              <w:rPr>
                <w:color w:val="000000" w:themeColor="text1"/>
              </w:rPr>
              <w:t>78</w:t>
            </w:r>
          </w:p>
        </w:tc>
        <w:tc>
          <w:tcPr>
            <w:tcW w:w="1388" w:type="dxa"/>
          </w:tcPr>
          <w:p w14:paraId="6E8068A6" w14:textId="77777777" w:rsidR="004942B6" w:rsidRDefault="004942B6" w:rsidP="002C2525">
            <w:pPr>
              <w:spacing w:line="360" w:lineRule="auto"/>
              <w:jc w:val="both"/>
            </w:pPr>
            <w:r>
              <w:t>78</w:t>
            </w:r>
          </w:p>
        </w:tc>
        <w:tc>
          <w:tcPr>
            <w:tcW w:w="1418" w:type="dxa"/>
          </w:tcPr>
          <w:p w14:paraId="4F3B9493" w14:textId="77777777" w:rsidR="004942B6" w:rsidRDefault="004942B6" w:rsidP="002C2525">
            <w:pPr>
              <w:spacing w:line="360" w:lineRule="auto"/>
              <w:jc w:val="both"/>
            </w:pPr>
            <w:r>
              <w:t>0.84</w:t>
            </w:r>
          </w:p>
        </w:tc>
        <w:tc>
          <w:tcPr>
            <w:tcW w:w="1479" w:type="dxa"/>
          </w:tcPr>
          <w:p w14:paraId="3BBFB760" w14:textId="77777777" w:rsidR="004942B6" w:rsidRDefault="004942B6" w:rsidP="002C2525">
            <w:pPr>
              <w:spacing w:line="360" w:lineRule="auto"/>
              <w:jc w:val="both"/>
            </w:pPr>
            <w:r>
              <w:t>0.84</w:t>
            </w:r>
          </w:p>
        </w:tc>
      </w:tr>
      <w:tr w:rsidR="004942B6" w14:paraId="782D7C2D" w14:textId="77777777" w:rsidTr="002C2525">
        <w:tc>
          <w:tcPr>
            <w:tcW w:w="986" w:type="dxa"/>
          </w:tcPr>
          <w:p w14:paraId="7A1E2A17" w14:textId="77777777" w:rsidR="004942B6" w:rsidRDefault="004942B6" w:rsidP="002C2525">
            <w:pPr>
              <w:spacing w:line="360" w:lineRule="auto"/>
              <w:jc w:val="both"/>
            </w:pPr>
            <w:r w:rsidRPr="00FD1D5A">
              <w:t>40</w:t>
            </w:r>
          </w:p>
        </w:tc>
        <w:tc>
          <w:tcPr>
            <w:tcW w:w="1283" w:type="dxa"/>
            <w:vAlign w:val="bottom"/>
          </w:tcPr>
          <w:p w14:paraId="7241B6E1" w14:textId="77777777" w:rsidR="004942B6" w:rsidRDefault="004942B6" w:rsidP="002C2525">
            <w:pPr>
              <w:spacing w:line="360" w:lineRule="auto"/>
              <w:jc w:val="both"/>
            </w:pPr>
            <w:r>
              <w:t>90</w:t>
            </w:r>
          </w:p>
        </w:tc>
        <w:tc>
          <w:tcPr>
            <w:tcW w:w="1417" w:type="dxa"/>
          </w:tcPr>
          <w:p w14:paraId="5E11BFC3" w14:textId="77777777" w:rsidR="004942B6" w:rsidRPr="009B05D9" w:rsidRDefault="004942B6" w:rsidP="002C2525">
            <w:pPr>
              <w:spacing w:line="360" w:lineRule="auto"/>
              <w:jc w:val="both"/>
              <w:rPr>
                <w:color w:val="000000" w:themeColor="text1"/>
              </w:rPr>
            </w:pPr>
            <w:r>
              <w:rPr>
                <w:color w:val="000000" w:themeColor="text1"/>
              </w:rPr>
              <w:t>0.94</w:t>
            </w:r>
          </w:p>
        </w:tc>
        <w:tc>
          <w:tcPr>
            <w:tcW w:w="1305" w:type="dxa"/>
          </w:tcPr>
          <w:p w14:paraId="69F67693" w14:textId="77777777" w:rsidR="004942B6" w:rsidRPr="009B05D9" w:rsidRDefault="004942B6" w:rsidP="002C2525">
            <w:pPr>
              <w:spacing w:line="360" w:lineRule="auto"/>
              <w:jc w:val="both"/>
              <w:rPr>
                <w:color w:val="000000" w:themeColor="text1"/>
              </w:rPr>
            </w:pPr>
            <w:r w:rsidRPr="009B05D9">
              <w:rPr>
                <w:color w:val="000000" w:themeColor="text1"/>
              </w:rPr>
              <w:t>50*</w:t>
            </w:r>
            <w:r>
              <w:rPr>
                <w:color w:val="000000" w:themeColor="text1"/>
              </w:rPr>
              <w:t>*</w:t>
            </w:r>
          </w:p>
        </w:tc>
        <w:tc>
          <w:tcPr>
            <w:tcW w:w="1388" w:type="dxa"/>
          </w:tcPr>
          <w:p w14:paraId="2F2FE455" w14:textId="77777777" w:rsidR="004942B6" w:rsidRDefault="004942B6" w:rsidP="002C2525">
            <w:pPr>
              <w:spacing w:line="360" w:lineRule="auto"/>
              <w:jc w:val="both"/>
            </w:pPr>
            <w:r>
              <w:t>50</w:t>
            </w:r>
          </w:p>
        </w:tc>
        <w:tc>
          <w:tcPr>
            <w:tcW w:w="1418" w:type="dxa"/>
          </w:tcPr>
          <w:p w14:paraId="5B575F2D" w14:textId="77777777" w:rsidR="004942B6" w:rsidRDefault="004942B6" w:rsidP="002C2525">
            <w:pPr>
              <w:spacing w:line="360" w:lineRule="auto"/>
              <w:jc w:val="both"/>
            </w:pPr>
            <w:r>
              <w:t>0.75**</w:t>
            </w:r>
          </w:p>
        </w:tc>
        <w:tc>
          <w:tcPr>
            <w:tcW w:w="1479" w:type="dxa"/>
          </w:tcPr>
          <w:p w14:paraId="41EB3A6F" w14:textId="77777777" w:rsidR="004942B6" w:rsidRDefault="004942B6" w:rsidP="002C2525">
            <w:pPr>
              <w:spacing w:line="360" w:lineRule="auto"/>
              <w:jc w:val="both"/>
            </w:pPr>
            <w:r>
              <w:t>0.75</w:t>
            </w:r>
          </w:p>
        </w:tc>
      </w:tr>
      <w:tr w:rsidR="004942B6" w14:paraId="17C2C9F5" w14:textId="77777777" w:rsidTr="002C2525">
        <w:tc>
          <w:tcPr>
            <w:tcW w:w="986" w:type="dxa"/>
          </w:tcPr>
          <w:p w14:paraId="0401D1F9" w14:textId="77777777" w:rsidR="004942B6" w:rsidRDefault="004942B6" w:rsidP="002C2525">
            <w:pPr>
              <w:spacing w:line="360" w:lineRule="auto"/>
              <w:jc w:val="both"/>
            </w:pPr>
            <w:r w:rsidRPr="00FD1D5A">
              <w:t>42</w:t>
            </w:r>
          </w:p>
        </w:tc>
        <w:tc>
          <w:tcPr>
            <w:tcW w:w="1283" w:type="dxa"/>
            <w:vAlign w:val="bottom"/>
          </w:tcPr>
          <w:p w14:paraId="54E0E83D" w14:textId="77777777" w:rsidR="004942B6" w:rsidRDefault="004942B6" w:rsidP="002C2525">
            <w:pPr>
              <w:spacing w:line="360" w:lineRule="auto"/>
              <w:jc w:val="both"/>
            </w:pPr>
            <w:r>
              <w:rPr>
                <w:rFonts w:ascii="Calibri" w:hAnsi="Calibri" w:cs="Calibri"/>
                <w:color w:val="000000"/>
              </w:rPr>
              <w:t>80</w:t>
            </w:r>
          </w:p>
        </w:tc>
        <w:tc>
          <w:tcPr>
            <w:tcW w:w="1417" w:type="dxa"/>
          </w:tcPr>
          <w:p w14:paraId="533A617F" w14:textId="77777777" w:rsidR="004942B6" w:rsidRPr="009B05D9" w:rsidRDefault="004942B6" w:rsidP="002C2525">
            <w:pPr>
              <w:spacing w:line="360" w:lineRule="auto"/>
              <w:jc w:val="both"/>
              <w:rPr>
                <w:color w:val="000000" w:themeColor="text1"/>
              </w:rPr>
            </w:pPr>
            <w:r>
              <w:rPr>
                <w:color w:val="000000" w:themeColor="text1"/>
              </w:rPr>
              <w:t>0.83</w:t>
            </w:r>
          </w:p>
        </w:tc>
        <w:tc>
          <w:tcPr>
            <w:tcW w:w="1305" w:type="dxa"/>
          </w:tcPr>
          <w:p w14:paraId="01BB3037" w14:textId="77777777" w:rsidR="004942B6" w:rsidRPr="009B05D9" w:rsidRDefault="004942B6" w:rsidP="002C2525">
            <w:pPr>
              <w:spacing w:line="360" w:lineRule="auto"/>
              <w:jc w:val="both"/>
              <w:rPr>
                <w:color w:val="000000" w:themeColor="text1"/>
              </w:rPr>
            </w:pPr>
            <w:r w:rsidRPr="009B05D9">
              <w:rPr>
                <w:color w:val="000000" w:themeColor="text1"/>
              </w:rPr>
              <w:t>90</w:t>
            </w:r>
          </w:p>
        </w:tc>
        <w:tc>
          <w:tcPr>
            <w:tcW w:w="1388" w:type="dxa"/>
          </w:tcPr>
          <w:p w14:paraId="053550C0" w14:textId="77777777" w:rsidR="004942B6" w:rsidRDefault="004942B6" w:rsidP="002C2525">
            <w:pPr>
              <w:spacing w:line="360" w:lineRule="auto"/>
              <w:jc w:val="both"/>
            </w:pPr>
            <w:r>
              <w:t>90</w:t>
            </w:r>
          </w:p>
        </w:tc>
        <w:tc>
          <w:tcPr>
            <w:tcW w:w="1418" w:type="dxa"/>
          </w:tcPr>
          <w:p w14:paraId="69679404" w14:textId="77777777" w:rsidR="004942B6" w:rsidRDefault="004942B6" w:rsidP="002C2525">
            <w:pPr>
              <w:spacing w:line="360" w:lineRule="auto"/>
              <w:jc w:val="both"/>
            </w:pPr>
            <w:r>
              <w:t>0.94</w:t>
            </w:r>
          </w:p>
        </w:tc>
        <w:tc>
          <w:tcPr>
            <w:tcW w:w="1479" w:type="dxa"/>
          </w:tcPr>
          <w:p w14:paraId="45A64C1D" w14:textId="77777777" w:rsidR="004942B6" w:rsidRDefault="004942B6" w:rsidP="002C2525">
            <w:pPr>
              <w:spacing w:line="360" w:lineRule="auto"/>
              <w:jc w:val="both"/>
            </w:pPr>
            <w:r>
              <w:t>0.94</w:t>
            </w:r>
          </w:p>
        </w:tc>
      </w:tr>
      <w:tr w:rsidR="004942B6" w14:paraId="7FA698B9" w14:textId="77777777" w:rsidTr="002C2525">
        <w:tc>
          <w:tcPr>
            <w:tcW w:w="986" w:type="dxa"/>
          </w:tcPr>
          <w:p w14:paraId="26CA722E" w14:textId="77777777" w:rsidR="004942B6" w:rsidRDefault="004942B6" w:rsidP="002C2525">
            <w:pPr>
              <w:spacing w:line="360" w:lineRule="auto"/>
              <w:jc w:val="both"/>
            </w:pPr>
            <w:r w:rsidRPr="00FD1D5A">
              <w:t>50</w:t>
            </w:r>
          </w:p>
        </w:tc>
        <w:tc>
          <w:tcPr>
            <w:tcW w:w="1283" w:type="dxa"/>
            <w:vAlign w:val="bottom"/>
          </w:tcPr>
          <w:p w14:paraId="3F8B0EB3" w14:textId="77777777" w:rsidR="004942B6" w:rsidRDefault="004942B6" w:rsidP="002C2525">
            <w:pPr>
              <w:spacing w:line="360" w:lineRule="auto"/>
              <w:jc w:val="both"/>
            </w:pPr>
            <w:r>
              <w:rPr>
                <w:rFonts w:ascii="Calibri" w:hAnsi="Calibri" w:cs="Calibri"/>
                <w:color w:val="000000"/>
              </w:rPr>
              <w:t>75</w:t>
            </w:r>
          </w:p>
        </w:tc>
        <w:tc>
          <w:tcPr>
            <w:tcW w:w="1417" w:type="dxa"/>
          </w:tcPr>
          <w:p w14:paraId="54BFC783" w14:textId="77777777" w:rsidR="004942B6" w:rsidRPr="009B05D9" w:rsidRDefault="004942B6" w:rsidP="002C2525">
            <w:pPr>
              <w:spacing w:line="360" w:lineRule="auto"/>
              <w:jc w:val="both"/>
              <w:rPr>
                <w:color w:val="000000" w:themeColor="text1"/>
              </w:rPr>
            </w:pPr>
            <w:r>
              <w:rPr>
                <w:color w:val="000000" w:themeColor="text1"/>
              </w:rPr>
              <w:t>0.82</w:t>
            </w:r>
          </w:p>
        </w:tc>
        <w:tc>
          <w:tcPr>
            <w:tcW w:w="1305" w:type="dxa"/>
          </w:tcPr>
          <w:p w14:paraId="5C55C84D" w14:textId="77777777" w:rsidR="004942B6" w:rsidRPr="009B05D9" w:rsidRDefault="004942B6" w:rsidP="002C2525">
            <w:pPr>
              <w:spacing w:line="360" w:lineRule="auto"/>
              <w:jc w:val="both"/>
              <w:rPr>
                <w:color w:val="000000" w:themeColor="text1"/>
              </w:rPr>
            </w:pPr>
            <w:r w:rsidRPr="009B05D9">
              <w:rPr>
                <w:color w:val="000000" w:themeColor="text1"/>
              </w:rPr>
              <w:t>85</w:t>
            </w:r>
          </w:p>
        </w:tc>
        <w:tc>
          <w:tcPr>
            <w:tcW w:w="1388" w:type="dxa"/>
          </w:tcPr>
          <w:p w14:paraId="61F21866" w14:textId="77777777" w:rsidR="004942B6" w:rsidRDefault="004942B6" w:rsidP="002C2525">
            <w:pPr>
              <w:spacing w:line="360" w:lineRule="auto"/>
              <w:jc w:val="both"/>
            </w:pPr>
            <w:r>
              <w:t>85</w:t>
            </w:r>
          </w:p>
        </w:tc>
        <w:tc>
          <w:tcPr>
            <w:tcW w:w="1418" w:type="dxa"/>
          </w:tcPr>
          <w:p w14:paraId="1F9EE683" w14:textId="77777777" w:rsidR="004942B6" w:rsidRDefault="004942B6" w:rsidP="002C2525">
            <w:pPr>
              <w:spacing w:line="360" w:lineRule="auto"/>
              <w:jc w:val="both"/>
            </w:pPr>
            <w:r>
              <w:t>0.94</w:t>
            </w:r>
          </w:p>
        </w:tc>
        <w:tc>
          <w:tcPr>
            <w:tcW w:w="1479" w:type="dxa"/>
          </w:tcPr>
          <w:p w14:paraId="2DFDE0D2" w14:textId="77777777" w:rsidR="004942B6" w:rsidRDefault="004942B6" w:rsidP="002C2525">
            <w:pPr>
              <w:spacing w:line="360" w:lineRule="auto"/>
              <w:jc w:val="both"/>
            </w:pPr>
            <w:r>
              <w:t>0.94</w:t>
            </w:r>
          </w:p>
        </w:tc>
      </w:tr>
      <w:tr w:rsidR="00EF7BF3" w14:paraId="21C15F7B" w14:textId="77777777" w:rsidTr="002C2525">
        <w:tc>
          <w:tcPr>
            <w:tcW w:w="986" w:type="dxa"/>
          </w:tcPr>
          <w:p w14:paraId="5F5A908F" w14:textId="394DE89A" w:rsidR="00EF7BF3" w:rsidRPr="00FD1D5A" w:rsidRDefault="00EF7BF3" w:rsidP="002C2525">
            <w:pPr>
              <w:spacing w:line="360" w:lineRule="auto"/>
              <w:jc w:val="both"/>
            </w:pPr>
            <w:r>
              <w:t>59</w:t>
            </w:r>
          </w:p>
        </w:tc>
        <w:tc>
          <w:tcPr>
            <w:tcW w:w="1283" w:type="dxa"/>
            <w:vAlign w:val="bottom"/>
          </w:tcPr>
          <w:p w14:paraId="30689A0A" w14:textId="78516EA2" w:rsidR="00EF7BF3" w:rsidRDefault="00D01982" w:rsidP="002C2525">
            <w:pPr>
              <w:spacing w:line="360" w:lineRule="auto"/>
              <w:jc w:val="both"/>
              <w:rPr>
                <w:rFonts w:ascii="Calibri" w:hAnsi="Calibri" w:cs="Calibri"/>
                <w:color w:val="000000"/>
              </w:rPr>
            </w:pPr>
            <w:r>
              <w:rPr>
                <w:rFonts w:ascii="Calibri" w:hAnsi="Calibri" w:cs="Calibri"/>
                <w:color w:val="000000"/>
              </w:rPr>
              <w:t>75</w:t>
            </w:r>
          </w:p>
        </w:tc>
        <w:tc>
          <w:tcPr>
            <w:tcW w:w="1417" w:type="dxa"/>
          </w:tcPr>
          <w:p w14:paraId="37EA2E2D" w14:textId="70A4F0BD" w:rsidR="00EF7BF3" w:rsidRDefault="005F00D7" w:rsidP="002C2525">
            <w:pPr>
              <w:spacing w:line="360" w:lineRule="auto"/>
              <w:jc w:val="both"/>
              <w:rPr>
                <w:color w:val="000000" w:themeColor="text1"/>
              </w:rPr>
            </w:pPr>
            <w:r>
              <w:rPr>
                <w:color w:val="000000" w:themeColor="text1"/>
              </w:rPr>
              <w:t>0.82</w:t>
            </w:r>
          </w:p>
        </w:tc>
        <w:tc>
          <w:tcPr>
            <w:tcW w:w="1305" w:type="dxa"/>
          </w:tcPr>
          <w:p w14:paraId="2DFA4532" w14:textId="24EFF14B" w:rsidR="00EF7BF3" w:rsidRPr="009B05D9" w:rsidRDefault="00D52D71" w:rsidP="002C2525">
            <w:pPr>
              <w:spacing w:line="360" w:lineRule="auto"/>
              <w:jc w:val="both"/>
              <w:rPr>
                <w:color w:val="000000" w:themeColor="text1"/>
              </w:rPr>
            </w:pPr>
            <w:r>
              <w:rPr>
                <w:color w:val="000000" w:themeColor="text1"/>
              </w:rPr>
              <w:t>70</w:t>
            </w:r>
          </w:p>
        </w:tc>
        <w:tc>
          <w:tcPr>
            <w:tcW w:w="1388" w:type="dxa"/>
          </w:tcPr>
          <w:p w14:paraId="753D68A0" w14:textId="5B67EB5A" w:rsidR="00EF7BF3" w:rsidRDefault="00882396" w:rsidP="002C2525">
            <w:pPr>
              <w:spacing w:line="360" w:lineRule="auto"/>
              <w:jc w:val="both"/>
            </w:pPr>
            <w:r>
              <w:t>0.8</w:t>
            </w:r>
            <w:r w:rsidR="004D398B">
              <w:t>3</w:t>
            </w:r>
          </w:p>
        </w:tc>
        <w:tc>
          <w:tcPr>
            <w:tcW w:w="1418" w:type="dxa"/>
          </w:tcPr>
          <w:p w14:paraId="4FE3BDAE" w14:textId="301408DB" w:rsidR="00EF7BF3" w:rsidRDefault="004D398B" w:rsidP="002C2525">
            <w:pPr>
              <w:spacing w:line="360" w:lineRule="auto"/>
              <w:jc w:val="both"/>
            </w:pPr>
            <w:r>
              <w:t>67</w:t>
            </w:r>
          </w:p>
        </w:tc>
        <w:tc>
          <w:tcPr>
            <w:tcW w:w="1479" w:type="dxa"/>
          </w:tcPr>
          <w:p w14:paraId="6EF0AA47" w14:textId="5C36AEF7" w:rsidR="00EF7BF3" w:rsidRDefault="00906892" w:rsidP="002C2525">
            <w:pPr>
              <w:spacing w:line="360" w:lineRule="auto"/>
              <w:jc w:val="both"/>
            </w:pPr>
            <w:r>
              <w:t>0</w:t>
            </w:r>
            <w:r w:rsidR="00D4580B">
              <w:t>.77</w:t>
            </w:r>
          </w:p>
        </w:tc>
      </w:tr>
      <w:tr w:rsidR="004942B6" w14:paraId="00B61606" w14:textId="77777777" w:rsidTr="002C2525">
        <w:tc>
          <w:tcPr>
            <w:tcW w:w="986" w:type="dxa"/>
          </w:tcPr>
          <w:p w14:paraId="353DF981" w14:textId="77777777" w:rsidR="004942B6" w:rsidRDefault="004942B6" w:rsidP="002C2525">
            <w:pPr>
              <w:spacing w:line="360" w:lineRule="auto"/>
              <w:jc w:val="both"/>
            </w:pPr>
            <w:r w:rsidRPr="00FD1D5A">
              <w:t>62</w:t>
            </w:r>
          </w:p>
        </w:tc>
        <w:tc>
          <w:tcPr>
            <w:tcW w:w="1283" w:type="dxa"/>
            <w:vAlign w:val="bottom"/>
          </w:tcPr>
          <w:p w14:paraId="25998CED" w14:textId="77777777" w:rsidR="004942B6" w:rsidRDefault="004942B6" w:rsidP="002C2525">
            <w:pPr>
              <w:spacing w:line="360" w:lineRule="auto"/>
              <w:jc w:val="both"/>
            </w:pPr>
            <w:r>
              <w:rPr>
                <w:rFonts w:ascii="Calibri" w:hAnsi="Calibri" w:cs="Calibri"/>
                <w:color w:val="000000"/>
              </w:rPr>
              <w:t>60</w:t>
            </w:r>
          </w:p>
        </w:tc>
        <w:tc>
          <w:tcPr>
            <w:tcW w:w="1417" w:type="dxa"/>
          </w:tcPr>
          <w:p w14:paraId="0EC02961" w14:textId="77777777" w:rsidR="004942B6" w:rsidRPr="009B05D9" w:rsidRDefault="004942B6" w:rsidP="002C2525">
            <w:pPr>
              <w:spacing w:line="360" w:lineRule="auto"/>
              <w:jc w:val="both"/>
              <w:rPr>
                <w:color w:val="000000" w:themeColor="text1"/>
              </w:rPr>
            </w:pPr>
            <w:r>
              <w:rPr>
                <w:color w:val="000000" w:themeColor="text1"/>
              </w:rPr>
              <w:t>0.76</w:t>
            </w:r>
          </w:p>
        </w:tc>
        <w:tc>
          <w:tcPr>
            <w:tcW w:w="1305" w:type="dxa"/>
          </w:tcPr>
          <w:p w14:paraId="7D003A70" w14:textId="77777777" w:rsidR="004942B6" w:rsidRPr="009B05D9" w:rsidRDefault="004942B6" w:rsidP="002C2525">
            <w:pPr>
              <w:spacing w:line="360" w:lineRule="auto"/>
              <w:jc w:val="both"/>
              <w:rPr>
                <w:color w:val="000000" w:themeColor="text1"/>
              </w:rPr>
            </w:pPr>
            <w:r w:rsidRPr="009B05D9">
              <w:rPr>
                <w:color w:val="000000" w:themeColor="text1"/>
              </w:rPr>
              <w:t>75</w:t>
            </w:r>
          </w:p>
        </w:tc>
        <w:tc>
          <w:tcPr>
            <w:tcW w:w="1388" w:type="dxa"/>
          </w:tcPr>
          <w:p w14:paraId="0CCED07A" w14:textId="77777777" w:rsidR="004942B6" w:rsidRDefault="004942B6" w:rsidP="002C2525">
            <w:pPr>
              <w:spacing w:line="360" w:lineRule="auto"/>
              <w:jc w:val="both"/>
            </w:pPr>
            <w:r>
              <w:t>75</w:t>
            </w:r>
          </w:p>
        </w:tc>
        <w:tc>
          <w:tcPr>
            <w:tcW w:w="1418" w:type="dxa"/>
          </w:tcPr>
          <w:p w14:paraId="7520A079" w14:textId="77777777" w:rsidR="004942B6" w:rsidRDefault="004942B6" w:rsidP="002C2525">
            <w:pPr>
              <w:spacing w:line="360" w:lineRule="auto"/>
              <w:jc w:val="both"/>
            </w:pPr>
            <w:r>
              <w:t>0.87</w:t>
            </w:r>
          </w:p>
        </w:tc>
        <w:tc>
          <w:tcPr>
            <w:tcW w:w="1479" w:type="dxa"/>
          </w:tcPr>
          <w:p w14:paraId="7FB93F15" w14:textId="77777777" w:rsidR="004942B6" w:rsidRDefault="004942B6" w:rsidP="002C2525">
            <w:pPr>
              <w:spacing w:line="360" w:lineRule="auto"/>
              <w:jc w:val="both"/>
            </w:pPr>
            <w:r>
              <w:t>0.87</w:t>
            </w:r>
          </w:p>
        </w:tc>
      </w:tr>
      <w:tr w:rsidR="004942B6" w14:paraId="288528B5" w14:textId="77777777" w:rsidTr="002C2525">
        <w:tc>
          <w:tcPr>
            <w:tcW w:w="986" w:type="dxa"/>
          </w:tcPr>
          <w:p w14:paraId="64778E5D" w14:textId="77777777" w:rsidR="004942B6" w:rsidRDefault="004942B6" w:rsidP="002C2525">
            <w:pPr>
              <w:spacing w:line="360" w:lineRule="auto"/>
              <w:jc w:val="both"/>
            </w:pPr>
            <w:r w:rsidRPr="00FD1D5A">
              <w:t>66</w:t>
            </w:r>
          </w:p>
        </w:tc>
        <w:tc>
          <w:tcPr>
            <w:tcW w:w="1283" w:type="dxa"/>
            <w:vAlign w:val="bottom"/>
          </w:tcPr>
          <w:p w14:paraId="599D69BD" w14:textId="77777777" w:rsidR="004942B6" w:rsidRDefault="004942B6" w:rsidP="002C2525">
            <w:pPr>
              <w:spacing w:line="360" w:lineRule="auto"/>
              <w:jc w:val="both"/>
            </w:pPr>
            <w:r>
              <w:rPr>
                <w:rFonts w:ascii="Calibri" w:hAnsi="Calibri" w:cs="Calibri"/>
                <w:color w:val="000000"/>
              </w:rPr>
              <w:t>70</w:t>
            </w:r>
          </w:p>
        </w:tc>
        <w:tc>
          <w:tcPr>
            <w:tcW w:w="1417" w:type="dxa"/>
          </w:tcPr>
          <w:p w14:paraId="06EE68CE" w14:textId="77777777" w:rsidR="004942B6" w:rsidRPr="009B05D9" w:rsidRDefault="004942B6" w:rsidP="002C2525">
            <w:pPr>
              <w:spacing w:line="360" w:lineRule="auto"/>
              <w:jc w:val="both"/>
              <w:rPr>
                <w:color w:val="000000" w:themeColor="text1"/>
              </w:rPr>
            </w:pPr>
            <w:r>
              <w:rPr>
                <w:color w:val="000000" w:themeColor="text1"/>
              </w:rPr>
              <w:t>0.70</w:t>
            </w:r>
          </w:p>
        </w:tc>
        <w:tc>
          <w:tcPr>
            <w:tcW w:w="1305" w:type="dxa"/>
          </w:tcPr>
          <w:p w14:paraId="033764F5" w14:textId="77777777" w:rsidR="004942B6" w:rsidRPr="009B05D9" w:rsidRDefault="004942B6" w:rsidP="002C2525">
            <w:pPr>
              <w:spacing w:line="360" w:lineRule="auto"/>
              <w:jc w:val="both"/>
              <w:rPr>
                <w:color w:val="000000" w:themeColor="text1"/>
              </w:rPr>
            </w:pPr>
            <w:r w:rsidRPr="009B05D9">
              <w:rPr>
                <w:color w:val="000000" w:themeColor="text1"/>
              </w:rPr>
              <w:t xml:space="preserve">60** </w:t>
            </w:r>
          </w:p>
        </w:tc>
        <w:tc>
          <w:tcPr>
            <w:tcW w:w="1388" w:type="dxa"/>
          </w:tcPr>
          <w:p w14:paraId="7F28AE5E" w14:textId="77777777" w:rsidR="004942B6" w:rsidRDefault="004942B6" w:rsidP="002C2525">
            <w:pPr>
              <w:spacing w:line="360" w:lineRule="auto"/>
              <w:jc w:val="both"/>
            </w:pPr>
            <w:r>
              <w:t>60</w:t>
            </w:r>
          </w:p>
        </w:tc>
        <w:tc>
          <w:tcPr>
            <w:tcW w:w="1418" w:type="dxa"/>
          </w:tcPr>
          <w:p w14:paraId="56B64229" w14:textId="77777777" w:rsidR="004942B6" w:rsidRDefault="004942B6" w:rsidP="002C2525">
            <w:pPr>
              <w:spacing w:line="360" w:lineRule="auto"/>
              <w:jc w:val="both"/>
            </w:pPr>
            <w:r>
              <w:t>0.64**</w:t>
            </w:r>
          </w:p>
        </w:tc>
        <w:tc>
          <w:tcPr>
            <w:tcW w:w="1479" w:type="dxa"/>
          </w:tcPr>
          <w:p w14:paraId="291512F6" w14:textId="77777777" w:rsidR="004942B6" w:rsidRDefault="004942B6" w:rsidP="002C2525">
            <w:pPr>
              <w:spacing w:line="360" w:lineRule="auto"/>
              <w:jc w:val="both"/>
            </w:pPr>
            <w:r>
              <w:t>0.64</w:t>
            </w:r>
          </w:p>
        </w:tc>
      </w:tr>
      <w:tr w:rsidR="004942B6" w14:paraId="50A0F6DE" w14:textId="77777777" w:rsidTr="002C2525">
        <w:tc>
          <w:tcPr>
            <w:tcW w:w="986" w:type="dxa"/>
          </w:tcPr>
          <w:p w14:paraId="17776A38" w14:textId="77777777" w:rsidR="004942B6" w:rsidRPr="00FD1D5A" w:rsidRDefault="004942B6" w:rsidP="002C2525">
            <w:pPr>
              <w:spacing w:line="360" w:lineRule="auto"/>
              <w:jc w:val="both"/>
            </w:pPr>
            <w:r>
              <w:t>70</w:t>
            </w:r>
          </w:p>
        </w:tc>
        <w:tc>
          <w:tcPr>
            <w:tcW w:w="1283" w:type="dxa"/>
            <w:vAlign w:val="bottom"/>
          </w:tcPr>
          <w:p w14:paraId="5B329E3D"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80</w:t>
            </w:r>
          </w:p>
        </w:tc>
        <w:tc>
          <w:tcPr>
            <w:tcW w:w="1417" w:type="dxa"/>
          </w:tcPr>
          <w:p w14:paraId="3FED7755" w14:textId="77777777" w:rsidR="004942B6" w:rsidRPr="009B05D9" w:rsidRDefault="004942B6" w:rsidP="002C2525">
            <w:pPr>
              <w:spacing w:line="360" w:lineRule="auto"/>
              <w:jc w:val="both"/>
              <w:rPr>
                <w:color w:val="000000" w:themeColor="text1"/>
              </w:rPr>
            </w:pPr>
            <w:r>
              <w:rPr>
                <w:color w:val="000000" w:themeColor="text1"/>
              </w:rPr>
              <w:t>0.83</w:t>
            </w:r>
          </w:p>
        </w:tc>
        <w:tc>
          <w:tcPr>
            <w:tcW w:w="1305" w:type="dxa"/>
          </w:tcPr>
          <w:p w14:paraId="1407C44F" w14:textId="77777777" w:rsidR="004942B6" w:rsidRPr="009B05D9" w:rsidRDefault="004942B6" w:rsidP="002C2525">
            <w:pPr>
              <w:spacing w:line="360" w:lineRule="auto"/>
              <w:jc w:val="both"/>
              <w:rPr>
                <w:color w:val="000000" w:themeColor="text1"/>
              </w:rPr>
            </w:pPr>
            <w:r w:rsidRPr="009B05D9">
              <w:rPr>
                <w:color w:val="000000" w:themeColor="text1"/>
              </w:rPr>
              <w:t>90</w:t>
            </w:r>
          </w:p>
        </w:tc>
        <w:tc>
          <w:tcPr>
            <w:tcW w:w="1388" w:type="dxa"/>
          </w:tcPr>
          <w:p w14:paraId="0902C8AB" w14:textId="77777777" w:rsidR="004942B6" w:rsidRDefault="004942B6" w:rsidP="002C2525">
            <w:pPr>
              <w:spacing w:line="360" w:lineRule="auto"/>
              <w:jc w:val="both"/>
            </w:pPr>
            <w:r>
              <w:t>90</w:t>
            </w:r>
          </w:p>
        </w:tc>
        <w:tc>
          <w:tcPr>
            <w:tcW w:w="1418" w:type="dxa"/>
          </w:tcPr>
          <w:p w14:paraId="4AD903EA" w14:textId="77777777" w:rsidR="004942B6" w:rsidRDefault="004942B6" w:rsidP="002C2525">
            <w:pPr>
              <w:spacing w:line="360" w:lineRule="auto"/>
              <w:jc w:val="both"/>
            </w:pPr>
            <w:r>
              <w:t>0.94</w:t>
            </w:r>
          </w:p>
        </w:tc>
        <w:tc>
          <w:tcPr>
            <w:tcW w:w="1479" w:type="dxa"/>
          </w:tcPr>
          <w:p w14:paraId="0277FFE7" w14:textId="77777777" w:rsidR="004942B6" w:rsidRDefault="004942B6" w:rsidP="002C2525">
            <w:pPr>
              <w:spacing w:line="360" w:lineRule="auto"/>
              <w:jc w:val="both"/>
            </w:pPr>
            <w:r>
              <w:t>0.94</w:t>
            </w:r>
          </w:p>
        </w:tc>
      </w:tr>
      <w:tr w:rsidR="004942B6" w14:paraId="39B3C398" w14:textId="77777777" w:rsidTr="002C2525">
        <w:tc>
          <w:tcPr>
            <w:tcW w:w="986" w:type="dxa"/>
          </w:tcPr>
          <w:p w14:paraId="4A2B7419" w14:textId="77777777" w:rsidR="004942B6" w:rsidRDefault="004942B6" w:rsidP="002C2525">
            <w:pPr>
              <w:spacing w:line="360" w:lineRule="auto"/>
              <w:jc w:val="both"/>
            </w:pPr>
            <w:r w:rsidRPr="00FD1D5A">
              <w:t>7</w:t>
            </w:r>
            <w:r>
              <w:t>7</w:t>
            </w:r>
          </w:p>
        </w:tc>
        <w:tc>
          <w:tcPr>
            <w:tcW w:w="1283" w:type="dxa"/>
            <w:vAlign w:val="bottom"/>
          </w:tcPr>
          <w:p w14:paraId="0011BE93" w14:textId="77777777" w:rsidR="004942B6" w:rsidRDefault="004942B6" w:rsidP="002C2525">
            <w:pPr>
              <w:spacing w:line="360" w:lineRule="auto"/>
              <w:jc w:val="both"/>
            </w:pPr>
            <w:r>
              <w:rPr>
                <w:rFonts w:ascii="Calibri" w:hAnsi="Calibri" w:cs="Calibri"/>
                <w:color w:val="000000"/>
              </w:rPr>
              <w:t>90</w:t>
            </w:r>
          </w:p>
        </w:tc>
        <w:tc>
          <w:tcPr>
            <w:tcW w:w="1417" w:type="dxa"/>
          </w:tcPr>
          <w:p w14:paraId="43C8B890" w14:textId="77777777" w:rsidR="004942B6" w:rsidRPr="009B05D9" w:rsidRDefault="004942B6" w:rsidP="002C2525">
            <w:pPr>
              <w:spacing w:line="360" w:lineRule="auto"/>
              <w:jc w:val="both"/>
              <w:rPr>
                <w:color w:val="000000" w:themeColor="text1"/>
              </w:rPr>
            </w:pPr>
            <w:r>
              <w:rPr>
                <w:color w:val="000000" w:themeColor="text1"/>
              </w:rPr>
              <w:t>0.95</w:t>
            </w:r>
          </w:p>
        </w:tc>
        <w:tc>
          <w:tcPr>
            <w:tcW w:w="1305" w:type="dxa"/>
          </w:tcPr>
          <w:p w14:paraId="065D37C5" w14:textId="77777777" w:rsidR="004942B6" w:rsidRPr="009B05D9" w:rsidRDefault="004942B6" w:rsidP="002C2525">
            <w:pPr>
              <w:spacing w:line="360" w:lineRule="auto"/>
              <w:jc w:val="both"/>
              <w:rPr>
                <w:color w:val="000000" w:themeColor="text1"/>
              </w:rPr>
            </w:pPr>
            <w:r w:rsidRPr="009B05D9">
              <w:rPr>
                <w:color w:val="000000" w:themeColor="text1"/>
              </w:rPr>
              <w:t xml:space="preserve">60** </w:t>
            </w:r>
          </w:p>
        </w:tc>
        <w:tc>
          <w:tcPr>
            <w:tcW w:w="1388" w:type="dxa"/>
          </w:tcPr>
          <w:p w14:paraId="41313E4F" w14:textId="77777777" w:rsidR="004942B6" w:rsidRDefault="004942B6" w:rsidP="002C2525">
            <w:pPr>
              <w:spacing w:line="360" w:lineRule="auto"/>
              <w:jc w:val="both"/>
            </w:pPr>
            <w:r>
              <w:t>60</w:t>
            </w:r>
          </w:p>
        </w:tc>
        <w:tc>
          <w:tcPr>
            <w:tcW w:w="1418" w:type="dxa"/>
          </w:tcPr>
          <w:p w14:paraId="193029F4" w14:textId="77777777" w:rsidR="004942B6" w:rsidRDefault="004942B6" w:rsidP="002C2525">
            <w:pPr>
              <w:spacing w:line="360" w:lineRule="auto"/>
              <w:jc w:val="both"/>
            </w:pPr>
            <w:r>
              <w:t>0.83**</w:t>
            </w:r>
          </w:p>
        </w:tc>
        <w:tc>
          <w:tcPr>
            <w:tcW w:w="1479" w:type="dxa"/>
          </w:tcPr>
          <w:p w14:paraId="67C63387" w14:textId="77777777" w:rsidR="004942B6" w:rsidRDefault="004942B6" w:rsidP="002C2525">
            <w:pPr>
              <w:spacing w:line="360" w:lineRule="auto"/>
              <w:jc w:val="both"/>
            </w:pPr>
            <w:r>
              <w:t>0.83</w:t>
            </w:r>
          </w:p>
        </w:tc>
      </w:tr>
      <w:tr w:rsidR="004942B6" w14:paraId="436C3E68" w14:textId="77777777" w:rsidTr="002C2525">
        <w:tc>
          <w:tcPr>
            <w:tcW w:w="986" w:type="dxa"/>
          </w:tcPr>
          <w:p w14:paraId="40637A3B" w14:textId="77777777" w:rsidR="004942B6" w:rsidRPr="00FD1D5A" w:rsidRDefault="004942B6" w:rsidP="002C2525">
            <w:pPr>
              <w:spacing w:line="360" w:lineRule="auto"/>
              <w:jc w:val="both"/>
            </w:pPr>
            <w:r>
              <w:t>85</w:t>
            </w:r>
          </w:p>
        </w:tc>
        <w:tc>
          <w:tcPr>
            <w:tcW w:w="1283" w:type="dxa"/>
            <w:vAlign w:val="bottom"/>
          </w:tcPr>
          <w:p w14:paraId="4355055F"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70</w:t>
            </w:r>
          </w:p>
        </w:tc>
        <w:tc>
          <w:tcPr>
            <w:tcW w:w="1417" w:type="dxa"/>
          </w:tcPr>
          <w:p w14:paraId="2FBBE27B" w14:textId="77777777" w:rsidR="004942B6" w:rsidRPr="009B05D9" w:rsidRDefault="004942B6" w:rsidP="002C2525">
            <w:pPr>
              <w:spacing w:line="360" w:lineRule="auto"/>
              <w:jc w:val="both"/>
              <w:rPr>
                <w:color w:val="000000" w:themeColor="text1"/>
              </w:rPr>
            </w:pPr>
            <w:r>
              <w:rPr>
                <w:color w:val="000000" w:themeColor="text1"/>
              </w:rPr>
              <w:t>0.85</w:t>
            </w:r>
          </w:p>
        </w:tc>
        <w:tc>
          <w:tcPr>
            <w:tcW w:w="1305" w:type="dxa"/>
          </w:tcPr>
          <w:p w14:paraId="55EC61C6" w14:textId="77777777" w:rsidR="004942B6" w:rsidRPr="009B05D9" w:rsidRDefault="004942B6" w:rsidP="002C2525">
            <w:pPr>
              <w:spacing w:line="360" w:lineRule="auto"/>
              <w:jc w:val="both"/>
              <w:rPr>
                <w:color w:val="000000" w:themeColor="text1"/>
              </w:rPr>
            </w:pPr>
            <w:r w:rsidRPr="009B05D9">
              <w:rPr>
                <w:color w:val="000000" w:themeColor="text1"/>
              </w:rPr>
              <w:t>95</w:t>
            </w:r>
          </w:p>
        </w:tc>
        <w:tc>
          <w:tcPr>
            <w:tcW w:w="1388" w:type="dxa"/>
          </w:tcPr>
          <w:p w14:paraId="686FC1A5" w14:textId="77777777" w:rsidR="004942B6" w:rsidRDefault="004942B6" w:rsidP="002C2525">
            <w:pPr>
              <w:spacing w:line="360" w:lineRule="auto"/>
              <w:jc w:val="both"/>
            </w:pPr>
            <w:r>
              <w:t>95</w:t>
            </w:r>
          </w:p>
        </w:tc>
        <w:tc>
          <w:tcPr>
            <w:tcW w:w="1418" w:type="dxa"/>
          </w:tcPr>
          <w:p w14:paraId="2264B32E" w14:textId="77777777" w:rsidR="004942B6" w:rsidRDefault="004942B6" w:rsidP="002C2525">
            <w:pPr>
              <w:spacing w:line="360" w:lineRule="auto"/>
              <w:jc w:val="both"/>
            </w:pPr>
            <w:r>
              <w:t>0.94</w:t>
            </w:r>
          </w:p>
        </w:tc>
        <w:tc>
          <w:tcPr>
            <w:tcW w:w="1479" w:type="dxa"/>
          </w:tcPr>
          <w:p w14:paraId="0C3AB631" w14:textId="77777777" w:rsidR="004942B6" w:rsidRDefault="004942B6" w:rsidP="002C2525">
            <w:pPr>
              <w:spacing w:line="360" w:lineRule="auto"/>
              <w:jc w:val="both"/>
            </w:pPr>
            <w:r>
              <w:t>0.94</w:t>
            </w:r>
          </w:p>
        </w:tc>
      </w:tr>
      <w:tr w:rsidR="004942B6" w14:paraId="60E8C510" w14:textId="77777777" w:rsidTr="002C2525">
        <w:tc>
          <w:tcPr>
            <w:tcW w:w="986" w:type="dxa"/>
          </w:tcPr>
          <w:p w14:paraId="2AA2F5FF" w14:textId="77777777" w:rsidR="004942B6" w:rsidRPr="00FD1D5A" w:rsidRDefault="004942B6" w:rsidP="002C2525">
            <w:pPr>
              <w:spacing w:line="360" w:lineRule="auto"/>
              <w:jc w:val="both"/>
            </w:pPr>
            <w:r>
              <w:t>89</w:t>
            </w:r>
          </w:p>
        </w:tc>
        <w:tc>
          <w:tcPr>
            <w:tcW w:w="1283" w:type="dxa"/>
            <w:vAlign w:val="bottom"/>
          </w:tcPr>
          <w:p w14:paraId="48C405C9"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70</w:t>
            </w:r>
          </w:p>
        </w:tc>
        <w:tc>
          <w:tcPr>
            <w:tcW w:w="1417" w:type="dxa"/>
          </w:tcPr>
          <w:p w14:paraId="231EDB2B" w14:textId="77777777" w:rsidR="004942B6" w:rsidRPr="009B05D9" w:rsidRDefault="004942B6" w:rsidP="002C2525">
            <w:pPr>
              <w:spacing w:line="360" w:lineRule="auto"/>
              <w:jc w:val="both"/>
              <w:rPr>
                <w:color w:val="000000" w:themeColor="text1"/>
              </w:rPr>
            </w:pPr>
            <w:r>
              <w:rPr>
                <w:color w:val="000000" w:themeColor="text1"/>
              </w:rPr>
              <w:t>0.82</w:t>
            </w:r>
          </w:p>
        </w:tc>
        <w:tc>
          <w:tcPr>
            <w:tcW w:w="1305" w:type="dxa"/>
          </w:tcPr>
          <w:p w14:paraId="71CAD0B7" w14:textId="77777777" w:rsidR="004942B6" w:rsidRPr="009B05D9" w:rsidRDefault="004942B6" w:rsidP="002C2525">
            <w:pPr>
              <w:spacing w:line="360" w:lineRule="auto"/>
              <w:jc w:val="both"/>
              <w:rPr>
                <w:color w:val="000000" w:themeColor="text1"/>
              </w:rPr>
            </w:pPr>
            <w:r>
              <w:rPr>
                <w:color w:val="000000" w:themeColor="text1"/>
              </w:rPr>
              <w:t>75</w:t>
            </w:r>
          </w:p>
        </w:tc>
        <w:tc>
          <w:tcPr>
            <w:tcW w:w="1388" w:type="dxa"/>
          </w:tcPr>
          <w:p w14:paraId="0CB6035B" w14:textId="1C3AD4FE" w:rsidR="004942B6" w:rsidRDefault="00563EC5" w:rsidP="002C2525">
            <w:pPr>
              <w:spacing w:line="360" w:lineRule="auto"/>
              <w:jc w:val="both"/>
            </w:pPr>
            <w:r>
              <w:t>78</w:t>
            </w:r>
          </w:p>
        </w:tc>
        <w:tc>
          <w:tcPr>
            <w:tcW w:w="1418" w:type="dxa"/>
          </w:tcPr>
          <w:p w14:paraId="3DAB6BBD" w14:textId="77777777" w:rsidR="004942B6" w:rsidRDefault="004942B6" w:rsidP="002C2525">
            <w:pPr>
              <w:spacing w:line="360" w:lineRule="auto"/>
              <w:jc w:val="both"/>
            </w:pPr>
            <w:r>
              <w:t>0.86</w:t>
            </w:r>
          </w:p>
        </w:tc>
        <w:tc>
          <w:tcPr>
            <w:tcW w:w="1479" w:type="dxa"/>
          </w:tcPr>
          <w:p w14:paraId="7450F58B" w14:textId="1BA48ADA" w:rsidR="004942B6" w:rsidRDefault="004942B6" w:rsidP="002C2525">
            <w:pPr>
              <w:spacing w:line="360" w:lineRule="auto"/>
              <w:jc w:val="both"/>
            </w:pPr>
            <w:r>
              <w:t>0.</w:t>
            </w:r>
            <w:r w:rsidR="00563EC5">
              <w:t>92</w:t>
            </w:r>
          </w:p>
        </w:tc>
      </w:tr>
      <w:tr w:rsidR="004942B6" w14:paraId="7783AECB" w14:textId="77777777" w:rsidTr="002C2525">
        <w:tc>
          <w:tcPr>
            <w:tcW w:w="986" w:type="dxa"/>
          </w:tcPr>
          <w:p w14:paraId="5CDCE27C" w14:textId="77777777" w:rsidR="004942B6" w:rsidRDefault="004942B6" w:rsidP="002C2525">
            <w:pPr>
              <w:spacing w:line="360" w:lineRule="auto"/>
              <w:jc w:val="both"/>
            </w:pPr>
            <w:r w:rsidRPr="00FD1D5A">
              <w:t>91</w:t>
            </w:r>
          </w:p>
        </w:tc>
        <w:tc>
          <w:tcPr>
            <w:tcW w:w="1283" w:type="dxa"/>
            <w:vAlign w:val="bottom"/>
          </w:tcPr>
          <w:p w14:paraId="20E98990" w14:textId="77777777" w:rsidR="004942B6" w:rsidRDefault="004942B6" w:rsidP="002C2525">
            <w:pPr>
              <w:spacing w:line="360" w:lineRule="auto"/>
              <w:jc w:val="both"/>
            </w:pPr>
            <w:r>
              <w:rPr>
                <w:rFonts w:ascii="Calibri" w:hAnsi="Calibri" w:cs="Calibri"/>
                <w:color w:val="000000"/>
              </w:rPr>
              <w:t>70</w:t>
            </w:r>
          </w:p>
        </w:tc>
        <w:tc>
          <w:tcPr>
            <w:tcW w:w="1417" w:type="dxa"/>
          </w:tcPr>
          <w:p w14:paraId="3A4F1CF9" w14:textId="77777777" w:rsidR="004942B6" w:rsidRPr="009B05D9" w:rsidRDefault="004942B6" w:rsidP="002C2525">
            <w:pPr>
              <w:spacing w:line="360" w:lineRule="auto"/>
              <w:jc w:val="both"/>
              <w:rPr>
                <w:color w:val="000000" w:themeColor="text1"/>
              </w:rPr>
            </w:pPr>
            <w:r>
              <w:rPr>
                <w:color w:val="000000" w:themeColor="text1"/>
              </w:rPr>
              <w:t>0.88</w:t>
            </w:r>
          </w:p>
        </w:tc>
        <w:tc>
          <w:tcPr>
            <w:tcW w:w="1305" w:type="dxa"/>
          </w:tcPr>
          <w:p w14:paraId="08175720" w14:textId="77777777" w:rsidR="004942B6" w:rsidRPr="009B05D9" w:rsidRDefault="004942B6" w:rsidP="002C2525">
            <w:pPr>
              <w:spacing w:line="360" w:lineRule="auto"/>
              <w:jc w:val="both"/>
              <w:rPr>
                <w:color w:val="000000" w:themeColor="text1"/>
              </w:rPr>
            </w:pPr>
            <w:r w:rsidRPr="009B05D9">
              <w:rPr>
                <w:color w:val="000000" w:themeColor="text1"/>
              </w:rPr>
              <w:t xml:space="preserve">50** </w:t>
            </w:r>
          </w:p>
        </w:tc>
        <w:tc>
          <w:tcPr>
            <w:tcW w:w="1388" w:type="dxa"/>
          </w:tcPr>
          <w:p w14:paraId="027611DD" w14:textId="77777777" w:rsidR="004942B6" w:rsidRDefault="004942B6" w:rsidP="002C2525">
            <w:pPr>
              <w:spacing w:line="360" w:lineRule="auto"/>
              <w:jc w:val="both"/>
            </w:pPr>
            <w:r>
              <w:t>50</w:t>
            </w:r>
          </w:p>
        </w:tc>
        <w:tc>
          <w:tcPr>
            <w:tcW w:w="1418" w:type="dxa"/>
          </w:tcPr>
          <w:p w14:paraId="0697F759" w14:textId="77777777" w:rsidR="004942B6" w:rsidRDefault="004942B6" w:rsidP="002C2525">
            <w:pPr>
              <w:spacing w:line="360" w:lineRule="auto"/>
              <w:jc w:val="both"/>
            </w:pPr>
            <w:r>
              <w:t>0.72**</w:t>
            </w:r>
          </w:p>
        </w:tc>
        <w:tc>
          <w:tcPr>
            <w:tcW w:w="1479" w:type="dxa"/>
          </w:tcPr>
          <w:p w14:paraId="0EF8BD52" w14:textId="77777777" w:rsidR="004942B6" w:rsidRDefault="004942B6" w:rsidP="002C2525">
            <w:pPr>
              <w:spacing w:line="360" w:lineRule="auto"/>
              <w:jc w:val="both"/>
            </w:pPr>
            <w:r>
              <w:t>0.72</w:t>
            </w:r>
          </w:p>
        </w:tc>
      </w:tr>
      <w:tr w:rsidR="004942B6" w14:paraId="0FAA3D5D" w14:textId="77777777" w:rsidTr="002C2525">
        <w:tc>
          <w:tcPr>
            <w:tcW w:w="986" w:type="dxa"/>
          </w:tcPr>
          <w:p w14:paraId="11D5A5A9" w14:textId="77777777" w:rsidR="004942B6" w:rsidRDefault="004942B6" w:rsidP="002C2525">
            <w:pPr>
              <w:spacing w:line="360" w:lineRule="auto"/>
              <w:jc w:val="both"/>
            </w:pPr>
            <w:r w:rsidRPr="00FD1D5A">
              <w:t>95</w:t>
            </w:r>
          </w:p>
        </w:tc>
        <w:tc>
          <w:tcPr>
            <w:tcW w:w="1283" w:type="dxa"/>
            <w:vAlign w:val="bottom"/>
          </w:tcPr>
          <w:p w14:paraId="4C4102A9" w14:textId="77777777" w:rsidR="004942B6" w:rsidRDefault="004942B6" w:rsidP="002C2525">
            <w:pPr>
              <w:spacing w:line="360" w:lineRule="auto"/>
              <w:jc w:val="both"/>
            </w:pPr>
            <w:r>
              <w:rPr>
                <w:rFonts w:ascii="Calibri" w:hAnsi="Calibri" w:cs="Calibri"/>
                <w:color w:val="000000"/>
              </w:rPr>
              <w:t>60</w:t>
            </w:r>
          </w:p>
        </w:tc>
        <w:tc>
          <w:tcPr>
            <w:tcW w:w="1417" w:type="dxa"/>
          </w:tcPr>
          <w:p w14:paraId="750FE50F" w14:textId="77777777" w:rsidR="004942B6" w:rsidRPr="009B05D9" w:rsidRDefault="004942B6" w:rsidP="002C2525">
            <w:pPr>
              <w:spacing w:line="360" w:lineRule="auto"/>
              <w:jc w:val="both"/>
              <w:rPr>
                <w:color w:val="000000" w:themeColor="text1"/>
              </w:rPr>
            </w:pPr>
            <w:r>
              <w:rPr>
                <w:color w:val="000000" w:themeColor="text1"/>
              </w:rPr>
              <w:t>0.78</w:t>
            </w:r>
          </w:p>
        </w:tc>
        <w:tc>
          <w:tcPr>
            <w:tcW w:w="1305" w:type="dxa"/>
          </w:tcPr>
          <w:p w14:paraId="7DD35E37" w14:textId="77777777" w:rsidR="004942B6" w:rsidRPr="009B05D9" w:rsidRDefault="004942B6" w:rsidP="002C2525">
            <w:pPr>
              <w:spacing w:line="360" w:lineRule="auto"/>
              <w:jc w:val="both"/>
              <w:rPr>
                <w:color w:val="000000" w:themeColor="text1"/>
              </w:rPr>
            </w:pPr>
            <w:r w:rsidRPr="009B05D9">
              <w:rPr>
                <w:color w:val="000000" w:themeColor="text1"/>
              </w:rPr>
              <w:t xml:space="preserve">30** </w:t>
            </w:r>
          </w:p>
        </w:tc>
        <w:tc>
          <w:tcPr>
            <w:tcW w:w="1388" w:type="dxa"/>
          </w:tcPr>
          <w:p w14:paraId="30D2683B" w14:textId="77777777" w:rsidR="004942B6" w:rsidRDefault="004942B6" w:rsidP="002C2525">
            <w:pPr>
              <w:spacing w:line="360" w:lineRule="auto"/>
              <w:jc w:val="both"/>
            </w:pPr>
            <w:r>
              <w:t>30</w:t>
            </w:r>
          </w:p>
        </w:tc>
        <w:tc>
          <w:tcPr>
            <w:tcW w:w="1418" w:type="dxa"/>
          </w:tcPr>
          <w:p w14:paraId="12F569D7" w14:textId="77777777" w:rsidR="004942B6" w:rsidRDefault="004942B6" w:rsidP="002C2525">
            <w:pPr>
              <w:spacing w:line="360" w:lineRule="auto"/>
              <w:jc w:val="both"/>
            </w:pPr>
            <w:r>
              <w:t>0.66**</w:t>
            </w:r>
          </w:p>
        </w:tc>
        <w:tc>
          <w:tcPr>
            <w:tcW w:w="1479" w:type="dxa"/>
          </w:tcPr>
          <w:p w14:paraId="6BEA1EBE" w14:textId="77777777" w:rsidR="004942B6" w:rsidRDefault="004942B6" w:rsidP="002C2525">
            <w:pPr>
              <w:spacing w:line="360" w:lineRule="auto"/>
              <w:jc w:val="both"/>
            </w:pPr>
            <w:r>
              <w:t>0.66</w:t>
            </w:r>
          </w:p>
        </w:tc>
      </w:tr>
      <w:tr w:rsidR="004942B6" w14:paraId="70BD8834" w14:textId="77777777" w:rsidTr="002C2525">
        <w:tc>
          <w:tcPr>
            <w:tcW w:w="986" w:type="dxa"/>
          </w:tcPr>
          <w:p w14:paraId="1100C047" w14:textId="77777777" w:rsidR="004942B6" w:rsidRDefault="004942B6" w:rsidP="002C2525">
            <w:pPr>
              <w:spacing w:line="360" w:lineRule="auto"/>
              <w:jc w:val="both"/>
            </w:pPr>
            <w:r>
              <w:t>108</w:t>
            </w:r>
          </w:p>
        </w:tc>
        <w:tc>
          <w:tcPr>
            <w:tcW w:w="1283" w:type="dxa"/>
            <w:vAlign w:val="bottom"/>
          </w:tcPr>
          <w:p w14:paraId="64DD0CB4" w14:textId="77777777" w:rsidR="004942B6" w:rsidRDefault="004942B6" w:rsidP="002C2525">
            <w:pPr>
              <w:spacing w:line="360" w:lineRule="auto"/>
              <w:jc w:val="both"/>
            </w:pPr>
            <w:r>
              <w:rPr>
                <w:rFonts w:ascii="Calibri" w:hAnsi="Calibri" w:cs="Calibri"/>
                <w:color w:val="000000"/>
              </w:rPr>
              <w:t>80</w:t>
            </w:r>
          </w:p>
        </w:tc>
        <w:tc>
          <w:tcPr>
            <w:tcW w:w="1417" w:type="dxa"/>
          </w:tcPr>
          <w:p w14:paraId="0F3D35FA" w14:textId="77777777" w:rsidR="004942B6" w:rsidRPr="009B05D9" w:rsidRDefault="004942B6" w:rsidP="002C2525">
            <w:pPr>
              <w:spacing w:line="360" w:lineRule="auto"/>
              <w:jc w:val="both"/>
              <w:rPr>
                <w:color w:val="000000" w:themeColor="text1"/>
              </w:rPr>
            </w:pPr>
            <w:r>
              <w:rPr>
                <w:color w:val="000000" w:themeColor="text1"/>
              </w:rPr>
              <w:t>0.86</w:t>
            </w:r>
          </w:p>
        </w:tc>
        <w:tc>
          <w:tcPr>
            <w:tcW w:w="1305" w:type="dxa"/>
          </w:tcPr>
          <w:p w14:paraId="3A4C7077" w14:textId="77777777" w:rsidR="004942B6" w:rsidRPr="009B05D9" w:rsidRDefault="004942B6" w:rsidP="002C2525">
            <w:pPr>
              <w:spacing w:line="360" w:lineRule="auto"/>
              <w:jc w:val="both"/>
              <w:rPr>
                <w:color w:val="000000" w:themeColor="text1"/>
              </w:rPr>
            </w:pPr>
            <w:r w:rsidRPr="009B05D9">
              <w:rPr>
                <w:color w:val="000000" w:themeColor="text1"/>
              </w:rPr>
              <w:t xml:space="preserve">10** </w:t>
            </w:r>
          </w:p>
        </w:tc>
        <w:tc>
          <w:tcPr>
            <w:tcW w:w="1388" w:type="dxa"/>
          </w:tcPr>
          <w:p w14:paraId="21836B5C" w14:textId="77777777" w:rsidR="004942B6" w:rsidRDefault="004942B6" w:rsidP="002C2525">
            <w:pPr>
              <w:spacing w:line="360" w:lineRule="auto"/>
              <w:jc w:val="both"/>
            </w:pPr>
            <w:r>
              <w:t>10</w:t>
            </w:r>
          </w:p>
        </w:tc>
        <w:tc>
          <w:tcPr>
            <w:tcW w:w="1418" w:type="dxa"/>
          </w:tcPr>
          <w:p w14:paraId="49BA7200" w14:textId="77777777" w:rsidR="004942B6" w:rsidRDefault="004942B6" w:rsidP="002C2525">
            <w:pPr>
              <w:spacing w:line="360" w:lineRule="auto"/>
              <w:jc w:val="both"/>
            </w:pPr>
            <w:r>
              <w:t>0.47**</w:t>
            </w:r>
          </w:p>
        </w:tc>
        <w:tc>
          <w:tcPr>
            <w:tcW w:w="1479" w:type="dxa"/>
          </w:tcPr>
          <w:p w14:paraId="10B45214" w14:textId="77777777" w:rsidR="004942B6" w:rsidRDefault="004942B6" w:rsidP="002C2525">
            <w:pPr>
              <w:spacing w:line="360" w:lineRule="auto"/>
              <w:jc w:val="both"/>
            </w:pPr>
            <w:r>
              <w:t>0.47</w:t>
            </w:r>
          </w:p>
        </w:tc>
      </w:tr>
      <w:tr w:rsidR="004942B6" w14:paraId="2E604DE1" w14:textId="77777777" w:rsidTr="002C2525">
        <w:tc>
          <w:tcPr>
            <w:tcW w:w="986" w:type="dxa"/>
          </w:tcPr>
          <w:p w14:paraId="321F22E9" w14:textId="77777777" w:rsidR="004942B6" w:rsidRDefault="004942B6" w:rsidP="002C2525">
            <w:pPr>
              <w:spacing w:line="360" w:lineRule="auto"/>
              <w:jc w:val="both"/>
            </w:pPr>
            <w:r w:rsidRPr="00FD1D5A">
              <w:t>125</w:t>
            </w:r>
          </w:p>
        </w:tc>
        <w:tc>
          <w:tcPr>
            <w:tcW w:w="1283" w:type="dxa"/>
            <w:vAlign w:val="bottom"/>
          </w:tcPr>
          <w:p w14:paraId="6F8B0D66" w14:textId="77777777" w:rsidR="004942B6" w:rsidRDefault="004942B6" w:rsidP="002C2525">
            <w:pPr>
              <w:spacing w:line="360" w:lineRule="auto"/>
              <w:jc w:val="both"/>
            </w:pPr>
            <w:r>
              <w:rPr>
                <w:rFonts w:ascii="Calibri" w:hAnsi="Calibri" w:cs="Calibri"/>
                <w:color w:val="000000"/>
              </w:rPr>
              <w:t>75</w:t>
            </w:r>
          </w:p>
        </w:tc>
        <w:tc>
          <w:tcPr>
            <w:tcW w:w="1417" w:type="dxa"/>
          </w:tcPr>
          <w:p w14:paraId="448DEA34" w14:textId="77777777" w:rsidR="004942B6" w:rsidRPr="009B05D9" w:rsidRDefault="004942B6" w:rsidP="002C2525">
            <w:pPr>
              <w:spacing w:line="360" w:lineRule="auto"/>
              <w:jc w:val="both"/>
              <w:rPr>
                <w:color w:val="000000" w:themeColor="text1"/>
              </w:rPr>
            </w:pPr>
            <w:r>
              <w:rPr>
                <w:color w:val="000000" w:themeColor="text1"/>
              </w:rPr>
              <w:t>0.71</w:t>
            </w:r>
          </w:p>
        </w:tc>
        <w:tc>
          <w:tcPr>
            <w:tcW w:w="1305" w:type="dxa"/>
          </w:tcPr>
          <w:p w14:paraId="135EB951" w14:textId="77777777" w:rsidR="004942B6" w:rsidRPr="009B05D9" w:rsidRDefault="004942B6" w:rsidP="002C2525">
            <w:pPr>
              <w:spacing w:line="360" w:lineRule="auto"/>
              <w:jc w:val="both"/>
              <w:rPr>
                <w:color w:val="000000" w:themeColor="text1"/>
              </w:rPr>
            </w:pPr>
            <w:r w:rsidRPr="009B05D9">
              <w:rPr>
                <w:color w:val="000000" w:themeColor="text1"/>
              </w:rPr>
              <w:t>55</w:t>
            </w:r>
          </w:p>
        </w:tc>
        <w:tc>
          <w:tcPr>
            <w:tcW w:w="1388" w:type="dxa"/>
          </w:tcPr>
          <w:p w14:paraId="33F80589" w14:textId="77777777" w:rsidR="004942B6" w:rsidRDefault="004942B6" w:rsidP="002C2525">
            <w:pPr>
              <w:spacing w:line="360" w:lineRule="auto"/>
              <w:jc w:val="both"/>
            </w:pPr>
            <w:r>
              <w:t>55</w:t>
            </w:r>
          </w:p>
        </w:tc>
        <w:tc>
          <w:tcPr>
            <w:tcW w:w="1418" w:type="dxa"/>
          </w:tcPr>
          <w:p w14:paraId="4CF91995" w14:textId="77777777" w:rsidR="004942B6" w:rsidRDefault="004942B6" w:rsidP="002C2525">
            <w:pPr>
              <w:spacing w:line="360" w:lineRule="auto"/>
              <w:jc w:val="both"/>
            </w:pPr>
            <w:r>
              <w:t>0.42</w:t>
            </w:r>
          </w:p>
        </w:tc>
        <w:tc>
          <w:tcPr>
            <w:tcW w:w="1479" w:type="dxa"/>
          </w:tcPr>
          <w:p w14:paraId="0B57478B" w14:textId="77777777" w:rsidR="004942B6" w:rsidRDefault="004942B6" w:rsidP="002C2525">
            <w:pPr>
              <w:spacing w:line="360" w:lineRule="auto"/>
              <w:jc w:val="both"/>
            </w:pPr>
            <w:r>
              <w:t>0.42</w:t>
            </w:r>
          </w:p>
        </w:tc>
      </w:tr>
      <w:tr w:rsidR="004942B6" w14:paraId="6587E0A3" w14:textId="77777777" w:rsidTr="002C2525">
        <w:tc>
          <w:tcPr>
            <w:tcW w:w="986" w:type="dxa"/>
          </w:tcPr>
          <w:p w14:paraId="3F9874EC" w14:textId="77777777" w:rsidR="004942B6" w:rsidRDefault="004942B6" w:rsidP="002C2525">
            <w:pPr>
              <w:spacing w:line="360" w:lineRule="auto"/>
              <w:jc w:val="both"/>
            </w:pPr>
            <w:r w:rsidRPr="00FD1D5A">
              <w:t>127</w:t>
            </w:r>
          </w:p>
        </w:tc>
        <w:tc>
          <w:tcPr>
            <w:tcW w:w="1283" w:type="dxa"/>
            <w:vAlign w:val="bottom"/>
          </w:tcPr>
          <w:p w14:paraId="56CA66D0" w14:textId="77777777" w:rsidR="004942B6" w:rsidRDefault="004942B6" w:rsidP="002C2525">
            <w:pPr>
              <w:spacing w:line="360" w:lineRule="auto"/>
              <w:jc w:val="both"/>
            </w:pPr>
            <w:r>
              <w:rPr>
                <w:rFonts w:ascii="Calibri" w:hAnsi="Calibri" w:cs="Calibri"/>
                <w:color w:val="000000"/>
              </w:rPr>
              <w:t>70</w:t>
            </w:r>
          </w:p>
        </w:tc>
        <w:tc>
          <w:tcPr>
            <w:tcW w:w="1417" w:type="dxa"/>
          </w:tcPr>
          <w:p w14:paraId="2DD714AD" w14:textId="77777777" w:rsidR="004942B6" w:rsidRPr="009B05D9" w:rsidRDefault="004942B6" w:rsidP="002C2525">
            <w:pPr>
              <w:spacing w:line="360" w:lineRule="auto"/>
              <w:jc w:val="both"/>
              <w:rPr>
                <w:color w:val="000000" w:themeColor="text1"/>
              </w:rPr>
            </w:pPr>
            <w:r>
              <w:rPr>
                <w:color w:val="000000" w:themeColor="text1"/>
              </w:rPr>
              <w:t>0.82</w:t>
            </w:r>
          </w:p>
        </w:tc>
        <w:tc>
          <w:tcPr>
            <w:tcW w:w="1305" w:type="dxa"/>
          </w:tcPr>
          <w:p w14:paraId="2F4105E5" w14:textId="77777777" w:rsidR="004942B6" w:rsidRPr="009B05D9" w:rsidRDefault="004942B6" w:rsidP="002C2525">
            <w:pPr>
              <w:spacing w:line="360" w:lineRule="auto"/>
              <w:jc w:val="both"/>
              <w:rPr>
                <w:color w:val="000000" w:themeColor="text1"/>
              </w:rPr>
            </w:pPr>
            <w:r w:rsidRPr="009B05D9">
              <w:rPr>
                <w:color w:val="000000" w:themeColor="text1"/>
              </w:rPr>
              <w:t>75</w:t>
            </w:r>
          </w:p>
        </w:tc>
        <w:tc>
          <w:tcPr>
            <w:tcW w:w="1388" w:type="dxa"/>
          </w:tcPr>
          <w:p w14:paraId="6C8BDBE2" w14:textId="77777777" w:rsidR="004942B6" w:rsidRDefault="004942B6" w:rsidP="002C2525">
            <w:pPr>
              <w:spacing w:line="360" w:lineRule="auto"/>
              <w:jc w:val="both"/>
            </w:pPr>
            <w:r>
              <w:t>75</w:t>
            </w:r>
          </w:p>
        </w:tc>
        <w:tc>
          <w:tcPr>
            <w:tcW w:w="1418" w:type="dxa"/>
          </w:tcPr>
          <w:p w14:paraId="4C7F680F" w14:textId="77777777" w:rsidR="004942B6" w:rsidRDefault="004942B6" w:rsidP="002C2525">
            <w:pPr>
              <w:spacing w:line="360" w:lineRule="auto"/>
              <w:jc w:val="both"/>
            </w:pPr>
            <w:r>
              <w:t>0.89</w:t>
            </w:r>
          </w:p>
        </w:tc>
        <w:tc>
          <w:tcPr>
            <w:tcW w:w="1479" w:type="dxa"/>
          </w:tcPr>
          <w:p w14:paraId="4EC7E423" w14:textId="77777777" w:rsidR="004942B6" w:rsidRDefault="004942B6" w:rsidP="002C2525">
            <w:pPr>
              <w:spacing w:line="360" w:lineRule="auto"/>
              <w:jc w:val="both"/>
            </w:pPr>
            <w:r>
              <w:t>0.89</w:t>
            </w:r>
          </w:p>
        </w:tc>
      </w:tr>
      <w:tr w:rsidR="004942B6" w14:paraId="45C99FE0" w14:textId="77777777" w:rsidTr="002C2525">
        <w:tc>
          <w:tcPr>
            <w:tcW w:w="986" w:type="dxa"/>
          </w:tcPr>
          <w:p w14:paraId="28C1C9D3" w14:textId="77777777" w:rsidR="004942B6" w:rsidRPr="00FD1D5A" w:rsidRDefault="004942B6" w:rsidP="002C2525">
            <w:pPr>
              <w:spacing w:line="360" w:lineRule="auto"/>
              <w:jc w:val="both"/>
            </w:pPr>
            <w:r>
              <w:t>159</w:t>
            </w:r>
          </w:p>
        </w:tc>
        <w:tc>
          <w:tcPr>
            <w:tcW w:w="1283" w:type="dxa"/>
            <w:vAlign w:val="bottom"/>
          </w:tcPr>
          <w:p w14:paraId="2D6859C1"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50</w:t>
            </w:r>
          </w:p>
        </w:tc>
        <w:tc>
          <w:tcPr>
            <w:tcW w:w="1417" w:type="dxa"/>
          </w:tcPr>
          <w:p w14:paraId="1747FA23" w14:textId="77777777" w:rsidR="004942B6" w:rsidRPr="009B05D9" w:rsidRDefault="004942B6" w:rsidP="002C2525">
            <w:pPr>
              <w:spacing w:line="360" w:lineRule="auto"/>
              <w:jc w:val="both"/>
              <w:rPr>
                <w:color w:val="000000" w:themeColor="text1"/>
              </w:rPr>
            </w:pPr>
            <w:r>
              <w:rPr>
                <w:color w:val="000000" w:themeColor="text1"/>
              </w:rPr>
              <w:t>0.54</w:t>
            </w:r>
          </w:p>
        </w:tc>
        <w:tc>
          <w:tcPr>
            <w:tcW w:w="1305" w:type="dxa"/>
          </w:tcPr>
          <w:p w14:paraId="3F53CCF5" w14:textId="77777777" w:rsidR="004942B6" w:rsidRPr="009B05D9" w:rsidRDefault="004942B6" w:rsidP="002C2525">
            <w:pPr>
              <w:spacing w:line="360" w:lineRule="auto"/>
              <w:jc w:val="both"/>
              <w:rPr>
                <w:color w:val="000000" w:themeColor="text1"/>
              </w:rPr>
            </w:pPr>
            <w:r w:rsidRPr="009B05D9">
              <w:rPr>
                <w:color w:val="000000" w:themeColor="text1"/>
              </w:rPr>
              <w:t>80</w:t>
            </w:r>
          </w:p>
        </w:tc>
        <w:tc>
          <w:tcPr>
            <w:tcW w:w="1388" w:type="dxa"/>
          </w:tcPr>
          <w:p w14:paraId="0CEAAE58" w14:textId="3217A1C1" w:rsidR="004942B6" w:rsidRPr="00FD1D5A" w:rsidRDefault="004942B6" w:rsidP="002C2525">
            <w:pPr>
              <w:spacing w:line="360" w:lineRule="auto"/>
              <w:jc w:val="both"/>
            </w:pPr>
            <w:r>
              <w:t>8</w:t>
            </w:r>
            <w:r w:rsidR="001141A3">
              <w:t>3</w:t>
            </w:r>
          </w:p>
        </w:tc>
        <w:tc>
          <w:tcPr>
            <w:tcW w:w="1418" w:type="dxa"/>
          </w:tcPr>
          <w:p w14:paraId="222F298E" w14:textId="77777777" w:rsidR="004942B6" w:rsidRDefault="004942B6" w:rsidP="002C2525">
            <w:pPr>
              <w:spacing w:line="360" w:lineRule="auto"/>
              <w:jc w:val="both"/>
            </w:pPr>
            <w:r>
              <w:t>0.92</w:t>
            </w:r>
          </w:p>
        </w:tc>
        <w:tc>
          <w:tcPr>
            <w:tcW w:w="1479" w:type="dxa"/>
          </w:tcPr>
          <w:p w14:paraId="065A0049" w14:textId="0FD8B568" w:rsidR="004942B6" w:rsidRDefault="004942B6" w:rsidP="002C2525">
            <w:pPr>
              <w:spacing w:line="360" w:lineRule="auto"/>
              <w:jc w:val="both"/>
            </w:pPr>
            <w:r>
              <w:t>0.9</w:t>
            </w:r>
            <w:r w:rsidR="001141A3">
              <w:t>5</w:t>
            </w:r>
          </w:p>
        </w:tc>
      </w:tr>
      <w:tr w:rsidR="004942B6" w14:paraId="1CEBB0EB" w14:textId="77777777" w:rsidTr="002C2525">
        <w:tc>
          <w:tcPr>
            <w:tcW w:w="986" w:type="dxa"/>
          </w:tcPr>
          <w:p w14:paraId="6307266B" w14:textId="77777777" w:rsidR="004942B6" w:rsidRPr="00FD1D5A" w:rsidRDefault="004942B6" w:rsidP="002C2525">
            <w:pPr>
              <w:spacing w:line="360" w:lineRule="auto"/>
              <w:jc w:val="both"/>
            </w:pPr>
            <w:r>
              <w:t>174</w:t>
            </w:r>
          </w:p>
        </w:tc>
        <w:tc>
          <w:tcPr>
            <w:tcW w:w="1283" w:type="dxa"/>
            <w:vAlign w:val="bottom"/>
          </w:tcPr>
          <w:p w14:paraId="2459D31B"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70</w:t>
            </w:r>
          </w:p>
        </w:tc>
        <w:tc>
          <w:tcPr>
            <w:tcW w:w="1417" w:type="dxa"/>
          </w:tcPr>
          <w:p w14:paraId="25046C6E" w14:textId="77777777" w:rsidR="004942B6" w:rsidRPr="009B05D9" w:rsidRDefault="004942B6" w:rsidP="002C2525">
            <w:pPr>
              <w:spacing w:line="360" w:lineRule="auto"/>
              <w:jc w:val="both"/>
              <w:rPr>
                <w:color w:val="000000" w:themeColor="text1"/>
              </w:rPr>
            </w:pPr>
            <w:r>
              <w:rPr>
                <w:color w:val="000000" w:themeColor="text1"/>
              </w:rPr>
              <w:t>0.82</w:t>
            </w:r>
          </w:p>
        </w:tc>
        <w:tc>
          <w:tcPr>
            <w:tcW w:w="1305" w:type="dxa"/>
          </w:tcPr>
          <w:p w14:paraId="35C08596" w14:textId="77777777" w:rsidR="004942B6" w:rsidRPr="009B05D9" w:rsidRDefault="004942B6" w:rsidP="002C2525">
            <w:pPr>
              <w:spacing w:line="360" w:lineRule="auto"/>
              <w:jc w:val="both"/>
              <w:rPr>
                <w:color w:val="000000" w:themeColor="text1"/>
              </w:rPr>
            </w:pPr>
            <w:r w:rsidRPr="009B05D9">
              <w:rPr>
                <w:color w:val="000000" w:themeColor="text1"/>
              </w:rPr>
              <w:t>75</w:t>
            </w:r>
          </w:p>
        </w:tc>
        <w:tc>
          <w:tcPr>
            <w:tcW w:w="1388" w:type="dxa"/>
          </w:tcPr>
          <w:p w14:paraId="35D1AC3A" w14:textId="77777777" w:rsidR="004942B6" w:rsidRPr="00FD1D5A" w:rsidRDefault="004942B6" w:rsidP="002C2525">
            <w:pPr>
              <w:spacing w:line="360" w:lineRule="auto"/>
              <w:jc w:val="both"/>
            </w:pPr>
            <w:r>
              <w:t>75</w:t>
            </w:r>
          </w:p>
        </w:tc>
        <w:tc>
          <w:tcPr>
            <w:tcW w:w="1418" w:type="dxa"/>
          </w:tcPr>
          <w:p w14:paraId="47C8F3A7" w14:textId="77777777" w:rsidR="004942B6" w:rsidRDefault="004942B6" w:rsidP="002C2525">
            <w:pPr>
              <w:spacing w:line="360" w:lineRule="auto"/>
              <w:jc w:val="both"/>
            </w:pPr>
            <w:r>
              <w:t>0.88</w:t>
            </w:r>
          </w:p>
        </w:tc>
        <w:tc>
          <w:tcPr>
            <w:tcW w:w="1479" w:type="dxa"/>
          </w:tcPr>
          <w:p w14:paraId="03382B8F" w14:textId="77777777" w:rsidR="004942B6" w:rsidRDefault="004942B6" w:rsidP="002C2525">
            <w:pPr>
              <w:spacing w:line="360" w:lineRule="auto"/>
              <w:jc w:val="both"/>
            </w:pPr>
            <w:r>
              <w:t>0.88</w:t>
            </w:r>
          </w:p>
        </w:tc>
      </w:tr>
      <w:tr w:rsidR="004942B6" w14:paraId="64E13406" w14:textId="77777777" w:rsidTr="002C2525">
        <w:tc>
          <w:tcPr>
            <w:tcW w:w="986" w:type="dxa"/>
          </w:tcPr>
          <w:p w14:paraId="18EEE20C" w14:textId="77777777" w:rsidR="004942B6" w:rsidRDefault="004942B6" w:rsidP="002C2525">
            <w:pPr>
              <w:spacing w:line="360" w:lineRule="auto"/>
              <w:jc w:val="both"/>
            </w:pPr>
            <w:r w:rsidRPr="00FD1D5A">
              <w:t>180</w:t>
            </w:r>
          </w:p>
        </w:tc>
        <w:tc>
          <w:tcPr>
            <w:tcW w:w="1283" w:type="dxa"/>
            <w:vAlign w:val="bottom"/>
          </w:tcPr>
          <w:p w14:paraId="1F629318" w14:textId="77777777" w:rsidR="004942B6" w:rsidRDefault="004942B6" w:rsidP="002C2525">
            <w:pPr>
              <w:spacing w:line="360" w:lineRule="auto"/>
              <w:jc w:val="both"/>
            </w:pPr>
            <w:r>
              <w:rPr>
                <w:rFonts w:ascii="Calibri" w:hAnsi="Calibri" w:cs="Calibri"/>
                <w:color w:val="000000"/>
              </w:rPr>
              <w:t>60</w:t>
            </w:r>
          </w:p>
        </w:tc>
        <w:tc>
          <w:tcPr>
            <w:tcW w:w="1417" w:type="dxa"/>
          </w:tcPr>
          <w:p w14:paraId="23B1C40E" w14:textId="77777777" w:rsidR="004942B6" w:rsidRPr="009B05D9" w:rsidRDefault="004942B6" w:rsidP="002C2525">
            <w:pPr>
              <w:spacing w:line="360" w:lineRule="auto"/>
              <w:jc w:val="both"/>
              <w:rPr>
                <w:color w:val="000000" w:themeColor="text1"/>
              </w:rPr>
            </w:pPr>
            <w:r>
              <w:rPr>
                <w:color w:val="000000" w:themeColor="text1"/>
              </w:rPr>
              <w:t>0.72</w:t>
            </w:r>
          </w:p>
        </w:tc>
        <w:tc>
          <w:tcPr>
            <w:tcW w:w="1305" w:type="dxa"/>
          </w:tcPr>
          <w:p w14:paraId="75BB19BC" w14:textId="77777777" w:rsidR="004942B6" w:rsidRPr="009B05D9" w:rsidRDefault="004942B6" w:rsidP="002C2525">
            <w:pPr>
              <w:spacing w:line="360" w:lineRule="auto"/>
              <w:jc w:val="both"/>
              <w:rPr>
                <w:color w:val="000000" w:themeColor="text1"/>
              </w:rPr>
            </w:pPr>
            <w:r w:rsidRPr="009B05D9">
              <w:rPr>
                <w:color w:val="000000" w:themeColor="text1"/>
              </w:rPr>
              <w:t>90</w:t>
            </w:r>
          </w:p>
        </w:tc>
        <w:tc>
          <w:tcPr>
            <w:tcW w:w="1388" w:type="dxa"/>
          </w:tcPr>
          <w:p w14:paraId="25D73A88" w14:textId="08357A3D" w:rsidR="004942B6" w:rsidRDefault="004942B6" w:rsidP="002C2525">
            <w:pPr>
              <w:spacing w:line="360" w:lineRule="auto"/>
              <w:jc w:val="both"/>
            </w:pPr>
            <w:r>
              <w:t>9</w:t>
            </w:r>
            <w:r w:rsidR="00BD5285">
              <w:t>3</w:t>
            </w:r>
          </w:p>
        </w:tc>
        <w:tc>
          <w:tcPr>
            <w:tcW w:w="1418" w:type="dxa"/>
          </w:tcPr>
          <w:p w14:paraId="4CED4959" w14:textId="77777777" w:rsidR="004942B6" w:rsidRDefault="004942B6" w:rsidP="002C2525">
            <w:pPr>
              <w:spacing w:line="360" w:lineRule="auto"/>
              <w:jc w:val="both"/>
            </w:pPr>
            <w:r>
              <w:t>0.84</w:t>
            </w:r>
          </w:p>
        </w:tc>
        <w:tc>
          <w:tcPr>
            <w:tcW w:w="1479" w:type="dxa"/>
          </w:tcPr>
          <w:p w14:paraId="4623C249" w14:textId="61D597DB" w:rsidR="004942B6" w:rsidRDefault="004942B6" w:rsidP="002C2525">
            <w:pPr>
              <w:spacing w:line="360" w:lineRule="auto"/>
              <w:jc w:val="both"/>
            </w:pPr>
            <w:r>
              <w:t>0.</w:t>
            </w:r>
            <w:r w:rsidR="00BD5285">
              <w:t>90</w:t>
            </w:r>
          </w:p>
        </w:tc>
      </w:tr>
      <w:tr w:rsidR="004942B6" w14:paraId="1A44B25C" w14:textId="77777777" w:rsidTr="002C2525">
        <w:tc>
          <w:tcPr>
            <w:tcW w:w="986" w:type="dxa"/>
          </w:tcPr>
          <w:p w14:paraId="2E95AB4A" w14:textId="77777777" w:rsidR="004942B6" w:rsidRDefault="004942B6" w:rsidP="002C2525">
            <w:pPr>
              <w:spacing w:line="360" w:lineRule="auto"/>
              <w:jc w:val="both"/>
            </w:pPr>
            <w:r w:rsidRPr="00FD1D5A">
              <w:t>181</w:t>
            </w:r>
          </w:p>
        </w:tc>
        <w:tc>
          <w:tcPr>
            <w:tcW w:w="1283" w:type="dxa"/>
            <w:vAlign w:val="bottom"/>
          </w:tcPr>
          <w:p w14:paraId="3ED8F8F2" w14:textId="77777777" w:rsidR="004942B6" w:rsidRDefault="004942B6" w:rsidP="002C2525">
            <w:pPr>
              <w:spacing w:line="360" w:lineRule="auto"/>
              <w:jc w:val="both"/>
            </w:pPr>
            <w:r>
              <w:rPr>
                <w:rFonts w:ascii="Calibri" w:hAnsi="Calibri" w:cs="Calibri"/>
                <w:color w:val="000000"/>
              </w:rPr>
              <w:t>70</w:t>
            </w:r>
          </w:p>
        </w:tc>
        <w:tc>
          <w:tcPr>
            <w:tcW w:w="1417" w:type="dxa"/>
          </w:tcPr>
          <w:p w14:paraId="24D32532" w14:textId="77777777" w:rsidR="004942B6" w:rsidRPr="009B05D9" w:rsidRDefault="004942B6" w:rsidP="002C2525">
            <w:pPr>
              <w:spacing w:line="360" w:lineRule="auto"/>
              <w:jc w:val="both"/>
              <w:rPr>
                <w:color w:val="000000" w:themeColor="text1"/>
              </w:rPr>
            </w:pPr>
            <w:r>
              <w:rPr>
                <w:color w:val="000000" w:themeColor="text1"/>
              </w:rPr>
              <w:t>0.76</w:t>
            </w:r>
          </w:p>
        </w:tc>
        <w:tc>
          <w:tcPr>
            <w:tcW w:w="1305" w:type="dxa"/>
          </w:tcPr>
          <w:p w14:paraId="5346BB5E" w14:textId="77777777" w:rsidR="004942B6" w:rsidRPr="009B05D9" w:rsidRDefault="004942B6" w:rsidP="002C2525">
            <w:pPr>
              <w:spacing w:line="360" w:lineRule="auto"/>
              <w:jc w:val="both"/>
              <w:rPr>
                <w:color w:val="000000" w:themeColor="text1"/>
              </w:rPr>
            </w:pPr>
            <w:r w:rsidRPr="009B05D9">
              <w:rPr>
                <w:color w:val="000000" w:themeColor="text1"/>
              </w:rPr>
              <w:t xml:space="preserve">50** </w:t>
            </w:r>
          </w:p>
        </w:tc>
        <w:tc>
          <w:tcPr>
            <w:tcW w:w="1388" w:type="dxa"/>
          </w:tcPr>
          <w:p w14:paraId="5B8ED492" w14:textId="77777777" w:rsidR="004942B6" w:rsidRDefault="004942B6" w:rsidP="002C2525">
            <w:pPr>
              <w:spacing w:line="360" w:lineRule="auto"/>
              <w:jc w:val="both"/>
            </w:pPr>
            <w:r>
              <w:t>50</w:t>
            </w:r>
          </w:p>
        </w:tc>
        <w:tc>
          <w:tcPr>
            <w:tcW w:w="1418" w:type="dxa"/>
          </w:tcPr>
          <w:p w14:paraId="117DD390" w14:textId="77777777" w:rsidR="004942B6" w:rsidRDefault="004942B6" w:rsidP="002C2525">
            <w:pPr>
              <w:spacing w:line="360" w:lineRule="auto"/>
              <w:jc w:val="both"/>
            </w:pPr>
            <w:r>
              <w:t>0.49**</w:t>
            </w:r>
          </w:p>
        </w:tc>
        <w:tc>
          <w:tcPr>
            <w:tcW w:w="1479" w:type="dxa"/>
          </w:tcPr>
          <w:p w14:paraId="2329EBB8" w14:textId="77777777" w:rsidR="004942B6" w:rsidRDefault="004942B6" w:rsidP="002C2525">
            <w:pPr>
              <w:spacing w:line="360" w:lineRule="auto"/>
              <w:jc w:val="both"/>
            </w:pPr>
            <w:r>
              <w:t>0.49</w:t>
            </w:r>
          </w:p>
        </w:tc>
      </w:tr>
      <w:tr w:rsidR="004942B6" w14:paraId="555CFDB0" w14:textId="77777777" w:rsidTr="002C2525">
        <w:tc>
          <w:tcPr>
            <w:tcW w:w="986" w:type="dxa"/>
          </w:tcPr>
          <w:p w14:paraId="587B35F5" w14:textId="77777777" w:rsidR="004942B6" w:rsidRPr="00FD1D5A" w:rsidRDefault="004942B6" w:rsidP="002C2525">
            <w:pPr>
              <w:spacing w:line="360" w:lineRule="auto"/>
              <w:jc w:val="both"/>
            </w:pPr>
            <w:r>
              <w:lastRenderedPageBreak/>
              <w:t>189</w:t>
            </w:r>
          </w:p>
        </w:tc>
        <w:tc>
          <w:tcPr>
            <w:tcW w:w="1283" w:type="dxa"/>
            <w:vAlign w:val="bottom"/>
          </w:tcPr>
          <w:p w14:paraId="09D1DD3C"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50</w:t>
            </w:r>
          </w:p>
        </w:tc>
        <w:tc>
          <w:tcPr>
            <w:tcW w:w="1417" w:type="dxa"/>
          </w:tcPr>
          <w:p w14:paraId="5321097B" w14:textId="77777777" w:rsidR="004942B6" w:rsidRPr="009B05D9" w:rsidRDefault="004942B6" w:rsidP="002C2525">
            <w:pPr>
              <w:spacing w:line="360" w:lineRule="auto"/>
              <w:jc w:val="both"/>
              <w:rPr>
                <w:color w:val="000000" w:themeColor="text1"/>
              </w:rPr>
            </w:pPr>
            <w:r>
              <w:rPr>
                <w:color w:val="000000" w:themeColor="text1"/>
              </w:rPr>
              <w:t>0.62</w:t>
            </w:r>
          </w:p>
        </w:tc>
        <w:tc>
          <w:tcPr>
            <w:tcW w:w="1305" w:type="dxa"/>
          </w:tcPr>
          <w:p w14:paraId="3575A6D9" w14:textId="77777777" w:rsidR="004942B6" w:rsidRPr="009B05D9" w:rsidRDefault="004942B6" w:rsidP="002C2525">
            <w:pPr>
              <w:spacing w:line="360" w:lineRule="auto"/>
              <w:jc w:val="both"/>
              <w:rPr>
                <w:color w:val="000000" w:themeColor="text1"/>
              </w:rPr>
            </w:pPr>
            <w:r w:rsidRPr="009B05D9">
              <w:rPr>
                <w:color w:val="000000" w:themeColor="text1"/>
              </w:rPr>
              <w:t xml:space="preserve">15** </w:t>
            </w:r>
          </w:p>
        </w:tc>
        <w:tc>
          <w:tcPr>
            <w:tcW w:w="1388" w:type="dxa"/>
          </w:tcPr>
          <w:p w14:paraId="7D8EB3A3" w14:textId="77777777" w:rsidR="004942B6" w:rsidRDefault="004942B6" w:rsidP="002C2525">
            <w:pPr>
              <w:spacing w:line="360" w:lineRule="auto"/>
              <w:jc w:val="both"/>
            </w:pPr>
            <w:r>
              <w:t>15</w:t>
            </w:r>
          </w:p>
        </w:tc>
        <w:tc>
          <w:tcPr>
            <w:tcW w:w="1418" w:type="dxa"/>
          </w:tcPr>
          <w:p w14:paraId="668E6820" w14:textId="77777777" w:rsidR="004942B6" w:rsidRDefault="004942B6" w:rsidP="002C2525">
            <w:pPr>
              <w:spacing w:line="360" w:lineRule="auto"/>
              <w:jc w:val="both"/>
            </w:pPr>
            <w:r>
              <w:t>0.40**</w:t>
            </w:r>
          </w:p>
        </w:tc>
        <w:tc>
          <w:tcPr>
            <w:tcW w:w="1479" w:type="dxa"/>
          </w:tcPr>
          <w:p w14:paraId="003D93D5" w14:textId="77777777" w:rsidR="004942B6" w:rsidRDefault="004942B6" w:rsidP="002C2525">
            <w:pPr>
              <w:spacing w:line="360" w:lineRule="auto"/>
              <w:jc w:val="both"/>
            </w:pPr>
            <w:r>
              <w:t>0.40</w:t>
            </w:r>
          </w:p>
        </w:tc>
      </w:tr>
      <w:tr w:rsidR="004942B6" w14:paraId="18A180DA" w14:textId="77777777" w:rsidTr="002C2525">
        <w:tc>
          <w:tcPr>
            <w:tcW w:w="986" w:type="dxa"/>
          </w:tcPr>
          <w:p w14:paraId="6B7D2253" w14:textId="77777777" w:rsidR="004942B6" w:rsidRDefault="004942B6" w:rsidP="002C2525">
            <w:pPr>
              <w:spacing w:line="360" w:lineRule="auto"/>
              <w:jc w:val="both"/>
            </w:pPr>
            <w:r w:rsidRPr="00FD1D5A">
              <w:t>192</w:t>
            </w:r>
          </w:p>
        </w:tc>
        <w:tc>
          <w:tcPr>
            <w:tcW w:w="1283" w:type="dxa"/>
            <w:vAlign w:val="bottom"/>
          </w:tcPr>
          <w:p w14:paraId="3A9ACD21" w14:textId="77777777" w:rsidR="004942B6" w:rsidRDefault="004942B6" w:rsidP="002C2525">
            <w:pPr>
              <w:spacing w:line="360" w:lineRule="auto"/>
              <w:jc w:val="both"/>
            </w:pPr>
            <w:r>
              <w:rPr>
                <w:rFonts w:ascii="Calibri" w:hAnsi="Calibri" w:cs="Calibri"/>
                <w:color w:val="000000"/>
              </w:rPr>
              <w:t>70</w:t>
            </w:r>
          </w:p>
        </w:tc>
        <w:tc>
          <w:tcPr>
            <w:tcW w:w="1417" w:type="dxa"/>
          </w:tcPr>
          <w:p w14:paraId="5FBC31F2" w14:textId="77777777" w:rsidR="004942B6" w:rsidRPr="009B05D9" w:rsidRDefault="004942B6" w:rsidP="002C2525">
            <w:pPr>
              <w:spacing w:line="360" w:lineRule="auto"/>
              <w:jc w:val="both"/>
              <w:rPr>
                <w:color w:val="000000" w:themeColor="text1"/>
              </w:rPr>
            </w:pPr>
            <w:r>
              <w:rPr>
                <w:color w:val="000000" w:themeColor="text1"/>
              </w:rPr>
              <w:t>0.71</w:t>
            </w:r>
          </w:p>
        </w:tc>
        <w:tc>
          <w:tcPr>
            <w:tcW w:w="1305" w:type="dxa"/>
          </w:tcPr>
          <w:p w14:paraId="51D4EB47" w14:textId="77777777" w:rsidR="004942B6" w:rsidRPr="009B05D9" w:rsidRDefault="004942B6" w:rsidP="002C2525">
            <w:pPr>
              <w:spacing w:line="360" w:lineRule="auto"/>
              <w:jc w:val="both"/>
              <w:rPr>
                <w:color w:val="000000" w:themeColor="text1"/>
              </w:rPr>
            </w:pPr>
            <w:r w:rsidRPr="009B05D9">
              <w:rPr>
                <w:color w:val="000000" w:themeColor="text1"/>
              </w:rPr>
              <w:t>75</w:t>
            </w:r>
          </w:p>
        </w:tc>
        <w:tc>
          <w:tcPr>
            <w:tcW w:w="1388" w:type="dxa"/>
          </w:tcPr>
          <w:p w14:paraId="7052DEE1" w14:textId="6FE43EF4" w:rsidR="004942B6" w:rsidRDefault="004942B6" w:rsidP="002C2525">
            <w:pPr>
              <w:spacing w:line="360" w:lineRule="auto"/>
              <w:jc w:val="both"/>
            </w:pPr>
            <w:r>
              <w:t>7</w:t>
            </w:r>
            <w:r w:rsidR="00BD5285">
              <w:t>8</w:t>
            </w:r>
          </w:p>
        </w:tc>
        <w:tc>
          <w:tcPr>
            <w:tcW w:w="1418" w:type="dxa"/>
          </w:tcPr>
          <w:p w14:paraId="363D40A5" w14:textId="77777777" w:rsidR="004942B6" w:rsidRDefault="004942B6" w:rsidP="002C2525">
            <w:pPr>
              <w:spacing w:line="360" w:lineRule="auto"/>
              <w:jc w:val="both"/>
            </w:pPr>
            <w:r>
              <w:t>0.72</w:t>
            </w:r>
          </w:p>
        </w:tc>
        <w:tc>
          <w:tcPr>
            <w:tcW w:w="1479" w:type="dxa"/>
          </w:tcPr>
          <w:p w14:paraId="66E5CAC9" w14:textId="5A68B45D" w:rsidR="004942B6" w:rsidRDefault="004942B6" w:rsidP="002C2525">
            <w:pPr>
              <w:spacing w:line="360" w:lineRule="auto"/>
              <w:jc w:val="both"/>
            </w:pPr>
            <w:r>
              <w:t>0.</w:t>
            </w:r>
            <w:r w:rsidR="00BD5285">
              <w:t>74</w:t>
            </w:r>
          </w:p>
        </w:tc>
      </w:tr>
      <w:tr w:rsidR="004942B6" w14:paraId="0AA5A45C" w14:textId="77777777" w:rsidTr="002C2525">
        <w:tc>
          <w:tcPr>
            <w:tcW w:w="986" w:type="dxa"/>
          </w:tcPr>
          <w:p w14:paraId="06D8DA08" w14:textId="77777777" w:rsidR="004942B6" w:rsidRPr="00FD1D5A" w:rsidRDefault="004942B6" w:rsidP="002C2525">
            <w:pPr>
              <w:spacing w:line="360" w:lineRule="auto"/>
              <w:jc w:val="both"/>
            </w:pPr>
            <w:r>
              <w:t>195</w:t>
            </w:r>
          </w:p>
        </w:tc>
        <w:tc>
          <w:tcPr>
            <w:tcW w:w="1283" w:type="dxa"/>
            <w:vAlign w:val="bottom"/>
          </w:tcPr>
          <w:p w14:paraId="4831062D"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70</w:t>
            </w:r>
          </w:p>
        </w:tc>
        <w:tc>
          <w:tcPr>
            <w:tcW w:w="1417" w:type="dxa"/>
          </w:tcPr>
          <w:p w14:paraId="1BC6B8B4" w14:textId="77777777" w:rsidR="004942B6" w:rsidRPr="009B05D9" w:rsidRDefault="004942B6" w:rsidP="002C2525">
            <w:pPr>
              <w:spacing w:line="360" w:lineRule="auto"/>
              <w:jc w:val="both"/>
              <w:rPr>
                <w:color w:val="000000" w:themeColor="text1"/>
              </w:rPr>
            </w:pPr>
            <w:r>
              <w:rPr>
                <w:color w:val="000000" w:themeColor="text1"/>
              </w:rPr>
              <w:t>0.82</w:t>
            </w:r>
          </w:p>
        </w:tc>
        <w:tc>
          <w:tcPr>
            <w:tcW w:w="1305" w:type="dxa"/>
          </w:tcPr>
          <w:p w14:paraId="31A88864" w14:textId="77777777" w:rsidR="004942B6" w:rsidRPr="009B05D9" w:rsidRDefault="004942B6" w:rsidP="002C2525">
            <w:pPr>
              <w:spacing w:line="360" w:lineRule="auto"/>
              <w:jc w:val="both"/>
              <w:rPr>
                <w:color w:val="000000" w:themeColor="text1"/>
              </w:rPr>
            </w:pPr>
            <w:r w:rsidRPr="009B05D9">
              <w:rPr>
                <w:color w:val="000000" w:themeColor="text1"/>
              </w:rPr>
              <w:t>60**</w:t>
            </w:r>
          </w:p>
        </w:tc>
        <w:tc>
          <w:tcPr>
            <w:tcW w:w="1388" w:type="dxa"/>
          </w:tcPr>
          <w:p w14:paraId="2985243E" w14:textId="77777777" w:rsidR="004942B6" w:rsidRDefault="004942B6" w:rsidP="002C2525">
            <w:pPr>
              <w:spacing w:line="360" w:lineRule="auto"/>
              <w:jc w:val="both"/>
            </w:pPr>
            <w:r>
              <w:t>60</w:t>
            </w:r>
          </w:p>
        </w:tc>
        <w:tc>
          <w:tcPr>
            <w:tcW w:w="1418" w:type="dxa"/>
          </w:tcPr>
          <w:p w14:paraId="73CC3609" w14:textId="77777777" w:rsidR="004942B6" w:rsidRDefault="004942B6" w:rsidP="002C2525">
            <w:pPr>
              <w:spacing w:line="360" w:lineRule="auto"/>
              <w:jc w:val="both"/>
            </w:pPr>
            <w:r>
              <w:t>0.81**</w:t>
            </w:r>
          </w:p>
        </w:tc>
        <w:tc>
          <w:tcPr>
            <w:tcW w:w="1479" w:type="dxa"/>
          </w:tcPr>
          <w:p w14:paraId="7C41FD76" w14:textId="77777777" w:rsidR="004942B6" w:rsidRDefault="004942B6" w:rsidP="002C2525">
            <w:pPr>
              <w:spacing w:line="360" w:lineRule="auto"/>
              <w:jc w:val="both"/>
            </w:pPr>
            <w:r>
              <w:t>0.81</w:t>
            </w:r>
          </w:p>
        </w:tc>
      </w:tr>
      <w:tr w:rsidR="004942B6" w14:paraId="3999E567" w14:textId="77777777" w:rsidTr="002C2525">
        <w:tc>
          <w:tcPr>
            <w:tcW w:w="986" w:type="dxa"/>
          </w:tcPr>
          <w:p w14:paraId="0F9F2714" w14:textId="77777777" w:rsidR="004942B6" w:rsidRDefault="004942B6" w:rsidP="002C2525">
            <w:pPr>
              <w:spacing w:line="360" w:lineRule="auto"/>
              <w:jc w:val="both"/>
            </w:pPr>
            <w:r w:rsidRPr="00FD1D5A">
              <w:t>209</w:t>
            </w:r>
          </w:p>
        </w:tc>
        <w:tc>
          <w:tcPr>
            <w:tcW w:w="1283" w:type="dxa"/>
            <w:vAlign w:val="bottom"/>
          </w:tcPr>
          <w:p w14:paraId="67AAF2F2" w14:textId="77777777" w:rsidR="004942B6" w:rsidRDefault="004942B6" w:rsidP="002C2525">
            <w:pPr>
              <w:spacing w:line="360" w:lineRule="auto"/>
              <w:jc w:val="both"/>
            </w:pPr>
            <w:r>
              <w:rPr>
                <w:rFonts w:ascii="Calibri" w:hAnsi="Calibri" w:cs="Calibri"/>
                <w:color w:val="000000"/>
              </w:rPr>
              <w:t>60</w:t>
            </w:r>
          </w:p>
        </w:tc>
        <w:tc>
          <w:tcPr>
            <w:tcW w:w="1417" w:type="dxa"/>
          </w:tcPr>
          <w:p w14:paraId="24370F19" w14:textId="77777777" w:rsidR="004942B6" w:rsidRPr="009B05D9" w:rsidRDefault="004942B6" w:rsidP="002C2525">
            <w:pPr>
              <w:spacing w:line="360" w:lineRule="auto"/>
              <w:jc w:val="both"/>
              <w:rPr>
                <w:color w:val="000000" w:themeColor="text1"/>
              </w:rPr>
            </w:pPr>
            <w:r>
              <w:rPr>
                <w:color w:val="000000" w:themeColor="text1"/>
              </w:rPr>
              <w:t>0.71</w:t>
            </w:r>
          </w:p>
        </w:tc>
        <w:tc>
          <w:tcPr>
            <w:tcW w:w="1305" w:type="dxa"/>
          </w:tcPr>
          <w:p w14:paraId="6F4AFC1C" w14:textId="77777777" w:rsidR="004942B6" w:rsidRPr="009B05D9" w:rsidRDefault="004942B6" w:rsidP="002C2525">
            <w:pPr>
              <w:spacing w:line="360" w:lineRule="auto"/>
              <w:jc w:val="both"/>
              <w:rPr>
                <w:color w:val="000000" w:themeColor="text1"/>
              </w:rPr>
            </w:pPr>
            <w:r w:rsidRPr="009B05D9">
              <w:rPr>
                <w:color w:val="000000" w:themeColor="text1"/>
              </w:rPr>
              <w:t>85</w:t>
            </w:r>
          </w:p>
        </w:tc>
        <w:tc>
          <w:tcPr>
            <w:tcW w:w="1388" w:type="dxa"/>
          </w:tcPr>
          <w:p w14:paraId="2AB6A9B2" w14:textId="039910A7" w:rsidR="004942B6" w:rsidRDefault="004942B6" w:rsidP="002C2525">
            <w:pPr>
              <w:spacing w:line="360" w:lineRule="auto"/>
              <w:jc w:val="both"/>
            </w:pPr>
            <w:r>
              <w:t>8</w:t>
            </w:r>
            <w:r w:rsidR="00BD5285">
              <w:t>8</w:t>
            </w:r>
          </w:p>
        </w:tc>
        <w:tc>
          <w:tcPr>
            <w:tcW w:w="1418" w:type="dxa"/>
          </w:tcPr>
          <w:p w14:paraId="3C98DE51" w14:textId="77777777" w:rsidR="004942B6" w:rsidRDefault="004942B6" w:rsidP="002C2525">
            <w:pPr>
              <w:spacing w:line="360" w:lineRule="auto"/>
              <w:jc w:val="both"/>
            </w:pPr>
            <w:r>
              <w:t>0.94</w:t>
            </w:r>
          </w:p>
        </w:tc>
        <w:tc>
          <w:tcPr>
            <w:tcW w:w="1479" w:type="dxa"/>
          </w:tcPr>
          <w:p w14:paraId="4F959C4C" w14:textId="52DC9C15" w:rsidR="004942B6" w:rsidRDefault="004942B6" w:rsidP="002C2525">
            <w:pPr>
              <w:spacing w:line="360" w:lineRule="auto"/>
              <w:jc w:val="both"/>
            </w:pPr>
            <w:r>
              <w:t>0.9</w:t>
            </w:r>
            <w:r w:rsidR="00BD5285">
              <w:t>7</w:t>
            </w:r>
          </w:p>
        </w:tc>
      </w:tr>
      <w:tr w:rsidR="004942B6" w14:paraId="773224AA" w14:textId="77777777" w:rsidTr="002C2525">
        <w:tc>
          <w:tcPr>
            <w:tcW w:w="986" w:type="dxa"/>
          </w:tcPr>
          <w:p w14:paraId="6002796E" w14:textId="77777777" w:rsidR="004942B6" w:rsidRPr="00FD1D5A" w:rsidRDefault="004942B6" w:rsidP="002C2525">
            <w:pPr>
              <w:spacing w:line="360" w:lineRule="auto"/>
              <w:jc w:val="both"/>
            </w:pPr>
            <w:r>
              <w:t>211</w:t>
            </w:r>
          </w:p>
        </w:tc>
        <w:tc>
          <w:tcPr>
            <w:tcW w:w="1283" w:type="dxa"/>
            <w:vAlign w:val="bottom"/>
          </w:tcPr>
          <w:p w14:paraId="59F96912"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60</w:t>
            </w:r>
          </w:p>
        </w:tc>
        <w:tc>
          <w:tcPr>
            <w:tcW w:w="1417" w:type="dxa"/>
          </w:tcPr>
          <w:p w14:paraId="5040B7E5" w14:textId="77777777" w:rsidR="004942B6" w:rsidRPr="009B05D9" w:rsidRDefault="004942B6" w:rsidP="002C2525">
            <w:pPr>
              <w:spacing w:line="360" w:lineRule="auto"/>
              <w:jc w:val="both"/>
              <w:rPr>
                <w:color w:val="000000" w:themeColor="text1"/>
              </w:rPr>
            </w:pPr>
            <w:r>
              <w:rPr>
                <w:color w:val="000000" w:themeColor="text1"/>
              </w:rPr>
              <w:t>0.72</w:t>
            </w:r>
          </w:p>
        </w:tc>
        <w:tc>
          <w:tcPr>
            <w:tcW w:w="1305" w:type="dxa"/>
          </w:tcPr>
          <w:p w14:paraId="5DDBBCA8" w14:textId="77777777" w:rsidR="004942B6" w:rsidRPr="009B05D9" w:rsidRDefault="004942B6" w:rsidP="002C2525">
            <w:pPr>
              <w:spacing w:line="360" w:lineRule="auto"/>
              <w:jc w:val="both"/>
              <w:rPr>
                <w:color w:val="000000" w:themeColor="text1"/>
              </w:rPr>
            </w:pPr>
            <w:r w:rsidRPr="009B05D9">
              <w:rPr>
                <w:color w:val="000000" w:themeColor="text1"/>
              </w:rPr>
              <w:t>85</w:t>
            </w:r>
          </w:p>
        </w:tc>
        <w:tc>
          <w:tcPr>
            <w:tcW w:w="1388" w:type="dxa"/>
          </w:tcPr>
          <w:p w14:paraId="51E16B85" w14:textId="77777777" w:rsidR="004942B6" w:rsidRDefault="004942B6" w:rsidP="002C2525">
            <w:pPr>
              <w:spacing w:line="360" w:lineRule="auto"/>
              <w:jc w:val="both"/>
            </w:pPr>
            <w:r>
              <w:t>85</w:t>
            </w:r>
          </w:p>
        </w:tc>
        <w:tc>
          <w:tcPr>
            <w:tcW w:w="1418" w:type="dxa"/>
          </w:tcPr>
          <w:p w14:paraId="4FE6BC22" w14:textId="77777777" w:rsidR="004942B6" w:rsidRDefault="004942B6" w:rsidP="002C2525">
            <w:pPr>
              <w:spacing w:line="360" w:lineRule="auto"/>
              <w:jc w:val="both"/>
            </w:pPr>
            <w:r>
              <w:t>0.88</w:t>
            </w:r>
          </w:p>
        </w:tc>
        <w:tc>
          <w:tcPr>
            <w:tcW w:w="1479" w:type="dxa"/>
          </w:tcPr>
          <w:p w14:paraId="61CC56FD" w14:textId="77777777" w:rsidR="004942B6" w:rsidRDefault="004942B6" w:rsidP="002C2525">
            <w:pPr>
              <w:spacing w:line="360" w:lineRule="auto"/>
              <w:jc w:val="both"/>
            </w:pPr>
            <w:r>
              <w:t>0.88</w:t>
            </w:r>
          </w:p>
        </w:tc>
      </w:tr>
      <w:tr w:rsidR="004942B6" w14:paraId="4AD22BF6" w14:textId="77777777" w:rsidTr="002C2525">
        <w:tc>
          <w:tcPr>
            <w:tcW w:w="986" w:type="dxa"/>
          </w:tcPr>
          <w:p w14:paraId="59B57828" w14:textId="77777777" w:rsidR="004942B6" w:rsidRDefault="004942B6" w:rsidP="002C2525">
            <w:pPr>
              <w:spacing w:line="360" w:lineRule="auto"/>
              <w:jc w:val="both"/>
            </w:pPr>
            <w:r w:rsidRPr="00FD1D5A">
              <w:t>214</w:t>
            </w:r>
          </w:p>
        </w:tc>
        <w:tc>
          <w:tcPr>
            <w:tcW w:w="1283" w:type="dxa"/>
            <w:vAlign w:val="bottom"/>
          </w:tcPr>
          <w:p w14:paraId="21CF6DAD" w14:textId="77777777" w:rsidR="004942B6" w:rsidRDefault="004942B6" w:rsidP="002C2525">
            <w:pPr>
              <w:spacing w:line="360" w:lineRule="auto"/>
              <w:jc w:val="both"/>
            </w:pPr>
            <w:r>
              <w:rPr>
                <w:rFonts w:ascii="Calibri" w:hAnsi="Calibri" w:cs="Calibri"/>
                <w:color w:val="000000"/>
              </w:rPr>
              <w:t>50</w:t>
            </w:r>
          </w:p>
        </w:tc>
        <w:tc>
          <w:tcPr>
            <w:tcW w:w="1417" w:type="dxa"/>
          </w:tcPr>
          <w:p w14:paraId="2DAF42D7" w14:textId="77777777" w:rsidR="004942B6" w:rsidRPr="009B05D9" w:rsidRDefault="004942B6" w:rsidP="002C2525">
            <w:pPr>
              <w:spacing w:line="360" w:lineRule="auto"/>
              <w:jc w:val="both"/>
              <w:rPr>
                <w:color w:val="000000" w:themeColor="text1"/>
              </w:rPr>
            </w:pPr>
            <w:r>
              <w:rPr>
                <w:color w:val="000000" w:themeColor="text1"/>
              </w:rPr>
              <w:t>0.76</w:t>
            </w:r>
          </w:p>
        </w:tc>
        <w:tc>
          <w:tcPr>
            <w:tcW w:w="1305" w:type="dxa"/>
          </w:tcPr>
          <w:p w14:paraId="37A40667" w14:textId="77777777" w:rsidR="004942B6" w:rsidRPr="009B05D9" w:rsidRDefault="004942B6" w:rsidP="002C2525">
            <w:pPr>
              <w:spacing w:line="360" w:lineRule="auto"/>
              <w:jc w:val="both"/>
              <w:rPr>
                <w:color w:val="000000" w:themeColor="text1"/>
              </w:rPr>
            </w:pPr>
            <w:r w:rsidRPr="009B05D9">
              <w:rPr>
                <w:color w:val="000000" w:themeColor="text1"/>
              </w:rPr>
              <w:t>75</w:t>
            </w:r>
          </w:p>
        </w:tc>
        <w:tc>
          <w:tcPr>
            <w:tcW w:w="1388" w:type="dxa"/>
          </w:tcPr>
          <w:p w14:paraId="2A965E28" w14:textId="77777777" w:rsidR="004942B6" w:rsidRDefault="004942B6" w:rsidP="002C2525">
            <w:pPr>
              <w:spacing w:line="360" w:lineRule="auto"/>
              <w:jc w:val="both"/>
            </w:pPr>
            <w:r>
              <w:t>75</w:t>
            </w:r>
          </w:p>
        </w:tc>
        <w:tc>
          <w:tcPr>
            <w:tcW w:w="1418" w:type="dxa"/>
          </w:tcPr>
          <w:p w14:paraId="65A6FBF8" w14:textId="77777777" w:rsidR="004942B6" w:rsidRDefault="004942B6" w:rsidP="002C2525">
            <w:pPr>
              <w:spacing w:line="360" w:lineRule="auto"/>
              <w:jc w:val="both"/>
            </w:pPr>
            <w:r>
              <w:t>0.94</w:t>
            </w:r>
          </w:p>
        </w:tc>
        <w:tc>
          <w:tcPr>
            <w:tcW w:w="1479" w:type="dxa"/>
          </w:tcPr>
          <w:p w14:paraId="521D5852" w14:textId="77777777" w:rsidR="004942B6" w:rsidRDefault="004942B6" w:rsidP="002C2525">
            <w:pPr>
              <w:spacing w:line="360" w:lineRule="auto"/>
              <w:jc w:val="both"/>
            </w:pPr>
            <w:r>
              <w:t>0.94</w:t>
            </w:r>
          </w:p>
        </w:tc>
      </w:tr>
      <w:tr w:rsidR="004942B6" w14:paraId="64F8EF82" w14:textId="77777777" w:rsidTr="002C2525">
        <w:tc>
          <w:tcPr>
            <w:tcW w:w="986" w:type="dxa"/>
          </w:tcPr>
          <w:p w14:paraId="7BED64F7" w14:textId="77777777" w:rsidR="004942B6" w:rsidRDefault="004942B6" w:rsidP="002C2525">
            <w:pPr>
              <w:spacing w:line="360" w:lineRule="auto"/>
              <w:jc w:val="both"/>
            </w:pPr>
            <w:r w:rsidRPr="00FD1D5A">
              <w:t>242</w:t>
            </w:r>
          </w:p>
        </w:tc>
        <w:tc>
          <w:tcPr>
            <w:tcW w:w="1283" w:type="dxa"/>
            <w:vAlign w:val="bottom"/>
          </w:tcPr>
          <w:p w14:paraId="5D474772" w14:textId="77777777" w:rsidR="004942B6" w:rsidRDefault="004942B6" w:rsidP="002C2525">
            <w:pPr>
              <w:spacing w:line="360" w:lineRule="auto"/>
              <w:jc w:val="both"/>
            </w:pPr>
            <w:r>
              <w:rPr>
                <w:rFonts w:ascii="Calibri" w:hAnsi="Calibri" w:cs="Calibri"/>
                <w:color w:val="000000"/>
              </w:rPr>
              <w:t>70</w:t>
            </w:r>
          </w:p>
        </w:tc>
        <w:tc>
          <w:tcPr>
            <w:tcW w:w="1417" w:type="dxa"/>
          </w:tcPr>
          <w:p w14:paraId="128CDA07" w14:textId="77777777" w:rsidR="004942B6" w:rsidRPr="009B05D9" w:rsidRDefault="004942B6" w:rsidP="002C2525">
            <w:pPr>
              <w:spacing w:line="360" w:lineRule="auto"/>
              <w:jc w:val="both"/>
              <w:rPr>
                <w:color w:val="000000" w:themeColor="text1"/>
              </w:rPr>
            </w:pPr>
            <w:r>
              <w:rPr>
                <w:color w:val="000000" w:themeColor="text1"/>
              </w:rPr>
              <w:t>0.86</w:t>
            </w:r>
          </w:p>
        </w:tc>
        <w:tc>
          <w:tcPr>
            <w:tcW w:w="1305" w:type="dxa"/>
          </w:tcPr>
          <w:p w14:paraId="4094EA74" w14:textId="77777777" w:rsidR="004942B6" w:rsidRPr="009B05D9" w:rsidRDefault="004942B6" w:rsidP="002C2525">
            <w:pPr>
              <w:spacing w:line="360" w:lineRule="auto"/>
              <w:jc w:val="both"/>
              <w:rPr>
                <w:color w:val="000000" w:themeColor="text1"/>
              </w:rPr>
            </w:pPr>
            <w:r w:rsidRPr="009B05D9">
              <w:rPr>
                <w:color w:val="000000" w:themeColor="text1"/>
              </w:rPr>
              <w:t>75</w:t>
            </w:r>
          </w:p>
        </w:tc>
        <w:tc>
          <w:tcPr>
            <w:tcW w:w="1388" w:type="dxa"/>
          </w:tcPr>
          <w:p w14:paraId="2BF3288D" w14:textId="77777777" w:rsidR="004942B6" w:rsidRDefault="004942B6" w:rsidP="002C2525">
            <w:pPr>
              <w:spacing w:line="360" w:lineRule="auto"/>
              <w:jc w:val="both"/>
            </w:pPr>
            <w:r>
              <w:t>75</w:t>
            </w:r>
          </w:p>
        </w:tc>
        <w:tc>
          <w:tcPr>
            <w:tcW w:w="1418" w:type="dxa"/>
          </w:tcPr>
          <w:p w14:paraId="2A677CD8" w14:textId="77777777" w:rsidR="004942B6" w:rsidRDefault="004942B6" w:rsidP="002C2525">
            <w:pPr>
              <w:spacing w:line="360" w:lineRule="auto"/>
              <w:jc w:val="both"/>
            </w:pPr>
            <w:r>
              <w:t>0.94</w:t>
            </w:r>
          </w:p>
        </w:tc>
        <w:tc>
          <w:tcPr>
            <w:tcW w:w="1479" w:type="dxa"/>
          </w:tcPr>
          <w:p w14:paraId="5F2D3938" w14:textId="77777777" w:rsidR="004942B6" w:rsidRDefault="004942B6" w:rsidP="002C2525">
            <w:pPr>
              <w:spacing w:line="360" w:lineRule="auto"/>
              <w:jc w:val="both"/>
            </w:pPr>
            <w:r>
              <w:t>0.94</w:t>
            </w:r>
          </w:p>
        </w:tc>
      </w:tr>
      <w:tr w:rsidR="004942B6" w14:paraId="0E5A60E5" w14:textId="77777777" w:rsidTr="002C2525">
        <w:tc>
          <w:tcPr>
            <w:tcW w:w="986" w:type="dxa"/>
          </w:tcPr>
          <w:p w14:paraId="3D094A15" w14:textId="77777777" w:rsidR="004942B6" w:rsidRDefault="004942B6" w:rsidP="002C2525">
            <w:pPr>
              <w:spacing w:line="360" w:lineRule="auto"/>
              <w:jc w:val="both"/>
            </w:pPr>
            <w:r w:rsidRPr="00FD1D5A">
              <w:t>247</w:t>
            </w:r>
          </w:p>
        </w:tc>
        <w:tc>
          <w:tcPr>
            <w:tcW w:w="1283" w:type="dxa"/>
            <w:vAlign w:val="bottom"/>
          </w:tcPr>
          <w:p w14:paraId="286BEB23" w14:textId="77777777" w:rsidR="004942B6" w:rsidRDefault="004942B6" w:rsidP="002C2525">
            <w:pPr>
              <w:spacing w:line="360" w:lineRule="auto"/>
              <w:jc w:val="both"/>
            </w:pPr>
            <w:r>
              <w:rPr>
                <w:rFonts w:ascii="Calibri" w:hAnsi="Calibri" w:cs="Calibri"/>
                <w:color w:val="000000"/>
              </w:rPr>
              <w:t>70</w:t>
            </w:r>
          </w:p>
        </w:tc>
        <w:tc>
          <w:tcPr>
            <w:tcW w:w="1417" w:type="dxa"/>
          </w:tcPr>
          <w:p w14:paraId="4F285995" w14:textId="77777777" w:rsidR="004942B6" w:rsidRPr="009B05D9" w:rsidRDefault="004942B6" w:rsidP="002C2525">
            <w:pPr>
              <w:spacing w:line="360" w:lineRule="auto"/>
              <w:jc w:val="both"/>
              <w:rPr>
                <w:color w:val="000000" w:themeColor="text1"/>
              </w:rPr>
            </w:pPr>
            <w:r>
              <w:rPr>
                <w:color w:val="000000" w:themeColor="text1"/>
              </w:rPr>
              <w:t>0.79</w:t>
            </w:r>
          </w:p>
        </w:tc>
        <w:tc>
          <w:tcPr>
            <w:tcW w:w="1305" w:type="dxa"/>
          </w:tcPr>
          <w:p w14:paraId="5A0187FD" w14:textId="77777777" w:rsidR="004942B6" w:rsidRPr="009B05D9" w:rsidRDefault="004942B6" w:rsidP="002C2525">
            <w:pPr>
              <w:spacing w:line="360" w:lineRule="auto"/>
              <w:jc w:val="both"/>
              <w:rPr>
                <w:color w:val="000000" w:themeColor="text1"/>
              </w:rPr>
            </w:pPr>
            <w:r w:rsidRPr="009B05D9">
              <w:rPr>
                <w:color w:val="000000" w:themeColor="text1"/>
              </w:rPr>
              <w:t>75</w:t>
            </w:r>
          </w:p>
        </w:tc>
        <w:tc>
          <w:tcPr>
            <w:tcW w:w="1388" w:type="dxa"/>
          </w:tcPr>
          <w:p w14:paraId="07CACD1B" w14:textId="77777777" w:rsidR="004942B6" w:rsidRDefault="004942B6" w:rsidP="002C2525">
            <w:pPr>
              <w:spacing w:line="360" w:lineRule="auto"/>
              <w:jc w:val="both"/>
            </w:pPr>
            <w:r>
              <w:t>75</w:t>
            </w:r>
          </w:p>
        </w:tc>
        <w:tc>
          <w:tcPr>
            <w:tcW w:w="1418" w:type="dxa"/>
          </w:tcPr>
          <w:p w14:paraId="0A2B3045" w14:textId="77777777" w:rsidR="004942B6" w:rsidRDefault="004942B6" w:rsidP="002C2525">
            <w:pPr>
              <w:spacing w:line="360" w:lineRule="auto"/>
              <w:jc w:val="both"/>
            </w:pPr>
            <w:r>
              <w:t>0.83</w:t>
            </w:r>
          </w:p>
        </w:tc>
        <w:tc>
          <w:tcPr>
            <w:tcW w:w="1479" w:type="dxa"/>
          </w:tcPr>
          <w:p w14:paraId="35E78808" w14:textId="77777777" w:rsidR="004942B6" w:rsidRDefault="004942B6" w:rsidP="002C2525">
            <w:pPr>
              <w:spacing w:line="360" w:lineRule="auto"/>
              <w:jc w:val="both"/>
            </w:pPr>
            <w:r>
              <w:t>0.83</w:t>
            </w:r>
          </w:p>
        </w:tc>
      </w:tr>
      <w:tr w:rsidR="004942B6" w14:paraId="46AC781F" w14:textId="77777777" w:rsidTr="002C2525">
        <w:tc>
          <w:tcPr>
            <w:tcW w:w="986" w:type="dxa"/>
          </w:tcPr>
          <w:p w14:paraId="3C43D755" w14:textId="77777777" w:rsidR="004942B6" w:rsidRPr="00FD1D5A" w:rsidRDefault="004942B6" w:rsidP="002C2525">
            <w:pPr>
              <w:spacing w:line="360" w:lineRule="auto"/>
              <w:jc w:val="both"/>
            </w:pPr>
            <w:r>
              <w:t>248</w:t>
            </w:r>
          </w:p>
        </w:tc>
        <w:tc>
          <w:tcPr>
            <w:tcW w:w="1283" w:type="dxa"/>
            <w:vAlign w:val="bottom"/>
          </w:tcPr>
          <w:p w14:paraId="11A89CD1"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60</w:t>
            </w:r>
          </w:p>
        </w:tc>
        <w:tc>
          <w:tcPr>
            <w:tcW w:w="1417" w:type="dxa"/>
          </w:tcPr>
          <w:p w14:paraId="0C94B59A" w14:textId="77777777" w:rsidR="004942B6" w:rsidRPr="009B05D9" w:rsidRDefault="004942B6" w:rsidP="002C2525">
            <w:pPr>
              <w:spacing w:line="360" w:lineRule="auto"/>
              <w:jc w:val="both"/>
              <w:rPr>
                <w:color w:val="000000" w:themeColor="text1"/>
              </w:rPr>
            </w:pPr>
            <w:r>
              <w:rPr>
                <w:color w:val="000000" w:themeColor="text1"/>
              </w:rPr>
              <w:t>0.51</w:t>
            </w:r>
          </w:p>
        </w:tc>
        <w:tc>
          <w:tcPr>
            <w:tcW w:w="1305" w:type="dxa"/>
          </w:tcPr>
          <w:p w14:paraId="400786D9" w14:textId="77777777" w:rsidR="004942B6" w:rsidRPr="009B05D9" w:rsidRDefault="004942B6" w:rsidP="002C2525">
            <w:pPr>
              <w:spacing w:line="360" w:lineRule="auto"/>
              <w:jc w:val="both"/>
              <w:rPr>
                <w:color w:val="000000" w:themeColor="text1"/>
              </w:rPr>
            </w:pPr>
            <w:r w:rsidRPr="009B05D9">
              <w:rPr>
                <w:color w:val="000000" w:themeColor="text1"/>
              </w:rPr>
              <w:t xml:space="preserve">50** </w:t>
            </w:r>
          </w:p>
        </w:tc>
        <w:tc>
          <w:tcPr>
            <w:tcW w:w="1388" w:type="dxa"/>
          </w:tcPr>
          <w:p w14:paraId="7BCD0B9E" w14:textId="77777777" w:rsidR="004942B6" w:rsidRDefault="004942B6" w:rsidP="002C2525">
            <w:pPr>
              <w:spacing w:line="360" w:lineRule="auto"/>
              <w:jc w:val="both"/>
            </w:pPr>
            <w:r>
              <w:t>50</w:t>
            </w:r>
          </w:p>
        </w:tc>
        <w:tc>
          <w:tcPr>
            <w:tcW w:w="1418" w:type="dxa"/>
          </w:tcPr>
          <w:p w14:paraId="0443B5F9" w14:textId="77777777" w:rsidR="004942B6" w:rsidRDefault="004942B6" w:rsidP="002C2525">
            <w:pPr>
              <w:spacing w:line="360" w:lineRule="auto"/>
              <w:jc w:val="both"/>
            </w:pPr>
            <w:r>
              <w:t>0.40**</w:t>
            </w:r>
          </w:p>
        </w:tc>
        <w:tc>
          <w:tcPr>
            <w:tcW w:w="1479" w:type="dxa"/>
          </w:tcPr>
          <w:p w14:paraId="34A8B174" w14:textId="77777777" w:rsidR="004942B6" w:rsidRDefault="004942B6" w:rsidP="002C2525">
            <w:pPr>
              <w:spacing w:line="360" w:lineRule="auto"/>
              <w:jc w:val="both"/>
            </w:pPr>
            <w:r>
              <w:t>0.50</w:t>
            </w:r>
          </w:p>
        </w:tc>
      </w:tr>
      <w:tr w:rsidR="004942B6" w14:paraId="0EBDB9C6" w14:textId="77777777" w:rsidTr="002C2525">
        <w:tc>
          <w:tcPr>
            <w:tcW w:w="986" w:type="dxa"/>
          </w:tcPr>
          <w:p w14:paraId="618913F4" w14:textId="77777777" w:rsidR="004942B6" w:rsidRDefault="004942B6" w:rsidP="002C2525">
            <w:pPr>
              <w:spacing w:line="360" w:lineRule="auto"/>
              <w:jc w:val="both"/>
            </w:pPr>
            <w:r w:rsidRPr="00FD1D5A">
              <w:t>262</w:t>
            </w:r>
          </w:p>
        </w:tc>
        <w:tc>
          <w:tcPr>
            <w:tcW w:w="1283" w:type="dxa"/>
            <w:vAlign w:val="bottom"/>
          </w:tcPr>
          <w:p w14:paraId="62CF578C" w14:textId="77777777" w:rsidR="004942B6" w:rsidRDefault="004942B6" w:rsidP="002C2525">
            <w:pPr>
              <w:spacing w:line="360" w:lineRule="auto"/>
              <w:jc w:val="both"/>
            </w:pPr>
            <w:r>
              <w:rPr>
                <w:rFonts w:ascii="Calibri" w:hAnsi="Calibri" w:cs="Calibri"/>
                <w:color w:val="000000"/>
              </w:rPr>
              <w:t>60</w:t>
            </w:r>
          </w:p>
        </w:tc>
        <w:tc>
          <w:tcPr>
            <w:tcW w:w="1417" w:type="dxa"/>
          </w:tcPr>
          <w:p w14:paraId="475E82E1" w14:textId="77777777" w:rsidR="004942B6" w:rsidRPr="009B05D9" w:rsidRDefault="004942B6" w:rsidP="002C2525">
            <w:pPr>
              <w:spacing w:line="360" w:lineRule="auto"/>
              <w:jc w:val="both"/>
              <w:rPr>
                <w:color w:val="000000" w:themeColor="text1"/>
              </w:rPr>
            </w:pPr>
            <w:r>
              <w:rPr>
                <w:color w:val="000000" w:themeColor="text1"/>
              </w:rPr>
              <w:t>0.59</w:t>
            </w:r>
          </w:p>
        </w:tc>
        <w:tc>
          <w:tcPr>
            <w:tcW w:w="1305" w:type="dxa"/>
          </w:tcPr>
          <w:p w14:paraId="0FCFD698" w14:textId="77777777" w:rsidR="004942B6" w:rsidRPr="009B05D9" w:rsidRDefault="004942B6" w:rsidP="002C2525">
            <w:pPr>
              <w:spacing w:line="360" w:lineRule="auto"/>
              <w:jc w:val="both"/>
              <w:rPr>
                <w:color w:val="000000" w:themeColor="text1"/>
              </w:rPr>
            </w:pPr>
            <w:r w:rsidRPr="009B05D9">
              <w:rPr>
                <w:color w:val="000000" w:themeColor="text1"/>
              </w:rPr>
              <w:t xml:space="preserve">60 </w:t>
            </w:r>
          </w:p>
        </w:tc>
        <w:tc>
          <w:tcPr>
            <w:tcW w:w="1388" w:type="dxa"/>
          </w:tcPr>
          <w:p w14:paraId="33684B6D" w14:textId="77777777" w:rsidR="004942B6" w:rsidRDefault="004942B6" w:rsidP="002C2525">
            <w:pPr>
              <w:spacing w:line="360" w:lineRule="auto"/>
              <w:jc w:val="both"/>
            </w:pPr>
            <w:r>
              <w:t>60</w:t>
            </w:r>
          </w:p>
        </w:tc>
        <w:tc>
          <w:tcPr>
            <w:tcW w:w="1418" w:type="dxa"/>
          </w:tcPr>
          <w:p w14:paraId="43227601" w14:textId="77777777" w:rsidR="004942B6" w:rsidRDefault="004942B6" w:rsidP="002C2525">
            <w:pPr>
              <w:spacing w:line="360" w:lineRule="auto"/>
              <w:jc w:val="both"/>
            </w:pPr>
            <w:r>
              <w:t>0.63</w:t>
            </w:r>
          </w:p>
        </w:tc>
        <w:tc>
          <w:tcPr>
            <w:tcW w:w="1479" w:type="dxa"/>
          </w:tcPr>
          <w:p w14:paraId="1C15E34D" w14:textId="77777777" w:rsidR="004942B6" w:rsidRDefault="004942B6" w:rsidP="002C2525">
            <w:pPr>
              <w:spacing w:line="360" w:lineRule="auto"/>
              <w:jc w:val="both"/>
            </w:pPr>
            <w:r>
              <w:t>0.63</w:t>
            </w:r>
          </w:p>
        </w:tc>
      </w:tr>
      <w:tr w:rsidR="004942B6" w14:paraId="34F9DBC4" w14:textId="77777777" w:rsidTr="002C2525">
        <w:tc>
          <w:tcPr>
            <w:tcW w:w="986" w:type="dxa"/>
          </w:tcPr>
          <w:p w14:paraId="1F8C8845" w14:textId="77777777" w:rsidR="004942B6" w:rsidRDefault="004942B6" w:rsidP="002C2525">
            <w:pPr>
              <w:spacing w:line="360" w:lineRule="auto"/>
              <w:jc w:val="both"/>
            </w:pPr>
            <w:r w:rsidRPr="00FD1D5A">
              <w:t>263</w:t>
            </w:r>
          </w:p>
        </w:tc>
        <w:tc>
          <w:tcPr>
            <w:tcW w:w="1283" w:type="dxa"/>
            <w:vAlign w:val="bottom"/>
          </w:tcPr>
          <w:p w14:paraId="6D548067" w14:textId="77777777" w:rsidR="004942B6" w:rsidRDefault="004942B6" w:rsidP="002C2525">
            <w:pPr>
              <w:spacing w:line="360" w:lineRule="auto"/>
              <w:jc w:val="both"/>
            </w:pPr>
            <w:r>
              <w:rPr>
                <w:rFonts w:ascii="Calibri" w:hAnsi="Calibri" w:cs="Calibri"/>
                <w:color w:val="000000"/>
              </w:rPr>
              <w:t>90</w:t>
            </w:r>
          </w:p>
        </w:tc>
        <w:tc>
          <w:tcPr>
            <w:tcW w:w="1417" w:type="dxa"/>
          </w:tcPr>
          <w:p w14:paraId="5DCED83E" w14:textId="77777777" w:rsidR="004942B6" w:rsidRPr="009B05D9" w:rsidRDefault="004942B6" w:rsidP="002C2525">
            <w:pPr>
              <w:spacing w:line="360" w:lineRule="auto"/>
              <w:jc w:val="both"/>
              <w:rPr>
                <w:color w:val="000000" w:themeColor="text1"/>
              </w:rPr>
            </w:pPr>
            <w:r>
              <w:rPr>
                <w:color w:val="000000" w:themeColor="text1"/>
              </w:rPr>
              <w:t>0.89</w:t>
            </w:r>
          </w:p>
        </w:tc>
        <w:tc>
          <w:tcPr>
            <w:tcW w:w="1305" w:type="dxa"/>
          </w:tcPr>
          <w:p w14:paraId="634AA0DB" w14:textId="77777777" w:rsidR="004942B6" w:rsidRPr="009B05D9" w:rsidRDefault="004942B6" w:rsidP="002C2525">
            <w:pPr>
              <w:spacing w:line="360" w:lineRule="auto"/>
              <w:jc w:val="both"/>
              <w:rPr>
                <w:color w:val="000000" w:themeColor="text1"/>
              </w:rPr>
            </w:pPr>
            <w:r w:rsidRPr="009B05D9">
              <w:rPr>
                <w:color w:val="000000" w:themeColor="text1"/>
              </w:rPr>
              <w:t xml:space="preserve">80** </w:t>
            </w:r>
          </w:p>
        </w:tc>
        <w:tc>
          <w:tcPr>
            <w:tcW w:w="1388" w:type="dxa"/>
          </w:tcPr>
          <w:p w14:paraId="4109E5B3" w14:textId="77777777" w:rsidR="004942B6" w:rsidRDefault="004942B6" w:rsidP="002C2525">
            <w:pPr>
              <w:spacing w:line="360" w:lineRule="auto"/>
              <w:jc w:val="both"/>
            </w:pPr>
            <w:r>
              <w:t>80</w:t>
            </w:r>
          </w:p>
        </w:tc>
        <w:tc>
          <w:tcPr>
            <w:tcW w:w="1418" w:type="dxa"/>
          </w:tcPr>
          <w:p w14:paraId="33BDCC56" w14:textId="77777777" w:rsidR="004942B6" w:rsidRDefault="004942B6" w:rsidP="002C2525">
            <w:pPr>
              <w:spacing w:line="360" w:lineRule="auto"/>
              <w:jc w:val="both"/>
            </w:pPr>
            <w:r>
              <w:t>0.71**</w:t>
            </w:r>
          </w:p>
        </w:tc>
        <w:tc>
          <w:tcPr>
            <w:tcW w:w="1479" w:type="dxa"/>
          </w:tcPr>
          <w:p w14:paraId="1354BD96" w14:textId="77777777" w:rsidR="004942B6" w:rsidRDefault="004942B6" w:rsidP="002C2525">
            <w:pPr>
              <w:spacing w:line="360" w:lineRule="auto"/>
              <w:jc w:val="both"/>
            </w:pPr>
            <w:r>
              <w:t>0.71</w:t>
            </w:r>
          </w:p>
        </w:tc>
      </w:tr>
      <w:tr w:rsidR="004942B6" w14:paraId="3069AC2E" w14:textId="77777777" w:rsidTr="002C2525">
        <w:tc>
          <w:tcPr>
            <w:tcW w:w="986" w:type="dxa"/>
          </w:tcPr>
          <w:p w14:paraId="7070B17C" w14:textId="77777777" w:rsidR="004942B6" w:rsidRPr="00FD1D5A" w:rsidRDefault="004942B6" w:rsidP="002C2525">
            <w:pPr>
              <w:spacing w:line="360" w:lineRule="auto"/>
              <w:jc w:val="both"/>
            </w:pPr>
            <w:r>
              <w:t>266</w:t>
            </w:r>
          </w:p>
        </w:tc>
        <w:tc>
          <w:tcPr>
            <w:tcW w:w="1283" w:type="dxa"/>
            <w:vAlign w:val="bottom"/>
          </w:tcPr>
          <w:p w14:paraId="2E55E699"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50</w:t>
            </w:r>
          </w:p>
        </w:tc>
        <w:tc>
          <w:tcPr>
            <w:tcW w:w="1417" w:type="dxa"/>
          </w:tcPr>
          <w:p w14:paraId="307C3B7F" w14:textId="77777777" w:rsidR="004942B6" w:rsidRPr="009B05D9" w:rsidRDefault="004942B6" w:rsidP="002C2525">
            <w:pPr>
              <w:spacing w:line="360" w:lineRule="auto"/>
              <w:jc w:val="both"/>
              <w:rPr>
                <w:color w:val="000000" w:themeColor="text1"/>
              </w:rPr>
            </w:pPr>
            <w:r>
              <w:rPr>
                <w:color w:val="000000" w:themeColor="text1"/>
              </w:rPr>
              <w:t>0.75</w:t>
            </w:r>
          </w:p>
        </w:tc>
        <w:tc>
          <w:tcPr>
            <w:tcW w:w="1305" w:type="dxa"/>
          </w:tcPr>
          <w:p w14:paraId="29034EA8" w14:textId="77777777" w:rsidR="004942B6" w:rsidRPr="009B05D9" w:rsidRDefault="004942B6" w:rsidP="002C2525">
            <w:pPr>
              <w:spacing w:line="360" w:lineRule="auto"/>
              <w:jc w:val="both"/>
              <w:rPr>
                <w:color w:val="000000" w:themeColor="text1"/>
              </w:rPr>
            </w:pPr>
            <w:r w:rsidRPr="009B05D9">
              <w:rPr>
                <w:color w:val="000000" w:themeColor="text1"/>
              </w:rPr>
              <w:t>10**</w:t>
            </w:r>
          </w:p>
        </w:tc>
        <w:tc>
          <w:tcPr>
            <w:tcW w:w="1388" w:type="dxa"/>
          </w:tcPr>
          <w:p w14:paraId="7EED3C7F" w14:textId="77777777" w:rsidR="004942B6" w:rsidRDefault="004942B6" w:rsidP="002C2525">
            <w:pPr>
              <w:spacing w:line="360" w:lineRule="auto"/>
              <w:jc w:val="both"/>
            </w:pPr>
            <w:r>
              <w:t>10</w:t>
            </w:r>
          </w:p>
        </w:tc>
        <w:tc>
          <w:tcPr>
            <w:tcW w:w="1418" w:type="dxa"/>
          </w:tcPr>
          <w:p w14:paraId="6E36E08D" w14:textId="77777777" w:rsidR="004942B6" w:rsidRDefault="004942B6" w:rsidP="002C2525">
            <w:pPr>
              <w:spacing w:line="360" w:lineRule="auto"/>
              <w:jc w:val="both"/>
            </w:pPr>
            <w:r>
              <w:t>0.25**</w:t>
            </w:r>
          </w:p>
        </w:tc>
        <w:tc>
          <w:tcPr>
            <w:tcW w:w="1479" w:type="dxa"/>
          </w:tcPr>
          <w:p w14:paraId="4A516A59" w14:textId="77777777" w:rsidR="004942B6" w:rsidRDefault="004942B6" w:rsidP="002C2525">
            <w:pPr>
              <w:spacing w:line="360" w:lineRule="auto"/>
              <w:jc w:val="both"/>
            </w:pPr>
            <w:r>
              <w:t>0.25</w:t>
            </w:r>
          </w:p>
        </w:tc>
      </w:tr>
      <w:tr w:rsidR="004942B6" w14:paraId="37200237" w14:textId="77777777" w:rsidTr="002C2525">
        <w:tc>
          <w:tcPr>
            <w:tcW w:w="986" w:type="dxa"/>
          </w:tcPr>
          <w:p w14:paraId="60FF1E00" w14:textId="77777777" w:rsidR="004942B6" w:rsidRDefault="004942B6" w:rsidP="002C2525">
            <w:pPr>
              <w:spacing w:line="360" w:lineRule="auto"/>
              <w:jc w:val="both"/>
            </w:pPr>
            <w:r w:rsidRPr="00FD1D5A">
              <w:t>269</w:t>
            </w:r>
          </w:p>
        </w:tc>
        <w:tc>
          <w:tcPr>
            <w:tcW w:w="1283" w:type="dxa"/>
            <w:vAlign w:val="bottom"/>
          </w:tcPr>
          <w:p w14:paraId="362ED62B" w14:textId="77777777" w:rsidR="004942B6" w:rsidRDefault="004942B6" w:rsidP="002C2525">
            <w:pPr>
              <w:spacing w:line="360" w:lineRule="auto"/>
              <w:jc w:val="both"/>
            </w:pPr>
            <w:r>
              <w:rPr>
                <w:rFonts w:ascii="Calibri" w:hAnsi="Calibri" w:cs="Calibri"/>
                <w:color w:val="000000"/>
              </w:rPr>
              <w:t>70</w:t>
            </w:r>
          </w:p>
        </w:tc>
        <w:tc>
          <w:tcPr>
            <w:tcW w:w="1417" w:type="dxa"/>
          </w:tcPr>
          <w:p w14:paraId="3DDB063D" w14:textId="77777777" w:rsidR="004942B6" w:rsidRPr="009B05D9" w:rsidRDefault="004942B6" w:rsidP="002C2525">
            <w:pPr>
              <w:spacing w:line="360" w:lineRule="auto"/>
              <w:jc w:val="both"/>
              <w:rPr>
                <w:color w:val="000000" w:themeColor="text1"/>
              </w:rPr>
            </w:pPr>
            <w:r>
              <w:rPr>
                <w:color w:val="000000" w:themeColor="text1"/>
              </w:rPr>
              <w:t>0.68</w:t>
            </w:r>
          </w:p>
        </w:tc>
        <w:tc>
          <w:tcPr>
            <w:tcW w:w="1305" w:type="dxa"/>
          </w:tcPr>
          <w:p w14:paraId="168B2B1A" w14:textId="77777777" w:rsidR="004942B6" w:rsidRPr="009B05D9" w:rsidRDefault="004942B6" w:rsidP="002C2525">
            <w:pPr>
              <w:spacing w:line="360" w:lineRule="auto"/>
              <w:jc w:val="both"/>
              <w:rPr>
                <w:color w:val="000000" w:themeColor="text1"/>
              </w:rPr>
            </w:pPr>
            <w:r w:rsidRPr="009B05D9">
              <w:rPr>
                <w:color w:val="000000" w:themeColor="text1"/>
              </w:rPr>
              <w:t>85</w:t>
            </w:r>
          </w:p>
        </w:tc>
        <w:tc>
          <w:tcPr>
            <w:tcW w:w="1388" w:type="dxa"/>
          </w:tcPr>
          <w:p w14:paraId="74014F39" w14:textId="3F628FBB" w:rsidR="004942B6" w:rsidRDefault="004942B6" w:rsidP="002C2525">
            <w:pPr>
              <w:spacing w:line="360" w:lineRule="auto"/>
              <w:jc w:val="both"/>
            </w:pPr>
            <w:r>
              <w:t>8</w:t>
            </w:r>
            <w:r w:rsidR="00F133AF">
              <w:t>8</w:t>
            </w:r>
          </w:p>
        </w:tc>
        <w:tc>
          <w:tcPr>
            <w:tcW w:w="1418" w:type="dxa"/>
          </w:tcPr>
          <w:p w14:paraId="7149222F" w14:textId="77777777" w:rsidR="004942B6" w:rsidRDefault="004942B6" w:rsidP="002C2525">
            <w:pPr>
              <w:spacing w:line="360" w:lineRule="auto"/>
              <w:jc w:val="both"/>
            </w:pPr>
            <w:r>
              <w:t>0.79</w:t>
            </w:r>
          </w:p>
        </w:tc>
        <w:tc>
          <w:tcPr>
            <w:tcW w:w="1479" w:type="dxa"/>
          </w:tcPr>
          <w:p w14:paraId="1DB1553F" w14:textId="5E877ADE" w:rsidR="004942B6" w:rsidRDefault="004942B6" w:rsidP="002C2525">
            <w:pPr>
              <w:spacing w:line="360" w:lineRule="auto"/>
              <w:jc w:val="both"/>
            </w:pPr>
            <w:r>
              <w:t>0.</w:t>
            </w:r>
            <w:r w:rsidR="00F133AF">
              <w:t>91</w:t>
            </w:r>
          </w:p>
        </w:tc>
      </w:tr>
      <w:tr w:rsidR="004942B6" w14:paraId="289A6AED" w14:textId="77777777" w:rsidTr="002C2525">
        <w:tc>
          <w:tcPr>
            <w:tcW w:w="986" w:type="dxa"/>
          </w:tcPr>
          <w:p w14:paraId="6201D7E3" w14:textId="77777777" w:rsidR="004942B6" w:rsidRDefault="004942B6" w:rsidP="002C2525">
            <w:pPr>
              <w:spacing w:line="360" w:lineRule="auto"/>
              <w:jc w:val="both"/>
            </w:pPr>
            <w:r w:rsidRPr="00FD1D5A">
              <w:t>274</w:t>
            </w:r>
          </w:p>
        </w:tc>
        <w:tc>
          <w:tcPr>
            <w:tcW w:w="1283" w:type="dxa"/>
            <w:vAlign w:val="bottom"/>
          </w:tcPr>
          <w:p w14:paraId="7BC40C7B" w14:textId="77777777" w:rsidR="004942B6" w:rsidRDefault="004942B6" w:rsidP="002C2525">
            <w:pPr>
              <w:spacing w:line="360" w:lineRule="auto"/>
              <w:jc w:val="both"/>
            </w:pPr>
            <w:r>
              <w:rPr>
                <w:rFonts w:ascii="Calibri" w:hAnsi="Calibri" w:cs="Calibri"/>
                <w:color w:val="000000"/>
              </w:rPr>
              <w:t>80</w:t>
            </w:r>
          </w:p>
        </w:tc>
        <w:tc>
          <w:tcPr>
            <w:tcW w:w="1417" w:type="dxa"/>
          </w:tcPr>
          <w:p w14:paraId="2B1FD5E7" w14:textId="77777777" w:rsidR="004942B6" w:rsidRDefault="004942B6" w:rsidP="002C2525">
            <w:pPr>
              <w:spacing w:line="360" w:lineRule="auto"/>
              <w:jc w:val="both"/>
            </w:pPr>
            <w:r>
              <w:t>0.86</w:t>
            </w:r>
          </w:p>
        </w:tc>
        <w:tc>
          <w:tcPr>
            <w:tcW w:w="1305" w:type="dxa"/>
          </w:tcPr>
          <w:p w14:paraId="7F5DC546" w14:textId="77777777" w:rsidR="004942B6" w:rsidRDefault="004942B6" w:rsidP="002C2525">
            <w:pPr>
              <w:spacing w:line="360" w:lineRule="auto"/>
              <w:jc w:val="both"/>
            </w:pPr>
            <w:r>
              <w:t>85</w:t>
            </w:r>
          </w:p>
        </w:tc>
        <w:tc>
          <w:tcPr>
            <w:tcW w:w="1388" w:type="dxa"/>
          </w:tcPr>
          <w:p w14:paraId="4B65FDC6" w14:textId="77777777" w:rsidR="004942B6" w:rsidRDefault="004942B6" w:rsidP="002C2525">
            <w:pPr>
              <w:spacing w:line="360" w:lineRule="auto"/>
              <w:jc w:val="both"/>
            </w:pPr>
            <w:r>
              <w:t>85</w:t>
            </w:r>
          </w:p>
        </w:tc>
        <w:tc>
          <w:tcPr>
            <w:tcW w:w="1418" w:type="dxa"/>
          </w:tcPr>
          <w:p w14:paraId="22C56BC6" w14:textId="77777777" w:rsidR="004942B6" w:rsidRDefault="004942B6" w:rsidP="002C2525">
            <w:pPr>
              <w:spacing w:line="360" w:lineRule="auto"/>
              <w:jc w:val="both"/>
            </w:pPr>
            <w:r>
              <w:t>0.94</w:t>
            </w:r>
          </w:p>
        </w:tc>
        <w:tc>
          <w:tcPr>
            <w:tcW w:w="1479" w:type="dxa"/>
          </w:tcPr>
          <w:p w14:paraId="0AC4526A" w14:textId="77777777" w:rsidR="004942B6" w:rsidRDefault="004942B6" w:rsidP="002C2525">
            <w:pPr>
              <w:spacing w:line="360" w:lineRule="auto"/>
              <w:jc w:val="both"/>
            </w:pPr>
            <w:r>
              <w:t>0.94</w:t>
            </w:r>
          </w:p>
        </w:tc>
      </w:tr>
      <w:tr w:rsidR="004942B6" w14:paraId="7FB4D08A" w14:textId="77777777" w:rsidTr="002C2525">
        <w:tc>
          <w:tcPr>
            <w:tcW w:w="986" w:type="dxa"/>
          </w:tcPr>
          <w:p w14:paraId="4704C556" w14:textId="77777777" w:rsidR="004942B6" w:rsidRDefault="004942B6" w:rsidP="002C2525">
            <w:pPr>
              <w:spacing w:line="360" w:lineRule="auto"/>
              <w:jc w:val="both"/>
            </w:pPr>
            <w:r>
              <w:t>287</w:t>
            </w:r>
          </w:p>
        </w:tc>
        <w:tc>
          <w:tcPr>
            <w:tcW w:w="1283" w:type="dxa"/>
            <w:vAlign w:val="bottom"/>
          </w:tcPr>
          <w:p w14:paraId="1D1359C6" w14:textId="77777777" w:rsidR="004942B6" w:rsidRDefault="004942B6" w:rsidP="002C2525">
            <w:pPr>
              <w:spacing w:line="360" w:lineRule="auto"/>
              <w:jc w:val="both"/>
            </w:pPr>
            <w:r>
              <w:rPr>
                <w:rFonts w:ascii="Calibri" w:hAnsi="Calibri" w:cs="Calibri"/>
                <w:color w:val="000000" w:themeColor="text1"/>
              </w:rPr>
              <w:t>60</w:t>
            </w:r>
          </w:p>
        </w:tc>
        <w:tc>
          <w:tcPr>
            <w:tcW w:w="1417" w:type="dxa"/>
          </w:tcPr>
          <w:p w14:paraId="0A67B921" w14:textId="77777777" w:rsidR="004942B6" w:rsidRDefault="004942B6" w:rsidP="002C2525">
            <w:pPr>
              <w:spacing w:line="360" w:lineRule="auto"/>
              <w:jc w:val="both"/>
            </w:pPr>
            <w:r>
              <w:t>0.75</w:t>
            </w:r>
          </w:p>
        </w:tc>
        <w:tc>
          <w:tcPr>
            <w:tcW w:w="1305" w:type="dxa"/>
          </w:tcPr>
          <w:p w14:paraId="4835E34E" w14:textId="77777777" w:rsidR="004942B6" w:rsidRDefault="004942B6" w:rsidP="002C2525">
            <w:pPr>
              <w:spacing w:line="360" w:lineRule="auto"/>
              <w:jc w:val="both"/>
            </w:pPr>
            <w:r>
              <w:t>75</w:t>
            </w:r>
          </w:p>
        </w:tc>
        <w:tc>
          <w:tcPr>
            <w:tcW w:w="1388" w:type="dxa"/>
          </w:tcPr>
          <w:p w14:paraId="565E09A4" w14:textId="77777777" w:rsidR="004942B6" w:rsidRDefault="004942B6" w:rsidP="002C2525">
            <w:pPr>
              <w:spacing w:line="360" w:lineRule="auto"/>
              <w:jc w:val="both"/>
            </w:pPr>
            <w:r>
              <w:t>75</w:t>
            </w:r>
          </w:p>
        </w:tc>
        <w:tc>
          <w:tcPr>
            <w:tcW w:w="1418" w:type="dxa"/>
          </w:tcPr>
          <w:p w14:paraId="70A4BE67" w14:textId="77777777" w:rsidR="004942B6" w:rsidRDefault="004942B6" w:rsidP="002C2525">
            <w:pPr>
              <w:spacing w:line="360" w:lineRule="auto"/>
              <w:jc w:val="both"/>
            </w:pPr>
            <w:r>
              <w:t>0.84</w:t>
            </w:r>
          </w:p>
        </w:tc>
        <w:tc>
          <w:tcPr>
            <w:tcW w:w="1479" w:type="dxa"/>
          </w:tcPr>
          <w:p w14:paraId="7B296FD9" w14:textId="77777777" w:rsidR="004942B6" w:rsidRDefault="004942B6" w:rsidP="002C2525">
            <w:pPr>
              <w:spacing w:line="360" w:lineRule="auto"/>
              <w:jc w:val="both"/>
            </w:pPr>
            <w:r>
              <w:t>0.84</w:t>
            </w:r>
          </w:p>
        </w:tc>
      </w:tr>
      <w:tr w:rsidR="004942B6" w14:paraId="5E42E63D" w14:textId="77777777" w:rsidTr="002C2525">
        <w:tc>
          <w:tcPr>
            <w:tcW w:w="9276" w:type="dxa"/>
            <w:gridSpan w:val="7"/>
          </w:tcPr>
          <w:p w14:paraId="56B12FF3" w14:textId="6763030C" w:rsidR="004942B6" w:rsidRDefault="004942B6" w:rsidP="002C2525">
            <w:pPr>
              <w:spacing w:line="360" w:lineRule="auto"/>
              <w:jc w:val="both"/>
            </w:pPr>
            <w:r>
              <w:t xml:space="preserve">Virtual change was predicted (according to the published literature) by the expert </w:t>
            </w:r>
            <w:r w:rsidR="0012399F">
              <w:t>MDT</w:t>
            </w:r>
            <w:r>
              <w:t xml:space="preserve"> after reviewing the case </w:t>
            </w:r>
          </w:p>
          <w:p w14:paraId="668953D1" w14:textId="77777777" w:rsidR="004942B6" w:rsidRDefault="004942B6" w:rsidP="002C2525">
            <w:pPr>
              <w:spacing w:line="360" w:lineRule="auto"/>
              <w:jc w:val="both"/>
            </w:pPr>
            <w:r>
              <w:t xml:space="preserve">** Represents the non-cardiac reduction in EQ-5D scores (n=13/39) </w:t>
            </w:r>
          </w:p>
          <w:p w14:paraId="3D617143" w14:textId="77777777" w:rsidR="004942B6" w:rsidRDefault="004942B6" w:rsidP="002C2525">
            <w:pPr>
              <w:jc w:val="both"/>
            </w:pPr>
          </w:p>
        </w:tc>
      </w:tr>
    </w:tbl>
    <w:p w14:paraId="47879644" w14:textId="77777777" w:rsidR="004942B6" w:rsidRDefault="004942B6" w:rsidP="004942B6"/>
    <w:p w14:paraId="379C7BF4" w14:textId="77777777" w:rsidR="004942B6" w:rsidRDefault="004942B6" w:rsidP="004942B6"/>
    <w:p w14:paraId="094C23E6" w14:textId="77777777" w:rsidR="004942B6" w:rsidRDefault="004942B6" w:rsidP="004942B6"/>
    <w:p w14:paraId="4909E361" w14:textId="77777777" w:rsidR="004942B6" w:rsidRDefault="004942B6" w:rsidP="004942B6"/>
    <w:p w14:paraId="1B64DC41" w14:textId="77777777" w:rsidR="004942B6" w:rsidRDefault="004942B6" w:rsidP="004942B6"/>
    <w:p w14:paraId="07625F31" w14:textId="77777777" w:rsidR="004942B6" w:rsidRDefault="004942B6" w:rsidP="004942B6"/>
    <w:p w14:paraId="63EA8968" w14:textId="77777777" w:rsidR="004942B6" w:rsidRDefault="004942B6" w:rsidP="004942B6"/>
    <w:p w14:paraId="37A633DF" w14:textId="77777777" w:rsidR="004942B6" w:rsidRDefault="004942B6" w:rsidP="004942B6"/>
    <w:p w14:paraId="7E20CAB9" w14:textId="77777777" w:rsidR="004942B6" w:rsidRDefault="004942B6" w:rsidP="004942B6"/>
    <w:p w14:paraId="4B0E1DCF" w14:textId="77777777" w:rsidR="004942B6" w:rsidRDefault="004942B6" w:rsidP="004942B6"/>
    <w:p w14:paraId="779A58C0" w14:textId="77777777" w:rsidR="004942B6" w:rsidRDefault="004942B6" w:rsidP="004942B6"/>
    <w:p w14:paraId="774BB3AF" w14:textId="77777777" w:rsidR="004942B6" w:rsidRDefault="004942B6" w:rsidP="004942B6"/>
    <w:p w14:paraId="2E393D2E" w14:textId="77777777" w:rsidR="004942B6" w:rsidRDefault="004942B6" w:rsidP="004942B6"/>
    <w:p w14:paraId="789C9816" w14:textId="77777777" w:rsidR="008A6296" w:rsidRDefault="008A6296" w:rsidP="004942B6"/>
    <w:p w14:paraId="64ECEA3F" w14:textId="77777777" w:rsidR="004942B6" w:rsidRDefault="004942B6" w:rsidP="004942B6"/>
    <w:p w14:paraId="6FE3593C" w14:textId="7A0C50E8" w:rsidR="004942B6" w:rsidRPr="00BF0657" w:rsidRDefault="004942B6" w:rsidP="004942B6">
      <w:pPr>
        <w:pStyle w:val="Caption"/>
        <w:rPr>
          <w:rFonts w:ascii="Arial" w:hAnsi="Arial" w:cs="Arial"/>
          <w:color w:val="auto"/>
          <w:sz w:val="20"/>
          <w:szCs w:val="20"/>
        </w:rPr>
      </w:pPr>
      <w:bookmarkStart w:id="1503" w:name="_Toc153725855"/>
      <w:bookmarkStart w:id="1504" w:name="_Toc159318297"/>
      <w:bookmarkStart w:id="1505" w:name="_Toc159610332"/>
      <w:bookmarkStart w:id="1506" w:name="_Toc164699089"/>
      <w:bookmarkStart w:id="1507" w:name="_Toc171206731"/>
      <w:r w:rsidRPr="00BF0657">
        <w:rPr>
          <w:rFonts w:ascii="Arial" w:hAnsi="Arial" w:cs="Arial"/>
          <w:b/>
          <w:bCs/>
          <w:color w:val="auto"/>
          <w:sz w:val="20"/>
          <w:szCs w:val="20"/>
        </w:rPr>
        <w:t xml:space="preserve">Table </w:t>
      </w:r>
      <w:r w:rsidR="00BF0657" w:rsidRPr="00BF0657">
        <w:rPr>
          <w:rFonts w:ascii="Arial" w:hAnsi="Arial" w:cs="Arial"/>
          <w:b/>
          <w:bCs/>
          <w:color w:val="auto"/>
          <w:sz w:val="20"/>
          <w:szCs w:val="20"/>
        </w:rPr>
        <w:t>21</w:t>
      </w:r>
      <w:r w:rsidRPr="00BF0657">
        <w:rPr>
          <w:rFonts w:ascii="Arial" w:hAnsi="Arial" w:cs="Arial"/>
          <w:color w:val="auto"/>
          <w:sz w:val="20"/>
          <w:szCs w:val="20"/>
        </w:rPr>
        <w:t>: Comparison of the individualised "actual" and "virtual" EQ-VAS and EQ-indexed scores of CCS (n=26) patients in the virtual change subset at one year</w:t>
      </w:r>
      <w:bookmarkEnd w:id="1503"/>
      <w:bookmarkEnd w:id="1504"/>
      <w:bookmarkEnd w:id="1505"/>
      <w:bookmarkEnd w:id="1506"/>
      <w:bookmarkEnd w:id="1507"/>
    </w:p>
    <w:tbl>
      <w:tblPr>
        <w:tblStyle w:val="TableGrid"/>
        <w:tblW w:w="9276" w:type="dxa"/>
        <w:tblInd w:w="-34" w:type="dxa"/>
        <w:tblLook w:val="04A0" w:firstRow="1" w:lastRow="0" w:firstColumn="1" w:lastColumn="0" w:noHBand="0" w:noVBand="1"/>
      </w:tblPr>
      <w:tblGrid>
        <w:gridCol w:w="986"/>
        <w:gridCol w:w="1283"/>
        <w:gridCol w:w="1417"/>
        <w:gridCol w:w="1418"/>
        <w:gridCol w:w="1275"/>
        <w:gridCol w:w="1418"/>
        <w:gridCol w:w="1479"/>
      </w:tblGrid>
      <w:tr w:rsidR="004942B6" w14:paraId="35A83D0B" w14:textId="77777777" w:rsidTr="002C2525">
        <w:trPr>
          <w:trHeight w:val="438"/>
        </w:trPr>
        <w:tc>
          <w:tcPr>
            <w:tcW w:w="986" w:type="dxa"/>
            <w:vMerge w:val="restart"/>
          </w:tcPr>
          <w:p w14:paraId="7FE357A4" w14:textId="77777777" w:rsidR="004942B6" w:rsidRPr="000165D7" w:rsidRDefault="004942B6" w:rsidP="002C2525">
            <w:pPr>
              <w:spacing w:line="360" w:lineRule="auto"/>
              <w:jc w:val="both"/>
              <w:rPr>
                <w:b/>
                <w:bCs/>
                <w:sz w:val="24"/>
                <w:szCs w:val="24"/>
              </w:rPr>
            </w:pPr>
            <w:r w:rsidRPr="000165D7">
              <w:rPr>
                <w:b/>
                <w:bCs/>
                <w:sz w:val="24"/>
                <w:szCs w:val="24"/>
              </w:rPr>
              <w:t>Study ID</w:t>
            </w:r>
          </w:p>
        </w:tc>
        <w:tc>
          <w:tcPr>
            <w:tcW w:w="8290" w:type="dxa"/>
            <w:gridSpan w:val="6"/>
          </w:tcPr>
          <w:p w14:paraId="4FA630BA" w14:textId="77777777" w:rsidR="004942B6" w:rsidRPr="00C4040C" w:rsidRDefault="004942B6" w:rsidP="002C2525">
            <w:pPr>
              <w:spacing w:line="360" w:lineRule="auto"/>
              <w:jc w:val="both"/>
              <w:rPr>
                <w:rFonts w:ascii="Arial" w:hAnsi="Arial" w:cs="Arial"/>
                <w:b/>
                <w:bCs/>
                <w:sz w:val="28"/>
                <w:szCs w:val="28"/>
              </w:rPr>
            </w:pPr>
            <w:r w:rsidRPr="00C4040C">
              <w:rPr>
                <w:rFonts w:ascii="Arial" w:hAnsi="Arial" w:cs="Arial"/>
                <w:b/>
                <w:bCs/>
                <w:sz w:val="28"/>
                <w:szCs w:val="28"/>
              </w:rPr>
              <w:t xml:space="preserve">           CCS (n=26) patients in virtual change subset</w:t>
            </w:r>
          </w:p>
        </w:tc>
      </w:tr>
      <w:tr w:rsidR="004942B6" w14:paraId="6F7FA070" w14:textId="77777777" w:rsidTr="002C2525">
        <w:trPr>
          <w:trHeight w:val="438"/>
        </w:trPr>
        <w:tc>
          <w:tcPr>
            <w:tcW w:w="986" w:type="dxa"/>
            <w:vMerge/>
          </w:tcPr>
          <w:p w14:paraId="123A90F0" w14:textId="77777777" w:rsidR="004942B6" w:rsidRPr="000165D7" w:rsidRDefault="004942B6" w:rsidP="002C2525">
            <w:pPr>
              <w:spacing w:line="360" w:lineRule="auto"/>
              <w:jc w:val="both"/>
              <w:rPr>
                <w:b/>
                <w:bCs/>
                <w:sz w:val="24"/>
                <w:szCs w:val="24"/>
              </w:rPr>
            </w:pPr>
          </w:p>
        </w:tc>
        <w:tc>
          <w:tcPr>
            <w:tcW w:w="2700" w:type="dxa"/>
            <w:gridSpan w:val="2"/>
          </w:tcPr>
          <w:p w14:paraId="6BD6F4AB" w14:textId="77777777" w:rsidR="004942B6" w:rsidRPr="000165D7" w:rsidRDefault="004942B6" w:rsidP="002C2525">
            <w:pPr>
              <w:spacing w:line="360" w:lineRule="auto"/>
              <w:jc w:val="both"/>
              <w:rPr>
                <w:b/>
                <w:bCs/>
                <w:sz w:val="24"/>
                <w:szCs w:val="24"/>
              </w:rPr>
            </w:pPr>
            <w:r w:rsidRPr="000165D7">
              <w:rPr>
                <w:b/>
                <w:bCs/>
                <w:sz w:val="24"/>
                <w:szCs w:val="24"/>
              </w:rPr>
              <w:t>EQ</w:t>
            </w:r>
            <w:r>
              <w:rPr>
                <w:b/>
                <w:bCs/>
                <w:sz w:val="24"/>
                <w:szCs w:val="24"/>
              </w:rPr>
              <w:t>-5D scores</w:t>
            </w:r>
            <w:r w:rsidRPr="000165D7">
              <w:rPr>
                <w:b/>
                <w:bCs/>
                <w:sz w:val="24"/>
                <w:szCs w:val="24"/>
              </w:rPr>
              <w:t xml:space="preserve"> </w:t>
            </w:r>
            <w:r>
              <w:rPr>
                <w:b/>
                <w:bCs/>
                <w:sz w:val="24"/>
                <w:szCs w:val="24"/>
              </w:rPr>
              <w:t>(baseline)</w:t>
            </w:r>
          </w:p>
        </w:tc>
        <w:tc>
          <w:tcPr>
            <w:tcW w:w="2693" w:type="dxa"/>
            <w:gridSpan w:val="2"/>
          </w:tcPr>
          <w:p w14:paraId="307527C7" w14:textId="77777777" w:rsidR="004942B6" w:rsidRDefault="004942B6" w:rsidP="002C2525">
            <w:pPr>
              <w:spacing w:line="360" w:lineRule="auto"/>
              <w:jc w:val="both"/>
              <w:rPr>
                <w:b/>
                <w:bCs/>
                <w:sz w:val="24"/>
                <w:szCs w:val="24"/>
              </w:rPr>
            </w:pPr>
            <w:r>
              <w:rPr>
                <w:b/>
                <w:bCs/>
                <w:sz w:val="24"/>
                <w:szCs w:val="24"/>
              </w:rPr>
              <w:t xml:space="preserve"> EQ-VAS score at one-year follow-up</w:t>
            </w:r>
          </w:p>
        </w:tc>
        <w:tc>
          <w:tcPr>
            <w:tcW w:w="2897" w:type="dxa"/>
            <w:gridSpan w:val="2"/>
          </w:tcPr>
          <w:p w14:paraId="1983C740" w14:textId="77777777" w:rsidR="004942B6" w:rsidRDefault="004942B6" w:rsidP="002C2525">
            <w:pPr>
              <w:spacing w:line="360" w:lineRule="auto"/>
              <w:jc w:val="both"/>
              <w:rPr>
                <w:b/>
                <w:bCs/>
                <w:sz w:val="24"/>
                <w:szCs w:val="24"/>
              </w:rPr>
            </w:pPr>
            <w:r>
              <w:rPr>
                <w:b/>
                <w:bCs/>
                <w:sz w:val="24"/>
                <w:szCs w:val="24"/>
              </w:rPr>
              <w:t>EQ-indexed scores at one-year follow-up</w:t>
            </w:r>
          </w:p>
        </w:tc>
      </w:tr>
      <w:tr w:rsidR="004942B6" w14:paraId="5E3FFBA5" w14:textId="77777777" w:rsidTr="002C2525">
        <w:trPr>
          <w:trHeight w:val="876"/>
        </w:trPr>
        <w:tc>
          <w:tcPr>
            <w:tcW w:w="986" w:type="dxa"/>
            <w:vMerge/>
          </w:tcPr>
          <w:p w14:paraId="0E3ADFC0" w14:textId="77777777" w:rsidR="004942B6" w:rsidRPr="000165D7" w:rsidRDefault="004942B6" w:rsidP="002C2525">
            <w:pPr>
              <w:spacing w:line="360" w:lineRule="auto"/>
              <w:jc w:val="both"/>
              <w:rPr>
                <w:b/>
                <w:bCs/>
                <w:sz w:val="24"/>
                <w:szCs w:val="24"/>
              </w:rPr>
            </w:pPr>
          </w:p>
        </w:tc>
        <w:tc>
          <w:tcPr>
            <w:tcW w:w="1283" w:type="dxa"/>
          </w:tcPr>
          <w:p w14:paraId="03A6945B" w14:textId="77777777" w:rsidR="004942B6" w:rsidRPr="000165D7" w:rsidRDefault="004942B6" w:rsidP="002C2525">
            <w:pPr>
              <w:spacing w:line="360" w:lineRule="auto"/>
              <w:jc w:val="both"/>
              <w:rPr>
                <w:b/>
                <w:bCs/>
                <w:sz w:val="24"/>
                <w:szCs w:val="24"/>
              </w:rPr>
            </w:pPr>
            <w:r>
              <w:rPr>
                <w:b/>
                <w:bCs/>
                <w:sz w:val="24"/>
                <w:szCs w:val="24"/>
              </w:rPr>
              <w:t xml:space="preserve"> EQ-VAS </w:t>
            </w:r>
          </w:p>
        </w:tc>
        <w:tc>
          <w:tcPr>
            <w:tcW w:w="1417" w:type="dxa"/>
          </w:tcPr>
          <w:p w14:paraId="2896251A" w14:textId="77777777" w:rsidR="004942B6" w:rsidRDefault="004942B6" w:rsidP="002C2525">
            <w:pPr>
              <w:spacing w:line="360" w:lineRule="auto"/>
              <w:jc w:val="both"/>
              <w:rPr>
                <w:b/>
                <w:bCs/>
                <w:sz w:val="24"/>
                <w:szCs w:val="24"/>
              </w:rPr>
            </w:pPr>
            <w:r>
              <w:rPr>
                <w:b/>
                <w:bCs/>
                <w:sz w:val="24"/>
                <w:szCs w:val="24"/>
              </w:rPr>
              <w:t>EQ-indexed</w:t>
            </w:r>
          </w:p>
        </w:tc>
        <w:tc>
          <w:tcPr>
            <w:tcW w:w="1418" w:type="dxa"/>
          </w:tcPr>
          <w:p w14:paraId="231A1935" w14:textId="77777777" w:rsidR="004942B6" w:rsidRPr="000165D7" w:rsidRDefault="004942B6" w:rsidP="002C2525">
            <w:pPr>
              <w:spacing w:line="360" w:lineRule="auto"/>
              <w:jc w:val="both"/>
              <w:rPr>
                <w:b/>
                <w:bCs/>
                <w:sz w:val="24"/>
                <w:szCs w:val="24"/>
              </w:rPr>
            </w:pPr>
            <w:r>
              <w:rPr>
                <w:b/>
                <w:bCs/>
                <w:sz w:val="24"/>
                <w:szCs w:val="24"/>
              </w:rPr>
              <w:t>Actual</w:t>
            </w:r>
          </w:p>
        </w:tc>
        <w:tc>
          <w:tcPr>
            <w:tcW w:w="1275" w:type="dxa"/>
          </w:tcPr>
          <w:p w14:paraId="3B45DA06" w14:textId="77777777" w:rsidR="004942B6" w:rsidRDefault="004942B6" w:rsidP="002C2525">
            <w:pPr>
              <w:spacing w:line="360" w:lineRule="auto"/>
              <w:jc w:val="both"/>
              <w:rPr>
                <w:b/>
                <w:bCs/>
                <w:sz w:val="24"/>
                <w:szCs w:val="24"/>
              </w:rPr>
            </w:pPr>
            <w:r>
              <w:rPr>
                <w:b/>
                <w:bCs/>
                <w:sz w:val="24"/>
                <w:szCs w:val="24"/>
              </w:rPr>
              <w:t>Virtual</w:t>
            </w:r>
          </w:p>
        </w:tc>
        <w:tc>
          <w:tcPr>
            <w:tcW w:w="1418" w:type="dxa"/>
          </w:tcPr>
          <w:p w14:paraId="01C9F4DF" w14:textId="77777777" w:rsidR="004942B6" w:rsidRDefault="004942B6" w:rsidP="002C2525">
            <w:pPr>
              <w:spacing w:line="360" w:lineRule="auto"/>
              <w:jc w:val="both"/>
              <w:rPr>
                <w:b/>
                <w:bCs/>
                <w:sz w:val="24"/>
                <w:szCs w:val="24"/>
              </w:rPr>
            </w:pPr>
            <w:r>
              <w:rPr>
                <w:b/>
                <w:bCs/>
                <w:sz w:val="24"/>
                <w:szCs w:val="24"/>
              </w:rPr>
              <w:t>Actual</w:t>
            </w:r>
          </w:p>
        </w:tc>
        <w:tc>
          <w:tcPr>
            <w:tcW w:w="1479" w:type="dxa"/>
          </w:tcPr>
          <w:p w14:paraId="3BC3B693" w14:textId="77777777" w:rsidR="004942B6" w:rsidRDefault="004942B6" w:rsidP="002C2525">
            <w:pPr>
              <w:spacing w:line="360" w:lineRule="auto"/>
              <w:jc w:val="both"/>
              <w:rPr>
                <w:b/>
                <w:bCs/>
                <w:sz w:val="24"/>
                <w:szCs w:val="24"/>
              </w:rPr>
            </w:pPr>
            <w:r>
              <w:rPr>
                <w:b/>
                <w:bCs/>
                <w:sz w:val="24"/>
                <w:szCs w:val="24"/>
              </w:rPr>
              <w:t>Virtual</w:t>
            </w:r>
          </w:p>
        </w:tc>
      </w:tr>
      <w:tr w:rsidR="004942B6" w14:paraId="6495E383" w14:textId="77777777" w:rsidTr="002C2525">
        <w:trPr>
          <w:trHeight w:val="326"/>
        </w:trPr>
        <w:tc>
          <w:tcPr>
            <w:tcW w:w="986" w:type="dxa"/>
          </w:tcPr>
          <w:p w14:paraId="57A5DC68" w14:textId="77777777" w:rsidR="004942B6" w:rsidRDefault="004942B6" w:rsidP="002C2525">
            <w:pPr>
              <w:spacing w:line="360" w:lineRule="auto"/>
              <w:jc w:val="both"/>
            </w:pPr>
            <w:r w:rsidRPr="00010911">
              <w:t>D1</w:t>
            </w:r>
          </w:p>
        </w:tc>
        <w:tc>
          <w:tcPr>
            <w:tcW w:w="1283" w:type="dxa"/>
            <w:vAlign w:val="bottom"/>
          </w:tcPr>
          <w:p w14:paraId="1105581A" w14:textId="77777777" w:rsidR="004942B6" w:rsidRDefault="004942B6" w:rsidP="002C2525">
            <w:pPr>
              <w:spacing w:line="360" w:lineRule="auto"/>
              <w:jc w:val="both"/>
            </w:pPr>
            <w:r>
              <w:rPr>
                <w:rFonts w:ascii="Calibri" w:hAnsi="Calibri" w:cs="Calibri"/>
                <w:color w:val="000000"/>
              </w:rPr>
              <w:t>40</w:t>
            </w:r>
          </w:p>
        </w:tc>
        <w:tc>
          <w:tcPr>
            <w:tcW w:w="1417" w:type="dxa"/>
          </w:tcPr>
          <w:p w14:paraId="15119A84" w14:textId="77777777" w:rsidR="004942B6" w:rsidRDefault="004942B6" w:rsidP="002C2525">
            <w:pPr>
              <w:spacing w:line="360" w:lineRule="auto"/>
              <w:jc w:val="both"/>
            </w:pPr>
            <w:r>
              <w:t>0.75</w:t>
            </w:r>
          </w:p>
        </w:tc>
        <w:tc>
          <w:tcPr>
            <w:tcW w:w="1418" w:type="dxa"/>
          </w:tcPr>
          <w:p w14:paraId="5F616EDA" w14:textId="77777777" w:rsidR="004942B6" w:rsidRDefault="004942B6" w:rsidP="002C2525">
            <w:pPr>
              <w:spacing w:line="360" w:lineRule="auto"/>
              <w:jc w:val="both"/>
            </w:pPr>
            <w:r>
              <w:rPr>
                <w:rFonts w:ascii="Calibri" w:hAnsi="Calibri" w:cs="Calibri"/>
                <w:color w:val="000000"/>
              </w:rPr>
              <w:t>75</w:t>
            </w:r>
          </w:p>
        </w:tc>
        <w:tc>
          <w:tcPr>
            <w:tcW w:w="1275" w:type="dxa"/>
          </w:tcPr>
          <w:p w14:paraId="37E6842D" w14:textId="79962981" w:rsidR="004942B6" w:rsidRDefault="00A94D14" w:rsidP="002C2525">
            <w:pPr>
              <w:spacing w:line="360" w:lineRule="auto"/>
              <w:jc w:val="both"/>
            </w:pPr>
            <w:r>
              <w:t>80</w:t>
            </w:r>
          </w:p>
        </w:tc>
        <w:tc>
          <w:tcPr>
            <w:tcW w:w="1418" w:type="dxa"/>
          </w:tcPr>
          <w:p w14:paraId="21698A2A" w14:textId="77777777" w:rsidR="004942B6" w:rsidRDefault="004942B6" w:rsidP="002C2525">
            <w:pPr>
              <w:spacing w:line="360" w:lineRule="auto"/>
              <w:jc w:val="both"/>
            </w:pPr>
            <w:r>
              <w:t>0.87</w:t>
            </w:r>
          </w:p>
        </w:tc>
        <w:tc>
          <w:tcPr>
            <w:tcW w:w="1479" w:type="dxa"/>
          </w:tcPr>
          <w:p w14:paraId="68E64299" w14:textId="2257B18D" w:rsidR="004942B6" w:rsidRDefault="004942B6" w:rsidP="002C2525">
            <w:pPr>
              <w:spacing w:line="360" w:lineRule="auto"/>
              <w:jc w:val="both"/>
            </w:pPr>
            <w:r>
              <w:t>0.</w:t>
            </w:r>
            <w:r w:rsidR="00A94D14">
              <w:t>90</w:t>
            </w:r>
          </w:p>
        </w:tc>
      </w:tr>
      <w:tr w:rsidR="004942B6" w14:paraId="2B14F76F" w14:textId="77777777" w:rsidTr="002C2525">
        <w:tc>
          <w:tcPr>
            <w:tcW w:w="986" w:type="dxa"/>
          </w:tcPr>
          <w:p w14:paraId="65460310" w14:textId="77777777" w:rsidR="004942B6" w:rsidRDefault="004942B6" w:rsidP="002C2525">
            <w:pPr>
              <w:spacing w:line="360" w:lineRule="auto"/>
              <w:jc w:val="both"/>
            </w:pPr>
            <w:r>
              <w:t>D7</w:t>
            </w:r>
          </w:p>
        </w:tc>
        <w:tc>
          <w:tcPr>
            <w:tcW w:w="1283" w:type="dxa"/>
            <w:vAlign w:val="bottom"/>
          </w:tcPr>
          <w:p w14:paraId="49F05AEC" w14:textId="77777777" w:rsidR="004942B6" w:rsidRDefault="004942B6" w:rsidP="002C2525">
            <w:pPr>
              <w:spacing w:line="360" w:lineRule="auto"/>
              <w:jc w:val="both"/>
            </w:pPr>
            <w:r>
              <w:rPr>
                <w:rFonts w:ascii="Calibri" w:hAnsi="Calibri" w:cs="Calibri"/>
                <w:color w:val="000000"/>
              </w:rPr>
              <w:t>80</w:t>
            </w:r>
          </w:p>
        </w:tc>
        <w:tc>
          <w:tcPr>
            <w:tcW w:w="1417" w:type="dxa"/>
          </w:tcPr>
          <w:p w14:paraId="24DCEEF8" w14:textId="77777777" w:rsidR="004942B6" w:rsidRPr="009B05D9" w:rsidRDefault="004942B6" w:rsidP="002C2525">
            <w:pPr>
              <w:spacing w:line="360" w:lineRule="auto"/>
              <w:jc w:val="both"/>
              <w:rPr>
                <w:color w:val="000000" w:themeColor="text1"/>
              </w:rPr>
            </w:pPr>
            <w:r>
              <w:rPr>
                <w:color w:val="000000" w:themeColor="text1"/>
              </w:rPr>
              <w:t>0.89</w:t>
            </w:r>
          </w:p>
        </w:tc>
        <w:tc>
          <w:tcPr>
            <w:tcW w:w="1418" w:type="dxa"/>
          </w:tcPr>
          <w:p w14:paraId="4AC874C3" w14:textId="77777777" w:rsidR="004942B6" w:rsidRPr="009B05D9" w:rsidRDefault="004942B6" w:rsidP="002C2525">
            <w:pPr>
              <w:spacing w:line="360" w:lineRule="auto"/>
              <w:jc w:val="both"/>
              <w:rPr>
                <w:color w:val="000000" w:themeColor="text1"/>
              </w:rPr>
            </w:pPr>
            <w:r>
              <w:rPr>
                <w:rFonts w:ascii="Calibri" w:hAnsi="Calibri" w:cs="Calibri"/>
                <w:color w:val="000000"/>
              </w:rPr>
              <w:t>90</w:t>
            </w:r>
          </w:p>
        </w:tc>
        <w:tc>
          <w:tcPr>
            <w:tcW w:w="1275" w:type="dxa"/>
          </w:tcPr>
          <w:p w14:paraId="0734406C" w14:textId="77777777" w:rsidR="004942B6" w:rsidRDefault="004942B6" w:rsidP="002C2525">
            <w:pPr>
              <w:spacing w:line="360" w:lineRule="auto"/>
              <w:jc w:val="both"/>
            </w:pPr>
            <w:r>
              <w:t>90</w:t>
            </w:r>
          </w:p>
        </w:tc>
        <w:tc>
          <w:tcPr>
            <w:tcW w:w="1418" w:type="dxa"/>
          </w:tcPr>
          <w:p w14:paraId="7A983211" w14:textId="77777777" w:rsidR="004942B6" w:rsidRDefault="004942B6" w:rsidP="002C2525">
            <w:pPr>
              <w:spacing w:line="360" w:lineRule="auto"/>
              <w:jc w:val="both"/>
            </w:pPr>
            <w:r>
              <w:t>0.92</w:t>
            </w:r>
          </w:p>
        </w:tc>
        <w:tc>
          <w:tcPr>
            <w:tcW w:w="1479" w:type="dxa"/>
          </w:tcPr>
          <w:p w14:paraId="3BC5B747" w14:textId="77777777" w:rsidR="004942B6" w:rsidRDefault="004942B6" w:rsidP="002C2525">
            <w:pPr>
              <w:spacing w:line="360" w:lineRule="auto"/>
              <w:jc w:val="both"/>
            </w:pPr>
            <w:r>
              <w:t>0.92</w:t>
            </w:r>
          </w:p>
        </w:tc>
      </w:tr>
      <w:tr w:rsidR="004942B6" w14:paraId="4087758B" w14:textId="77777777" w:rsidTr="002C2525">
        <w:tc>
          <w:tcPr>
            <w:tcW w:w="986" w:type="dxa"/>
          </w:tcPr>
          <w:p w14:paraId="5E653297" w14:textId="77777777" w:rsidR="004942B6" w:rsidRDefault="004942B6" w:rsidP="002C2525">
            <w:pPr>
              <w:spacing w:line="360" w:lineRule="auto"/>
              <w:jc w:val="both"/>
            </w:pPr>
            <w:r w:rsidRPr="00010911">
              <w:t>D20</w:t>
            </w:r>
          </w:p>
        </w:tc>
        <w:tc>
          <w:tcPr>
            <w:tcW w:w="1283" w:type="dxa"/>
            <w:vAlign w:val="bottom"/>
          </w:tcPr>
          <w:p w14:paraId="6B52BFD1" w14:textId="77777777" w:rsidR="004942B6" w:rsidRDefault="004942B6" w:rsidP="002C2525">
            <w:pPr>
              <w:spacing w:line="360" w:lineRule="auto"/>
              <w:jc w:val="both"/>
            </w:pPr>
            <w:r>
              <w:rPr>
                <w:rFonts w:ascii="Calibri" w:hAnsi="Calibri" w:cs="Calibri"/>
                <w:color w:val="000000"/>
              </w:rPr>
              <w:t>70</w:t>
            </w:r>
          </w:p>
        </w:tc>
        <w:tc>
          <w:tcPr>
            <w:tcW w:w="1417" w:type="dxa"/>
          </w:tcPr>
          <w:p w14:paraId="6095A385" w14:textId="77777777" w:rsidR="004942B6" w:rsidRPr="009B05D9" w:rsidRDefault="004942B6" w:rsidP="002C2525">
            <w:pPr>
              <w:spacing w:line="360" w:lineRule="auto"/>
              <w:jc w:val="both"/>
              <w:rPr>
                <w:color w:val="000000" w:themeColor="text1"/>
              </w:rPr>
            </w:pPr>
            <w:r>
              <w:rPr>
                <w:color w:val="000000" w:themeColor="text1"/>
              </w:rPr>
              <w:t>0.80</w:t>
            </w:r>
          </w:p>
        </w:tc>
        <w:tc>
          <w:tcPr>
            <w:tcW w:w="1418" w:type="dxa"/>
          </w:tcPr>
          <w:p w14:paraId="67AF030D" w14:textId="77777777" w:rsidR="004942B6" w:rsidRPr="009B05D9" w:rsidRDefault="004942B6" w:rsidP="002C2525">
            <w:pPr>
              <w:spacing w:line="360" w:lineRule="auto"/>
              <w:jc w:val="both"/>
              <w:rPr>
                <w:color w:val="000000" w:themeColor="text1"/>
              </w:rPr>
            </w:pPr>
            <w:r>
              <w:rPr>
                <w:rFonts w:ascii="Calibri" w:hAnsi="Calibri" w:cs="Calibri"/>
                <w:color w:val="000000"/>
              </w:rPr>
              <w:t>80</w:t>
            </w:r>
          </w:p>
        </w:tc>
        <w:tc>
          <w:tcPr>
            <w:tcW w:w="1275" w:type="dxa"/>
          </w:tcPr>
          <w:p w14:paraId="4014EC7A" w14:textId="1E67F156" w:rsidR="004942B6" w:rsidRDefault="004942B6" w:rsidP="002C2525">
            <w:pPr>
              <w:spacing w:line="360" w:lineRule="auto"/>
              <w:jc w:val="both"/>
            </w:pPr>
            <w:r>
              <w:t>8</w:t>
            </w:r>
            <w:r w:rsidR="00062DED">
              <w:t>5</w:t>
            </w:r>
          </w:p>
        </w:tc>
        <w:tc>
          <w:tcPr>
            <w:tcW w:w="1418" w:type="dxa"/>
          </w:tcPr>
          <w:p w14:paraId="7DC0ED97" w14:textId="77777777" w:rsidR="004942B6" w:rsidRDefault="004942B6" w:rsidP="002C2525">
            <w:pPr>
              <w:spacing w:line="360" w:lineRule="auto"/>
              <w:jc w:val="both"/>
            </w:pPr>
            <w:r>
              <w:t>0.85</w:t>
            </w:r>
          </w:p>
        </w:tc>
        <w:tc>
          <w:tcPr>
            <w:tcW w:w="1479" w:type="dxa"/>
          </w:tcPr>
          <w:p w14:paraId="6D67C1EC" w14:textId="2E63176F" w:rsidR="004942B6" w:rsidRDefault="004942B6" w:rsidP="002C2525">
            <w:pPr>
              <w:spacing w:line="360" w:lineRule="auto"/>
              <w:jc w:val="both"/>
            </w:pPr>
            <w:r>
              <w:t>0.8</w:t>
            </w:r>
            <w:r w:rsidR="00062DED">
              <w:t>8</w:t>
            </w:r>
          </w:p>
        </w:tc>
      </w:tr>
      <w:tr w:rsidR="004942B6" w14:paraId="17F97837" w14:textId="77777777" w:rsidTr="002C2525">
        <w:tc>
          <w:tcPr>
            <w:tcW w:w="986" w:type="dxa"/>
          </w:tcPr>
          <w:p w14:paraId="27B5243F" w14:textId="77777777" w:rsidR="004942B6" w:rsidRDefault="004942B6" w:rsidP="002C2525">
            <w:pPr>
              <w:spacing w:line="360" w:lineRule="auto"/>
              <w:jc w:val="both"/>
            </w:pPr>
            <w:r w:rsidRPr="00010911">
              <w:t>R4</w:t>
            </w:r>
          </w:p>
        </w:tc>
        <w:tc>
          <w:tcPr>
            <w:tcW w:w="1283" w:type="dxa"/>
            <w:vAlign w:val="bottom"/>
          </w:tcPr>
          <w:p w14:paraId="6B3C5B0D" w14:textId="77777777" w:rsidR="004942B6" w:rsidRDefault="004942B6" w:rsidP="002C2525">
            <w:pPr>
              <w:spacing w:line="360" w:lineRule="auto"/>
              <w:jc w:val="both"/>
            </w:pPr>
            <w:r>
              <w:rPr>
                <w:rFonts w:ascii="Calibri" w:hAnsi="Calibri" w:cs="Calibri"/>
                <w:color w:val="000000"/>
              </w:rPr>
              <w:t>70</w:t>
            </w:r>
          </w:p>
        </w:tc>
        <w:tc>
          <w:tcPr>
            <w:tcW w:w="1417" w:type="dxa"/>
          </w:tcPr>
          <w:p w14:paraId="057DFD95" w14:textId="77777777" w:rsidR="004942B6" w:rsidRPr="009B05D9" w:rsidRDefault="004942B6" w:rsidP="002C2525">
            <w:pPr>
              <w:spacing w:line="360" w:lineRule="auto"/>
              <w:jc w:val="both"/>
              <w:rPr>
                <w:color w:val="000000" w:themeColor="text1"/>
              </w:rPr>
            </w:pPr>
            <w:r>
              <w:rPr>
                <w:color w:val="000000" w:themeColor="text1"/>
              </w:rPr>
              <w:t>0.81</w:t>
            </w:r>
          </w:p>
        </w:tc>
        <w:tc>
          <w:tcPr>
            <w:tcW w:w="1418" w:type="dxa"/>
          </w:tcPr>
          <w:p w14:paraId="4D75FA58" w14:textId="77777777" w:rsidR="004942B6" w:rsidRPr="009B05D9" w:rsidRDefault="004942B6" w:rsidP="002C2525">
            <w:pPr>
              <w:spacing w:line="360" w:lineRule="auto"/>
              <w:jc w:val="both"/>
              <w:rPr>
                <w:color w:val="000000" w:themeColor="text1"/>
              </w:rPr>
            </w:pPr>
            <w:r>
              <w:rPr>
                <w:rFonts w:ascii="Calibri" w:hAnsi="Calibri" w:cs="Calibri"/>
                <w:color w:val="000000"/>
              </w:rPr>
              <w:t>85</w:t>
            </w:r>
          </w:p>
        </w:tc>
        <w:tc>
          <w:tcPr>
            <w:tcW w:w="1275" w:type="dxa"/>
          </w:tcPr>
          <w:p w14:paraId="4211EB2B" w14:textId="77777777" w:rsidR="004942B6" w:rsidRDefault="004942B6" w:rsidP="002C2525">
            <w:pPr>
              <w:spacing w:line="360" w:lineRule="auto"/>
              <w:jc w:val="both"/>
            </w:pPr>
            <w:r>
              <w:t>90</w:t>
            </w:r>
          </w:p>
        </w:tc>
        <w:tc>
          <w:tcPr>
            <w:tcW w:w="1418" w:type="dxa"/>
          </w:tcPr>
          <w:p w14:paraId="4477AB5C" w14:textId="77777777" w:rsidR="004942B6" w:rsidRDefault="004942B6" w:rsidP="002C2525">
            <w:pPr>
              <w:spacing w:line="360" w:lineRule="auto"/>
              <w:jc w:val="both"/>
            </w:pPr>
            <w:r>
              <w:t>0.84</w:t>
            </w:r>
          </w:p>
        </w:tc>
        <w:tc>
          <w:tcPr>
            <w:tcW w:w="1479" w:type="dxa"/>
          </w:tcPr>
          <w:p w14:paraId="3DF5C0FD" w14:textId="121316C5" w:rsidR="004942B6" w:rsidRDefault="004942B6" w:rsidP="002C2525">
            <w:pPr>
              <w:spacing w:line="360" w:lineRule="auto"/>
              <w:jc w:val="both"/>
            </w:pPr>
            <w:r>
              <w:t>0.9</w:t>
            </w:r>
            <w:r w:rsidR="00062DED">
              <w:t>7</w:t>
            </w:r>
          </w:p>
        </w:tc>
      </w:tr>
      <w:tr w:rsidR="004942B6" w14:paraId="6EFE634E" w14:textId="77777777" w:rsidTr="002C2525">
        <w:tc>
          <w:tcPr>
            <w:tcW w:w="986" w:type="dxa"/>
          </w:tcPr>
          <w:p w14:paraId="58858256" w14:textId="77777777" w:rsidR="004942B6" w:rsidRDefault="004942B6" w:rsidP="002C2525">
            <w:pPr>
              <w:spacing w:line="360" w:lineRule="auto"/>
              <w:jc w:val="both"/>
            </w:pPr>
            <w:r w:rsidRPr="00010911">
              <w:t>R6</w:t>
            </w:r>
          </w:p>
        </w:tc>
        <w:tc>
          <w:tcPr>
            <w:tcW w:w="1283" w:type="dxa"/>
            <w:vAlign w:val="bottom"/>
          </w:tcPr>
          <w:p w14:paraId="14E60B77" w14:textId="77777777" w:rsidR="004942B6" w:rsidRDefault="004942B6" w:rsidP="002C2525">
            <w:pPr>
              <w:spacing w:line="360" w:lineRule="auto"/>
              <w:jc w:val="both"/>
            </w:pPr>
            <w:r>
              <w:rPr>
                <w:rFonts w:ascii="Calibri" w:hAnsi="Calibri" w:cs="Calibri"/>
                <w:color w:val="000000"/>
              </w:rPr>
              <w:t>55</w:t>
            </w:r>
          </w:p>
        </w:tc>
        <w:tc>
          <w:tcPr>
            <w:tcW w:w="1417" w:type="dxa"/>
          </w:tcPr>
          <w:p w14:paraId="58528F1F" w14:textId="77777777" w:rsidR="004942B6" w:rsidRPr="009B05D9" w:rsidRDefault="004942B6" w:rsidP="002C2525">
            <w:pPr>
              <w:spacing w:line="360" w:lineRule="auto"/>
              <w:jc w:val="both"/>
              <w:rPr>
                <w:color w:val="000000" w:themeColor="text1"/>
              </w:rPr>
            </w:pPr>
            <w:r>
              <w:rPr>
                <w:color w:val="000000" w:themeColor="text1"/>
              </w:rPr>
              <w:t>0.64</w:t>
            </w:r>
          </w:p>
        </w:tc>
        <w:tc>
          <w:tcPr>
            <w:tcW w:w="1418" w:type="dxa"/>
          </w:tcPr>
          <w:p w14:paraId="72498F9F" w14:textId="77777777" w:rsidR="004942B6" w:rsidRPr="009B05D9" w:rsidRDefault="004942B6" w:rsidP="002C2525">
            <w:pPr>
              <w:spacing w:line="360" w:lineRule="auto"/>
              <w:jc w:val="both"/>
              <w:rPr>
                <w:color w:val="000000" w:themeColor="text1"/>
              </w:rPr>
            </w:pPr>
            <w:r>
              <w:rPr>
                <w:color w:val="000000" w:themeColor="text1"/>
              </w:rPr>
              <w:t>75</w:t>
            </w:r>
          </w:p>
        </w:tc>
        <w:tc>
          <w:tcPr>
            <w:tcW w:w="1275" w:type="dxa"/>
          </w:tcPr>
          <w:p w14:paraId="0B17AE2B" w14:textId="36586496" w:rsidR="004942B6" w:rsidRDefault="00062DED" w:rsidP="002C2525">
            <w:pPr>
              <w:spacing w:line="360" w:lineRule="auto"/>
              <w:jc w:val="both"/>
            </w:pPr>
            <w:r>
              <w:t>80</w:t>
            </w:r>
          </w:p>
        </w:tc>
        <w:tc>
          <w:tcPr>
            <w:tcW w:w="1418" w:type="dxa"/>
          </w:tcPr>
          <w:p w14:paraId="26814E36" w14:textId="77777777" w:rsidR="004942B6" w:rsidRDefault="004942B6" w:rsidP="002C2525">
            <w:pPr>
              <w:spacing w:line="360" w:lineRule="auto"/>
              <w:jc w:val="both"/>
            </w:pPr>
            <w:r>
              <w:t>0.76</w:t>
            </w:r>
          </w:p>
        </w:tc>
        <w:tc>
          <w:tcPr>
            <w:tcW w:w="1479" w:type="dxa"/>
          </w:tcPr>
          <w:p w14:paraId="49A235FF" w14:textId="4E8FAEAA" w:rsidR="004942B6" w:rsidRDefault="00062DED" w:rsidP="002C2525">
            <w:pPr>
              <w:spacing w:line="360" w:lineRule="auto"/>
              <w:jc w:val="both"/>
            </w:pPr>
            <w:r>
              <w:t>0.</w:t>
            </w:r>
            <w:r w:rsidR="00FD16E8">
              <w:t>79</w:t>
            </w:r>
          </w:p>
        </w:tc>
      </w:tr>
      <w:tr w:rsidR="004942B6" w14:paraId="1DC444C6" w14:textId="77777777" w:rsidTr="002C2525">
        <w:tc>
          <w:tcPr>
            <w:tcW w:w="986" w:type="dxa"/>
          </w:tcPr>
          <w:p w14:paraId="3034A837" w14:textId="77777777" w:rsidR="004942B6" w:rsidRDefault="004942B6" w:rsidP="002C2525">
            <w:pPr>
              <w:spacing w:line="360" w:lineRule="auto"/>
              <w:jc w:val="both"/>
            </w:pPr>
            <w:r>
              <w:t>D25</w:t>
            </w:r>
          </w:p>
        </w:tc>
        <w:tc>
          <w:tcPr>
            <w:tcW w:w="1283" w:type="dxa"/>
            <w:vAlign w:val="bottom"/>
          </w:tcPr>
          <w:p w14:paraId="6F2609A3" w14:textId="77777777" w:rsidR="004942B6" w:rsidRDefault="004942B6" w:rsidP="002C2525">
            <w:pPr>
              <w:spacing w:line="360" w:lineRule="auto"/>
              <w:jc w:val="both"/>
            </w:pPr>
            <w:r>
              <w:rPr>
                <w:rFonts w:ascii="Calibri" w:hAnsi="Calibri" w:cs="Calibri"/>
                <w:color w:val="000000"/>
              </w:rPr>
              <w:t>60</w:t>
            </w:r>
          </w:p>
        </w:tc>
        <w:tc>
          <w:tcPr>
            <w:tcW w:w="1417" w:type="dxa"/>
          </w:tcPr>
          <w:p w14:paraId="214CB33E" w14:textId="77777777" w:rsidR="004942B6" w:rsidRPr="009B05D9" w:rsidRDefault="004942B6" w:rsidP="002C2525">
            <w:pPr>
              <w:spacing w:line="360" w:lineRule="auto"/>
              <w:jc w:val="both"/>
              <w:rPr>
                <w:color w:val="000000" w:themeColor="text1"/>
              </w:rPr>
            </w:pPr>
            <w:r>
              <w:rPr>
                <w:color w:val="000000" w:themeColor="text1"/>
              </w:rPr>
              <w:t>0.77</w:t>
            </w:r>
          </w:p>
        </w:tc>
        <w:tc>
          <w:tcPr>
            <w:tcW w:w="1418" w:type="dxa"/>
          </w:tcPr>
          <w:p w14:paraId="16852346" w14:textId="77777777" w:rsidR="004942B6" w:rsidRPr="009B05D9" w:rsidRDefault="004942B6" w:rsidP="002C2525">
            <w:pPr>
              <w:spacing w:line="360" w:lineRule="auto"/>
              <w:jc w:val="both"/>
              <w:rPr>
                <w:color w:val="000000" w:themeColor="text1"/>
              </w:rPr>
            </w:pPr>
            <w:r>
              <w:rPr>
                <w:rFonts w:ascii="Calibri" w:hAnsi="Calibri" w:cs="Calibri"/>
                <w:color w:val="000000"/>
              </w:rPr>
              <w:t>75</w:t>
            </w:r>
          </w:p>
        </w:tc>
        <w:tc>
          <w:tcPr>
            <w:tcW w:w="1275" w:type="dxa"/>
          </w:tcPr>
          <w:p w14:paraId="0CA6EE6D" w14:textId="77777777" w:rsidR="004942B6" w:rsidRDefault="004942B6" w:rsidP="002C2525">
            <w:pPr>
              <w:spacing w:line="360" w:lineRule="auto"/>
              <w:jc w:val="both"/>
            </w:pPr>
            <w:r>
              <w:t>80</w:t>
            </w:r>
          </w:p>
        </w:tc>
        <w:tc>
          <w:tcPr>
            <w:tcW w:w="1418" w:type="dxa"/>
          </w:tcPr>
          <w:p w14:paraId="7B1595B3" w14:textId="77777777" w:rsidR="004942B6" w:rsidRDefault="004942B6" w:rsidP="002C2525">
            <w:pPr>
              <w:spacing w:line="360" w:lineRule="auto"/>
              <w:jc w:val="both"/>
            </w:pPr>
            <w:r>
              <w:t>0.83</w:t>
            </w:r>
          </w:p>
        </w:tc>
        <w:tc>
          <w:tcPr>
            <w:tcW w:w="1479" w:type="dxa"/>
          </w:tcPr>
          <w:p w14:paraId="061CE686" w14:textId="3BE12D2E" w:rsidR="004942B6" w:rsidRDefault="004942B6" w:rsidP="002C2525">
            <w:pPr>
              <w:spacing w:line="360" w:lineRule="auto"/>
              <w:jc w:val="both"/>
            </w:pPr>
            <w:r>
              <w:t>0.8</w:t>
            </w:r>
            <w:r w:rsidR="00FD16E8">
              <w:t>6</w:t>
            </w:r>
          </w:p>
        </w:tc>
      </w:tr>
      <w:tr w:rsidR="004942B6" w14:paraId="06EE727D" w14:textId="77777777" w:rsidTr="002C2525">
        <w:tc>
          <w:tcPr>
            <w:tcW w:w="986" w:type="dxa"/>
          </w:tcPr>
          <w:p w14:paraId="0D8F2C36" w14:textId="77777777" w:rsidR="004942B6" w:rsidRDefault="004942B6" w:rsidP="002C2525">
            <w:pPr>
              <w:spacing w:line="360" w:lineRule="auto"/>
              <w:jc w:val="both"/>
            </w:pPr>
            <w:r>
              <w:t>D26</w:t>
            </w:r>
          </w:p>
        </w:tc>
        <w:tc>
          <w:tcPr>
            <w:tcW w:w="1283" w:type="dxa"/>
            <w:vAlign w:val="bottom"/>
          </w:tcPr>
          <w:p w14:paraId="489FC3A5"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70</w:t>
            </w:r>
          </w:p>
        </w:tc>
        <w:tc>
          <w:tcPr>
            <w:tcW w:w="1417" w:type="dxa"/>
          </w:tcPr>
          <w:p w14:paraId="34217B57" w14:textId="77777777" w:rsidR="004942B6" w:rsidRDefault="004942B6" w:rsidP="002C2525">
            <w:pPr>
              <w:spacing w:line="360" w:lineRule="auto"/>
              <w:jc w:val="both"/>
              <w:rPr>
                <w:color w:val="000000" w:themeColor="text1"/>
              </w:rPr>
            </w:pPr>
            <w:r>
              <w:rPr>
                <w:color w:val="000000" w:themeColor="text1"/>
              </w:rPr>
              <w:t>0.81</w:t>
            </w:r>
          </w:p>
        </w:tc>
        <w:tc>
          <w:tcPr>
            <w:tcW w:w="1418" w:type="dxa"/>
          </w:tcPr>
          <w:p w14:paraId="03858FC0"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75</w:t>
            </w:r>
          </w:p>
        </w:tc>
        <w:tc>
          <w:tcPr>
            <w:tcW w:w="1275" w:type="dxa"/>
          </w:tcPr>
          <w:p w14:paraId="35E875BE" w14:textId="3117B578" w:rsidR="004942B6" w:rsidRDefault="004942B6" w:rsidP="002C2525">
            <w:pPr>
              <w:spacing w:line="360" w:lineRule="auto"/>
              <w:jc w:val="both"/>
            </w:pPr>
            <w:r>
              <w:t>8</w:t>
            </w:r>
            <w:r w:rsidR="00FD16E8">
              <w:t>0</w:t>
            </w:r>
          </w:p>
        </w:tc>
        <w:tc>
          <w:tcPr>
            <w:tcW w:w="1418" w:type="dxa"/>
          </w:tcPr>
          <w:p w14:paraId="31F9CE52" w14:textId="77777777" w:rsidR="004942B6" w:rsidRDefault="004942B6" w:rsidP="002C2525">
            <w:pPr>
              <w:spacing w:line="360" w:lineRule="auto"/>
              <w:jc w:val="both"/>
            </w:pPr>
            <w:r>
              <w:t>0.87</w:t>
            </w:r>
          </w:p>
        </w:tc>
        <w:tc>
          <w:tcPr>
            <w:tcW w:w="1479" w:type="dxa"/>
          </w:tcPr>
          <w:p w14:paraId="576CE087" w14:textId="1F5DFB4F" w:rsidR="004942B6" w:rsidRDefault="004942B6" w:rsidP="002C2525">
            <w:pPr>
              <w:spacing w:line="360" w:lineRule="auto"/>
              <w:jc w:val="both"/>
            </w:pPr>
            <w:r>
              <w:t>0.9</w:t>
            </w:r>
            <w:r w:rsidR="00FD16E8">
              <w:t>0</w:t>
            </w:r>
          </w:p>
        </w:tc>
      </w:tr>
      <w:tr w:rsidR="004942B6" w14:paraId="71963D06" w14:textId="77777777" w:rsidTr="002C2525">
        <w:tc>
          <w:tcPr>
            <w:tcW w:w="986" w:type="dxa"/>
          </w:tcPr>
          <w:p w14:paraId="04AAD7EA" w14:textId="77777777" w:rsidR="004942B6" w:rsidRDefault="004942B6" w:rsidP="002C2525">
            <w:pPr>
              <w:spacing w:line="360" w:lineRule="auto"/>
              <w:jc w:val="both"/>
            </w:pPr>
            <w:r w:rsidRPr="00010911">
              <w:t>D2</w:t>
            </w:r>
            <w:r>
              <w:t>7</w:t>
            </w:r>
          </w:p>
        </w:tc>
        <w:tc>
          <w:tcPr>
            <w:tcW w:w="1283" w:type="dxa"/>
            <w:vAlign w:val="bottom"/>
          </w:tcPr>
          <w:p w14:paraId="2929EFD2" w14:textId="77777777" w:rsidR="004942B6" w:rsidRDefault="004942B6" w:rsidP="002C2525">
            <w:pPr>
              <w:spacing w:line="360" w:lineRule="auto"/>
              <w:jc w:val="both"/>
            </w:pPr>
            <w:r>
              <w:rPr>
                <w:rFonts w:ascii="Calibri" w:hAnsi="Calibri" w:cs="Calibri"/>
                <w:color w:val="000000"/>
              </w:rPr>
              <w:t>35</w:t>
            </w:r>
          </w:p>
        </w:tc>
        <w:tc>
          <w:tcPr>
            <w:tcW w:w="1417" w:type="dxa"/>
          </w:tcPr>
          <w:p w14:paraId="48E20D87" w14:textId="77777777" w:rsidR="004942B6" w:rsidRPr="009B05D9" w:rsidRDefault="004942B6" w:rsidP="002C2525">
            <w:pPr>
              <w:spacing w:line="360" w:lineRule="auto"/>
              <w:jc w:val="both"/>
              <w:rPr>
                <w:color w:val="000000" w:themeColor="text1"/>
              </w:rPr>
            </w:pPr>
            <w:r>
              <w:rPr>
                <w:color w:val="000000" w:themeColor="text1"/>
              </w:rPr>
              <w:t>0.54</w:t>
            </w:r>
          </w:p>
        </w:tc>
        <w:tc>
          <w:tcPr>
            <w:tcW w:w="1418" w:type="dxa"/>
          </w:tcPr>
          <w:p w14:paraId="232DBD66" w14:textId="77777777" w:rsidR="004942B6" w:rsidRPr="009B05D9" w:rsidRDefault="004942B6" w:rsidP="002C2525">
            <w:pPr>
              <w:spacing w:line="360" w:lineRule="auto"/>
              <w:jc w:val="both"/>
              <w:rPr>
                <w:color w:val="000000" w:themeColor="text1"/>
              </w:rPr>
            </w:pPr>
            <w:r>
              <w:rPr>
                <w:color w:val="000000" w:themeColor="text1"/>
              </w:rPr>
              <w:t>60</w:t>
            </w:r>
          </w:p>
        </w:tc>
        <w:tc>
          <w:tcPr>
            <w:tcW w:w="1275" w:type="dxa"/>
          </w:tcPr>
          <w:p w14:paraId="2CC7C53A" w14:textId="77777777" w:rsidR="004942B6" w:rsidRDefault="004942B6" w:rsidP="002C2525">
            <w:pPr>
              <w:spacing w:line="360" w:lineRule="auto"/>
              <w:jc w:val="both"/>
            </w:pPr>
            <w:r>
              <w:t>70</w:t>
            </w:r>
          </w:p>
        </w:tc>
        <w:tc>
          <w:tcPr>
            <w:tcW w:w="1418" w:type="dxa"/>
          </w:tcPr>
          <w:p w14:paraId="06E60D61" w14:textId="77777777" w:rsidR="004942B6" w:rsidRDefault="004942B6" w:rsidP="002C2525">
            <w:pPr>
              <w:spacing w:line="360" w:lineRule="auto"/>
              <w:jc w:val="both"/>
            </w:pPr>
            <w:r>
              <w:t>0.69</w:t>
            </w:r>
          </w:p>
        </w:tc>
        <w:tc>
          <w:tcPr>
            <w:tcW w:w="1479" w:type="dxa"/>
          </w:tcPr>
          <w:p w14:paraId="429BE468" w14:textId="77777777" w:rsidR="004942B6" w:rsidRDefault="004942B6" w:rsidP="002C2525">
            <w:pPr>
              <w:spacing w:line="360" w:lineRule="auto"/>
              <w:jc w:val="both"/>
            </w:pPr>
            <w:r>
              <w:t>0.74</w:t>
            </w:r>
          </w:p>
        </w:tc>
      </w:tr>
      <w:tr w:rsidR="004942B6" w14:paraId="1F54E3D3" w14:textId="77777777" w:rsidTr="002C2525">
        <w:tc>
          <w:tcPr>
            <w:tcW w:w="986" w:type="dxa"/>
          </w:tcPr>
          <w:p w14:paraId="2BB007D1" w14:textId="77777777" w:rsidR="004942B6" w:rsidRDefault="004942B6" w:rsidP="002C2525">
            <w:pPr>
              <w:spacing w:line="360" w:lineRule="auto"/>
              <w:jc w:val="both"/>
            </w:pPr>
            <w:r>
              <w:t>D28</w:t>
            </w:r>
          </w:p>
        </w:tc>
        <w:tc>
          <w:tcPr>
            <w:tcW w:w="1283" w:type="dxa"/>
            <w:vAlign w:val="bottom"/>
          </w:tcPr>
          <w:p w14:paraId="1B28A17D" w14:textId="77777777" w:rsidR="004942B6" w:rsidRDefault="004942B6" w:rsidP="002C2525">
            <w:pPr>
              <w:spacing w:line="360" w:lineRule="auto"/>
              <w:jc w:val="both"/>
            </w:pPr>
            <w:r>
              <w:rPr>
                <w:rFonts w:ascii="Calibri" w:hAnsi="Calibri" w:cs="Calibri"/>
                <w:color w:val="000000"/>
              </w:rPr>
              <w:t>80</w:t>
            </w:r>
          </w:p>
        </w:tc>
        <w:tc>
          <w:tcPr>
            <w:tcW w:w="1417" w:type="dxa"/>
          </w:tcPr>
          <w:p w14:paraId="00C7F39C" w14:textId="77777777" w:rsidR="004942B6" w:rsidRPr="009B05D9" w:rsidRDefault="004942B6" w:rsidP="002C2525">
            <w:pPr>
              <w:spacing w:line="360" w:lineRule="auto"/>
              <w:jc w:val="both"/>
              <w:rPr>
                <w:color w:val="000000" w:themeColor="text1"/>
              </w:rPr>
            </w:pPr>
            <w:r>
              <w:rPr>
                <w:color w:val="000000" w:themeColor="text1"/>
              </w:rPr>
              <w:t>0.86</w:t>
            </w:r>
          </w:p>
        </w:tc>
        <w:tc>
          <w:tcPr>
            <w:tcW w:w="1418" w:type="dxa"/>
          </w:tcPr>
          <w:p w14:paraId="11D947D2" w14:textId="77777777" w:rsidR="004942B6" w:rsidRPr="009B05D9" w:rsidRDefault="004942B6" w:rsidP="002C2525">
            <w:pPr>
              <w:spacing w:line="360" w:lineRule="auto"/>
              <w:jc w:val="both"/>
              <w:rPr>
                <w:color w:val="000000" w:themeColor="text1"/>
              </w:rPr>
            </w:pPr>
            <w:r>
              <w:rPr>
                <w:color w:val="000000" w:themeColor="text1"/>
              </w:rPr>
              <w:t>90</w:t>
            </w:r>
          </w:p>
        </w:tc>
        <w:tc>
          <w:tcPr>
            <w:tcW w:w="1275" w:type="dxa"/>
          </w:tcPr>
          <w:p w14:paraId="57A4F3D8" w14:textId="77777777" w:rsidR="004942B6" w:rsidRDefault="004942B6" w:rsidP="002C2525">
            <w:pPr>
              <w:spacing w:line="360" w:lineRule="auto"/>
              <w:jc w:val="both"/>
            </w:pPr>
            <w:r>
              <w:t>95</w:t>
            </w:r>
          </w:p>
        </w:tc>
        <w:tc>
          <w:tcPr>
            <w:tcW w:w="1418" w:type="dxa"/>
          </w:tcPr>
          <w:p w14:paraId="6E2B7F6B" w14:textId="77777777" w:rsidR="004942B6" w:rsidRDefault="004942B6" w:rsidP="002C2525">
            <w:pPr>
              <w:spacing w:line="360" w:lineRule="auto"/>
              <w:jc w:val="both"/>
            </w:pPr>
            <w:r>
              <w:t>0.92</w:t>
            </w:r>
          </w:p>
        </w:tc>
        <w:tc>
          <w:tcPr>
            <w:tcW w:w="1479" w:type="dxa"/>
          </w:tcPr>
          <w:p w14:paraId="15C41B38" w14:textId="38AF6AB8" w:rsidR="004942B6" w:rsidRDefault="004942B6" w:rsidP="002C2525">
            <w:pPr>
              <w:spacing w:line="360" w:lineRule="auto"/>
              <w:jc w:val="both"/>
            </w:pPr>
            <w:r>
              <w:t>0.9</w:t>
            </w:r>
            <w:r w:rsidR="00943E9D">
              <w:t>5</w:t>
            </w:r>
          </w:p>
        </w:tc>
      </w:tr>
      <w:tr w:rsidR="004942B6" w14:paraId="23AF3695" w14:textId="77777777" w:rsidTr="002C2525">
        <w:tc>
          <w:tcPr>
            <w:tcW w:w="986" w:type="dxa"/>
          </w:tcPr>
          <w:p w14:paraId="16B4DD23" w14:textId="77777777" w:rsidR="004942B6" w:rsidRPr="00FD1D5A" w:rsidRDefault="004942B6" w:rsidP="002C2525">
            <w:pPr>
              <w:spacing w:line="360" w:lineRule="auto"/>
              <w:jc w:val="both"/>
            </w:pPr>
            <w:r w:rsidRPr="00010911">
              <w:t>D</w:t>
            </w:r>
            <w:r>
              <w:t>33</w:t>
            </w:r>
          </w:p>
        </w:tc>
        <w:tc>
          <w:tcPr>
            <w:tcW w:w="1283" w:type="dxa"/>
            <w:vAlign w:val="bottom"/>
          </w:tcPr>
          <w:p w14:paraId="33944622"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60</w:t>
            </w:r>
          </w:p>
        </w:tc>
        <w:tc>
          <w:tcPr>
            <w:tcW w:w="1417" w:type="dxa"/>
          </w:tcPr>
          <w:p w14:paraId="5A534597" w14:textId="77777777" w:rsidR="004942B6" w:rsidRPr="009B05D9" w:rsidRDefault="004942B6" w:rsidP="002C2525">
            <w:pPr>
              <w:spacing w:line="360" w:lineRule="auto"/>
              <w:jc w:val="both"/>
              <w:rPr>
                <w:color w:val="000000" w:themeColor="text1"/>
              </w:rPr>
            </w:pPr>
            <w:r>
              <w:rPr>
                <w:color w:val="000000" w:themeColor="text1"/>
              </w:rPr>
              <w:t>0.70</w:t>
            </w:r>
          </w:p>
        </w:tc>
        <w:tc>
          <w:tcPr>
            <w:tcW w:w="1418" w:type="dxa"/>
          </w:tcPr>
          <w:p w14:paraId="47A19762" w14:textId="77777777" w:rsidR="004942B6" w:rsidRPr="009B05D9" w:rsidRDefault="004942B6" w:rsidP="002C2525">
            <w:pPr>
              <w:spacing w:line="360" w:lineRule="auto"/>
              <w:jc w:val="both"/>
              <w:rPr>
                <w:color w:val="000000" w:themeColor="text1"/>
              </w:rPr>
            </w:pPr>
            <w:r>
              <w:rPr>
                <w:color w:val="000000" w:themeColor="text1"/>
              </w:rPr>
              <w:t>70</w:t>
            </w:r>
          </w:p>
        </w:tc>
        <w:tc>
          <w:tcPr>
            <w:tcW w:w="1275" w:type="dxa"/>
          </w:tcPr>
          <w:p w14:paraId="1D39692A" w14:textId="3F82A382" w:rsidR="004942B6" w:rsidRDefault="00943E9D" w:rsidP="002C2525">
            <w:pPr>
              <w:spacing w:line="360" w:lineRule="auto"/>
              <w:jc w:val="both"/>
            </w:pPr>
            <w:r>
              <w:t>75</w:t>
            </w:r>
          </w:p>
        </w:tc>
        <w:tc>
          <w:tcPr>
            <w:tcW w:w="1418" w:type="dxa"/>
          </w:tcPr>
          <w:p w14:paraId="3E842C93" w14:textId="77777777" w:rsidR="004942B6" w:rsidRDefault="004942B6" w:rsidP="002C2525">
            <w:pPr>
              <w:spacing w:line="360" w:lineRule="auto"/>
              <w:jc w:val="both"/>
            </w:pPr>
            <w:r>
              <w:t>0.73</w:t>
            </w:r>
          </w:p>
        </w:tc>
        <w:tc>
          <w:tcPr>
            <w:tcW w:w="1479" w:type="dxa"/>
          </w:tcPr>
          <w:p w14:paraId="6FAEE5B5" w14:textId="2D94CE06" w:rsidR="004942B6" w:rsidRDefault="004942B6" w:rsidP="002C2525">
            <w:pPr>
              <w:spacing w:line="360" w:lineRule="auto"/>
              <w:jc w:val="both"/>
            </w:pPr>
            <w:r>
              <w:t>0.7</w:t>
            </w:r>
            <w:r w:rsidR="00943E9D">
              <w:t>6</w:t>
            </w:r>
          </w:p>
        </w:tc>
      </w:tr>
      <w:tr w:rsidR="004942B6" w14:paraId="671C1AAB" w14:textId="77777777" w:rsidTr="002C2525">
        <w:tc>
          <w:tcPr>
            <w:tcW w:w="986" w:type="dxa"/>
          </w:tcPr>
          <w:p w14:paraId="13CDC647" w14:textId="77777777" w:rsidR="004942B6" w:rsidRDefault="004942B6" w:rsidP="002C2525">
            <w:pPr>
              <w:spacing w:line="360" w:lineRule="auto"/>
              <w:jc w:val="both"/>
            </w:pPr>
            <w:r>
              <w:t>R12</w:t>
            </w:r>
          </w:p>
        </w:tc>
        <w:tc>
          <w:tcPr>
            <w:tcW w:w="1283" w:type="dxa"/>
            <w:vAlign w:val="bottom"/>
          </w:tcPr>
          <w:p w14:paraId="583C4498" w14:textId="77777777" w:rsidR="004942B6" w:rsidRDefault="004942B6" w:rsidP="002C2525">
            <w:pPr>
              <w:spacing w:line="360" w:lineRule="auto"/>
              <w:jc w:val="both"/>
            </w:pPr>
            <w:r>
              <w:rPr>
                <w:rFonts w:ascii="Calibri" w:hAnsi="Calibri" w:cs="Calibri"/>
                <w:color w:val="000000"/>
              </w:rPr>
              <w:t>50</w:t>
            </w:r>
          </w:p>
        </w:tc>
        <w:tc>
          <w:tcPr>
            <w:tcW w:w="1417" w:type="dxa"/>
          </w:tcPr>
          <w:p w14:paraId="1B205AE8" w14:textId="77777777" w:rsidR="004942B6" w:rsidRPr="009B05D9" w:rsidRDefault="004942B6" w:rsidP="002C2525">
            <w:pPr>
              <w:spacing w:line="360" w:lineRule="auto"/>
              <w:jc w:val="both"/>
              <w:rPr>
                <w:color w:val="000000" w:themeColor="text1"/>
              </w:rPr>
            </w:pPr>
            <w:r>
              <w:rPr>
                <w:color w:val="000000" w:themeColor="text1"/>
              </w:rPr>
              <w:t>0.69</w:t>
            </w:r>
          </w:p>
        </w:tc>
        <w:tc>
          <w:tcPr>
            <w:tcW w:w="1418" w:type="dxa"/>
          </w:tcPr>
          <w:p w14:paraId="434C2809" w14:textId="77777777" w:rsidR="004942B6" w:rsidRPr="009B05D9" w:rsidRDefault="004942B6" w:rsidP="002C2525">
            <w:pPr>
              <w:spacing w:line="360" w:lineRule="auto"/>
              <w:jc w:val="both"/>
              <w:rPr>
                <w:color w:val="000000" w:themeColor="text1"/>
              </w:rPr>
            </w:pPr>
            <w:r>
              <w:rPr>
                <w:color w:val="000000" w:themeColor="text1"/>
              </w:rPr>
              <w:t>70</w:t>
            </w:r>
          </w:p>
        </w:tc>
        <w:tc>
          <w:tcPr>
            <w:tcW w:w="1275" w:type="dxa"/>
          </w:tcPr>
          <w:p w14:paraId="5BA8AC1F" w14:textId="77777777" w:rsidR="004942B6" w:rsidRDefault="004942B6" w:rsidP="002C2525">
            <w:pPr>
              <w:spacing w:line="360" w:lineRule="auto"/>
              <w:jc w:val="both"/>
            </w:pPr>
            <w:r>
              <w:t>60</w:t>
            </w:r>
          </w:p>
        </w:tc>
        <w:tc>
          <w:tcPr>
            <w:tcW w:w="1418" w:type="dxa"/>
          </w:tcPr>
          <w:p w14:paraId="70E00CB5" w14:textId="77777777" w:rsidR="004942B6" w:rsidRDefault="004942B6" w:rsidP="002C2525">
            <w:pPr>
              <w:spacing w:line="360" w:lineRule="auto"/>
              <w:jc w:val="both"/>
            </w:pPr>
            <w:r>
              <w:t>0.76</w:t>
            </w:r>
          </w:p>
        </w:tc>
        <w:tc>
          <w:tcPr>
            <w:tcW w:w="1479" w:type="dxa"/>
          </w:tcPr>
          <w:p w14:paraId="5E5467B9" w14:textId="77777777" w:rsidR="004942B6" w:rsidRDefault="004942B6" w:rsidP="002C2525">
            <w:pPr>
              <w:spacing w:line="360" w:lineRule="auto"/>
              <w:jc w:val="both"/>
            </w:pPr>
            <w:r>
              <w:t>0.71</w:t>
            </w:r>
          </w:p>
        </w:tc>
      </w:tr>
      <w:tr w:rsidR="004942B6" w14:paraId="05CA90BF" w14:textId="77777777" w:rsidTr="002C2525">
        <w:tc>
          <w:tcPr>
            <w:tcW w:w="986" w:type="dxa"/>
          </w:tcPr>
          <w:p w14:paraId="3C37F2A1" w14:textId="77777777" w:rsidR="004942B6" w:rsidRPr="00FD1D5A" w:rsidRDefault="004942B6" w:rsidP="002C2525">
            <w:pPr>
              <w:spacing w:line="360" w:lineRule="auto"/>
              <w:jc w:val="both"/>
            </w:pPr>
            <w:r>
              <w:t>B7</w:t>
            </w:r>
          </w:p>
        </w:tc>
        <w:tc>
          <w:tcPr>
            <w:tcW w:w="1283" w:type="dxa"/>
            <w:vAlign w:val="bottom"/>
          </w:tcPr>
          <w:p w14:paraId="4963E287" w14:textId="77777777" w:rsidR="004942B6" w:rsidRDefault="004942B6" w:rsidP="002C2525">
            <w:pPr>
              <w:spacing w:line="360" w:lineRule="auto"/>
              <w:jc w:val="both"/>
              <w:rPr>
                <w:rFonts w:ascii="Calibri" w:hAnsi="Calibri" w:cs="Calibri"/>
                <w:color w:val="000000"/>
              </w:rPr>
            </w:pPr>
            <w:r>
              <w:t>80</w:t>
            </w:r>
          </w:p>
        </w:tc>
        <w:tc>
          <w:tcPr>
            <w:tcW w:w="1417" w:type="dxa"/>
          </w:tcPr>
          <w:p w14:paraId="17F63F4B" w14:textId="77777777" w:rsidR="004942B6" w:rsidRPr="009B05D9" w:rsidRDefault="004942B6" w:rsidP="002C2525">
            <w:pPr>
              <w:spacing w:line="360" w:lineRule="auto"/>
              <w:jc w:val="both"/>
              <w:rPr>
                <w:color w:val="000000" w:themeColor="text1"/>
              </w:rPr>
            </w:pPr>
            <w:r>
              <w:rPr>
                <w:color w:val="000000" w:themeColor="text1"/>
              </w:rPr>
              <w:t>0.79</w:t>
            </w:r>
          </w:p>
        </w:tc>
        <w:tc>
          <w:tcPr>
            <w:tcW w:w="1418" w:type="dxa"/>
          </w:tcPr>
          <w:p w14:paraId="5CE6E973" w14:textId="77777777" w:rsidR="004942B6" w:rsidRPr="009B05D9" w:rsidRDefault="004942B6" w:rsidP="002C2525">
            <w:pPr>
              <w:spacing w:line="360" w:lineRule="auto"/>
              <w:jc w:val="both"/>
              <w:rPr>
                <w:color w:val="000000" w:themeColor="text1"/>
              </w:rPr>
            </w:pPr>
            <w:r>
              <w:rPr>
                <w:color w:val="000000" w:themeColor="text1"/>
              </w:rPr>
              <w:t>50**</w:t>
            </w:r>
          </w:p>
        </w:tc>
        <w:tc>
          <w:tcPr>
            <w:tcW w:w="1275" w:type="dxa"/>
          </w:tcPr>
          <w:p w14:paraId="2196CC60" w14:textId="77777777" w:rsidR="004942B6" w:rsidRDefault="004942B6" w:rsidP="002C2525">
            <w:pPr>
              <w:spacing w:line="360" w:lineRule="auto"/>
              <w:jc w:val="both"/>
            </w:pPr>
            <w:r>
              <w:t>50</w:t>
            </w:r>
          </w:p>
        </w:tc>
        <w:tc>
          <w:tcPr>
            <w:tcW w:w="1418" w:type="dxa"/>
          </w:tcPr>
          <w:p w14:paraId="312B526C" w14:textId="77777777" w:rsidR="004942B6" w:rsidRDefault="004942B6" w:rsidP="002C2525">
            <w:pPr>
              <w:spacing w:line="360" w:lineRule="auto"/>
              <w:jc w:val="both"/>
            </w:pPr>
            <w:r>
              <w:t>0.68**</w:t>
            </w:r>
          </w:p>
        </w:tc>
        <w:tc>
          <w:tcPr>
            <w:tcW w:w="1479" w:type="dxa"/>
          </w:tcPr>
          <w:p w14:paraId="6605C104" w14:textId="77777777" w:rsidR="004942B6" w:rsidRDefault="004942B6" w:rsidP="002C2525">
            <w:pPr>
              <w:spacing w:line="360" w:lineRule="auto"/>
              <w:jc w:val="both"/>
            </w:pPr>
            <w:r>
              <w:t>0.68</w:t>
            </w:r>
          </w:p>
        </w:tc>
      </w:tr>
      <w:tr w:rsidR="004942B6" w14:paraId="4D6F2E87" w14:textId="77777777" w:rsidTr="002C2525">
        <w:tc>
          <w:tcPr>
            <w:tcW w:w="986" w:type="dxa"/>
          </w:tcPr>
          <w:p w14:paraId="471F9E24" w14:textId="77777777" w:rsidR="004942B6" w:rsidRDefault="004942B6" w:rsidP="002C2525">
            <w:pPr>
              <w:spacing w:line="360" w:lineRule="auto"/>
              <w:jc w:val="both"/>
            </w:pPr>
            <w:r>
              <w:t>B11</w:t>
            </w:r>
          </w:p>
        </w:tc>
        <w:tc>
          <w:tcPr>
            <w:tcW w:w="1283" w:type="dxa"/>
            <w:vAlign w:val="bottom"/>
          </w:tcPr>
          <w:p w14:paraId="2302B21B" w14:textId="77777777" w:rsidR="004942B6" w:rsidRDefault="004942B6" w:rsidP="002C2525">
            <w:pPr>
              <w:spacing w:line="360" w:lineRule="auto"/>
              <w:jc w:val="both"/>
            </w:pPr>
            <w:r>
              <w:t>50</w:t>
            </w:r>
          </w:p>
        </w:tc>
        <w:tc>
          <w:tcPr>
            <w:tcW w:w="1417" w:type="dxa"/>
          </w:tcPr>
          <w:p w14:paraId="39778648" w14:textId="77777777" w:rsidR="004942B6" w:rsidRDefault="004942B6" w:rsidP="002C2525">
            <w:pPr>
              <w:spacing w:line="360" w:lineRule="auto"/>
              <w:jc w:val="both"/>
              <w:rPr>
                <w:color w:val="000000" w:themeColor="text1"/>
              </w:rPr>
            </w:pPr>
            <w:r>
              <w:rPr>
                <w:color w:val="000000" w:themeColor="text1"/>
              </w:rPr>
              <w:t>0.38</w:t>
            </w:r>
          </w:p>
        </w:tc>
        <w:tc>
          <w:tcPr>
            <w:tcW w:w="1418" w:type="dxa"/>
          </w:tcPr>
          <w:p w14:paraId="39675525"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30**</w:t>
            </w:r>
          </w:p>
        </w:tc>
        <w:tc>
          <w:tcPr>
            <w:tcW w:w="1275" w:type="dxa"/>
          </w:tcPr>
          <w:p w14:paraId="4C3A2FE0" w14:textId="77777777" w:rsidR="004942B6" w:rsidRDefault="004942B6" w:rsidP="002C2525">
            <w:pPr>
              <w:spacing w:line="360" w:lineRule="auto"/>
              <w:jc w:val="both"/>
            </w:pPr>
            <w:r>
              <w:t>30</w:t>
            </w:r>
          </w:p>
        </w:tc>
        <w:tc>
          <w:tcPr>
            <w:tcW w:w="1418" w:type="dxa"/>
          </w:tcPr>
          <w:p w14:paraId="6F4B907E" w14:textId="77777777" w:rsidR="004942B6" w:rsidRDefault="004942B6" w:rsidP="002C2525">
            <w:pPr>
              <w:spacing w:line="360" w:lineRule="auto"/>
              <w:jc w:val="both"/>
            </w:pPr>
            <w:r>
              <w:t>0.29**</w:t>
            </w:r>
          </w:p>
        </w:tc>
        <w:tc>
          <w:tcPr>
            <w:tcW w:w="1479" w:type="dxa"/>
          </w:tcPr>
          <w:p w14:paraId="40F33619" w14:textId="77777777" w:rsidR="004942B6" w:rsidRDefault="004942B6" w:rsidP="002C2525">
            <w:pPr>
              <w:spacing w:line="360" w:lineRule="auto"/>
              <w:jc w:val="both"/>
            </w:pPr>
            <w:r>
              <w:t>0.29</w:t>
            </w:r>
          </w:p>
        </w:tc>
      </w:tr>
      <w:tr w:rsidR="004942B6" w14:paraId="7ABAE57C" w14:textId="77777777" w:rsidTr="002C2525">
        <w:tc>
          <w:tcPr>
            <w:tcW w:w="986" w:type="dxa"/>
          </w:tcPr>
          <w:p w14:paraId="3D58DBE4" w14:textId="77777777" w:rsidR="004942B6" w:rsidRPr="00FD1D5A" w:rsidRDefault="004942B6" w:rsidP="002C2525">
            <w:pPr>
              <w:spacing w:line="360" w:lineRule="auto"/>
              <w:jc w:val="both"/>
            </w:pPr>
            <w:r>
              <w:t>D59</w:t>
            </w:r>
          </w:p>
        </w:tc>
        <w:tc>
          <w:tcPr>
            <w:tcW w:w="1283" w:type="dxa"/>
            <w:vAlign w:val="bottom"/>
          </w:tcPr>
          <w:p w14:paraId="14F8946B"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60</w:t>
            </w:r>
          </w:p>
        </w:tc>
        <w:tc>
          <w:tcPr>
            <w:tcW w:w="1417" w:type="dxa"/>
          </w:tcPr>
          <w:p w14:paraId="1F629781" w14:textId="77777777" w:rsidR="004942B6" w:rsidRPr="009B05D9" w:rsidRDefault="004942B6" w:rsidP="002C2525">
            <w:pPr>
              <w:spacing w:line="360" w:lineRule="auto"/>
              <w:jc w:val="both"/>
              <w:rPr>
                <w:color w:val="000000" w:themeColor="text1"/>
              </w:rPr>
            </w:pPr>
            <w:r>
              <w:rPr>
                <w:color w:val="000000" w:themeColor="text1"/>
              </w:rPr>
              <w:t>0.71</w:t>
            </w:r>
          </w:p>
        </w:tc>
        <w:tc>
          <w:tcPr>
            <w:tcW w:w="1418" w:type="dxa"/>
          </w:tcPr>
          <w:p w14:paraId="245AE00B" w14:textId="77777777" w:rsidR="004942B6" w:rsidRPr="009B05D9" w:rsidRDefault="004942B6" w:rsidP="002C2525">
            <w:pPr>
              <w:spacing w:line="360" w:lineRule="auto"/>
              <w:jc w:val="both"/>
              <w:rPr>
                <w:color w:val="000000" w:themeColor="text1"/>
              </w:rPr>
            </w:pPr>
            <w:r>
              <w:rPr>
                <w:color w:val="000000" w:themeColor="text1"/>
              </w:rPr>
              <w:t>30**</w:t>
            </w:r>
          </w:p>
        </w:tc>
        <w:tc>
          <w:tcPr>
            <w:tcW w:w="1275" w:type="dxa"/>
          </w:tcPr>
          <w:p w14:paraId="4D51D7F8" w14:textId="77777777" w:rsidR="004942B6" w:rsidRDefault="004942B6" w:rsidP="002C2525">
            <w:pPr>
              <w:spacing w:line="360" w:lineRule="auto"/>
              <w:jc w:val="both"/>
            </w:pPr>
            <w:r>
              <w:t>30</w:t>
            </w:r>
          </w:p>
        </w:tc>
        <w:tc>
          <w:tcPr>
            <w:tcW w:w="1418" w:type="dxa"/>
          </w:tcPr>
          <w:p w14:paraId="57D713FE" w14:textId="77777777" w:rsidR="004942B6" w:rsidRDefault="004942B6" w:rsidP="002C2525">
            <w:pPr>
              <w:spacing w:line="360" w:lineRule="auto"/>
              <w:jc w:val="both"/>
            </w:pPr>
            <w:r>
              <w:t>0.45**</w:t>
            </w:r>
          </w:p>
        </w:tc>
        <w:tc>
          <w:tcPr>
            <w:tcW w:w="1479" w:type="dxa"/>
          </w:tcPr>
          <w:p w14:paraId="7126DB60" w14:textId="77777777" w:rsidR="004942B6" w:rsidRDefault="004942B6" w:rsidP="002C2525">
            <w:pPr>
              <w:spacing w:line="360" w:lineRule="auto"/>
              <w:jc w:val="both"/>
            </w:pPr>
            <w:r>
              <w:t>0.45</w:t>
            </w:r>
          </w:p>
        </w:tc>
      </w:tr>
      <w:tr w:rsidR="004942B6" w14:paraId="0065C4F5" w14:textId="77777777" w:rsidTr="002C2525">
        <w:tc>
          <w:tcPr>
            <w:tcW w:w="986" w:type="dxa"/>
          </w:tcPr>
          <w:p w14:paraId="6F02D0BD" w14:textId="77777777" w:rsidR="004942B6" w:rsidRDefault="004942B6" w:rsidP="002C2525">
            <w:pPr>
              <w:spacing w:line="360" w:lineRule="auto"/>
              <w:jc w:val="both"/>
            </w:pPr>
            <w:r>
              <w:t>B15</w:t>
            </w:r>
          </w:p>
        </w:tc>
        <w:tc>
          <w:tcPr>
            <w:tcW w:w="1283" w:type="dxa"/>
            <w:vAlign w:val="bottom"/>
          </w:tcPr>
          <w:p w14:paraId="5A0EC4E4" w14:textId="77777777" w:rsidR="004942B6" w:rsidRDefault="004942B6" w:rsidP="002C2525">
            <w:pPr>
              <w:spacing w:line="360" w:lineRule="auto"/>
              <w:jc w:val="both"/>
            </w:pPr>
            <w:r>
              <w:t>65</w:t>
            </w:r>
          </w:p>
        </w:tc>
        <w:tc>
          <w:tcPr>
            <w:tcW w:w="1417" w:type="dxa"/>
          </w:tcPr>
          <w:p w14:paraId="03A43DC4" w14:textId="77777777" w:rsidR="004942B6" w:rsidRPr="009B05D9" w:rsidRDefault="004942B6" w:rsidP="002C2525">
            <w:pPr>
              <w:spacing w:line="360" w:lineRule="auto"/>
              <w:jc w:val="both"/>
              <w:rPr>
                <w:color w:val="000000" w:themeColor="text1"/>
              </w:rPr>
            </w:pPr>
            <w:r>
              <w:rPr>
                <w:color w:val="000000" w:themeColor="text1"/>
              </w:rPr>
              <w:t>0.70</w:t>
            </w:r>
          </w:p>
        </w:tc>
        <w:tc>
          <w:tcPr>
            <w:tcW w:w="1418" w:type="dxa"/>
          </w:tcPr>
          <w:p w14:paraId="4EE24100" w14:textId="77777777" w:rsidR="004942B6" w:rsidRPr="009B05D9" w:rsidRDefault="004942B6" w:rsidP="002C2525">
            <w:pPr>
              <w:spacing w:line="360" w:lineRule="auto"/>
              <w:jc w:val="both"/>
              <w:rPr>
                <w:color w:val="000000" w:themeColor="text1"/>
              </w:rPr>
            </w:pPr>
            <w:r>
              <w:rPr>
                <w:color w:val="000000" w:themeColor="text1"/>
              </w:rPr>
              <w:t>78</w:t>
            </w:r>
          </w:p>
        </w:tc>
        <w:tc>
          <w:tcPr>
            <w:tcW w:w="1275" w:type="dxa"/>
          </w:tcPr>
          <w:p w14:paraId="58E46AB3" w14:textId="654DC24F" w:rsidR="004942B6" w:rsidRDefault="004942B6" w:rsidP="002C2525">
            <w:pPr>
              <w:spacing w:line="360" w:lineRule="auto"/>
              <w:jc w:val="both"/>
            </w:pPr>
            <w:r>
              <w:t>8</w:t>
            </w:r>
            <w:r w:rsidR="00A9020A">
              <w:t>3</w:t>
            </w:r>
          </w:p>
        </w:tc>
        <w:tc>
          <w:tcPr>
            <w:tcW w:w="1418" w:type="dxa"/>
          </w:tcPr>
          <w:p w14:paraId="4DDE3CBA" w14:textId="77777777" w:rsidR="004942B6" w:rsidRDefault="004942B6" w:rsidP="002C2525">
            <w:pPr>
              <w:spacing w:line="360" w:lineRule="auto"/>
              <w:jc w:val="both"/>
            </w:pPr>
            <w:r>
              <w:t>0.79</w:t>
            </w:r>
          </w:p>
        </w:tc>
        <w:tc>
          <w:tcPr>
            <w:tcW w:w="1479" w:type="dxa"/>
          </w:tcPr>
          <w:p w14:paraId="61CC9465" w14:textId="63E35F4C" w:rsidR="004942B6" w:rsidRDefault="004942B6" w:rsidP="002C2525">
            <w:pPr>
              <w:spacing w:line="360" w:lineRule="auto"/>
              <w:jc w:val="both"/>
            </w:pPr>
            <w:r>
              <w:t>0.8</w:t>
            </w:r>
            <w:r w:rsidR="00A9020A">
              <w:t>2</w:t>
            </w:r>
          </w:p>
        </w:tc>
      </w:tr>
      <w:tr w:rsidR="00A9020A" w14:paraId="2C1C42F8" w14:textId="77777777" w:rsidTr="002C2525">
        <w:tc>
          <w:tcPr>
            <w:tcW w:w="986" w:type="dxa"/>
          </w:tcPr>
          <w:p w14:paraId="1C8202A5" w14:textId="3751E794" w:rsidR="00A9020A" w:rsidRDefault="00A9020A" w:rsidP="002C2525">
            <w:pPr>
              <w:spacing w:line="360" w:lineRule="auto"/>
              <w:jc w:val="both"/>
            </w:pPr>
            <w:r>
              <w:t>B16</w:t>
            </w:r>
          </w:p>
        </w:tc>
        <w:tc>
          <w:tcPr>
            <w:tcW w:w="1283" w:type="dxa"/>
            <w:vAlign w:val="bottom"/>
          </w:tcPr>
          <w:p w14:paraId="42AC3F52" w14:textId="1279E28A" w:rsidR="00A9020A" w:rsidRDefault="007B77FF" w:rsidP="002C2525">
            <w:pPr>
              <w:spacing w:line="360" w:lineRule="auto"/>
              <w:jc w:val="both"/>
            </w:pPr>
            <w:r>
              <w:t>15</w:t>
            </w:r>
          </w:p>
        </w:tc>
        <w:tc>
          <w:tcPr>
            <w:tcW w:w="1417" w:type="dxa"/>
          </w:tcPr>
          <w:p w14:paraId="6505FC49" w14:textId="1DC8E05B" w:rsidR="00A9020A" w:rsidRDefault="00F36399" w:rsidP="002C2525">
            <w:pPr>
              <w:spacing w:line="360" w:lineRule="auto"/>
              <w:jc w:val="both"/>
              <w:rPr>
                <w:color w:val="000000" w:themeColor="text1"/>
              </w:rPr>
            </w:pPr>
            <w:r>
              <w:rPr>
                <w:color w:val="000000" w:themeColor="text1"/>
              </w:rPr>
              <w:t>0.34</w:t>
            </w:r>
          </w:p>
        </w:tc>
        <w:tc>
          <w:tcPr>
            <w:tcW w:w="1418" w:type="dxa"/>
          </w:tcPr>
          <w:p w14:paraId="31AC7202" w14:textId="2EBC1E5B" w:rsidR="00A9020A" w:rsidRDefault="00F36399" w:rsidP="002C2525">
            <w:pPr>
              <w:spacing w:line="360" w:lineRule="auto"/>
              <w:jc w:val="both"/>
              <w:rPr>
                <w:color w:val="000000" w:themeColor="text1"/>
              </w:rPr>
            </w:pPr>
            <w:r>
              <w:rPr>
                <w:color w:val="000000" w:themeColor="text1"/>
              </w:rPr>
              <w:t>85</w:t>
            </w:r>
          </w:p>
        </w:tc>
        <w:tc>
          <w:tcPr>
            <w:tcW w:w="1275" w:type="dxa"/>
          </w:tcPr>
          <w:p w14:paraId="3F9E895F" w14:textId="7FD3FD4D" w:rsidR="00A9020A" w:rsidRDefault="009C6209" w:rsidP="002C2525">
            <w:pPr>
              <w:spacing w:line="360" w:lineRule="auto"/>
              <w:jc w:val="both"/>
            </w:pPr>
            <w:r>
              <w:t>85</w:t>
            </w:r>
          </w:p>
        </w:tc>
        <w:tc>
          <w:tcPr>
            <w:tcW w:w="1418" w:type="dxa"/>
          </w:tcPr>
          <w:p w14:paraId="4008E8C3" w14:textId="1A5922B7" w:rsidR="00A9020A" w:rsidRDefault="009C6209" w:rsidP="002C2525">
            <w:pPr>
              <w:spacing w:line="360" w:lineRule="auto"/>
              <w:jc w:val="both"/>
            </w:pPr>
            <w:r>
              <w:t>0.88</w:t>
            </w:r>
          </w:p>
        </w:tc>
        <w:tc>
          <w:tcPr>
            <w:tcW w:w="1479" w:type="dxa"/>
          </w:tcPr>
          <w:p w14:paraId="30D66638" w14:textId="69AE684C" w:rsidR="00A9020A" w:rsidRDefault="009C6209" w:rsidP="002C2525">
            <w:pPr>
              <w:spacing w:line="360" w:lineRule="auto"/>
              <w:jc w:val="both"/>
            </w:pPr>
            <w:r>
              <w:t>0.88</w:t>
            </w:r>
          </w:p>
        </w:tc>
      </w:tr>
      <w:tr w:rsidR="004942B6" w14:paraId="63F20DBA" w14:textId="77777777" w:rsidTr="002C2525">
        <w:tc>
          <w:tcPr>
            <w:tcW w:w="986" w:type="dxa"/>
          </w:tcPr>
          <w:p w14:paraId="5B418B72" w14:textId="77777777" w:rsidR="004942B6" w:rsidRDefault="004942B6" w:rsidP="002C2525">
            <w:pPr>
              <w:spacing w:line="360" w:lineRule="auto"/>
              <w:jc w:val="both"/>
            </w:pPr>
            <w:r>
              <w:t>B21</w:t>
            </w:r>
          </w:p>
        </w:tc>
        <w:tc>
          <w:tcPr>
            <w:tcW w:w="1283" w:type="dxa"/>
            <w:vAlign w:val="bottom"/>
          </w:tcPr>
          <w:p w14:paraId="7C8F8734" w14:textId="77777777" w:rsidR="004942B6" w:rsidRDefault="004942B6" w:rsidP="002C2525">
            <w:pPr>
              <w:spacing w:line="360" w:lineRule="auto"/>
              <w:jc w:val="both"/>
            </w:pPr>
            <w:r>
              <w:t>90</w:t>
            </w:r>
          </w:p>
        </w:tc>
        <w:tc>
          <w:tcPr>
            <w:tcW w:w="1417" w:type="dxa"/>
          </w:tcPr>
          <w:p w14:paraId="2942C89C" w14:textId="77777777" w:rsidR="004942B6" w:rsidRPr="009B05D9" w:rsidRDefault="004942B6" w:rsidP="002C2525">
            <w:pPr>
              <w:spacing w:line="360" w:lineRule="auto"/>
              <w:jc w:val="both"/>
              <w:rPr>
                <w:color w:val="000000" w:themeColor="text1"/>
              </w:rPr>
            </w:pPr>
            <w:r>
              <w:rPr>
                <w:color w:val="000000" w:themeColor="text1"/>
              </w:rPr>
              <w:t>0.84</w:t>
            </w:r>
          </w:p>
        </w:tc>
        <w:tc>
          <w:tcPr>
            <w:tcW w:w="1418" w:type="dxa"/>
          </w:tcPr>
          <w:p w14:paraId="0216BFC0" w14:textId="77777777" w:rsidR="004942B6" w:rsidRPr="009B05D9" w:rsidRDefault="004942B6" w:rsidP="002C2525">
            <w:pPr>
              <w:spacing w:line="360" w:lineRule="auto"/>
              <w:jc w:val="both"/>
              <w:rPr>
                <w:color w:val="000000" w:themeColor="text1"/>
              </w:rPr>
            </w:pPr>
            <w:r>
              <w:rPr>
                <w:color w:val="000000" w:themeColor="text1"/>
              </w:rPr>
              <w:t>95</w:t>
            </w:r>
          </w:p>
        </w:tc>
        <w:tc>
          <w:tcPr>
            <w:tcW w:w="1275" w:type="dxa"/>
          </w:tcPr>
          <w:p w14:paraId="3DC6C945" w14:textId="127210E1" w:rsidR="004942B6" w:rsidRDefault="004942B6" w:rsidP="002C2525">
            <w:pPr>
              <w:spacing w:line="360" w:lineRule="auto"/>
              <w:jc w:val="both"/>
            </w:pPr>
            <w:r>
              <w:t>9</w:t>
            </w:r>
            <w:r w:rsidR="00911A69">
              <w:t>8</w:t>
            </w:r>
          </w:p>
        </w:tc>
        <w:tc>
          <w:tcPr>
            <w:tcW w:w="1418" w:type="dxa"/>
          </w:tcPr>
          <w:p w14:paraId="0E242F78" w14:textId="77777777" w:rsidR="004942B6" w:rsidRDefault="004942B6" w:rsidP="002C2525">
            <w:pPr>
              <w:spacing w:line="360" w:lineRule="auto"/>
              <w:jc w:val="both"/>
            </w:pPr>
            <w:r>
              <w:t>0.89</w:t>
            </w:r>
          </w:p>
        </w:tc>
        <w:tc>
          <w:tcPr>
            <w:tcW w:w="1479" w:type="dxa"/>
          </w:tcPr>
          <w:p w14:paraId="1D3DB915" w14:textId="11011474" w:rsidR="004942B6" w:rsidRDefault="004942B6" w:rsidP="002C2525">
            <w:pPr>
              <w:spacing w:line="360" w:lineRule="auto"/>
              <w:jc w:val="both"/>
            </w:pPr>
            <w:r>
              <w:t>0.</w:t>
            </w:r>
            <w:r w:rsidR="00911A69">
              <w:t>92</w:t>
            </w:r>
          </w:p>
        </w:tc>
      </w:tr>
      <w:tr w:rsidR="004942B6" w14:paraId="37BEEE6B" w14:textId="77777777" w:rsidTr="002C2525">
        <w:tc>
          <w:tcPr>
            <w:tcW w:w="986" w:type="dxa"/>
          </w:tcPr>
          <w:p w14:paraId="58059420" w14:textId="77777777" w:rsidR="004942B6" w:rsidRDefault="004942B6" w:rsidP="002C2525">
            <w:pPr>
              <w:spacing w:line="360" w:lineRule="auto"/>
              <w:jc w:val="both"/>
            </w:pPr>
            <w:r>
              <w:t>D73</w:t>
            </w:r>
          </w:p>
        </w:tc>
        <w:tc>
          <w:tcPr>
            <w:tcW w:w="1283" w:type="dxa"/>
            <w:vAlign w:val="bottom"/>
          </w:tcPr>
          <w:p w14:paraId="69107D9E" w14:textId="77777777" w:rsidR="004942B6" w:rsidRDefault="004942B6" w:rsidP="002C2525">
            <w:pPr>
              <w:spacing w:line="360" w:lineRule="auto"/>
              <w:jc w:val="both"/>
            </w:pPr>
            <w:r>
              <w:t>40</w:t>
            </w:r>
          </w:p>
        </w:tc>
        <w:tc>
          <w:tcPr>
            <w:tcW w:w="1417" w:type="dxa"/>
          </w:tcPr>
          <w:p w14:paraId="38B0091D" w14:textId="77777777" w:rsidR="004942B6" w:rsidRPr="009B05D9" w:rsidRDefault="004942B6" w:rsidP="002C2525">
            <w:pPr>
              <w:spacing w:line="360" w:lineRule="auto"/>
              <w:jc w:val="both"/>
              <w:rPr>
                <w:color w:val="000000" w:themeColor="text1"/>
              </w:rPr>
            </w:pPr>
            <w:r>
              <w:rPr>
                <w:color w:val="000000" w:themeColor="text1"/>
              </w:rPr>
              <w:t>0.54</w:t>
            </w:r>
          </w:p>
        </w:tc>
        <w:tc>
          <w:tcPr>
            <w:tcW w:w="1418" w:type="dxa"/>
          </w:tcPr>
          <w:p w14:paraId="545A7AE5" w14:textId="77777777" w:rsidR="004942B6" w:rsidRPr="009B05D9" w:rsidRDefault="004942B6" w:rsidP="002C2525">
            <w:pPr>
              <w:spacing w:line="360" w:lineRule="auto"/>
              <w:jc w:val="both"/>
              <w:rPr>
                <w:color w:val="000000" w:themeColor="text1"/>
              </w:rPr>
            </w:pPr>
            <w:r>
              <w:rPr>
                <w:color w:val="000000" w:themeColor="text1"/>
              </w:rPr>
              <w:t>65</w:t>
            </w:r>
          </w:p>
        </w:tc>
        <w:tc>
          <w:tcPr>
            <w:tcW w:w="1275" w:type="dxa"/>
          </w:tcPr>
          <w:p w14:paraId="2E298978" w14:textId="7E7C2C2E" w:rsidR="004942B6" w:rsidRDefault="004942B6" w:rsidP="002C2525">
            <w:pPr>
              <w:spacing w:line="360" w:lineRule="auto"/>
              <w:jc w:val="both"/>
            </w:pPr>
            <w:r>
              <w:t>7</w:t>
            </w:r>
            <w:r w:rsidR="00911A69">
              <w:t>0</w:t>
            </w:r>
          </w:p>
        </w:tc>
        <w:tc>
          <w:tcPr>
            <w:tcW w:w="1418" w:type="dxa"/>
          </w:tcPr>
          <w:p w14:paraId="0A8B981D" w14:textId="77777777" w:rsidR="004942B6" w:rsidRDefault="004942B6" w:rsidP="002C2525">
            <w:pPr>
              <w:spacing w:line="360" w:lineRule="auto"/>
              <w:jc w:val="both"/>
            </w:pPr>
            <w:r>
              <w:t>0.71</w:t>
            </w:r>
          </w:p>
        </w:tc>
        <w:tc>
          <w:tcPr>
            <w:tcW w:w="1479" w:type="dxa"/>
          </w:tcPr>
          <w:p w14:paraId="28574A02" w14:textId="32006800" w:rsidR="004942B6" w:rsidRDefault="004942B6" w:rsidP="002C2525">
            <w:pPr>
              <w:spacing w:line="360" w:lineRule="auto"/>
              <w:jc w:val="both"/>
            </w:pPr>
            <w:r>
              <w:t>0.7</w:t>
            </w:r>
            <w:r w:rsidR="00911A69">
              <w:t>4</w:t>
            </w:r>
          </w:p>
        </w:tc>
      </w:tr>
      <w:tr w:rsidR="004942B6" w14:paraId="7F2D382C" w14:textId="77777777" w:rsidTr="002C2525">
        <w:tc>
          <w:tcPr>
            <w:tcW w:w="986" w:type="dxa"/>
          </w:tcPr>
          <w:p w14:paraId="32CD417C" w14:textId="77777777" w:rsidR="004942B6" w:rsidRDefault="004942B6" w:rsidP="002C2525">
            <w:pPr>
              <w:spacing w:line="360" w:lineRule="auto"/>
              <w:jc w:val="both"/>
            </w:pPr>
            <w:r>
              <w:t>R14</w:t>
            </w:r>
          </w:p>
        </w:tc>
        <w:tc>
          <w:tcPr>
            <w:tcW w:w="1283" w:type="dxa"/>
            <w:vAlign w:val="bottom"/>
          </w:tcPr>
          <w:p w14:paraId="0755F7E2" w14:textId="77777777" w:rsidR="004942B6" w:rsidRDefault="004942B6" w:rsidP="002C2525">
            <w:pPr>
              <w:spacing w:line="360" w:lineRule="auto"/>
              <w:jc w:val="both"/>
            </w:pPr>
            <w:r>
              <w:t>75</w:t>
            </w:r>
          </w:p>
        </w:tc>
        <w:tc>
          <w:tcPr>
            <w:tcW w:w="1417" w:type="dxa"/>
          </w:tcPr>
          <w:p w14:paraId="081357AC" w14:textId="77777777" w:rsidR="004942B6" w:rsidRPr="009B05D9" w:rsidRDefault="004942B6" w:rsidP="002C2525">
            <w:pPr>
              <w:spacing w:line="360" w:lineRule="auto"/>
              <w:jc w:val="both"/>
              <w:rPr>
                <w:color w:val="000000" w:themeColor="text1"/>
              </w:rPr>
            </w:pPr>
            <w:r>
              <w:rPr>
                <w:color w:val="000000" w:themeColor="text1"/>
              </w:rPr>
              <w:t>0.80</w:t>
            </w:r>
          </w:p>
        </w:tc>
        <w:tc>
          <w:tcPr>
            <w:tcW w:w="1418" w:type="dxa"/>
          </w:tcPr>
          <w:p w14:paraId="6917084C" w14:textId="77777777" w:rsidR="004942B6" w:rsidRPr="009B05D9" w:rsidRDefault="004942B6" w:rsidP="002C2525">
            <w:pPr>
              <w:spacing w:line="360" w:lineRule="auto"/>
              <w:jc w:val="both"/>
              <w:rPr>
                <w:color w:val="000000" w:themeColor="text1"/>
              </w:rPr>
            </w:pPr>
            <w:r>
              <w:rPr>
                <w:color w:val="000000" w:themeColor="text1"/>
              </w:rPr>
              <w:t>70</w:t>
            </w:r>
          </w:p>
        </w:tc>
        <w:tc>
          <w:tcPr>
            <w:tcW w:w="1275" w:type="dxa"/>
          </w:tcPr>
          <w:p w14:paraId="33A628E5" w14:textId="39DD00C9" w:rsidR="004942B6" w:rsidRDefault="00F70927" w:rsidP="002C2525">
            <w:pPr>
              <w:spacing w:line="360" w:lineRule="auto"/>
              <w:jc w:val="both"/>
            </w:pPr>
            <w:r>
              <w:t>75</w:t>
            </w:r>
          </w:p>
        </w:tc>
        <w:tc>
          <w:tcPr>
            <w:tcW w:w="1418" w:type="dxa"/>
          </w:tcPr>
          <w:p w14:paraId="087BB881" w14:textId="77777777" w:rsidR="004942B6" w:rsidRDefault="004942B6" w:rsidP="002C2525">
            <w:pPr>
              <w:spacing w:line="360" w:lineRule="auto"/>
              <w:jc w:val="both"/>
            </w:pPr>
            <w:r>
              <w:t>0.72</w:t>
            </w:r>
          </w:p>
        </w:tc>
        <w:tc>
          <w:tcPr>
            <w:tcW w:w="1479" w:type="dxa"/>
          </w:tcPr>
          <w:p w14:paraId="0D61E224" w14:textId="4993DA64" w:rsidR="004942B6" w:rsidRDefault="00F70927" w:rsidP="002C2525">
            <w:pPr>
              <w:spacing w:line="360" w:lineRule="auto"/>
              <w:jc w:val="both"/>
            </w:pPr>
            <w:r>
              <w:t>0.75</w:t>
            </w:r>
          </w:p>
        </w:tc>
      </w:tr>
      <w:tr w:rsidR="004942B6" w14:paraId="615F0CAF" w14:textId="77777777" w:rsidTr="002C2525">
        <w:tc>
          <w:tcPr>
            <w:tcW w:w="986" w:type="dxa"/>
          </w:tcPr>
          <w:p w14:paraId="04D0D990" w14:textId="77777777" w:rsidR="004942B6" w:rsidRDefault="004942B6" w:rsidP="002C2525">
            <w:pPr>
              <w:spacing w:line="360" w:lineRule="auto"/>
              <w:jc w:val="both"/>
            </w:pPr>
            <w:r>
              <w:t>S2</w:t>
            </w:r>
          </w:p>
        </w:tc>
        <w:tc>
          <w:tcPr>
            <w:tcW w:w="1283" w:type="dxa"/>
            <w:vAlign w:val="bottom"/>
          </w:tcPr>
          <w:p w14:paraId="5B371A3D" w14:textId="77777777" w:rsidR="004942B6" w:rsidRDefault="004942B6" w:rsidP="002C2525">
            <w:pPr>
              <w:spacing w:line="360" w:lineRule="auto"/>
              <w:jc w:val="both"/>
            </w:pPr>
            <w:r>
              <w:rPr>
                <w:rFonts w:ascii="Calibri" w:hAnsi="Calibri" w:cs="Calibri"/>
                <w:color w:val="000000"/>
              </w:rPr>
              <w:t>70</w:t>
            </w:r>
          </w:p>
        </w:tc>
        <w:tc>
          <w:tcPr>
            <w:tcW w:w="1417" w:type="dxa"/>
          </w:tcPr>
          <w:p w14:paraId="6BF68773" w14:textId="77777777" w:rsidR="004942B6" w:rsidRPr="009B05D9" w:rsidRDefault="004942B6" w:rsidP="002C2525">
            <w:pPr>
              <w:spacing w:line="360" w:lineRule="auto"/>
              <w:jc w:val="both"/>
              <w:rPr>
                <w:color w:val="000000" w:themeColor="text1"/>
              </w:rPr>
            </w:pPr>
            <w:r>
              <w:rPr>
                <w:color w:val="000000" w:themeColor="text1"/>
              </w:rPr>
              <w:t>0.78</w:t>
            </w:r>
          </w:p>
        </w:tc>
        <w:tc>
          <w:tcPr>
            <w:tcW w:w="1418" w:type="dxa"/>
          </w:tcPr>
          <w:p w14:paraId="6BB73931" w14:textId="77777777" w:rsidR="004942B6" w:rsidRPr="009B05D9" w:rsidRDefault="004942B6" w:rsidP="002C2525">
            <w:pPr>
              <w:spacing w:line="360" w:lineRule="auto"/>
              <w:jc w:val="both"/>
              <w:rPr>
                <w:color w:val="000000" w:themeColor="text1"/>
              </w:rPr>
            </w:pPr>
            <w:r>
              <w:rPr>
                <w:color w:val="000000" w:themeColor="text1"/>
              </w:rPr>
              <w:t>70</w:t>
            </w:r>
          </w:p>
        </w:tc>
        <w:tc>
          <w:tcPr>
            <w:tcW w:w="1275" w:type="dxa"/>
          </w:tcPr>
          <w:p w14:paraId="6F19F4B9" w14:textId="062EFE07" w:rsidR="004942B6" w:rsidRDefault="00F70927" w:rsidP="002C2525">
            <w:pPr>
              <w:spacing w:line="360" w:lineRule="auto"/>
              <w:jc w:val="both"/>
            </w:pPr>
            <w:r>
              <w:t>75</w:t>
            </w:r>
          </w:p>
        </w:tc>
        <w:tc>
          <w:tcPr>
            <w:tcW w:w="1418" w:type="dxa"/>
          </w:tcPr>
          <w:p w14:paraId="51CE5B03" w14:textId="1DF277E7" w:rsidR="004942B6" w:rsidRDefault="004942B6" w:rsidP="002C2525">
            <w:pPr>
              <w:spacing w:line="360" w:lineRule="auto"/>
              <w:jc w:val="both"/>
            </w:pPr>
            <w:r>
              <w:t>0.</w:t>
            </w:r>
            <w:r w:rsidR="00BC7D8B">
              <w:t>6</w:t>
            </w:r>
            <w:r>
              <w:t>4</w:t>
            </w:r>
          </w:p>
        </w:tc>
        <w:tc>
          <w:tcPr>
            <w:tcW w:w="1479" w:type="dxa"/>
          </w:tcPr>
          <w:p w14:paraId="74865B07" w14:textId="6355D281" w:rsidR="004942B6" w:rsidRDefault="00BC7D8B" w:rsidP="002C2525">
            <w:pPr>
              <w:spacing w:line="360" w:lineRule="auto"/>
              <w:jc w:val="both"/>
            </w:pPr>
            <w:r>
              <w:t>0.67</w:t>
            </w:r>
          </w:p>
        </w:tc>
      </w:tr>
      <w:tr w:rsidR="004942B6" w14:paraId="1420B5EC" w14:textId="77777777" w:rsidTr="002C2525">
        <w:tc>
          <w:tcPr>
            <w:tcW w:w="986" w:type="dxa"/>
          </w:tcPr>
          <w:p w14:paraId="16767A35" w14:textId="77777777" w:rsidR="004942B6" w:rsidRPr="00FD1D5A" w:rsidRDefault="004942B6" w:rsidP="002C2525">
            <w:pPr>
              <w:spacing w:line="360" w:lineRule="auto"/>
              <w:jc w:val="both"/>
            </w:pPr>
            <w:r>
              <w:t>D77</w:t>
            </w:r>
          </w:p>
        </w:tc>
        <w:tc>
          <w:tcPr>
            <w:tcW w:w="1283" w:type="dxa"/>
            <w:vAlign w:val="bottom"/>
          </w:tcPr>
          <w:p w14:paraId="5A3AF48E"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50</w:t>
            </w:r>
          </w:p>
        </w:tc>
        <w:tc>
          <w:tcPr>
            <w:tcW w:w="1417" w:type="dxa"/>
          </w:tcPr>
          <w:p w14:paraId="22C4D95C" w14:textId="77777777" w:rsidR="004942B6" w:rsidRPr="009B05D9" w:rsidRDefault="004942B6" w:rsidP="002C2525">
            <w:pPr>
              <w:spacing w:line="360" w:lineRule="auto"/>
              <w:jc w:val="both"/>
              <w:rPr>
                <w:color w:val="000000" w:themeColor="text1"/>
              </w:rPr>
            </w:pPr>
            <w:r>
              <w:rPr>
                <w:color w:val="000000" w:themeColor="text1"/>
              </w:rPr>
              <w:t>0.61</w:t>
            </w:r>
          </w:p>
        </w:tc>
        <w:tc>
          <w:tcPr>
            <w:tcW w:w="1418" w:type="dxa"/>
          </w:tcPr>
          <w:p w14:paraId="74D355DE" w14:textId="77777777" w:rsidR="004942B6" w:rsidRPr="009B05D9" w:rsidRDefault="004942B6" w:rsidP="002C2525">
            <w:pPr>
              <w:spacing w:line="360" w:lineRule="auto"/>
              <w:jc w:val="both"/>
              <w:rPr>
                <w:color w:val="000000" w:themeColor="text1"/>
              </w:rPr>
            </w:pPr>
            <w:r>
              <w:rPr>
                <w:color w:val="000000" w:themeColor="text1"/>
              </w:rPr>
              <w:t>60</w:t>
            </w:r>
          </w:p>
        </w:tc>
        <w:tc>
          <w:tcPr>
            <w:tcW w:w="1275" w:type="dxa"/>
          </w:tcPr>
          <w:p w14:paraId="6A920F5F" w14:textId="1262EA79" w:rsidR="004942B6" w:rsidRPr="00FD1D5A" w:rsidRDefault="00BC7D8B" w:rsidP="002C2525">
            <w:pPr>
              <w:spacing w:line="360" w:lineRule="auto"/>
              <w:jc w:val="both"/>
            </w:pPr>
            <w:r>
              <w:t>65</w:t>
            </w:r>
          </w:p>
        </w:tc>
        <w:tc>
          <w:tcPr>
            <w:tcW w:w="1418" w:type="dxa"/>
          </w:tcPr>
          <w:p w14:paraId="006494BE" w14:textId="77777777" w:rsidR="004942B6" w:rsidRDefault="004942B6" w:rsidP="002C2525">
            <w:pPr>
              <w:spacing w:line="360" w:lineRule="auto"/>
              <w:jc w:val="both"/>
            </w:pPr>
            <w:r>
              <w:t>0.73</w:t>
            </w:r>
          </w:p>
        </w:tc>
        <w:tc>
          <w:tcPr>
            <w:tcW w:w="1479" w:type="dxa"/>
          </w:tcPr>
          <w:p w14:paraId="2DAAFFB6" w14:textId="1800F07A" w:rsidR="004942B6" w:rsidRDefault="004942B6" w:rsidP="002C2525">
            <w:pPr>
              <w:spacing w:line="360" w:lineRule="auto"/>
              <w:jc w:val="both"/>
            </w:pPr>
            <w:r>
              <w:t>0.7</w:t>
            </w:r>
            <w:r w:rsidR="00BC7D8B">
              <w:t>6</w:t>
            </w:r>
          </w:p>
        </w:tc>
      </w:tr>
      <w:tr w:rsidR="004942B6" w14:paraId="6D3AE932" w14:textId="77777777" w:rsidTr="002C2525">
        <w:tc>
          <w:tcPr>
            <w:tcW w:w="986" w:type="dxa"/>
          </w:tcPr>
          <w:p w14:paraId="45EFE791" w14:textId="77777777" w:rsidR="004942B6" w:rsidRPr="00FD1D5A" w:rsidRDefault="004942B6" w:rsidP="002C2525">
            <w:pPr>
              <w:spacing w:line="360" w:lineRule="auto"/>
              <w:jc w:val="both"/>
            </w:pPr>
            <w:r>
              <w:t>B34</w:t>
            </w:r>
          </w:p>
        </w:tc>
        <w:tc>
          <w:tcPr>
            <w:tcW w:w="1283" w:type="dxa"/>
            <w:vAlign w:val="bottom"/>
          </w:tcPr>
          <w:p w14:paraId="1F936E6F" w14:textId="77777777" w:rsidR="004942B6" w:rsidRDefault="004942B6" w:rsidP="002C2525">
            <w:pPr>
              <w:spacing w:line="360" w:lineRule="auto"/>
              <w:jc w:val="both"/>
              <w:rPr>
                <w:rFonts w:ascii="Calibri" w:hAnsi="Calibri" w:cs="Calibri"/>
                <w:color w:val="000000"/>
              </w:rPr>
            </w:pPr>
            <w:r>
              <w:t>60</w:t>
            </w:r>
          </w:p>
        </w:tc>
        <w:tc>
          <w:tcPr>
            <w:tcW w:w="1417" w:type="dxa"/>
          </w:tcPr>
          <w:p w14:paraId="76005A1C" w14:textId="77777777" w:rsidR="004942B6" w:rsidRPr="009B05D9" w:rsidRDefault="004942B6" w:rsidP="002C2525">
            <w:pPr>
              <w:spacing w:line="360" w:lineRule="auto"/>
              <w:jc w:val="both"/>
              <w:rPr>
                <w:color w:val="000000" w:themeColor="text1"/>
              </w:rPr>
            </w:pPr>
            <w:r>
              <w:rPr>
                <w:color w:val="000000" w:themeColor="text1"/>
              </w:rPr>
              <w:t>0.71</w:t>
            </w:r>
          </w:p>
        </w:tc>
        <w:tc>
          <w:tcPr>
            <w:tcW w:w="1418" w:type="dxa"/>
          </w:tcPr>
          <w:p w14:paraId="068DD072" w14:textId="77777777" w:rsidR="004942B6" w:rsidRPr="009B05D9" w:rsidRDefault="004942B6" w:rsidP="002C2525">
            <w:pPr>
              <w:spacing w:line="360" w:lineRule="auto"/>
              <w:jc w:val="both"/>
              <w:rPr>
                <w:color w:val="000000" w:themeColor="text1"/>
              </w:rPr>
            </w:pPr>
            <w:r>
              <w:rPr>
                <w:color w:val="000000" w:themeColor="text1"/>
              </w:rPr>
              <w:t>80</w:t>
            </w:r>
          </w:p>
        </w:tc>
        <w:tc>
          <w:tcPr>
            <w:tcW w:w="1275" w:type="dxa"/>
          </w:tcPr>
          <w:p w14:paraId="09826B07" w14:textId="5EC3F8D5" w:rsidR="004942B6" w:rsidRPr="00FD1D5A" w:rsidRDefault="00BC7D8B" w:rsidP="002C2525">
            <w:pPr>
              <w:spacing w:line="360" w:lineRule="auto"/>
              <w:jc w:val="both"/>
            </w:pPr>
            <w:r>
              <w:t>85</w:t>
            </w:r>
          </w:p>
        </w:tc>
        <w:tc>
          <w:tcPr>
            <w:tcW w:w="1418" w:type="dxa"/>
          </w:tcPr>
          <w:p w14:paraId="6B509533" w14:textId="77777777" w:rsidR="004942B6" w:rsidRDefault="004942B6" w:rsidP="002C2525">
            <w:pPr>
              <w:spacing w:line="360" w:lineRule="auto"/>
              <w:jc w:val="both"/>
            </w:pPr>
            <w:r>
              <w:t>0.89</w:t>
            </w:r>
          </w:p>
        </w:tc>
        <w:tc>
          <w:tcPr>
            <w:tcW w:w="1479" w:type="dxa"/>
          </w:tcPr>
          <w:p w14:paraId="0D78C56F" w14:textId="230C5DB8" w:rsidR="004942B6" w:rsidRDefault="00BC7D8B" w:rsidP="002C2525">
            <w:pPr>
              <w:spacing w:line="360" w:lineRule="auto"/>
              <w:jc w:val="both"/>
            </w:pPr>
            <w:r>
              <w:t>0.92</w:t>
            </w:r>
          </w:p>
        </w:tc>
      </w:tr>
      <w:tr w:rsidR="004942B6" w14:paraId="64DE1D30" w14:textId="77777777" w:rsidTr="002C2525">
        <w:tc>
          <w:tcPr>
            <w:tcW w:w="986" w:type="dxa"/>
          </w:tcPr>
          <w:p w14:paraId="08111403" w14:textId="77777777" w:rsidR="004942B6" w:rsidRDefault="004942B6" w:rsidP="002C2525">
            <w:pPr>
              <w:spacing w:line="360" w:lineRule="auto"/>
              <w:jc w:val="both"/>
            </w:pPr>
            <w:r>
              <w:t>C1</w:t>
            </w:r>
          </w:p>
        </w:tc>
        <w:tc>
          <w:tcPr>
            <w:tcW w:w="1283" w:type="dxa"/>
            <w:vAlign w:val="bottom"/>
          </w:tcPr>
          <w:p w14:paraId="1239597C" w14:textId="77777777" w:rsidR="004942B6" w:rsidRDefault="004942B6" w:rsidP="002C2525">
            <w:pPr>
              <w:spacing w:line="360" w:lineRule="auto"/>
              <w:jc w:val="both"/>
            </w:pPr>
            <w:r>
              <w:rPr>
                <w:rFonts w:ascii="Calibri" w:hAnsi="Calibri" w:cs="Calibri"/>
                <w:color w:val="000000"/>
              </w:rPr>
              <w:t>80</w:t>
            </w:r>
          </w:p>
        </w:tc>
        <w:tc>
          <w:tcPr>
            <w:tcW w:w="1417" w:type="dxa"/>
          </w:tcPr>
          <w:p w14:paraId="3D2AABD6" w14:textId="77777777" w:rsidR="004942B6" w:rsidRPr="009B05D9" w:rsidRDefault="004942B6" w:rsidP="002C2525">
            <w:pPr>
              <w:spacing w:line="360" w:lineRule="auto"/>
              <w:jc w:val="both"/>
              <w:rPr>
                <w:color w:val="000000" w:themeColor="text1"/>
              </w:rPr>
            </w:pPr>
            <w:r>
              <w:rPr>
                <w:color w:val="000000" w:themeColor="text1"/>
              </w:rPr>
              <w:t>0.88</w:t>
            </w:r>
          </w:p>
        </w:tc>
        <w:tc>
          <w:tcPr>
            <w:tcW w:w="1418" w:type="dxa"/>
          </w:tcPr>
          <w:p w14:paraId="290EF6A7" w14:textId="77777777" w:rsidR="004942B6" w:rsidRPr="009B05D9" w:rsidRDefault="004942B6" w:rsidP="002C2525">
            <w:pPr>
              <w:spacing w:line="360" w:lineRule="auto"/>
              <w:jc w:val="both"/>
              <w:rPr>
                <w:color w:val="000000" w:themeColor="text1"/>
              </w:rPr>
            </w:pPr>
            <w:r>
              <w:rPr>
                <w:color w:val="000000" w:themeColor="text1"/>
              </w:rPr>
              <w:t>55</w:t>
            </w:r>
          </w:p>
        </w:tc>
        <w:tc>
          <w:tcPr>
            <w:tcW w:w="1275" w:type="dxa"/>
          </w:tcPr>
          <w:p w14:paraId="3E192A34" w14:textId="75758F07" w:rsidR="004942B6" w:rsidRDefault="00E45AAB" w:rsidP="002C2525">
            <w:pPr>
              <w:spacing w:line="360" w:lineRule="auto"/>
              <w:jc w:val="both"/>
            </w:pPr>
            <w:r>
              <w:t>60</w:t>
            </w:r>
          </w:p>
        </w:tc>
        <w:tc>
          <w:tcPr>
            <w:tcW w:w="1418" w:type="dxa"/>
          </w:tcPr>
          <w:p w14:paraId="6674D5F2" w14:textId="77777777" w:rsidR="004942B6" w:rsidRDefault="004942B6" w:rsidP="002C2525">
            <w:pPr>
              <w:spacing w:line="360" w:lineRule="auto"/>
              <w:jc w:val="both"/>
            </w:pPr>
            <w:r>
              <w:t>0.76</w:t>
            </w:r>
          </w:p>
        </w:tc>
        <w:tc>
          <w:tcPr>
            <w:tcW w:w="1479" w:type="dxa"/>
          </w:tcPr>
          <w:p w14:paraId="2B408293" w14:textId="0071A40F" w:rsidR="004942B6" w:rsidRDefault="00E45AAB" w:rsidP="002C2525">
            <w:pPr>
              <w:spacing w:line="360" w:lineRule="auto"/>
              <w:jc w:val="both"/>
            </w:pPr>
            <w:r>
              <w:t>0.79</w:t>
            </w:r>
          </w:p>
        </w:tc>
      </w:tr>
      <w:tr w:rsidR="004942B6" w14:paraId="38B66D08" w14:textId="77777777" w:rsidTr="002C2525">
        <w:tc>
          <w:tcPr>
            <w:tcW w:w="986" w:type="dxa"/>
          </w:tcPr>
          <w:p w14:paraId="3812A7D5" w14:textId="77777777" w:rsidR="004942B6" w:rsidRDefault="004942B6" w:rsidP="002C2525">
            <w:pPr>
              <w:spacing w:line="360" w:lineRule="auto"/>
              <w:jc w:val="both"/>
            </w:pPr>
            <w:r>
              <w:t>D96</w:t>
            </w:r>
          </w:p>
        </w:tc>
        <w:tc>
          <w:tcPr>
            <w:tcW w:w="1283" w:type="dxa"/>
            <w:vAlign w:val="bottom"/>
          </w:tcPr>
          <w:p w14:paraId="3EBD77B6" w14:textId="77777777" w:rsidR="004942B6" w:rsidRDefault="004942B6" w:rsidP="002C2525">
            <w:pPr>
              <w:spacing w:line="360" w:lineRule="auto"/>
              <w:jc w:val="both"/>
            </w:pPr>
            <w:r>
              <w:t>70</w:t>
            </w:r>
          </w:p>
        </w:tc>
        <w:tc>
          <w:tcPr>
            <w:tcW w:w="1417" w:type="dxa"/>
          </w:tcPr>
          <w:p w14:paraId="05A65916" w14:textId="77777777" w:rsidR="004942B6" w:rsidRPr="009B05D9" w:rsidRDefault="004942B6" w:rsidP="002C2525">
            <w:pPr>
              <w:spacing w:line="360" w:lineRule="auto"/>
              <w:jc w:val="both"/>
              <w:rPr>
                <w:color w:val="000000" w:themeColor="text1"/>
              </w:rPr>
            </w:pPr>
            <w:r>
              <w:rPr>
                <w:color w:val="000000" w:themeColor="text1"/>
              </w:rPr>
              <w:t>0.73</w:t>
            </w:r>
          </w:p>
        </w:tc>
        <w:tc>
          <w:tcPr>
            <w:tcW w:w="1418" w:type="dxa"/>
          </w:tcPr>
          <w:p w14:paraId="59B45DE8" w14:textId="77777777" w:rsidR="004942B6" w:rsidRPr="009B05D9" w:rsidRDefault="004942B6" w:rsidP="002C2525">
            <w:pPr>
              <w:spacing w:line="360" w:lineRule="auto"/>
              <w:jc w:val="both"/>
              <w:rPr>
                <w:color w:val="000000" w:themeColor="text1"/>
              </w:rPr>
            </w:pPr>
            <w:r>
              <w:rPr>
                <w:color w:val="000000" w:themeColor="text1"/>
              </w:rPr>
              <w:t>80</w:t>
            </w:r>
          </w:p>
        </w:tc>
        <w:tc>
          <w:tcPr>
            <w:tcW w:w="1275" w:type="dxa"/>
          </w:tcPr>
          <w:p w14:paraId="778380F8" w14:textId="48D2A86C" w:rsidR="004942B6" w:rsidRDefault="00E45AAB" w:rsidP="002C2525">
            <w:pPr>
              <w:spacing w:line="360" w:lineRule="auto"/>
              <w:jc w:val="both"/>
            </w:pPr>
            <w:r>
              <w:t>85</w:t>
            </w:r>
          </w:p>
        </w:tc>
        <w:tc>
          <w:tcPr>
            <w:tcW w:w="1418" w:type="dxa"/>
          </w:tcPr>
          <w:p w14:paraId="0AF79552" w14:textId="77777777" w:rsidR="004942B6" w:rsidRDefault="004942B6" w:rsidP="002C2525">
            <w:pPr>
              <w:spacing w:line="360" w:lineRule="auto"/>
              <w:jc w:val="both"/>
            </w:pPr>
            <w:r>
              <w:t>0.82</w:t>
            </w:r>
          </w:p>
        </w:tc>
        <w:tc>
          <w:tcPr>
            <w:tcW w:w="1479" w:type="dxa"/>
          </w:tcPr>
          <w:p w14:paraId="57281B91" w14:textId="2D073676" w:rsidR="004942B6" w:rsidRDefault="00E45AAB" w:rsidP="002C2525">
            <w:pPr>
              <w:spacing w:line="360" w:lineRule="auto"/>
              <w:jc w:val="both"/>
            </w:pPr>
            <w:r>
              <w:t>0.85</w:t>
            </w:r>
          </w:p>
        </w:tc>
      </w:tr>
      <w:tr w:rsidR="004942B6" w14:paraId="27B0BAC4" w14:textId="77777777" w:rsidTr="002C2525">
        <w:tc>
          <w:tcPr>
            <w:tcW w:w="986" w:type="dxa"/>
          </w:tcPr>
          <w:p w14:paraId="4981A033" w14:textId="77777777" w:rsidR="004942B6" w:rsidRPr="00FD1D5A" w:rsidRDefault="004942B6" w:rsidP="002C2525">
            <w:pPr>
              <w:spacing w:line="360" w:lineRule="auto"/>
              <w:jc w:val="both"/>
            </w:pPr>
            <w:r>
              <w:t>D106</w:t>
            </w:r>
          </w:p>
        </w:tc>
        <w:tc>
          <w:tcPr>
            <w:tcW w:w="1283" w:type="dxa"/>
            <w:vAlign w:val="bottom"/>
          </w:tcPr>
          <w:p w14:paraId="0CEBABA2" w14:textId="77777777" w:rsidR="004942B6" w:rsidRDefault="004942B6" w:rsidP="002C2525">
            <w:pPr>
              <w:spacing w:line="360" w:lineRule="auto"/>
              <w:jc w:val="both"/>
              <w:rPr>
                <w:rFonts w:ascii="Calibri" w:hAnsi="Calibri" w:cs="Calibri"/>
                <w:color w:val="000000"/>
              </w:rPr>
            </w:pPr>
            <w:r>
              <w:rPr>
                <w:rFonts w:ascii="Calibri" w:hAnsi="Calibri" w:cs="Calibri"/>
                <w:color w:val="000000"/>
              </w:rPr>
              <w:t>60</w:t>
            </w:r>
          </w:p>
        </w:tc>
        <w:tc>
          <w:tcPr>
            <w:tcW w:w="1417" w:type="dxa"/>
          </w:tcPr>
          <w:p w14:paraId="482416EE" w14:textId="77777777" w:rsidR="004942B6" w:rsidRPr="009B05D9" w:rsidRDefault="004942B6" w:rsidP="002C2525">
            <w:pPr>
              <w:spacing w:line="360" w:lineRule="auto"/>
              <w:jc w:val="both"/>
              <w:rPr>
                <w:color w:val="000000" w:themeColor="text1"/>
              </w:rPr>
            </w:pPr>
            <w:r>
              <w:rPr>
                <w:color w:val="000000" w:themeColor="text1"/>
              </w:rPr>
              <w:t>0.71</w:t>
            </w:r>
          </w:p>
        </w:tc>
        <w:tc>
          <w:tcPr>
            <w:tcW w:w="1418" w:type="dxa"/>
          </w:tcPr>
          <w:p w14:paraId="2B908154" w14:textId="77777777" w:rsidR="004942B6" w:rsidRPr="009B05D9" w:rsidRDefault="004942B6" w:rsidP="002C2525">
            <w:pPr>
              <w:spacing w:line="360" w:lineRule="auto"/>
              <w:jc w:val="both"/>
              <w:rPr>
                <w:color w:val="000000" w:themeColor="text1"/>
              </w:rPr>
            </w:pPr>
            <w:r>
              <w:rPr>
                <w:color w:val="000000" w:themeColor="text1"/>
              </w:rPr>
              <w:t>65</w:t>
            </w:r>
          </w:p>
        </w:tc>
        <w:tc>
          <w:tcPr>
            <w:tcW w:w="1275" w:type="dxa"/>
          </w:tcPr>
          <w:p w14:paraId="61BE3753" w14:textId="14E4F2FC" w:rsidR="004942B6" w:rsidRDefault="00E45AAB" w:rsidP="002C2525">
            <w:pPr>
              <w:spacing w:line="360" w:lineRule="auto"/>
              <w:jc w:val="both"/>
            </w:pPr>
            <w:r>
              <w:t>70</w:t>
            </w:r>
          </w:p>
        </w:tc>
        <w:tc>
          <w:tcPr>
            <w:tcW w:w="1418" w:type="dxa"/>
          </w:tcPr>
          <w:p w14:paraId="595D53C0" w14:textId="77777777" w:rsidR="004942B6" w:rsidRDefault="004942B6" w:rsidP="002C2525">
            <w:pPr>
              <w:spacing w:line="360" w:lineRule="auto"/>
              <w:jc w:val="both"/>
            </w:pPr>
            <w:r>
              <w:t>0.73</w:t>
            </w:r>
          </w:p>
        </w:tc>
        <w:tc>
          <w:tcPr>
            <w:tcW w:w="1479" w:type="dxa"/>
          </w:tcPr>
          <w:p w14:paraId="6C62DC77" w14:textId="3A3CD22E" w:rsidR="004942B6" w:rsidRDefault="00E45AAB" w:rsidP="002C2525">
            <w:pPr>
              <w:spacing w:line="360" w:lineRule="auto"/>
              <w:jc w:val="both"/>
            </w:pPr>
            <w:r>
              <w:t>0.76</w:t>
            </w:r>
          </w:p>
        </w:tc>
      </w:tr>
      <w:tr w:rsidR="004942B6" w14:paraId="55DA48D0" w14:textId="77777777" w:rsidTr="002C2525">
        <w:tc>
          <w:tcPr>
            <w:tcW w:w="986" w:type="dxa"/>
          </w:tcPr>
          <w:p w14:paraId="41F9BCA8" w14:textId="77777777" w:rsidR="004942B6" w:rsidRDefault="004942B6" w:rsidP="002C2525">
            <w:pPr>
              <w:spacing w:line="360" w:lineRule="auto"/>
              <w:jc w:val="both"/>
            </w:pPr>
            <w:r>
              <w:lastRenderedPageBreak/>
              <w:t>B69</w:t>
            </w:r>
          </w:p>
        </w:tc>
        <w:tc>
          <w:tcPr>
            <w:tcW w:w="1283" w:type="dxa"/>
            <w:vAlign w:val="bottom"/>
          </w:tcPr>
          <w:p w14:paraId="24C74F80" w14:textId="77777777" w:rsidR="004942B6" w:rsidRDefault="004942B6" w:rsidP="002C2525">
            <w:pPr>
              <w:spacing w:line="360" w:lineRule="auto"/>
              <w:jc w:val="both"/>
            </w:pPr>
            <w:r>
              <w:rPr>
                <w:rFonts w:ascii="Calibri" w:hAnsi="Calibri" w:cs="Calibri"/>
                <w:color w:val="000000"/>
              </w:rPr>
              <w:t>60</w:t>
            </w:r>
          </w:p>
        </w:tc>
        <w:tc>
          <w:tcPr>
            <w:tcW w:w="1417" w:type="dxa"/>
          </w:tcPr>
          <w:p w14:paraId="0D41AC82" w14:textId="77777777" w:rsidR="004942B6" w:rsidRPr="009B05D9" w:rsidRDefault="004942B6" w:rsidP="002C2525">
            <w:pPr>
              <w:spacing w:line="360" w:lineRule="auto"/>
              <w:jc w:val="both"/>
              <w:rPr>
                <w:color w:val="000000" w:themeColor="text1"/>
              </w:rPr>
            </w:pPr>
            <w:r>
              <w:rPr>
                <w:color w:val="000000" w:themeColor="text1"/>
              </w:rPr>
              <w:t>0.67</w:t>
            </w:r>
          </w:p>
        </w:tc>
        <w:tc>
          <w:tcPr>
            <w:tcW w:w="1418" w:type="dxa"/>
          </w:tcPr>
          <w:p w14:paraId="2B83A3E3" w14:textId="77777777" w:rsidR="004942B6" w:rsidRPr="009B05D9" w:rsidRDefault="004942B6" w:rsidP="002C2525">
            <w:pPr>
              <w:spacing w:line="360" w:lineRule="auto"/>
              <w:jc w:val="both"/>
              <w:rPr>
                <w:color w:val="000000" w:themeColor="text1"/>
              </w:rPr>
            </w:pPr>
            <w:r>
              <w:rPr>
                <w:color w:val="000000" w:themeColor="text1"/>
              </w:rPr>
              <w:t>90</w:t>
            </w:r>
          </w:p>
        </w:tc>
        <w:tc>
          <w:tcPr>
            <w:tcW w:w="1275" w:type="dxa"/>
          </w:tcPr>
          <w:p w14:paraId="7432F8D4" w14:textId="77777777" w:rsidR="004942B6" w:rsidRDefault="004942B6" w:rsidP="002C2525">
            <w:pPr>
              <w:spacing w:line="360" w:lineRule="auto"/>
              <w:jc w:val="both"/>
            </w:pPr>
            <w:r>
              <w:t>90</w:t>
            </w:r>
          </w:p>
        </w:tc>
        <w:tc>
          <w:tcPr>
            <w:tcW w:w="1418" w:type="dxa"/>
          </w:tcPr>
          <w:p w14:paraId="6280D426" w14:textId="77777777" w:rsidR="004942B6" w:rsidRDefault="004942B6" w:rsidP="002C2525">
            <w:pPr>
              <w:spacing w:line="360" w:lineRule="auto"/>
              <w:jc w:val="both"/>
            </w:pPr>
            <w:r>
              <w:t>0.84</w:t>
            </w:r>
          </w:p>
        </w:tc>
        <w:tc>
          <w:tcPr>
            <w:tcW w:w="1479" w:type="dxa"/>
          </w:tcPr>
          <w:p w14:paraId="0357AED1" w14:textId="77777777" w:rsidR="004942B6" w:rsidRDefault="004942B6" w:rsidP="002C2525">
            <w:pPr>
              <w:spacing w:line="360" w:lineRule="auto"/>
              <w:jc w:val="both"/>
            </w:pPr>
            <w:r>
              <w:t>0.84</w:t>
            </w:r>
          </w:p>
        </w:tc>
      </w:tr>
      <w:tr w:rsidR="004942B6" w14:paraId="42875F9D" w14:textId="77777777" w:rsidTr="002C2525">
        <w:tc>
          <w:tcPr>
            <w:tcW w:w="9276" w:type="dxa"/>
            <w:gridSpan w:val="7"/>
          </w:tcPr>
          <w:p w14:paraId="322838F1" w14:textId="20BF8B07" w:rsidR="004942B6" w:rsidRDefault="004942B6" w:rsidP="002C2525">
            <w:pPr>
              <w:spacing w:line="360" w:lineRule="auto"/>
              <w:jc w:val="both"/>
            </w:pPr>
            <w:r>
              <w:t xml:space="preserve">Virtual change was predicted (according to the published literature) by the expert </w:t>
            </w:r>
            <w:r w:rsidR="0012399F">
              <w:t>MDT</w:t>
            </w:r>
          </w:p>
          <w:p w14:paraId="4C1D462C" w14:textId="77777777" w:rsidR="004942B6" w:rsidRDefault="004942B6" w:rsidP="002C2525">
            <w:pPr>
              <w:spacing w:line="360" w:lineRule="auto"/>
              <w:jc w:val="both"/>
            </w:pPr>
          </w:p>
          <w:p w14:paraId="1A19F0E9" w14:textId="77777777" w:rsidR="004942B6" w:rsidRDefault="004942B6" w:rsidP="002C2525">
            <w:pPr>
              <w:spacing w:line="360" w:lineRule="auto"/>
              <w:jc w:val="both"/>
            </w:pPr>
            <w:r>
              <w:t xml:space="preserve">** Represents the non-cardiac reductions in EQ-5D scores (n=13/39) </w:t>
            </w:r>
          </w:p>
          <w:p w14:paraId="703BD5D6" w14:textId="77777777" w:rsidR="004942B6" w:rsidRDefault="004942B6" w:rsidP="002C2525">
            <w:pPr>
              <w:jc w:val="both"/>
            </w:pPr>
          </w:p>
        </w:tc>
      </w:tr>
    </w:tbl>
    <w:p w14:paraId="5E6BE106" w14:textId="77777777" w:rsidR="004942B6" w:rsidRDefault="004942B6" w:rsidP="004942B6"/>
    <w:p w14:paraId="6BA49EF5" w14:textId="77777777" w:rsidR="004942B6" w:rsidRDefault="004942B6" w:rsidP="004942B6"/>
    <w:p w14:paraId="7CCC913D" w14:textId="77777777" w:rsidR="0016428A" w:rsidRDefault="0016428A" w:rsidP="004942B6"/>
    <w:p w14:paraId="6D0C1B42" w14:textId="77777777" w:rsidR="0016428A" w:rsidRDefault="0016428A" w:rsidP="004942B6"/>
    <w:p w14:paraId="25731FE8" w14:textId="77777777" w:rsidR="004942B6" w:rsidRDefault="004942B6" w:rsidP="004942B6"/>
    <w:p w14:paraId="4C9BC758" w14:textId="77777777" w:rsidR="004942B6" w:rsidRDefault="004942B6" w:rsidP="004942B6"/>
    <w:p w14:paraId="0F3B606D" w14:textId="77777777" w:rsidR="004942B6" w:rsidRDefault="004942B6" w:rsidP="004942B6"/>
    <w:p w14:paraId="73EEE6D3" w14:textId="77777777" w:rsidR="004942B6" w:rsidRDefault="004942B6" w:rsidP="004942B6"/>
    <w:p w14:paraId="2F1A1375" w14:textId="77777777" w:rsidR="004942B6" w:rsidRDefault="004942B6" w:rsidP="004942B6"/>
    <w:p w14:paraId="16692B13" w14:textId="77777777" w:rsidR="004942B6" w:rsidRDefault="004942B6" w:rsidP="004942B6">
      <w:pPr>
        <w:rPr>
          <w:rFonts w:ascii="Arial" w:hAnsi="Arial" w:cs="Arial"/>
          <w:color w:val="4472C4" w:themeColor="accent1"/>
          <w:sz w:val="24"/>
          <w:szCs w:val="24"/>
        </w:rPr>
      </w:pPr>
    </w:p>
    <w:p w14:paraId="5BA63AE3" w14:textId="77777777" w:rsidR="004942B6" w:rsidRDefault="004942B6" w:rsidP="004942B6">
      <w:pPr>
        <w:rPr>
          <w:rFonts w:ascii="Arial" w:hAnsi="Arial" w:cs="Arial"/>
          <w:color w:val="4472C4" w:themeColor="accent1"/>
          <w:sz w:val="24"/>
          <w:szCs w:val="24"/>
        </w:rPr>
      </w:pPr>
    </w:p>
    <w:p w14:paraId="132DFF25" w14:textId="77777777" w:rsidR="004942B6" w:rsidRDefault="004942B6" w:rsidP="004942B6">
      <w:pPr>
        <w:rPr>
          <w:rFonts w:ascii="Arial" w:hAnsi="Arial" w:cs="Arial"/>
          <w:color w:val="4472C4" w:themeColor="accent1"/>
          <w:sz w:val="24"/>
          <w:szCs w:val="24"/>
        </w:rPr>
      </w:pPr>
    </w:p>
    <w:p w14:paraId="66A1D866" w14:textId="77777777" w:rsidR="004942B6" w:rsidRDefault="004942B6" w:rsidP="004942B6">
      <w:pPr>
        <w:rPr>
          <w:rFonts w:ascii="Arial" w:hAnsi="Arial" w:cs="Arial"/>
          <w:color w:val="4472C4" w:themeColor="accent1"/>
          <w:sz w:val="24"/>
          <w:szCs w:val="24"/>
        </w:rPr>
      </w:pPr>
    </w:p>
    <w:p w14:paraId="69F7B677" w14:textId="77777777" w:rsidR="004942B6" w:rsidRDefault="004942B6" w:rsidP="004942B6">
      <w:pPr>
        <w:rPr>
          <w:rFonts w:ascii="Arial" w:hAnsi="Arial" w:cs="Arial"/>
          <w:color w:val="4472C4" w:themeColor="accent1"/>
          <w:sz w:val="24"/>
          <w:szCs w:val="24"/>
        </w:rPr>
      </w:pPr>
    </w:p>
    <w:p w14:paraId="5F1FE545" w14:textId="77777777" w:rsidR="004942B6" w:rsidRDefault="004942B6" w:rsidP="004942B6">
      <w:pPr>
        <w:rPr>
          <w:rFonts w:ascii="Arial" w:hAnsi="Arial" w:cs="Arial"/>
          <w:color w:val="4472C4" w:themeColor="accent1"/>
          <w:sz w:val="24"/>
          <w:szCs w:val="24"/>
        </w:rPr>
      </w:pPr>
    </w:p>
    <w:p w14:paraId="65AB7370" w14:textId="77777777" w:rsidR="004942B6" w:rsidRDefault="004942B6" w:rsidP="004942B6">
      <w:pPr>
        <w:rPr>
          <w:rFonts w:ascii="Arial" w:hAnsi="Arial" w:cs="Arial"/>
          <w:color w:val="4472C4" w:themeColor="accent1"/>
          <w:sz w:val="24"/>
          <w:szCs w:val="24"/>
        </w:rPr>
      </w:pPr>
    </w:p>
    <w:p w14:paraId="7D7874B0" w14:textId="77777777" w:rsidR="004942B6" w:rsidRDefault="004942B6" w:rsidP="004942B6">
      <w:pPr>
        <w:rPr>
          <w:rFonts w:ascii="Arial" w:hAnsi="Arial" w:cs="Arial"/>
          <w:color w:val="4472C4" w:themeColor="accent1"/>
          <w:sz w:val="24"/>
          <w:szCs w:val="24"/>
        </w:rPr>
      </w:pPr>
    </w:p>
    <w:p w14:paraId="11217E73" w14:textId="77777777" w:rsidR="004942B6" w:rsidRDefault="004942B6" w:rsidP="004942B6">
      <w:pPr>
        <w:rPr>
          <w:rFonts w:ascii="Arial" w:hAnsi="Arial" w:cs="Arial"/>
          <w:color w:val="4472C4" w:themeColor="accent1"/>
          <w:sz w:val="24"/>
          <w:szCs w:val="24"/>
        </w:rPr>
      </w:pPr>
    </w:p>
    <w:p w14:paraId="4CFCB4A7" w14:textId="77777777" w:rsidR="004942B6" w:rsidRDefault="004942B6" w:rsidP="004942B6">
      <w:pPr>
        <w:rPr>
          <w:rFonts w:ascii="Arial" w:hAnsi="Arial" w:cs="Arial"/>
          <w:color w:val="4472C4" w:themeColor="accent1"/>
          <w:sz w:val="24"/>
          <w:szCs w:val="24"/>
        </w:rPr>
      </w:pPr>
    </w:p>
    <w:p w14:paraId="15AB5153" w14:textId="77777777" w:rsidR="004942B6" w:rsidRDefault="004942B6" w:rsidP="004942B6">
      <w:pPr>
        <w:rPr>
          <w:rFonts w:ascii="Arial" w:hAnsi="Arial" w:cs="Arial"/>
          <w:color w:val="4472C4" w:themeColor="accent1"/>
          <w:sz w:val="24"/>
          <w:szCs w:val="24"/>
        </w:rPr>
      </w:pPr>
    </w:p>
    <w:p w14:paraId="685B8AC8" w14:textId="77777777" w:rsidR="004942B6" w:rsidRDefault="004942B6" w:rsidP="004942B6">
      <w:pPr>
        <w:rPr>
          <w:rFonts w:ascii="Arial" w:hAnsi="Arial" w:cs="Arial"/>
          <w:color w:val="4472C4" w:themeColor="accent1"/>
          <w:sz w:val="24"/>
          <w:szCs w:val="24"/>
        </w:rPr>
      </w:pPr>
    </w:p>
    <w:p w14:paraId="1AE80C40" w14:textId="77777777" w:rsidR="004942B6" w:rsidRDefault="004942B6" w:rsidP="004942B6">
      <w:pPr>
        <w:rPr>
          <w:rFonts w:ascii="Arial" w:hAnsi="Arial" w:cs="Arial"/>
          <w:color w:val="4472C4" w:themeColor="accent1"/>
          <w:sz w:val="24"/>
          <w:szCs w:val="24"/>
        </w:rPr>
      </w:pPr>
    </w:p>
    <w:p w14:paraId="532AB4D0" w14:textId="77777777" w:rsidR="004942B6" w:rsidRDefault="004942B6" w:rsidP="004942B6">
      <w:pPr>
        <w:rPr>
          <w:rFonts w:ascii="Arial" w:hAnsi="Arial" w:cs="Arial"/>
          <w:color w:val="4472C4" w:themeColor="accent1"/>
          <w:sz w:val="24"/>
          <w:szCs w:val="24"/>
        </w:rPr>
      </w:pPr>
    </w:p>
    <w:p w14:paraId="286766EE" w14:textId="77777777" w:rsidR="004942B6" w:rsidRDefault="004942B6" w:rsidP="004942B6">
      <w:pPr>
        <w:rPr>
          <w:rFonts w:ascii="Arial" w:hAnsi="Arial" w:cs="Arial"/>
          <w:color w:val="4472C4" w:themeColor="accent1"/>
          <w:sz w:val="24"/>
          <w:szCs w:val="24"/>
        </w:rPr>
      </w:pPr>
    </w:p>
    <w:p w14:paraId="21E48A5C" w14:textId="77777777" w:rsidR="004942B6" w:rsidRDefault="004942B6" w:rsidP="004942B6">
      <w:pPr>
        <w:rPr>
          <w:rFonts w:ascii="Arial" w:hAnsi="Arial" w:cs="Arial"/>
          <w:color w:val="4472C4" w:themeColor="accent1"/>
          <w:sz w:val="24"/>
          <w:szCs w:val="24"/>
        </w:rPr>
      </w:pPr>
    </w:p>
    <w:p w14:paraId="579CB35A" w14:textId="77777777" w:rsidR="004942B6" w:rsidRDefault="004942B6" w:rsidP="004942B6">
      <w:pPr>
        <w:rPr>
          <w:rFonts w:ascii="Arial" w:hAnsi="Arial" w:cs="Arial"/>
          <w:color w:val="4472C4" w:themeColor="accent1"/>
          <w:sz w:val="24"/>
          <w:szCs w:val="24"/>
        </w:rPr>
      </w:pPr>
    </w:p>
    <w:p w14:paraId="31996BEC" w14:textId="77777777" w:rsidR="004942B6" w:rsidRDefault="004942B6" w:rsidP="004942B6">
      <w:pPr>
        <w:rPr>
          <w:rFonts w:ascii="Arial" w:hAnsi="Arial" w:cs="Arial"/>
          <w:color w:val="4472C4" w:themeColor="accent1"/>
          <w:sz w:val="24"/>
          <w:szCs w:val="24"/>
        </w:rPr>
      </w:pPr>
    </w:p>
    <w:p w14:paraId="65CE099C" w14:textId="77777777" w:rsidR="004942B6" w:rsidRDefault="004942B6" w:rsidP="004942B6">
      <w:pPr>
        <w:rPr>
          <w:rFonts w:ascii="Arial" w:hAnsi="Arial" w:cs="Arial"/>
          <w:color w:val="4472C4" w:themeColor="accent1"/>
          <w:sz w:val="24"/>
          <w:szCs w:val="24"/>
        </w:rPr>
      </w:pPr>
    </w:p>
    <w:p w14:paraId="07E8A04D" w14:textId="553E5847" w:rsidR="00822497" w:rsidRDefault="00822497" w:rsidP="00AC3109">
      <w:pPr>
        <w:pStyle w:val="Heading2"/>
        <w:rPr>
          <w:rFonts w:ascii="Arial" w:hAnsi="Arial" w:cs="Arial"/>
          <w:color w:val="4472C4" w:themeColor="accent1"/>
          <w:sz w:val="24"/>
          <w:szCs w:val="24"/>
        </w:rPr>
      </w:pPr>
      <w:bookmarkStart w:id="1508" w:name="_Toc171203975"/>
      <w:r w:rsidRPr="00822497">
        <w:rPr>
          <w:rFonts w:ascii="Arial" w:hAnsi="Arial" w:cs="Arial"/>
          <w:color w:val="4472C4" w:themeColor="accent1"/>
          <w:sz w:val="24"/>
          <w:szCs w:val="24"/>
        </w:rPr>
        <w:t xml:space="preserve">6.3 </w:t>
      </w:r>
      <w:r w:rsidR="00B15217">
        <w:rPr>
          <w:rFonts w:ascii="Arial" w:hAnsi="Arial" w:cs="Arial"/>
          <w:color w:val="4472C4" w:themeColor="accent1"/>
          <w:sz w:val="24"/>
          <w:szCs w:val="24"/>
        </w:rPr>
        <w:t xml:space="preserve">Individualised </w:t>
      </w:r>
      <w:r w:rsidR="00ED1E70">
        <w:rPr>
          <w:rFonts w:ascii="Arial" w:hAnsi="Arial" w:cs="Arial"/>
          <w:color w:val="4472C4" w:themeColor="accent1"/>
          <w:sz w:val="24"/>
          <w:szCs w:val="24"/>
        </w:rPr>
        <w:t>“actual” and “post-vFFR</w:t>
      </w:r>
      <w:r w:rsidR="0080064C">
        <w:rPr>
          <w:rFonts w:ascii="Arial" w:hAnsi="Arial" w:cs="Arial"/>
          <w:color w:val="4472C4" w:themeColor="accent1"/>
          <w:sz w:val="24"/>
          <w:szCs w:val="24"/>
        </w:rPr>
        <w:t xml:space="preserve"> virtual” </w:t>
      </w:r>
      <w:r w:rsidR="00B15217">
        <w:rPr>
          <w:rFonts w:ascii="Arial" w:hAnsi="Arial" w:cs="Arial"/>
          <w:color w:val="4472C4" w:themeColor="accent1"/>
          <w:sz w:val="24"/>
          <w:szCs w:val="24"/>
        </w:rPr>
        <w:t>o</w:t>
      </w:r>
      <w:r w:rsidR="004942B6" w:rsidRPr="00822497">
        <w:rPr>
          <w:rFonts w:ascii="Arial" w:hAnsi="Arial" w:cs="Arial"/>
          <w:color w:val="4472C4" w:themeColor="accent1"/>
          <w:sz w:val="24"/>
          <w:szCs w:val="24"/>
        </w:rPr>
        <w:t xml:space="preserve">utcomes from the </w:t>
      </w:r>
      <w:r w:rsidR="004F3E5D">
        <w:rPr>
          <w:rFonts w:ascii="Arial" w:hAnsi="Arial" w:cs="Arial"/>
          <w:color w:val="4472C4" w:themeColor="accent1"/>
          <w:sz w:val="24"/>
          <w:szCs w:val="24"/>
        </w:rPr>
        <w:t xml:space="preserve">parent </w:t>
      </w:r>
      <w:r w:rsidR="007D621A">
        <w:rPr>
          <w:rFonts w:ascii="Arial" w:hAnsi="Arial" w:cs="Arial"/>
          <w:color w:val="4472C4" w:themeColor="accent1"/>
          <w:sz w:val="24"/>
          <w:szCs w:val="24"/>
        </w:rPr>
        <w:t>cardiologists</w:t>
      </w:r>
      <w:bookmarkEnd w:id="1508"/>
    </w:p>
    <w:p w14:paraId="05A62EE6" w14:textId="77777777" w:rsidR="00AC3109" w:rsidRPr="00AC3109" w:rsidRDefault="00AC3109" w:rsidP="00AC3109"/>
    <w:p w14:paraId="11D856E0" w14:textId="4486F6A2" w:rsidR="004942B6" w:rsidRPr="00DB18F3" w:rsidRDefault="004942B6" w:rsidP="00BF0657">
      <w:pPr>
        <w:pStyle w:val="Caption"/>
        <w:keepNext/>
        <w:rPr>
          <w:rFonts w:ascii="Arial" w:hAnsi="Arial" w:cs="Arial"/>
          <w:color w:val="auto"/>
          <w:sz w:val="20"/>
          <w:szCs w:val="20"/>
        </w:rPr>
      </w:pPr>
      <w:bookmarkStart w:id="1509" w:name="_Toc151630632"/>
      <w:bookmarkStart w:id="1510" w:name="_Toc152340594"/>
      <w:bookmarkStart w:id="1511" w:name="_Toc152598070"/>
      <w:bookmarkStart w:id="1512" w:name="_Toc153725856"/>
      <w:bookmarkStart w:id="1513" w:name="_Toc159318298"/>
      <w:bookmarkStart w:id="1514" w:name="_Toc159610333"/>
      <w:bookmarkStart w:id="1515" w:name="_Toc164699090"/>
      <w:bookmarkStart w:id="1516" w:name="_Toc171206732"/>
      <w:r w:rsidRPr="00DB18F3">
        <w:rPr>
          <w:rFonts w:ascii="Arial" w:hAnsi="Arial" w:cs="Arial"/>
          <w:b/>
          <w:bCs/>
          <w:color w:val="auto"/>
          <w:sz w:val="20"/>
          <w:szCs w:val="20"/>
        </w:rPr>
        <w:t>Table</w:t>
      </w:r>
      <w:r w:rsidR="00BF0657">
        <w:rPr>
          <w:rFonts w:ascii="Arial" w:hAnsi="Arial" w:cs="Arial"/>
          <w:b/>
          <w:bCs/>
          <w:color w:val="auto"/>
          <w:sz w:val="20"/>
          <w:szCs w:val="20"/>
        </w:rPr>
        <w:t xml:space="preserve"> 22</w:t>
      </w:r>
      <w:r w:rsidRPr="00DB18F3">
        <w:rPr>
          <w:rFonts w:ascii="Arial" w:hAnsi="Arial" w:cs="Arial"/>
          <w:color w:val="auto"/>
          <w:sz w:val="20"/>
          <w:szCs w:val="20"/>
        </w:rPr>
        <w:t xml:space="preserve">: </w:t>
      </w:r>
      <w:r w:rsidR="00822C3B">
        <w:rPr>
          <w:rFonts w:ascii="Arial" w:hAnsi="Arial" w:cs="Arial"/>
          <w:color w:val="auto"/>
          <w:sz w:val="20"/>
          <w:szCs w:val="20"/>
        </w:rPr>
        <w:t>Individualised</w:t>
      </w:r>
      <w:r w:rsidRPr="00DB18F3">
        <w:rPr>
          <w:rFonts w:ascii="Arial" w:hAnsi="Arial" w:cs="Arial"/>
          <w:color w:val="auto"/>
          <w:sz w:val="20"/>
          <w:szCs w:val="20"/>
        </w:rPr>
        <w:t xml:space="preserve"> "actual" and </w:t>
      </w:r>
      <w:r w:rsidR="00822C3B">
        <w:rPr>
          <w:rFonts w:ascii="Arial" w:hAnsi="Arial" w:cs="Arial"/>
          <w:color w:val="auto"/>
          <w:sz w:val="20"/>
          <w:szCs w:val="20"/>
        </w:rPr>
        <w:t xml:space="preserve">post-vFFR </w:t>
      </w:r>
      <w:r w:rsidRPr="00DB18F3">
        <w:rPr>
          <w:rFonts w:ascii="Arial" w:hAnsi="Arial" w:cs="Arial"/>
          <w:color w:val="auto"/>
          <w:sz w:val="20"/>
          <w:szCs w:val="20"/>
        </w:rPr>
        <w:t xml:space="preserve">"virtual" outcomes from </w:t>
      </w:r>
      <w:r w:rsidR="000C581C">
        <w:rPr>
          <w:rFonts w:ascii="Arial" w:hAnsi="Arial" w:cs="Arial"/>
          <w:color w:val="auto"/>
          <w:sz w:val="20"/>
          <w:szCs w:val="20"/>
        </w:rPr>
        <w:t xml:space="preserve">parent cardiologists’ </w:t>
      </w:r>
      <w:r w:rsidR="007D621A">
        <w:rPr>
          <w:rFonts w:ascii="Arial" w:hAnsi="Arial" w:cs="Arial"/>
          <w:color w:val="auto"/>
          <w:sz w:val="20"/>
          <w:szCs w:val="20"/>
        </w:rPr>
        <w:t xml:space="preserve">treatment plans </w:t>
      </w:r>
      <w:r w:rsidRPr="00DB18F3">
        <w:rPr>
          <w:rFonts w:ascii="Arial" w:hAnsi="Arial" w:cs="Arial"/>
          <w:color w:val="auto"/>
          <w:sz w:val="20"/>
          <w:szCs w:val="20"/>
        </w:rPr>
        <w:t xml:space="preserve">for the </w:t>
      </w:r>
      <w:r>
        <w:rPr>
          <w:rFonts w:ascii="Arial" w:hAnsi="Arial" w:cs="Arial"/>
          <w:color w:val="auto"/>
          <w:sz w:val="20"/>
          <w:szCs w:val="20"/>
        </w:rPr>
        <w:t>ACS</w:t>
      </w:r>
      <w:r w:rsidRPr="00DB18F3">
        <w:rPr>
          <w:rFonts w:ascii="Arial" w:hAnsi="Arial" w:cs="Arial"/>
          <w:color w:val="auto"/>
          <w:sz w:val="20"/>
          <w:szCs w:val="20"/>
        </w:rPr>
        <w:t xml:space="preserve"> and </w:t>
      </w:r>
      <w:r>
        <w:rPr>
          <w:rFonts w:ascii="Arial" w:hAnsi="Arial" w:cs="Arial"/>
          <w:color w:val="auto"/>
          <w:sz w:val="20"/>
          <w:szCs w:val="20"/>
        </w:rPr>
        <w:t>CCS</w:t>
      </w:r>
      <w:r w:rsidRPr="00DB18F3">
        <w:rPr>
          <w:rFonts w:ascii="Arial" w:hAnsi="Arial" w:cs="Arial"/>
          <w:color w:val="auto"/>
          <w:sz w:val="20"/>
          <w:szCs w:val="20"/>
        </w:rPr>
        <w:t xml:space="preserve"> patients</w:t>
      </w:r>
      <w:r>
        <w:rPr>
          <w:rFonts w:ascii="Arial" w:hAnsi="Arial" w:cs="Arial"/>
          <w:color w:val="auto"/>
          <w:sz w:val="20"/>
          <w:szCs w:val="20"/>
        </w:rPr>
        <w:t xml:space="preserve"> </w:t>
      </w:r>
      <w:r w:rsidR="000C581C">
        <w:rPr>
          <w:rFonts w:ascii="Arial" w:hAnsi="Arial" w:cs="Arial"/>
          <w:color w:val="auto"/>
          <w:sz w:val="20"/>
          <w:szCs w:val="20"/>
        </w:rPr>
        <w:t>with</w:t>
      </w:r>
      <w:r w:rsidRPr="00DB18F3">
        <w:rPr>
          <w:rFonts w:ascii="Arial" w:hAnsi="Arial" w:cs="Arial"/>
          <w:color w:val="auto"/>
          <w:sz w:val="20"/>
          <w:szCs w:val="20"/>
        </w:rPr>
        <w:t xml:space="preserve">in the </w:t>
      </w:r>
      <w:r>
        <w:rPr>
          <w:rFonts w:ascii="Arial" w:hAnsi="Arial" w:cs="Arial"/>
          <w:color w:val="auto"/>
          <w:sz w:val="20"/>
          <w:szCs w:val="20"/>
        </w:rPr>
        <w:t>virtual change subset</w:t>
      </w:r>
      <w:bookmarkEnd w:id="1509"/>
      <w:bookmarkEnd w:id="1510"/>
      <w:bookmarkEnd w:id="1511"/>
      <w:bookmarkEnd w:id="1512"/>
      <w:bookmarkEnd w:id="1513"/>
      <w:bookmarkEnd w:id="1514"/>
      <w:bookmarkEnd w:id="1515"/>
      <w:bookmarkEnd w:id="1516"/>
    </w:p>
    <w:tbl>
      <w:tblPr>
        <w:tblStyle w:val="TableGrid"/>
        <w:tblW w:w="8739" w:type="dxa"/>
        <w:tblLayout w:type="fixed"/>
        <w:tblLook w:val="04A0" w:firstRow="1" w:lastRow="0" w:firstColumn="1" w:lastColumn="0" w:noHBand="0" w:noVBand="1"/>
      </w:tblPr>
      <w:tblGrid>
        <w:gridCol w:w="687"/>
        <w:gridCol w:w="829"/>
        <w:gridCol w:w="894"/>
        <w:gridCol w:w="1089"/>
        <w:gridCol w:w="1196"/>
        <w:gridCol w:w="1351"/>
        <w:gridCol w:w="1276"/>
        <w:gridCol w:w="1417"/>
      </w:tblGrid>
      <w:tr w:rsidR="004942B6" w14:paraId="3C2CF011" w14:textId="77777777" w:rsidTr="002C2525">
        <w:trPr>
          <w:trHeight w:val="540"/>
        </w:trPr>
        <w:tc>
          <w:tcPr>
            <w:tcW w:w="687" w:type="dxa"/>
            <w:vMerge w:val="restart"/>
          </w:tcPr>
          <w:p w14:paraId="33899848" w14:textId="77777777" w:rsidR="004942B6" w:rsidRPr="00C57414" w:rsidRDefault="004942B6" w:rsidP="002C2525">
            <w:pPr>
              <w:jc w:val="both"/>
              <w:rPr>
                <w:b/>
                <w:bCs/>
              </w:rPr>
            </w:pPr>
            <w:r w:rsidRPr="00C57414">
              <w:rPr>
                <w:b/>
                <w:bCs/>
              </w:rPr>
              <w:t>ID</w:t>
            </w:r>
          </w:p>
        </w:tc>
        <w:tc>
          <w:tcPr>
            <w:tcW w:w="829" w:type="dxa"/>
            <w:vMerge w:val="restart"/>
          </w:tcPr>
          <w:p w14:paraId="40A3D1E1" w14:textId="77777777" w:rsidR="004942B6" w:rsidRPr="00C57414" w:rsidRDefault="004942B6" w:rsidP="002C2525">
            <w:pPr>
              <w:jc w:val="both"/>
              <w:rPr>
                <w:b/>
                <w:bCs/>
              </w:rPr>
            </w:pPr>
            <w:r w:rsidRPr="00C57414">
              <w:rPr>
                <w:b/>
                <w:bCs/>
              </w:rPr>
              <w:t>Pre-vFFR plan</w:t>
            </w:r>
          </w:p>
        </w:tc>
        <w:tc>
          <w:tcPr>
            <w:tcW w:w="894" w:type="dxa"/>
            <w:vMerge w:val="restart"/>
          </w:tcPr>
          <w:p w14:paraId="67B788C4" w14:textId="77777777" w:rsidR="004942B6" w:rsidRPr="00C57414" w:rsidRDefault="004942B6" w:rsidP="002C2525">
            <w:pPr>
              <w:jc w:val="both"/>
              <w:rPr>
                <w:b/>
                <w:bCs/>
              </w:rPr>
            </w:pPr>
            <w:r w:rsidRPr="00C57414">
              <w:rPr>
                <w:b/>
                <w:bCs/>
              </w:rPr>
              <w:t>Post-vFFR plan</w:t>
            </w:r>
          </w:p>
        </w:tc>
        <w:tc>
          <w:tcPr>
            <w:tcW w:w="1089" w:type="dxa"/>
            <w:vMerge w:val="restart"/>
          </w:tcPr>
          <w:p w14:paraId="0706B3DA" w14:textId="77777777" w:rsidR="004942B6" w:rsidRPr="00C57414" w:rsidRDefault="004942B6" w:rsidP="002C2525">
            <w:pPr>
              <w:jc w:val="both"/>
              <w:rPr>
                <w:b/>
                <w:bCs/>
              </w:rPr>
            </w:pPr>
            <w:r w:rsidRPr="00C57414">
              <w:rPr>
                <w:b/>
                <w:bCs/>
              </w:rPr>
              <w:t>Rationale for change in plan</w:t>
            </w:r>
          </w:p>
        </w:tc>
        <w:tc>
          <w:tcPr>
            <w:tcW w:w="5240" w:type="dxa"/>
            <w:gridSpan w:val="4"/>
          </w:tcPr>
          <w:p w14:paraId="272E7435" w14:textId="4FE2A53A" w:rsidR="004942B6" w:rsidRPr="00C57414" w:rsidRDefault="004942B6" w:rsidP="002C2525">
            <w:pPr>
              <w:jc w:val="both"/>
              <w:rPr>
                <w:b/>
                <w:bCs/>
              </w:rPr>
            </w:pPr>
            <w:r w:rsidRPr="00C57414">
              <w:rPr>
                <w:b/>
                <w:bCs/>
              </w:rPr>
              <w:t xml:space="preserve">  </w:t>
            </w:r>
            <w:r>
              <w:rPr>
                <w:b/>
                <w:bCs/>
              </w:rPr>
              <w:t xml:space="preserve">     </w:t>
            </w:r>
            <w:r w:rsidRPr="00C57414">
              <w:rPr>
                <w:b/>
                <w:bCs/>
              </w:rPr>
              <w:t xml:space="preserve">Virtual </w:t>
            </w:r>
            <w:r>
              <w:rPr>
                <w:b/>
                <w:bCs/>
              </w:rPr>
              <w:t xml:space="preserve">change in </w:t>
            </w:r>
            <w:r w:rsidRPr="00C57414">
              <w:rPr>
                <w:b/>
                <w:bCs/>
              </w:rPr>
              <w:t xml:space="preserve">outcomes as per expert </w:t>
            </w:r>
            <w:r w:rsidR="0012399F">
              <w:rPr>
                <w:b/>
                <w:bCs/>
              </w:rPr>
              <w:t>MDT</w:t>
            </w:r>
          </w:p>
        </w:tc>
      </w:tr>
      <w:tr w:rsidR="004942B6" w14:paraId="0036B594" w14:textId="77777777" w:rsidTr="002C2525">
        <w:trPr>
          <w:trHeight w:val="698"/>
        </w:trPr>
        <w:tc>
          <w:tcPr>
            <w:tcW w:w="687" w:type="dxa"/>
            <w:vMerge/>
          </w:tcPr>
          <w:p w14:paraId="23029BB6" w14:textId="77777777" w:rsidR="004942B6" w:rsidRPr="00C57414" w:rsidRDefault="004942B6" w:rsidP="002C2525">
            <w:pPr>
              <w:jc w:val="both"/>
              <w:rPr>
                <w:b/>
                <w:bCs/>
              </w:rPr>
            </w:pPr>
          </w:p>
        </w:tc>
        <w:tc>
          <w:tcPr>
            <w:tcW w:w="829" w:type="dxa"/>
            <w:vMerge/>
          </w:tcPr>
          <w:p w14:paraId="361C5F4C" w14:textId="77777777" w:rsidR="004942B6" w:rsidRPr="00C57414" w:rsidRDefault="004942B6" w:rsidP="002C2525">
            <w:pPr>
              <w:jc w:val="both"/>
              <w:rPr>
                <w:b/>
                <w:bCs/>
              </w:rPr>
            </w:pPr>
          </w:p>
        </w:tc>
        <w:tc>
          <w:tcPr>
            <w:tcW w:w="894" w:type="dxa"/>
            <w:vMerge/>
          </w:tcPr>
          <w:p w14:paraId="7980B9B4" w14:textId="77777777" w:rsidR="004942B6" w:rsidRPr="00C57414" w:rsidRDefault="004942B6" w:rsidP="002C2525">
            <w:pPr>
              <w:jc w:val="both"/>
              <w:rPr>
                <w:b/>
                <w:bCs/>
              </w:rPr>
            </w:pPr>
          </w:p>
        </w:tc>
        <w:tc>
          <w:tcPr>
            <w:tcW w:w="1089" w:type="dxa"/>
            <w:vMerge/>
          </w:tcPr>
          <w:p w14:paraId="5A611916" w14:textId="77777777" w:rsidR="004942B6" w:rsidRPr="00C57414" w:rsidRDefault="004942B6" w:rsidP="002C2525">
            <w:pPr>
              <w:jc w:val="both"/>
              <w:rPr>
                <w:b/>
                <w:bCs/>
              </w:rPr>
            </w:pPr>
          </w:p>
        </w:tc>
        <w:tc>
          <w:tcPr>
            <w:tcW w:w="1196" w:type="dxa"/>
          </w:tcPr>
          <w:p w14:paraId="5A0C5401" w14:textId="77777777" w:rsidR="004942B6" w:rsidRPr="00C57414" w:rsidRDefault="004942B6" w:rsidP="002C2525">
            <w:pPr>
              <w:jc w:val="both"/>
              <w:rPr>
                <w:b/>
                <w:bCs/>
              </w:rPr>
            </w:pPr>
            <w:r>
              <w:rPr>
                <w:b/>
                <w:bCs/>
              </w:rPr>
              <w:t>Resource utilisation</w:t>
            </w:r>
          </w:p>
        </w:tc>
        <w:tc>
          <w:tcPr>
            <w:tcW w:w="1351" w:type="dxa"/>
          </w:tcPr>
          <w:p w14:paraId="25FFA399" w14:textId="77777777" w:rsidR="004942B6" w:rsidRPr="00C57414" w:rsidRDefault="004942B6" w:rsidP="002C2525">
            <w:pPr>
              <w:jc w:val="both"/>
              <w:rPr>
                <w:b/>
                <w:bCs/>
              </w:rPr>
            </w:pPr>
            <w:r>
              <w:rPr>
                <w:b/>
                <w:bCs/>
              </w:rPr>
              <w:t>MACE</w:t>
            </w:r>
          </w:p>
        </w:tc>
        <w:tc>
          <w:tcPr>
            <w:tcW w:w="1276" w:type="dxa"/>
          </w:tcPr>
          <w:p w14:paraId="5B33FA60" w14:textId="77777777" w:rsidR="004942B6" w:rsidRPr="00C57414" w:rsidRDefault="004942B6" w:rsidP="002C2525">
            <w:pPr>
              <w:jc w:val="both"/>
              <w:rPr>
                <w:b/>
                <w:bCs/>
              </w:rPr>
            </w:pPr>
            <w:r w:rsidRPr="00C57414">
              <w:rPr>
                <w:b/>
                <w:bCs/>
              </w:rPr>
              <w:t xml:space="preserve">   QOL</w:t>
            </w:r>
          </w:p>
        </w:tc>
        <w:tc>
          <w:tcPr>
            <w:tcW w:w="1417" w:type="dxa"/>
          </w:tcPr>
          <w:p w14:paraId="74190DE3" w14:textId="77777777" w:rsidR="004942B6" w:rsidRPr="00C57414" w:rsidRDefault="004942B6" w:rsidP="002C2525">
            <w:pPr>
              <w:jc w:val="both"/>
              <w:rPr>
                <w:b/>
                <w:bCs/>
              </w:rPr>
            </w:pPr>
            <w:r w:rsidRPr="00C57414">
              <w:rPr>
                <w:b/>
                <w:bCs/>
              </w:rPr>
              <w:t>NYHA/CCS</w:t>
            </w:r>
          </w:p>
        </w:tc>
      </w:tr>
      <w:tr w:rsidR="004942B6" w14:paraId="299C5806" w14:textId="77777777" w:rsidTr="002C2525">
        <w:tc>
          <w:tcPr>
            <w:tcW w:w="687" w:type="dxa"/>
          </w:tcPr>
          <w:p w14:paraId="4DE0A8D6" w14:textId="77777777" w:rsidR="004942B6" w:rsidRDefault="004942B6" w:rsidP="002C2525">
            <w:pPr>
              <w:jc w:val="both"/>
            </w:pPr>
            <w:r>
              <w:t>6</w:t>
            </w:r>
          </w:p>
        </w:tc>
        <w:tc>
          <w:tcPr>
            <w:tcW w:w="829" w:type="dxa"/>
          </w:tcPr>
          <w:p w14:paraId="3EB9EAD1" w14:textId="77777777" w:rsidR="004942B6" w:rsidRDefault="004942B6" w:rsidP="002C2525">
            <w:pPr>
              <w:jc w:val="both"/>
            </w:pPr>
            <w:r>
              <w:t>PCI RCA + LCX</w:t>
            </w:r>
          </w:p>
        </w:tc>
        <w:tc>
          <w:tcPr>
            <w:tcW w:w="894" w:type="dxa"/>
          </w:tcPr>
          <w:p w14:paraId="7D722A51" w14:textId="77777777" w:rsidR="004942B6" w:rsidRDefault="004942B6" w:rsidP="002C2525">
            <w:pPr>
              <w:jc w:val="both"/>
            </w:pPr>
            <w:r>
              <w:t>PCI RCA / LCx + mFFR LAD</w:t>
            </w:r>
          </w:p>
        </w:tc>
        <w:tc>
          <w:tcPr>
            <w:tcW w:w="1089" w:type="dxa"/>
          </w:tcPr>
          <w:p w14:paraId="1FCE4FD4" w14:textId="77777777" w:rsidR="004942B6" w:rsidRDefault="004942B6" w:rsidP="002C2525">
            <w:pPr>
              <w:jc w:val="both"/>
            </w:pPr>
            <w:r>
              <w:t>vFFR LAD 0.82</w:t>
            </w:r>
          </w:p>
        </w:tc>
        <w:tc>
          <w:tcPr>
            <w:tcW w:w="1196" w:type="dxa"/>
          </w:tcPr>
          <w:p w14:paraId="48D928CB" w14:textId="77777777" w:rsidR="004942B6" w:rsidRDefault="004942B6" w:rsidP="002C2525">
            <w:pPr>
              <w:jc w:val="both"/>
            </w:pPr>
            <w:r>
              <w:t>Pressure wire cost added (+£586)</w:t>
            </w:r>
          </w:p>
        </w:tc>
        <w:tc>
          <w:tcPr>
            <w:tcW w:w="1351" w:type="dxa"/>
          </w:tcPr>
          <w:p w14:paraId="4DFED71A" w14:textId="77777777" w:rsidR="004942B6" w:rsidRDefault="004942B6" w:rsidP="002C2525">
            <w:pPr>
              <w:jc w:val="both"/>
            </w:pPr>
            <w:r>
              <w:t xml:space="preserve">Additional risk of coronary dissection (0.03%) and MACE (0.015%) with unnecessary pressure wire  </w:t>
            </w:r>
          </w:p>
        </w:tc>
        <w:tc>
          <w:tcPr>
            <w:tcW w:w="1276" w:type="dxa"/>
          </w:tcPr>
          <w:p w14:paraId="448ED4BD" w14:textId="05867C51" w:rsidR="004942B6" w:rsidRDefault="004942B6" w:rsidP="002C2525">
            <w:pPr>
              <w:jc w:val="both"/>
            </w:pPr>
            <w:r>
              <w:t>No change</w:t>
            </w:r>
          </w:p>
        </w:tc>
        <w:tc>
          <w:tcPr>
            <w:tcW w:w="1417" w:type="dxa"/>
          </w:tcPr>
          <w:p w14:paraId="36843DC3" w14:textId="77777777" w:rsidR="004942B6" w:rsidRDefault="004942B6" w:rsidP="002C2525">
            <w:pPr>
              <w:spacing w:line="360" w:lineRule="auto"/>
            </w:pPr>
            <w:r>
              <w:t xml:space="preserve">No change </w:t>
            </w:r>
          </w:p>
          <w:p w14:paraId="0A423949" w14:textId="77777777" w:rsidR="004942B6" w:rsidRDefault="004942B6" w:rsidP="002C2525">
            <w:pPr>
              <w:jc w:val="both"/>
            </w:pPr>
          </w:p>
        </w:tc>
      </w:tr>
      <w:tr w:rsidR="004942B6" w14:paraId="15A21C99" w14:textId="77777777" w:rsidTr="002C2525">
        <w:tc>
          <w:tcPr>
            <w:tcW w:w="687" w:type="dxa"/>
          </w:tcPr>
          <w:p w14:paraId="6DE9A1FD" w14:textId="77777777" w:rsidR="004942B6" w:rsidRDefault="004942B6" w:rsidP="002C2525">
            <w:pPr>
              <w:jc w:val="both"/>
            </w:pPr>
            <w:r w:rsidRPr="00FD1D5A">
              <w:t>14</w:t>
            </w:r>
          </w:p>
        </w:tc>
        <w:tc>
          <w:tcPr>
            <w:tcW w:w="829" w:type="dxa"/>
          </w:tcPr>
          <w:p w14:paraId="36F84F83" w14:textId="77777777" w:rsidR="004942B6" w:rsidRDefault="004942B6" w:rsidP="002C2525">
            <w:pPr>
              <w:jc w:val="both"/>
            </w:pPr>
            <w:r>
              <w:t>PCI RCA</w:t>
            </w:r>
          </w:p>
        </w:tc>
        <w:tc>
          <w:tcPr>
            <w:tcW w:w="894" w:type="dxa"/>
          </w:tcPr>
          <w:p w14:paraId="6F0F1DF1" w14:textId="77777777" w:rsidR="004942B6" w:rsidRDefault="004942B6" w:rsidP="002C2525">
            <w:pPr>
              <w:jc w:val="both"/>
            </w:pPr>
            <w:r>
              <w:t>PCI RCA + mFFR LAD</w:t>
            </w:r>
          </w:p>
        </w:tc>
        <w:tc>
          <w:tcPr>
            <w:tcW w:w="1089" w:type="dxa"/>
          </w:tcPr>
          <w:p w14:paraId="31FCA016" w14:textId="77777777" w:rsidR="004942B6" w:rsidRDefault="004942B6" w:rsidP="002C2525">
            <w:pPr>
              <w:jc w:val="both"/>
            </w:pPr>
            <w:r>
              <w:t>vFFR LAD 0.64</w:t>
            </w:r>
          </w:p>
        </w:tc>
        <w:tc>
          <w:tcPr>
            <w:tcW w:w="1196" w:type="dxa"/>
          </w:tcPr>
          <w:p w14:paraId="43963772" w14:textId="77777777" w:rsidR="004942B6" w:rsidRDefault="004942B6" w:rsidP="002C2525">
            <w:pPr>
              <w:jc w:val="both"/>
            </w:pPr>
            <w:r>
              <w:t>Pressure wire cost added (+£586)</w:t>
            </w:r>
          </w:p>
        </w:tc>
        <w:tc>
          <w:tcPr>
            <w:tcW w:w="1351" w:type="dxa"/>
          </w:tcPr>
          <w:p w14:paraId="74D9E6E1" w14:textId="77777777" w:rsidR="004942B6" w:rsidRDefault="004942B6" w:rsidP="002C2525">
            <w:pPr>
              <w:jc w:val="both"/>
            </w:pPr>
            <w:r>
              <w:t xml:space="preserve">Additional risk of coronary dissection (0.03%) and MACE (0.015%) with unnecessary pressure wire  </w:t>
            </w:r>
          </w:p>
        </w:tc>
        <w:tc>
          <w:tcPr>
            <w:tcW w:w="1276" w:type="dxa"/>
          </w:tcPr>
          <w:p w14:paraId="667B371A" w14:textId="135BF26A" w:rsidR="004942B6" w:rsidRDefault="004942B6" w:rsidP="002C2525">
            <w:pPr>
              <w:jc w:val="both"/>
            </w:pPr>
            <w:r>
              <w:t xml:space="preserve">No change </w:t>
            </w:r>
          </w:p>
          <w:p w14:paraId="1FFDD9E8" w14:textId="77777777" w:rsidR="004942B6" w:rsidRDefault="004942B6" w:rsidP="002C2525">
            <w:pPr>
              <w:jc w:val="both"/>
            </w:pPr>
          </w:p>
        </w:tc>
        <w:tc>
          <w:tcPr>
            <w:tcW w:w="1417" w:type="dxa"/>
          </w:tcPr>
          <w:p w14:paraId="689D5D9D" w14:textId="77777777" w:rsidR="004942B6" w:rsidRDefault="004942B6" w:rsidP="002C2525">
            <w:pPr>
              <w:spacing w:line="360" w:lineRule="auto"/>
            </w:pPr>
            <w:r>
              <w:t>No change</w:t>
            </w:r>
          </w:p>
          <w:p w14:paraId="781D430C" w14:textId="77777777" w:rsidR="004942B6" w:rsidRDefault="004942B6" w:rsidP="002C2525">
            <w:pPr>
              <w:jc w:val="both"/>
            </w:pPr>
          </w:p>
        </w:tc>
      </w:tr>
      <w:tr w:rsidR="008E1AC2" w14:paraId="3F7D809C" w14:textId="77777777" w:rsidTr="002C2525">
        <w:tc>
          <w:tcPr>
            <w:tcW w:w="687" w:type="dxa"/>
          </w:tcPr>
          <w:p w14:paraId="7B79BD62" w14:textId="59FA593C" w:rsidR="008E1AC2" w:rsidRPr="00FD1D5A" w:rsidRDefault="008E1AC2" w:rsidP="008E1AC2">
            <w:pPr>
              <w:jc w:val="both"/>
            </w:pPr>
            <w:r>
              <w:t>16</w:t>
            </w:r>
          </w:p>
        </w:tc>
        <w:tc>
          <w:tcPr>
            <w:tcW w:w="829" w:type="dxa"/>
          </w:tcPr>
          <w:p w14:paraId="326FC8CA" w14:textId="77777777" w:rsidR="008E1AC2" w:rsidRDefault="008E1AC2" w:rsidP="008E1AC2">
            <w:pPr>
              <w:jc w:val="both"/>
            </w:pPr>
            <w:r>
              <w:t xml:space="preserve">CABG x 3 </w:t>
            </w:r>
          </w:p>
          <w:p w14:paraId="0863500A" w14:textId="0576BF5C" w:rsidR="008E1AC2" w:rsidRDefault="008E1AC2" w:rsidP="008E1AC2">
            <w:pPr>
              <w:jc w:val="both"/>
            </w:pPr>
            <w:r>
              <w:t>(plus mFFR)</w:t>
            </w:r>
          </w:p>
        </w:tc>
        <w:tc>
          <w:tcPr>
            <w:tcW w:w="894" w:type="dxa"/>
          </w:tcPr>
          <w:p w14:paraId="650257C9" w14:textId="6E05C223" w:rsidR="008E1AC2" w:rsidRDefault="008E1AC2" w:rsidP="008E1AC2">
            <w:pPr>
              <w:jc w:val="both"/>
            </w:pPr>
            <w:r>
              <w:t>CABG x 3 (no mFFR)</w:t>
            </w:r>
          </w:p>
        </w:tc>
        <w:tc>
          <w:tcPr>
            <w:tcW w:w="1089" w:type="dxa"/>
          </w:tcPr>
          <w:p w14:paraId="25EEB727" w14:textId="1D98B5C8" w:rsidR="008E1AC2" w:rsidRDefault="008E1AC2" w:rsidP="008E1AC2">
            <w:pPr>
              <w:jc w:val="both"/>
            </w:pPr>
            <w:r>
              <w:t>vFFR negative</w:t>
            </w:r>
          </w:p>
        </w:tc>
        <w:tc>
          <w:tcPr>
            <w:tcW w:w="1196" w:type="dxa"/>
          </w:tcPr>
          <w:p w14:paraId="56941ADA" w14:textId="77777777" w:rsidR="008E1AC2" w:rsidRDefault="008E1AC2" w:rsidP="008E1AC2">
            <w:pPr>
              <w:jc w:val="both"/>
            </w:pPr>
            <w:r>
              <w:t xml:space="preserve">Pressure wire cost saved </w:t>
            </w:r>
          </w:p>
          <w:p w14:paraId="51F513AE" w14:textId="6CFD9042" w:rsidR="008E1AC2" w:rsidRDefault="008E1AC2" w:rsidP="008E1AC2">
            <w:pPr>
              <w:jc w:val="both"/>
            </w:pPr>
            <w:r>
              <w:t>(-£586)</w:t>
            </w:r>
          </w:p>
        </w:tc>
        <w:tc>
          <w:tcPr>
            <w:tcW w:w="1351" w:type="dxa"/>
          </w:tcPr>
          <w:p w14:paraId="4AB5B476" w14:textId="77777777" w:rsidR="008E1AC2" w:rsidRDefault="008E1AC2" w:rsidP="008E1AC2">
            <w:pPr>
              <w:jc w:val="both"/>
            </w:pPr>
            <w:r>
              <w:t>Avoiding unnecessary mFFR could prevent exposure to periprocedural risks of coronary dissection (0.03%) and MACE (0.015%)</w:t>
            </w:r>
          </w:p>
          <w:p w14:paraId="4200E31C" w14:textId="77777777" w:rsidR="008E1AC2" w:rsidRDefault="008E1AC2" w:rsidP="008E1AC2">
            <w:pPr>
              <w:jc w:val="both"/>
            </w:pPr>
          </w:p>
        </w:tc>
        <w:tc>
          <w:tcPr>
            <w:tcW w:w="1276" w:type="dxa"/>
          </w:tcPr>
          <w:p w14:paraId="73A7EE52" w14:textId="3F9FCB52" w:rsidR="008E1AC2" w:rsidRDefault="008E1AC2" w:rsidP="008E1AC2">
            <w:pPr>
              <w:jc w:val="both"/>
            </w:pPr>
            <w:r>
              <w:t>No change</w:t>
            </w:r>
          </w:p>
          <w:p w14:paraId="0D38E283" w14:textId="77777777" w:rsidR="008E1AC2" w:rsidRDefault="008E1AC2" w:rsidP="008E1AC2"/>
          <w:p w14:paraId="3EFE6739" w14:textId="77777777" w:rsidR="008E1AC2" w:rsidRDefault="008E1AC2" w:rsidP="008E1AC2"/>
          <w:p w14:paraId="37158E67" w14:textId="77777777" w:rsidR="008E1AC2" w:rsidRPr="008E1AC2" w:rsidRDefault="008E1AC2" w:rsidP="008E1AC2"/>
        </w:tc>
        <w:tc>
          <w:tcPr>
            <w:tcW w:w="1417" w:type="dxa"/>
          </w:tcPr>
          <w:p w14:paraId="5104C81A" w14:textId="6ED59030" w:rsidR="008E1AC2" w:rsidRDefault="008E1AC2" w:rsidP="008E1AC2">
            <w:pPr>
              <w:spacing w:line="360" w:lineRule="auto"/>
            </w:pPr>
            <w:r>
              <w:t>No change</w:t>
            </w:r>
          </w:p>
        </w:tc>
      </w:tr>
      <w:tr w:rsidR="008E1AC2" w14:paraId="420E74AF" w14:textId="77777777" w:rsidTr="002C2525">
        <w:tc>
          <w:tcPr>
            <w:tcW w:w="687" w:type="dxa"/>
          </w:tcPr>
          <w:p w14:paraId="072FC92A" w14:textId="77777777" w:rsidR="008E1AC2" w:rsidRDefault="008E1AC2" w:rsidP="008E1AC2">
            <w:pPr>
              <w:jc w:val="both"/>
            </w:pPr>
            <w:r w:rsidRPr="00FD1D5A">
              <w:t>38</w:t>
            </w:r>
          </w:p>
        </w:tc>
        <w:tc>
          <w:tcPr>
            <w:tcW w:w="829" w:type="dxa"/>
          </w:tcPr>
          <w:p w14:paraId="4F4510D8" w14:textId="77777777" w:rsidR="008E1AC2" w:rsidRDefault="008E1AC2" w:rsidP="008E1AC2">
            <w:pPr>
              <w:jc w:val="both"/>
            </w:pPr>
            <w:r>
              <w:t>PCI RCA</w:t>
            </w:r>
          </w:p>
        </w:tc>
        <w:tc>
          <w:tcPr>
            <w:tcW w:w="894" w:type="dxa"/>
          </w:tcPr>
          <w:p w14:paraId="27A41E57" w14:textId="77777777" w:rsidR="008E1AC2" w:rsidRDefault="008E1AC2" w:rsidP="008E1AC2">
            <w:pPr>
              <w:jc w:val="both"/>
            </w:pPr>
            <w:r>
              <w:t xml:space="preserve">PCI RCA + </w:t>
            </w:r>
            <w:r>
              <w:lastRenderedPageBreak/>
              <w:t>mFFR LAD</w:t>
            </w:r>
          </w:p>
        </w:tc>
        <w:tc>
          <w:tcPr>
            <w:tcW w:w="1089" w:type="dxa"/>
          </w:tcPr>
          <w:p w14:paraId="5E2CAA59" w14:textId="77777777" w:rsidR="008E1AC2" w:rsidRDefault="008E1AC2" w:rsidP="008E1AC2">
            <w:pPr>
              <w:jc w:val="both"/>
            </w:pPr>
            <w:r>
              <w:lastRenderedPageBreak/>
              <w:t>vFFR LAD 0.75</w:t>
            </w:r>
          </w:p>
        </w:tc>
        <w:tc>
          <w:tcPr>
            <w:tcW w:w="1196" w:type="dxa"/>
          </w:tcPr>
          <w:p w14:paraId="729001C1" w14:textId="77777777" w:rsidR="008E1AC2" w:rsidRDefault="008E1AC2" w:rsidP="008E1AC2">
            <w:pPr>
              <w:jc w:val="both"/>
            </w:pPr>
            <w:r>
              <w:t xml:space="preserve">Pressure wire cost </w:t>
            </w:r>
            <w:r>
              <w:lastRenderedPageBreak/>
              <w:t>added (+£586)</w:t>
            </w:r>
          </w:p>
        </w:tc>
        <w:tc>
          <w:tcPr>
            <w:tcW w:w="1351" w:type="dxa"/>
          </w:tcPr>
          <w:p w14:paraId="51484472" w14:textId="77777777" w:rsidR="008E1AC2" w:rsidRDefault="008E1AC2" w:rsidP="008E1AC2">
            <w:pPr>
              <w:jc w:val="both"/>
            </w:pPr>
            <w:r>
              <w:lastRenderedPageBreak/>
              <w:t xml:space="preserve">Additional risk of </w:t>
            </w:r>
            <w:r>
              <w:lastRenderedPageBreak/>
              <w:t xml:space="preserve">coronary dissection (0.03%) and MACE (0.015%) with unnecessary pressure wire  </w:t>
            </w:r>
          </w:p>
          <w:p w14:paraId="19A038C2" w14:textId="77777777" w:rsidR="009D18D1" w:rsidRDefault="009D18D1" w:rsidP="008E1AC2">
            <w:pPr>
              <w:jc w:val="both"/>
            </w:pPr>
          </w:p>
        </w:tc>
        <w:tc>
          <w:tcPr>
            <w:tcW w:w="1276" w:type="dxa"/>
          </w:tcPr>
          <w:p w14:paraId="607A4060" w14:textId="0356FC17" w:rsidR="008E1AC2" w:rsidRDefault="008E1AC2" w:rsidP="008E1AC2">
            <w:pPr>
              <w:jc w:val="both"/>
            </w:pPr>
            <w:r>
              <w:lastRenderedPageBreak/>
              <w:t xml:space="preserve">No change </w:t>
            </w:r>
          </w:p>
        </w:tc>
        <w:tc>
          <w:tcPr>
            <w:tcW w:w="1417" w:type="dxa"/>
          </w:tcPr>
          <w:p w14:paraId="4D048927" w14:textId="77777777" w:rsidR="008E1AC2" w:rsidRDefault="008E1AC2" w:rsidP="008E1AC2">
            <w:pPr>
              <w:jc w:val="both"/>
            </w:pPr>
            <w:r>
              <w:t>No change</w:t>
            </w:r>
          </w:p>
        </w:tc>
      </w:tr>
      <w:tr w:rsidR="008E1AC2" w14:paraId="038673F5" w14:textId="77777777" w:rsidTr="002C2525">
        <w:tc>
          <w:tcPr>
            <w:tcW w:w="687" w:type="dxa"/>
          </w:tcPr>
          <w:p w14:paraId="3F9F3D68" w14:textId="77777777" w:rsidR="008E1AC2" w:rsidRPr="00FD1D5A" w:rsidRDefault="008E1AC2" w:rsidP="008E1AC2">
            <w:pPr>
              <w:jc w:val="both"/>
            </w:pPr>
            <w:r w:rsidRPr="00FD1D5A">
              <w:t>40</w:t>
            </w:r>
          </w:p>
        </w:tc>
        <w:tc>
          <w:tcPr>
            <w:tcW w:w="829" w:type="dxa"/>
          </w:tcPr>
          <w:p w14:paraId="5B03A4D5" w14:textId="77777777" w:rsidR="008E1AC2" w:rsidRDefault="008E1AC2" w:rsidP="008E1AC2">
            <w:pPr>
              <w:jc w:val="both"/>
            </w:pPr>
            <w:r>
              <w:t>mFFR LAD</w:t>
            </w:r>
          </w:p>
        </w:tc>
        <w:tc>
          <w:tcPr>
            <w:tcW w:w="894" w:type="dxa"/>
          </w:tcPr>
          <w:p w14:paraId="35D7685B" w14:textId="77777777" w:rsidR="008E1AC2" w:rsidRDefault="008E1AC2" w:rsidP="008E1AC2">
            <w:pPr>
              <w:jc w:val="both"/>
            </w:pPr>
            <w:r>
              <w:t>OMT</w:t>
            </w:r>
          </w:p>
        </w:tc>
        <w:tc>
          <w:tcPr>
            <w:tcW w:w="1089" w:type="dxa"/>
          </w:tcPr>
          <w:p w14:paraId="23CB30E5" w14:textId="77777777" w:rsidR="008E1AC2" w:rsidRDefault="008E1AC2" w:rsidP="008E1AC2">
            <w:pPr>
              <w:jc w:val="both"/>
            </w:pPr>
            <w:r>
              <w:t>vFFR LAD 0.96</w:t>
            </w:r>
          </w:p>
        </w:tc>
        <w:tc>
          <w:tcPr>
            <w:tcW w:w="1196" w:type="dxa"/>
          </w:tcPr>
          <w:p w14:paraId="451F7FC2" w14:textId="77777777" w:rsidR="008E1AC2" w:rsidRDefault="008E1AC2" w:rsidP="008E1AC2">
            <w:pPr>
              <w:spacing w:line="276" w:lineRule="auto"/>
              <w:jc w:val="both"/>
            </w:pPr>
            <w:r>
              <w:t>Pressure wire cost saved</w:t>
            </w:r>
          </w:p>
          <w:p w14:paraId="647502A7" w14:textId="77777777" w:rsidR="008E1AC2" w:rsidRDefault="008E1AC2" w:rsidP="008E1AC2">
            <w:pPr>
              <w:jc w:val="both"/>
            </w:pPr>
            <w:r>
              <w:t>(-£586)</w:t>
            </w:r>
          </w:p>
        </w:tc>
        <w:tc>
          <w:tcPr>
            <w:tcW w:w="1351" w:type="dxa"/>
          </w:tcPr>
          <w:p w14:paraId="4F89D8F7" w14:textId="77777777" w:rsidR="008E1AC2" w:rsidRDefault="008E1AC2" w:rsidP="008E1AC2">
            <w:pPr>
              <w:jc w:val="both"/>
            </w:pPr>
            <w:r>
              <w:t>Avoiding unnecessary mFFR could prevent exposure to periprocedural risks of coronary dissection (0.03%) and MACE (0.015%)</w:t>
            </w:r>
          </w:p>
          <w:p w14:paraId="77F39DF3" w14:textId="77777777" w:rsidR="009D18D1" w:rsidRDefault="009D18D1" w:rsidP="008E1AC2">
            <w:pPr>
              <w:jc w:val="both"/>
            </w:pPr>
          </w:p>
        </w:tc>
        <w:tc>
          <w:tcPr>
            <w:tcW w:w="1276" w:type="dxa"/>
          </w:tcPr>
          <w:p w14:paraId="57FF78F3" w14:textId="7BF3CEB6" w:rsidR="008E1AC2" w:rsidRDefault="008E1AC2" w:rsidP="008E1AC2">
            <w:pPr>
              <w:jc w:val="both"/>
            </w:pPr>
            <w:r>
              <w:t>No change</w:t>
            </w:r>
          </w:p>
          <w:p w14:paraId="7ECFDDE9" w14:textId="77777777" w:rsidR="008E1AC2" w:rsidRDefault="008E1AC2" w:rsidP="008E1AC2">
            <w:pPr>
              <w:jc w:val="both"/>
            </w:pPr>
          </w:p>
        </w:tc>
        <w:tc>
          <w:tcPr>
            <w:tcW w:w="1417" w:type="dxa"/>
          </w:tcPr>
          <w:p w14:paraId="07813978" w14:textId="77777777" w:rsidR="008E1AC2" w:rsidRDefault="008E1AC2" w:rsidP="008E1AC2">
            <w:pPr>
              <w:jc w:val="both"/>
            </w:pPr>
            <w:r>
              <w:t>No change</w:t>
            </w:r>
          </w:p>
        </w:tc>
      </w:tr>
      <w:tr w:rsidR="008E1AC2" w14:paraId="3B74E792" w14:textId="77777777" w:rsidTr="002C2525">
        <w:tc>
          <w:tcPr>
            <w:tcW w:w="687" w:type="dxa"/>
          </w:tcPr>
          <w:p w14:paraId="581B3CCB" w14:textId="77777777" w:rsidR="008E1AC2" w:rsidRPr="00FD1D5A" w:rsidRDefault="008E1AC2" w:rsidP="008E1AC2">
            <w:pPr>
              <w:jc w:val="both"/>
            </w:pPr>
            <w:r w:rsidRPr="00FD1D5A">
              <w:t>42</w:t>
            </w:r>
          </w:p>
        </w:tc>
        <w:tc>
          <w:tcPr>
            <w:tcW w:w="829" w:type="dxa"/>
          </w:tcPr>
          <w:p w14:paraId="27F819D4" w14:textId="77777777" w:rsidR="008E1AC2" w:rsidRDefault="008E1AC2" w:rsidP="008E1AC2">
            <w:pPr>
              <w:jc w:val="both"/>
            </w:pPr>
            <w:r>
              <w:t>PCI LCx + mFFR LAD</w:t>
            </w:r>
          </w:p>
        </w:tc>
        <w:tc>
          <w:tcPr>
            <w:tcW w:w="894" w:type="dxa"/>
          </w:tcPr>
          <w:p w14:paraId="7403AAEF" w14:textId="77777777" w:rsidR="008E1AC2" w:rsidRDefault="008E1AC2" w:rsidP="008E1AC2">
            <w:pPr>
              <w:jc w:val="both"/>
            </w:pPr>
            <w:r>
              <w:t xml:space="preserve">PCI LCx </w:t>
            </w:r>
          </w:p>
        </w:tc>
        <w:tc>
          <w:tcPr>
            <w:tcW w:w="1089" w:type="dxa"/>
          </w:tcPr>
          <w:p w14:paraId="4BC1999F" w14:textId="77777777" w:rsidR="008E1AC2" w:rsidRDefault="008E1AC2" w:rsidP="008E1AC2">
            <w:pPr>
              <w:jc w:val="both"/>
            </w:pPr>
            <w:r>
              <w:t>vFFR LAD  0.82</w:t>
            </w:r>
          </w:p>
        </w:tc>
        <w:tc>
          <w:tcPr>
            <w:tcW w:w="1196" w:type="dxa"/>
          </w:tcPr>
          <w:p w14:paraId="5D2F39E8" w14:textId="77777777" w:rsidR="008E1AC2" w:rsidRDefault="008E1AC2" w:rsidP="008E1AC2">
            <w:pPr>
              <w:spacing w:line="276" w:lineRule="auto"/>
              <w:jc w:val="both"/>
            </w:pPr>
            <w:r>
              <w:t>Pressure wire cost saved</w:t>
            </w:r>
          </w:p>
          <w:p w14:paraId="77CD6E9E" w14:textId="77777777" w:rsidR="008E1AC2" w:rsidRDefault="008E1AC2" w:rsidP="008E1AC2">
            <w:pPr>
              <w:spacing w:line="276" w:lineRule="auto"/>
              <w:jc w:val="both"/>
            </w:pPr>
            <w:r>
              <w:t>(-£586)</w:t>
            </w:r>
          </w:p>
        </w:tc>
        <w:tc>
          <w:tcPr>
            <w:tcW w:w="1351" w:type="dxa"/>
          </w:tcPr>
          <w:p w14:paraId="425078C1" w14:textId="77777777" w:rsidR="008E1AC2" w:rsidRDefault="008E1AC2" w:rsidP="008E1AC2">
            <w:pPr>
              <w:jc w:val="both"/>
            </w:pPr>
            <w:r>
              <w:t>Avoiding unnecessary mFFR could prevent exposure to periprocedural risks of coronary dissection (0.03%) and MACE (0.015%)</w:t>
            </w:r>
          </w:p>
          <w:p w14:paraId="1F198E79" w14:textId="77777777" w:rsidR="009D18D1" w:rsidRDefault="009D18D1" w:rsidP="008E1AC2">
            <w:pPr>
              <w:jc w:val="both"/>
            </w:pPr>
          </w:p>
        </w:tc>
        <w:tc>
          <w:tcPr>
            <w:tcW w:w="1276" w:type="dxa"/>
          </w:tcPr>
          <w:p w14:paraId="327B812A" w14:textId="5DA6403B" w:rsidR="008E1AC2" w:rsidRDefault="008E1AC2" w:rsidP="008E1AC2">
            <w:pPr>
              <w:jc w:val="both"/>
            </w:pPr>
            <w:r>
              <w:t>No change</w:t>
            </w:r>
          </w:p>
          <w:p w14:paraId="4716ED7E" w14:textId="77777777" w:rsidR="008E1AC2" w:rsidRDefault="008E1AC2" w:rsidP="008E1AC2">
            <w:pPr>
              <w:jc w:val="both"/>
            </w:pPr>
          </w:p>
        </w:tc>
        <w:tc>
          <w:tcPr>
            <w:tcW w:w="1417" w:type="dxa"/>
          </w:tcPr>
          <w:p w14:paraId="55A1CE51" w14:textId="77777777" w:rsidR="008E1AC2" w:rsidRDefault="008E1AC2" w:rsidP="008E1AC2">
            <w:pPr>
              <w:jc w:val="both"/>
            </w:pPr>
            <w:r>
              <w:t>No change</w:t>
            </w:r>
          </w:p>
        </w:tc>
      </w:tr>
      <w:tr w:rsidR="008E1AC2" w14:paraId="0CBBAA29" w14:textId="77777777" w:rsidTr="002C2525">
        <w:tc>
          <w:tcPr>
            <w:tcW w:w="687" w:type="dxa"/>
          </w:tcPr>
          <w:p w14:paraId="0EE4A655" w14:textId="77777777" w:rsidR="008E1AC2" w:rsidRPr="00FD1D5A" w:rsidRDefault="008E1AC2" w:rsidP="008E1AC2">
            <w:pPr>
              <w:jc w:val="both"/>
            </w:pPr>
            <w:r w:rsidRPr="00FD1D5A">
              <w:t>50</w:t>
            </w:r>
          </w:p>
        </w:tc>
        <w:tc>
          <w:tcPr>
            <w:tcW w:w="829" w:type="dxa"/>
          </w:tcPr>
          <w:p w14:paraId="74CDB9A2" w14:textId="77777777" w:rsidR="008E1AC2" w:rsidRDefault="008E1AC2" w:rsidP="008E1AC2">
            <w:pPr>
              <w:jc w:val="both"/>
            </w:pPr>
            <w:r>
              <w:t>mFFR LAD + D1</w:t>
            </w:r>
          </w:p>
        </w:tc>
        <w:tc>
          <w:tcPr>
            <w:tcW w:w="894" w:type="dxa"/>
          </w:tcPr>
          <w:p w14:paraId="135762E2" w14:textId="77777777" w:rsidR="008E1AC2" w:rsidRDefault="008E1AC2" w:rsidP="008E1AC2">
            <w:pPr>
              <w:jc w:val="both"/>
            </w:pPr>
            <w:r>
              <w:t>OMT</w:t>
            </w:r>
          </w:p>
        </w:tc>
        <w:tc>
          <w:tcPr>
            <w:tcW w:w="1089" w:type="dxa"/>
          </w:tcPr>
          <w:p w14:paraId="1A79224A" w14:textId="77777777" w:rsidR="008E1AC2" w:rsidRDefault="008E1AC2" w:rsidP="008E1AC2">
            <w:pPr>
              <w:jc w:val="both"/>
            </w:pPr>
            <w:r>
              <w:t>vFFR LAD 0.86, vFFR D1 0.91</w:t>
            </w:r>
          </w:p>
        </w:tc>
        <w:tc>
          <w:tcPr>
            <w:tcW w:w="1196" w:type="dxa"/>
          </w:tcPr>
          <w:p w14:paraId="34252E7A" w14:textId="77777777" w:rsidR="008E1AC2" w:rsidRDefault="008E1AC2" w:rsidP="008E1AC2">
            <w:pPr>
              <w:spacing w:line="276" w:lineRule="auto"/>
              <w:jc w:val="both"/>
            </w:pPr>
            <w:r>
              <w:t>Pressure wire cost saved</w:t>
            </w:r>
          </w:p>
          <w:p w14:paraId="1174BDA3" w14:textId="77777777" w:rsidR="008E1AC2" w:rsidRDefault="008E1AC2" w:rsidP="008E1AC2">
            <w:pPr>
              <w:spacing w:line="276" w:lineRule="auto"/>
              <w:jc w:val="both"/>
            </w:pPr>
            <w:r>
              <w:t>(-£586)</w:t>
            </w:r>
          </w:p>
        </w:tc>
        <w:tc>
          <w:tcPr>
            <w:tcW w:w="1351" w:type="dxa"/>
          </w:tcPr>
          <w:p w14:paraId="2F6A9F6A" w14:textId="77777777" w:rsidR="008E1AC2" w:rsidRDefault="008E1AC2" w:rsidP="008E1AC2">
            <w:pPr>
              <w:jc w:val="both"/>
            </w:pPr>
            <w:r>
              <w:t>Avoiding unnecessary mFFR could prevent exposure to periprocedural risks of coronary dissection (0.03%) and MACE (0.015%)</w:t>
            </w:r>
          </w:p>
          <w:p w14:paraId="469BDC59" w14:textId="77777777" w:rsidR="009D18D1" w:rsidRDefault="009D18D1" w:rsidP="008E1AC2">
            <w:pPr>
              <w:jc w:val="both"/>
            </w:pPr>
          </w:p>
        </w:tc>
        <w:tc>
          <w:tcPr>
            <w:tcW w:w="1276" w:type="dxa"/>
          </w:tcPr>
          <w:p w14:paraId="64611CC5" w14:textId="4DFAEE6D" w:rsidR="008E1AC2" w:rsidRDefault="008E1AC2" w:rsidP="008E1AC2">
            <w:pPr>
              <w:jc w:val="both"/>
            </w:pPr>
            <w:r>
              <w:t xml:space="preserve">No change </w:t>
            </w:r>
          </w:p>
          <w:p w14:paraId="7C99949E" w14:textId="77777777" w:rsidR="008E1AC2" w:rsidRDefault="008E1AC2" w:rsidP="008E1AC2">
            <w:pPr>
              <w:jc w:val="both"/>
            </w:pPr>
          </w:p>
        </w:tc>
        <w:tc>
          <w:tcPr>
            <w:tcW w:w="1417" w:type="dxa"/>
          </w:tcPr>
          <w:p w14:paraId="2AE7768C" w14:textId="77777777" w:rsidR="008E1AC2" w:rsidRDefault="008E1AC2" w:rsidP="008E1AC2">
            <w:pPr>
              <w:jc w:val="both"/>
            </w:pPr>
            <w:r>
              <w:t>No change</w:t>
            </w:r>
          </w:p>
        </w:tc>
      </w:tr>
      <w:tr w:rsidR="008E1AC2" w14:paraId="0CC13304" w14:textId="77777777" w:rsidTr="002C2525">
        <w:tc>
          <w:tcPr>
            <w:tcW w:w="687" w:type="dxa"/>
          </w:tcPr>
          <w:p w14:paraId="167B9D72" w14:textId="77777777" w:rsidR="008E1AC2" w:rsidRPr="00FD1D5A" w:rsidRDefault="008E1AC2" w:rsidP="008E1AC2">
            <w:pPr>
              <w:jc w:val="both"/>
            </w:pPr>
            <w:r>
              <w:t>59</w:t>
            </w:r>
          </w:p>
        </w:tc>
        <w:tc>
          <w:tcPr>
            <w:tcW w:w="829" w:type="dxa"/>
          </w:tcPr>
          <w:p w14:paraId="1F53DAE2" w14:textId="77777777" w:rsidR="008E1AC2" w:rsidRDefault="008E1AC2" w:rsidP="008E1AC2">
            <w:pPr>
              <w:jc w:val="both"/>
            </w:pPr>
            <w:r>
              <w:t>PCI OM1</w:t>
            </w:r>
          </w:p>
        </w:tc>
        <w:tc>
          <w:tcPr>
            <w:tcW w:w="894" w:type="dxa"/>
          </w:tcPr>
          <w:p w14:paraId="6F00D9FA" w14:textId="77777777" w:rsidR="008E1AC2" w:rsidRDefault="008E1AC2" w:rsidP="008E1AC2">
            <w:pPr>
              <w:jc w:val="both"/>
            </w:pPr>
            <w:r>
              <w:t>OMT</w:t>
            </w:r>
          </w:p>
        </w:tc>
        <w:tc>
          <w:tcPr>
            <w:tcW w:w="1089" w:type="dxa"/>
          </w:tcPr>
          <w:p w14:paraId="0EB74FC6" w14:textId="77777777" w:rsidR="008E1AC2" w:rsidRDefault="008E1AC2" w:rsidP="008E1AC2">
            <w:pPr>
              <w:jc w:val="both"/>
            </w:pPr>
            <w:r>
              <w:t xml:space="preserve">vFFR OM1 </w:t>
            </w:r>
          </w:p>
          <w:p w14:paraId="297C0D76" w14:textId="77777777" w:rsidR="008E1AC2" w:rsidRDefault="008E1AC2" w:rsidP="008E1AC2">
            <w:pPr>
              <w:jc w:val="both"/>
            </w:pPr>
            <w:r>
              <w:lastRenderedPageBreak/>
              <w:t>0.92</w:t>
            </w:r>
          </w:p>
        </w:tc>
        <w:tc>
          <w:tcPr>
            <w:tcW w:w="1196" w:type="dxa"/>
          </w:tcPr>
          <w:p w14:paraId="171D39FE" w14:textId="77777777" w:rsidR="008E1AC2" w:rsidRDefault="008E1AC2" w:rsidP="008E1AC2">
            <w:pPr>
              <w:spacing w:line="276" w:lineRule="auto"/>
              <w:jc w:val="both"/>
            </w:pPr>
            <w:r>
              <w:lastRenderedPageBreak/>
              <w:t xml:space="preserve">PCI cost saved </w:t>
            </w:r>
          </w:p>
          <w:p w14:paraId="57467BBF" w14:textId="5C6B8371" w:rsidR="008E1AC2" w:rsidRDefault="008E1AC2" w:rsidP="008E1AC2">
            <w:pPr>
              <w:spacing w:line="276" w:lineRule="auto"/>
              <w:jc w:val="both"/>
            </w:pPr>
            <w:r>
              <w:lastRenderedPageBreak/>
              <w:t>(-£</w:t>
            </w:r>
            <w:r w:rsidR="00552880">
              <w:t>726</w:t>
            </w:r>
            <w:r>
              <w:t>)</w:t>
            </w:r>
          </w:p>
        </w:tc>
        <w:tc>
          <w:tcPr>
            <w:tcW w:w="1351" w:type="dxa"/>
          </w:tcPr>
          <w:p w14:paraId="46062A40" w14:textId="77777777" w:rsidR="008E1AC2" w:rsidRDefault="008E1AC2" w:rsidP="008E1AC2">
            <w:pPr>
              <w:jc w:val="both"/>
            </w:pPr>
            <w:r>
              <w:lastRenderedPageBreak/>
              <w:t xml:space="preserve">PCI would have </w:t>
            </w:r>
            <w:r>
              <w:lastRenderedPageBreak/>
              <w:t>exposed the patient with 0.5% higher 30-day mortality risk</w:t>
            </w:r>
          </w:p>
          <w:p w14:paraId="758FA73F" w14:textId="77777777" w:rsidR="008E1AC2" w:rsidRDefault="008E1AC2" w:rsidP="008E1AC2">
            <w:pPr>
              <w:jc w:val="both"/>
            </w:pPr>
          </w:p>
        </w:tc>
        <w:tc>
          <w:tcPr>
            <w:tcW w:w="1276" w:type="dxa"/>
          </w:tcPr>
          <w:p w14:paraId="4C278405" w14:textId="77777777" w:rsidR="008E1AC2" w:rsidRDefault="008E1AC2" w:rsidP="008E1AC2">
            <w:pPr>
              <w:jc w:val="both"/>
            </w:pPr>
            <w:r>
              <w:lastRenderedPageBreak/>
              <w:t xml:space="preserve">Unnecessary PCI could </w:t>
            </w:r>
            <w:r>
              <w:lastRenderedPageBreak/>
              <w:t>have resulted in reduction in QOL by 3</w:t>
            </w:r>
            <w:r>
              <w:rPr>
                <w:rFonts w:cstheme="minorHAnsi"/>
              </w:rPr>
              <w:t>±</w:t>
            </w:r>
            <w:r>
              <w:t>1.2 in EQ-VAS and 0.06</w:t>
            </w:r>
            <w:r>
              <w:rPr>
                <w:rFonts w:cstheme="minorHAnsi"/>
              </w:rPr>
              <w:t>±</w:t>
            </w:r>
            <w:r>
              <w:t>0.009 in EQ-indexed scores</w:t>
            </w:r>
          </w:p>
          <w:p w14:paraId="23101F76" w14:textId="0277C212" w:rsidR="009D18D1" w:rsidRDefault="009D18D1" w:rsidP="008E1AC2">
            <w:pPr>
              <w:jc w:val="both"/>
            </w:pPr>
          </w:p>
        </w:tc>
        <w:tc>
          <w:tcPr>
            <w:tcW w:w="1417" w:type="dxa"/>
          </w:tcPr>
          <w:p w14:paraId="3C93CA35" w14:textId="73A0B12B" w:rsidR="008E1AC2" w:rsidRDefault="00CE4008" w:rsidP="008E1AC2">
            <w:pPr>
              <w:jc w:val="both"/>
            </w:pPr>
            <w:r>
              <w:lastRenderedPageBreak/>
              <w:t xml:space="preserve">CCS class could </w:t>
            </w:r>
            <w:r w:rsidR="00E6485B">
              <w:t xml:space="preserve">worsen </w:t>
            </w:r>
            <w:r w:rsidR="00E6485B">
              <w:lastRenderedPageBreak/>
              <w:t>from 1 to 2, NYHA could worsen from 1 to 2</w:t>
            </w:r>
          </w:p>
        </w:tc>
      </w:tr>
      <w:tr w:rsidR="008E1AC2" w14:paraId="2DFD77E3" w14:textId="77777777" w:rsidTr="002C2525">
        <w:tc>
          <w:tcPr>
            <w:tcW w:w="687" w:type="dxa"/>
          </w:tcPr>
          <w:p w14:paraId="6ACED92C" w14:textId="77777777" w:rsidR="008E1AC2" w:rsidRPr="00FD1D5A" w:rsidRDefault="008E1AC2" w:rsidP="008E1AC2">
            <w:pPr>
              <w:jc w:val="both"/>
            </w:pPr>
            <w:r w:rsidRPr="00FD1D5A">
              <w:lastRenderedPageBreak/>
              <w:t>62</w:t>
            </w:r>
          </w:p>
        </w:tc>
        <w:tc>
          <w:tcPr>
            <w:tcW w:w="829" w:type="dxa"/>
          </w:tcPr>
          <w:p w14:paraId="1C6E5A15" w14:textId="77777777" w:rsidR="008E1AC2" w:rsidRDefault="008E1AC2" w:rsidP="008E1AC2">
            <w:pPr>
              <w:jc w:val="both"/>
            </w:pPr>
            <w:r>
              <w:t>mFFR LCx</w:t>
            </w:r>
          </w:p>
        </w:tc>
        <w:tc>
          <w:tcPr>
            <w:tcW w:w="894" w:type="dxa"/>
          </w:tcPr>
          <w:p w14:paraId="50829D16" w14:textId="77777777" w:rsidR="008E1AC2" w:rsidRDefault="008E1AC2" w:rsidP="008E1AC2">
            <w:pPr>
              <w:jc w:val="both"/>
            </w:pPr>
            <w:r>
              <w:t>OMT</w:t>
            </w:r>
          </w:p>
        </w:tc>
        <w:tc>
          <w:tcPr>
            <w:tcW w:w="1089" w:type="dxa"/>
          </w:tcPr>
          <w:p w14:paraId="3DD13D71" w14:textId="77777777" w:rsidR="008E1AC2" w:rsidRDefault="008E1AC2" w:rsidP="008E1AC2">
            <w:pPr>
              <w:jc w:val="both"/>
            </w:pPr>
            <w:r>
              <w:t>vFFR LCx 0.93</w:t>
            </w:r>
          </w:p>
        </w:tc>
        <w:tc>
          <w:tcPr>
            <w:tcW w:w="1196" w:type="dxa"/>
          </w:tcPr>
          <w:p w14:paraId="1F2EF9D6" w14:textId="77777777" w:rsidR="008E1AC2" w:rsidRDefault="008E1AC2" w:rsidP="008E1AC2">
            <w:pPr>
              <w:spacing w:line="276" w:lineRule="auto"/>
              <w:jc w:val="both"/>
            </w:pPr>
            <w:r>
              <w:t>Pressure wire cost saved</w:t>
            </w:r>
          </w:p>
          <w:p w14:paraId="68333BCA" w14:textId="77777777" w:rsidR="008E1AC2" w:rsidRDefault="008E1AC2" w:rsidP="008E1AC2">
            <w:pPr>
              <w:spacing w:line="276" w:lineRule="auto"/>
              <w:jc w:val="both"/>
            </w:pPr>
            <w:r>
              <w:t>(-£586)</w:t>
            </w:r>
          </w:p>
        </w:tc>
        <w:tc>
          <w:tcPr>
            <w:tcW w:w="1351" w:type="dxa"/>
          </w:tcPr>
          <w:p w14:paraId="7315A183" w14:textId="77777777" w:rsidR="008E1AC2" w:rsidRDefault="008E1AC2" w:rsidP="008E1AC2">
            <w:pPr>
              <w:jc w:val="both"/>
            </w:pPr>
            <w:r>
              <w:t>Avoiding unnecessary mFFR could prevent exposure to periprocedural risks of coronary dissection (0.03%) and MACE (0.015%)</w:t>
            </w:r>
          </w:p>
          <w:p w14:paraId="1089A54E" w14:textId="77777777" w:rsidR="008E1AC2" w:rsidRDefault="008E1AC2" w:rsidP="008E1AC2">
            <w:pPr>
              <w:jc w:val="both"/>
            </w:pPr>
          </w:p>
        </w:tc>
        <w:tc>
          <w:tcPr>
            <w:tcW w:w="1276" w:type="dxa"/>
          </w:tcPr>
          <w:p w14:paraId="0B974A8D" w14:textId="50B86F0B" w:rsidR="008E1AC2" w:rsidRDefault="008E1AC2" w:rsidP="008E1AC2">
            <w:pPr>
              <w:jc w:val="both"/>
            </w:pPr>
            <w:r>
              <w:t>No change</w:t>
            </w:r>
          </w:p>
          <w:p w14:paraId="4613B2F4" w14:textId="77777777" w:rsidR="008E1AC2" w:rsidRDefault="008E1AC2" w:rsidP="008E1AC2">
            <w:pPr>
              <w:jc w:val="both"/>
            </w:pPr>
          </w:p>
        </w:tc>
        <w:tc>
          <w:tcPr>
            <w:tcW w:w="1417" w:type="dxa"/>
          </w:tcPr>
          <w:p w14:paraId="7CC50929" w14:textId="77777777" w:rsidR="008E1AC2" w:rsidRDefault="008E1AC2" w:rsidP="008E1AC2">
            <w:pPr>
              <w:jc w:val="both"/>
            </w:pPr>
            <w:r>
              <w:t>No change</w:t>
            </w:r>
          </w:p>
        </w:tc>
      </w:tr>
      <w:tr w:rsidR="008E1AC2" w14:paraId="419C6F1B" w14:textId="77777777" w:rsidTr="002C2525">
        <w:tc>
          <w:tcPr>
            <w:tcW w:w="687" w:type="dxa"/>
          </w:tcPr>
          <w:p w14:paraId="6FECFB08" w14:textId="77777777" w:rsidR="008E1AC2" w:rsidRPr="00FD1D5A" w:rsidRDefault="008E1AC2" w:rsidP="008E1AC2">
            <w:pPr>
              <w:jc w:val="both"/>
            </w:pPr>
            <w:r w:rsidRPr="00FD1D5A">
              <w:t>66</w:t>
            </w:r>
          </w:p>
        </w:tc>
        <w:tc>
          <w:tcPr>
            <w:tcW w:w="829" w:type="dxa"/>
          </w:tcPr>
          <w:p w14:paraId="71674B41" w14:textId="77777777" w:rsidR="008E1AC2" w:rsidRDefault="008E1AC2" w:rsidP="008E1AC2">
            <w:pPr>
              <w:jc w:val="both"/>
            </w:pPr>
            <w:r>
              <w:t xml:space="preserve">mFFR LAD </w:t>
            </w:r>
          </w:p>
        </w:tc>
        <w:tc>
          <w:tcPr>
            <w:tcW w:w="894" w:type="dxa"/>
          </w:tcPr>
          <w:p w14:paraId="22BEE571" w14:textId="77777777" w:rsidR="008E1AC2" w:rsidRDefault="008E1AC2" w:rsidP="008E1AC2">
            <w:pPr>
              <w:jc w:val="both"/>
            </w:pPr>
            <w:r>
              <w:t>OMT</w:t>
            </w:r>
          </w:p>
        </w:tc>
        <w:tc>
          <w:tcPr>
            <w:tcW w:w="1089" w:type="dxa"/>
          </w:tcPr>
          <w:p w14:paraId="1074D807" w14:textId="77777777" w:rsidR="008E1AC2" w:rsidRDefault="008E1AC2" w:rsidP="008E1AC2">
            <w:pPr>
              <w:jc w:val="both"/>
            </w:pPr>
            <w:r>
              <w:t>vFFR LAD 0.88</w:t>
            </w:r>
          </w:p>
        </w:tc>
        <w:tc>
          <w:tcPr>
            <w:tcW w:w="1196" w:type="dxa"/>
          </w:tcPr>
          <w:p w14:paraId="6D902BF4" w14:textId="77777777" w:rsidR="008E1AC2" w:rsidRDefault="008E1AC2" w:rsidP="008E1AC2">
            <w:pPr>
              <w:spacing w:line="276" w:lineRule="auto"/>
              <w:jc w:val="both"/>
            </w:pPr>
            <w:r>
              <w:t>Pressure wire cost saved</w:t>
            </w:r>
          </w:p>
          <w:p w14:paraId="4EF31E4F" w14:textId="77777777" w:rsidR="008E1AC2" w:rsidRDefault="008E1AC2" w:rsidP="008E1AC2">
            <w:pPr>
              <w:spacing w:line="276" w:lineRule="auto"/>
              <w:jc w:val="both"/>
            </w:pPr>
            <w:r>
              <w:t>(-£586)</w:t>
            </w:r>
          </w:p>
        </w:tc>
        <w:tc>
          <w:tcPr>
            <w:tcW w:w="1351" w:type="dxa"/>
          </w:tcPr>
          <w:p w14:paraId="685B2B49" w14:textId="77777777" w:rsidR="008E1AC2" w:rsidRDefault="008E1AC2" w:rsidP="008E1AC2">
            <w:pPr>
              <w:jc w:val="both"/>
            </w:pPr>
            <w:r>
              <w:t>Avoiding unnecessary mFFR could prevent exposure to periprocedural risks of coronary dissection (0.03%) and MACE (0.015%)</w:t>
            </w:r>
          </w:p>
          <w:p w14:paraId="5FDEA17A" w14:textId="77777777" w:rsidR="009D18D1" w:rsidRDefault="009D18D1" w:rsidP="008E1AC2">
            <w:pPr>
              <w:jc w:val="both"/>
            </w:pPr>
          </w:p>
        </w:tc>
        <w:tc>
          <w:tcPr>
            <w:tcW w:w="1276" w:type="dxa"/>
          </w:tcPr>
          <w:p w14:paraId="7AE5AAEB" w14:textId="1FE222D7" w:rsidR="008E1AC2" w:rsidRDefault="008E1AC2" w:rsidP="008E1AC2">
            <w:pPr>
              <w:jc w:val="both"/>
            </w:pPr>
            <w:r>
              <w:t xml:space="preserve">No change </w:t>
            </w:r>
          </w:p>
          <w:p w14:paraId="57DB0543" w14:textId="77777777" w:rsidR="008E1AC2" w:rsidRDefault="008E1AC2" w:rsidP="008E1AC2">
            <w:pPr>
              <w:jc w:val="both"/>
            </w:pPr>
          </w:p>
        </w:tc>
        <w:tc>
          <w:tcPr>
            <w:tcW w:w="1417" w:type="dxa"/>
          </w:tcPr>
          <w:p w14:paraId="0865B9FA" w14:textId="77777777" w:rsidR="008E1AC2" w:rsidRDefault="008E1AC2" w:rsidP="008E1AC2">
            <w:pPr>
              <w:jc w:val="both"/>
            </w:pPr>
            <w:r>
              <w:t>No change</w:t>
            </w:r>
          </w:p>
        </w:tc>
      </w:tr>
      <w:tr w:rsidR="008E1AC2" w14:paraId="65A94347" w14:textId="77777777" w:rsidTr="002C2525">
        <w:tc>
          <w:tcPr>
            <w:tcW w:w="687" w:type="dxa"/>
          </w:tcPr>
          <w:p w14:paraId="295F3CFF" w14:textId="77777777" w:rsidR="008E1AC2" w:rsidRPr="00FD1D5A" w:rsidRDefault="008E1AC2" w:rsidP="008E1AC2">
            <w:pPr>
              <w:jc w:val="both"/>
            </w:pPr>
            <w:r>
              <w:t>70</w:t>
            </w:r>
          </w:p>
        </w:tc>
        <w:tc>
          <w:tcPr>
            <w:tcW w:w="829" w:type="dxa"/>
          </w:tcPr>
          <w:p w14:paraId="45B3C27A" w14:textId="77777777" w:rsidR="008E1AC2" w:rsidRDefault="008E1AC2" w:rsidP="008E1AC2">
            <w:pPr>
              <w:jc w:val="both"/>
            </w:pPr>
            <w:r>
              <w:t>mFFR RCA</w:t>
            </w:r>
          </w:p>
        </w:tc>
        <w:tc>
          <w:tcPr>
            <w:tcW w:w="894" w:type="dxa"/>
          </w:tcPr>
          <w:p w14:paraId="1C3892DF" w14:textId="77777777" w:rsidR="008E1AC2" w:rsidRDefault="008E1AC2" w:rsidP="008E1AC2">
            <w:pPr>
              <w:jc w:val="both"/>
            </w:pPr>
            <w:r>
              <w:t>OMT</w:t>
            </w:r>
          </w:p>
        </w:tc>
        <w:tc>
          <w:tcPr>
            <w:tcW w:w="1089" w:type="dxa"/>
          </w:tcPr>
          <w:p w14:paraId="4167329A" w14:textId="77777777" w:rsidR="008E1AC2" w:rsidRDefault="008E1AC2" w:rsidP="008E1AC2">
            <w:pPr>
              <w:jc w:val="both"/>
            </w:pPr>
            <w:r>
              <w:t>vFFR 0.93</w:t>
            </w:r>
          </w:p>
        </w:tc>
        <w:tc>
          <w:tcPr>
            <w:tcW w:w="1196" w:type="dxa"/>
          </w:tcPr>
          <w:p w14:paraId="2F0D23A0" w14:textId="77777777" w:rsidR="008E1AC2" w:rsidRDefault="008E1AC2" w:rsidP="008E1AC2">
            <w:pPr>
              <w:spacing w:line="276" w:lineRule="auto"/>
              <w:jc w:val="both"/>
            </w:pPr>
            <w:r>
              <w:t>Pressure wire cost saved</w:t>
            </w:r>
          </w:p>
          <w:p w14:paraId="261C7743" w14:textId="77777777" w:rsidR="008E1AC2" w:rsidRDefault="008E1AC2" w:rsidP="008E1AC2">
            <w:pPr>
              <w:spacing w:line="276" w:lineRule="auto"/>
              <w:jc w:val="both"/>
            </w:pPr>
            <w:r>
              <w:t>(-£586)</w:t>
            </w:r>
          </w:p>
        </w:tc>
        <w:tc>
          <w:tcPr>
            <w:tcW w:w="1351" w:type="dxa"/>
          </w:tcPr>
          <w:p w14:paraId="79685134" w14:textId="77777777" w:rsidR="008E1AC2" w:rsidRDefault="008E1AC2" w:rsidP="008E1AC2">
            <w:pPr>
              <w:jc w:val="both"/>
            </w:pPr>
            <w:r>
              <w:t>Avoiding unnecessary mFFR could prevent exposure to periprocedural risks of coronary dissection (0.03%) and MACE (0.015%)</w:t>
            </w:r>
          </w:p>
          <w:p w14:paraId="2D17F96B" w14:textId="77777777" w:rsidR="0054183F" w:rsidRDefault="0054183F" w:rsidP="008E1AC2">
            <w:pPr>
              <w:jc w:val="both"/>
            </w:pPr>
          </w:p>
        </w:tc>
        <w:tc>
          <w:tcPr>
            <w:tcW w:w="1276" w:type="dxa"/>
          </w:tcPr>
          <w:p w14:paraId="0BC83A91" w14:textId="415F5C82" w:rsidR="008E1AC2" w:rsidRDefault="008E1AC2" w:rsidP="008E1AC2">
            <w:pPr>
              <w:jc w:val="both"/>
            </w:pPr>
            <w:r>
              <w:t xml:space="preserve">No change </w:t>
            </w:r>
          </w:p>
          <w:p w14:paraId="1B7B8519" w14:textId="77777777" w:rsidR="008E1AC2" w:rsidRDefault="008E1AC2" w:rsidP="008E1AC2">
            <w:pPr>
              <w:jc w:val="both"/>
            </w:pPr>
          </w:p>
        </w:tc>
        <w:tc>
          <w:tcPr>
            <w:tcW w:w="1417" w:type="dxa"/>
          </w:tcPr>
          <w:p w14:paraId="6CADE14D" w14:textId="77777777" w:rsidR="008E1AC2" w:rsidRDefault="008E1AC2" w:rsidP="008E1AC2">
            <w:pPr>
              <w:jc w:val="both"/>
            </w:pPr>
            <w:r>
              <w:t>No change</w:t>
            </w:r>
          </w:p>
        </w:tc>
      </w:tr>
      <w:tr w:rsidR="008E1AC2" w14:paraId="5F654B98" w14:textId="77777777" w:rsidTr="002C2525">
        <w:tc>
          <w:tcPr>
            <w:tcW w:w="687" w:type="dxa"/>
          </w:tcPr>
          <w:p w14:paraId="2986E1D2" w14:textId="77777777" w:rsidR="008E1AC2" w:rsidRDefault="008E1AC2" w:rsidP="008E1AC2">
            <w:pPr>
              <w:jc w:val="both"/>
            </w:pPr>
            <w:r w:rsidRPr="00FD1D5A">
              <w:lastRenderedPageBreak/>
              <w:t>7</w:t>
            </w:r>
            <w:r>
              <w:t>7</w:t>
            </w:r>
          </w:p>
        </w:tc>
        <w:tc>
          <w:tcPr>
            <w:tcW w:w="829" w:type="dxa"/>
          </w:tcPr>
          <w:p w14:paraId="369205C3" w14:textId="77777777" w:rsidR="008E1AC2" w:rsidRDefault="008E1AC2" w:rsidP="008E1AC2">
            <w:pPr>
              <w:jc w:val="both"/>
            </w:pPr>
            <w:r>
              <w:t>PCI D1</w:t>
            </w:r>
          </w:p>
        </w:tc>
        <w:tc>
          <w:tcPr>
            <w:tcW w:w="894" w:type="dxa"/>
          </w:tcPr>
          <w:p w14:paraId="1AF3E6D4" w14:textId="77777777" w:rsidR="008E1AC2" w:rsidRDefault="008E1AC2" w:rsidP="008E1AC2">
            <w:pPr>
              <w:jc w:val="both"/>
            </w:pPr>
            <w:r>
              <w:t xml:space="preserve">PCI D1 + mFFR LAD </w:t>
            </w:r>
          </w:p>
        </w:tc>
        <w:tc>
          <w:tcPr>
            <w:tcW w:w="1089" w:type="dxa"/>
          </w:tcPr>
          <w:p w14:paraId="19EB1674" w14:textId="77777777" w:rsidR="008E1AC2" w:rsidRDefault="008E1AC2" w:rsidP="008E1AC2">
            <w:pPr>
              <w:jc w:val="both"/>
            </w:pPr>
            <w:r>
              <w:t>vFFR LAD 0.66</w:t>
            </w:r>
          </w:p>
        </w:tc>
        <w:tc>
          <w:tcPr>
            <w:tcW w:w="1196" w:type="dxa"/>
          </w:tcPr>
          <w:p w14:paraId="6AC925E6" w14:textId="77777777" w:rsidR="008E1AC2" w:rsidRDefault="008E1AC2" w:rsidP="008E1AC2">
            <w:pPr>
              <w:spacing w:line="276" w:lineRule="auto"/>
              <w:jc w:val="both"/>
            </w:pPr>
            <w:r>
              <w:t>Additional vessel PCI (+£420)</w:t>
            </w:r>
          </w:p>
        </w:tc>
        <w:tc>
          <w:tcPr>
            <w:tcW w:w="1351" w:type="dxa"/>
          </w:tcPr>
          <w:p w14:paraId="41BFC684" w14:textId="3BC17EE1" w:rsidR="008E1AC2" w:rsidRDefault="008E1AC2" w:rsidP="008E1AC2">
            <w:pPr>
              <w:jc w:val="both"/>
            </w:pPr>
            <w:r>
              <w:t>Annual MACE risk could be reduced by 4.9% with PCI of LAD as vFFR significantly positive</w:t>
            </w:r>
          </w:p>
        </w:tc>
        <w:tc>
          <w:tcPr>
            <w:tcW w:w="1276" w:type="dxa"/>
          </w:tcPr>
          <w:p w14:paraId="49B78D9B" w14:textId="77777777" w:rsidR="008E1AC2" w:rsidRDefault="008E1AC2" w:rsidP="008E1AC2">
            <w:pPr>
              <w:jc w:val="both"/>
            </w:pPr>
            <w:r>
              <w:t>PCI LAD could have resulted in a virtual additional increase in QOL by 3</w:t>
            </w:r>
            <w:r>
              <w:rPr>
                <w:rFonts w:cstheme="minorHAnsi"/>
              </w:rPr>
              <w:t>±</w:t>
            </w:r>
            <w:r>
              <w:t>1.2 in EQ-VAS and 0.06</w:t>
            </w:r>
            <w:r>
              <w:rPr>
                <w:rFonts w:cstheme="minorHAnsi"/>
              </w:rPr>
              <w:t>±</w:t>
            </w:r>
            <w:r>
              <w:t>0.009 in EQ-indexed scores</w:t>
            </w:r>
          </w:p>
          <w:p w14:paraId="3B6A3EE7" w14:textId="5E1874E3" w:rsidR="0054183F" w:rsidRDefault="0054183F" w:rsidP="008E1AC2">
            <w:pPr>
              <w:jc w:val="both"/>
            </w:pPr>
          </w:p>
        </w:tc>
        <w:tc>
          <w:tcPr>
            <w:tcW w:w="1417" w:type="dxa"/>
          </w:tcPr>
          <w:p w14:paraId="75FBFEA7" w14:textId="1FA74555" w:rsidR="008E1AC2" w:rsidRDefault="008E1AC2" w:rsidP="008E1AC2">
            <w:pPr>
              <w:jc w:val="both"/>
            </w:pPr>
            <w:r>
              <w:t>NYHA from class 2 to class 1, CCS class unchanged as already angina free</w:t>
            </w:r>
          </w:p>
        </w:tc>
      </w:tr>
      <w:tr w:rsidR="008E1AC2" w14:paraId="69C39833" w14:textId="77777777" w:rsidTr="002C2525">
        <w:tc>
          <w:tcPr>
            <w:tcW w:w="687" w:type="dxa"/>
          </w:tcPr>
          <w:p w14:paraId="4C11FB08" w14:textId="77777777" w:rsidR="008E1AC2" w:rsidRPr="00FD1D5A" w:rsidRDefault="008E1AC2" w:rsidP="008E1AC2">
            <w:pPr>
              <w:jc w:val="both"/>
            </w:pPr>
            <w:r>
              <w:t>78</w:t>
            </w:r>
          </w:p>
        </w:tc>
        <w:tc>
          <w:tcPr>
            <w:tcW w:w="829" w:type="dxa"/>
          </w:tcPr>
          <w:p w14:paraId="68D84290" w14:textId="77777777" w:rsidR="008E1AC2" w:rsidRDefault="008E1AC2" w:rsidP="008E1AC2">
            <w:pPr>
              <w:jc w:val="both"/>
            </w:pPr>
            <w:r>
              <w:t>mFFR LAD</w:t>
            </w:r>
          </w:p>
        </w:tc>
        <w:tc>
          <w:tcPr>
            <w:tcW w:w="894" w:type="dxa"/>
          </w:tcPr>
          <w:p w14:paraId="4B7E744A" w14:textId="77777777" w:rsidR="008E1AC2" w:rsidRDefault="008E1AC2" w:rsidP="008E1AC2">
            <w:pPr>
              <w:jc w:val="both"/>
            </w:pPr>
            <w:r>
              <w:t>OMT</w:t>
            </w:r>
          </w:p>
        </w:tc>
        <w:tc>
          <w:tcPr>
            <w:tcW w:w="1089" w:type="dxa"/>
          </w:tcPr>
          <w:p w14:paraId="4D401CE3" w14:textId="77777777" w:rsidR="008E1AC2" w:rsidRDefault="008E1AC2" w:rsidP="008E1AC2">
            <w:pPr>
              <w:jc w:val="both"/>
            </w:pPr>
            <w:r>
              <w:t>vFFR LAD 0.91</w:t>
            </w:r>
          </w:p>
        </w:tc>
        <w:tc>
          <w:tcPr>
            <w:tcW w:w="1196" w:type="dxa"/>
          </w:tcPr>
          <w:p w14:paraId="2FA120C9" w14:textId="77777777" w:rsidR="008E1AC2" w:rsidRDefault="008E1AC2" w:rsidP="008E1AC2">
            <w:pPr>
              <w:spacing w:line="276" w:lineRule="auto"/>
              <w:jc w:val="both"/>
            </w:pPr>
            <w:r>
              <w:t>Pressure wire cost saved</w:t>
            </w:r>
          </w:p>
          <w:p w14:paraId="53737D36" w14:textId="77777777" w:rsidR="008E1AC2" w:rsidRDefault="008E1AC2" w:rsidP="008E1AC2">
            <w:pPr>
              <w:spacing w:line="276" w:lineRule="auto"/>
              <w:jc w:val="both"/>
            </w:pPr>
            <w:r>
              <w:t>(-£586)</w:t>
            </w:r>
          </w:p>
          <w:p w14:paraId="10975151" w14:textId="77777777" w:rsidR="008E1AC2" w:rsidRDefault="008E1AC2" w:rsidP="008E1AC2">
            <w:pPr>
              <w:spacing w:line="276" w:lineRule="auto"/>
              <w:jc w:val="both"/>
            </w:pPr>
          </w:p>
        </w:tc>
        <w:tc>
          <w:tcPr>
            <w:tcW w:w="1351" w:type="dxa"/>
          </w:tcPr>
          <w:p w14:paraId="6A119454" w14:textId="77777777" w:rsidR="008E1AC2" w:rsidRDefault="008E1AC2" w:rsidP="008E1AC2">
            <w:pPr>
              <w:jc w:val="both"/>
            </w:pPr>
            <w:r>
              <w:t>Avoiding unnecessary mFFR could prevent exposure to periprocedural risks of coronary dissection (0.03%) and MACE (0.015%)</w:t>
            </w:r>
          </w:p>
          <w:p w14:paraId="18175BF5" w14:textId="77777777" w:rsidR="0054183F" w:rsidRDefault="0054183F" w:rsidP="008E1AC2">
            <w:pPr>
              <w:jc w:val="both"/>
            </w:pPr>
          </w:p>
        </w:tc>
        <w:tc>
          <w:tcPr>
            <w:tcW w:w="1276" w:type="dxa"/>
          </w:tcPr>
          <w:p w14:paraId="532F7D13" w14:textId="318E2532" w:rsidR="008E1AC2" w:rsidRDefault="008E1AC2" w:rsidP="008E1AC2">
            <w:pPr>
              <w:jc w:val="both"/>
            </w:pPr>
            <w:r>
              <w:t>D</w:t>
            </w:r>
            <w:r w:rsidR="000E3826">
              <w:t>eceased</w:t>
            </w:r>
          </w:p>
        </w:tc>
        <w:tc>
          <w:tcPr>
            <w:tcW w:w="1417" w:type="dxa"/>
          </w:tcPr>
          <w:p w14:paraId="5FDE2F25" w14:textId="395F6B4D" w:rsidR="008E1AC2" w:rsidRDefault="000E3826" w:rsidP="008E1AC2">
            <w:pPr>
              <w:jc w:val="both"/>
            </w:pPr>
            <w:r>
              <w:t>Deceased</w:t>
            </w:r>
          </w:p>
        </w:tc>
      </w:tr>
      <w:tr w:rsidR="008E1AC2" w14:paraId="7236D19B" w14:textId="77777777" w:rsidTr="002C2525">
        <w:tc>
          <w:tcPr>
            <w:tcW w:w="687" w:type="dxa"/>
          </w:tcPr>
          <w:p w14:paraId="0FB2BCBD" w14:textId="77777777" w:rsidR="008E1AC2" w:rsidRDefault="008E1AC2" w:rsidP="008E1AC2">
            <w:pPr>
              <w:jc w:val="both"/>
            </w:pPr>
            <w:r>
              <w:t>85</w:t>
            </w:r>
          </w:p>
        </w:tc>
        <w:tc>
          <w:tcPr>
            <w:tcW w:w="829" w:type="dxa"/>
          </w:tcPr>
          <w:p w14:paraId="56FF5AD4" w14:textId="77777777" w:rsidR="008E1AC2" w:rsidRDefault="008E1AC2" w:rsidP="008E1AC2">
            <w:pPr>
              <w:jc w:val="both"/>
            </w:pPr>
            <w:r>
              <w:t>OCT-guided PCI to LAD</w:t>
            </w:r>
          </w:p>
        </w:tc>
        <w:tc>
          <w:tcPr>
            <w:tcW w:w="894" w:type="dxa"/>
          </w:tcPr>
          <w:p w14:paraId="1D4C4B63" w14:textId="77777777" w:rsidR="008E1AC2" w:rsidRDefault="008E1AC2" w:rsidP="008E1AC2">
            <w:pPr>
              <w:jc w:val="both"/>
            </w:pPr>
            <w:r>
              <w:t xml:space="preserve">mFFR-guided PCI LAD </w:t>
            </w:r>
          </w:p>
        </w:tc>
        <w:tc>
          <w:tcPr>
            <w:tcW w:w="1089" w:type="dxa"/>
          </w:tcPr>
          <w:p w14:paraId="12F4DCAD" w14:textId="77777777" w:rsidR="008E1AC2" w:rsidRDefault="008E1AC2" w:rsidP="008E1AC2">
            <w:pPr>
              <w:jc w:val="both"/>
            </w:pPr>
            <w:r>
              <w:t>vFFR LAD 0.79</w:t>
            </w:r>
          </w:p>
        </w:tc>
        <w:tc>
          <w:tcPr>
            <w:tcW w:w="1196" w:type="dxa"/>
          </w:tcPr>
          <w:p w14:paraId="56C285CE" w14:textId="77777777" w:rsidR="008E1AC2" w:rsidRDefault="008E1AC2" w:rsidP="008E1AC2">
            <w:pPr>
              <w:spacing w:line="276" w:lineRule="auto"/>
              <w:jc w:val="both"/>
            </w:pPr>
            <w:r>
              <w:t xml:space="preserve">The cost difference between OCT and mFFR </w:t>
            </w:r>
          </w:p>
          <w:p w14:paraId="7F940912" w14:textId="77777777" w:rsidR="008E1AC2" w:rsidRDefault="008E1AC2" w:rsidP="008E1AC2">
            <w:pPr>
              <w:spacing w:line="276" w:lineRule="auto"/>
              <w:jc w:val="both"/>
            </w:pPr>
            <w:r>
              <w:t>(-£194)</w:t>
            </w:r>
          </w:p>
          <w:p w14:paraId="6D2D048D" w14:textId="77777777" w:rsidR="008E1AC2" w:rsidRDefault="008E1AC2" w:rsidP="008E1AC2">
            <w:pPr>
              <w:spacing w:line="276" w:lineRule="auto"/>
              <w:jc w:val="both"/>
            </w:pPr>
          </w:p>
        </w:tc>
        <w:tc>
          <w:tcPr>
            <w:tcW w:w="1351" w:type="dxa"/>
          </w:tcPr>
          <w:p w14:paraId="73148FBA" w14:textId="77777777" w:rsidR="008E1AC2" w:rsidRDefault="008E1AC2" w:rsidP="008E1AC2">
            <w:pPr>
              <w:jc w:val="both"/>
            </w:pPr>
            <w:r>
              <w:t>No change</w:t>
            </w:r>
          </w:p>
        </w:tc>
        <w:tc>
          <w:tcPr>
            <w:tcW w:w="1276" w:type="dxa"/>
          </w:tcPr>
          <w:p w14:paraId="76DAD22C" w14:textId="38FFA690" w:rsidR="008E1AC2" w:rsidRDefault="008E1AC2" w:rsidP="008E1AC2">
            <w:pPr>
              <w:jc w:val="both"/>
            </w:pPr>
            <w:r>
              <w:t xml:space="preserve">No change </w:t>
            </w:r>
          </w:p>
          <w:p w14:paraId="43BDC8B6" w14:textId="77777777" w:rsidR="008E1AC2" w:rsidRDefault="008E1AC2" w:rsidP="008E1AC2">
            <w:pPr>
              <w:jc w:val="both"/>
            </w:pPr>
          </w:p>
        </w:tc>
        <w:tc>
          <w:tcPr>
            <w:tcW w:w="1417" w:type="dxa"/>
          </w:tcPr>
          <w:p w14:paraId="62C9C927" w14:textId="77777777" w:rsidR="008E1AC2" w:rsidRDefault="008E1AC2" w:rsidP="008E1AC2">
            <w:pPr>
              <w:jc w:val="both"/>
            </w:pPr>
            <w:r>
              <w:t>No change</w:t>
            </w:r>
          </w:p>
        </w:tc>
      </w:tr>
      <w:tr w:rsidR="008E1AC2" w14:paraId="1C089CBF" w14:textId="77777777" w:rsidTr="002C2525">
        <w:tc>
          <w:tcPr>
            <w:tcW w:w="687" w:type="dxa"/>
          </w:tcPr>
          <w:p w14:paraId="3C140B7D" w14:textId="77777777" w:rsidR="008E1AC2" w:rsidRDefault="008E1AC2" w:rsidP="008E1AC2">
            <w:pPr>
              <w:jc w:val="both"/>
            </w:pPr>
            <w:r>
              <w:t>89</w:t>
            </w:r>
          </w:p>
        </w:tc>
        <w:tc>
          <w:tcPr>
            <w:tcW w:w="829" w:type="dxa"/>
          </w:tcPr>
          <w:p w14:paraId="68098EB4" w14:textId="77777777" w:rsidR="008E1AC2" w:rsidRDefault="008E1AC2" w:rsidP="008E1AC2">
            <w:pPr>
              <w:jc w:val="both"/>
            </w:pPr>
            <w:r>
              <w:t>PCI RCA + mFFR LAD</w:t>
            </w:r>
          </w:p>
        </w:tc>
        <w:tc>
          <w:tcPr>
            <w:tcW w:w="894" w:type="dxa"/>
          </w:tcPr>
          <w:p w14:paraId="51B4767E" w14:textId="77777777" w:rsidR="008E1AC2" w:rsidRDefault="008E1AC2" w:rsidP="008E1AC2">
            <w:pPr>
              <w:jc w:val="both"/>
            </w:pPr>
            <w:r>
              <w:t xml:space="preserve">PCI RCA + LAD </w:t>
            </w:r>
          </w:p>
        </w:tc>
        <w:tc>
          <w:tcPr>
            <w:tcW w:w="1089" w:type="dxa"/>
          </w:tcPr>
          <w:p w14:paraId="13329738" w14:textId="77777777" w:rsidR="008E1AC2" w:rsidRDefault="008E1AC2" w:rsidP="008E1AC2">
            <w:pPr>
              <w:jc w:val="both"/>
            </w:pPr>
            <w:r>
              <w:t>vFFR LAD 0.74</w:t>
            </w:r>
          </w:p>
        </w:tc>
        <w:tc>
          <w:tcPr>
            <w:tcW w:w="1196" w:type="dxa"/>
          </w:tcPr>
          <w:p w14:paraId="16DFF1D9" w14:textId="77777777" w:rsidR="008E1AC2" w:rsidRDefault="008E1AC2" w:rsidP="008E1AC2">
            <w:pPr>
              <w:spacing w:line="276" w:lineRule="auto"/>
              <w:jc w:val="both"/>
            </w:pPr>
            <w:r>
              <w:t>Additional vessel stent (+£420)</w:t>
            </w:r>
          </w:p>
        </w:tc>
        <w:tc>
          <w:tcPr>
            <w:tcW w:w="1351" w:type="dxa"/>
          </w:tcPr>
          <w:p w14:paraId="284DD5A5" w14:textId="70795D14" w:rsidR="008E1AC2" w:rsidRDefault="008E1AC2" w:rsidP="008E1AC2">
            <w:pPr>
              <w:jc w:val="both"/>
            </w:pPr>
            <w:r>
              <w:t xml:space="preserve">Annual MACE risk could be reduced by 4.9% with PCI of LAD </w:t>
            </w:r>
          </w:p>
          <w:p w14:paraId="4D09DD2D" w14:textId="77777777" w:rsidR="008E1AC2" w:rsidRDefault="008E1AC2" w:rsidP="008E1AC2">
            <w:pPr>
              <w:jc w:val="both"/>
            </w:pPr>
          </w:p>
        </w:tc>
        <w:tc>
          <w:tcPr>
            <w:tcW w:w="1276" w:type="dxa"/>
          </w:tcPr>
          <w:p w14:paraId="694E2A1D" w14:textId="77777777" w:rsidR="008E1AC2" w:rsidRDefault="008E1AC2" w:rsidP="008E1AC2">
            <w:pPr>
              <w:jc w:val="both"/>
            </w:pPr>
            <w:r>
              <w:t>PCI LAD could have resulted in a virtual additional increase in QOL by 3</w:t>
            </w:r>
            <w:r>
              <w:rPr>
                <w:rFonts w:cstheme="minorHAnsi"/>
              </w:rPr>
              <w:t>±</w:t>
            </w:r>
            <w:r>
              <w:t>1.2 in EQ-VAS and 0.06</w:t>
            </w:r>
            <w:r>
              <w:rPr>
                <w:rFonts w:cstheme="minorHAnsi"/>
              </w:rPr>
              <w:t>±</w:t>
            </w:r>
            <w:r>
              <w:t>0.009 in EQ-indexed scores</w:t>
            </w:r>
          </w:p>
          <w:p w14:paraId="04F11A5A" w14:textId="68AE6A9E" w:rsidR="0054183F" w:rsidRDefault="0054183F" w:rsidP="008E1AC2">
            <w:pPr>
              <w:jc w:val="both"/>
            </w:pPr>
          </w:p>
        </w:tc>
        <w:tc>
          <w:tcPr>
            <w:tcW w:w="1417" w:type="dxa"/>
          </w:tcPr>
          <w:p w14:paraId="308C93A3" w14:textId="4C42CC44" w:rsidR="008E1AC2" w:rsidRDefault="008E1AC2" w:rsidP="008E1AC2">
            <w:pPr>
              <w:jc w:val="both"/>
            </w:pPr>
            <w:r>
              <w:t xml:space="preserve">CCS – no change, NYHA from class 2 to 1 </w:t>
            </w:r>
          </w:p>
        </w:tc>
      </w:tr>
      <w:tr w:rsidR="008E1AC2" w14:paraId="77E05549" w14:textId="77777777" w:rsidTr="002C2525">
        <w:tc>
          <w:tcPr>
            <w:tcW w:w="687" w:type="dxa"/>
          </w:tcPr>
          <w:p w14:paraId="11721EA3" w14:textId="77777777" w:rsidR="008E1AC2" w:rsidRDefault="008E1AC2" w:rsidP="008E1AC2">
            <w:pPr>
              <w:jc w:val="both"/>
            </w:pPr>
            <w:r w:rsidRPr="00FD1D5A">
              <w:lastRenderedPageBreak/>
              <w:t>91</w:t>
            </w:r>
          </w:p>
        </w:tc>
        <w:tc>
          <w:tcPr>
            <w:tcW w:w="829" w:type="dxa"/>
          </w:tcPr>
          <w:p w14:paraId="620DFF1F" w14:textId="77777777" w:rsidR="008E1AC2" w:rsidRDefault="008E1AC2" w:rsidP="008E1AC2">
            <w:pPr>
              <w:jc w:val="both"/>
            </w:pPr>
            <w:r>
              <w:t>PCI RCA, mFFR LAD</w:t>
            </w:r>
          </w:p>
        </w:tc>
        <w:tc>
          <w:tcPr>
            <w:tcW w:w="894" w:type="dxa"/>
          </w:tcPr>
          <w:p w14:paraId="4E013309" w14:textId="77777777" w:rsidR="008E1AC2" w:rsidRDefault="008E1AC2" w:rsidP="008E1AC2">
            <w:pPr>
              <w:jc w:val="both"/>
            </w:pPr>
            <w:r>
              <w:t>PCI RCA</w:t>
            </w:r>
          </w:p>
        </w:tc>
        <w:tc>
          <w:tcPr>
            <w:tcW w:w="1089" w:type="dxa"/>
          </w:tcPr>
          <w:p w14:paraId="1F0FB3E4" w14:textId="77777777" w:rsidR="008E1AC2" w:rsidRDefault="008E1AC2" w:rsidP="008E1AC2">
            <w:pPr>
              <w:jc w:val="both"/>
            </w:pPr>
            <w:r>
              <w:t>vFFR LAD 0.84</w:t>
            </w:r>
          </w:p>
        </w:tc>
        <w:tc>
          <w:tcPr>
            <w:tcW w:w="1196" w:type="dxa"/>
          </w:tcPr>
          <w:p w14:paraId="38750094" w14:textId="77777777" w:rsidR="008E1AC2" w:rsidRDefault="008E1AC2" w:rsidP="008E1AC2">
            <w:pPr>
              <w:spacing w:line="276" w:lineRule="auto"/>
              <w:jc w:val="both"/>
            </w:pPr>
            <w:r>
              <w:t>Pressure wire cost saved</w:t>
            </w:r>
          </w:p>
          <w:p w14:paraId="7BA403EE" w14:textId="77777777" w:rsidR="008E1AC2" w:rsidRDefault="008E1AC2" w:rsidP="008E1AC2">
            <w:pPr>
              <w:spacing w:line="276" w:lineRule="auto"/>
              <w:jc w:val="both"/>
            </w:pPr>
            <w:r>
              <w:t>(-£586)</w:t>
            </w:r>
          </w:p>
        </w:tc>
        <w:tc>
          <w:tcPr>
            <w:tcW w:w="1351" w:type="dxa"/>
          </w:tcPr>
          <w:p w14:paraId="3E14ED2B" w14:textId="77777777" w:rsidR="008E1AC2" w:rsidRDefault="008E1AC2" w:rsidP="008E1AC2">
            <w:pPr>
              <w:jc w:val="both"/>
            </w:pPr>
            <w:r>
              <w:t>Avoiding unnecessary mFFR could prevent exposure to periprocedural risks of coronary dissection (0.03%) and MACE (0.015%)</w:t>
            </w:r>
          </w:p>
          <w:p w14:paraId="5E37BD51" w14:textId="77777777" w:rsidR="009D18D1" w:rsidRDefault="009D18D1" w:rsidP="008E1AC2">
            <w:pPr>
              <w:jc w:val="both"/>
            </w:pPr>
          </w:p>
        </w:tc>
        <w:tc>
          <w:tcPr>
            <w:tcW w:w="1276" w:type="dxa"/>
          </w:tcPr>
          <w:p w14:paraId="1B66B002" w14:textId="39A324BF" w:rsidR="008E1AC2" w:rsidRDefault="008E1AC2" w:rsidP="008E1AC2">
            <w:pPr>
              <w:jc w:val="both"/>
            </w:pPr>
            <w:r>
              <w:t xml:space="preserve">No change </w:t>
            </w:r>
          </w:p>
          <w:p w14:paraId="4D7AFF90" w14:textId="77777777" w:rsidR="008E1AC2" w:rsidRDefault="008E1AC2" w:rsidP="008E1AC2">
            <w:pPr>
              <w:jc w:val="both"/>
            </w:pPr>
          </w:p>
        </w:tc>
        <w:tc>
          <w:tcPr>
            <w:tcW w:w="1417" w:type="dxa"/>
          </w:tcPr>
          <w:p w14:paraId="02AB120E" w14:textId="77777777" w:rsidR="008E1AC2" w:rsidRDefault="008E1AC2" w:rsidP="008E1AC2">
            <w:pPr>
              <w:jc w:val="both"/>
            </w:pPr>
            <w:r>
              <w:t>No change</w:t>
            </w:r>
          </w:p>
        </w:tc>
      </w:tr>
      <w:tr w:rsidR="008E1AC2" w14:paraId="72477B84" w14:textId="77777777" w:rsidTr="002C2525">
        <w:tc>
          <w:tcPr>
            <w:tcW w:w="687" w:type="dxa"/>
          </w:tcPr>
          <w:p w14:paraId="7434C62F" w14:textId="77777777" w:rsidR="008E1AC2" w:rsidRPr="00FD1D5A" w:rsidRDefault="008E1AC2" w:rsidP="008E1AC2">
            <w:pPr>
              <w:jc w:val="both"/>
            </w:pPr>
            <w:r w:rsidRPr="00FD1D5A">
              <w:t>95</w:t>
            </w:r>
          </w:p>
        </w:tc>
        <w:tc>
          <w:tcPr>
            <w:tcW w:w="829" w:type="dxa"/>
          </w:tcPr>
          <w:p w14:paraId="27A3E2CD" w14:textId="77777777" w:rsidR="008E1AC2" w:rsidRDefault="008E1AC2" w:rsidP="008E1AC2">
            <w:pPr>
              <w:jc w:val="both"/>
            </w:pPr>
            <w:r>
              <w:t>mFFR RCA</w:t>
            </w:r>
          </w:p>
        </w:tc>
        <w:tc>
          <w:tcPr>
            <w:tcW w:w="894" w:type="dxa"/>
          </w:tcPr>
          <w:p w14:paraId="55409156" w14:textId="77777777" w:rsidR="008E1AC2" w:rsidRDefault="008E1AC2" w:rsidP="008E1AC2">
            <w:pPr>
              <w:jc w:val="both"/>
            </w:pPr>
            <w:r>
              <w:t>OMT</w:t>
            </w:r>
          </w:p>
        </w:tc>
        <w:tc>
          <w:tcPr>
            <w:tcW w:w="1089" w:type="dxa"/>
          </w:tcPr>
          <w:p w14:paraId="2914794B" w14:textId="77777777" w:rsidR="008E1AC2" w:rsidRDefault="008E1AC2" w:rsidP="008E1AC2">
            <w:pPr>
              <w:jc w:val="both"/>
            </w:pPr>
            <w:r>
              <w:t>vFFR RCA 0.88</w:t>
            </w:r>
          </w:p>
        </w:tc>
        <w:tc>
          <w:tcPr>
            <w:tcW w:w="1196" w:type="dxa"/>
          </w:tcPr>
          <w:p w14:paraId="117DFF0D" w14:textId="77777777" w:rsidR="008E1AC2" w:rsidRDefault="008E1AC2" w:rsidP="008E1AC2">
            <w:pPr>
              <w:spacing w:line="276" w:lineRule="auto"/>
              <w:jc w:val="both"/>
            </w:pPr>
            <w:r>
              <w:t>Pressure wire cost saved</w:t>
            </w:r>
          </w:p>
          <w:p w14:paraId="29AE502B" w14:textId="77777777" w:rsidR="008E1AC2" w:rsidRDefault="008E1AC2" w:rsidP="008E1AC2">
            <w:pPr>
              <w:spacing w:line="276" w:lineRule="auto"/>
              <w:jc w:val="both"/>
            </w:pPr>
            <w:r>
              <w:t>(-£586)</w:t>
            </w:r>
          </w:p>
        </w:tc>
        <w:tc>
          <w:tcPr>
            <w:tcW w:w="1351" w:type="dxa"/>
          </w:tcPr>
          <w:p w14:paraId="2779F3A2" w14:textId="77777777" w:rsidR="008E1AC2" w:rsidRDefault="008E1AC2" w:rsidP="008E1AC2">
            <w:pPr>
              <w:jc w:val="both"/>
            </w:pPr>
            <w:r>
              <w:t>Avoiding unnecessary mFFR could prevent exposure to periprocedural risks of coronary dissection (0.03%) and MACE (0.015%)</w:t>
            </w:r>
          </w:p>
          <w:p w14:paraId="1F464F2D" w14:textId="77777777" w:rsidR="008E1AC2" w:rsidRDefault="008E1AC2" w:rsidP="008E1AC2">
            <w:pPr>
              <w:jc w:val="both"/>
            </w:pPr>
          </w:p>
        </w:tc>
        <w:tc>
          <w:tcPr>
            <w:tcW w:w="1276" w:type="dxa"/>
          </w:tcPr>
          <w:p w14:paraId="3B86A474" w14:textId="59832486" w:rsidR="008E1AC2" w:rsidRDefault="008E1AC2" w:rsidP="008E1AC2">
            <w:pPr>
              <w:jc w:val="both"/>
            </w:pPr>
            <w:r>
              <w:t xml:space="preserve">No change </w:t>
            </w:r>
          </w:p>
        </w:tc>
        <w:tc>
          <w:tcPr>
            <w:tcW w:w="1417" w:type="dxa"/>
          </w:tcPr>
          <w:p w14:paraId="375FD3A7" w14:textId="77777777" w:rsidR="008E1AC2" w:rsidRDefault="008E1AC2" w:rsidP="008E1AC2">
            <w:pPr>
              <w:jc w:val="both"/>
            </w:pPr>
            <w:r>
              <w:t>No change</w:t>
            </w:r>
          </w:p>
        </w:tc>
      </w:tr>
      <w:tr w:rsidR="008E1AC2" w14:paraId="1C08B555" w14:textId="77777777" w:rsidTr="002C2525">
        <w:tc>
          <w:tcPr>
            <w:tcW w:w="687" w:type="dxa"/>
          </w:tcPr>
          <w:p w14:paraId="3B5A6C97" w14:textId="77777777" w:rsidR="008E1AC2" w:rsidRPr="00FD1D5A" w:rsidRDefault="008E1AC2" w:rsidP="008E1AC2">
            <w:pPr>
              <w:jc w:val="both"/>
            </w:pPr>
            <w:r>
              <w:t>108</w:t>
            </w:r>
          </w:p>
        </w:tc>
        <w:tc>
          <w:tcPr>
            <w:tcW w:w="829" w:type="dxa"/>
          </w:tcPr>
          <w:p w14:paraId="1704BD97" w14:textId="77777777" w:rsidR="008E1AC2" w:rsidRPr="00E42491" w:rsidRDefault="008E1AC2" w:rsidP="008E1AC2">
            <w:pPr>
              <w:jc w:val="both"/>
              <w:rPr>
                <w:lang w:val="sv-SE"/>
              </w:rPr>
            </w:pPr>
            <w:r w:rsidRPr="00E42491">
              <w:rPr>
                <w:lang w:val="sv-SE"/>
              </w:rPr>
              <w:t>mFFR guided PCI LAD + OM1</w:t>
            </w:r>
          </w:p>
        </w:tc>
        <w:tc>
          <w:tcPr>
            <w:tcW w:w="894" w:type="dxa"/>
          </w:tcPr>
          <w:p w14:paraId="2BEA1071" w14:textId="77777777" w:rsidR="008E1AC2" w:rsidRDefault="008E1AC2" w:rsidP="008E1AC2">
            <w:pPr>
              <w:jc w:val="both"/>
            </w:pPr>
            <w:r>
              <w:t xml:space="preserve">PCI LAD + OM1, no mFFR needed </w:t>
            </w:r>
          </w:p>
        </w:tc>
        <w:tc>
          <w:tcPr>
            <w:tcW w:w="1089" w:type="dxa"/>
          </w:tcPr>
          <w:p w14:paraId="4D857692" w14:textId="77777777" w:rsidR="008E1AC2" w:rsidRDefault="008E1AC2" w:rsidP="008E1AC2">
            <w:pPr>
              <w:jc w:val="both"/>
            </w:pPr>
            <w:r>
              <w:t>vFFR LAD 0.59, vFFR OM1 0.62</w:t>
            </w:r>
          </w:p>
        </w:tc>
        <w:tc>
          <w:tcPr>
            <w:tcW w:w="1196" w:type="dxa"/>
          </w:tcPr>
          <w:p w14:paraId="1422AFBC" w14:textId="77777777" w:rsidR="008E1AC2" w:rsidRDefault="008E1AC2" w:rsidP="008E1AC2">
            <w:pPr>
              <w:spacing w:line="276" w:lineRule="auto"/>
              <w:jc w:val="both"/>
            </w:pPr>
            <w:r>
              <w:t>Pressure wire cost saved</w:t>
            </w:r>
          </w:p>
          <w:p w14:paraId="11BC79F8" w14:textId="77777777" w:rsidR="008E1AC2" w:rsidRDefault="008E1AC2" w:rsidP="008E1AC2">
            <w:pPr>
              <w:spacing w:line="276" w:lineRule="auto"/>
              <w:jc w:val="both"/>
            </w:pPr>
            <w:r>
              <w:t>(-£586)</w:t>
            </w:r>
          </w:p>
        </w:tc>
        <w:tc>
          <w:tcPr>
            <w:tcW w:w="1351" w:type="dxa"/>
          </w:tcPr>
          <w:p w14:paraId="6A285917" w14:textId="77777777" w:rsidR="008E1AC2" w:rsidRDefault="008E1AC2" w:rsidP="008E1AC2">
            <w:pPr>
              <w:jc w:val="both"/>
            </w:pPr>
            <w:r>
              <w:t>Avoiding unnecessary mFFR could prevent exposure to periprocedural risks of coronary dissection (0.03%) and MACE (0.015%)</w:t>
            </w:r>
          </w:p>
          <w:p w14:paraId="069FDB31" w14:textId="77777777" w:rsidR="008E1AC2" w:rsidRDefault="008E1AC2" w:rsidP="008E1AC2">
            <w:pPr>
              <w:jc w:val="both"/>
            </w:pPr>
          </w:p>
        </w:tc>
        <w:tc>
          <w:tcPr>
            <w:tcW w:w="1276" w:type="dxa"/>
          </w:tcPr>
          <w:p w14:paraId="3DA88DD7" w14:textId="6401275D" w:rsidR="008E1AC2" w:rsidRDefault="008E1AC2" w:rsidP="008E1AC2">
            <w:pPr>
              <w:jc w:val="both"/>
            </w:pPr>
            <w:r>
              <w:t>No change</w:t>
            </w:r>
          </w:p>
          <w:p w14:paraId="06563CF0" w14:textId="77777777" w:rsidR="008E1AC2" w:rsidRDefault="008E1AC2" w:rsidP="008E1AC2">
            <w:pPr>
              <w:jc w:val="both"/>
            </w:pPr>
          </w:p>
        </w:tc>
        <w:tc>
          <w:tcPr>
            <w:tcW w:w="1417" w:type="dxa"/>
          </w:tcPr>
          <w:p w14:paraId="356C6FC5" w14:textId="77777777" w:rsidR="008E1AC2" w:rsidRDefault="008E1AC2" w:rsidP="008E1AC2">
            <w:pPr>
              <w:jc w:val="both"/>
            </w:pPr>
            <w:r>
              <w:t>No change</w:t>
            </w:r>
          </w:p>
        </w:tc>
      </w:tr>
      <w:tr w:rsidR="008E1AC2" w14:paraId="48E4F7C1" w14:textId="77777777" w:rsidTr="002C2525">
        <w:tc>
          <w:tcPr>
            <w:tcW w:w="687" w:type="dxa"/>
          </w:tcPr>
          <w:p w14:paraId="15212C6A" w14:textId="77777777" w:rsidR="008E1AC2" w:rsidRDefault="008E1AC2" w:rsidP="008E1AC2">
            <w:pPr>
              <w:jc w:val="both"/>
            </w:pPr>
            <w:r w:rsidRPr="00FD1D5A">
              <w:t>125</w:t>
            </w:r>
          </w:p>
        </w:tc>
        <w:tc>
          <w:tcPr>
            <w:tcW w:w="829" w:type="dxa"/>
          </w:tcPr>
          <w:p w14:paraId="34B18A44" w14:textId="77777777" w:rsidR="008E1AC2" w:rsidRDefault="008E1AC2" w:rsidP="008E1AC2">
            <w:pPr>
              <w:jc w:val="both"/>
            </w:pPr>
            <w:r>
              <w:t>mFFR LCx</w:t>
            </w:r>
          </w:p>
        </w:tc>
        <w:tc>
          <w:tcPr>
            <w:tcW w:w="894" w:type="dxa"/>
          </w:tcPr>
          <w:p w14:paraId="1A122F8B" w14:textId="77777777" w:rsidR="008E1AC2" w:rsidRDefault="008E1AC2" w:rsidP="008E1AC2">
            <w:pPr>
              <w:jc w:val="both"/>
            </w:pPr>
            <w:r>
              <w:t>OMT</w:t>
            </w:r>
          </w:p>
        </w:tc>
        <w:tc>
          <w:tcPr>
            <w:tcW w:w="1089" w:type="dxa"/>
          </w:tcPr>
          <w:p w14:paraId="46B69CFF" w14:textId="77777777" w:rsidR="008E1AC2" w:rsidRDefault="008E1AC2" w:rsidP="008E1AC2">
            <w:pPr>
              <w:jc w:val="both"/>
            </w:pPr>
            <w:r>
              <w:t>vFFR 0.93</w:t>
            </w:r>
          </w:p>
        </w:tc>
        <w:tc>
          <w:tcPr>
            <w:tcW w:w="1196" w:type="dxa"/>
          </w:tcPr>
          <w:p w14:paraId="66B1B0A3" w14:textId="77777777" w:rsidR="008E1AC2" w:rsidRDefault="008E1AC2" w:rsidP="008E1AC2">
            <w:pPr>
              <w:spacing w:line="276" w:lineRule="auto"/>
              <w:jc w:val="both"/>
            </w:pPr>
            <w:r>
              <w:t>Pressure wire cost saved</w:t>
            </w:r>
          </w:p>
          <w:p w14:paraId="49D23A6D" w14:textId="77777777" w:rsidR="008E1AC2" w:rsidRDefault="008E1AC2" w:rsidP="008E1AC2">
            <w:pPr>
              <w:spacing w:line="276" w:lineRule="auto"/>
              <w:jc w:val="both"/>
            </w:pPr>
            <w:r>
              <w:t>(-£586)</w:t>
            </w:r>
          </w:p>
        </w:tc>
        <w:tc>
          <w:tcPr>
            <w:tcW w:w="1351" w:type="dxa"/>
          </w:tcPr>
          <w:p w14:paraId="68D2887E" w14:textId="77777777" w:rsidR="008E1AC2" w:rsidRDefault="008E1AC2" w:rsidP="008E1AC2">
            <w:pPr>
              <w:jc w:val="both"/>
            </w:pPr>
            <w:r>
              <w:t>Avoiding unnecessary mFFR could prevent exposure to periprocedural risks of coronary dissection (0.03%) and MACE (0.015%)</w:t>
            </w:r>
          </w:p>
          <w:p w14:paraId="21183FF1" w14:textId="77777777" w:rsidR="008E1AC2" w:rsidRDefault="008E1AC2" w:rsidP="008E1AC2">
            <w:pPr>
              <w:jc w:val="both"/>
            </w:pPr>
          </w:p>
        </w:tc>
        <w:tc>
          <w:tcPr>
            <w:tcW w:w="1276" w:type="dxa"/>
          </w:tcPr>
          <w:p w14:paraId="3A59B9F2" w14:textId="1FA7513A" w:rsidR="008E1AC2" w:rsidRDefault="008E1AC2" w:rsidP="008E1AC2">
            <w:pPr>
              <w:jc w:val="both"/>
            </w:pPr>
            <w:r>
              <w:lastRenderedPageBreak/>
              <w:t>No change</w:t>
            </w:r>
          </w:p>
          <w:p w14:paraId="1F3F5800" w14:textId="77777777" w:rsidR="008E1AC2" w:rsidRDefault="008E1AC2" w:rsidP="008E1AC2">
            <w:pPr>
              <w:jc w:val="both"/>
            </w:pPr>
          </w:p>
        </w:tc>
        <w:tc>
          <w:tcPr>
            <w:tcW w:w="1417" w:type="dxa"/>
          </w:tcPr>
          <w:p w14:paraId="5C1FBEBB" w14:textId="77777777" w:rsidR="008E1AC2" w:rsidRDefault="008E1AC2" w:rsidP="008E1AC2">
            <w:pPr>
              <w:jc w:val="both"/>
            </w:pPr>
            <w:r>
              <w:t>No change</w:t>
            </w:r>
          </w:p>
        </w:tc>
      </w:tr>
      <w:tr w:rsidR="008E1AC2" w14:paraId="5CEC0100" w14:textId="77777777" w:rsidTr="002C2525">
        <w:tc>
          <w:tcPr>
            <w:tcW w:w="687" w:type="dxa"/>
          </w:tcPr>
          <w:p w14:paraId="13018F91" w14:textId="77777777" w:rsidR="008E1AC2" w:rsidRPr="00FD1D5A" w:rsidRDefault="008E1AC2" w:rsidP="008E1AC2">
            <w:pPr>
              <w:jc w:val="both"/>
            </w:pPr>
            <w:r w:rsidRPr="00FD1D5A">
              <w:t>127</w:t>
            </w:r>
          </w:p>
        </w:tc>
        <w:tc>
          <w:tcPr>
            <w:tcW w:w="829" w:type="dxa"/>
          </w:tcPr>
          <w:p w14:paraId="3DED6918" w14:textId="77777777" w:rsidR="008E1AC2" w:rsidRDefault="008E1AC2" w:rsidP="008E1AC2">
            <w:pPr>
              <w:jc w:val="both"/>
            </w:pPr>
            <w:r>
              <w:t>PCI LAD + mFFR D1</w:t>
            </w:r>
          </w:p>
        </w:tc>
        <w:tc>
          <w:tcPr>
            <w:tcW w:w="894" w:type="dxa"/>
          </w:tcPr>
          <w:p w14:paraId="57E59921" w14:textId="77777777" w:rsidR="008E1AC2" w:rsidRDefault="008E1AC2" w:rsidP="008E1AC2">
            <w:pPr>
              <w:jc w:val="both"/>
            </w:pPr>
            <w:r>
              <w:t>PCI LAD, no mFFR needed</w:t>
            </w:r>
          </w:p>
        </w:tc>
        <w:tc>
          <w:tcPr>
            <w:tcW w:w="1089" w:type="dxa"/>
          </w:tcPr>
          <w:p w14:paraId="1E3077E8" w14:textId="77777777" w:rsidR="008E1AC2" w:rsidRDefault="008E1AC2" w:rsidP="008E1AC2">
            <w:pPr>
              <w:jc w:val="both"/>
            </w:pPr>
            <w:r>
              <w:t>vFFR 0.93</w:t>
            </w:r>
          </w:p>
        </w:tc>
        <w:tc>
          <w:tcPr>
            <w:tcW w:w="1196" w:type="dxa"/>
          </w:tcPr>
          <w:p w14:paraId="4474CEDB" w14:textId="77777777" w:rsidR="008E1AC2" w:rsidRDefault="008E1AC2" w:rsidP="008E1AC2">
            <w:pPr>
              <w:spacing w:line="276" w:lineRule="auto"/>
              <w:jc w:val="both"/>
            </w:pPr>
            <w:r>
              <w:t>Pressure wire cost saved</w:t>
            </w:r>
          </w:p>
          <w:p w14:paraId="50307DA7" w14:textId="77777777" w:rsidR="008E1AC2" w:rsidRDefault="008E1AC2" w:rsidP="008E1AC2">
            <w:pPr>
              <w:spacing w:line="276" w:lineRule="auto"/>
              <w:jc w:val="both"/>
            </w:pPr>
            <w:r>
              <w:t>(-£586)</w:t>
            </w:r>
          </w:p>
        </w:tc>
        <w:tc>
          <w:tcPr>
            <w:tcW w:w="1351" w:type="dxa"/>
          </w:tcPr>
          <w:p w14:paraId="4A3D2553" w14:textId="77777777" w:rsidR="008E1AC2" w:rsidRDefault="008E1AC2" w:rsidP="008E1AC2">
            <w:pPr>
              <w:jc w:val="both"/>
            </w:pPr>
            <w:r>
              <w:t>Avoiding unnecessary mFFR could prevent exposure to periprocedural risks of coronary dissection (0.03%) and MACE (0.015%)</w:t>
            </w:r>
          </w:p>
          <w:p w14:paraId="6F513E31" w14:textId="77777777" w:rsidR="008E1AC2" w:rsidRDefault="008E1AC2" w:rsidP="008E1AC2">
            <w:pPr>
              <w:jc w:val="both"/>
            </w:pPr>
          </w:p>
        </w:tc>
        <w:tc>
          <w:tcPr>
            <w:tcW w:w="1276" w:type="dxa"/>
          </w:tcPr>
          <w:p w14:paraId="1ACBC56E" w14:textId="48603EAA" w:rsidR="008E1AC2" w:rsidRDefault="008E1AC2" w:rsidP="008E1AC2">
            <w:pPr>
              <w:jc w:val="both"/>
            </w:pPr>
            <w:r>
              <w:t xml:space="preserve">No change </w:t>
            </w:r>
          </w:p>
          <w:p w14:paraId="1661C888" w14:textId="77777777" w:rsidR="008E1AC2" w:rsidRDefault="008E1AC2" w:rsidP="008E1AC2">
            <w:pPr>
              <w:jc w:val="both"/>
            </w:pPr>
            <w:r>
              <w:t xml:space="preserve"> </w:t>
            </w:r>
          </w:p>
        </w:tc>
        <w:tc>
          <w:tcPr>
            <w:tcW w:w="1417" w:type="dxa"/>
          </w:tcPr>
          <w:p w14:paraId="4056CC64" w14:textId="77777777" w:rsidR="008E1AC2" w:rsidRDefault="008E1AC2" w:rsidP="008E1AC2">
            <w:pPr>
              <w:jc w:val="both"/>
            </w:pPr>
            <w:r>
              <w:t>No change</w:t>
            </w:r>
          </w:p>
        </w:tc>
      </w:tr>
      <w:tr w:rsidR="008E1AC2" w14:paraId="08AFB977" w14:textId="77777777" w:rsidTr="002C2525">
        <w:tc>
          <w:tcPr>
            <w:tcW w:w="687" w:type="dxa"/>
          </w:tcPr>
          <w:p w14:paraId="64EF53AF" w14:textId="77777777" w:rsidR="008E1AC2" w:rsidRPr="00FD1D5A" w:rsidRDefault="008E1AC2" w:rsidP="008E1AC2">
            <w:pPr>
              <w:jc w:val="both"/>
            </w:pPr>
            <w:r>
              <w:t>159</w:t>
            </w:r>
          </w:p>
        </w:tc>
        <w:tc>
          <w:tcPr>
            <w:tcW w:w="829" w:type="dxa"/>
          </w:tcPr>
          <w:p w14:paraId="4C6A55FD" w14:textId="77777777" w:rsidR="008E1AC2" w:rsidRDefault="008E1AC2" w:rsidP="008E1AC2">
            <w:pPr>
              <w:jc w:val="both"/>
            </w:pPr>
            <w:r>
              <w:t>PCI RCA</w:t>
            </w:r>
          </w:p>
        </w:tc>
        <w:tc>
          <w:tcPr>
            <w:tcW w:w="894" w:type="dxa"/>
          </w:tcPr>
          <w:p w14:paraId="26719697" w14:textId="77777777" w:rsidR="008E1AC2" w:rsidRDefault="008E1AC2" w:rsidP="008E1AC2">
            <w:pPr>
              <w:jc w:val="both"/>
            </w:pPr>
            <w:r>
              <w:t>PCI RCA + LAD</w:t>
            </w:r>
          </w:p>
        </w:tc>
        <w:tc>
          <w:tcPr>
            <w:tcW w:w="1089" w:type="dxa"/>
          </w:tcPr>
          <w:p w14:paraId="6EAAE3DD" w14:textId="4CA179F0" w:rsidR="008E1AC2" w:rsidRDefault="008E1AC2" w:rsidP="008E1AC2">
            <w:pPr>
              <w:jc w:val="both"/>
            </w:pPr>
            <w:r>
              <w:t>vFFR LAD 0.73</w:t>
            </w:r>
          </w:p>
        </w:tc>
        <w:tc>
          <w:tcPr>
            <w:tcW w:w="1196" w:type="dxa"/>
          </w:tcPr>
          <w:p w14:paraId="2CF47A4A" w14:textId="77777777" w:rsidR="008E1AC2" w:rsidRDefault="008E1AC2" w:rsidP="008E1AC2">
            <w:pPr>
              <w:spacing w:line="276" w:lineRule="auto"/>
              <w:jc w:val="both"/>
            </w:pPr>
            <w:r>
              <w:t>Additional vessel PCI (+£420)</w:t>
            </w:r>
          </w:p>
        </w:tc>
        <w:tc>
          <w:tcPr>
            <w:tcW w:w="1351" w:type="dxa"/>
          </w:tcPr>
          <w:p w14:paraId="76332B17" w14:textId="77777777" w:rsidR="008E1AC2" w:rsidRDefault="008E1AC2" w:rsidP="008E1AC2">
            <w:pPr>
              <w:jc w:val="both"/>
            </w:pPr>
            <w:r>
              <w:t xml:space="preserve">Annual MACE risk could be reduced by 4.9% with PCI of LAD </w:t>
            </w:r>
          </w:p>
          <w:p w14:paraId="4FA60EB5" w14:textId="77777777" w:rsidR="008E1AC2" w:rsidRDefault="008E1AC2" w:rsidP="008E1AC2">
            <w:pPr>
              <w:jc w:val="both"/>
            </w:pPr>
          </w:p>
        </w:tc>
        <w:tc>
          <w:tcPr>
            <w:tcW w:w="1276" w:type="dxa"/>
          </w:tcPr>
          <w:p w14:paraId="3C09C04A" w14:textId="77777777" w:rsidR="008E1AC2" w:rsidRDefault="008E1AC2" w:rsidP="008E1AC2">
            <w:pPr>
              <w:jc w:val="both"/>
            </w:pPr>
            <w:r>
              <w:t>PCI LAD could have resulted in a virtual additional increase in QOL by 3</w:t>
            </w:r>
            <w:r>
              <w:rPr>
                <w:rFonts w:cstheme="minorHAnsi"/>
              </w:rPr>
              <w:t>±</w:t>
            </w:r>
            <w:r>
              <w:t>1.2 in EQ-VAS and 0.06</w:t>
            </w:r>
            <w:r>
              <w:rPr>
                <w:rFonts w:cstheme="minorHAnsi"/>
              </w:rPr>
              <w:t>±</w:t>
            </w:r>
            <w:r>
              <w:t>0.009 in EQ-indexed scores</w:t>
            </w:r>
          </w:p>
          <w:p w14:paraId="7C3641CD" w14:textId="387BFF12" w:rsidR="0054183F" w:rsidRDefault="0054183F" w:rsidP="008E1AC2">
            <w:pPr>
              <w:jc w:val="both"/>
            </w:pPr>
          </w:p>
        </w:tc>
        <w:tc>
          <w:tcPr>
            <w:tcW w:w="1417" w:type="dxa"/>
          </w:tcPr>
          <w:p w14:paraId="488746B0" w14:textId="780B8CE1" w:rsidR="008E1AC2" w:rsidRDefault="008E1AC2" w:rsidP="008E1AC2">
            <w:pPr>
              <w:jc w:val="both"/>
            </w:pPr>
            <w:r>
              <w:t>CCS class from 1 to no angina, NYHA 2 to 1</w:t>
            </w:r>
          </w:p>
        </w:tc>
      </w:tr>
      <w:tr w:rsidR="008E1AC2" w14:paraId="5E7B1EBA" w14:textId="77777777" w:rsidTr="002C2525">
        <w:tc>
          <w:tcPr>
            <w:tcW w:w="687" w:type="dxa"/>
          </w:tcPr>
          <w:p w14:paraId="586AB071" w14:textId="77777777" w:rsidR="008E1AC2" w:rsidRDefault="008E1AC2" w:rsidP="008E1AC2">
            <w:pPr>
              <w:jc w:val="both"/>
            </w:pPr>
            <w:r>
              <w:t>174</w:t>
            </w:r>
          </w:p>
        </w:tc>
        <w:tc>
          <w:tcPr>
            <w:tcW w:w="829" w:type="dxa"/>
          </w:tcPr>
          <w:p w14:paraId="0FFFD152" w14:textId="77777777" w:rsidR="008E1AC2" w:rsidRDefault="008E1AC2" w:rsidP="008E1AC2">
            <w:pPr>
              <w:jc w:val="both"/>
            </w:pPr>
            <w:r>
              <w:t>mFFR + PCI RCA</w:t>
            </w:r>
          </w:p>
        </w:tc>
        <w:tc>
          <w:tcPr>
            <w:tcW w:w="894" w:type="dxa"/>
          </w:tcPr>
          <w:p w14:paraId="640DEA56" w14:textId="77777777" w:rsidR="008E1AC2" w:rsidRDefault="008E1AC2" w:rsidP="008E1AC2">
            <w:pPr>
              <w:jc w:val="both"/>
            </w:pPr>
            <w:r>
              <w:t>PCI RCA, no need of mFFR</w:t>
            </w:r>
          </w:p>
        </w:tc>
        <w:tc>
          <w:tcPr>
            <w:tcW w:w="1089" w:type="dxa"/>
          </w:tcPr>
          <w:p w14:paraId="04E3E440" w14:textId="77777777" w:rsidR="008E1AC2" w:rsidRDefault="008E1AC2" w:rsidP="008E1AC2">
            <w:pPr>
              <w:jc w:val="both"/>
            </w:pPr>
            <w:r>
              <w:t>vFFR 0.69</w:t>
            </w:r>
          </w:p>
        </w:tc>
        <w:tc>
          <w:tcPr>
            <w:tcW w:w="1196" w:type="dxa"/>
          </w:tcPr>
          <w:p w14:paraId="35B81A28" w14:textId="77777777" w:rsidR="008E1AC2" w:rsidRDefault="008E1AC2" w:rsidP="008E1AC2">
            <w:pPr>
              <w:spacing w:line="276" w:lineRule="auto"/>
              <w:jc w:val="both"/>
            </w:pPr>
            <w:r>
              <w:t>Pressure wire cost saved</w:t>
            </w:r>
          </w:p>
          <w:p w14:paraId="72D03F21" w14:textId="77777777" w:rsidR="008E1AC2" w:rsidRDefault="008E1AC2" w:rsidP="008E1AC2">
            <w:pPr>
              <w:spacing w:line="276" w:lineRule="auto"/>
              <w:jc w:val="both"/>
            </w:pPr>
            <w:r>
              <w:t>(-£586)</w:t>
            </w:r>
          </w:p>
        </w:tc>
        <w:tc>
          <w:tcPr>
            <w:tcW w:w="1351" w:type="dxa"/>
          </w:tcPr>
          <w:p w14:paraId="2319F4D2" w14:textId="77777777" w:rsidR="008E1AC2" w:rsidRDefault="008E1AC2" w:rsidP="008E1AC2">
            <w:pPr>
              <w:jc w:val="both"/>
            </w:pPr>
            <w:r>
              <w:t>Avoiding unnecessary mFFR could prevent exposure to periprocedural risks of coronary dissection (0.03%) and MACE (0.015%)</w:t>
            </w:r>
          </w:p>
          <w:p w14:paraId="3A12C395" w14:textId="77777777" w:rsidR="008E1AC2" w:rsidRDefault="008E1AC2" w:rsidP="008E1AC2">
            <w:pPr>
              <w:jc w:val="both"/>
            </w:pPr>
          </w:p>
        </w:tc>
        <w:tc>
          <w:tcPr>
            <w:tcW w:w="1276" w:type="dxa"/>
          </w:tcPr>
          <w:p w14:paraId="7CE608DC" w14:textId="35D1E3D9" w:rsidR="008E1AC2" w:rsidRDefault="008E1AC2" w:rsidP="008E1AC2">
            <w:pPr>
              <w:jc w:val="both"/>
            </w:pPr>
            <w:r>
              <w:t xml:space="preserve">No change </w:t>
            </w:r>
          </w:p>
          <w:p w14:paraId="1FEEE90B" w14:textId="77777777" w:rsidR="008E1AC2" w:rsidRDefault="008E1AC2" w:rsidP="008E1AC2">
            <w:pPr>
              <w:jc w:val="both"/>
            </w:pPr>
          </w:p>
        </w:tc>
        <w:tc>
          <w:tcPr>
            <w:tcW w:w="1417" w:type="dxa"/>
          </w:tcPr>
          <w:p w14:paraId="2B6F0E0F" w14:textId="77777777" w:rsidR="008E1AC2" w:rsidRDefault="008E1AC2" w:rsidP="008E1AC2">
            <w:pPr>
              <w:jc w:val="both"/>
            </w:pPr>
            <w:r>
              <w:t>No change</w:t>
            </w:r>
          </w:p>
        </w:tc>
      </w:tr>
      <w:tr w:rsidR="008E1AC2" w14:paraId="1613C0DB" w14:textId="77777777" w:rsidTr="002C2525">
        <w:tc>
          <w:tcPr>
            <w:tcW w:w="687" w:type="dxa"/>
          </w:tcPr>
          <w:p w14:paraId="3456B823" w14:textId="77777777" w:rsidR="008E1AC2" w:rsidRDefault="008E1AC2" w:rsidP="008E1AC2">
            <w:pPr>
              <w:jc w:val="both"/>
            </w:pPr>
            <w:r w:rsidRPr="00FD1D5A">
              <w:t>180</w:t>
            </w:r>
          </w:p>
        </w:tc>
        <w:tc>
          <w:tcPr>
            <w:tcW w:w="829" w:type="dxa"/>
          </w:tcPr>
          <w:p w14:paraId="7DE2E623" w14:textId="77777777" w:rsidR="008E1AC2" w:rsidRDefault="008E1AC2" w:rsidP="008E1AC2">
            <w:pPr>
              <w:jc w:val="both"/>
            </w:pPr>
            <w:r>
              <w:t>PCI RCA</w:t>
            </w:r>
          </w:p>
        </w:tc>
        <w:tc>
          <w:tcPr>
            <w:tcW w:w="894" w:type="dxa"/>
          </w:tcPr>
          <w:p w14:paraId="04A3BB3D" w14:textId="77777777" w:rsidR="008E1AC2" w:rsidRDefault="008E1AC2" w:rsidP="008E1AC2">
            <w:pPr>
              <w:jc w:val="both"/>
            </w:pPr>
            <w:r>
              <w:t>CABG x 2</w:t>
            </w:r>
          </w:p>
        </w:tc>
        <w:tc>
          <w:tcPr>
            <w:tcW w:w="1089" w:type="dxa"/>
          </w:tcPr>
          <w:p w14:paraId="1852C3A4" w14:textId="77777777" w:rsidR="008E1AC2" w:rsidRDefault="008E1AC2" w:rsidP="008E1AC2">
            <w:pPr>
              <w:jc w:val="both"/>
            </w:pPr>
            <w:r>
              <w:t>vFFR LAD 0.65</w:t>
            </w:r>
          </w:p>
        </w:tc>
        <w:tc>
          <w:tcPr>
            <w:tcW w:w="1196" w:type="dxa"/>
          </w:tcPr>
          <w:p w14:paraId="3A28320F" w14:textId="77777777" w:rsidR="008E1AC2" w:rsidRDefault="008E1AC2" w:rsidP="008E1AC2">
            <w:pPr>
              <w:spacing w:line="276" w:lineRule="auto"/>
              <w:jc w:val="both"/>
            </w:pPr>
            <w:r>
              <w:t>Additional CABG cost (+8972)</w:t>
            </w:r>
          </w:p>
        </w:tc>
        <w:tc>
          <w:tcPr>
            <w:tcW w:w="1351" w:type="dxa"/>
          </w:tcPr>
          <w:p w14:paraId="33154E3B" w14:textId="5DACBBE0" w:rsidR="008E1AC2" w:rsidRDefault="008E1AC2" w:rsidP="008E1AC2">
            <w:pPr>
              <w:jc w:val="both"/>
            </w:pPr>
            <w:r>
              <w:t xml:space="preserve">Annual MACE risk could be reduced further by 4.9% with CABG </w:t>
            </w:r>
          </w:p>
          <w:p w14:paraId="5366ECAC" w14:textId="77777777" w:rsidR="008E1AC2" w:rsidRDefault="008E1AC2" w:rsidP="008E1AC2">
            <w:pPr>
              <w:jc w:val="both"/>
            </w:pPr>
          </w:p>
        </w:tc>
        <w:tc>
          <w:tcPr>
            <w:tcW w:w="1276" w:type="dxa"/>
          </w:tcPr>
          <w:p w14:paraId="5F7F05B1" w14:textId="77777777" w:rsidR="008E1AC2" w:rsidRDefault="008E1AC2" w:rsidP="008E1AC2">
            <w:pPr>
              <w:jc w:val="both"/>
            </w:pPr>
            <w:r>
              <w:t>CABG could have resulted in a virtual additional increase in QOL by 3</w:t>
            </w:r>
            <w:r>
              <w:rPr>
                <w:rFonts w:cstheme="minorHAnsi"/>
              </w:rPr>
              <w:t>±</w:t>
            </w:r>
            <w:r>
              <w:t>1.2 in EQ-VAS and 0.06</w:t>
            </w:r>
            <w:r>
              <w:rPr>
                <w:rFonts w:cstheme="minorHAnsi"/>
              </w:rPr>
              <w:t>±</w:t>
            </w:r>
            <w:r>
              <w:t xml:space="preserve">0.009 </w:t>
            </w:r>
            <w:r>
              <w:lastRenderedPageBreak/>
              <w:t>in EQ-indexed scores</w:t>
            </w:r>
          </w:p>
          <w:p w14:paraId="41AD19A6" w14:textId="50E74682" w:rsidR="008E1AC2" w:rsidRDefault="008E1AC2" w:rsidP="008E1AC2">
            <w:pPr>
              <w:jc w:val="both"/>
            </w:pPr>
          </w:p>
        </w:tc>
        <w:tc>
          <w:tcPr>
            <w:tcW w:w="1417" w:type="dxa"/>
          </w:tcPr>
          <w:p w14:paraId="28BDD7FD" w14:textId="6C656362" w:rsidR="008E1AC2" w:rsidRDefault="008E1AC2" w:rsidP="008E1AC2">
            <w:pPr>
              <w:jc w:val="both"/>
            </w:pPr>
            <w:r>
              <w:lastRenderedPageBreak/>
              <w:t>CCS class from 1 to no angina, NYHA from 2 to 1</w:t>
            </w:r>
          </w:p>
        </w:tc>
      </w:tr>
      <w:tr w:rsidR="008E1AC2" w14:paraId="1020C784" w14:textId="77777777" w:rsidTr="002C2525">
        <w:tc>
          <w:tcPr>
            <w:tcW w:w="687" w:type="dxa"/>
          </w:tcPr>
          <w:p w14:paraId="0EDA5107" w14:textId="77777777" w:rsidR="008E1AC2" w:rsidRPr="00FD1D5A" w:rsidRDefault="008E1AC2" w:rsidP="008E1AC2">
            <w:pPr>
              <w:jc w:val="both"/>
            </w:pPr>
            <w:r w:rsidRPr="00FD1D5A">
              <w:t>181</w:t>
            </w:r>
          </w:p>
        </w:tc>
        <w:tc>
          <w:tcPr>
            <w:tcW w:w="829" w:type="dxa"/>
          </w:tcPr>
          <w:p w14:paraId="6863273F" w14:textId="77777777" w:rsidR="008E1AC2" w:rsidRDefault="008E1AC2" w:rsidP="008E1AC2">
            <w:pPr>
              <w:jc w:val="both"/>
            </w:pPr>
            <w:r>
              <w:t>PCI LAD</w:t>
            </w:r>
          </w:p>
        </w:tc>
        <w:tc>
          <w:tcPr>
            <w:tcW w:w="894" w:type="dxa"/>
          </w:tcPr>
          <w:p w14:paraId="3EE59472" w14:textId="77777777" w:rsidR="008E1AC2" w:rsidRDefault="008E1AC2" w:rsidP="008E1AC2">
            <w:pPr>
              <w:jc w:val="both"/>
            </w:pPr>
            <w:r>
              <w:t>PCI LAD + mFFR D1</w:t>
            </w:r>
          </w:p>
        </w:tc>
        <w:tc>
          <w:tcPr>
            <w:tcW w:w="1089" w:type="dxa"/>
          </w:tcPr>
          <w:p w14:paraId="087CBD39" w14:textId="77777777" w:rsidR="008E1AC2" w:rsidRDefault="008E1AC2" w:rsidP="008E1AC2">
            <w:pPr>
              <w:jc w:val="both"/>
            </w:pPr>
            <w:r>
              <w:t>vFFR D1 0.74</w:t>
            </w:r>
          </w:p>
        </w:tc>
        <w:tc>
          <w:tcPr>
            <w:tcW w:w="1196" w:type="dxa"/>
          </w:tcPr>
          <w:p w14:paraId="3473E516" w14:textId="77777777" w:rsidR="008E1AC2" w:rsidRDefault="008E1AC2" w:rsidP="008E1AC2">
            <w:pPr>
              <w:spacing w:line="276" w:lineRule="auto"/>
              <w:jc w:val="both"/>
            </w:pPr>
            <w:r>
              <w:t>Pressure wire cost added (+£586)</w:t>
            </w:r>
          </w:p>
        </w:tc>
        <w:tc>
          <w:tcPr>
            <w:tcW w:w="1351" w:type="dxa"/>
          </w:tcPr>
          <w:p w14:paraId="5D284B5E" w14:textId="77777777" w:rsidR="008E1AC2" w:rsidRDefault="008E1AC2" w:rsidP="008E1AC2">
            <w:pPr>
              <w:jc w:val="both"/>
            </w:pPr>
            <w:r>
              <w:t>0.015% additional MACE risk with mFFR as stenting small diagonal may pose risks</w:t>
            </w:r>
          </w:p>
          <w:p w14:paraId="6DE02ED6" w14:textId="77777777" w:rsidR="008E1AC2" w:rsidRDefault="008E1AC2" w:rsidP="008E1AC2">
            <w:pPr>
              <w:jc w:val="both"/>
            </w:pPr>
          </w:p>
        </w:tc>
        <w:tc>
          <w:tcPr>
            <w:tcW w:w="1276" w:type="dxa"/>
          </w:tcPr>
          <w:p w14:paraId="4BEE59FE" w14:textId="3F33AC4E" w:rsidR="008E1AC2" w:rsidRDefault="008E1AC2" w:rsidP="008E1AC2">
            <w:pPr>
              <w:jc w:val="both"/>
            </w:pPr>
            <w:r>
              <w:t>Unnecessary PCI of small D1 could have resulted in a virtual decrease in QOL by 3</w:t>
            </w:r>
            <w:r>
              <w:rPr>
                <w:rFonts w:cstheme="minorHAnsi"/>
              </w:rPr>
              <w:t>±</w:t>
            </w:r>
            <w:r>
              <w:t>1.2 in EQ-VAS and 0.06</w:t>
            </w:r>
            <w:r>
              <w:rPr>
                <w:rFonts w:cstheme="minorHAnsi"/>
              </w:rPr>
              <w:t>±</w:t>
            </w:r>
            <w:r>
              <w:t>0.009 in EQ-indexed scores</w:t>
            </w:r>
          </w:p>
          <w:p w14:paraId="40C066BD" w14:textId="77777777" w:rsidR="008E1AC2" w:rsidRDefault="008E1AC2" w:rsidP="008E1AC2">
            <w:pPr>
              <w:jc w:val="both"/>
            </w:pPr>
          </w:p>
        </w:tc>
        <w:tc>
          <w:tcPr>
            <w:tcW w:w="1417" w:type="dxa"/>
          </w:tcPr>
          <w:p w14:paraId="30322E23" w14:textId="3DF815F7" w:rsidR="008E1AC2" w:rsidRDefault="008E1AC2" w:rsidP="008E1AC2">
            <w:pPr>
              <w:jc w:val="both"/>
            </w:pPr>
            <w:r>
              <w:t xml:space="preserve">CCS class could get worse from 1 to 2, NYHA unchanged </w:t>
            </w:r>
          </w:p>
        </w:tc>
      </w:tr>
      <w:tr w:rsidR="008E1AC2" w14:paraId="137FFF1D" w14:textId="77777777" w:rsidTr="002C2525">
        <w:tc>
          <w:tcPr>
            <w:tcW w:w="687" w:type="dxa"/>
          </w:tcPr>
          <w:p w14:paraId="5492BB6A" w14:textId="77777777" w:rsidR="008E1AC2" w:rsidRPr="00FD1D5A" w:rsidRDefault="008E1AC2" w:rsidP="008E1AC2">
            <w:pPr>
              <w:jc w:val="both"/>
            </w:pPr>
            <w:r>
              <w:t>189</w:t>
            </w:r>
          </w:p>
        </w:tc>
        <w:tc>
          <w:tcPr>
            <w:tcW w:w="829" w:type="dxa"/>
          </w:tcPr>
          <w:p w14:paraId="1C2CAEA5" w14:textId="77777777" w:rsidR="008E1AC2" w:rsidRDefault="008E1AC2" w:rsidP="008E1AC2">
            <w:pPr>
              <w:jc w:val="both"/>
            </w:pPr>
            <w:r>
              <w:t>mFFR LAD</w:t>
            </w:r>
          </w:p>
        </w:tc>
        <w:tc>
          <w:tcPr>
            <w:tcW w:w="894" w:type="dxa"/>
          </w:tcPr>
          <w:p w14:paraId="7934C14F" w14:textId="77777777" w:rsidR="008E1AC2" w:rsidRDefault="008E1AC2" w:rsidP="008E1AC2">
            <w:pPr>
              <w:jc w:val="both"/>
            </w:pPr>
            <w:r>
              <w:t>OMT</w:t>
            </w:r>
          </w:p>
        </w:tc>
        <w:tc>
          <w:tcPr>
            <w:tcW w:w="1089" w:type="dxa"/>
          </w:tcPr>
          <w:p w14:paraId="77E8FDF0" w14:textId="77777777" w:rsidR="008E1AC2" w:rsidRDefault="008E1AC2" w:rsidP="008E1AC2">
            <w:pPr>
              <w:jc w:val="both"/>
            </w:pPr>
            <w:r>
              <w:t>vFFR 0.86</w:t>
            </w:r>
          </w:p>
        </w:tc>
        <w:tc>
          <w:tcPr>
            <w:tcW w:w="1196" w:type="dxa"/>
          </w:tcPr>
          <w:p w14:paraId="4062E556" w14:textId="77777777" w:rsidR="008E1AC2" w:rsidRDefault="008E1AC2" w:rsidP="008E1AC2">
            <w:pPr>
              <w:spacing w:line="276" w:lineRule="auto"/>
              <w:jc w:val="both"/>
            </w:pPr>
            <w:r>
              <w:t>Pressure wire cost saved</w:t>
            </w:r>
          </w:p>
          <w:p w14:paraId="2D04E58A" w14:textId="77777777" w:rsidR="008E1AC2" w:rsidRDefault="008E1AC2" w:rsidP="008E1AC2">
            <w:pPr>
              <w:spacing w:line="276" w:lineRule="auto"/>
              <w:jc w:val="both"/>
            </w:pPr>
            <w:r>
              <w:t>(-£586)</w:t>
            </w:r>
          </w:p>
        </w:tc>
        <w:tc>
          <w:tcPr>
            <w:tcW w:w="1351" w:type="dxa"/>
          </w:tcPr>
          <w:p w14:paraId="0890D56B" w14:textId="77777777" w:rsidR="008E1AC2" w:rsidRDefault="008E1AC2" w:rsidP="008E1AC2">
            <w:pPr>
              <w:jc w:val="both"/>
            </w:pPr>
            <w:r>
              <w:t>Avoiding unnecessary mFFR could prevent exposure to periprocedural risks of coronary dissection (0.03%) and MACE (0.015%)</w:t>
            </w:r>
          </w:p>
          <w:p w14:paraId="2FE6BC0C" w14:textId="77777777" w:rsidR="008E1AC2" w:rsidRDefault="008E1AC2" w:rsidP="008E1AC2">
            <w:pPr>
              <w:jc w:val="both"/>
            </w:pPr>
          </w:p>
        </w:tc>
        <w:tc>
          <w:tcPr>
            <w:tcW w:w="1276" w:type="dxa"/>
          </w:tcPr>
          <w:p w14:paraId="41C8D4D4" w14:textId="12EFE6FB" w:rsidR="008E1AC2" w:rsidRDefault="008E1AC2" w:rsidP="008E1AC2">
            <w:pPr>
              <w:jc w:val="both"/>
            </w:pPr>
            <w:r>
              <w:t xml:space="preserve">No change </w:t>
            </w:r>
          </w:p>
          <w:p w14:paraId="509992E5" w14:textId="77777777" w:rsidR="008E1AC2" w:rsidRDefault="008E1AC2" w:rsidP="008E1AC2">
            <w:pPr>
              <w:jc w:val="both"/>
            </w:pPr>
          </w:p>
        </w:tc>
        <w:tc>
          <w:tcPr>
            <w:tcW w:w="1417" w:type="dxa"/>
          </w:tcPr>
          <w:p w14:paraId="2EA538C7" w14:textId="77777777" w:rsidR="008E1AC2" w:rsidRDefault="008E1AC2" w:rsidP="008E1AC2">
            <w:pPr>
              <w:jc w:val="both"/>
            </w:pPr>
            <w:r>
              <w:t>No change</w:t>
            </w:r>
          </w:p>
        </w:tc>
      </w:tr>
      <w:tr w:rsidR="008E1AC2" w14:paraId="0910D936" w14:textId="77777777" w:rsidTr="002C2525">
        <w:tc>
          <w:tcPr>
            <w:tcW w:w="687" w:type="dxa"/>
          </w:tcPr>
          <w:p w14:paraId="306AC6B1" w14:textId="77777777" w:rsidR="008E1AC2" w:rsidRDefault="008E1AC2" w:rsidP="008E1AC2">
            <w:pPr>
              <w:jc w:val="both"/>
            </w:pPr>
            <w:r w:rsidRPr="00FD1D5A">
              <w:t>192</w:t>
            </w:r>
          </w:p>
        </w:tc>
        <w:tc>
          <w:tcPr>
            <w:tcW w:w="829" w:type="dxa"/>
          </w:tcPr>
          <w:p w14:paraId="0B552EE6" w14:textId="77777777" w:rsidR="008E1AC2" w:rsidRDefault="008E1AC2" w:rsidP="008E1AC2">
            <w:pPr>
              <w:jc w:val="both"/>
            </w:pPr>
            <w:r>
              <w:t>PCI RCA</w:t>
            </w:r>
          </w:p>
        </w:tc>
        <w:tc>
          <w:tcPr>
            <w:tcW w:w="894" w:type="dxa"/>
          </w:tcPr>
          <w:p w14:paraId="5DF4E2AD" w14:textId="77777777" w:rsidR="008E1AC2" w:rsidRPr="00E42491" w:rsidRDefault="008E1AC2" w:rsidP="008E1AC2">
            <w:pPr>
              <w:jc w:val="both"/>
              <w:rPr>
                <w:lang w:val="it-IT"/>
              </w:rPr>
            </w:pPr>
            <w:r w:rsidRPr="00E42491">
              <w:rPr>
                <w:lang w:val="it-IT"/>
              </w:rPr>
              <w:t>PCI RCA + Staged PCI LAD</w:t>
            </w:r>
          </w:p>
        </w:tc>
        <w:tc>
          <w:tcPr>
            <w:tcW w:w="1089" w:type="dxa"/>
          </w:tcPr>
          <w:p w14:paraId="16A8FEBC" w14:textId="77777777" w:rsidR="008E1AC2" w:rsidRDefault="008E1AC2" w:rsidP="008E1AC2">
            <w:pPr>
              <w:jc w:val="both"/>
            </w:pPr>
            <w:r>
              <w:t>vFFR LAD 0.56</w:t>
            </w:r>
          </w:p>
        </w:tc>
        <w:tc>
          <w:tcPr>
            <w:tcW w:w="1196" w:type="dxa"/>
          </w:tcPr>
          <w:p w14:paraId="6C413DBF" w14:textId="77777777" w:rsidR="008E1AC2" w:rsidRDefault="008E1AC2" w:rsidP="008E1AC2">
            <w:pPr>
              <w:spacing w:line="276" w:lineRule="auto"/>
              <w:jc w:val="both"/>
            </w:pPr>
            <w:r>
              <w:t>Additional vessel PCI (+£420)</w:t>
            </w:r>
          </w:p>
        </w:tc>
        <w:tc>
          <w:tcPr>
            <w:tcW w:w="1351" w:type="dxa"/>
          </w:tcPr>
          <w:p w14:paraId="1DEAC538" w14:textId="77777777" w:rsidR="008E1AC2" w:rsidRDefault="008E1AC2" w:rsidP="008E1AC2">
            <w:pPr>
              <w:jc w:val="both"/>
            </w:pPr>
            <w:r>
              <w:t xml:space="preserve">Additional PCI could increase the risk of MACE by 0.5% and higher risks as vFFR appears discordantly low </w:t>
            </w:r>
          </w:p>
        </w:tc>
        <w:tc>
          <w:tcPr>
            <w:tcW w:w="1276" w:type="dxa"/>
          </w:tcPr>
          <w:p w14:paraId="4DBC3342" w14:textId="0EC14D6D" w:rsidR="008E1AC2" w:rsidRDefault="008E1AC2" w:rsidP="008E1AC2">
            <w:pPr>
              <w:jc w:val="both"/>
            </w:pPr>
            <w:r>
              <w:t>Staged PCI to LAD could have resulted in a virtual additional increase in QOL by 3</w:t>
            </w:r>
            <w:r>
              <w:rPr>
                <w:rFonts w:cstheme="minorHAnsi"/>
              </w:rPr>
              <w:t>±</w:t>
            </w:r>
            <w:r>
              <w:t>1.2 in EQ-VAS and 0.06</w:t>
            </w:r>
            <w:r>
              <w:rPr>
                <w:rFonts w:cstheme="minorHAnsi"/>
              </w:rPr>
              <w:t>±</w:t>
            </w:r>
            <w:r>
              <w:t>0.009 in EQ-indexed scores</w:t>
            </w:r>
          </w:p>
          <w:p w14:paraId="529CC07F" w14:textId="6E910D68" w:rsidR="008E1AC2" w:rsidRDefault="008E1AC2" w:rsidP="008E1AC2">
            <w:pPr>
              <w:jc w:val="both"/>
            </w:pPr>
          </w:p>
        </w:tc>
        <w:tc>
          <w:tcPr>
            <w:tcW w:w="1417" w:type="dxa"/>
          </w:tcPr>
          <w:p w14:paraId="6291A918" w14:textId="111405DC" w:rsidR="008E1AC2" w:rsidRDefault="008E1AC2" w:rsidP="008E1AC2">
            <w:pPr>
              <w:jc w:val="both"/>
            </w:pPr>
            <w:r>
              <w:t>CCS class could improve from 1 to no angina, NYHA from 2 to 1</w:t>
            </w:r>
          </w:p>
        </w:tc>
      </w:tr>
      <w:tr w:rsidR="008E1AC2" w14:paraId="0CE340D3" w14:textId="77777777" w:rsidTr="002C2525">
        <w:tc>
          <w:tcPr>
            <w:tcW w:w="687" w:type="dxa"/>
          </w:tcPr>
          <w:p w14:paraId="666997C6" w14:textId="77777777" w:rsidR="008E1AC2" w:rsidRPr="00FD1D5A" w:rsidRDefault="008E1AC2" w:rsidP="008E1AC2">
            <w:pPr>
              <w:jc w:val="both"/>
            </w:pPr>
            <w:r>
              <w:t>195</w:t>
            </w:r>
          </w:p>
        </w:tc>
        <w:tc>
          <w:tcPr>
            <w:tcW w:w="829" w:type="dxa"/>
          </w:tcPr>
          <w:p w14:paraId="7BF078BE" w14:textId="77777777" w:rsidR="008E1AC2" w:rsidRDefault="008E1AC2" w:rsidP="008E1AC2">
            <w:pPr>
              <w:jc w:val="both"/>
            </w:pPr>
            <w:r>
              <w:t>mFFR LCx + RCA</w:t>
            </w:r>
          </w:p>
        </w:tc>
        <w:tc>
          <w:tcPr>
            <w:tcW w:w="894" w:type="dxa"/>
          </w:tcPr>
          <w:p w14:paraId="53550DDA" w14:textId="77777777" w:rsidR="008E1AC2" w:rsidRDefault="008E1AC2" w:rsidP="008E1AC2">
            <w:pPr>
              <w:jc w:val="both"/>
            </w:pPr>
            <w:r>
              <w:t>OMT</w:t>
            </w:r>
          </w:p>
        </w:tc>
        <w:tc>
          <w:tcPr>
            <w:tcW w:w="1089" w:type="dxa"/>
          </w:tcPr>
          <w:p w14:paraId="010155B7" w14:textId="77777777" w:rsidR="008E1AC2" w:rsidRDefault="008E1AC2" w:rsidP="008E1AC2">
            <w:pPr>
              <w:jc w:val="both"/>
            </w:pPr>
            <w:r>
              <w:t>vFFR LCx 0.92, vFFR RCA 0.94</w:t>
            </w:r>
          </w:p>
        </w:tc>
        <w:tc>
          <w:tcPr>
            <w:tcW w:w="1196" w:type="dxa"/>
          </w:tcPr>
          <w:p w14:paraId="2B420813" w14:textId="77777777" w:rsidR="008E1AC2" w:rsidRDefault="008E1AC2" w:rsidP="008E1AC2">
            <w:pPr>
              <w:spacing w:line="276" w:lineRule="auto"/>
              <w:jc w:val="both"/>
            </w:pPr>
            <w:r>
              <w:t>Pressure wire cost saved</w:t>
            </w:r>
          </w:p>
          <w:p w14:paraId="1F3C9C65" w14:textId="77777777" w:rsidR="008E1AC2" w:rsidRDefault="008E1AC2" w:rsidP="008E1AC2">
            <w:pPr>
              <w:spacing w:line="276" w:lineRule="auto"/>
              <w:jc w:val="both"/>
            </w:pPr>
            <w:r>
              <w:t>(-£586)</w:t>
            </w:r>
          </w:p>
        </w:tc>
        <w:tc>
          <w:tcPr>
            <w:tcW w:w="1351" w:type="dxa"/>
          </w:tcPr>
          <w:p w14:paraId="23463FB6" w14:textId="77777777" w:rsidR="008E1AC2" w:rsidRDefault="008E1AC2" w:rsidP="008E1AC2">
            <w:pPr>
              <w:jc w:val="both"/>
            </w:pPr>
            <w:r>
              <w:t xml:space="preserve">Avoiding unnecessary mFFR could prevent </w:t>
            </w:r>
            <w:r>
              <w:lastRenderedPageBreak/>
              <w:t>exposure to periprocedural risks of coronary dissection (0.03%) and MACE (0.015%)</w:t>
            </w:r>
          </w:p>
          <w:p w14:paraId="73488559" w14:textId="77777777" w:rsidR="008E1AC2" w:rsidRDefault="008E1AC2" w:rsidP="008E1AC2">
            <w:pPr>
              <w:jc w:val="both"/>
            </w:pPr>
          </w:p>
        </w:tc>
        <w:tc>
          <w:tcPr>
            <w:tcW w:w="1276" w:type="dxa"/>
          </w:tcPr>
          <w:p w14:paraId="4030A7CC" w14:textId="20C854DF" w:rsidR="008E1AC2" w:rsidRDefault="008E1AC2" w:rsidP="008E1AC2">
            <w:pPr>
              <w:jc w:val="both"/>
            </w:pPr>
            <w:r>
              <w:lastRenderedPageBreak/>
              <w:t xml:space="preserve">No change </w:t>
            </w:r>
          </w:p>
          <w:p w14:paraId="25A2141A" w14:textId="77777777" w:rsidR="008E1AC2" w:rsidRDefault="008E1AC2" w:rsidP="008E1AC2">
            <w:pPr>
              <w:jc w:val="both"/>
            </w:pPr>
          </w:p>
        </w:tc>
        <w:tc>
          <w:tcPr>
            <w:tcW w:w="1417" w:type="dxa"/>
          </w:tcPr>
          <w:p w14:paraId="55E9FEDD" w14:textId="77777777" w:rsidR="008E1AC2" w:rsidRDefault="008E1AC2" w:rsidP="008E1AC2">
            <w:pPr>
              <w:jc w:val="both"/>
            </w:pPr>
            <w:r>
              <w:t>No change</w:t>
            </w:r>
          </w:p>
        </w:tc>
      </w:tr>
      <w:tr w:rsidR="008E1AC2" w14:paraId="07759D67" w14:textId="77777777" w:rsidTr="002C2525">
        <w:tc>
          <w:tcPr>
            <w:tcW w:w="687" w:type="dxa"/>
          </w:tcPr>
          <w:p w14:paraId="053A9EA5" w14:textId="77777777" w:rsidR="008E1AC2" w:rsidRDefault="008E1AC2" w:rsidP="008E1AC2">
            <w:pPr>
              <w:jc w:val="both"/>
            </w:pPr>
            <w:r w:rsidRPr="00FD1D5A">
              <w:t>209</w:t>
            </w:r>
          </w:p>
        </w:tc>
        <w:tc>
          <w:tcPr>
            <w:tcW w:w="829" w:type="dxa"/>
          </w:tcPr>
          <w:p w14:paraId="34E4D810" w14:textId="77777777" w:rsidR="008E1AC2" w:rsidRDefault="008E1AC2" w:rsidP="008E1AC2">
            <w:pPr>
              <w:jc w:val="both"/>
            </w:pPr>
            <w:r>
              <w:t>PCI LCx / RCA + Staged LAD PCI</w:t>
            </w:r>
          </w:p>
        </w:tc>
        <w:tc>
          <w:tcPr>
            <w:tcW w:w="894" w:type="dxa"/>
          </w:tcPr>
          <w:p w14:paraId="4A41B986" w14:textId="77777777" w:rsidR="008E1AC2" w:rsidRDefault="008E1AC2" w:rsidP="008E1AC2">
            <w:pPr>
              <w:jc w:val="both"/>
            </w:pPr>
            <w:r>
              <w:t>CABG x 3</w:t>
            </w:r>
          </w:p>
        </w:tc>
        <w:tc>
          <w:tcPr>
            <w:tcW w:w="1089" w:type="dxa"/>
          </w:tcPr>
          <w:p w14:paraId="5677301B" w14:textId="77777777" w:rsidR="008E1AC2" w:rsidRDefault="008E1AC2" w:rsidP="008E1AC2">
            <w:pPr>
              <w:jc w:val="both"/>
            </w:pPr>
            <w:r>
              <w:t>vFFR LCx 0.56</w:t>
            </w:r>
          </w:p>
        </w:tc>
        <w:tc>
          <w:tcPr>
            <w:tcW w:w="1196" w:type="dxa"/>
          </w:tcPr>
          <w:p w14:paraId="357D6143" w14:textId="77777777" w:rsidR="008E1AC2" w:rsidRDefault="008E1AC2" w:rsidP="008E1AC2">
            <w:pPr>
              <w:spacing w:line="276" w:lineRule="auto"/>
              <w:jc w:val="both"/>
            </w:pPr>
            <w:r>
              <w:t xml:space="preserve">Additional cost with CABG </w:t>
            </w:r>
          </w:p>
          <w:p w14:paraId="26091EEF" w14:textId="77777777" w:rsidR="008E1AC2" w:rsidRDefault="008E1AC2" w:rsidP="008E1AC2">
            <w:pPr>
              <w:spacing w:line="276" w:lineRule="auto"/>
              <w:jc w:val="both"/>
            </w:pPr>
            <w:r>
              <w:t>(+£4578)</w:t>
            </w:r>
          </w:p>
        </w:tc>
        <w:tc>
          <w:tcPr>
            <w:tcW w:w="1351" w:type="dxa"/>
          </w:tcPr>
          <w:p w14:paraId="46F47743" w14:textId="7EA12481" w:rsidR="008E1AC2" w:rsidRDefault="008E1AC2" w:rsidP="008E1AC2">
            <w:pPr>
              <w:jc w:val="both"/>
            </w:pPr>
            <w:r>
              <w:t>CABG would have been associated with slightly higher (3.5%) 30-day mortality risk</w:t>
            </w:r>
          </w:p>
        </w:tc>
        <w:tc>
          <w:tcPr>
            <w:tcW w:w="1276" w:type="dxa"/>
          </w:tcPr>
          <w:p w14:paraId="17A6C204" w14:textId="71BA9DD3" w:rsidR="008E1AC2" w:rsidRDefault="008E1AC2" w:rsidP="008E1AC2">
            <w:pPr>
              <w:jc w:val="both"/>
            </w:pPr>
            <w:r>
              <w:t>CABG could have resulted in a virtual additional increase in QOL by 3</w:t>
            </w:r>
            <w:r>
              <w:rPr>
                <w:rFonts w:cstheme="minorHAnsi"/>
              </w:rPr>
              <w:t>±</w:t>
            </w:r>
            <w:r>
              <w:t>1.2 in EQ-VAS and 0.06</w:t>
            </w:r>
            <w:r>
              <w:rPr>
                <w:rFonts w:cstheme="minorHAnsi"/>
              </w:rPr>
              <w:t>±</w:t>
            </w:r>
            <w:r>
              <w:t>0.009 in EQ-indexed scores</w:t>
            </w:r>
          </w:p>
          <w:p w14:paraId="543F6B6A" w14:textId="77777777" w:rsidR="008E1AC2" w:rsidRDefault="008E1AC2" w:rsidP="008E1AC2">
            <w:pPr>
              <w:jc w:val="both"/>
            </w:pPr>
          </w:p>
        </w:tc>
        <w:tc>
          <w:tcPr>
            <w:tcW w:w="1417" w:type="dxa"/>
          </w:tcPr>
          <w:p w14:paraId="2008AA2F" w14:textId="489098BF" w:rsidR="008E1AC2" w:rsidRDefault="008E1AC2" w:rsidP="008E1AC2">
            <w:pPr>
              <w:jc w:val="both"/>
            </w:pPr>
            <w:r>
              <w:t>NYHA class unchanged, CCS class could improve from 1 to no angina</w:t>
            </w:r>
          </w:p>
        </w:tc>
      </w:tr>
      <w:tr w:rsidR="008E1AC2" w14:paraId="668FB0B1" w14:textId="77777777" w:rsidTr="002C2525">
        <w:tc>
          <w:tcPr>
            <w:tcW w:w="687" w:type="dxa"/>
          </w:tcPr>
          <w:p w14:paraId="4624211B" w14:textId="77777777" w:rsidR="008E1AC2" w:rsidRPr="00FD1D5A" w:rsidRDefault="008E1AC2" w:rsidP="008E1AC2">
            <w:pPr>
              <w:jc w:val="both"/>
            </w:pPr>
            <w:r>
              <w:t>211</w:t>
            </w:r>
          </w:p>
        </w:tc>
        <w:tc>
          <w:tcPr>
            <w:tcW w:w="829" w:type="dxa"/>
          </w:tcPr>
          <w:p w14:paraId="7316D47C" w14:textId="77777777" w:rsidR="008E1AC2" w:rsidRDefault="008E1AC2" w:rsidP="008E1AC2">
            <w:pPr>
              <w:jc w:val="both"/>
            </w:pPr>
            <w:r>
              <w:t>mFFR LAD</w:t>
            </w:r>
          </w:p>
        </w:tc>
        <w:tc>
          <w:tcPr>
            <w:tcW w:w="894" w:type="dxa"/>
          </w:tcPr>
          <w:p w14:paraId="4DE2846B" w14:textId="77777777" w:rsidR="008E1AC2" w:rsidRDefault="008E1AC2" w:rsidP="008E1AC2">
            <w:pPr>
              <w:jc w:val="both"/>
            </w:pPr>
            <w:r>
              <w:t>OMT</w:t>
            </w:r>
          </w:p>
        </w:tc>
        <w:tc>
          <w:tcPr>
            <w:tcW w:w="1089" w:type="dxa"/>
          </w:tcPr>
          <w:p w14:paraId="05FEE1F4" w14:textId="77777777" w:rsidR="008E1AC2" w:rsidRDefault="008E1AC2" w:rsidP="008E1AC2">
            <w:pPr>
              <w:jc w:val="both"/>
            </w:pPr>
            <w:r>
              <w:t>vFFR 0.91</w:t>
            </w:r>
          </w:p>
        </w:tc>
        <w:tc>
          <w:tcPr>
            <w:tcW w:w="1196" w:type="dxa"/>
          </w:tcPr>
          <w:p w14:paraId="1E2F0264" w14:textId="77777777" w:rsidR="008E1AC2" w:rsidRDefault="008E1AC2" w:rsidP="008E1AC2">
            <w:pPr>
              <w:spacing w:line="276" w:lineRule="auto"/>
              <w:jc w:val="both"/>
            </w:pPr>
            <w:r>
              <w:t>Pressure wire cost saved</w:t>
            </w:r>
          </w:p>
          <w:p w14:paraId="0C7B8B60" w14:textId="77777777" w:rsidR="008E1AC2" w:rsidRDefault="008E1AC2" w:rsidP="008E1AC2">
            <w:pPr>
              <w:spacing w:line="276" w:lineRule="auto"/>
              <w:jc w:val="both"/>
            </w:pPr>
            <w:r>
              <w:t>(-£586)</w:t>
            </w:r>
          </w:p>
        </w:tc>
        <w:tc>
          <w:tcPr>
            <w:tcW w:w="1351" w:type="dxa"/>
          </w:tcPr>
          <w:p w14:paraId="197D1CB2" w14:textId="77777777" w:rsidR="008E1AC2" w:rsidRDefault="008E1AC2" w:rsidP="008E1AC2">
            <w:pPr>
              <w:jc w:val="both"/>
            </w:pPr>
            <w:r>
              <w:t>Avoiding unnecessary mFFR could prevent exposure to periprocedural risks of coronary dissection (0.03%) and MACE (0.015%)</w:t>
            </w:r>
          </w:p>
          <w:p w14:paraId="7A9E9B91" w14:textId="77777777" w:rsidR="008E1AC2" w:rsidRDefault="008E1AC2" w:rsidP="008E1AC2">
            <w:pPr>
              <w:jc w:val="both"/>
            </w:pPr>
          </w:p>
        </w:tc>
        <w:tc>
          <w:tcPr>
            <w:tcW w:w="1276" w:type="dxa"/>
          </w:tcPr>
          <w:p w14:paraId="31C304A2" w14:textId="6E40AEFA" w:rsidR="008E1AC2" w:rsidRDefault="008E1AC2" w:rsidP="008E1AC2">
            <w:pPr>
              <w:jc w:val="both"/>
            </w:pPr>
            <w:r>
              <w:t xml:space="preserve">No change </w:t>
            </w:r>
          </w:p>
          <w:p w14:paraId="2195978A" w14:textId="77777777" w:rsidR="008E1AC2" w:rsidRDefault="008E1AC2" w:rsidP="008E1AC2">
            <w:pPr>
              <w:jc w:val="both"/>
            </w:pPr>
          </w:p>
        </w:tc>
        <w:tc>
          <w:tcPr>
            <w:tcW w:w="1417" w:type="dxa"/>
          </w:tcPr>
          <w:p w14:paraId="02E35710" w14:textId="77777777" w:rsidR="008E1AC2" w:rsidRDefault="008E1AC2" w:rsidP="008E1AC2">
            <w:pPr>
              <w:jc w:val="both"/>
            </w:pPr>
            <w:r>
              <w:t>No change</w:t>
            </w:r>
          </w:p>
        </w:tc>
      </w:tr>
      <w:tr w:rsidR="008E1AC2" w14:paraId="732806F8" w14:textId="77777777" w:rsidTr="002C2525">
        <w:tc>
          <w:tcPr>
            <w:tcW w:w="687" w:type="dxa"/>
          </w:tcPr>
          <w:p w14:paraId="317A52C4" w14:textId="77777777" w:rsidR="008E1AC2" w:rsidRDefault="008E1AC2" w:rsidP="008E1AC2">
            <w:pPr>
              <w:jc w:val="both"/>
            </w:pPr>
            <w:r w:rsidRPr="00FD1D5A">
              <w:t>214</w:t>
            </w:r>
          </w:p>
        </w:tc>
        <w:tc>
          <w:tcPr>
            <w:tcW w:w="829" w:type="dxa"/>
          </w:tcPr>
          <w:p w14:paraId="3CC5F93A" w14:textId="77777777" w:rsidR="008E1AC2" w:rsidRDefault="008E1AC2" w:rsidP="008E1AC2">
            <w:pPr>
              <w:jc w:val="both"/>
            </w:pPr>
            <w:r>
              <w:t>PCI LAD, mFFR RCA</w:t>
            </w:r>
          </w:p>
        </w:tc>
        <w:tc>
          <w:tcPr>
            <w:tcW w:w="894" w:type="dxa"/>
          </w:tcPr>
          <w:p w14:paraId="11F6FF9D" w14:textId="77777777" w:rsidR="008E1AC2" w:rsidRDefault="008E1AC2" w:rsidP="008E1AC2">
            <w:pPr>
              <w:jc w:val="both"/>
            </w:pPr>
            <w:r>
              <w:t>PCI LAD, no need for mFFR RCA</w:t>
            </w:r>
          </w:p>
        </w:tc>
        <w:tc>
          <w:tcPr>
            <w:tcW w:w="1089" w:type="dxa"/>
          </w:tcPr>
          <w:p w14:paraId="4BB8DFD5" w14:textId="77777777" w:rsidR="008E1AC2" w:rsidRDefault="008E1AC2" w:rsidP="008E1AC2">
            <w:pPr>
              <w:jc w:val="both"/>
            </w:pPr>
            <w:r>
              <w:t>vFFR RCA 0.92</w:t>
            </w:r>
          </w:p>
        </w:tc>
        <w:tc>
          <w:tcPr>
            <w:tcW w:w="1196" w:type="dxa"/>
          </w:tcPr>
          <w:p w14:paraId="0E6FD842" w14:textId="77777777" w:rsidR="008E1AC2" w:rsidRDefault="008E1AC2" w:rsidP="008E1AC2">
            <w:pPr>
              <w:spacing w:line="276" w:lineRule="auto"/>
              <w:jc w:val="both"/>
            </w:pPr>
            <w:r>
              <w:t>Pressure wire cost saved</w:t>
            </w:r>
          </w:p>
          <w:p w14:paraId="73C80256" w14:textId="77777777" w:rsidR="008E1AC2" w:rsidRDefault="008E1AC2" w:rsidP="008E1AC2">
            <w:pPr>
              <w:spacing w:line="276" w:lineRule="auto"/>
              <w:jc w:val="both"/>
            </w:pPr>
            <w:r>
              <w:t>(-£586)</w:t>
            </w:r>
          </w:p>
        </w:tc>
        <w:tc>
          <w:tcPr>
            <w:tcW w:w="1351" w:type="dxa"/>
          </w:tcPr>
          <w:p w14:paraId="6562B380" w14:textId="77777777" w:rsidR="008E1AC2" w:rsidRDefault="008E1AC2" w:rsidP="008E1AC2">
            <w:pPr>
              <w:jc w:val="both"/>
            </w:pPr>
            <w:r>
              <w:t>Avoiding unnecessary mFFR could prevent exposure to periprocedural risks of coronary dissection (0.03%) and MACE (0.015%)</w:t>
            </w:r>
          </w:p>
          <w:p w14:paraId="5B0E9D71" w14:textId="77777777" w:rsidR="008E1AC2" w:rsidRDefault="008E1AC2" w:rsidP="008E1AC2">
            <w:pPr>
              <w:jc w:val="both"/>
            </w:pPr>
          </w:p>
        </w:tc>
        <w:tc>
          <w:tcPr>
            <w:tcW w:w="1276" w:type="dxa"/>
          </w:tcPr>
          <w:p w14:paraId="5ABAF029" w14:textId="3B6E144C" w:rsidR="008E1AC2" w:rsidRDefault="008E1AC2" w:rsidP="008E1AC2">
            <w:pPr>
              <w:jc w:val="both"/>
            </w:pPr>
            <w:r>
              <w:t xml:space="preserve">No change </w:t>
            </w:r>
          </w:p>
          <w:p w14:paraId="509C3540" w14:textId="77777777" w:rsidR="008E1AC2" w:rsidRDefault="008E1AC2" w:rsidP="008E1AC2">
            <w:pPr>
              <w:jc w:val="both"/>
            </w:pPr>
          </w:p>
        </w:tc>
        <w:tc>
          <w:tcPr>
            <w:tcW w:w="1417" w:type="dxa"/>
          </w:tcPr>
          <w:p w14:paraId="13B3C8B8" w14:textId="77777777" w:rsidR="008E1AC2" w:rsidRDefault="008E1AC2" w:rsidP="008E1AC2">
            <w:pPr>
              <w:jc w:val="both"/>
            </w:pPr>
            <w:r>
              <w:t>No change</w:t>
            </w:r>
          </w:p>
        </w:tc>
      </w:tr>
      <w:tr w:rsidR="008E1AC2" w14:paraId="79AAC90E" w14:textId="77777777" w:rsidTr="002C2525">
        <w:tc>
          <w:tcPr>
            <w:tcW w:w="687" w:type="dxa"/>
          </w:tcPr>
          <w:p w14:paraId="61A046E9" w14:textId="77777777" w:rsidR="008E1AC2" w:rsidRPr="00FD1D5A" w:rsidRDefault="008E1AC2" w:rsidP="008E1AC2">
            <w:pPr>
              <w:jc w:val="both"/>
            </w:pPr>
            <w:r w:rsidRPr="00FD1D5A">
              <w:lastRenderedPageBreak/>
              <w:t>242</w:t>
            </w:r>
          </w:p>
        </w:tc>
        <w:tc>
          <w:tcPr>
            <w:tcW w:w="829" w:type="dxa"/>
          </w:tcPr>
          <w:p w14:paraId="5CCD4B5C" w14:textId="77777777" w:rsidR="008E1AC2" w:rsidRDefault="008E1AC2" w:rsidP="008E1AC2">
            <w:pPr>
              <w:jc w:val="both"/>
            </w:pPr>
            <w:r>
              <w:t>mFFR LCx</w:t>
            </w:r>
          </w:p>
        </w:tc>
        <w:tc>
          <w:tcPr>
            <w:tcW w:w="894" w:type="dxa"/>
          </w:tcPr>
          <w:p w14:paraId="4AD0E5C8" w14:textId="77777777" w:rsidR="008E1AC2" w:rsidRDefault="008E1AC2" w:rsidP="008E1AC2">
            <w:pPr>
              <w:jc w:val="both"/>
            </w:pPr>
            <w:r>
              <w:t>OMT</w:t>
            </w:r>
          </w:p>
        </w:tc>
        <w:tc>
          <w:tcPr>
            <w:tcW w:w="1089" w:type="dxa"/>
          </w:tcPr>
          <w:p w14:paraId="4B0C0FEF" w14:textId="77777777" w:rsidR="008E1AC2" w:rsidRDefault="008E1AC2" w:rsidP="008E1AC2">
            <w:pPr>
              <w:jc w:val="both"/>
            </w:pPr>
            <w:r>
              <w:t>vFFR LCx 0.97</w:t>
            </w:r>
          </w:p>
        </w:tc>
        <w:tc>
          <w:tcPr>
            <w:tcW w:w="1196" w:type="dxa"/>
          </w:tcPr>
          <w:p w14:paraId="28CC1B58" w14:textId="77777777" w:rsidR="008E1AC2" w:rsidRDefault="008E1AC2" w:rsidP="008E1AC2">
            <w:pPr>
              <w:spacing w:line="276" w:lineRule="auto"/>
              <w:jc w:val="both"/>
            </w:pPr>
            <w:r>
              <w:t>Pressure wire cost saved</w:t>
            </w:r>
          </w:p>
          <w:p w14:paraId="3941B871" w14:textId="77777777" w:rsidR="008E1AC2" w:rsidRDefault="008E1AC2" w:rsidP="008E1AC2">
            <w:pPr>
              <w:spacing w:line="276" w:lineRule="auto"/>
              <w:jc w:val="both"/>
            </w:pPr>
            <w:r>
              <w:t>(-£586)</w:t>
            </w:r>
          </w:p>
        </w:tc>
        <w:tc>
          <w:tcPr>
            <w:tcW w:w="1351" w:type="dxa"/>
          </w:tcPr>
          <w:p w14:paraId="3F7DACA7" w14:textId="77777777" w:rsidR="008E1AC2" w:rsidRDefault="008E1AC2" w:rsidP="008E1AC2">
            <w:pPr>
              <w:jc w:val="both"/>
            </w:pPr>
            <w:r>
              <w:t>Avoiding unnecessary mFFR could prevent exposure to periprocedural risks of coronary dissection (0.03%) and MACE (0.015%)</w:t>
            </w:r>
          </w:p>
          <w:p w14:paraId="294D86BE" w14:textId="77777777" w:rsidR="008E1AC2" w:rsidRDefault="008E1AC2" w:rsidP="008E1AC2">
            <w:pPr>
              <w:jc w:val="both"/>
            </w:pPr>
          </w:p>
        </w:tc>
        <w:tc>
          <w:tcPr>
            <w:tcW w:w="1276" w:type="dxa"/>
          </w:tcPr>
          <w:p w14:paraId="1E36E9A3" w14:textId="53555EC1" w:rsidR="008E1AC2" w:rsidRDefault="008E1AC2" w:rsidP="008E1AC2">
            <w:pPr>
              <w:jc w:val="both"/>
            </w:pPr>
            <w:r>
              <w:t xml:space="preserve">No change </w:t>
            </w:r>
          </w:p>
          <w:p w14:paraId="3BADD80C" w14:textId="77777777" w:rsidR="008E1AC2" w:rsidRDefault="008E1AC2" w:rsidP="008E1AC2">
            <w:pPr>
              <w:jc w:val="both"/>
            </w:pPr>
          </w:p>
        </w:tc>
        <w:tc>
          <w:tcPr>
            <w:tcW w:w="1417" w:type="dxa"/>
          </w:tcPr>
          <w:p w14:paraId="1746294A" w14:textId="77777777" w:rsidR="008E1AC2" w:rsidRDefault="008E1AC2" w:rsidP="008E1AC2">
            <w:pPr>
              <w:jc w:val="both"/>
            </w:pPr>
            <w:r>
              <w:t>No change</w:t>
            </w:r>
          </w:p>
        </w:tc>
      </w:tr>
      <w:tr w:rsidR="008E1AC2" w14:paraId="3BE5BFF2" w14:textId="77777777" w:rsidTr="002C2525">
        <w:tc>
          <w:tcPr>
            <w:tcW w:w="687" w:type="dxa"/>
          </w:tcPr>
          <w:p w14:paraId="27F021BD" w14:textId="77777777" w:rsidR="008E1AC2" w:rsidRPr="00FD1D5A" w:rsidRDefault="008E1AC2" w:rsidP="008E1AC2">
            <w:pPr>
              <w:jc w:val="both"/>
            </w:pPr>
            <w:r w:rsidRPr="00FD1D5A">
              <w:t>247</w:t>
            </w:r>
          </w:p>
        </w:tc>
        <w:tc>
          <w:tcPr>
            <w:tcW w:w="829" w:type="dxa"/>
          </w:tcPr>
          <w:p w14:paraId="424B08AE" w14:textId="77777777" w:rsidR="008E1AC2" w:rsidRDefault="008E1AC2" w:rsidP="008E1AC2">
            <w:pPr>
              <w:jc w:val="both"/>
            </w:pPr>
            <w:r>
              <w:t>mFFR LAD</w:t>
            </w:r>
          </w:p>
        </w:tc>
        <w:tc>
          <w:tcPr>
            <w:tcW w:w="894" w:type="dxa"/>
          </w:tcPr>
          <w:p w14:paraId="5398DDD1" w14:textId="77777777" w:rsidR="008E1AC2" w:rsidRDefault="008E1AC2" w:rsidP="008E1AC2">
            <w:pPr>
              <w:jc w:val="both"/>
            </w:pPr>
            <w:r>
              <w:t>OMT</w:t>
            </w:r>
          </w:p>
        </w:tc>
        <w:tc>
          <w:tcPr>
            <w:tcW w:w="1089" w:type="dxa"/>
          </w:tcPr>
          <w:p w14:paraId="2A827644" w14:textId="77777777" w:rsidR="008E1AC2" w:rsidRDefault="008E1AC2" w:rsidP="008E1AC2">
            <w:pPr>
              <w:jc w:val="both"/>
            </w:pPr>
            <w:r>
              <w:t>vFFR LAD 0.89</w:t>
            </w:r>
          </w:p>
        </w:tc>
        <w:tc>
          <w:tcPr>
            <w:tcW w:w="1196" w:type="dxa"/>
          </w:tcPr>
          <w:p w14:paraId="69FFD249" w14:textId="77777777" w:rsidR="008E1AC2" w:rsidRDefault="008E1AC2" w:rsidP="008E1AC2">
            <w:pPr>
              <w:spacing w:line="276" w:lineRule="auto"/>
              <w:jc w:val="both"/>
            </w:pPr>
            <w:r>
              <w:t>Pressure wire cost saved</w:t>
            </w:r>
          </w:p>
          <w:p w14:paraId="16333495" w14:textId="77777777" w:rsidR="008E1AC2" w:rsidRDefault="008E1AC2" w:rsidP="008E1AC2">
            <w:pPr>
              <w:spacing w:line="276" w:lineRule="auto"/>
              <w:jc w:val="both"/>
            </w:pPr>
            <w:r>
              <w:t>(-£586)</w:t>
            </w:r>
          </w:p>
        </w:tc>
        <w:tc>
          <w:tcPr>
            <w:tcW w:w="1351" w:type="dxa"/>
          </w:tcPr>
          <w:p w14:paraId="446491AA" w14:textId="77777777" w:rsidR="008E1AC2" w:rsidRDefault="008E1AC2" w:rsidP="008E1AC2">
            <w:pPr>
              <w:jc w:val="both"/>
            </w:pPr>
            <w:r>
              <w:t>Avoiding unnecessary mFFR could prevent exposure to periprocedural risks of coronary dissection (0.03%) and MACE (0.015%)</w:t>
            </w:r>
          </w:p>
          <w:p w14:paraId="4574E77C" w14:textId="77777777" w:rsidR="008E1AC2" w:rsidRDefault="008E1AC2" w:rsidP="008E1AC2">
            <w:pPr>
              <w:jc w:val="both"/>
            </w:pPr>
          </w:p>
        </w:tc>
        <w:tc>
          <w:tcPr>
            <w:tcW w:w="1276" w:type="dxa"/>
          </w:tcPr>
          <w:p w14:paraId="4F173896" w14:textId="11A9E88D" w:rsidR="008E1AC2" w:rsidRDefault="008E1AC2" w:rsidP="008E1AC2">
            <w:pPr>
              <w:jc w:val="both"/>
            </w:pPr>
            <w:r>
              <w:t xml:space="preserve">No change </w:t>
            </w:r>
          </w:p>
        </w:tc>
        <w:tc>
          <w:tcPr>
            <w:tcW w:w="1417" w:type="dxa"/>
          </w:tcPr>
          <w:p w14:paraId="48E2B27A" w14:textId="77777777" w:rsidR="008E1AC2" w:rsidRDefault="008E1AC2" w:rsidP="008E1AC2">
            <w:pPr>
              <w:jc w:val="both"/>
            </w:pPr>
            <w:r>
              <w:t>No change</w:t>
            </w:r>
          </w:p>
        </w:tc>
      </w:tr>
      <w:tr w:rsidR="008E1AC2" w14:paraId="7E4DC214" w14:textId="77777777" w:rsidTr="002C2525">
        <w:tc>
          <w:tcPr>
            <w:tcW w:w="687" w:type="dxa"/>
          </w:tcPr>
          <w:p w14:paraId="780187A5" w14:textId="77777777" w:rsidR="008E1AC2" w:rsidRPr="00FD1D5A" w:rsidRDefault="008E1AC2" w:rsidP="008E1AC2">
            <w:pPr>
              <w:jc w:val="both"/>
            </w:pPr>
            <w:r>
              <w:t>248</w:t>
            </w:r>
          </w:p>
        </w:tc>
        <w:tc>
          <w:tcPr>
            <w:tcW w:w="829" w:type="dxa"/>
          </w:tcPr>
          <w:p w14:paraId="6DBDB1E2" w14:textId="77777777" w:rsidR="008E1AC2" w:rsidRDefault="008E1AC2" w:rsidP="008E1AC2">
            <w:pPr>
              <w:jc w:val="both"/>
            </w:pPr>
            <w:r>
              <w:t>PCI LAD/ LCx + mFFR RCA</w:t>
            </w:r>
          </w:p>
        </w:tc>
        <w:tc>
          <w:tcPr>
            <w:tcW w:w="894" w:type="dxa"/>
          </w:tcPr>
          <w:p w14:paraId="215E2F81" w14:textId="77777777" w:rsidR="008E1AC2" w:rsidRDefault="008E1AC2" w:rsidP="008E1AC2">
            <w:pPr>
              <w:jc w:val="both"/>
            </w:pPr>
            <w:r>
              <w:t>CABG, no need of mFFR</w:t>
            </w:r>
          </w:p>
        </w:tc>
        <w:tc>
          <w:tcPr>
            <w:tcW w:w="1089" w:type="dxa"/>
          </w:tcPr>
          <w:p w14:paraId="355119D7" w14:textId="77777777" w:rsidR="008E1AC2" w:rsidRDefault="008E1AC2" w:rsidP="008E1AC2">
            <w:pPr>
              <w:jc w:val="both"/>
            </w:pPr>
            <w:r>
              <w:t>vFFR RCA 0.85</w:t>
            </w:r>
          </w:p>
        </w:tc>
        <w:tc>
          <w:tcPr>
            <w:tcW w:w="1196" w:type="dxa"/>
          </w:tcPr>
          <w:p w14:paraId="03592CDE" w14:textId="77777777" w:rsidR="008E1AC2" w:rsidRDefault="008E1AC2" w:rsidP="008E1AC2">
            <w:pPr>
              <w:spacing w:line="276" w:lineRule="auto"/>
              <w:jc w:val="both"/>
            </w:pPr>
            <w:r>
              <w:t>Pressure wire cost saved</w:t>
            </w:r>
          </w:p>
          <w:p w14:paraId="0F1AF95F" w14:textId="77777777" w:rsidR="008E1AC2" w:rsidRDefault="008E1AC2" w:rsidP="008E1AC2">
            <w:pPr>
              <w:spacing w:line="276" w:lineRule="auto"/>
              <w:jc w:val="both"/>
            </w:pPr>
            <w:r>
              <w:t>(-£586), however, additional CABG cost (+7300)</w:t>
            </w:r>
          </w:p>
        </w:tc>
        <w:tc>
          <w:tcPr>
            <w:tcW w:w="1351" w:type="dxa"/>
          </w:tcPr>
          <w:p w14:paraId="18DD783F" w14:textId="3B2EE283" w:rsidR="008E1AC2" w:rsidRDefault="008E1AC2" w:rsidP="008E1AC2">
            <w:pPr>
              <w:jc w:val="both"/>
            </w:pPr>
            <w:r>
              <w:t xml:space="preserve">MACE risk could be reduced further by 4.9% with CABG; an additional 0.03% coronary dissection and 0.015% MACE risk could be reduced by avoiding mFFR </w:t>
            </w:r>
          </w:p>
          <w:p w14:paraId="035ACE59" w14:textId="77777777" w:rsidR="008E1AC2" w:rsidRDefault="008E1AC2" w:rsidP="008E1AC2">
            <w:pPr>
              <w:jc w:val="both"/>
            </w:pPr>
          </w:p>
        </w:tc>
        <w:tc>
          <w:tcPr>
            <w:tcW w:w="1276" w:type="dxa"/>
          </w:tcPr>
          <w:p w14:paraId="1251D552" w14:textId="20370639" w:rsidR="008E1AC2" w:rsidRDefault="008E1AC2" w:rsidP="008E1AC2">
            <w:pPr>
              <w:jc w:val="both"/>
            </w:pPr>
            <w:r>
              <w:t>CABG could have resulted in a virtual additional increase in QOL by 3</w:t>
            </w:r>
            <w:r>
              <w:rPr>
                <w:rFonts w:cstheme="minorHAnsi"/>
              </w:rPr>
              <w:t>±</w:t>
            </w:r>
            <w:r>
              <w:t>1.2 in EQ-VAS and 0.06</w:t>
            </w:r>
            <w:r>
              <w:rPr>
                <w:rFonts w:cstheme="minorHAnsi"/>
              </w:rPr>
              <w:t>±</w:t>
            </w:r>
            <w:r>
              <w:t>0.009 in EQ-indexed scores</w:t>
            </w:r>
          </w:p>
          <w:p w14:paraId="4DAAEE6B" w14:textId="2174A104" w:rsidR="008E1AC2" w:rsidRDefault="008E1AC2" w:rsidP="008E1AC2">
            <w:pPr>
              <w:jc w:val="both"/>
            </w:pPr>
          </w:p>
        </w:tc>
        <w:tc>
          <w:tcPr>
            <w:tcW w:w="1417" w:type="dxa"/>
          </w:tcPr>
          <w:p w14:paraId="318960A7" w14:textId="03CEF8F8" w:rsidR="008E1AC2" w:rsidRDefault="008E1AC2" w:rsidP="008E1AC2">
            <w:pPr>
              <w:jc w:val="both"/>
            </w:pPr>
            <w:r>
              <w:t>Could improve CCS class from 2 to 1, NYHA from 3 to 2</w:t>
            </w:r>
          </w:p>
        </w:tc>
      </w:tr>
      <w:tr w:rsidR="008E1AC2" w14:paraId="4A30DF78" w14:textId="77777777" w:rsidTr="002C2525">
        <w:tc>
          <w:tcPr>
            <w:tcW w:w="687" w:type="dxa"/>
          </w:tcPr>
          <w:p w14:paraId="081B6A30" w14:textId="77777777" w:rsidR="008E1AC2" w:rsidRDefault="008E1AC2" w:rsidP="008E1AC2">
            <w:pPr>
              <w:jc w:val="both"/>
            </w:pPr>
            <w:r w:rsidRPr="00FD1D5A">
              <w:t>262</w:t>
            </w:r>
          </w:p>
        </w:tc>
        <w:tc>
          <w:tcPr>
            <w:tcW w:w="829" w:type="dxa"/>
          </w:tcPr>
          <w:p w14:paraId="1EC55CBA" w14:textId="77777777" w:rsidR="008E1AC2" w:rsidRDefault="008E1AC2" w:rsidP="008E1AC2">
            <w:pPr>
              <w:jc w:val="both"/>
            </w:pPr>
            <w:r>
              <w:t>mFFR RCA</w:t>
            </w:r>
          </w:p>
        </w:tc>
        <w:tc>
          <w:tcPr>
            <w:tcW w:w="894" w:type="dxa"/>
          </w:tcPr>
          <w:p w14:paraId="14830245" w14:textId="77777777" w:rsidR="008E1AC2" w:rsidRDefault="008E1AC2" w:rsidP="008E1AC2">
            <w:pPr>
              <w:jc w:val="both"/>
            </w:pPr>
            <w:r>
              <w:t>OMT</w:t>
            </w:r>
          </w:p>
        </w:tc>
        <w:tc>
          <w:tcPr>
            <w:tcW w:w="1089" w:type="dxa"/>
          </w:tcPr>
          <w:p w14:paraId="00FADB79" w14:textId="77777777" w:rsidR="008E1AC2" w:rsidRDefault="008E1AC2" w:rsidP="008E1AC2">
            <w:pPr>
              <w:jc w:val="both"/>
            </w:pPr>
            <w:r>
              <w:t>vFFR RCA 0.88</w:t>
            </w:r>
          </w:p>
        </w:tc>
        <w:tc>
          <w:tcPr>
            <w:tcW w:w="1196" w:type="dxa"/>
          </w:tcPr>
          <w:p w14:paraId="32C27298" w14:textId="77777777" w:rsidR="008E1AC2" w:rsidRDefault="008E1AC2" w:rsidP="008E1AC2">
            <w:pPr>
              <w:spacing w:line="276" w:lineRule="auto"/>
              <w:jc w:val="both"/>
            </w:pPr>
            <w:r>
              <w:t>Pressure wire cost saved</w:t>
            </w:r>
          </w:p>
          <w:p w14:paraId="68B30F8D" w14:textId="77777777" w:rsidR="008E1AC2" w:rsidRDefault="008E1AC2" w:rsidP="008E1AC2">
            <w:pPr>
              <w:spacing w:line="276" w:lineRule="auto"/>
              <w:jc w:val="both"/>
            </w:pPr>
            <w:r>
              <w:t>(-£586)</w:t>
            </w:r>
          </w:p>
        </w:tc>
        <w:tc>
          <w:tcPr>
            <w:tcW w:w="1351" w:type="dxa"/>
          </w:tcPr>
          <w:p w14:paraId="7C86C656" w14:textId="77777777" w:rsidR="008E1AC2" w:rsidRDefault="008E1AC2" w:rsidP="008E1AC2">
            <w:pPr>
              <w:jc w:val="both"/>
            </w:pPr>
            <w:r>
              <w:t xml:space="preserve">Avoiding unnecessary mFFR could prevent exposure to periprocedural risks of coronary </w:t>
            </w:r>
            <w:r>
              <w:lastRenderedPageBreak/>
              <w:t>dissection (0.03%) and MACE (0.015%)</w:t>
            </w:r>
          </w:p>
          <w:p w14:paraId="386893DD" w14:textId="77777777" w:rsidR="008E1AC2" w:rsidRDefault="008E1AC2" w:rsidP="008E1AC2">
            <w:pPr>
              <w:jc w:val="both"/>
            </w:pPr>
          </w:p>
        </w:tc>
        <w:tc>
          <w:tcPr>
            <w:tcW w:w="1276" w:type="dxa"/>
          </w:tcPr>
          <w:p w14:paraId="1EFD5C34" w14:textId="673F005C" w:rsidR="008E1AC2" w:rsidRDefault="008E1AC2" w:rsidP="008E1AC2">
            <w:pPr>
              <w:jc w:val="both"/>
            </w:pPr>
            <w:r>
              <w:lastRenderedPageBreak/>
              <w:t>No change</w:t>
            </w:r>
          </w:p>
          <w:p w14:paraId="78C70556" w14:textId="77777777" w:rsidR="008E1AC2" w:rsidRDefault="008E1AC2" w:rsidP="008E1AC2">
            <w:pPr>
              <w:jc w:val="both"/>
            </w:pPr>
          </w:p>
        </w:tc>
        <w:tc>
          <w:tcPr>
            <w:tcW w:w="1417" w:type="dxa"/>
          </w:tcPr>
          <w:p w14:paraId="0624BB44" w14:textId="77777777" w:rsidR="008E1AC2" w:rsidRDefault="008E1AC2" w:rsidP="008E1AC2">
            <w:pPr>
              <w:jc w:val="both"/>
            </w:pPr>
            <w:r>
              <w:t>No change</w:t>
            </w:r>
          </w:p>
        </w:tc>
      </w:tr>
      <w:tr w:rsidR="008E1AC2" w14:paraId="6B8BEA0D" w14:textId="77777777" w:rsidTr="002C2525">
        <w:tc>
          <w:tcPr>
            <w:tcW w:w="687" w:type="dxa"/>
          </w:tcPr>
          <w:p w14:paraId="4FF9C82C" w14:textId="77777777" w:rsidR="008E1AC2" w:rsidRPr="00FD1D5A" w:rsidRDefault="008E1AC2" w:rsidP="008E1AC2">
            <w:pPr>
              <w:jc w:val="both"/>
            </w:pPr>
            <w:r w:rsidRPr="00FD1D5A">
              <w:t>263</w:t>
            </w:r>
          </w:p>
        </w:tc>
        <w:tc>
          <w:tcPr>
            <w:tcW w:w="829" w:type="dxa"/>
          </w:tcPr>
          <w:p w14:paraId="3C81280F" w14:textId="77777777" w:rsidR="008E1AC2" w:rsidRDefault="008E1AC2" w:rsidP="008E1AC2">
            <w:pPr>
              <w:jc w:val="both"/>
            </w:pPr>
            <w:r>
              <w:t>mFFR LAD</w:t>
            </w:r>
          </w:p>
        </w:tc>
        <w:tc>
          <w:tcPr>
            <w:tcW w:w="894" w:type="dxa"/>
          </w:tcPr>
          <w:p w14:paraId="41EAACC1" w14:textId="77777777" w:rsidR="008E1AC2" w:rsidRDefault="008E1AC2" w:rsidP="008E1AC2">
            <w:pPr>
              <w:jc w:val="both"/>
            </w:pPr>
            <w:r>
              <w:t>OMT</w:t>
            </w:r>
          </w:p>
        </w:tc>
        <w:tc>
          <w:tcPr>
            <w:tcW w:w="1089" w:type="dxa"/>
          </w:tcPr>
          <w:p w14:paraId="62F231C4" w14:textId="77777777" w:rsidR="008E1AC2" w:rsidRDefault="008E1AC2" w:rsidP="008E1AC2">
            <w:pPr>
              <w:jc w:val="both"/>
            </w:pPr>
            <w:r>
              <w:t>vFFR LAD 0.92</w:t>
            </w:r>
          </w:p>
        </w:tc>
        <w:tc>
          <w:tcPr>
            <w:tcW w:w="1196" w:type="dxa"/>
          </w:tcPr>
          <w:p w14:paraId="006C1B40" w14:textId="77777777" w:rsidR="008E1AC2" w:rsidRDefault="008E1AC2" w:rsidP="008E1AC2">
            <w:pPr>
              <w:spacing w:line="276" w:lineRule="auto"/>
              <w:jc w:val="both"/>
            </w:pPr>
            <w:r>
              <w:t>Pressure wire cost saved</w:t>
            </w:r>
          </w:p>
          <w:p w14:paraId="4E5E2111" w14:textId="77777777" w:rsidR="008E1AC2" w:rsidRDefault="008E1AC2" w:rsidP="008E1AC2">
            <w:pPr>
              <w:spacing w:line="276" w:lineRule="auto"/>
              <w:jc w:val="both"/>
            </w:pPr>
            <w:r>
              <w:t>(-£586)</w:t>
            </w:r>
          </w:p>
        </w:tc>
        <w:tc>
          <w:tcPr>
            <w:tcW w:w="1351" w:type="dxa"/>
          </w:tcPr>
          <w:p w14:paraId="2D8BDF6E" w14:textId="77777777" w:rsidR="008E1AC2" w:rsidRDefault="008E1AC2" w:rsidP="008E1AC2">
            <w:pPr>
              <w:jc w:val="both"/>
            </w:pPr>
            <w:r>
              <w:t>Avoiding unnecessary mFFR could prevent exposure to periprocedural risks of coronary dissection (0.03%) and MACE (0.015%)</w:t>
            </w:r>
          </w:p>
          <w:p w14:paraId="0C277993" w14:textId="77777777" w:rsidR="008E1AC2" w:rsidRDefault="008E1AC2" w:rsidP="008E1AC2">
            <w:pPr>
              <w:jc w:val="both"/>
            </w:pPr>
          </w:p>
        </w:tc>
        <w:tc>
          <w:tcPr>
            <w:tcW w:w="1276" w:type="dxa"/>
          </w:tcPr>
          <w:p w14:paraId="616FA6A9" w14:textId="5973BCC3" w:rsidR="008E1AC2" w:rsidRDefault="008E1AC2" w:rsidP="008E1AC2">
            <w:pPr>
              <w:jc w:val="both"/>
            </w:pPr>
            <w:r>
              <w:t xml:space="preserve">No change </w:t>
            </w:r>
          </w:p>
          <w:p w14:paraId="13598C52" w14:textId="77777777" w:rsidR="008E1AC2" w:rsidRDefault="008E1AC2" w:rsidP="008E1AC2">
            <w:pPr>
              <w:jc w:val="both"/>
            </w:pPr>
          </w:p>
        </w:tc>
        <w:tc>
          <w:tcPr>
            <w:tcW w:w="1417" w:type="dxa"/>
          </w:tcPr>
          <w:p w14:paraId="6D68E0FB" w14:textId="77777777" w:rsidR="008E1AC2" w:rsidRDefault="008E1AC2" w:rsidP="008E1AC2">
            <w:pPr>
              <w:jc w:val="both"/>
            </w:pPr>
            <w:r>
              <w:t>No change</w:t>
            </w:r>
          </w:p>
        </w:tc>
      </w:tr>
      <w:tr w:rsidR="008E1AC2" w14:paraId="66B3E001" w14:textId="77777777" w:rsidTr="002C2525">
        <w:tc>
          <w:tcPr>
            <w:tcW w:w="687" w:type="dxa"/>
          </w:tcPr>
          <w:p w14:paraId="719EF213" w14:textId="77777777" w:rsidR="008E1AC2" w:rsidRPr="00FD1D5A" w:rsidRDefault="008E1AC2" w:rsidP="008E1AC2">
            <w:pPr>
              <w:jc w:val="both"/>
            </w:pPr>
            <w:r>
              <w:t>266</w:t>
            </w:r>
          </w:p>
        </w:tc>
        <w:tc>
          <w:tcPr>
            <w:tcW w:w="829" w:type="dxa"/>
          </w:tcPr>
          <w:p w14:paraId="79B9BEC1" w14:textId="77777777" w:rsidR="008E1AC2" w:rsidRDefault="008E1AC2" w:rsidP="008E1AC2">
            <w:pPr>
              <w:jc w:val="both"/>
            </w:pPr>
            <w:r>
              <w:t>PCI RCA + mFFR LAD</w:t>
            </w:r>
          </w:p>
        </w:tc>
        <w:tc>
          <w:tcPr>
            <w:tcW w:w="894" w:type="dxa"/>
          </w:tcPr>
          <w:p w14:paraId="65D7FC0E" w14:textId="77777777" w:rsidR="008E1AC2" w:rsidRDefault="008E1AC2" w:rsidP="008E1AC2">
            <w:pPr>
              <w:jc w:val="both"/>
            </w:pPr>
            <w:r>
              <w:t>PCI RCA, no need of mFFR</w:t>
            </w:r>
          </w:p>
        </w:tc>
        <w:tc>
          <w:tcPr>
            <w:tcW w:w="1089" w:type="dxa"/>
          </w:tcPr>
          <w:p w14:paraId="29ED8E5D" w14:textId="77777777" w:rsidR="008E1AC2" w:rsidRDefault="008E1AC2" w:rsidP="008E1AC2">
            <w:pPr>
              <w:jc w:val="both"/>
            </w:pPr>
            <w:r>
              <w:t>vFFR 0.87</w:t>
            </w:r>
          </w:p>
        </w:tc>
        <w:tc>
          <w:tcPr>
            <w:tcW w:w="1196" w:type="dxa"/>
          </w:tcPr>
          <w:p w14:paraId="197B4122" w14:textId="77777777" w:rsidR="008E1AC2" w:rsidRDefault="008E1AC2" w:rsidP="008E1AC2">
            <w:pPr>
              <w:spacing w:line="276" w:lineRule="auto"/>
              <w:jc w:val="both"/>
            </w:pPr>
            <w:r>
              <w:t>Pressure wire cost saved</w:t>
            </w:r>
          </w:p>
          <w:p w14:paraId="287E636F" w14:textId="77777777" w:rsidR="008E1AC2" w:rsidRDefault="008E1AC2" w:rsidP="008E1AC2">
            <w:pPr>
              <w:spacing w:line="276" w:lineRule="auto"/>
              <w:jc w:val="both"/>
            </w:pPr>
            <w:r>
              <w:t>(-£586)</w:t>
            </w:r>
          </w:p>
        </w:tc>
        <w:tc>
          <w:tcPr>
            <w:tcW w:w="1351" w:type="dxa"/>
          </w:tcPr>
          <w:p w14:paraId="2BBC516E" w14:textId="77777777" w:rsidR="008E1AC2" w:rsidRDefault="008E1AC2" w:rsidP="008E1AC2">
            <w:pPr>
              <w:jc w:val="both"/>
            </w:pPr>
            <w:r>
              <w:t>Avoiding unnecessary mFFR could prevent exposure to periprocedural risks of coronary dissection (0.03%) and MACE (0.015%)</w:t>
            </w:r>
          </w:p>
          <w:p w14:paraId="13B96801" w14:textId="77777777" w:rsidR="00E13538" w:rsidRDefault="00E13538" w:rsidP="008E1AC2">
            <w:pPr>
              <w:jc w:val="both"/>
            </w:pPr>
          </w:p>
        </w:tc>
        <w:tc>
          <w:tcPr>
            <w:tcW w:w="1276" w:type="dxa"/>
          </w:tcPr>
          <w:p w14:paraId="4AD79733" w14:textId="1E6DB491" w:rsidR="008E1AC2" w:rsidRDefault="008E1AC2" w:rsidP="008E1AC2">
            <w:pPr>
              <w:jc w:val="both"/>
            </w:pPr>
            <w:r>
              <w:t xml:space="preserve">No change </w:t>
            </w:r>
          </w:p>
          <w:p w14:paraId="4BD05924" w14:textId="77777777" w:rsidR="008E1AC2" w:rsidRDefault="008E1AC2" w:rsidP="008E1AC2">
            <w:pPr>
              <w:jc w:val="both"/>
            </w:pPr>
          </w:p>
        </w:tc>
        <w:tc>
          <w:tcPr>
            <w:tcW w:w="1417" w:type="dxa"/>
          </w:tcPr>
          <w:p w14:paraId="12F89D36" w14:textId="77777777" w:rsidR="008E1AC2" w:rsidRDefault="008E1AC2" w:rsidP="008E1AC2">
            <w:pPr>
              <w:jc w:val="both"/>
            </w:pPr>
            <w:r>
              <w:t>No change</w:t>
            </w:r>
          </w:p>
        </w:tc>
      </w:tr>
      <w:tr w:rsidR="008E1AC2" w14:paraId="2ECD7547" w14:textId="77777777" w:rsidTr="002C2525">
        <w:tc>
          <w:tcPr>
            <w:tcW w:w="687" w:type="dxa"/>
          </w:tcPr>
          <w:p w14:paraId="1DA579D5" w14:textId="77777777" w:rsidR="008E1AC2" w:rsidRDefault="008E1AC2" w:rsidP="008E1AC2">
            <w:pPr>
              <w:jc w:val="both"/>
            </w:pPr>
            <w:r w:rsidRPr="00FD1D5A">
              <w:t>269</w:t>
            </w:r>
          </w:p>
        </w:tc>
        <w:tc>
          <w:tcPr>
            <w:tcW w:w="829" w:type="dxa"/>
          </w:tcPr>
          <w:p w14:paraId="703F9055" w14:textId="77777777" w:rsidR="008E1AC2" w:rsidRDefault="008E1AC2" w:rsidP="008E1AC2">
            <w:pPr>
              <w:jc w:val="both"/>
            </w:pPr>
            <w:r>
              <w:t>PCI RCA</w:t>
            </w:r>
          </w:p>
        </w:tc>
        <w:tc>
          <w:tcPr>
            <w:tcW w:w="894" w:type="dxa"/>
          </w:tcPr>
          <w:p w14:paraId="5190F04F" w14:textId="77777777" w:rsidR="008E1AC2" w:rsidRDefault="008E1AC2" w:rsidP="008E1AC2">
            <w:pPr>
              <w:jc w:val="both"/>
            </w:pPr>
            <w:r>
              <w:t>PCI RCA + mFFR LAD</w:t>
            </w:r>
          </w:p>
        </w:tc>
        <w:tc>
          <w:tcPr>
            <w:tcW w:w="1089" w:type="dxa"/>
          </w:tcPr>
          <w:p w14:paraId="405FE20A" w14:textId="77777777" w:rsidR="008E1AC2" w:rsidRDefault="008E1AC2" w:rsidP="008E1AC2">
            <w:pPr>
              <w:jc w:val="both"/>
            </w:pPr>
            <w:r>
              <w:t>vFFR LAD 0.74</w:t>
            </w:r>
          </w:p>
        </w:tc>
        <w:tc>
          <w:tcPr>
            <w:tcW w:w="1196" w:type="dxa"/>
          </w:tcPr>
          <w:p w14:paraId="396F5D38" w14:textId="77777777" w:rsidR="008E1AC2" w:rsidRDefault="008E1AC2" w:rsidP="008E1AC2">
            <w:pPr>
              <w:spacing w:line="276" w:lineRule="auto"/>
              <w:jc w:val="both"/>
            </w:pPr>
            <w:r>
              <w:t>Pressure wire cost added (+£586)</w:t>
            </w:r>
          </w:p>
        </w:tc>
        <w:tc>
          <w:tcPr>
            <w:tcW w:w="1351" w:type="dxa"/>
          </w:tcPr>
          <w:p w14:paraId="0058010B" w14:textId="77777777" w:rsidR="008E1AC2" w:rsidRDefault="008E1AC2" w:rsidP="008E1AC2">
            <w:pPr>
              <w:jc w:val="both"/>
            </w:pPr>
            <w:r>
              <w:t>vFFR would have led to PCI to LAD and could have improved annual MACE risk by 4.9%</w:t>
            </w:r>
          </w:p>
        </w:tc>
        <w:tc>
          <w:tcPr>
            <w:tcW w:w="1276" w:type="dxa"/>
          </w:tcPr>
          <w:p w14:paraId="09336103" w14:textId="3221D1B9" w:rsidR="008E1AC2" w:rsidRDefault="008E1AC2" w:rsidP="008E1AC2">
            <w:pPr>
              <w:jc w:val="both"/>
            </w:pPr>
            <w:r>
              <w:t>PCI to LAD could have resulted in a virtual additional increase in QOL by 3</w:t>
            </w:r>
            <w:r>
              <w:rPr>
                <w:rFonts w:cstheme="minorHAnsi"/>
              </w:rPr>
              <w:t>±</w:t>
            </w:r>
            <w:r>
              <w:t>1.2 in EQ-VAS and 0.06</w:t>
            </w:r>
            <w:r>
              <w:rPr>
                <w:rFonts w:cstheme="minorHAnsi"/>
              </w:rPr>
              <w:t>±</w:t>
            </w:r>
            <w:r>
              <w:t>0.009 in EQ-indexed scores</w:t>
            </w:r>
          </w:p>
          <w:p w14:paraId="4B2CB25A" w14:textId="62DB114B" w:rsidR="008E1AC2" w:rsidRDefault="008E1AC2" w:rsidP="008E1AC2">
            <w:pPr>
              <w:jc w:val="both"/>
            </w:pPr>
          </w:p>
        </w:tc>
        <w:tc>
          <w:tcPr>
            <w:tcW w:w="1417" w:type="dxa"/>
          </w:tcPr>
          <w:p w14:paraId="0CC2F8BF" w14:textId="7E122651" w:rsidR="008E1AC2" w:rsidRDefault="008E1AC2" w:rsidP="008E1AC2">
            <w:pPr>
              <w:jc w:val="both"/>
            </w:pPr>
            <w:r>
              <w:t>CCS could improve from class 1 to no angina, NYHA from 2 to 1</w:t>
            </w:r>
          </w:p>
        </w:tc>
      </w:tr>
      <w:tr w:rsidR="008E1AC2" w14:paraId="698D43D9" w14:textId="77777777" w:rsidTr="002C2525">
        <w:tc>
          <w:tcPr>
            <w:tcW w:w="687" w:type="dxa"/>
          </w:tcPr>
          <w:p w14:paraId="1B18FFFC" w14:textId="77777777" w:rsidR="008E1AC2" w:rsidRPr="00FD1D5A" w:rsidRDefault="008E1AC2" w:rsidP="008E1AC2">
            <w:pPr>
              <w:jc w:val="both"/>
            </w:pPr>
            <w:r w:rsidRPr="00FD1D5A">
              <w:t>274</w:t>
            </w:r>
          </w:p>
        </w:tc>
        <w:tc>
          <w:tcPr>
            <w:tcW w:w="829" w:type="dxa"/>
          </w:tcPr>
          <w:p w14:paraId="29211C32" w14:textId="77777777" w:rsidR="008E1AC2" w:rsidRDefault="008E1AC2" w:rsidP="008E1AC2">
            <w:pPr>
              <w:jc w:val="both"/>
            </w:pPr>
            <w:r>
              <w:t>mFFR D1</w:t>
            </w:r>
          </w:p>
        </w:tc>
        <w:tc>
          <w:tcPr>
            <w:tcW w:w="894" w:type="dxa"/>
          </w:tcPr>
          <w:p w14:paraId="76438619" w14:textId="77777777" w:rsidR="008E1AC2" w:rsidRDefault="008E1AC2" w:rsidP="008E1AC2">
            <w:pPr>
              <w:jc w:val="both"/>
            </w:pPr>
            <w:r>
              <w:t>OMT</w:t>
            </w:r>
          </w:p>
        </w:tc>
        <w:tc>
          <w:tcPr>
            <w:tcW w:w="1089" w:type="dxa"/>
          </w:tcPr>
          <w:p w14:paraId="177C686B" w14:textId="77777777" w:rsidR="008E1AC2" w:rsidRDefault="008E1AC2" w:rsidP="008E1AC2">
            <w:pPr>
              <w:jc w:val="both"/>
            </w:pPr>
            <w:r>
              <w:t>vFFR D1 0.83</w:t>
            </w:r>
          </w:p>
        </w:tc>
        <w:tc>
          <w:tcPr>
            <w:tcW w:w="1196" w:type="dxa"/>
          </w:tcPr>
          <w:p w14:paraId="1ABE83C0" w14:textId="77777777" w:rsidR="008E1AC2" w:rsidRDefault="008E1AC2" w:rsidP="008E1AC2">
            <w:pPr>
              <w:spacing w:line="276" w:lineRule="auto"/>
              <w:jc w:val="both"/>
            </w:pPr>
            <w:r>
              <w:t>Pressure wire cost saved</w:t>
            </w:r>
          </w:p>
          <w:p w14:paraId="19D11D0B" w14:textId="77777777" w:rsidR="008E1AC2" w:rsidRDefault="008E1AC2" w:rsidP="008E1AC2">
            <w:pPr>
              <w:spacing w:line="276" w:lineRule="auto"/>
              <w:jc w:val="both"/>
            </w:pPr>
            <w:r>
              <w:t>(-£586)</w:t>
            </w:r>
          </w:p>
        </w:tc>
        <w:tc>
          <w:tcPr>
            <w:tcW w:w="1351" w:type="dxa"/>
          </w:tcPr>
          <w:p w14:paraId="299B1378" w14:textId="77777777" w:rsidR="008E1AC2" w:rsidRDefault="008E1AC2" w:rsidP="008E1AC2">
            <w:pPr>
              <w:jc w:val="both"/>
            </w:pPr>
            <w:r>
              <w:t>Avoiding unnecessary mFFR could prevent exposure to periprocedu</w:t>
            </w:r>
            <w:r>
              <w:lastRenderedPageBreak/>
              <w:t>ral risks of coronary dissection (0.03%) and MACE (0.015%)</w:t>
            </w:r>
          </w:p>
          <w:p w14:paraId="0653DCA2" w14:textId="77777777" w:rsidR="008E1AC2" w:rsidRDefault="008E1AC2" w:rsidP="008E1AC2">
            <w:pPr>
              <w:jc w:val="both"/>
            </w:pPr>
          </w:p>
        </w:tc>
        <w:tc>
          <w:tcPr>
            <w:tcW w:w="1276" w:type="dxa"/>
          </w:tcPr>
          <w:p w14:paraId="5A43D7B7" w14:textId="1954E352" w:rsidR="008E1AC2" w:rsidRDefault="008E1AC2" w:rsidP="008E1AC2">
            <w:pPr>
              <w:jc w:val="both"/>
            </w:pPr>
            <w:r>
              <w:lastRenderedPageBreak/>
              <w:t xml:space="preserve">No change </w:t>
            </w:r>
          </w:p>
          <w:p w14:paraId="77B76F67" w14:textId="77777777" w:rsidR="008E1AC2" w:rsidRDefault="008E1AC2" w:rsidP="008E1AC2">
            <w:pPr>
              <w:jc w:val="both"/>
            </w:pPr>
          </w:p>
        </w:tc>
        <w:tc>
          <w:tcPr>
            <w:tcW w:w="1417" w:type="dxa"/>
          </w:tcPr>
          <w:p w14:paraId="5339C026" w14:textId="77777777" w:rsidR="008E1AC2" w:rsidRDefault="008E1AC2" w:rsidP="008E1AC2">
            <w:pPr>
              <w:jc w:val="both"/>
            </w:pPr>
            <w:r>
              <w:t>No change</w:t>
            </w:r>
          </w:p>
        </w:tc>
      </w:tr>
      <w:tr w:rsidR="008E1AC2" w14:paraId="1DDD8E01" w14:textId="77777777" w:rsidTr="002C2525">
        <w:tc>
          <w:tcPr>
            <w:tcW w:w="687" w:type="dxa"/>
          </w:tcPr>
          <w:p w14:paraId="6B70D810" w14:textId="77777777" w:rsidR="008E1AC2" w:rsidRPr="00FD1D5A" w:rsidRDefault="008E1AC2" w:rsidP="008E1AC2">
            <w:pPr>
              <w:jc w:val="both"/>
            </w:pPr>
            <w:r>
              <w:t>287</w:t>
            </w:r>
          </w:p>
        </w:tc>
        <w:tc>
          <w:tcPr>
            <w:tcW w:w="829" w:type="dxa"/>
          </w:tcPr>
          <w:p w14:paraId="631DBDCB" w14:textId="77777777" w:rsidR="008E1AC2" w:rsidRDefault="008E1AC2" w:rsidP="008E1AC2">
            <w:pPr>
              <w:jc w:val="both"/>
            </w:pPr>
            <w:r>
              <w:t>PCI OM + mFFR LAD</w:t>
            </w:r>
          </w:p>
        </w:tc>
        <w:tc>
          <w:tcPr>
            <w:tcW w:w="894" w:type="dxa"/>
          </w:tcPr>
          <w:p w14:paraId="070708D0" w14:textId="77777777" w:rsidR="008E1AC2" w:rsidRDefault="008E1AC2" w:rsidP="008E1AC2">
            <w:pPr>
              <w:jc w:val="both"/>
            </w:pPr>
            <w:r>
              <w:t>PCI OM, no need of mFFR</w:t>
            </w:r>
          </w:p>
        </w:tc>
        <w:tc>
          <w:tcPr>
            <w:tcW w:w="1089" w:type="dxa"/>
          </w:tcPr>
          <w:p w14:paraId="33E9D4E7" w14:textId="77777777" w:rsidR="008E1AC2" w:rsidRDefault="008E1AC2" w:rsidP="008E1AC2">
            <w:pPr>
              <w:jc w:val="both"/>
            </w:pPr>
            <w:r>
              <w:t>vFFR LAD 0.85</w:t>
            </w:r>
          </w:p>
        </w:tc>
        <w:tc>
          <w:tcPr>
            <w:tcW w:w="1196" w:type="dxa"/>
          </w:tcPr>
          <w:p w14:paraId="2C996462" w14:textId="77777777" w:rsidR="008E1AC2" w:rsidRDefault="008E1AC2" w:rsidP="008E1AC2">
            <w:pPr>
              <w:spacing w:line="276" w:lineRule="auto"/>
              <w:jc w:val="both"/>
            </w:pPr>
            <w:r>
              <w:t>Pressure wire cost saved</w:t>
            </w:r>
          </w:p>
          <w:p w14:paraId="13ACBB80" w14:textId="77777777" w:rsidR="008E1AC2" w:rsidRDefault="008E1AC2" w:rsidP="008E1AC2">
            <w:pPr>
              <w:spacing w:line="276" w:lineRule="auto"/>
              <w:jc w:val="both"/>
            </w:pPr>
            <w:r>
              <w:t>(-£586)</w:t>
            </w:r>
          </w:p>
        </w:tc>
        <w:tc>
          <w:tcPr>
            <w:tcW w:w="1351" w:type="dxa"/>
          </w:tcPr>
          <w:p w14:paraId="5B001F4B" w14:textId="77777777" w:rsidR="008E1AC2" w:rsidRDefault="008E1AC2" w:rsidP="008E1AC2">
            <w:pPr>
              <w:jc w:val="both"/>
            </w:pPr>
            <w:r>
              <w:t>Avoiding unnecessary mFFR could prevent exposure to periprocedural risks of coronary dissection (0.03%) and MACE (0.015%)</w:t>
            </w:r>
          </w:p>
          <w:p w14:paraId="64A1E44E" w14:textId="77777777" w:rsidR="008E1AC2" w:rsidRDefault="008E1AC2" w:rsidP="008E1AC2">
            <w:pPr>
              <w:jc w:val="both"/>
            </w:pPr>
          </w:p>
        </w:tc>
        <w:tc>
          <w:tcPr>
            <w:tcW w:w="1276" w:type="dxa"/>
          </w:tcPr>
          <w:p w14:paraId="3FA6EAF4" w14:textId="6F5EE504" w:rsidR="008E1AC2" w:rsidRDefault="008E1AC2" w:rsidP="008E1AC2">
            <w:pPr>
              <w:jc w:val="both"/>
            </w:pPr>
            <w:r>
              <w:t xml:space="preserve">No change </w:t>
            </w:r>
          </w:p>
        </w:tc>
        <w:tc>
          <w:tcPr>
            <w:tcW w:w="1417" w:type="dxa"/>
          </w:tcPr>
          <w:p w14:paraId="019074CD" w14:textId="77777777" w:rsidR="008E1AC2" w:rsidRDefault="008E1AC2" w:rsidP="008E1AC2">
            <w:pPr>
              <w:jc w:val="both"/>
            </w:pPr>
            <w:r>
              <w:t>No change</w:t>
            </w:r>
          </w:p>
        </w:tc>
      </w:tr>
      <w:tr w:rsidR="008E1AC2" w14:paraId="6C94B1BD" w14:textId="77777777" w:rsidTr="00FF20E2">
        <w:trPr>
          <w:trHeight w:val="638"/>
        </w:trPr>
        <w:tc>
          <w:tcPr>
            <w:tcW w:w="8739" w:type="dxa"/>
            <w:gridSpan w:val="8"/>
          </w:tcPr>
          <w:p w14:paraId="180756AC" w14:textId="77777777" w:rsidR="008E1AC2" w:rsidRDefault="008E1AC2" w:rsidP="008E1AC2">
            <w:pPr>
              <w:jc w:val="both"/>
            </w:pPr>
          </w:p>
        </w:tc>
      </w:tr>
      <w:tr w:rsidR="008E1AC2" w14:paraId="558569D1" w14:textId="77777777" w:rsidTr="002C2525">
        <w:trPr>
          <w:trHeight w:val="540"/>
        </w:trPr>
        <w:tc>
          <w:tcPr>
            <w:tcW w:w="687" w:type="dxa"/>
            <w:vMerge w:val="restart"/>
          </w:tcPr>
          <w:p w14:paraId="1F7394C7" w14:textId="77777777" w:rsidR="008E1AC2" w:rsidRPr="009F53B1" w:rsidRDefault="008E1AC2" w:rsidP="008E1AC2">
            <w:pPr>
              <w:jc w:val="both"/>
              <w:rPr>
                <w:b/>
                <w:bCs/>
              </w:rPr>
            </w:pPr>
            <w:r w:rsidRPr="009F53B1">
              <w:rPr>
                <w:b/>
                <w:bCs/>
              </w:rPr>
              <w:t>ID</w:t>
            </w:r>
          </w:p>
        </w:tc>
        <w:tc>
          <w:tcPr>
            <w:tcW w:w="829" w:type="dxa"/>
            <w:vMerge w:val="restart"/>
          </w:tcPr>
          <w:p w14:paraId="301F462C" w14:textId="77777777" w:rsidR="008E1AC2" w:rsidRPr="009F53B1" w:rsidRDefault="008E1AC2" w:rsidP="008E1AC2">
            <w:pPr>
              <w:jc w:val="both"/>
              <w:rPr>
                <w:b/>
                <w:bCs/>
              </w:rPr>
            </w:pPr>
            <w:r w:rsidRPr="009F53B1">
              <w:rPr>
                <w:b/>
                <w:bCs/>
              </w:rPr>
              <w:t>Pre-vFFR plan</w:t>
            </w:r>
          </w:p>
        </w:tc>
        <w:tc>
          <w:tcPr>
            <w:tcW w:w="894" w:type="dxa"/>
            <w:vMerge w:val="restart"/>
          </w:tcPr>
          <w:p w14:paraId="3AD3E272" w14:textId="77777777" w:rsidR="008E1AC2" w:rsidRPr="009F53B1" w:rsidRDefault="008E1AC2" w:rsidP="008E1AC2">
            <w:pPr>
              <w:jc w:val="both"/>
              <w:rPr>
                <w:b/>
                <w:bCs/>
              </w:rPr>
            </w:pPr>
            <w:r w:rsidRPr="009F53B1">
              <w:rPr>
                <w:b/>
                <w:bCs/>
              </w:rPr>
              <w:t>Post-vFFR plan</w:t>
            </w:r>
          </w:p>
        </w:tc>
        <w:tc>
          <w:tcPr>
            <w:tcW w:w="1089" w:type="dxa"/>
            <w:vMerge w:val="restart"/>
          </w:tcPr>
          <w:p w14:paraId="6DA30ECC" w14:textId="77777777" w:rsidR="008E1AC2" w:rsidRPr="009F53B1" w:rsidRDefault="008E1AC2" w:rsidP="008E1AC2">
            <w:pPr>
              <w:jc w:val="both"/>
              <w:rPr>
                <w:b/>
                <w:bCs/>
              </w:rPr>
            </w:pPr>
            <w:r w:rsidRPr="009F53B1">
              <w:rPr>
                <w:b/>
                <w:bCs/>
              </w:rPr>
              <w:t>Rationale for change in plan</w:t>
            </w:r>
          </w:p>
        </w:tc>
        <w:tc>
          <w:tcPr>
            <w:tcW w:w="5240" w:type="dxa"/>
            <w:gridSpan w:val="4"/>
          </w:tcPr>
          <w:p w14:paraId="237B8AB8" w14:textId="4E0F56A0" w:rsidR="008E1AC2" w:rsidRPr="009F53B1" w:rsidRDefault="008E1AC2" w:rsidP="008E1AC2">
            <w:pPr>
              <w:jc w:val="both"/>
              <w:rPr>
                <w:b/>
                <w:bCs/>
              </w:rPr>
            </w:pPr>
            <w:r w:rsidRPr="009F53B1">
              <w:rPr>
                <w:b/>
                <w:bCs/>
              </w:rPr>
              <w:t xml:space="preserve">       Virtual change in outcomes as per expert </w:t>
            </w:r>
            <w:r w:rsidR="0012399F">
              <w:rPr>
                <w:b/>
                <w:bCs/>
              </w:rPr>
              <w:t>MDT</w:t>
            </w:r>
          </w:p>
        </w:tc>
      </w:tr>
      <w:tr w:rsidR="008E1AC2" w14:paraId="6979AE60" w14:textId="77777777" w:rsidTr="002C2525">
        <w:trPr>
          <w:trHeight w:val="933"/>
        </w:trPr>
        <w:tc>
          <w:tcPr>
            <w:tcW w:w="687" w:type="dxa"/>
            <w:vMerge/>
          </w:tcPr>
          <w:p w14:paraId="7A3960DF" w14:textId="77777777" w:rsidR="008E1AC2" w:rsidRPr="009F53B1" w:rsidRDefault="008E1AC2" w:rsidP="008E1AC2">
            <w:pPr>
              <w:jc w:val="both"/>
              <w:rPr>
                <w:b/>
                <w:bCs/>
              </w:rPr>
            </w:pPr>
          </w:p>
        </w:tc>
        <w:tc>
          <w:tcPr>
            <w:tcW w:w="829" w:type="dxa"/>
            <w:vMerge/>
          </w:tcPr>
          <w:p w14:paraId="06464513" w14:textId="77777777" w:rsidR="008E1AC2" w:rsidRPr="009F53B1" w:rsidRDefault="008E1AC2" w:rsidP="008E1AC2">
            <w:pPr>
              <w:jc w:val="both"/>
              <w:rPr>
                <w:b/>
                <w:bCs/>
              </w:rPr>
            </w:pPr>
          </w:p>
        </w:tc>
        <w:tc>
          <w:tcPr>
            <w:tcW w:w="894" w:type="dxa"/>
            <w:vMerge/>
          </w:tcPr>
          <w:p w14:paraId="50D49955" w14:textId="77777777" w:rsidR="008E1AC2" w:rsidRPr="009F53B1" w:rsidRDefault="008E1AC2" w:rsidP="008E1AC2">
            <w:pPr>
              <w:jc w:val="both"/>
              <w:rPr>
                <w:b/>
                <w:bCs/>
              </w:rPr>
            </w:pPr>
          </w:p>
        </w:tc>
        <w:tc>
          <w:tcPr>
            <w:tcW w:w="1089" w:type="dxa"/>
            <w:vMerge/>
          </w:tcPr>
          <w:p w14:paraId="070B2AE6" w14:textId="77777777" w:rsidR="008E1AC2" w:rsidRPr="009F53B1" w:rsidRDefault="008E1AC2" w:rsidP="008E1AC2">
            <w:pPr>
              <w:jc w:val="both"/>
              <w:rPr>
                <w:b/>
                <w:bCs/>
              </w:rPr>
            </w:pPr>
          </w:p>
        </w:tc>
        <w:tc>
          <w:tcPr>
            <w:tcW w:w="1196" w:type="dxa"/>
          </w:tcPr>
          <w:p w14:paraId="527964F0" w14:textId="77777777" w:rsidR="008E1AC2" w:rsidRPr="009F53B1" w:rsidRDefault="008E1AC2" w:rsidP="008E1AC2">
            <w:pPr>
              <w:spacing w:line="276" w:lineRule="auto"/>
              <w:jc w:val="both"/>
              <w:rPr>
                <w:b/>
                <w:bCs/>
              </w:rPr>
            </w:pPr>
            <w:r w:rsidRPr="009F53B1">
              <w:rPr>
                <w:b/>
                <w:bCs/>
              </w:rPr>
              <w:t>Resource utilisation</w:t>
            </w:r>
          </w:p>
        </w:tc>
        <w:tc>
          <w:tcPr>
            <w:tcW w:w="1351" w:type="dxa"/>
          </w:tcPr>
          <w:p w14:paraId="16222B8C" w14:textId="77777777" w:rsidR="008E1AC2" w:rsidRPr="009F53B1" w:rsidRDefault="008E1AC2" w:rsidP="008E1AC2">
            <w:pPr>
              <w:jc w:val="both"/>
              <w:rPr>
                <w:b/>
                <w:bCs/>
              </w:rPr>
            </w:pPr>
            <w:r w:rsidRPr="009F53B1">
              <w:rPr>
                <w:b/>
                <w:bCs/>
              </w:rPr>
              <w:t>MACE</w:t>
            </w:r>
          </w:p>
        </w:tc>
        <w:tc>
          <w:tcPr>
            <w:tcW w:w="1276" w:type="dxa"/>
          </w:tcPr>
          <w:p w14:paraId="37ED63F7" w14:textId="77777777" w:rsidR="008E1AC2" w:rsidRPr="009F53B1" w:rsidRDefault="008E1AC2" w:rsidP="008E1AC2">
            <w:pPr>
              <w:jc w:val="both"/>
              <w:rPr>
                <w:b/>
                <w:bCs/>
              </w:rPr>
            </w:pPr>
            <w:r w:rsidRPr="009F53B1">
              <w:rPr>
                <w:b/>
                <w:bCs/>
              </w:rPr>
              <w:t xml:space="preserve">  QOL</w:t>
            </w:r>
          </w:p>
        </w:tc>
        <w:tc>
          <w:tcPr>
            <w:tcW w:w="1417" w:type="dxa"/>
          </w:tcPr>
          <w:p w14:paraId="2920C6DC" w14:textId="77777777" w:rsidR="008E1AC2" w:rsidRPr="009F53B1" w:rsidRDefault="008E1AC2" w:rsidP="008E1AC2">
            <w:pPr>
              <w:jc w:val="both"/>
              <w:rPr>
                <w:b/>
                <w:bCs/>
              </w:rPr>
            </w:pPr>
            <w:r w:rsidRPr="009F53B1">
              <w:rPr>
                <w:b/>
                <w:bCs/>
              </w:rPr>
              <w:t>NYHA/CCS</w:t>
            </w:r>
          </w:p>
        </w:tc>
      </w:tr>
      <w:tr w:rsidR="00D2323A" w14:paraId="30FCCE79" w14:textId="77777777" w:rsidTr="002C2525">
        <w:tc>
          <w:tcPr>
            <w:tcW w:w="687" w:type="dxa"/>
          </w:tcPr>
          <w:p w14:paraId="7C238B83" w14:textId="77777777" w:rsidR="00D2323A" w:rsidRDefault="00D2323A" w:rsidP="00D2323A">
            <w:pPr>
              <w:jc w:val="both"/>
            </w:pPr>
            <w:r w:rsidRPr="00010911">
              <w:t>D1</w:t>
            </w:r>
          </w:p>
        </w:tc>
        <w:tc>
          <w:tcPr>
            <w:tcW w:w="829" w:type="dxa"/>
          </w:tcPr>
          <w:p w14:paraId="7AAC1D58" w14:textId="77777777" w:rsidR="00D2323A" w:rsidRDefault="00D2323A" w:rsidP="00D2323A">
            <w:pPr>
              <w:jc w:val="both"/>
            </w:pPr>
            <w:r>
              <w:t>OMT</w:t>
            </w:r>
          </w:p>
        </w:tc>
        <w:tc>
          <w:tcPr>
            <w:tcW w:w="894" w:type="dxa"/>
          </w:tcPr>
          <w:p w14:paraId="37EEA371" w14:textId="77777777" w:rsidR="00D2323A" w:rsidRDefault="00D2323A" w:rsidP="00D2323A">
            <w:pPr>
              <w:jc w:val="both"/>
            </w:pPr>
            <w:r>
              <w:t>PCI LAD</w:t>
            </w:r>
          </w:p>
        </w:tc>
        <w:tc>
          <w:tcPr>
            <w:tcW w:w="1089" w:type="dxa"/>
          </w:tcPr>
          <w:p w14:paraId="5901043C" w14:textId="77777777" w:rsidR="00D2323A" w:rsidRDefault="00D2323A" w:rsidP="00D2323A">
            <w:pPr>
              <w:jc w:val="both"/>
            </w:pPr>
            <w:r>
              <w:t>vFFR LAD 0.78</w:t>
            </w:r>
          </w:p>
        </w:tc>
        <w:tc>
          <w:tcPr>
            <w:tcW w:w="1196" w:type="dxa"/>
          </w:tcPr>
          <w:p w14:paraId="170C5800" w14:textId="77777777" w:rsidR="00D2323A" w:rsidRDefault="00D2323A" w:rsidP="00D2323A">
            <w:pPr>
              <w:spacing w:line="276" w:lineRule="auto"/>
              <w:jc w:val="both"/>
            </w:pPr>
            <w:r>
              <w:t>PCI cost added (+£1263)</w:t>
            </w:r>
          </w:p>
        </w:tc>
        <w:tc>
          <w:tcPr>
            <w:tcW w:w="1351" w:type="dxa"/>
          </w:tcPr>
          <w:p w14:paraId="4F98C88C" w14:textId="46FD5AA7" w:rsidR="00D2323A" w:rsidRDefault="00D2323A" w:rsidP="00D2323A">
            <w:pPr>
              <w:jc w:val="both"/>
            </w:pPr>
            <w:r>
              <w:t>No change in MACE but could reduce risk of repeat revascularisation/ re-admission by 11.4% by performing PCI instead of OMT</w:t>
            </w:r>
          </w:p>
          <w:p w14:paraId="335286D1" w14:textId="77777777" w:rsidR="00D2323A" w:rsidRDefault="00D2323A" w:rsidP="00D2323A">
            <w:pPr>
              <w:jc w:val="both"/>
            </w:pPr>
          </w:p>
        </w:tc>
        <w:tc>
          <w:tcPr>
            <w:tcW w:w="1276" w:type="dxa"/>
          </w:tcPr>
          <w:p w14:paraId="1A74FE34" w14:textId="74B44F48" w:rsidR="00D2323A" w:rsidRDefault="00D2323A" w:rsidP="00D2323A">
            <w:pPr>
              <w:jc w:val="both"/>
            </w:pPr>
            <w:r>
              <w:t>PCI to LAD could have resulted in a virtual additional increase in QOL by 5.3</w:t>
            </w:r>
            <w:r>
              <w:rPr>
                <w:rFonts w:cstheme="minorHAnsi"/>
              </w:rPr>
              <w:t>±</w:t>
            </w:r>
            <w:r>
              <w:t>1.2 in EQ-VAS and 0.03</w:t>
            </w:r>
            <w:r>
              <w:rPr>
                <w:rFonts w:cstheme="minorHAnsi"/>
              </w:rPr>
              <w:t>±</w:t>
            </w:r>
            <w:r>
              <w:t>0.01 in EQ-indexed scores</w:t>
            </w:r>
          </w:p>
          <w:p w14:paraId="000ABF3F" w14:textId="7E18DA20" w:rsidR="00D2323A" w:rsidRDefault="00D2323A" w:rsidP="00D2323A">
            <w:pPr>
              <w:jc w:val="both"/>
            </w:pPr>
          </w:p>
        </w:tc>
        <w:tc>
          <w:tcPr>
            <w:tcW w:w="1417" w:type="dxa"/>
          </w:tcPr>
          <w:p w14:paraId="375773A8" w14:textId="77777777" w:rsidR="00D2323A" w:rsidRDefault="00D2323A" w:rsidP="00D2323A">
            <w:pPr>
              <w:jc w:val="both"/>
            </w:pPr>
            <w:r>
              <w:t>NYHA could improve from 2 to 1, CCS from 2 to 1</w:t>
            </w:r>
          </w:p>
        </w:tc>
      </w:tr>
      <w:tr w:rsidR="008E1AC2" w14:paraId="379AEFA3" w14:textId="77777777" w:rsidTr="002C2525">
        <w:tc>
          <w:tcPr>
            <w:tcW w:w="687" w:type="dxa"/>
          </w:tcPr>
          <w:p w14:paraId="6D89C249" w14:textId="77777777" w:rsidR="008E1AC2" w:rsidRDefault="008E1AC2" w:rsidP="008E1AC2">
            <w:pPr>
              <w:jc w:val="both"/>
            </w:pPr>
            <w:r>
              <w:t>D7</w:t>
            </w:r>
          </w:p>
        </w:tc>
        <w:tc>
          <w:tcPr>
            <w:tcW w:w="829" w:type="dxa"/>
          </w:tcPr>
          <w:p w14:paraId="58EF4B8D" w14:textId="77777777" w:rsidR="008E1AC2" w:rsidRDefault="008E1AC2" w:rsidP="008E1AC2">
            <w:pPr>
              <w:jc w:val="both"/>
            </w:pPr>
            <w:r>
              <w:t>CABG x 3</w:t>
            </w:r>
          </w:p>
        </w:tc>
        <w:tc>
          <w:tcPr>
            <w:tcW w:w="894" w:type="dxa"/>
          </w:tcPr>
          <w:p w14:paraId="6F3242C0" w14:textId="77777777" w:rsidR="008E1AC2" w:rsidRDefault="008E1AC2" w:rsidP="008E1AC2">
            <w:pPr>
              <w:jc w:val="both"/>
            </w:pPr>
            <w:r>
              <w:t>PCI LAD + LCx</w:t>
            </w:r>
          </w:p>
        </w:tc>
        <w:tc>
          <w:tcPr>
            <w:tcW w:w="1089" w:type="dxa"/>
          </w:tcPr>
          <w:p w14:paraId="7637BA7B" w14:textId="77777777" w:rsidR="008E1AC2" w:rsidRDefault="008E1AC2" w:rsidP="008E1AC2">
            <w:pPr>
              <w:jc w:val="both"/>
            </w:pPr>
            <w:r>
              <w:t>vFFR LAD 0.88, vFFR LCx 0.97</w:t>
            </w:r>
          </w:p>
        </w:tc>
        <w:tc>
          <w:tcPr>
            <w:tcW w:w="1196" w:type="dxa"/>
          </w:tcPr>
          <w:p w14:paraId="52F9EEE7" w14:textId="77777777" w:rsidR="008E1AC2" w:rsidRDefault="008E1AC2" w:rsidP="008E1AC2">
            <w:pPr>
              <w:spacing w:line="276" w:lineRule="auto"/>
              <w:jc w:val="both"/>
            </w:pPr>
            <w:r>
              <w:t xml:space="preserve">Reduced cost from CABG to PCI </w:t>
            </w:r>
          </w:p>
          <w:p w14:paraId="594EF540" w14:textId="77777777" w:rsidR="008E1AC2" w:rsidRDefault="008E1AC2" w:rsidP="008E1AC2">
            <w:pPr>
              <w:spacing w:line="276" w:lineRule="auto"/>
              <w:jc w:val="both"/>
            </w:pPr>
            <w:r>
              <w:t>(-£6732)</w:t>
            </w:r>
          </w:p>
        </w:tc>
        <w:tc>
          <w:tcPr>
            <w:tcW w:w="1351" w:type="dxa"/>
          </w:tcPr>
          <w:p w14:paraId="45237037" w14:textId="02FA362C" w:rsidR="008E1AC2" w:rsidRDefault="008E1AC2" w:rsidP="008E1AC2">
            <w:pPr>
              <w:jc w:val="both"/>
            </w:pPr>
            <w:r>
              <w:t>CABG could have increased 30-day mortality risk by 3.5%</w:t>
            </w:r>
            <w:r w:rsidR="00D2323A">
              <w:t xml:space="preserve"> compared to PCI</w:t>
            </w:r>
          </w:p>
          <w:p w14:paraId="7B94D142" w14:textId="77777777" w:rsidR="008E1AC2" w:rsidRDefault="008E1AC2" w:rsidP="008E1AC2">
            <w:pPr>
              <w:jc w:val="both"/>
            </w:pPr>
          </w:p>
        </w:tc>
        <w:tc>
          <w:tcPr>
            <w:tcW w:w="1276" w:type="dxa"/>
          </w:tcPr>
          <w:p w14:paraId="172CC4AB" w14:textId="73CA2A02" w:rsidR="008E1AC2" w:rsidRDefault="008E1AC2" w:rsidP="008E1AC2">
            <w:pPr>
              <w:jc w:val="both"/>
            </w:pPr>
            <w:r>
              <w:t>No change</w:t>
            </w:r>
            <w:r w:rsidR="00D2323A">
              <w:t xml:space="preserve"> as PCI and CABG result in equ</w:t>
            </w:r>
            <w:r w:rsidR="00356DCA">
              <w:t>ivalent increase in QOL</w:t>
            </w:r>
            <w:r>
              <w:t xml:space="preserve"> </w:t>
            </w:r>
          </w:p>
          <w:p w14:paraId="2B8198FB" w14:textId="77777777" w:rsidR="008E1AC2" w:rsidRDefault="008E1AC2" w:rsidP="008E1AC2">
            <w:pPr>
              <w:jc w:val="both"/>
            </w:pPr>
            <w:r>
              <w:t xml:space="preserve"> </w:t>
            </w:r>
          </w:p>
        </w:tc>
        <w:tc>
          <w:tcPr>
            <w:tcW w:w="1417" w:type="dxa"/>
          </w:tcPr>
          <w:p w14:paraId="25D6AC41" w14:textId="77777777" w:rsidR="008E1AC2" w:rsidRDefault="008E1AC2" w:rsidP="008E1AC2">
            <w:pPr>
              <w:jc w:val="both"/>
            </w:pPr>
            <w:r>
              <w:t>No change</w:t>
            </w:r>
          </w:p>
        </w:tc>
      </w:tr>
      <w:tr w:rsidR="00A66E18" w14:paraId="2158135B" w14:textId="77777777" w:rsidTr="002C2525">
        <w:tc>
          <w:tcPr>
            <w:tcW w:w="687" w:type="dxa"/>
          </w:tcPr>
          <w:p w14:paraId="4DE818A1" w14:textId="77777777" w:rsidR="00A66E18" w:rsidRDefault="00A66E18" w:rsidP="00A66E18">
            <w:pPr>
              <w:jc w:val="both"/>
            </w:pPr>
            <w:r w:rsidRPr="00010911">
              <w:lastRenderedPageBreak/>
              <w:t>D20</w:t>
            </w:r>
          </w:p>
        </w:tc>
        <w:tc>
          <w:tcPr>
            <w:tcW w:w="829" w:type="dxa"/>
          </w:tcPr>
          <w:p w14:paraId="5C05BF37" w14:textId="77777777" w:rsidR="00A66E18" w:rsidRDefault="00A66E18" w:rsidP="00A66E18">
            <w:pPr>
              <w:jc w:val="both"/>
            </w:pPr>
            <w:r>
              <w:t>PCI LCx</w:t>
            </w:r>
          </w:p>
        </w:tc>
        <w:tc>
          <w:tcPr>
            <w:tcW w:w="894" w:type="dxa"/>
          </w:tcPr>
          <w:p w14:paraId="63857BF1" w14:textId="77777777" w:rsidR="00A66E18" w:rsidRDefault="00A66E18" w:rsidP="00A66E18">
            <w:pPr>
              <w:jc w:val="both"/>
            </w:pPr>
            <w:r>
              <w:t>PCI LCx, mFFR LAD</w:t>
            </w:r>
          </w:p>
        </w:tc>
        <w:tc>
          <w:tcPr>
            <w:tcW w:w="1089" w:type="dxa"/>
          </w:tcPr>
          <w:p w14:paraId="12F0BA06" w14:textId="77777777" w:rsidR="00A66E18" w:rsidRDefault="00A66E18" w:rsidP="00A66E18">
            <w:pPr>
              <w:jc w:val="both"/>
            </w:pPr>
            <w:r>
              <w:t>vFFR LAD 0.74</w:t>
            </w:r>
          </w:p>
        </w:tc>
        <w:tc>
          <w:tcPr>
            <w:tcW w:w="1196" w:type="dxa"/>
          </w:tcPr>
          <w:p w14:paraId="381D3A1E" w14:textId="77777777" w:rsidR="00A66E18" w:rsidRDefault="00A66E18" w:rsidP="00A66E18">
            <w:pPr>
              <w:spacing w:line="276" w:lineRule="auto"/>
              <w:jc w:val="both"/>
            </w:pPr>
            <w:r>
              <w:t>Pressure wire cost added (+£586)</w:t>
            </w:r>
          </w:p>
        </w:tc>
        <w:tc>
          <w:tcPr>
            <w:tcW w:w="1351" w:type="dxa"/>
          </w:tcPr>
          <w:p w14:paraId="544B64BE" w14:textId="0426C4EF" w:rsidR="00A66E18" w:rsidRDefault="00A66E18" w:rsidP="00A66E18">
            <w:pPr>
              <w:jc w:val="both"/>
            </w:pPr>
            <w:r>
              <w:t>mFFR would have led to PCI to LAD, although no change in MACE but could reduce risk of repeat revascularisation/ re-admission by 11.4%</w:t>
            </w:r>
          </w:p>
          <w:p w14:paraId="6B64B0AD" w14:textId="77777777" w:rsidR="00A66E18" w:rsidRDefault="00A66E18" w:rsidP="00A66E18">
            <w:pPr>
              <w:jc w:val="both"/>
            </w:pPr>
          </w:p>
        </w:tc>
        <w:tc>
          <w:tcPr>
            <w:tcW w:w="1276" w:type="dxa"/>
          </w:tcPr>
          <w:p w14:paraId="3B3E5EBE" w14:textId="77777777" w:rsidR="00A66E18" w:rsidRDefault="00A66E18" w:rsidP="00A66E18">
            <w:pPr>
              <w:jc w:val="both"/>
            </w:pPr>
            <w:r>
              <w:t>PCI to LAD could have resulted in a virtual additional increase in QOL by 5.3</w:t>
            </w:r>
            <w:r>
              <w:rPr>
                <w:rFonts w:cstheme="minorHAnsi"/>
              </w:rPr>
              <w:t>±</w:t>
            </w:r>
            <w:r>
              <w:t>1.2 in EQ-VAS and 0.03</w:t>
            </w:r>
            <w:r>
              <w:rPr>
                <w:rFonts w:cstheme="minorHAnsi"/>
              </w:rPr>
              <w:t>±</w:t>
            </w:r>
            <w:r>
              <w:t>0.01 in EQ-indexed scores</w:t>
            </w:r>
          </w:p>
          <w:p w14:paraId="34F7E925" w14:textId="77777777" w:rsidR="00A66E18" w:rsidRDefault="00A66E18" w:rsidP="00A66E18">
            <w:pPr>
              <w:jc w:val="both"/>
            </w:pPr>
          </w:p>
        </w:tc>
        <w:tc>
          <w:tcPr>
            <w:tcW w:w="1417" w:type="dxa"/>
          </w:tcPr>
          <w:p w14:paraId="25B8105A" w14:textId="2F1FDFC3" w:rsidR="00A66E18" w:rsidRDefault="00A66E18" w:rsidP="00A66E18">
            <w:pPr>
              <w:jc w:val="both"/>
            </w:pPr>
            <w:r>
              <w:t>NYHA could improve from 2 to 1, CCS from 2 to 1</w:t>
            </w:r>
          </w:p>
        </w:tc>
      </w:tr>
      <w:tr w:rsidR="00D906C0" w14:paraId="4BA318D2" w14:textId="77777777" w:rsidTr="002C2525">
        <w:tc>
          <w:tcPr>
            <w:tcW w:w="687" w:type="dxa"/>
          </w:tcPr>
          <w:p w14:paraId="4AEB488C" w14:textId="77777777" w:rsidR="00D906C0" w:rsidRPr="00010911" w:rsidRDefault="00D906C0" w:rsidP="00D906C0">
            <w:pPr>
              <w:jc w:val="both"/>
            </w:pPr>
            <w:r w:rsidRPr="00010911">
              <w:t>R4</w:t>
            </w:r>
          </w:p>
        </w:tc>
        <w:tc>
          <w:tcPr>
            <w:tcW w:w="829" w:type="dxa"/>
          </w:tcPr>
          <w:p w14:paraId="3F4B0F6E" w14:textId="77777777" w:rsidR="00D906C0" w:rsidRDefault="00D906C0" w:rsidP="00D906C0">
            <w:pPr>
              <w:jc w:val="both"/>
            </w:pPr>
            <w:r>
              <w:t>OMT</w:t>
            </w:r>
          </w:p>
        </w:tc>
        <w:tc>
          <w:tcPr>
            <w:tcW w:w="894" w:type="dxa"/>
          </w:tcPr>
          <w:p w14:paraId="3D9BD05E" w14:textId="77777777" w:rsidR="00D906C0" w:rsidRDefault="00D906C0" w:rsidP="00D906C0">
            <w:pPr>
              <w:jc w:val="both"/>
            </w:pPr>
            <w:r>
              <w:t>PCI LCx</w:t>
            </w:r>
          </w:p>
        </w:tc>
        <w:tc>
          <w:tcPr>
            <w:tcW w:w="1089" w:type="dxa"/>
          </w:tcPr>
          <w:p w14:paraId="1D958516" w14:textId="77777777" w:rsidR="00D906C0" w:rsidRDefault="00D906C0" w:rsidP="00D906C0">
            <w:pPr>
              <w:jc w:val="both"/>
            </w:pPr>
            <w:r>
              <w:t>vFFR LCx 0.78</w:t>
            </w:r>
          </w:p>
        </w:tc>
        <w:tc>
          <w:tcPr>
            <w:tcW w:w="1196" w:type="dxa"/>
          </w:tcPr>
          <w:p w14:paraId="0C1F55CB" w14:textId="77777777" w:rsidR="00D906C0" w:rsidRDefault="00D906C0" w:rsidP="00D906C0">
            <w:pPr>
              <w:spacing w:line="276" w:lineRule="auto"/>
              <w:jc w:val="both"/>
            </w:pPr>
            <w:r>
              <w:t>PCI cost added (+£1263)</w:t>
            </w:r>
          </w:p>
        </w:tc>
        <w:tc>
          <w:tcPr>
            <w:tcW w:w="1351" w:type="dxa"/>
          </w:tcPr>
          <w:p w14:paraId="292AF416" w14:textId="77777777" w:rsidR="00D906C0" w:rsidRDefault="00D906C0" w:rsidP="00D906C0">
            <w:pPr>
              <w:jc w:val="both"/>
            </w:pPr>
            <w:r>
              <w:t>No change in MACE but could reduce risk of repeat revascularisation/ re-admission by 11.4%</w:t>
            </w:r>
          </w:p>
          <w:p w14:paraId="6FE2B154" w14:textId="77777777" w:rsidR="00D906C0" w:rsidRDefault="00D906C0" w:rsidP="00D906C0">
            <w:pPr>
              <w:jc w:val="both"/>
            </w:pPr>
          </w:p>
        </w:tc>
        <w:tc>
          <w:tcPr>
            <w:tcW w:w="1276" w:type="dxa"/>
          </w:tcPr>
          <w:p w14:paraId="4B550EC4" w14:textId="77777777" w:rsidR="00D906C0" w:rsidRDefault="00D906C0" w:rsidP="00D906C0">
            <w:pPr>
              <w:jc w:val="both"/>
            </w:pPr>
            <w:r>
              <w:t>PCI to LAD could have resulted in a virtual additional increase in QOL by 5.3</w:t>
            </w:r>
            <w:r>
              <w:rPr>
                <w:rFonts w:cstheme="minorHAnsi"/>
              </w:rPr>
              <w:t>±</w:t>
            </w:r>
            <w:r>
              <w:t>1.2 in EQ-VAS and 0.03</w:t>
            </w:r>
            <w:r>
              <w:rPr>
                <w:rFonts w:cstheme="minorHAnsi"/>
              </w:rPr>
              <w:t>±</w:t>
            </w:r>
            <w:r>
              <w:t>0.01 in EQ-indexed scores</w:t>
            </w:r>
          </w:p>
          <w:p w14:paraId="00E103F2" w14:textId="77777777" w:rsidR="00D906C0" w:rsidRDefault="00D906C0" w:rsidP="00D906C0">
            <w:pPr>
              <w:jc w:val="both"/>
            </w:pPr>
          </w:p>
        </w:tc>
        <w:tc>
          <w:tcPr>
            <w:tcW w:w="1417" w:type="dxa"/>
          </w:tcPr>
          <w:p w14:paraId="53610253" w14:textId="77777777" w:rsidR="00D906C0" w:rsidRDefault="00D906C0" w:rsidP="00D906C0">
            <w:pPr>
              <w:jc w:val="both"/>
            </w:pPr>
            <w:r>
              <w:t>NYHA could improve from 2 to 1, CCS from 2 to 1</w:t>
            </w:r>
          </w:p>
        </w:tc>
      </w:tr>
      <w:tr w:rsidR="00B863CE" w14:paraId="16DABBFC" w14:textId="77777777" w:rsidTr="002C2525">
        <w:tc>
          <w:tcPr>
            <w:tcW w:w="687" w:type="dxa"/>
          </w:tcPr>
          <w:p w14:paraId="4AFC2075" w14:textId="77777777" w:rsidR="00B863CE" w:rsidRPr="00010911" w:rsidRDefault="00B863CE" w:rsidP="00B863CE">
            <w:pPr>
              <w:jc w:val="both"/>
            </w:pPr>
            <w:r w:rsidRPr="00010911">
              <w:t>R6</w:t>
            </w:r>
          </w:p>
        </w:tc>
        <w:tc>
          <w:tcPr>
            <w:tcW w:w="829" w:type="dxa"/>
          </w:tcPr>
          <w:p w14:paraId="4575FF1F" w14:textId="77777777" w:rsidR="00B863CE" w:rsidRDefault="00B863CE" w:rsidP="00B863CE">
            <w:pPr>
              <w:jc w:val="both"/>
            </w:pPr>
            <w:r>
              <w:t>OMT</w:t>
            </w:r>
          </w:p>
        </w:tc>
        <w:tc>
          <w:tcPr>
            <w:tcW w:w="894" w:type="dxa"/>
          </w:tcPr>
          <w:p w14:paraId="5AC92133" w14:textId="77777777" w:rsidR="00B863CE" w:rsidRDefault="00B863CE" w:rsidP="00B863CE">
            <w:pPr>
              <w:jc w:val="both"/>
            </w:pPr>
            <w:r>
              <w:t>PCI RCA</w:t>
            </w:r>
          </w:p>
        </w:tc>
        <w:tc>
          <w:tcPr>
            <w:tcW w:w="1089" w:type="dxa"/>
          </w:tcPr>
          <w:p w14:paraId="710B92AB" w14:textId="77777777" w:rsidR="00B863CE" w:rsidRDefault="00B863CE" w:rsidP="00B863CE">
            <w:pPr>
              <w:jc w:val="both"/>
            </w:pPr>
            <w:r>
              <w:t>vFFR RCA 0.75</w:t>
            </w:r>
          </w:p>
        </w:tc>
        <w:tc>
          <w:tcPr>
            <w:tcW w:w="1196" w:type="dxa"/>
          </w:tcPr>
          <w:p w14:paraId="64068E99" w14:textId="77777777" w:rsidR="00B863CE" w:rsidRDefault="00B863CE" w:rsidP="00B863CE">
            <w:pPr>
              <w:spacing w:line="276" w:lineRule="auto"/>
              <w:jc w:val="both"/>
            </w:pPr>
            <w:r>
              <w:t>PCI cost added (+£1263)</w:t>
            </w:r>
          </w:p>
        </w:tc>
        <w:tc>
          <w:tcPr>
            <w:tcW w:w="1351" w:type="dxa"/>
          </w:tcPr>
          <w:p w14:paraId="08BAB610" w14:textId="77777777" w:rsidR="00B863CE" w:rsidRDefault="00B863CE" w:rsidP="00B863CE">
            <w:pPr>
              <w:jc w:val="both"/>
            </w:pPr>
            <w:r>
              <w:t>No change in MACE but could reduce risk of repeat revascularisation/ re-admission by 11.4%</w:t>
            </w:r>
          </w:p>
          <w:p w14:paraId="6A9973BF" w14:textId="231571C7" w:rsidR="00B863CE" w:rsidRDefault="00B863CE" w:rsidP="00B863CE">
            <w:pPr>
              <w:jc w:val="both"/>
            </w:pPr>
          </w:p>
        </w:tc>
        <w:tc>
          <w:tcPr>
            <w:tcW w:w="1276" w:type="dxa"/>
          </w:tcPr>
          <w:p w14:paraId="3FD846A1" w14:textId="6896432F" w:rsidR="00B863CE" w:rsidRDefault="00B863CE" w:rsidP="00B863CE">
            <w:pPr>
              <w:jc w:val="both"/>
            </w:pPr>
            <w:r>
              <w:t>PCI to RCA could have resulted in a virtual additional increase in QOL by 5.3</w:t>
            </w:r>
            <w:r>
              <w:rPr>
                <w:rFonts w:cstheme="minorHAnsi"/>
              </w:rPr>
              <w:t>±</w:t>
            </w:r>
            <w:r>
              <w:t>1.2 in EQ-VAS and 0.03</w:t>
            </w:r>
            <w:r>
              <w:rPr>
                <w:rFonts w:cstheme="minorHAnsi"/>
              </w:rPr>
              <w:t>±</w:t>
            </w:r>
            <w:r>
              <w:t>0.01 in EQ-indexed scores</w:t>
            </w:r>
          </w:p>
          <w:p w14:paraId="6FC2E616" w14:textId="77777777" w:rsidR="00B863CE" w:rsidRDefault="00B863CE" w:rsidP="00B863CE">
            <w:pPr>
              <w:jc w:val="both"/>
            </w:pPr>
          </w:p>
        </w:tc>
        <w:tc>
          <w:tcPr>
            <w:tcW w:w="1417" w:type="dxa"/>
          </w:tcPr>
          <w:p w14:paraId="2301CB23" w14:textId="2A953E24" w:rsidR="00B863CE" w:rsidRDefault="00B863CE" w:rsidP="00B863CE">
            <w:pPr>
              <w:jc w:val="both"/>
            </w:pPr>
            <w:r>
              <w:t>NYHA could improve from 2 to 1</w:t>
            </w:r>
            <w:r w:rsidR="00A91310">
              <w:t xml:space="preserve"> and</w:t>
            </w:r>
            <w:r>
              <w:t xml:space="preserve"> CCS </w:t>
            </w:r>
            <w:r w:rsidR="00A91310">
              <w:t xml:space="preserve">class </w:t>
            </w:r>
            <w:r>
              <w:t>from</w:t>
            </w:r>
            <w:r w:rsidR="00A91310">
              <w:t xml:space="preserve"> 2</w:t>
            </w:r>
            <w:r>
              <w:t xml:space="preserve"> to 1</w:t>
            </w:r>
          </w:p>
        </w:tc>
      </w:tr>
      <w:tr w:rsidR="00A91310" w14:paraId="1B818BD2" w14:textId="77777777" w:rsidTr="002C2525">
        <w:tc>
          <w:tcPr>
            <w:tcW w:w="687" w:type="dxa"/>
          </w:tcPr>
          <w:p w14:paraId="606A63D9" w14:textId="77777777" w:rsidR="00A91310" w:rsidRPr="00010911" w:rsidRDefault="00A91310" w:rsidP="00A91310">
            <w:pPr>
              <w:jc w:val="both"/>
            </w:pPr>
            <w:r>
              <w:t>D25</w:t>
            </w:r>
          </w:p>
        </w:tc>
        <w:tc>
          <w:tcPr>
            <w:tcW w:w="829" w:type="dxa"/>
          </w:tcPr>
          <w:p w14:paraId="6C856999" w14:textId="77777777" w:rsidR="00A91310" w:rsidRDefault="00A91310" w:rsidP="00A91310">
            <w:pPr>
              <w:jc w:val="both"/>
            </w:pPr>
            <w:r>
              <w:t>OMT</w:t>
            </w:r>
          </w:p>
        </w:tc>
        <w:tc>
          <w:tcPr>
            <w:tcW w:w="894" w:type="dxa"/>
          </w:tcPr>
          <w:p w14:paraId="553116C1" w14:textId="77777777" w:rsidR="00A91310" w:rsidRDefault="00A91310" w:rsidP="00A91310">
            <w:pPr>
              <w:jc w:val="both"/>
            </w:pPr>
            <w:r>
              <w:t>PCI RCA + mFFR LAD</w:t>
            </w:r>
          </w:p>
        </w:tc>
        <w:tc>
          <w:tcPr>
            <w:tcW w:w="1089" w:type="dxa"/>
          </w:tcPr>
          <w:p w14:paraId="5742D3D6" w14:textId="77777777" w:rsidR="00A91310" w:rsidRDefault="00A91310" w:rsidP="00A91310">
            <w:pPr>
              <w:jc w:val="both"/>
            </w:pPr>
            <w:r>
              <w:t>vFFR LAD 0.78</w:t>
            </w:r>
          </w:p>
        </w:tc>
        <w:tc>
          <w:tcPr>
            <w:tcW w:w="1196" w:type="dxa"/>
          </w:tcPr>
          <w:p w14:paraId="39C59DE5" w14:textId="77777777" w:rsidR="00A91310" w:rsidRDefault="00A91310" w:rsidP="00A91310">
            <w:pPr>
              <w:spacing w:line="276" w:lineRule="auto"/>
              <w:jc w:val="both"/>
            </w:pPr>
            <w:r>
              <w:t>Additional mFFR cost (+£586)</w:t>
            </w:r>
          </w:p>
        </w:tc>
        <w:tc>
          <w:tcPr>
            <w:tcW w:w="1351" w:type="dxa"/>
          </w:tcPr>
          <w:p w14:paraId="5553B185" w14:textId="77777777" w:rsidR="00A91310" w:rsidRDefault="00A91310" w:rsidP="00A91310">
            <w:pPr>
              <w:jc w:val="both"/>
            </w:pPr>
            <w:r>
              <w:t>No change in MACE but could reduce risk of repeat revascularisation/ re-admission by 11.4%</w:t>
            </w:r>
          </w:p>
          <w:p w14:paraId="60E01A5A" w14:textId="77777777" w:rsidR="00A91310" w:rsidRDefault="00A91310" w:rsidP="00A91310">
            <w:pPr>
              <w:jc w:val="both"/>
            </w:pPr>
          </w:p>
        </w:tc>
        <w:tc>
          <w:tcPr>
            <w:tcW w:w="1276" w:type="dxa"/>
          </w:tcPr>
          <w:p w14:paraId="575BF316" w14:textId="77777777" w:rsidR="00A91310" w:rsidRDefault="00A91310" w:rsidP="00A91310">
            <w:pPr>
              <w:jc w:val="both"/>
            </w:pPr>
            <w:r>
              <w:lastRenderedPageBreak/>
              <w:t>PCI to RCA could have resulted in a virtual additional increase in QOL by 5.3</w:t>
            </w:r>
            <w:r>
              <w:rPr>
                <w:rFonts w:cstheme="minorHAnsi"/>
              </w:rPr>
              <w:t>±</w:t>
            </w:r>
            <w:r>
              <w:t xml:space="preserve">1.2 in EQ-VAS and </w:t>
            </w:r>
            <w:r>
              <w:lastRenderedPageBreak/>
              <w:t>0.03</w:t>
            </w:r>
            <w:r>
              <w:rPr>
                <w:rFonts w:cstheme="minorHAnsi"/>
              </w:rPr>
              <w:t>±</w:t>
            </w:r>
            <w:r>
              <w:t>0.01 in EQ-indexed scores</w:t>
            </w:r>
          </w:p>
          <w:p w14:paraId="105FCF22" w14:textId="1A9B6AC6" w:rsidR="00A91310" w:rsidRDefault="00A91310" w:rsidP="00A91310">
            <w:pPr>
              <w:jc w:val="both"/>
            </w:pPr>
          </w:p>
        </w:tc>
        <w:tc>
          <w:tcPr>
            <w:tcW w:w="1417" w:type="dxa"/>
          </w:tcPr>
          <w:p w14:paraId="4699F610" w14:textId="77777777" w:rsidR="00A91310" w:rsidRDefault="00A91310" w:rsidP="00A91310">
            <w:pPr>
              <w:jc w:val="both"/>
            </w:pPr>
            <w:r>
              <w:lastRenderedPageBreak/>
              <w:t>NYHA could improve from 2 to 1, CCS from 2 to 1</w:t>
            </w:r>
          </w:p>
        </w:tc>
      </w:tr>
      <w:tr w:rsidR="00922B40" w14:paraId="54963BDD" w14:textId="77777777" w:rsidTr="002C2525">
        <w:tc>
          <w:tcPr>
            <w:tcW w:w="687" w:type="dxa"/>
          </w:tcPr>
          <w:p w14:paraId="53DDC01E" w14:textId="77777777" w:rsidR="00922B40" w:rsidRDefault="00922B40" w:rsidP="00922B40">
            <w:pPr>
              <w:jc w:val="both"/>
            </w:pPr>
            <w:r w:rsidRPr="00010911">
              <w:t>D26</w:t>
            </w:r>
          </w:p>
        </w:tc>
        <w:tc>
          <w:tcPr>
            <w:tcW w:w="829" w:type="dxa"/>
          </w:tcPr>
          <w:p w14:paraId="7D202E04" w14:textId="77777777" w:rsidR="00922B40" w:rsidRDefault="00922B40" w:rsidP="00922B40">
            <w:pPr>
              <w:jc w:val="both"/>
            </w:pPr>
            <w:r>
              <w:t>PCI RCA</w:t>
            </w:r>
          </w:p>
        </w:tc>
        <w:tc>
          <w:tcPr>
            <w:tcW w:w="894" w:type="dxa"/>
          </w:tcPr>
          <w:p w14:paraId="5692379A" w14:textId="77777777" w:rsidR="00922B40" w:rsidRDefault="00922B40" w:rsidP="00922B40">
            <w:pPr>
              <w:jc w:val="both"/>
            </w:pPr>
            <w:r>
              <w:t>PCI RCA + LAD</w:t>
            </w:r>
          </w:p>
        </w:tc>
        <w:tc>
          <w:tcPr>
            <w:tcW w:w="1089" w:type="dxa"/>
          </w:tcPr>
          <w:p w14:paraId="426BFB5E" w14:textId="77777777" w:rsidR="00922B40" w:rsidRDefault="00922B40" w:rsidP="00922B40">
            <w:pPr>
              <w:jc w:val="both"/>
            </w:pPr>
            <w:r>
              <w:t>vFFR LAD 0.67</w:t>
            </w:r>
          </w:p>
        </w:tc>
        <w:tc>
          <w:tcPr>
            <w:tcW w:w="1196" w:type="dxa"/>
          </w:tcPr>
          <w:p w14:paraId="4397189E" w14:textId="77777777" w:rsidR="00922B40" w:rsidRDefault="00922B40" w:rsidP="00922B40">
            <w:pPr>
              <w:spacing w:line="276" w:lineRule="auto"/>
              <w:jc w:val="both"/>
            </w:pPr>
            <w:r>
              <w:t>Additional vessel PCI (+£420)</w:t>
            </w:r>
          </w:p>
        </w:tc>
        <w:tc>
          <w:tcPr>
            <w:tcW w:w="1351" w:type="dxa"/>
          </w:tcPr>
          <w:p w14:paraId="627DBDA2" w14:textId="1E354F03" w:rsidR="00922B40" w:rsidRDefault="00922B40" w:rsidP="00922B40">
            <w:pPr>
              <w:jc w:val="both"/>
            </w:pPr>
            <w:r>
              <w:t>No change in MACE but PCI to LAD could reduce risk of repeat revascularisation/ re-admission by 11.4%</w:t>
            </w:r>
            <w:r w:rsidR="00AD0614">
              <w:t xml:space="preserve"> as vFFR was markedly positive (0.67)</w:t>
            </w:r>
          </w:p>
          <w:p w14:paraId="6BBE81CF" w14:textId="77777777" w:rsidR="00922B40" w:rsidRDefault="00922B40" w:rsidP="00922B40">
            <w:pPr>
              <w:jc w:val="both"/>
            </w:pPr>
          </w:p>
        </w:tc>
        <w:tc>
          <w:tcPr>
            <w:tcW w:w="1276" w:type="dxa"/>
          </w:tcPr>
          <w:p w14:paraId="7DEFCAB5" w14:textId="77777777" w:rsidR="00922B40" w:rsidRDefault="00922B40" w:rsidP="00922B40">
            <w:pPr>
              <w:jc w:val="both"/>
            </w:pPr>
            <w:r>
              <w:t>PCI to RCA could have resulted in a virtual additional increase in QOL by 5.3</w:t>
            </w:r>
            <w:r>
              <w:rPr>
                <w:rFonts w:cstheme="minorHAnsi"/>
              </w:rPr>
              <w:t>±</w:t>
            </w:r>
            <w:r>
              <w:t>1.2 in EQ-VAS and 0.03</w:t>
            </w:r>
            <w:r>
              <w:rPr>
                <w:rFonts w:cstheme="minorHAnsi"/>
              </w:rPr>
              <w:t>±</w:t>
            </w:r>
            <w:r>
              <w:t>0.01 in EQ-indexed scores</w:t>
            </w:r>
          </w:p>
          <w:p w14:paraId="7EE4E3F5" w14:textId="77777777" w:rsidR="00922B40" w:rsidRDefault="00922B40" w:rsidP="00922B40">
            <w:pPr>
              <w:jc w:val="both"/>
            </w:pPr>
          </w:p>
        </w:tc>
        <w:tc>
          <w:tcPr>
            <w:tcW w:w="1417" w:type="dxa"/>
          </w:tcPr>
          <w:p w14:paraId="2E0A1A0D" w14:textId="77777777" w:rsidR="00922B40" w:rsidRDefault="00922B40" w:rsidP="00922B40">
            <w:pPr>
              <w:jc w:val="both"/>
            </w:pPr>
            <w:r>
              <w:t>NYHA could improve from 2 to 1, CCS from 2 to 1</w:t>
            </w:r>
          </w:p>
        </w:tc>
      </w:tr>
      <w:tr w:rsidR="00C617F1" w14:paraId="3DEFFF8D" w14:textId="77777777" w:rsidTr="002C2525">
        <w:tc>
          <w:tcPr>
            <w:tcW w:w="687" w:type="dxa"/>
          </w:tcPr>
          <w:p w14:paraId="228370A4" w14:textId="77777777" w:rsidR="00C617F1" w:rsidRPr="00010911" w:rsidRDefault="00C617F1" w:rsidP="00C617F1">
            <w:pPr>
              <w:jc w:val="both"/>
            </w:pPr>
            <w:r>
              <w:t>D27</w:t>
            </w:r>
          </w:p>
        </w:tc>
        <w:tc>
          <w:tcPr>
            <w:tcW w:w="829" w:type="dxa"/>
          </w:tcPr>
          <w:p w14:paraId="278517E0" w14:textId="77777777" w:rsidR="00C617F1" w:rsidRDefault="00C617F1" w:rsidP="00C617F1">
            <w:pPr>
              <w:jc w:val="both"/>
            </w:pPr>
            <w:r>
              <w:t>OMT</w:t>
            </w:r>
          </w:p>
        </w:tc>
        <w:tc>
          <w:tcPr>
            <w:tcW w:w="894" w:type="dxa"/>
          </w:tcPr>
          <w:p w14:paraId="37F1AD1D" w14:textId="77777777" w:rsidR="00C617F1" w:rsidRDefault="00C617F1" w:rsidP="00C617F1">
            <w:pPr>
              <w:jc w:val="both"/>
            </w:pPr>
            <w:r>
              <w:t>PCI LAD</w:t>
            </w:r>
          </w:p>
        </w:tc>
        <w:tc>
          <w:tcPr>
            <w:tcW w:w="1089" w:type="dxa"/>
          </w:tcPr>
          <w:p w14:paraId="4D8B08FA" w14:textId="77777777" w:rsidR="00C617F1" w:rsidRDefault="00C617F1" w:rsidP="00C617F1">
            <w:pPr>
              <w:jc w:val="both"/>
            </w:pPr>
            <w:r>
              <w:t>vFFR LAD 0.54</w:t>
            </w:r>
          </w:p>
        </w:tc>
        <w:tc>
          <w:tcPr>
            <w:tcW w:w="1196" w:type="dxa"/>
          </w:tcPr>
          <w:p w14:paraId="69E437AF" w14:textId="77777777" w:rsidR="00C617F1" w:rsidRDefault="00C617F1" w:rsidP="00C617F1">
            <w:pPr>
              <w:spacing w:line="276" w:lineRule="auto"/>
              <w:jc w:val="both"/>
            </w:pPr>
            <w:r>
              <w:t>PCI cost added (+£1263)</w:t>
            </w:r>
          </w:p>
        </w:tc>
        <w:tc>
          <w:tcPr>
            <w:tcW w:w="1351" w:type="dxa"/>
          </w:tcPr>
          <w:p w14:paraId="73391EBF" w14:textId="77777777" w:rsidR="00C617F1" w:rsidRDefault="00C617F1" w:rsidP="00C617F1">
            <w:pPr>
              <w:jc w:val="both"/>
            </w:pPr>
            <w:r>
              <w:t>No change in MACE but could reduce risk of repeat revascularisation/ re-admission by 11.4%</w:t>
            </w:r>
          </w:p>
          <w:p w14:paraId="715D6DFC" w14:textId="77777777" w:rsidR="00C617F1" w:rsidRDefault="00C617F1" w:rsidP="00C617F1">
            <w:pPr>
              <w:jc w:val="both"/>
            </w:pPr>
          </w:p>
        </w:tc>
        <w:tc>
          <w:tcPr>
            <w:tcW w:w="1276" w:type="dxa"/>
          </w:tcPr>
          <w:p w14:paraId="60B6B1EE" w14:textId="5732DF21" w:rsidR="00C617F1" w:rsidRDefault="00C617F1" w:rsidP="00C617F1">
            <w:pPr>
              <w:jc w:val="both"/>
            </w:pPr>
            <w:r>
              <w:t>PCI to LAD could have resulted in a virtual additional increase in QOL by 5.3</w:t>
            </w:r>
            <w:r>
              <w:rPr>
                <w:rFonts w:cstheme="minorHAnsi"/>
              </w:rPr>
              <w:t>±</w:t>
            </w:r>
            <w:r>
              <w:t>1.2 in EQ-VAS and 0.03</w:t>
            </w:r>
            <w:r>
              <w:rPr>
                <w:rFonts w:cstheme="minorHAnsi"/>
              </w:rPr>
              <w:t>±</w:t>
            </w:r>
            <w:r>
              <w:t>0.01 in EQ-indexed scores</w:t>
            </w:r>
          </w:p>
          <w:p w14:paraId="28514C44" w14:textId="2A67871A" w:rsidR="00C617F1" w:rsidRDefault="00C617F1" w:rsidP="00C617F1">
            <w:pPr>
              <w:jc w:val="both"/>
            </w:pPr>
          </w:p>
        </w:tc>
        <w:tc>
          <w:tcPr>
            <w:tcW w:w="1417" w:type="dxa"/>
          </w:tcPr>
          <w:p w14:paraId="51E79FF3" w14:textId="77777777" w:rsidR="00C617F1" w:rsidRDefault="00C617F1" w:rsidP="00C617F1">
            <w:pPr>
              <w:jc w:val="both"/>
            </w:pPr>
            <w:r>
              <w:t>NYHA could improve from 2 to 1, CCS from 3 to 1</w:t>
            </w:r>
          </w:p>
        </w:tc>
      </w:tr>
      <w:tr w:rsidR="00C617F1" w14:paraId="4F659285" w14:textId="77777777" w:rsidTr="002C2525">
        <w:tc>
          <w:tcPr>
            <w:tcW w:w="687" w:type="dxa"/>
          </w:tcPr>
          <w:p w14:paraId="3B2B88A2" w14:textId="77777777" w:rsidR="00C617F1" w:rsidRDefault="00C617F1" w:rsidP="00C617F1">
            <w:pPr>
              <w:jc w:val="both"/>
            </w:pPr>
            <w:r w:rsidRPr="00010911">
              <w:t>D28</w:t>
            </w:r>
          </w:p>
        </w:tc>
        <w:tc>
          <w:tcPr>
            <w:tcW w:w="829" w:type="dxa"/>
          </w:tcPr>
          <w:p w14:paraId="1025827A" w14:textId="77777777" w:rsidR="00C617F1" w:rsidRDefault="00C617F1" w:rsidP="00C617F1">
            <w:pPr>
              <w:jc w:val="both"/>
            </w:pPr>
            <w:r>
              <w:t>OMT</w:t>
            </w:r>
          </w:p>
        </w:tc>
        <w:tc>
          <w:tcPr>
            <w:tcW w:w="894" w:type="dxa"/>
          </w:tcPr>
          <w:p w14:paraId="0A0B2AB6" w14:textId="77777777" w:rsidR="00C617F1" w:rsidRDefault="00C617F1" w:rsidP="00C617F1">
            <w:pPr>
              <w:jc w:val="both"/>
            </w:pPr>
            <w:r>
              <w:t>PCI LAD</w:t>
            </w:r>
          </w:p>
        </w:tc>
        <w:tc>
          <w:tcPr>
            <w:tcW w:w="1089" w:type="dxa"/>
          </w:tcPr>
          <w:p w14:paraId="697237EB" w14:textId="77777777" w:rsidR="00C617F1" w:rsidRDefault="00C617F1" w:rsidP="00C617F1">
            <w:pPr>
              <w:jc w:val="both"/>
            </w:pPr>
            <w:r>
              <w:t>vFFR LAD 0.79</w:t>
            </w:r>
          </w:p>
        </w:tc>
        <w:tc>
          <w:tcPr>
            <w:tcW w:w="1196" w:type="dxa"/>
          </w:tcPr>
          <w:p w14:paraId="5DD82E3A" w14:textId="77777777" w:rsidR="00C617F1" w:rsidRDefault="00C617F1" w:rsidP="00C617F1">
            <w:pPr>
              <w:spacing w:line="276" w:lineRule="auto"/>
              <w:jc w:val="both"/>
            </w:pPr>
            <w:r>
              <w:t>PCI cost added (+£1263)</w:t>
            </w:r>
          </w:p>
        </w:tc>
        <w:tc>
          <w:tcPr>
            <w:tcW w:w="1351" w:type="dxa"/>
          </w:tcPr>
          <w:p w14:paraId="49724A93" w14:textId="77777777" w:rsidR="00C617F1" w:rsidRDefault="00C617F1" w:rsidP="00C617F1">
            <w:pPr>
              <w:jc w:val="both"/>
            </w:pPr>
            <w:r>
              <w:t>No change in MACE but could reduce risk of repeat revascularisation/ re-admission by 11.4%</w:t>
            </w:r>
          </w:p>
          <w:p w14:paraId="40A3CBA2" w14:textId="77777777" w:rsidR="00C617F1" w:rsidRDefault="00C617F1" w:rsidP="00C617F1">
            <w:pPr>
              <w:jc w:val="both"/>
            </w:pPr>
          </w:p>
        </w:tc>
        <w:tc>
          <w:tcPr>
            <w:tcW w:w="1276" w:type="dxa"/>
          </w:tcPr>
          <w:p w14:paraId="21617145" w14:textId="6A6F1C28" w:rsidR="00C617F1" w:rsidRDefault="00C617F1" w:rsidP="00C617F1">
            <w:pPr>
              <w:jc w:val="both"/>
            </w:pPr>
            <w:r>
              <w:t>PCI to LAD could have resulted in a virtual additional increase in QOL by 5.3</w:t>
            </w:r>
            <w:r>
              <w:rPr>
                <w:rFonts w:cstheme="minorHAnsi"/>
              </w:rPr>
              <w:t>±</w:t>
            </w:r>
            <w:r>
              <w:t>1.2 in EQ-VAS and 0.03</w:t>
            </w:r>
            <w:r>
              <w:rPr>
                <w:rFonts w:cstheme="minorHAnsi"/>
              </w:rPr>
              <w:t>±</w:t>
            </w:r>
            <w:r>
              <w:t>0.01 in EQ-indexed scores</w:t>
            </w:r>
          </w:p>
          <w:p w14:paraId="66C7E4B5" w14:textId="50672E20" w:rsidR="00C617F1" w:rsidRDefault="00C617F1" w:rsidP="00C617F1">
            <w:pPr>
              <w:jc w:val="both"/>
            </w:pPr>
          </w:p>
        </w:tc>
        <w:tc>
          <w:tcPr>
            <w:tcW w:w="1417" w:type="dxa"/>
          </w:tcPr>
          <w:p w14:paraId="1D9DF24F" w14:textId="77777777" w:rsidR="00C617F1" w:rsidRDefault="00C617F1" w:rsidP="00C617F1">
            <w:pPr>
              <w:jc w:val="both"/>
            </w:pPr>
            <w:r>
              <w:t>NYHA could improve from 2 to 1, CCS from 2 to 1</w:t>
            </w:r>
          </w:p>
        </w:tc>
      </w:tr>
      <w:tr w:rsidR="00BA4C44" w14:paraId="647A77C7" w14:textId="77777777" w:rsidTr="002C2525">
        <w:tc>
          <w:tcPr>
            <w:tcW w:w="687" w:type="dxa"/>
          </w:tcPr>
          <w:p w14:paraId="06B2DFA5" w14:textId="77777777" w:rsidR="00BA4C44" w:rsidRPr="00010911" w:rsidRDefault="00BA4C44" w:rsidP="00BA4C44">
            <w:pPr>
              <w:jc w:val="both"/>
            </w:pPr>
            <w:r w:rsidRPr="00010911">
              <w:t>D33</w:t>
            </w:r>
          </w:p>
        </w:tc>
        <w:tc>
          <w:tcPr>
            <w:tcW w:w="829" w:type="dxa"/>
          </w:tcPr>
          <w:p w14:paraId="173A82ED" w14:textId="77777777" w:rsidR="00BA4C44" w:rsidRDefault="00BA4C44" w:rsidP="00BA4C44">
            <w:pPr>
              <w:jc w:val="both"/>
            </w:pPr>
            <w:r>
              <w:t>PCI LCx</w:t>
            </w:r>
          </w:p>
        </w:tc>
        <w:tc>
          <w:tcPr>
            <w:tcW w:w="894" w:type="dxa"/>
          </w:tcPr>
          <w:p w14:paraId="3ABD8A9A" w14:textId="77777777" w:rsidR="00BA4C44" w:rsidRDefault="00BA4C44" w:rsidP="00BA4C44">
            <w:pPr>
              <w:jc w:val="both"/>
            </w:pPr>
            <w:r>
              <w:t>PCI LCx + LAD</w:t>
            </w:r>
          </w:p>
        </w:tc>
        <w:tc>
          <w:tcPr>
            <w:tcW w:w="1089" w:type="dxa"/>
          </w:tcPr>
          <w:p w14:paraId="147AFAE2" w14:textId="77777777" w:rsidR="00BA4C44" w:rsidRDefault="00BA4C44" w:rsidP="00BA4C44">
            <w:pPr>
              <w:jc w:val="both"/>
            </w:pPr>
            <w:r>
              <w:t>vFFR LAD 0.72</w:t>
            </w:r>
          </w:p>
        </w:tc>
        <w:tc>
          <w:tcPr>
            <w:tcW w:w="1196" w:type="dxa"/>
          </w:tcPr>
          <w:p w14:paraId="4CF767C6" w14:textId="77777777" w:rsidR="00BA4C44" w:rsidRDefault="00BA4C44" w:rsidP="00BA4C44">
            <w:pPr>
              <w:spacing w:line="276" w:lineRule="auto"/>
              <w:jc w:val="both"/>
            </w:pPr>
            <w:r>
              <w:t>Additional vessel PCI (+£420)</w:t>
            </w:r>
          </w:p>
        </w:tc>
        <w:tc>
          <w:tcPr>
            <w:tcW w:w="1351" w:type="dxa"/>
          </w:tcPr>
          <w:p w14:paraId="4A54EF32" w14:textId="77777777" w:rsidR="00BA4C44" w:rsidRDefault="00BA4C44" w:rsidP="00BA4C44">
            <w:pPr>
              <w:jc w:val="both"/>
            </w:pPr>
            <w:r>
              <w:t xml:space="preserve">No change in MACE but could </w:t>
            </w:r>
            <w:r>
              <w:lastRenderedPageBreak/>
              <w:t>reduce risk of repeat revascularisation/ re-admission by 11.4%</w:t>
            </w:r>
          </w:p>
          <w:p w14:paraId="376929F4" w14:textId="77777777" w:rsidR="00BA4C44" w:rsidRDefault="00BA4C44" w:rsidP="00BA4C44">
            <w:pPr>
              <w:jc w:val="both"/>
            </w:pPr>
          </w:p>
        </w:tc>
        <w:tc>
          <w:tcPr>
            <w:tcW w:w="1276" w:type="dxa"/>
          </w:tcPr>
          <w:p w14:paraId="26625E6E" w14:textId="2781FE5E" w:rsidR="00BA4C44" w:rsidRDefault="00270148" w:rsidP="00BA4C44">
            <w:pPr>
              <w:jc w:val="both"/>
            </w:pPr>
            <w:r>
              <w:lastRenderedPageBreak/>
              <w:t>A</w:t>
            </w:r>
            <w:r w:rsidR="007E01D5">
              <w:t xml:space="preserve">dditional </w:t>
            </w:r>
            <w:r w:rsidR="00BA4C44">
              <w:t xml:space="preserve">PCI to LAD could have </w:t>
            </w:r>
            <w:r w:rsidR="00BA4C44">
              <w:lastRenderedPageBreak/>
              <w:t>resulted in a virtual additional increase in QOL by 5.3</w:t>
            </w:r>
            <w:r w:rsidR="00BA4C44">
              <w:rPr>
                <w:rFonts w:cstheme="minorHAnsi"/>
              </w:rPr>
              <w:t>±</w:t>
            </w:r>
            <w:r w:rsidR="00BA4C44">
              <w:t>1.2 in EQ-VAS and 0.03</w:t>
            </w:r>
            <w:r w:rsidR="00BA4C44">
              <w:rPr>
                <w:rFonts w:cstheme="minorHAnsi"/>
              </w:rPr>
              <w:t>±</w:t>
            </w:r>
            <w:r w:rsidR="00BA4C44">
              <w:t>0.01 in EQ-indexed scores</w:t>
            </w:r>
          </w:p>
          <w:p w14:paraId="587B58D8" w14:textId="359814CA" w:rsidR="00BA4C44" w:rsidRDefault="00BA4C44" w:rsidP="00BA4C44">
            <w:pPr>
              <w:jc w:val="both"/>
            </w:pPr>
          </w:p>
        </w:tc>
        <w:tc>
          <w:tcPr>
            <w:tcW w:w="1417" w:type="dxa"/>
          </w:tcPr>
          <w:p w14:paraId="0F0C4331" w14:textId="77777777" w:rsidR="00BA4C44" w:rsidRDefault="00BA4C44" w:rsidP="00BA4C44">
            <w:pPr>
              <w:jc w:val="both"/>
            </w:pPr>
            <w:r>
              <w:lastRenderedPageBreak/>
              <w:t xml:space="preserve">NYHA could improve from 3 to 2, </w:t>
            </w:r>
            <w:r>
              <w:lastRenderedPageBreak/>
              <w:t>CCS from 3 to 1</w:t>
            </w:r>
          </w:p>
        </w:tc>
      </w:tr>
      <w:tr w:rsidR="007E01D5" w14:paraId="7D9C149D" w14:textId="77777777" w:rsidTr="002C2525">
        <w:tc>
          <w:tcPr>
            <w:tcW w:w="687" w:type="dxa"/>
          </w:tcPr>
          <w:p w14:paraId="49520A59" w14:textId="77777777" w:rsidR="007E01D5" w:rsidRPr="00010911" w:rsidRDefault="007E01D5" w:rsidP="007E01D5">
            <w:pPr>
              <w:jc w:val="both"/>
            </w:pPr>
            <w:r>
              <w:lastRenderedPageBreak/>
              <w:t>R12</w:t>
            </w:r>
          </w:p>
        </w:tc>
        <w:tc>
          <w:tcPr>
            <w:tcW w:w="829" w:type="dxa"/>
          </w:tcPr>
          <w:p w14:paraId="6B63D83D" w14:textId="77777777" w:rsidR="007E01D5" w:rsidRDefault="007E01D5" w:rsidP="007E01D5">
            <w:pPr>
              <w:jc w:val="both"/>
            </w:pPr>
            <w:r>
              <w:t>OMT</w:t>
            </w:r>
          </w:p>
        </w:tc>
        <w:tc>
          <w:tcPr>
            <w:tcW w:w="894" w:type="dxa"/>
          </w:tcPr>
          <w:p w14:paraId="706B892E" w14:textId="77777777" w:rsidR="007E01D5" w:rsidRDefault="007E01D5" w:rsidP="007E01D5">
            <w:pPr>
              <w:jc w:val="both"/>
            </w:pPr>
            <w:r>
              <w:t>PCI LAD</w:t>
            </w:r>
          </w:p>
        </w:tc>
        <w:tc>
          <w:tcPr>
            <w:tcW w:w="1089" w:type="dxa"/>
          </w:tcPr>
          <w:p w14:paraId="687A8EA3" w14:textId="77777777" w:rsidR="007E01D5" w:rsidRDefault="007E01D5" w:rsidP="007E01D5">
            <w:pPr>
              <w:jc w:val="both"/>
            </w:pPr>
            <w:r>
              <w:t>vFFR LAD 0.65</w:t>
            </w:r>
          </w:p>
        </w:tc>
        <w:tc>
          <w:tcPr>
            <w:tcW w:w="1196" w:type="dxa"/>
          </w:tcPr>
          <w:p w14:paraId="40BEF6D4" w14:textId="77777777" w:rsidR="007E01D5" w:rsidRDefault="007E01D5" w:rsidP="007E01D5">
            <w:pPr>
              <w:spacing w:line="276" w:lineRule="auto"/>
              <w:jc w:val="both"/>
            </w:pPr>
            <w:r>
              <w:t>PCI cost added (+£1263)</w:t>
            </w:r>
          </w:p>
        </w:tc>
        <w:tc>
          <w:tcPr>
            <w:tcW w:w="1351" w:type="dxa"/>
          </w:tcPr>
          <w:p w14:paraId="59C86306" w14:textId="77777777" w:rsidR="007E01D5" w:rsidRDefault="007E01D5" w:rsidP="007E01D5">
            <w:pPr>
              <w:jc w:val="both"/>
            </w:pPr>
            <w:r>
              <w:t>No change in MACE but could reduce risk of repeat revascularisation/ re-admission by 11.4%</w:t>
            </w:r>
          </w:p>
          <w:p w14:paraId="79100744" w14:textId="52E94351" w:rsidR="007E01D5" w:rsidRDefault="007E01D5" w:rsidP="007E01D5">
            <w:pPr>
              <w:jc w:val="both"/>
            </w:pPr>
          </w:p>
        </w:tc>
        <w:tc>
          <w:tcPr>
            <w:tcW w:w="1276" w:type="dxa"/>
          </w:tcPr>
          <w:p w14:paraId="2B130B8F" w14:textId="77777777" w:rsidR="007E01D5" w:rsidRDefault="007E01D5" w:rsidP="007E01D5">
            <w:pPr>
              <w:jc w:val="both"/>
            </w:pPr>
            <w:r>
              <w:t>PCI to LAD could have resulted in a virtual additional increase in QOL by 5.3</w:t>
            </w:r>
            <w:r>
              <w:rPr>
                <w:rFonts w:cstheme="minorHAnsi"/>
              </w:rPr>
              <w:t>±</w:t>
            </w:r>
            <w:r>
              <w:t>1.2 in EQ-VAS and 0.03</w:t>
            </w:r>
            <w:r>
              <w:rPr>
                <w:rFonts w:cstheme="minorHAnsi"/>
              </w:rPr>
              <w:t>±</w:t>
            </w:r>
            <w:r>
              <w:t>0.01 in EQ-indexed scores</w:t>
            </w:r>
          </w:p>
          <w:p w14:paraId="7FB042B2" w14:textId="1D5D9B14" w:rsidR="007E01D5" w:rsidRDefault="007E01D5" w:rsidP="007E01D5">
            <w:pPr>
              <w:jc w:val="both"/>
            </w:pPr>
          </w:p>
        </w:tc>
        <w:tc>
          <w:tcPr>
            <w:tcW w:w="1417" w:type="dxa"/>
          </w:tcPr>
          <w:p w14:paraId="27FBB002" w14:textId="77777777" w:rsidR="007E01D5" w:rsidRDefault="007E01D5" w:rsidP="007E01D5">
            <w:pPr>
              <w:jc w:val="both"/>
            </w:pPr>
            <w:r>
              <w:t xml:space="preserve">CCS class could worsen from 2 to 3, NYHA no change </w:t>
            </w:r>
          </w:p>
        </w:tc>
      </w:tr>
      <w:tr w:rsidR="002A49B5" w14:paraId="53A17DAB" w14:textId="77777777" w:rsidTr="002C2525">
        <w:tc>
          <w:tcPr>
            <w:tcW w:w="687" w:type="dxa"/>
          </w:tcPr>
          <w:p w14:paraId="67CFCDB5" w14:textId="77777777" w:rsidR="002A49B5" w:rsidRDefault="002A49B5" w:rsidP="002A49B5">
            <w:pPr>
              <w:jc w:val="both"/>
            </w:pPr>
            <w:r w:rsidRPr="00010911">
              <w:t>B7</w:t>
            </w:r>
          </w:p>
        </w:tc>
        <w:tc>
          <w:tcPr>
            <w:tcW w:w="829" w:type="dxa"/>
          </w:tcPr>
          <w:p w14:paraId="2A139091" w14:textId="77777777" w:rsidR="002A49B5" w:rsidRDefault="002A49B5" w:rsidP="002A49B5">
            <w:pPr>
              <w:jc w:val="both"/>
            </w:pPr>
            <w:r>
              <w:t>OMT</w:t>
            </w:r>
          </w:p>
        </w:tc>
        <w:tc>
          <w:tcPr>
            <w:tcW w:w="894" w:type="dxa"/>
          </w:tcPr>
          <w:p w14:paraId="4B9DCF29" w14:textId="77777777" w:rsidR="002A49B5" w:rsidRDefault="002A49B5" w:rsidP="002A49B5">
            <w:pPr>
              <w:jc w:val="both"/>
            </w:pPr>
            <w:r>
              <w:t>PCI LAD</w:t>
            </w:r>
          </w:p>
        </w:tc>
        <w:tc>
          <w:tcPr>
            <w:tcW w:w="1089" w:type="dxa"/>
          </w:tcPr>
          <w:p w14:paraId="0021327D" w14:textId="77777777" w:rsidR="002A49B5" w:rsidRDefault="002A49B5" w:rsidP="002A49B5">
            <w:pPr>
              <w:jc w:val="both"/>
            </w:pPr>
            <w:r>
              <w:t>vFFR LAD 0.35</w:t>
            </w:r>
          </w:p>
        </w:tc>
        <w:tc>
          <w:tcPr>
            <w:tcW w:w="1196" w:type="dxa"/>
          </w:tcPr>
          <w:p w14:paraId="149A89AE" w14:textId="77777777" w:rsidR="002A49B5" w:rsidRDefault="002A49B5" w:rsidP="002A49B5">
            <w:pPr>
              <w:spacing w:line="276" w:lineRule="auto"/>
              <w:jc w:val="both"/>
            </w:pPr>
            <w:r>
              <w:t>PCI cost added (+£1263)</w:t>
            </w:r>
          </w:p>
        </w:tc>
        <w:tc>
          <w:tcPr>
            <w:tcW w:w="1351" w:type="dxa"/>
          </w:tcPr>
          <w:p w14:paraId="07A08865" w14:textId="77777777" w:rsidR="002A49B5" w:rsidRDefault="002A49B5" w:rsidP="002A49B5">
            <w:pPr>
              <w:jc w:val="both"/>
            </w:pPr>
            <w:r>
              <w:t>No change in MACE but could reduce risk of repeat revascularisation/ re-admission by 11.4%</w:t>
            </w:r>
          </w:p>
        </w:tc>
        <w:tc>
          <w:tcPr>
            <w:tcW w:w="1276" w:type="dxa"/>
          </w:tcPr>
          <w:p w14:paraId="7679DA45" w14:textId="77777777" w:rsidR="002A49B5" w:rsidRDefault="002A49B5" w:rsidP="002A49B5">
            <w:pPr>
              <w:jc w:val="both"/>
            </w:pPr>
            <w:r>
              <w:t>PCI to LAD could have resulted in a virtual additional increase in QOL by 5.3</w:t>
            </w:r>
            <w:r>
              <w:rPr>
                <w:rFonts w:cstheme="minorHAnsi"/>
              </w:rPr>
              <w:t>±</w:t>
            </w:r>
            <w:r>
              <w:t>1.2 in EQ-VAS and 0.03</w:t>
            </w:r>
            <w:r>
              <w:rPr>
                <w:rFonts w:cstheme="minorHAnsi"/>
              </w:rPr>
              <w:t>±</w:t>
            </w:r>
            <w:r>
              <w:t>0.01 in EQ-indexed scores</w:t>
            </w:r>
          </w:p>
          <w:p w14:paraId="349D44AB" w14:textId="5559F0DB" w:rsidR="002A49B5" w:rsidRDefault="002A49B5" w:rsidP="002A49B5">
            <w:pPr>
              <w:jc w:val="both"/>
            </w:pPr>
          </w:p>
        </w:tc>
        <w:tc>
          <w:tcPr>
            <w:tcW w:w="1417" w:type="dxa"/>
          </w:tcPr>
          <w:p w14:paraId="10602614" w14:textId="401A71F0" w:rsidR="002A49B5" w:rsidRDefault="002A49B5" w:rsidP="002A49B5">
            <w:pPr>
              <w:jc w:val="both"/>
            </w:pPr>
            <w:r>
              <w:t>No change in CCS, but NYHA could improve from 2 to 1</w:t>
            </w:r>
          </w:p>
        </w:tc>
      </w:tr>
      <w:tr w:rsidR="006E041E" w14:paraId="72AC3183" w14:textId="77777777" w:rsidTr="002C2525">
        <w:tc>
          <w:tcPr>
            <w:tcW w:w="687" w:type="dxa"/>
          </w:tcPr>
          <w:p w14:paraId="755EEFFF" w14:textId="77777777" w:rsidR="006E041E" w:rsidRPr="00010911" w:rsidRDefault="006E041E" w:rsidP="006E041E">
            <w:pPr>
              <w:jc w:val="both"/>
            </w:pPr>
            <w:r>
              <w:t>D59</w:t>
            </w:r>
          </w:p>
        </w:tc>
        <w:tc>
          <w:tcPr>
            <w:tcW w:w="829" w:type="dxa"/>
          </w:tcPr>
          <w:p w14:paraId="5629F289" w14:textId="77777777" w:rsidR="006E041E" w:rsidRDefault="006E041E" w:rsidP="006E041E">
            <w:pPr>
              <w:jc w:val="both"/>
            </w:pPr>
            <w:r>
              <w:t>OMT</w:t>
            </w:r>
          </w:p>
        </w:tc>
        <w:tc>
          <w:tcPr>
            <w:tcW w:w="894" w:type="dxa"/>
          </w:tcPr>
          <w:p w14:paraId="224A5700" w14:textId="77777777" w:rsidR="006E041E" w:rsidRDefault="006E041E" w:rsidP="006E041E">
            <w:pPr>
              <w:jc w:val="both"/>
            </w:pPr>
            <w:r>
              <w:t>PCI LAD</w:t>
            </w:r>
          </w:p>
        </w:tc>
        <w:tc>
          <w:tcPr>
            <w:tcW w:w="1089" w:type="dxa"/>
          </w:tcPr>
          <w:p w14:paraId="18F85DB0" w14:textId="4EC0DA0F" w:rsidR="006E041E" w:rsidRDefault="006E041E" w:rsidP="006E041E">
            <w:pPr>
              <w:jc w:val="both"/>
            </w:pPr>
            <w:r>
              <w:t>vFFR LAD 0.82</w:t>
            </w:r>
            <w:r w:rsidR="008177FC">
              <w:t>89</w:t>
            </w:r>
          </w:p>
        </w:tc>
        <w:tc>
          <w:tcPr>
            <w:tcW w:w="1196" w:type="dxa"/>
          </w:tcPr>
          <w:p w14:paraId="0B2EF5BE" w14:textId="77777777" w:rsidR="006E041E" w:rsidRDefault="006E041E" w:rsidP="006E041E">
            <w:pPr>
              <w:spacing w:line="276" w:lineRule="auto"/>
              <w:jc w:val="both"/>
            </w:pPr>
            <w:r>
              <w:t>Additional cost of mFFR) (+£586)</w:t>
            </w:r>
          </w:p>
        </w:tc>
        <w:tc>
          <w:tcPr>
            <w:tcW w:w="1351" w:type="dxa"/>
          </w:tcPr>
          <w:p w14:paraId="23963478" w14:textId="0EDB2C4B" w:rsidR="006E041E" w:rsidRDefault="006E041E" w:rsidP="006E041E">
            <w:pPr>
              <w:jc w:val="both"/>
            </w:pPr>
            <w:r>
              <w:t>No change in MACE but could reduce risk of repeat revascularisation/ re-admission by 11.4%</w:t>
            </w:r>
          </w:p>
        </w:tc>
        <w:tc>
          <w:tcPr>
            <w:tcW w:w="1276" w:type="dxa"/>
          </w:tcPr>
          <w:p w14:paraId="23E971DC" w14:textId="77777777" w:rsidR="006E041E" w:rsidRDefault="006E041E" w:rsidP="006E041E">
            <w:pPr>
              <w:jc w:val="both"/>
            </w:pPr>
            <w:r>
              <w:t>PCI to LAD could have resulted in a virtual additional increase in QOL by 5.3</w:t>
            </w:r>
            <w:r>
              <w:rPr>
                <w:rFonts w:cstheme="minorHAnsi"/>
              </w:rPr>
              <w:t>±</w:t>
            </w:r>
            <w:r>
              <w:t>1.2 in EQ-VAS and 0.03</w:t>
            </w:r>
            <w:r>
              <w:rPr>
                <w:rFonts w:cstheme="minorHAnsi"/>
              </w:rPr>
              <w:t>±</w:t>
            </w:r>
            <w:r>
              <w:t>0.01 in EQ-</w:t>
            </w:r>
            <w:r>
              <w:lastRenderedPageBreak/>
              <w:t>indexed scores</w:t>
            </w:r>
          </w:p>
          <w:p w14:paraId="286A3E35" w14:textId="77777777" w:rsidR="006E041E" w:rsidRDefault="006E041E" w:rsidP="006E041E">
            <w:pPr>
              <w:jc w:val="both"/>
            </w:pPr>
          </w:p>
        </w:tc>
        <w:tc>
          <w:tcPr>
            <w:tcW w:w="1417" w:type="dxa"/>
          </w:tcPr>
          <w:p w14:paraId="0EE141F6" w14:textId="77777777" w:rsidR="006E041E" w:rsidRDefault="006E041E" w:rsidP="006E041E">
            <w:pPr>
              <w:jc w:val="both"/>
            </w:pPr>
            <w:r>
              <w:lastRenderedPageBreak/>
              <w:t>NYHA could improve from 3 to 2, CCS from 2 to 1</w:t>
            </w:r>
          </w:p>
        </w:tc>
      </w:tr>
      <w:tr w:rsidR="008E1AC2" w14:paraId="01D2C75E" w14:textId="77777777" w:rsidTr="002C2525">
        <w:tc>
          <w:tcPr>
            <w:tcW w:w="687" w:type="dxa"/>
          </w:tcPr>
          <w:p w14:paraId="52F462CE" w14:textId="77777777" w:rsidR="008E1AC2" w:rsidRDefault="008E1AC2" w:rsidP="008E1AC2">
            <w:pPr>
              <w:jc w:val="both"/>
            </w:pPr>
            <w:r>
              <w:t>B11</w:t>
            </w:r>
          </w:p>
        </w:tc>
        <w:tc>
          <w:tcPr>
            <w:tcW w:w="829" w:type="dxa"/>
          </w:tcPr>
          <w:p w14:paraId="047F4830" w14:textId="77777777" w:rsidR="008E1AC2" w:rsidRDefault="008E1AC2" w:rsidP="008E1AC2">
            <w:pPr>
              <w:jc w:val="both"/>
            </w:pPr>
            <w:r>
              <w:t>CABG x 4</w:t>
            </w:r>
          </w:p>
        </w:tc>
        <w:tc>
          <w:tcPr>
            <w:tcW w:w="894" w:type="dxa"/>
          </w:tcPr>
          <w:p w14:paraId="22011AA1" w14:textId="77777777" w:rsidR="008E1AC2" w:rsidRDefault="008E1AC2" w:rsidP="008E1AC2">
            <w:pPr>
              <w:jc w:val="both"/>
            </w:pPr>
            <w:r>
              <w:t>CABG x 2</w:t>
            </w:r>
          </w:p>
        </w:tc>
        <w:tc>
          <w:tcPr>
            <w:tcW w:w="1089" w:type="dxa"/>
          </w:tcPr>
          <w:p w14:paraId="1F674704" w14:textId="77777777" w:rsidR="008E1AC2" w:rsidRDefault="008E1AC2" w:rsidP="008E1AC2">
            <w:pPr>
              <w:jc w:val="both"/>
            </w:pPr>
            <w:r>
              <w:t>vFFR RCA 0.85, vFFR LCx 0.88</w:t>
            </w:r>
          </w:p>
        </w:tc>
        <w:tc>
          <w:tcPr>
            <w:tcW w:w="1196" w:type="dxa"/>
          </w:tcPr>
          <w:p w14:paraId="3EDCC3DB" w14:textId="77777777" w:rsidR="008E1AC2" w:rsidRDefault="008E1AC2" w:rsidP="008E1AC2">
            <w:pPr>
              <w:spacing w:line="276" w:lineRule="auto"/>
              <w:jc w:val="both"/>
            </w:pPr>
            <w:r>
              <w:t>Saved cost from CABG complexity (-£1523)</w:t>
            </w:r>
          </w:p>
          <w:p w14:paraId="581C2497" w14:textId="77777777" w:rsidR="00E84100" w:rsidRDefault="00E84100" w:rsidP="008E1AC2">
            <w:pPr>
              <w:spacing w:line="276" w:lineRule="auto"/>
              <w:jc w:val="both"/>
            </w:pPr>
          </w:p>
        </w:tc>
        <w:tc>
          <w:tcPr>
            <w:tcW w:w="1351" w:type="dxa"/>
          </w:tcPr>
          <w:p w14:paraId="4AB4A147" w14:textId="77777777" w:rsidR="008E1AC2" w:rsidRDefault="008E1AC2" w:rsidP="008E1AC2">
            <w:pPr>
              <w:jc w:val="both"/>
            </w:pPr>
            <w:r>
              <w:t>No change</w:t>
            </w:r>
          </w:p>
        </w:tc>
        <w:tc>
          <w:tcPr>
            <w:tcW w:w="1276" w:type="dxa"/>
          </w:tcPr>
          <w:p w14:paraId="0E9BF444" w14:textId="77777777" w:rsidR="008E1AC2" w:rsidRDefault="008E1AC2" w:rsidP="008E1AC2">
            <w:pPr>
              <w:jc w:val="both"/>
            </w:pPr>
            <w:r>
              <w:t>No change</w:t>
            </w:r>
          </w:p>
        </w:tc>
        <w:tc>
          <w:tcPr>
            <w:tcW w:w="1417" w:type="dxa"/>
          </w:tcPr>
          <w:p w14:paraId="0FF69585" w14:textId="77777777" w:rsidR="008E1AC2" w:rsidRDefault="008E1AC2" w:rsidP="008E1AC2">
            <w:pPr>
              <w:jc w:val="both"/>
            </w:pPr>
            <w:r>
              <w:t>No change</w:t>
            </w:r>
          </w:p>
        </w:tc>
      </w:tr>
      <w:tr w:rsidR="003F4D42" w14:paraId="04EB2238" w14:textId="77777777" w:rsidTr="002C2525">
        <w:tc>
          <w:tcPr>
            <w:tcW w:w="687" w:type="dxa"/>
          </w:tcPr>
          <w:p w14:paraId="0E370F88" w14:textId="77777777" w:rsidR="003F4D42" w:rsidRDefault="003F4D42" w:rsidP="003F4D42">
            <w:pPr>
              <w:jc w:val="both"/>
            </w:pPr>
            <w:r w:rsidRPr="00010911">
              <w:t>B15</w:t>
            </w:r>
          </w:p>
        </w:tc>
        <w:tc>
          <w:tcPr>
            <w:tcW w:w="829" w:type="dxa"/>
          </w:tcPr>
          <w:p w14:paraId="715B9897" w14:textId="77777777" w:rsidR="003F4D42" w:rsidRDefault="003F4D42" w:rsidP="003F4D42">
            <w:pPr>
              <w:jc w:val="both"/>
            </w:pPr>
            <w:r>
              <w:t>PCI RCA</w:t>
            </w:r>
          </w:p>
        </w:tc>
        <w:tc>
          <w:tcPr>
            <w:tcW w:w="894" w:type="dxa"/>
          </w:tcPr>
          <w:p w14:paraId="61F9D4EF" w14:textId="77777777" w:rsidR="003F4D42" w:rsidRDefault="003F4D42" w:rsidP="003F4D42">
            <w:pPr>
              <w:jc w:val="both"/>
            </w:pPr>
            <w:r>
              <w:t>PCI of RCA, mFFR LAD</w:t>
            </w:r>
          </w:p>
        </w:tc>
        <w:tc>
          <w:tcPr>
            <w:tcW w:w="1089" w:type="dxa"/>
          </w:tcPr>
          <w:p w14:paraId="486ACD3C" w14:textId="77777777" w:rsidR="003F4D42" w:rsidRDefault="003F4D42" w:rsidP="003F4D42">
            <w:pPr>
              <w:jc w:val="both"/>
            </w:pPr>
            <w:r>
              <w:t>vFFR RCA 0.91, vFFR 0.84</w:t>
            </w:r>
          </w:p>
        </w:tc>
        <w:tc>
          <w:tcPr>
            <w:tcW w:w="1196" w:type="dxa"/>
          </w:tcPr>
          <w:p w14:paraId="44504CAA" w14:textId="77777777" w:rsidR="003F4D42" w:rsidRDefault="003F4D42" w:rsidP="003F4D42">
            <w:pPr>
              <w:spacing w:line="276" w:lineRule="auto"/>
              <w:jc w:val="both"/>
            </w:pPr>
            <w:r>
              <w:t>Pressure wire cost added (+£586)</w:t>
            </w:r>
          </w:p>
        </w:tc>
        <w:tc>
          <w:tcPr>
            <w:tcW w:w="1351" w:type="dxa"/>
          </w:tcPr>
          <w:p w14:paraId="3F4E0414" w14:textId="77777777" w:rsidR="003F4D42" w:rsidRDefault="003F4D42" w:rsidP="003F4D42">
            <w:pPr>
              <w:jc w:val="both"/>
            </w:pPr>
            <w:r>
              <w:t>Avoiding unnecessary mFFR could prevent exposure to periprocedural risks of coronary dissection (0.03%) and MACE (0.015%)</w:t>
            </w:r>
          </w:p>
          <w:p w14:paraId="5799F5BD" w14:textId="6C84D78C" w:rsidR="003F4D42" w:rsidRDefault="003F4D42" w:rsidP="003F4D42">
            <w:pPr>
              <w:jc w:val="both"/>
            </w:pPr>
          </w:p>
        </w:tc>
        <w:tc>
          <w:tcPr>
            <w:tcW w:w="1276" w:type="dxa"/>
          </w:tcPr>
          <w:p w14:paraId="33B3F7B5" w14:textId="77777777" w:rsidR="003F4D42" w:rsidRDefault="003F4D42" w:rsidP="003F4D42">
            <w:pPr>
              <w:jc w:val="both"/>
            </w:pPr>
            <w:r>
              <w:t>PCI to LAD could have resulted in a virtual additional increase in QOL by 5.3</w:t>
            </w:r>
            <w:r>
              <w:rPr>
                <w:rFonts w:cstheme="minorHAnsi"/>
              </w:rPr>
              <w:t>±</w:t>
            </w:r>
            <w:r>
              <w:t>1.2 in EQ-VAS and 0.03</w:t>
            </w:r>
            <w:r>
              <w:rPr>
                <w:rFonts w:cstheme="minorHAnsi"/>
              </w:rPr>
              <w:t>±</w:t>
            </w:r>
            <w:r>
              <w:t>0.01 in EQ-indexed scores</w:t>
            </w:r>
          </w:p>
          <w:p w14:paraId="487547A6" w14:textId="0E8587B6" w:rsidR="003F4D42" w:rsidRDefault="003F4D42" w:rsidP="003F4D42">
            <w:pPr>
              <w:jc w:val="both"/>
            </w:pPr>
          </w:p>
        </w:tc>
        <w:tc>
          <w:tcPr>
            <w:tcW w:w="1417" w:type="dxa"/>
          </w:tcPr>
          <w:p w14:paraId="564A8C09" w14:textId="77777777" w:rsidR="003F4D42" w:rsidRDefault="003F4D42" w:rsidP="003F4D42">
            <w:pPr>
              <w:jc w:val="both"/>
            </w:pPr>
            <w:r>
              <w:t>NYHA could improve from 3 to 2, CCS from 3 to 2</w:t>
            </w:r>
          </w:p>
        </w:tc>
      </w:tr>
      <w:tr w:rsidR="003F4D42" w14:paraId="76DD63D5" w14:textId="77777777" w:rsidTr="002C2525">
        <w:tc>
          <w:tcPr>
            <w:tcW w:w="687" w:type="dxa"/>
          </w:tcPr>
          <w:p w14:paraId="4B8C75DE" w14:textId="77777777" w:rsidR="003F4D42" w:rsidRPr="00010911" w:rsidRDefault="003F4D42" w:rsidP="003F4D42">
            <w:pPr>
              <w:jc w:val="both"/>
            </w:pPr>
            <w:r>
              <w:t>B16</w:t>
            </w:r>
          </w:p>
        </w:tc>
        <w:tc>
          <w:tcPr>
            <w:tcW w:w="829" w:type="dxa"/>
          </w:tcPr>
          <w:p w14:paraId="66928FFA" w14:textId="77777777" w:rsidR="003F4D42" w:rsidRDefault="003F4D42" w:rsidP="003F4D42">
            <w:pPr>
              <w:jc w:val="both"/>
            </w:pPr>
            <w:r>
              <w:t>FFR-guided PCI LAD</w:t>
            </w:r>
          </w:p>
        </w:tc>
        <w:tc>
          <w:tcPr>
            <w:tcW w:w="894" w:type="dxa"/>
          </w:tcPr>
          <w:p w14:paraId="1FAA4ADB" w14:textId="77777777" w:rsidR="003F4D42" w:rsidRDefault="003F4D42" w:rsidP="003F4D42">
            <w:pPr>
              <w:jc w:val="both"/>
            </w:pPr>
            <w:r>
              <w:t>PCI LAD</w:t>
            </w:r>
          </w:p>
        </w:tc>
        <w:tc>
          <w:tcPr>
            <w:tcW w:w="1089" w:type="dxa"/>
          </w:tcPr>
          <w:p w14:paraId="63066FA6" w14:textId="77777777" w:rsidR="003F4D42" w:rsidRDefault="003F4D42" w:rsidP="003F4D42">
            <w:pPr>
              <w:jc w:val="both"/>
            </w:pPr>
            <w:r>
              <w:t>vFFR LAD 0.67</w:t>
            </w:r>
          </w:p>
        </w:tc>
        <w:tc>
          <w:tcPr>
            <w:tcW w:w="1196" w:type="dxa"/>
          </w:tcPr>
          <w:p w14:paraId="08F62713" w14:textId="77777777" w:rsidR="003F4D42" w:rsidRDefault="003F4D42" w:rsidP="003F4D42">
            <w:pPr>
              <w:spacing w:line="276" w:lineRule="auto"/>
              <w:jc w:val="both"/>
            </w:pPr>
            <w:r>
              <w:t>Pressure wire cost saved</w:t>
            </w:r>
          </w:p>
          <w:p w14:paraId="6645A95D" w14:textId="77777777" w:rsidR="003F4D42" w:rsidRDefault="003F4D42" w:rsidP="003F4D42">
            <w:pPr>
              <w:spacing w:line="276" w:lineRule="auto"/>
              <w:jc w:val="both"/>
            </w:pPr>
            <w:r>
              <w:t>(-£586)</w:t>
            </w:r>
          </w:p>
          <w:p w14:paraId="197F4E19" w14:textId="77777777" w:rsidR="003F4D42" w:rsidRDefault="003F4D42" w:rsidP="003F4D42">
            <w:pPr>
              <w:spacing w:line="276" w:lineRule="auto"/>
              <w:jc w:val="both"/>
            </w:pPr>
          </w:p>
        </w:tc>
        <w:tc>
          <w:tcPr>
            <w:tcW w:w="1351" w:type="dxa"/>
          </w:tcPr>
          <w:p w14:paraId="0414B2C7" w14:textId="77777777" w:rsidR="003F4D42" w:rsidRDefault="003F4D42" w:rsidP="003F4D42">
            <w:pPr>
              <w:jc w:val="both"/>
            </w:pPr>
            <w:r>
              <w:t>Avoiding unnecessary mFFR could prevent exposure to periprocedural risks of coronary dissection (0.03%) and MACE (0.015%)</w:t>
            </w:r>
          </w:p>
          <w:p w14:paraId="15020295" w14:textId="77777777" w:rsidR="003F4D42" w:rsidRDefault="003F4D42" w:rsidP="003F4D42">
            <w:pPr>
              <w:jc w:val="both"/>
            </w:pPr>
          </w:p>
        </w:tc>
        <w:tc>
          <w:tcPr>
            <w:tcW w:w="1276" w:type="dxa"/>
          </w:tcPr>
          <w:p w14:paraId="0929B9E4" w14:textId="77777777" w:rsidR="003F4D42" w:rsidRDefault="003F4D42" w:rsidP="003F4D42">
            <w:pPr>
              <w:jc w:val="both"/>
            </w:pPr>
            <w:r>
              <w:t>No further change in QOL as PCI done privately already improved symptoms</w:t>
            </w:r>
          </w:p>
        </w:tc>
        <w:tc>
          <w:tcPr>
            <w:tcW w:w="1417" w:type="dxa"/>
          </w:tcPr>
          <w:p w14:paraId="20CD164E" w14:textId="77777777" w:rsidR="003F4D42" w:rsidRDefault="003F4D42" w:rsidP="003F4D42">
            <w:pPr>
              <w:jc w:val="both"/>
            </w:pPr>
            <w:r>
              <w:t>CCS could improve from 3 to 1, no change in NYHA</w:t>
            </w:r>
          </w:p>
        </w:tc>
      </w:tr>
      <w:tr w:rsidR="003F4D42" w14:paraId="1ADBECA7" w14:textId="77777777" w:rsidTr="002C2525">
        <w:tc>
          <w:tcPr>
            <w:tcW w:w="687" w:type="dxa"/>
          </w:tcPr>
          <w:p w14:paraId="264BD6BF" w14:textId="77777777" w:rsidR="003F4D42" w:rsidRPr="00010911" w:rsidRDefault="003F4D42" w:rsidP="003F4D42">
            <w:pPr>
              <w:jc w:val="both"/>
            </w:pPr>
            <w:r w:rsidRPr="00010911">
              <w:t>B21</w:t>
            </w:r>
          </w:p>
        </w:tc>
        <w:tc>
          <w:tcPr>
            <w:tcW w:w="829" w:type="dxa"/>
          </w:tcPr>
          <w:p w14:paraId="467A144F" w14:textId="77777777" w:rsidR="003F4D42" w:rsidRDefault="003F4D42" w:rsidP="003F4D42">
            <w:pPr>
              <w:jc w:val="both"/>
            </w:pPr>
            <w:r>
              <w:t>PCI LAD</w:t>
            </w:r>
          </w:p>
        </w:tc>
        <w:tc>
          <w:tcPr>
            <w:tcW w:w="894" w:type="dxa"/>
          </w:tcPr>
          <w:p w14:paraId="5469FA02" w14:textId="77777777" w:rsidR="003F4D42" w:rsidRDefault="003F4D42" w:rsidP="003F4D42">
            <w:pPr>
              <w:jc w:val="both"/>
            </w:pPr>
            <w:r>
              <w:t>PCI LAD + LCx</w:t>
            </w:r>
          </w:p>
        </w:tc>
        <w:tc>
          <w:tcPr>
            <w:tcW w:w="1089" w:type="dxa"/>
          </w:tcPr>
          <w:p w14:paraId="00A8FA5E" w14:textId="77777777" w:rsidR="003F4D42" w:rsidRDefault="003F4D42" w:rsidP="003F4D42">
            <w:pPr>
              <w:jc w:val="both"/>
            </w:pPr>
            <w:r>
              <w:t>vFFR LCx 0.77</w:t>
            </w:r>
          </w:p>
        </w:tc>
        <w:tc>
          <w:tcPr>
            <w:tcW w:w="1196" w:type="dxa"/>
          </w:tcPr>
          <w:p w14:paraId="6D99A13E" w14:textId="77777777" w:rsidR="003F4D42" w:rsidRDefault="003F4D42" w:rsidP="003F4D42">
            <w:pPr>
              <w:spacing w:line="276" w:lineRule="auto"/>
              <w:jc w:val="both"/>
            </w:pPr>
            <w:r>
              <w:t>Additional vessel stent (+£420)</w:t>
            </w:r>
          </w:p>
        </w:tc>
        <w:tc>
          <w:tcPr>
            <w:tcW w:w="1351" w:type="dxa"/>
          </w:tcPr>
          <w:p w14:paraId="5655EEE9" w14:textId="3066A778" w:rsidR="003F4D42" w:rsidRDefault="003F4D42" w:rsidP="003F4D42">
            <w:pPr>
              <w:jc w:val="both"/>
            </w:pPr>
            <w:r>
              <w:t>No change in MACE but additional LCx PCI could reduce risk of repeat revascularisation/ re-admission by 11.4%</w:t>
            </w:r>
          </w:p>
        </w:tc>
        <w:tc>
          <w:tcPr>
            <w:tcW w:w="1276" w:type="dxa"/>
          </w:tcPr>
          <w:p w14:paraId="5150613D" w14:textId="77777777" w:rsidR="003F4D42" w:rsidRDefault="003F4D42" w:rsidP="003F4D42">
            <w:pPr>
              <w:jc w:val="both"/>
            </w:pPr>
            <w:r>
              <w:t>PCI to LAD could have resulted in a virtual additional increase in QOL by 5.3</w:t>
            </w:r>
            <w:r>
              <w:rPr>
                <w:rFonts w:cstheme="minorHAnsi"/>
              </w:rPr>
              <w:t>±</w:t>
            </w:r>
            <w:r>
              <w:t>1.2 in EQ-VAS and 0.03</w:t>
            </w:r>
            <w:r>
              <w:rPr>
                <w:rFonts w:cstheme="minorHAnsi"/>
              </w:rPr>
              <w:t>±</w:t>
            </w:r>
            <w:r>
              <w:t>0.01 in EQ-indexed scores</w:t>
            </w:r>
          </w:p>
          <w:p w14:paraId="621AF20C" w14:textId="77777777" w:rsidR="003F4D42" w:rsidRDefault="003F4D42" w:rsidP="003F4D42">
            <w:pPr>
              <w:jc w:val="both"/>
            </w:pPr>
          </w:p>
        </w:tc>
        <w:tc>
          <w:tcPr>
            <w:tcW w:w="1417" w:type="dxa"/>
          </w:tcPr>
          <w:p w14:paraId="3EC4B18B" w14:textId="4FE97F83" w:rsidR="003F4D42" w:rsidRDefault="003F4D42" w:rsidP="003F4D42">
            <w:pPr>
              <w:jc w:val="both"/>
            </w:pPr>
            <w:r>
              <w:t>NYHA could improve from 2 to 1, CCS from 2 to 1</w:t>
            </w:r>
          </w:p>
        </w:tc>
      </w:tr>
      <w:tr w:rsidR="00CA4468" w14:paraId="7C124D52" w14:textId="77777777" w:rsidTr="002C2525">
        <w:tc>
          <w:tcPr>
            <w:tcW w:w="687" w:type="dxa"/>
          </w:tcPr>
          <w:p w14:paraId="02127D44" w14:textId="77777777" w:rsidR="00CA4468" w:rsidRPr="00010911" w:rsidRDefault="00CA4468" w:rsidP="00CA4468">
            <w:pPr>
              <w:jc w:val="both"/>
            </w:pPr>
            <w:r>
              <w:lastRenderedPageBreak/>
              <w:t>D73</w:t>
            </w:r>
          </w:p>
        </w:tc>
        <w:tc>
          <w:tcPr>
            <w:tcW w:w="829" w:type="dxa"/>
          </w:tcPr>
          <w:p w14:paraId="1A5C4ED4" w14:textId="77777777" w:rsidR="00CA4468" w:rsidRDefault="00CA4468" w:rsidP="00CA4468">
            <w:pPr>
              <w:jc w:val="both"/>
            </w:pPr>
            <w:r>
              <w:t>OMT</w:t>
            </w:r>
          </w:p>
        </w:tc>
        <w:tc>
          <w:tcPr>
            <w:tcW w:w="894" w:type="dxa"/>
          </w:tcPr>
          <w:p w14:paraId="6248EC8A" w14:textId="77777777" w:rsidR="00CA4468" w:rsidRDefault="00CA4468" w:rsidP="00CA4468">
            <w:pPr>
              <w:jc w:val="both"/>
            </w:pPr>
            <w:r>
              <w:t>PCI LAD + mFFR LCx</w:t>
            </w:r>
          </w:p>
        </w:tc>
        <w:tc>
          <w:tcPr>
            <w:tcW w:w="1089" w:type="dxa"/>
          </w:tcPr>
          <w:p w14:paraId="22A74C97" w14:textId="77777777" w:rsidR="00CA4468" w:rsidRDefault="00CA4468" w:rsidP="00CA4468">
            <w:pPr>
              <w:jc w:val="both"/>
            </w:pPr>
            <w:r>
              <w:t>vFFR LCx 0.91</w:t>
            </w:r>
          </w:p>
        </w:tc>
        <w:tc>
          <w:tcPr>
            <w:tcW w:w="1196" w:type="dxa"/>
          </w:tcPr>
          <w:p w14:paraId="07320A43" w14:textId="77777777" w:rsidR="00CA4468" w:rsidRDefault="00CA4468" w:rsidP="00CA4468">
            <w:pPr>
              <w:spacing w:line="276" w:lineRule="auto"/>
              <w:jc w:val="both"/>
            </w:pPr>
            <w:r>
              <w:t>PCI + additional mFFR (+£1849)</w:t>
            </w:r>
          </w:p>
        </w:tc>
        <w:tc>
          <w:tcPr>
            <w:tcW w:w="1351" w:type="dxa"/>
          </w:tcPr>
          <w:p w14:paraId="25C051CE" w14:textId="77777777" w:rsidR="00CA4468" w:rsidRDefault="00CA4468" w:rsidP="00CA4468">
            <w:pPr>
              <w:jc w:val="both"/>
            </w:pPr>
            <w:r>
              <w:t>No change in MACE but could reduce risk of repeat revascularisation/ re-admission by 11.4%</w:t>
            </w:r>
          </w:p>
          <w:p w14:paraId="5E0F1EC8" w14:textId="77777777" w:rsidR="00CA4468" w:rsidRDefault="00CA4468" w:rsidP="00CA4468">
            <w:pPr>
              <w:jc w:val="both"/>
            </w:pPr>
          </w:p>
        </w:tc>
        <w:tc>
          <w:tcPr>
            <w:tcW w:w="1276" w:type="dxa"/>
          </w:tcPr>
          <w:p w14:paraId="4BCD027B" w14:textId="724B5821" w:rsidR="00CA4468" w:rsidRDefault="00CA4468" w:rsidP="00CA4468">
            <w:pPr>
              <w:jc w:val="both"/>
            </w:pPr>
            <w:r>
              <w:t>PCI could have resulted in a virtual additional increase in QOL by 5.3</w:t>
            </w:r>
            <w:r>
              <w:rPr>
                <w:rFonts w:cstheme="minorHAnsi"/>
              </w:rPr>
              <w:t>±</w:t>
            </w:r>
            <w:r>
              <w:t>1.2 in EQ-VAS and 0.03</w:t>
            </w:r>
            <w:r>
              <w:rPr>
                <w:rFonts w:cstheme="minorHAnsi"/>
              </w:rPr>
              <w:t>±</w:t>
            </w:r>
            <w:r>
              <w:t>0.01 in EQ-indexed scores</w:t>
            </w:r>
          </w:p>
          <w:p w14:paraId="051CBB6C" w14:textId="37E448E3" w:rsidR="00CA4468" w:rsidRDefault="00CA4468" w:rsidP="00CA4468">
            <w:pPr>
              <w:jc w:val="both"/>
            </w:pPr>
          </w:p>
        </w:tc>
        <w:tc>
          <w:tcPr>
            <w:tcW w:w="1417" w:type="dxa"/>
          </w:tcPr>
          <w:p w14:paraId="3A4ECCC4" w14:textId="77777777" w:rsidR="00CA4468" w:rsidRDefault="00CA4468" w:rsidP="00CA4468">
            <w:pPr>
              <w:jc w:val="both"/>
            </w:pPr>
            <w:r>
              <w:t>CCS class from 3 to 2, NYHA class from 3 to 2</w:t>
            </w:r>
          </w:p>
        </w:tc>
      </w:tr>
      <w:tr w:rsidR="00CA4468" w14:paraId="551DB384" w14:textId="77777777" w:rsidTr="002C2525">
        <w:tc>
          <w:tcPr>
            <w:tcW w:w="687" w:type="dxa"/>
          </w:tcPr>
          <w:p w14:paraId="652D45FD" w14:textId="77777777" w:rsidR="00CA4468" w:rsidRDefault="00CA4468" w:rsidP="00CA4468">
            <w:pPr>
              <w:jc w:val="both"/>
            </w:pPr>
            <w:r>
              <w:t>R14</w:t>
            </w:r>
          </w:p>
        </w:tc>
        <w:tc>
          <w:tcPr>
            <w:tcW w:w="829" w:type="dxa"/>
          </w:tcPr>
          <w:p w14:paraId="14E2D6DA" w14:textId="77777777" w:rsidR="00CA4468" w:rsidRDefault="00CA4468" w:rsidP="00CA4468">
            <w:pPr>
              <w:jc w:val="both"/>
            </w:pPr>
            <w:r>
              <w:t>OMT</w:t>
            </w:r>
          </w:p>
        </w:tc>
        <w:tc>
          <w:tcPr>
            <w:tcW w:w="894" w:type="dxa"/>
          </w:tcPr>
          <w:p w14:paraId="5D5917CD" w14:textId="77777777" w:rsidR="00CA4468" w:rsidRDefault="00CA4468" w:rsidP="00CA4468">
            <w:pPr>
              <w:jc w:val="both"/>
            </w:pPr>
            <w:r>
              <w:t>mFFR LAD</w:t>
            </w:r>
          </w:p>
        </w:tc>
        <w:tc>
          <w:tcPr>
            <w:tcW w:w="1089" w:type="dxa"/>
          </w:tcPr>
          <w:p w14:paraId="3DF2EC90" w14:textId="77777777" w:rsidR="00CA4468" w:rsidRDefault="00CA4468" w:rsidP="00CA4468">
            <w:pPr>
              <w:jc w:val="both"/>
            </w:pPr>
            <w:r>
              <w:t>vFFR LAD 0.72</w:t>
            </w:r>
          </w:p>
        </w:tc>
        <w:tc>
          <w:tcPr>
            <w:tcW w:w="1196" w:type="dxa"/>
          </w:tcPr>
          <w:p w14:paraId="2B6A2907" w14:textId="77777777" w:rsidR="00CA4468" w:rsidRDefault="00CA4468" w:rsidP="00CA4468">
            <w:pPr>
              <w:spacing w:line="276" w:lineRule="auto"/>
              <w:jc w:val="both"/>
            </w:pPr>
            <w:r>
              <w:t>mFFR cost added (+£586)</w:t>
            </w:r>
          </w:p>
        </w:tc>
        <w:tc>
          <w:tcPr>
            <w:tcW w:w="1351" w:type="dxa"/>
          </w:tcPr>
          <w:p w14:paraId="22B4CDC8" w14:textId="77777777" w:rsidR="00CA4468" w:rsidRDefault="00CA4468" w:rsidP="00CA4468">
            <w:pPr>
              <w:jc w:val="both"/>
            </w:pPr>
            <w:r>
              <w:t>vFFR would have led to PCI, which could reduce the risk of repeat revascularisation/ re-admission by 11.4%</w:t>
            </w:r>
          </w:p>
          <w:p w14:paraId="0D473C23" w14:textId="77777777" w:rsidR="00CA4468" w:rsidRDefault="00CA4468" w:rsidP="00CA4468">
            <w:pPr>
              <w:jc w:val="both"/>
            </w:pPr>
          </w:p>
        </w:tc>
        <w:tc>
          <w:tcPr>
            <w:tcW w:w="1276" w:type="dxa"/>
          </w:tcPr>
          <w:p w14:paraId="7EAC5E16" w14:textId="77777777" w:rsidR="00CA4468" w:rsidRDefault="00CA4468" w:rsidP="00CA4468">
            <w:pPr>
              <w:jc w:val="both"/>
            </w:pPr>
            <w:r>
              <w:t>PCI could have resulted in a virtual additional increase in QOL by 5.3</w:t>
            </w:r>
            <w:r>
              <w:rPr>
                <w:rFonts w:cstheme="minorHAnsi"/>
              </w:rPr>
              <w:t>±</w:t>
            </w:r>
            <w:r>
              <w:t>1.2 in EQ-VAS and 0.03</w:t>
            </w:r>
            <w:r>
              <w:rPr>
                <w:rFonts w:cstheme="minorHAnsi"/>
              </w:rPr>
              <w:t>±</w:t>
            </w:r>
            <w:r>
              <w:t>0.01 in EQ-indexed scores</w:t>
            </w:r>
          </w:p>
          <w:p w14:paraId="00DAD353" w14:textId="15EB4B17" w:rsidR="00CA4468" w:rsidRDefault="00CA4468" w:rsidP="00CA4468">
            <w:pPr>
              <w:jc w:val="both"/>
            </w:pPr>
          </w:p>
        </w:tc>
        <w:tc>
          <w:tcPr>
            <w:tcW w:w="1417" w:type="dxa"/>
          </w:tcPr>
          <w:p w14:paraId="65E9CB00" w14:textId="6AE56954" w:rsidR="00CA4468" w:rsidRDefault="00CA4468" w:rsidP="00CA4468">
            <w:pPr>
              <w:jc w:val="both"/>
            </w:pPr>
            <w:r>
              <w:t>CCS class could improve from 2 to 1, NYHA from class 2 from 1</w:t>
            </w:r>
          </w:p>
        </w:tc>
      </w:tr>
      <w:tr w:rsidR="001609C6" w14:paraId="566764CA" w14:textId="77777777" w:rsidTr="002C2525">
        <w:tc>
          <w:tcPr>
            <w:tcW w:w="687" w:type="dxa"/>
          </w:tcPr>
          <w:p w14:paraId="6F7C9F33" w14:textId="77777777" w:rsidR="001609C6" w:rsidRDefault="001609C6" w:rsidP="001609C6">
            <w:pPr>
              <w:jc w:val="both"/>
            </w:pPr>
            <w:r>
              <w:t>S2</w:t>
            </w:r>
          </w:p>
        </w:tc>
        <w:tc>
          <w:tcPr>
            <w:tcW w:w="829" w:type="dxa"/>
          </w:tcPr>
          <w:p w14:paraId="1AF455F9" w14:textId="77777777" w:rsidR="001609C6" w:rsidRDefault="001609C6" w:rsidP="001609C6">
            <w:pPr>
              <w:jc w:val="both"/>
            </w:pPr>
            <w:r>
              <w:t>OMT</w:t>
            </w:r>
          </w:p>
        </w:tc>
        <w:tc>
          <w:tcPr>
            <w:tcW w:w="894" w:type="dxa"/>
          </w:tcPr>
          <w:p w14:paraId="2A930168" w14:textId="77777777" w:rsidR="001609C6" w:rsidRDefault="001609C6" w:rsidP="001609C6">
            <w:pPr>
              <w:jc w:val="both"/>
            </w:pPr>
            <w:r>
              <w:t>PCI LAD</w:t>
            </w:r>
          </w:p>
        </w:tc>
        <w:tc>
          <w:tcPr>
            <w:tcW w:w="1089" w:type="dxa"/>
          </w:tcPr>
          <w:p w14:paraId="64A9C55A" w14:textId="77777777" w:rsidR="001609C6" w:rsidRDefault="001609C6" w:rsidP="001609C6">
            <w:pPr>
              <w:jc w:val="both"/>
            </w:pPr>
            <w:r>
              <w:t>vFFR LAD 0.66</w:t>
            </w:r>
          </w:p>
        </w:tc>
        <w:tc>
          <w:tcPr>
            <w:tcW w:w="1196" w:type="dxa"/>
          </w:tcPr>
          <w:p w14:paraId="6004EDFA" w14:textId="77777777" w:rsidR="001609C6" w:rsidRDefault="001609C6" w:rsidP="001609C6">
            <w:pPr>
              <w:spacing w:line="276" w:lineRule="auto"/>
              <w:jc w:val="both"/>
            </w:pPr>
            <w:r>
              <w:t>PCI cost added (+£1263)</w:t>
            </w:r>
          </w:p>
        </w:tc>
        <w:tc>
          <w:tcPr>
            <w:tcW w:w="1351" w:type="dxa"/>
          </w:tcPr>
          <w:p w14:paraId="382A7952" w14:textId="77777777" w:rsidR="001609C6" w:rsidRDefault="001609C6" w:rsidP="001609C6">
            <w:pPr>
              <w:jc w:val="both"/>
            </w:pPr>
            <w:r>
              <w:t>No change in MACE but could reduce risk of repeat revascularisation/ re-admission by 11.4%</w:t>
            </w:r>
          </w:p>
          <w:p w14:paraId="507D0F09" w14:textId="77777777" w:rsidR="001609C6" w:rsidRDefault="001609C6" w:rsidP="001609C6">
            <w:pPr>
              <w:jc w:val="both"/>
            </w:pPr>
          </w:p>
        </w:tc>
        <w:tc>
          <w:tcPr>
            <w:tcW w:w="1276" w:type="dxa"/>
          </w:tcPr>
          <w:p w14:paraId="60DF76CB" w14:textId="77777777" w:rsidR="001609C6" w:rsidRDefault="001609C6" w:rsidP="001609C6">
            <w:pPr>
              <w:jc w:val="both"/>
            </w:pPr>
            <w:r>
              <w:t>PCI could have resulted in a virtual additional increase in QOL by 5.3</w:t>
            </w:r>
            <w:r>
              <w:rPr>
                <w:rFonts w:cstheme="minorHAnsi"/>
              </w:rPr>
              <w:t>±</w:t>
            </w:r>
            <w:r>
              <w:t>1.2 in EQ-VAS and 0.03</w:t>
            </w:r>
            <w:r>
              <w:rPr>
                <w:rFonts w:cstheme="minorHAnsi"/>
              </w:rPr>
              <w:t>±</w:t>
            </w:r>
            <w:r>
              <w:t>0.01 in EQ-indexed scores</w:t>
            </w:r>
          </w:p>
          <w:p w14:paraId="68B6BAB6" w14:textId="1BE95145" w:rsidR="001609C6" w:rsidRDefault="001609C6" w:rsidP="001609C6">
            <w:pPr>
              <w:jc w:val="both"/>
            </w:pPr>
          </w:p>
        </w:tc>
        <w:tc>
          <w:tcPr>
            <w:tcW w:w="1417" w:type="dxa"/>
          </w:tcPr>
          <w:p w14:paraId="4525CE47" w14:textId="77777777" w:rsidR="001609C6" w:rsidRDefault="001609C6" w:rsidP="001609C6">
            <w:pPr>
              <w:jc w:val="both"/>
            </w:pPr>
            <w:r>
              <w:t>CCS class from 3 to 1, NYHA from 3 to 1</w:t>
            </w:r>
          </w:p>
        </w:tc>
      </w:tr>
      <w:tr w:rsidR="001609C6" w14:paraId="6F1E9D2B" w14:textId="77777777" w:rsidTr="002C2525">
        <w:tc>
          <w:tcPr>
            <w:tcW w:w="687" w:type="dxa"/>
          </w:tcPr>
          <w:p w14:paraId="579281E8" w14:textId="77777777" w:rsidR="001609C6" w:rsidRDefault="001609C6" w:rsidP="001609C6">
            <w:pPr>
              <w:jc w:val="both"/>
            </w:pPr>
            <w:r>
              <w:t>D77</w:t>
            </w:r>
          </w:p>
        </w:tc>
        <w:tc>
          <w:tcPr>
            <w:tcW w:w="829" w:type="dxa"/>
          </w:tcPr>
          <w:p w14:paraId="2A8E8A08" w14:textId="77777777" w:rsidR="001609C6" w:rsidRDefault="001609C6" w:rsidP="001609C6">
            <w:pPr>
              <w:jc w:val="both"/>
            </w:pPr>
            <w:r>
              <w:t>OMT</w:t>
            </w:r>
          </w:p>
        </w:tc>
        <w:tc>
          <w:tcPr>
            <w:tcW w:w="894" w:type="dxa"/>
          </w:tcPr>
          <w:p w14:paraId="39522C33" w14:textId="77777777" w:rsidR="001609C6" w:rsidRDefault="001609C6" w:rsidP="001609C6">
            <w:pPr>
              <w:jc w:val="both"/>
            </w:pPr>
            <w:r>
              <w:t>PCI RCA</w:t>
            </w:r>
          </w:p>
        </w:tc>
        <w:tc>
          <w:tcPr>
            <w:tcW w:w="1089" w:type="dxa"/>
          </w:tcPr>
          <w:p w14:paraId="20766B75" w14:textId="77777777" w:rsidR="001609C6" w:rsidRDefault="001609C6" w:rsidP="001609C6">
            <w:pPr>
              <w:jc w:val="both"/>
            </w:pPr>
            <w:r>
              <w:t>vFFR RCA 0.88</w:t>
            </w:r>
          </w:p>
        </w:tc>
        <w:tc>
          <w:tcPr>
            <w:tcW w:w="1196" w:type="dxa"/>
          </w:tcPr>
          <w:p w14:paraId="7A05338E" w14:textId="77777777" w:rsidR="001609C6" w:rsidRDefault="001609C6" w:rsidP="001609C6">
            <w:pPr>
              <w:spacing w:line="276" w:lineRule="auto"/>
              <w:jc w:val="both"/>
            </w:pPr>
            <w:r>
              <w:t>PCI cost added (+£1263)</w:t>
            </w:r>
          </w:p>
        </w:tc>
        <w:tc>
          <w:tcPr>
            <w:tcW w:w="1351" w:type="dxa"/>
          </w:tcPr>
          <w:p w14:paraId="3497B670" w14:textId="77777777" w:rsidR="001609C6" w:rsidRDefault="001609C6" w:rsidP="001609C6">
            <w:pPr>
              <w:jc w:val="both"/>
            </w:pPr>
            <w:r>
              <w:t>No change in MACE but could reduce risk of repeat revascularisation/ re-admission by 11.4%</w:t>
            </w:r>
          </w:p>
          <w:p w14:paraId="3B3EB73C" w14:textId="77777777" w:rsidR="001609C6" w:rsidRDefault="001609C6" w:rsidP="001609C6">
            <w:pPr>
              <w:jc w:val="both"/>
            </w:pPr>
          </w:p>
        </w:tc>
        <w:tc>
          <w:tcPr>
            <w:tcW w:w="1276" w:type="dxa"/>
          </w:tcPr>
          <w:p w14:paraId="5E5B8223" w14:textId="77777777" w:rsidR="001609C6" w:rsidRDefault="001609C6" w:rsidP="001609C6">
            <w:pPr>
              <w:jc w:val="both"/>
            </w:pPr>
            <w:r>
              <w:lastRenderedPageBreak/>
              <w:t>PCI could have resulted in a virtual additional increase in QOL by 5.3</w:t>
            </w:r>
            <w:r>
              <w:rPr>
                <w:rFonts w:cstheme="minorHAnsi"/>
              </w:rPr>
              <w:t>±</w:t>
            </w:r>
            <w:r>
              <w:t xml:space="preserve">1.2 in EQ-VAS and </w:t>
            </w:r>
            <w:r>
              <w:lastRenderedPageBreak/>
              <w:t>0.03</w:t>
            </w:r>
            <w:r>
              <w:rPr>
                <w:rFonts w:cstheme="minorHAnsi"/>
              </w:rPr>
              <w:t>±</w:t>
            </w:r>
            <w:r>
              <w:t>0.01 in EQ-indexed scores</w:t>
            </w:r>
          </w:p>
          <w:p w14:paraId="70085CC0" w14:textId="6E30B9F9" w:rsidR="001609C6" w:rsidRDefault="001609C6" w:rsidP="001609C6">
            <w:pPr>
              <w:jc w:val="both"/>
            </w:pPr>
          </w:p>
        </w:tc>
        <w:tc>
          <w:tcPr>
            <w:tcW w:w="1417" w:type="dxa"/>
          </w:tcPr>
          <w:p w14:paraId="0BDB176E" w14:textId="77777777" w:rsidR="001609C6" w:rsidRDefault="001609C6" w:rsidP="001609C6">
            <w:pPr>
              <w:jc w:val="both"/>
            </w:pPr>
            <w:r>
              <w:lastRenderedPageBreak/>
              <w:t>NYHA could improve from 2 to 1, CCS from 3 to 1</w:t>
            </w:r>
          </w:p>
        </w:tc>
      </w:tr>
      <w:tr w:rsidR="001609C6" w14:paraId="409D9137" w14:textId="77777777" w:rsidTr="002C2525">
        <w:tc>
          <w:tcPr>
            <w:tcW w:w="687" w:type="dxa"/>
          </w:tcPr>
          <w:p w14:paraId="04805C08" w14:textId="77777777" w:rsidR="001609C6" w:rsidRDefault="001609C6" w:rsidP="001609C6">
            <w:pPr>
              <w:jc w:val="both"/>
            </w:pPr>
            <w:r>
              <w:t>B34</w:t>
            </w:r>
          </w:p>
        </w:tc>
        <w:tc>
          <w:tcPr>
            <w:tcW w:w="829" w:type="dxa"/>
          </w:tcPr>
          <w:p w14:paraId="4B57577A" w14:textId="77777777" w:rsidR="001609C6" w:rsidRDefault="001609C6" w:rsidP="001609C6">
            <w:pPr>
              <w:jc w:val="both"/>
            </w:pPr>
            <w:r>
              <w:t>OMT</w:t>
            </w:r>
          </w:p>
        </w:tc>
        <w:tc>
          <w:tcPr>
            <w:tcW w:w="894" w:type="dxa"/>
          </w:tcPr>
          <w:p w14:paraId="70C3C27A" w14:textId="77777777" w:rsidR="001609C6" w:rsidRDefault="001609C6" w:rsidP="001609C6">
            <w:pPr>
              <w:jc w:val="both"/>
            </w:pPr>
            <w:r>
              <w:t>PCI LCx</w:t>
            </w:r>
          </w:p>
        </w:tc>
        <w:tc>
          <w:tcPr>
            <w:tcW w:w="1089" w:type="dxa"/>
          </w:tcPr>
          <w:p w14:paraId="2108B663" w14:textId="77777777" w:rsidR="001609C6" w:rsidRDefault="001609C6" w:rsidP="001609C6">
            <w:pPr>
              <w:jc w:val="both"/>
            </w:pPr>
            <w:r>
              <w:t>vFFR LCx 0.69</w:t>
            </w:r>
          </w:p>
        </w:tc>
        <w:tc>
          <w:tcPr>
            <w:tcW w:w="1196" w:type="dxa"/>
          </w:tcPr>
          <w:p w14:paraId="6649B560" w14:textId="77777777" w:rsidR="001609C6" w:rsidRDefault="001609C6" w:rsidP="001609C6">
            <w:pPr>
              <w:spacing w:line="276" w:lineRule="auto"/>
              <w:jc w:val="both"/>
            </w:pPr>
            <w:r>
              <w:t>PCI cost added (+£1263)</w:t>
            </w:r>
          </w:p>
        </w:tc>
        <w:tc>
          <w:tcPr>
            <w:tcW w:w="1351" w:type="dxa"/>
          </w:tcPr>
          <w:p w14:paraId="34C013AB" w14:textId="77777777" w:rsidR="001609C6" w:rsidRDefault="001609C6" w:rsidP="001609C6">
            <w:pPr>
              <w:jc w:val="both"/>
            </w:pPr>
            <w:r>
              <w:t>No change in MACE but could reduce risk of repeat revascularisation/ re-admission by 11.4%</w:t>
            </w:r>
          </w:p>
          <w:p w14:paraId="47BF6142" w14:textId="77777777" w:rsidR="001609C6" w:rsidRDefault="001609C6" w:rsidP="001609C6">
            <w:pPr>
              <w:jc w:val="both"/>
            </w:pPr>
          </w:p>
        </w:tc>
        <w:tc>
          <w:tcPr>
            <w:tcW w:w="1276" w:type="dxa"/>
          </w:tcPr>
          <w:p w14:paraId="4E18BD35" w14:textId="77777777" w:rsidR="001609C6" w:rsidRDefault="001609C6" w:rsidP="001609C6">
            <w:pPr>
              <w:jc w:val="both"/>
            </w:pPr>
            <w:r>
              <w:t>PCI could have resulted in a virtual additional increase in QOL by 5.3</w:t>
            </w:r>
            <w:r>
              <w:rPr>
                <w:rFonts w:cstheme="minorHAnsi"/>
              </w:rPr>
              <w:t>±</w:t>
            </w:r>
            <w:r>
              <w:t>1.2 in EQ-VAS and 0.03</w:t>
            </w:r>
            <w:r>
              <w:rPr>
                <w:rFonts w:cstheme="minorHAnsi"/>
              </w:rPr>
              <w:t>±</w:t>
            </w:r>
            <w:r>
              <w:t>0.01 in EQ-indexed scores</w:t>
            </w:r>
          </w:p>
          <w:p w14:paraId="14030E86" w14:textId="68D853EE" w:rsidR="001609C6" w:rsidRDefault="001609C6" w:rsidP="001609C6">
            <w:pPr>
              <w:jc w:val="both"/>
            </w:pPr>
          </w:p>
        </w:tc>
        <w:tc>
          <w:tcPr>
            <w:tcW w:w="1417" w:type="dxa"/>
          </w:tcPr>
          <w:p w14:paraId="5450F396" w14:textId="77777777" w:rsidR="001609C6" w:rsidRDefault="001609C6" w:rsidP="001609C6">
            <w:pPr>
              <w:jc w:val="both"/>
            </w:pPr>
            <w:r>
              <w:t>NYHA could improve from 2 to 1, CCS from 2 to 1</w:t>
            </w:r>
          </w:p>
        </w:tc>
      </w:tr>
      <w:tr w:rsidR="00F20FBC" w14:paraId="6E914054" w14:textId="77777777" w:rsidTr="002C2525">
        <w:tc>
          <w:tcPr>
            <w:tcW w:w="687" w:type="dxa"/>
          </w:tcPr>
          <w:p w14:paraId="77D8CF02" w14:textId="77777777" w:rsidR="00F20FBC" w:rsidRDefault="00F20FBC" w:rsidP="00F20FBC">
            <w:pPr>
              <w:jc w:val="both"/>
            </w:pPr>
            <w:r>
              <w:t>C1</w:t>
            </w:r>
          </w:p>
        </w:tc>
        <w:tc>
          <w:tcPr>
            <w:tcW w:w="829" w:type="dxa"/>
          </w:tcPr>
          <w:p w14:paraId="538A6C5F" w14:textId="77777777" w:rsidR="00F20FBC" w:rsidRDefault="00F20FBC" w:rsidP="00F20FBC">
            <w:pPr>
              <w:jc w:val="both"/>
            </w:pPr>
            <w:r>
              <w:t>OMT</w:t>
            </w:r>
          </w:p>
        </w:tc>
        <w:tc>
          <w:tcPr>
            <w:tcW w:w="894" w:type="dxa"/>
          </w:tcPr>
          <w:p w14:paraId="006C610A" w14:textId="77777777" w:rsidR="00F20FBC" w:rsidRDefault="00F20FBC" w:rsidP="00F20FBC">
            <w:pPr>
              <w:jc w:val="both"/>
            </w:pPr>
            <w:r>
              <w:t>PCI RCA</w:t>
            </w:r>
          </w:p>
        </w:tc>
        <w:tc>
          <w:tcPr>
            <w:tcW w:w="1089" w:type="dxa"/>
          </w:tcPr>
          <w:p w14:paraId="58D37F05" w14:textId="77777777" w:rsidR="00F20FBC" w:rsidRDefault="00F20FBC" w:rsidP="00F20FBC">
            <w:pPr>
              <w:jc w:val="both"/>
            </w:pPr>
            <w:r>
              <w:t>vFFR RCA 0.50</w:t>
            </w:r>
          </w:p>
        </w:tc>
        <w:tc>
          <w:tcPr>
            <w:tcW w:w="1196" w:type="dxa"/>
          </w:tcPr>
          <w:p w14:paraId="44BCBA1C" w14:textId="77777777" w:rsidR="00F20FBC" w:rsidRDefault="00F20FBC" w:rsidP="00F20FBC">
            <w:pPr>
              <w:spacing w:line="276" w:lineRule="auto"/>
              <w:jc w:val="both"/>
            </w:pPr>
            <w:r>
              <w:t>PCI cost added (+£1263)</w:t>
            </w:r>
          </w:p>
        </w:tc>
        <w:tc>
          <w:tcPr>
            <w:tcW w:w="1351" w:type="dxa"/>
          </w:tcPr>
          <w:p w14:paraId="4268ADC4" w14:textId="77777777" w:rsidR="00F20FBC" w:rsidRDefault="00F20FBC" w:rsidP="00F20FBC">
            <w:pPr>
              <w:jc w:val="both"/>
            </w:pPr>
            <w:r>
              <w:t>No change in MACE but could reduce risk of repeat revascularisation/ re-admission by 11.4%</w:t>
            </w:r>
          </w:p>
          <w:p w14:paraId="173C9A91" w14:textId="77777777" w:rsidR="00F20FBC" w:rsidRDefault="00F20FBC" w:rsidP="00F20FBC">
            <w:pPr>
              <w:jc w:val="both"/>
            </w:pPr>
          </w:p>
        </w:tc>
        <w:tc>
          <w:tcPr>
            <w:tcW w:w="1276" w:type="dxa"/>
          </w:tcPr>
          <w:p w14:paraId="6E798A82" w14:textId="77777777" w:rsidR="00F20FBC" w:rsidRDefault="00F20FBC" w:rsidP="00F20FBC">
            <w:pPr>
              <w:jc w:val="both"/>
            </w:pPr>
            <w:r>
              <w:t>PCI could have resulted in a virtual additional increase in QOL by 5.3</w:t>
            </w:r>
            <w:r>
              <w:rPr>
                <w:rFonts w:cstheme="minorHAnsi"/>
              </w:rPr>
              <w:t>±</w:t>
            </w:r>
            <w:r>
              <w:t>1.2 in EQ-VAS and 0.03</w:t>
            </w:r>
            <w:r>
              <w:rPr>
                <w:rFonts w:cstheme="minorHAnsi"/>
              </w:rPr>
              <w:t>±</w:t>
            </w:r>
            <w:r>
              <w:t>0.01 in EQ-indexed scores</w:t>
            </w:r>
          </w:p>
          <w:p w14:paraId="0B0270B7" w14:textId="5CACDBCF" w:rsidR="00F20FBC" w:rsidRDefault="00F20FBC" w:rsidP="00F20FBC">
            <w:pPr>
              <w:jc w:val="both"/>
            </w:pPr>
          </w:p>
        </w:tc>
        <w:tc>
          <w:tcPr>
            <w:tcW w:w="1417" w:type="dxa"/>
          </w:tcPr>
          <w:p w14:paraId="77AACD41" w14:textId="77777777" w:rsidR="00F20FBC" w:rsidRDefault="00F20FBC" w:rsidP="00F20FBC">
            <w:pPr>
              <w:jc w:val="both"/>
            </w:pPr>
            <w:r>
              <w:t>NYHA could improve from 3 to 2, CCS from 3 to 1</w:t>
            </w:r>
          </w:p>
        </w:tc>
      </w:tr>
      <w:tr w:rsidR="00F20FBC" w14:paraId="340E4132" w14:textId="77777777" w:rsidTr="002C2525">
        <w:tc>
          <w:tcPr>
            <w:tcW w:w="687" w:type="dxa"/>
          </w:tcPr>
          <w:p w14:paraId="555DD152" w14:textId="77777777" w:rsidR="00F20FBC" w:rsidRDefault="00F20FBC" w:rsidP="00F20FBC">
            <w:pPr>
              <w:jc w:val="both"/>
            </w:pPr>
            <w:r w:rsidRPr="00010911">
              <w:t>D</w:t>
            </w:r>
            <w:r>
              <w:t>9</w:t>
            </w:r>
            <w:r w:rsidRPr="00010911">
              <w:t>6</w:t>
            </w:r>
          </w:p>
        </w:tc>
        <w:tc>
          <w:tcPr>
            <w:tcW w:w="829" w:type="dxa"/>
          </w:tcPr>
          <w:p w14:paraId="0B342BE8" w14:textId="77777777" w:rsidR="00F20FBC" w:rsidRDefault="00F20FBC" w:rsidP="00F20FBC">
            <w:pPr>
              <w:jc w:val="both"/>
            </w:pPr>
            <w:r>
              <w:t>OMT</w:t>
            </w:r>
          </w:p>
        </w:tc>
        <w:tc>
          <w:tcPr>
            <w:tcW w:w="894" w:type="dxa"/>
          </w:tcPr>
          <w:p w14:paraId="6B851315" w14:textId="77777777" w:rsidR="00F20FBC" w:rsidRDefault="00F20FBC" w:rsidP="00F20FBC">
            <w:pPr>
              <w:jc w:val="both"/>
            </w:pPr>
            <w:r>
              <w:t>PCI LAD</w:t>
            </w:r>
          </w:p>
        </w:tc>
        <w:tc>
          <w:tcPr>
            <w:tcW w:w="1089" w:type="dxa"/>
          </w:tcPr>
          <w:p w14:paraId="6B3A087C" w14:textId="77777777" w:rsidR="00F20FBC" w:rsidRDefault="00F20FBC" w:rsidP="00F20FBC">
            <w:pPr>
              <w:jc w:val="both"/>
            </w:pPr>
            <w:r>
              <w:t>vFFR LAD 0.73</w:t>
            </w:r>
          </w:p>
        </w:tc>
        <w:tc>
          <w:tcPr>
            <w:tcW w:w="1196" w:type="dxa"/>
          </w:tcPr>
          <w:p w14:paraId="2C6460A1" w14:textId="77777777" w:rsidR="00F20FBC" w:rsidRDefault="00F20FBC" w:rsidP="00F20FBC">
            <w:pPr>
              <w:spacing w:line="276" w:lineRule="auto"/>
              <w:jc w:val="both"/>
            </w:pPr>
            <w:r>
              <w:t>PCI cost added (+£1263)</w:t>
            </w:r>
          </w:p>
        </w:tc>
        <w:tc>
          <w:tcPr>
            <w:tcW w:w="1351" w:type="dxa"/>
          </w:tcPr>
          <w:p w14:paraId="6E705F95" w14:textId="77777777" w:rsidR="00F20FBC" w:rsidRDefault="00F20FBC" w:rsidP="00F20FBC">
            <w:pPr>
              <w:jc w:val="both"/>
            </w:pPr>
            <w:r>
              <w:t>No change in MACE but could reduce risk of repeat revascularisation/ re-admission by 11.4%</w:t>
            </w:r>
          </w:p>
          <w:p w14:paraId="21DBC367" w14:textId="77777777" w:rsidR="00F20FBC" w:rsidRDefault="00F20FBC" w:rsidP="00F20FBC">
            <w:pPr>
              <w:jc w:val="both"/>
            </w:pPr>
          </w:p>
        </w:tc>
        <w:tc>
          <w:tcPr>
            <w:tcW w:w="1276" w:type="dxa"/>
          </w:tcPr>
          <w:p w14:paraId="4B65CA20" w14:textId="77777777" w:rsidR="00F20FBC" w:rsidRDefault="00F20FBC" w:rsidP="00F20FBC">
            <w:pPr>
              <w:jc w:val="both"/>
            </w:pPr>
            <w:r>
              <w:t>PCI could have resulted in a virtual additional increase in QOL by 5.3</w:t>
            </w:r>
            <w:r>
              <w:rPr>
                <w:rFonts w:cstheme="minorHAnsi"/>
              </w:rPr>
              <w:t>±</w:t>
            </w:r>
            <w:r>
              <w:t>1.2 in EQ-VAS and 0.03</w:t>
            </w:r>
            <w:r>
              <w:rPr>
                <w:rFonts w:cstheme="minorHAnsi"/>
              </w:rPr>
              <w:t>±</w:t>
            </w:r>
            <w:r>
              <w:t>0.01 in EQ-indexed scores</w:t>
            </w:r>
          </w:p>
          <w:p w14:paraId="06E401C4" w14:textId="7F7BCC9E" w:rsidR="00F20FBC" w:rsidRDefault="00F20FBC" w:rsidP="00F20FBC">
            <w:pPr>
              <w:jc w:val="both"/>
            </w:pPr>
          </w:p>
        </w:tc>
        <w:tc>
          <w:tcPr>
            <w:tcW w:w="1417" w:type="dxa"/>
          </w:tcPr>
          <w:p w14:paraId="74246A48" w14:textId="77777777" w:rsidR="00F20FBC" w:rsidRDefault="00F20FBC" w:rsidP="00F20FBC">
            <w:pPr>
              <w:jc w:val="both"/>
            </w:pPr>
            <w:r>
              <w:t>NYHA could improve from 2 to 1, CCS from 2 to 1</w:t>
            </w:r>
          </w:p>
        </w:tc>
      </w:tr>
      <w:tr w:rsidR="00F20FBC" w14:paraId="7130065B" w14:textId="77777777" w:rsidTr="002C2525">
        <w:tc>
          <w:tcPr>
            <w:tcW w:w="687" w:type="dxa"/>
          </w:tcPr>
          <w:p w14:paraId="21E7EA84" w14:textId="77777777" w:rsidR="00F20FBC" w:rsidRPr="00010911" w:rsidRDefault="00F20FBC" w:rsidP="00F20FBC">
            <w:pPr>
              <w:jc w:val="both"/>
            </w:pPr>
            <w:r>
              <w:t>D106</w:t>
            </w:r>
          </w:p>
        </w:tc>
        <w:tc>
          <w:tcPr>
            <w:tcW w:w="829" w:type="dxa"/>
          </w:tcPr>
          <w:p w14:paraId="591C8B24" w14:textId="77777777" w:rsidR="00F20FBC" w:rsidRDefault="00F20FBC" w:rsidP="00F20FBC">
            <w:pPr>
              <w:jc w:val="both"/>
            </w:pPr>
            <w:r>
              <w:t>OMT</w:t>
            </w:r>
          </w:p>
        </w:tc>
        <w:tc>
          <w:tcPr>
            <w:tcW w:w="894" w:type="dxa"/>
          </w:tcPr>
          <w:p w14:paraId="3712BEF8" w14:textId="77777777" w:rsidR="00F20FBC" w:rsidRDefault="00F20FBC" w:rsidP="00F20FBC">
            <w:pPr>
              <w:jc w:val="both"/>
            </w:pPr>
            <w:r>
              <w:t>mFFR-guided PCI LAD</w:t>
            </w:r>
          </w:p>
        </w:tc>
        <w:tc>
          <w:tcPr>
            <w:tcW w:w="1089" w:type="dxa"/>
          </w:tcPr>
          <w:p w14:paraId="6534F03B" w14:textId="77777777" w:rsidR="00F20FBC" w:rsidRDefault="00F20FBC" w:rsidP="00F20FBC">
            <w:pPr>
              <w:jc w:val="both"/>
            </w:pPr>
            <w:r>
              <w:t>vFFR LAD 0.66</w:t>
            </w:r>
          </w:p>
        </w:tc>
        <w:tc>
          <w:tcPr>
            <w:tcW w:w="1196" w:type="dxa"/>
          </w:tcPr>
          <w:p w14:paraId="3AF0F3DB" w14:textId="77777777" w:rsidR="00F20FBC" w:rsidRDefault="00F20FBC" w:rsidP="00F20FBC">
            <w:pPr>
              <w:spacing w:line="276" w:lineRule="auto"/>
              <w:jc w:val="both"/>
            </w:pPr>
            <w:r>
              <w:t>Pressure wire cost added (+£586)</w:t>
            </w:r>
          </w:p>
        </w:tc>
        <w:tc>
          <w:tcPr>
            <w:tcW w:w="1351" w:type="dxa"/>
          </w:tcPr>
          <w:p w14:paraId="79A2500C" w14:textId="77777777" w:rsidR="00F20FBC" w:rsidRDefault="00F20FBC" w:rsidP="00F20FBC">
            <w:pPr>
              <w:jc w:val="both"/>
            </w:pPr>
            <w:r>
              <w:t xml:space="preserve">No change in MACE but could reduce risk </w:t>
            </w:r>
            <w:r>
              <w:lastRenderedPageBreak/>
              <w:t>of repeat revascularisation/ re-admission by 11.4%</w:t>
            </w:r>
          </w:p>
          <w:p w14:paraId="48C7EC07" w14:textId="77777777" w:rsidR="00F20FBC" w:rsidRDefault="00F20FBC" w:rsidP="00F20FBC">
            <w:pPr>
              <w:jc w:val="both"/>
            </w:pPr>
          </w:p>
        </w:tc>
        <w:tc>
          <w:tcPr>
            <w:tcW w:w="1276" w:type="dxa"/>
          </w:tcPr>
          <w:p w14:paraId="607B336F" w14:textId="77777777" w:rsidR="00F20FBC" w:rsidRDefault="00F20FBC" w:rsidP="00F20FBC">
            <w:pPr>
              <w:jc w:val="both"/>
            </w:pPr>
            <w:r>
              <w:lastRenderedPageBreak/>
              <w:t xml:space="preserve">PCI could have resulted in a virtual </w:t>
            </w:r>
            <w:r>
              <w:lastRenderedPageBreak/>
              <w:t>additional increase in QOL by 5.3</w:t>
            </w:r>
            <w:r>
              <w:rPr>
                <w:rFonts w:cstheme="minorHAnsi"/>
              </w:rPr>
              <w:t>±</w:t>
            </w:r>
            <w:r>
              <w:t>1.2 in EQ-VAS and 0.03</w:t>
            </w:r>
            <w:r>
              <w:rPr>
                <w:rFonts w:cstheme="minorHAnsi"/>
              </w:rPr>
              <w:t>±</w:t>
            </w:r>
            <w:r>
              <w:t>0.01 in EQ-indexed scores</w:t>
            </w:r>
          </w:p>
          <w:p w14:paraId="38B6AFB8" w14:textId="4933BA34" w:rsidR="00F20FBC" w:rsidRDefault="00F20FBC" w:rsidP="00F20FBC">
            <w:pPr>
              <w:jc w:val="both"/>
            </w:pPr>
          </w:p>
        </w:tc>
        <w:tc>
          <w:tcPr>
            <w:tcW w:w="1417" w:type="dxa"/>
          </w:tcPr>
          <w:p w14:paraId="53800441" w14:textId="77777777" w:rsidR="00F20FBC" w:rsidRDefault="00F20FBC" w:rsidP="00F20FBC">
            <w:pPr>
              <w:jc w:val="both"/>
            </w:pPr>
            <w:r>
              <w:lastRenderedPageBreak/>
              <w:t xml:space="preserve">NYHA could improve from 3 to 2, </w:t>
            </w:r>
            <w:r>
              <w:lastRenderedPageBreak/>
              <w:t>CCS from 3 to 1</w:t>
            </w:r>
          </w:p>
        </w:tc>
      </w:tr>
      <w:tr w:rsidR="008E1AC2" w14:paraId="606056BA" w14:textId="77777777" w:rsidTr="002C2525">
        <w:tc>
          <w:tcPr>
            <w:tcW w:w="687" w:type="dxa"/>
          </w:tcPr>
          <w:p w14:paraId="5A70BB9B" w14:textId="77777777" w:rsidR="008E1AC2" w:rsidRDefault="008E1AC2" w:rsidP="008E1AC2">
            <w:pPr>
              <w:jc w:val="both"/>
            </w:pPr>
            <w:r>
              <w:lastRenderedPageBreak/>
              <w:t>B69</w:t>
            </w:r>
          </w:p>
        </w:tc>
        <w:tc>
          <w:tcPr>
            <w:tcW w:w="829" w:type="dxa"/>
          </w:tcPr>
          <w:p w14:paraId="31DA0E8A" w14:textId="77777777" w:rsidR="008E1AC2" w:rsidRDefault="008E1AC2" w:rsidP="008E1AC2">
            <w:pPr>
              <w:jc w:val="both"/>
            </w:pPr>
            <w:r>
              <w:t>CABG x 3</w:t>
            </w:r>
          </w:p>
        </w:tc>
        <w:tc>
          <w:tcPr>
            <w:tcW w:w="894" w:type="dxa"/>
          </w:tcPr>
          <w:p w14:paraId="156C86D2" w14:textId="77777777" w:rsidR="008E1AC2" w:rsidRDefault="008E1AC2" w:rsidP="008E1AC2">
            <w:pPr>
              <w:jc w:val="both"/>
            </w:pPr>
            <w:r>
              <w:t>CABG x 2</w:t>
            </w:r>
          </w:p>
        </w:tc>
        <w:tc>
          <w:tcPr>
            <w:tcW w:w="1089" w:type="dxa"/>
          </w:tcPr>
          <w:p w14:paraId="7F7CF316" w14:textId="77777777" w:rsidR="008E1AC2" w:rsidRDefault="008E1AC2" w:rsidP="008E1AC2">
            <w:pPr>
              <w:jc w:val="both"/>
            </w:pPr>
            <w:r>
              <w:t>vFFR RCA 0.96</w:t>
            </w:r>
          </w:p>
        </w:tc>
        <w:tc>
          <w:tcPr>
            <w:tcW w:w="1196" w:type="dxa"/>
          </w:tcPr>
          <w:p w14:paraId="77869A29" w14:textId="77777777" w:rsidR="008E1AC2" w:rsidRDefault="008E1AC2" w:rsidP="008E1AC2">
            <w:pPr>
              <w:spacing w:line="276" w:lineRule="auto"/>
              <w:jc w:val="both"/>
            </w:pPr>
            <w:r>
              <w:t xml:space="preserve">No difference in cost </w:t>
            </w:r>
          </w:p>
        </w:tc>
        <w:tc>
          <w:tcPr>
            <w:tcW w:w="1351" w:type="dxa"/>
          </w:tcPr>
          <w:p w14:paraId="01D50AD0" w14:textId="77777777" w:rsidR="008E1AC2" w:rsidRDefault="008E1AC2" w:rsidP="008E1AC2">
            <w:pPr>
              <w:jc w:val="both"/>
            </w:pPr>
            <w:r>
              <w:t>No change</w:t>
            </w:r>
          </w:p>
        </w:tc>
        <w:tc>
          <w:tcPr>
            <w:tcW w:w="1276" w:type="dxa"/>
          </w:tcPr>
          <w:p w14:paraId="650C8109" w14:textId="77777777" w:rsidR="008E1AC2" w:rsidRDefault="008E1AC2" w:rsidP="008E1AC2">
            <w:pPr>
              <w:jc w:val="both"/>
            </w:pPr>
            <w:r>
              <w:t>No change</w:t>
            </w:r>
          </w:p>
        </w:tc>
        <w:tc>
          <w:tcPr>
            <w:tcW w:w="1417" w:type="dxa"/>
          </w:tcPr>
          <w:p w14:paraId="2BBF2E4F" w14:textId="77777777" w:rsidR="008E1AC2" w:rsidRDefault="008E1AC2" w:rsidP="008E1AC2">
            <w:pPr>
              <w:jc w:val="both"/>
            </w:pPr>
            <w:r>
              <w:t>No change</w:t>
            </w:r>
          </w:p>
        </w:tc>
      </w:tr>
    </w:tbl>
    <w:p w14:paraId="6AEC0917" w14:textId="77777777" w:rsidR="004942B6" w:rsidRDefault="004942B6" w:rsidP="004942B6"/>
    <w:p w14:paraId="7C25AA4B" w14:textId="77777777" w:rsidR="004942B6" w:rsidRDefault="004942B6" w:rsidP="004942B6"/>
    <w:p w14:paraId="2396A238" w14:textId="77777777" w:rsidR="007B1A03" w:rsidRDefault="007B1A03" w:rsidP="004942B6"/>
    <w:p w14:paraId="1B0D1536" w14:textId="77777777" w:rsidR="007B1A03" w:rsidRDefault="007B1A03" w:rsidP="004942B6"/>
    <w:p w14:paraId="183EC9A0" w14:textId="77777777" w:rsidR="007B1A03" w:rsidRDefault="007B1A03" w:rsidP="004942B6"/>
    <w:p w14:paraId="47B54300" w14:textId="77777777" w:rsidR="007B1A03" w:rsidRDefault="007B1A03" w:rsidP="004942B6"/>
    <w:p w14:paraId="736C1E8F" w14:textId="77777777" w:rsidR="007B1A03" w:rsidRDefault="007B1A03" w:rsidP="004942B6"/>
    <w:p w14:paraId="66BB904C" w14:textId="77777777" w:rsidR="007B1A03" w:rsidRDefault="007B1A03" w:rsidP="004942B6"/>
    <w:p w14:paraId="1EB96483" w14:textId="77777777" w:rsidR="007B1A03" w:rsidRDefault="007B1A03" w:rsidP="004942B6"/>
    <w:p w14:paraId="5EFA89E3" w14:textId="77777777" w:rsidR="007B1A03" w:rsidRDefault="007B1A03" w:rsidP="004942B6"/>
    <w:p w14:paraId="1C50CD33" w14:textId="77777777" w:rsidR="00E13538" w:rsidRDefault="00E13538" w:rsidP="004942B6"/>
    <w:p w14:paraId="4F364369" w14:textId="77777777" w:rsidR="00E13538" w:rsidRDefault="00E13538" w:rsidP="004942B6"/>
    <w:p w14:paraId="711A8D56" w14:textId="77777777" w:rsidR="00E13538" w:rsidRDefault="00E13538" w:rsidP="004942B6"/>
    <w:p w14:paraId="64D022AE" w14:textId="77777777" w:rsidR="00E13538" w:rsidRDefault="00E13538" w:rsidP="004942B6"/>
    <w:p w14:paraId="6E3EAB62" w14:textId="77777777" w:rsidR="00E13538" w:rsidRDefault="00E13538" w:rsidP="004942B6"/>
    <w:p w14:paraId="76B07D23" w14:textId="77777777" w:rsidR="00E13538" w:rsidRDefault="00E13538" w:rsidP="004942B6"/>
    <w:p w14:paraId="64A94215" w14:textId="77777777" w:rsidR="00E13538" w:rsidRDefault="00E13538" w:rsidP="004942B6"/>
    <w:p w14:paraId="10D98F0E" w14:textId="77777777" w:rsidR="00E13538" w:rsidRDefault="00E13538" w:rsidP="004942B6"/>
    <w:p w14:paraId="2EC3EB3E" w14:textId="77777777" w:rsidR="00E13538" w:rsidRDefault="00E13538" w:rsidP="004942B6"/>
    <w:p w14:paraId="68AE880C" w14:textId="77777777" w:rsidR="00E13538" w:rsidRDefault="00E13538" w:rsidP="004942B6"/>
    <w:p w14:paraId="2F541525" w14:textId="77777777" w:rsidR="004942B6" w:rsidRDefault="004942B6" w:rsidP="004942B6"/>
    <w:p w14:paraId="47BBF5DF" w14:textId="77777777" w:rsidR="004942B6" w:rsidRDefault="004942B6" w:rsidP="004942B6"/>
    <w:p w14:paraId="10D44627" w14:textId="77777777" w:rsidR="004942B6" w:rsidRDefault="004942B6" w:rsidP="004942B6"/>
    <w:p w14:paraId="3A940D5A" w14:textId="77777777" w:rsidR="004942B6" w:rsidRDefault="004942B6" w:rsidP="004942B6"/>
    <w:bookmarkEnd w:id="1494"/>
    <w:p w14:paraId="4AF1C373" w14:textId="77777777" w:rsidR="004942B6" w:rsidRPr="00357893" w:rsidRDefault="004942B6" w:rsidP="004942B6">
      <w:pPr>
        <w:rPr>
          <w:rFonts w:ascii="Arial" w:hAnsi="Arial" w:cs="Arial"/>
          <w:sz w:val="24"/>
          <w:szCs w:val="24"/>
        </w:rPr>
      </w:pPr>
    </w:p>
    <w:bookmarkEnd w:id="0"/>
    <w:p w14:paraId="6B8FFDE4" w14:textId="77777777" w:rsidR="002A2EA0" w:rsidRPr="004942B6" w:rsidRDefault="002A2EA0" w:rsidP="004942B6"/>
    <w:sectPr w:rsidR="002A2EA0" w:rsidRPr="004942B6" w:rsidSect="00C6638F">
      <w:pgSz w:w="11906" w:h="16838"/>
      <w:pgMar w:top="1440" w:right="1440" w:bottom="1440" w:left="1440" w:header="170"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57CD5A" w14:textId="77777777" w:rsidR="00596DE3" w:rsidRDefault="00596DE3">
      <w:pPr>
        <w:spacing w:after="0" w:line="240" w:lineRule="auto"/>
      </w:pPr>
      <w:r>
        <w:separator/>
      </w:r>
    </w:p>
  </w:endnote>
  <w:endnote w:type="continuationSeparator" w:id="0">
    <w:p w14:paraId="233A78FE" w14:textId="77777777" w:rsidR="00596DE3" w:rsidRDefault="00596D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haroni">
    <w:charset w:val="B1"/>
    <w:family w:val="auto"/>
    <w:pitch w:val="variable"/>
    <w:sig w:usb0="00000803" w:usb1="00000000" w:usb2="00000000" w:usb3="00000000" w:csb0="00000021"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UOS Blake">
    <w:altName w:val="Calibri"/>
    <w:charset w:val="00"/>
    <w:family w:val="swiss"/>
    <w:pitch w:val="variable"/>
    <w:sig w:usb0="8000002F" w:usb1="4000004A" w:usb2="00000000" w:usb3="00000000" w:csb0="00000011" w:csb1="00000000"/>
  </w:font>
  <w:font w:name="Cambria Math">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B0ECA3" w14:textId="77777777" w:rsidR="00596DE3" w:rsidRDefault="00596DE3">
      <w:pPr>
        <w:spacing w:after="0" w:line="240" w:lineRule="auto"/>
      </w:pPr>
      <w:r>
        <w:separator/>
      </w:r>
    </w:p>
  </w:footnote>
  <w:footnote w:type="continuationSeparator" w:id="0">
    <w:p w14:paraId="794E1388" w14:textId="77777777" w:rsidR="00596DE3" w:rsidRDefault="00596D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F62C28"/>
    <w:multiLevelType w:val="multilevel"/>
    <w:tmpl w:val="9DB83E6C"/>
    <w:lvl w:ilvl="0">
      <w:start w:val="1"/>
      <w:numFmt w:val="decimal"/>
      <w:lvlText w:val="%1."/>
      <w:lvlJc w:val="left"/>
      <w:pPr>
        <w:tabs>
          <w:tab w:val="num" w:pos="720"/>
        </w:tabs>
        <w:ind w:left="720" w:hanging="360"/>
      </w:pPr>
    </w:lvl>
    <w:lvl w:ilvl="1">
      <w:start w:val="1"/>
      <w:numFmt w:val="lowerRoman"/>
      <w:lvlText w:val="%2."/>
      <w:lvlJc w:val="righ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ED7595"/>
    <w:multiLevelType w:val="hybridMultilevel"/>
    <w:tmpl w:val="436CD0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217D4F"/>
    <w:multiLevelType w:val="multilevel"/>
    <w:tmpl w:val="1A489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A3768B8"/>
    <w:multiLevelType w:val="multilevel"/>
    <w:tmpl w:val="4FD4F4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E7B0167"/>
    <w:multiLevelType w:val="multilevel"/>
    <w:tmpl w:val="D2489F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F454F6E"/>
    <w:multiLevelType w:val="multilevel"/>
    <w:tmpl w:val="436CD0D6"/>
    <w:styleLink w:val="CurrentList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0FA3EA4"/>
    <w:multiLevelType w:val="multilevel"/>
    <w:tmpl w:val="B84CE9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1486D14"/>
    <w:multiLevelType w:val="multilevel"/>
    <w:tmpl w:val="AFD40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41095E"/>
    <w:multiLevelType w:val="hybridMultilevel"/>
    <w:tmpl w:val="295E87C2"/>
    <w:lvl w:ilvl="0" w:tplc="A9D4AB06">
      <w:start w:val="1"/>
      <w:numFmt w:val="lowerLetter"/>
      <w:lvlText w:val="%1)"/>
      <w:lvlJc w:val="left"/>
      <w:pPr>
        <w:ind w:left="720" w:hanging="360"/>
      </w:pPr>
    </w:lvl>
    <w:lvl w:ilvl="1" w:tplc="79C2A63C">
      <w:start w:val="1"/>
      <w:numFmt w:val="lowerLetter"/>
      <w:lvlText w:val="%2)"/>
      <w:lvlJc w:val="left"/>
      <w:pPr>
        <w:ind w:left="720" w:hanging="360"/>
      </w:pPr>
    </w:lvl>
    <w:lvl w:ilvl="2" w:tplc="D6340E3E">
      <w:start w:val="1"/>
      <w:numFmt w:val="lowerLetter"/>
      <w:lvlText w:val="%3)"/>
      <w:lvlJc w:val="left"/>
      <w:pPr>
        <w:ind w:left="720" w:hanging="360"/>
      </w:pPr>
    </w:lvl>
    <w:lvl w:ilvl="3" w:tplc="E28A43F6">
      <w:start w:val="1"/>
      <w:numFmt w:val="lowerLetter"/>
      <w:lvlText w:val="%4)"/>
      <w:lvlJc w:val="left"/>
      <w:pPr>
        <w:ind w:left="720" w:hanging="360"/>
      </w:pPr>
    </w:lvl>
    <w:lvl w:ilvl="4" w:tplc="947E1816">
      <w:start w:val="1"/>
      <w:numFmt w:val="lowerLetter"/>
      <w:lvlText w:val="%5)"/>
      <w:lvlJc w:val="left"/>
      <w:pPr>
        <w:ind w:left="720" w:hanging="360"/>
      </w:pPr>
    </w:lvl>
    <w:lvl w:ilvl="5" w:tplc="6A62D388">
      <w:start w:val="1"/>
      <w:numFmt w:val="lowerLetter"/>
      <w:lvlText w:val="%6)"/>
      <w:lvlJc w:val="left"/>
      <w:pPr>
        <w:ind w:left="720" w:hanging="360"/>
      </w:pPr>
    </w:lvl>
    <w:lvl w:ilvl="6" w:tplc="8FD45EF8">
      <w:start w:val="1"/>
      <w:numFmt w:val="lowerLetter"/>
      <w:lvlText w:val="%7)"/>
      <w:lvlJc w:val="left"/>
      <w:pPr>
        <w:ind w:left="720" w:hanging="360"/>
      </w:pPr>
    </w:lvl>
    <w:lvl w:ilvl="7" w:tplc="E16696F8">
      <w:start w:val="1"/>
      <w:numFmt w:val="lowerLetter"/>
      <w:lvlText w:val="%8)"/>
      <w:lvlJc w:val="left"/>
      <w:pPr>
        <w:ind w:left="720" w:hanging="360"/>
      </w:pPr>
    </w:lvl>
    <w:lvl w:ilvl="8" w:tplc="2ECC8DF2">
      <w:start w:val="1"/>
      <w:numFmt w:val="lowerLetter"/>
      <w:lvlText w:val="%9)"/>
      <w:lvlJc w:val="left"/>
      <w:pPr>
        <w:ind w:left="720" w:hanging="360"/>
      </w:pPr>
    </w:lvl>
  </w:abstractNum>
  <w:abstractNum w:abstractNumId="9" w15:restartNumberingAfterBreak="0">
    <w:nsid w:val="2A400827"/>
    <w:multiLevelType w:val="hybridMultilevel"/>
    <w:tmpl w:val="1C1010E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76B46AF"/>
    <w:multiLevelType w:val="hybridMultilevel"/>
    <w:tmpl w:val="2DF0AF8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993052B"/>
    <w:multiLevelType w:val="multilevel"/>
    <w:tmpl w:val="D0922892"/>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413016ED"/>
    <w:multiLevelType w:val="hybridMultilevel"/>
    <w:tmpl w:val="705AB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39334A"/>
    <w:multiLevelType w:val="hybridMultilevel"/>
    <w:tmpl w:val="5FDACC72"/>
    <w:lvl w:ilvl="0" w:tplc="29A2772C">
      <w:start w:val="1"/>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4" w15:restartNumberingAfterBreak="0">
    <w:nsid w:val="43892E66"/>
    <w:multiLevelType w:val="multilevel"/>
    <w:tmpl w:val="5D142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0906A4A"/>
    <w:multiLevelType w:val="hybridMultilevel"/>
    <w:tmpl w:val="AF98F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20618C"/>
    <w:multiLevelType w:val="multilevel"/>
    <w:tmpl w:val="00C60B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B0F2634"/>
    <w:multiLevelType w:val="multilevel"/>
    <w:tmpl w:val="BF2C78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D53035B"/>
    <w:multiLevelType w:val="multilevel"/>
    <w:tmpl w:val="B4666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A824DA"/>
    <w:multiLevelType w:val="hybridMultilevel"/>
    <w:tmpl w:val="E64C82C6"/>
    <w:lvl w:ilvl="0" w:tplc="0809001B">
      <w:start w:val="1"/>
      <w:numFmt w:val="lowerRoman"/>
      <w:lvlText w:val="%1."/>
      <w:lvlJc w:val="right"/>
      <w:pPr>
        <w:ind w:left="852" w:hanging="360"/>
      </w:pPr>
    </w:lvl>
    <w:lvl w:ilvl="1" w:tplc="08090019" w:tentative="1">
      <w:start w:val="1"/>
      <w:numFmt w:val="lowerLetter"/>
      <w:lvlText w:val="%2."/>
      <w:lvlJc w:val="left"/>
      <w:pPr>
        <w:ind w:left="1572" w:hanging="360"/>
      </w:pPr>
    </w:lvl>
    <w:lvl w:ilvl="2" w:tplc="0809001B" w:tentative="1">
      <w:start w:val="1"/>
      <w:numFmt w:val="lowerRoman"/>
      <w:lvlText w:val="%3."/>
      <w:lvlJc w:val="right"/>
      <w:pPr>
        <w:ind w:left="2292" w:hanging="180"/>
      </w:pPr>
    </w:lvl>
    <w:lvl w:ilvl="3" w:tplc="0809000F" w:tentative="1">
      <w:start w:val="1"/>
      <w:numFmt w:val="decimal"/>
      <w:lvlText w:val="%4."/>
      <w:lvlJc w:val="left"/>
      <w:pPr>
        <w:ind w:left="3012" w:hanging="360"/>
      </w:pPr>
    </w:lvl>
    <w:lvl w:ilvl="4" w:tplc="08090019" w:tentative="1">
      <w:start w:val="1"/>
      <w:numFmt w:val="lowerLetter"/>
      <w:lvlText w:val="%5."/>
      <w:lvlJc w:val="left"/>
      <w:pPr>
        <w:ind w:left="3732" w:hanging="360"/>
      </w:pPr>
    </w:lvl>
    <w:lvl w:ilvl="5" w:tplc="0809001B" w:tentative="1">
      <w:start w:val="1"/>
      <w:numFmt w:val="lowerRoman"/>
      <w:lvlText w:val="%6."/>
      <w:lvlJc w:val="right"/>
      <w:pPr>
        <w:ind w:left="4452" w:hanging="180"/>
      </w:pPr>
    </w:lvl>
    <w:lvl w:ilvl="6" w:tplc="0809000F" w:tentative="1">
      <w:start w:val="1"/>
      <w:numFmt w:val="decimal"/>
      <w:lvlText w:val="%7."/>
      <w:lvlJc w:val="left"/>
      <w:pPr>
        <w:ind w:left="5172" w:hanging="360"/>
      </w:pPr>
    </w:lvl>
    <w:lvl w:ilvl="7" w:tplc="08090019" w:tentative="1">
      <w:start w:val="1"/>
      <w:numFmt w:val="lowerLetter"/>
      <w:lvlText w:val="%8."/>
      <w:lvlJc w:val="left"/>
      <w:pPr>
        <w:ind w:left="5892" w:hanging="360"/>
      </w:pPr>
    </w:lvl>
    <w:lvl w:ilvl="8" w:tplc="0809001B" w:tentative="1">
      <w:start w:val="1"/>
      <w:numFmt w:val="lowerRoman"/>
      <w:lvlText w:val="%9."/>
      <w:lvlJc w:val="right"/>
      <w:pPr>
        <w:ind w:left="6612" w:hanging="180"/>
      </w:pPr>
    </w:lvl>
  </w:abstractNum>
  <w:abstractNum w:abstractNumId="20" w15:restartNumberingAfterBreak="0">
    <w:nsid w:val="60C0619B"/>
    <w:multiLevelType w:val="multilevel"/>
    <w:tmpl w:val="8774EE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1873259"/>
    <w:multiLevelType w:val="multilevel"/>
    <w:tmpl w:val="76BEEBDE"/>
    <w:lvl w:ilvl="0">
      <w:start w:val="1"/>
      <w:numFmt w:val="decimal"/>
      <w:lvlText w:val="%1."/>
      <w:lvlJc w:val="left"/>
      <w:pPr>
        <w:tabs>
          <w:tab w:val="num" w:pos="643"/>
        </w:tabs>
        <w:ind w:left="643"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3201B76"/>
    <w:multiLevelType w:val="multilevel"/>
    <w:tmpl w:val="2F0AED10"/>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66424BAB"/>
    <w:multiLevelType w:val="multilevel"/>
    <w:tmpl w:val="521C54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8E55B33"/>
    <w:multiLevelType w:val="multilevel"/>
    <w:tmpl w:val="D7FEC618"/>
    <w:lvl w:ilvl="0">
      <w:start w:val="1"/>
      <w:numFmt w:val="decimal"/>
      <w:lvlText w:val="%1"/>
      <w:lvlJc w:val="left"/>
      <w:pPr>
        <w:ind w:left="672" w:hanging="672"/>
      </w:pPr>
      <w:rPr>
        <w:rFonts w:hint="default"/>
      </w:rPr>
    </w:lvl>
    <w:lvl w:ilvl="1">
      <w:start w:val="13"/>
      <w:numFmt w:val="decimal"/>
      <w:lvlText w:val="%1.%2"/>
      <w:lvlJc w:val="left"/>
      <w:pPr>
        <w:ind w:left="672" w:hanging="672"/>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7034427F"/>
    <w:multiLevelType w:val="multilevel"/>
    <w:tmpl w:val="98267A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3EF77B5"/>
    <w:multiLevelType w:val="multilevel"/>
    <w:tmpl w:val="2972773C"/>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74344E28"/>
    <w:multiLevelType w:val="multilevel"/>
    <w:tmpl w:val="29DE75BC"/>
    <w:lvl w:ilvl="0">
      <w:start w:val="1"/>
      <w:numFmt w:val="decimal"/>
      <w:lvlText w:val="%1."/>
      <w:lvlJc w:val="left"/>
      <w:pPr>
        <w:tabs>
          <w:tab w:val="num" w:pos="720"/>
        </w:tabs>
        <w:ind w:left="720" w:hanging="720"/>
      </w:pPr>
      <w:rPr>
        <w:color w:val="auto"/>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765978EF"/>
    <w:multiLevelType w:val="multilevel"/>
    <w:tmpl w:val="8968C6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6AF677F"/>
    <w:multiLevelType w:val="multilevel"/>
    <w:tmpl w:val="58422D14"/>
    <w:lvl w:ilvl="0">
      <w:start w:val="1"/>
      <w:numFmt w:val="decimal"/>
      <w:lvlText w:val="%1."/>
      <w:lvlJc w:val="left"/>
      <w:pPr>
        <w:ind w:left="720" w:hanging="360"/>
      </w:pPr>
      <w:rPr>
        <w:rFonts w:hint="default"/>
      </w:rPr>
    </w:lvl>
    <w:lvl w:ilvl="1">
      <w:start w:val="14"/>
      <w:numFmt w:val="decimal"/>
      <w:isLgl/>
      <w:lvlText w:val="%1.%2"/>
      <w:lvlJc w:val="left"/>
      <w:pPr>
        <w:ind w:left="888" w:hanging="52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7A5149E6"/>
    <w:multiLevelType w:val="multilevel"/>
    <w:tmpl w:val="84B6A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81858621">
    <w:abstractNumId w:val="22"/>
  </w:num>
  <w:num w:numId="2" w16cid:durableId="1949658954">
    <w:abstractNumId w:val="26"/>
  </w:num>
  <w:num w:numId="3" w16cid:durableId="1012105013">
    <w:abstractNumId w:val="15"/>
  </w:num>
  <w:num w:numId="4" w16cid:durableId="303895600">
    <w:abstractNumId w:val="1"/>
  </w:num>
  <w:num w:numId="5" w16cid:durableId="764301184">
    <w:abstractNumId w:val="19"/>
  </w:num>
  <w:num w:numId="6" w16cid:durableId="248463664">
    <w:abstractNumId w:val="5"/>
  </w:num>
  <w:num w:numId="7" w16cid:durableId="214195710">
    <w:abstractNumId w:val="11"/>
  </w:num>
  <w:num w:numId="8" w16cid:durableId="1427000838">
    <w:abstractNumId w:val="3"/>
  </w:num>
  <w:num w:numId="9" w16cid:durableId="311299088">
    <w:abstractNumId w:val="4"/>
  </w:num>
  <w:num w:numId="10" w16cid:durableId="530414339">
    <w:abstractNumId w:val="30"/>
  </w:num>
  <w:num w:numId="11" w16cid:durableId="1994407055">
    <w:abstractNumId w:val="2"/>
  </w:num>
  <w:num w:numId="12" w16cid:durableId="710376245">
    <w:abstractNumId w:val="28"/>
  </w:num>
  <w:num w:numId="13" w16cid:durableId="1298535884">
    <w:abstractNumId w:val="6"/>
  </w:num>
  <w:num w:numId="14" w16cid:durableId="2112580003">
    <w:abstractNumId w:val="17"/>
  </w:num>
  <w:num w:numId="15" w16cid:durableId="757947939">
    <w:abstractNumId w:val="20"/>
  </w:num>
  <w:num w:numId="16" w16cid:durableId="1442261303">
    <w:abstractNumId w:val="25"/>
  </w:num>
  <w:num w:numId="17" w16cid:durableId="148910131">
    <w:abstractNumId w:val="29"/>
  </w:num>
  <w:num w:numId="18" w16cid:durableId="727533706">
    <w:abstractNumId w:val="7"/>
  </w:num>
  <w:num w:numId="19" w16cid:durableId="711805288">
    <w:abstractNumId w:val="16"/>
  </w:num>
  <w:num w:numId="20" w16cid:durableId="588735917">
    <w:abstractNumId w:val="21"/>
  </w:num>
  <w:num w:numId="21" w16cid:durableId="1144540596">
    <w:abstractNumId w:val="0"/>
  </w:num>
  <w:num w:numId="22" w16cid:durableId="704328159">
    <w:abstractNumId w:val="14"/>
  </w:num>
  <w:num w:numId="23" w16cid:durableId="1623227157">
    <w:abstractNumId w:val="18"/>
  </w:num>
  <w:num w:numId="24" w16cid:durableId="2038577429">
    <w:abstractNumId w:val="23"/>
  </w:num>
  <w:num w:numId="25" w16cid:durableId="1671516877">
    <w:abstractNumId w:val="10"/>
  </w:num>
  <w:num w:numId="26" w16cid:durableId="1140415416">
    <w:abstractNumId w:val="13"/>
  </w:num>
  <w:num w:numId="27" w16cid:durableId="1163400175">
    <w:abstractNumId w:val="9"/>
  </w:num>
  <w:num w:numId="28" w16cid:durableId="4929887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06549140">
    <w:abstractNumId w:val="24"/>
  </w:num>
  <w:num w:numId="30" w16cid:durableId="1155530881">
    <w:abstractNumId w:val="8"/>
  </w:num>
  <w:num w:numId="31" w16cid:durableId="1069574956">
    <w:abstractNumId w:val="1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42B6"/>
    <w:rsid w:val="0000211E"/>
    <w:rsid w:val="00002316"/>
    <w:rsid w:val="00004532"/>
    <w:rsid w:val="00004569"/>
    <w:rsid w:val="00004B7D"/>
    <w:rsid w:val="0000648C"/>
    <w:rsid w:val="00007F06"/>
    <w:rsid w:val="00011E3E"/>
    <w:rsid w:val="00011E86"/>
    <w:rsid w:val="000122D4"/>
    <w:rsid w:val="000146E5"/>
    <w:rsid w:val="000154EB"/>
    <w:rsid w:val="00016FA4"/>
    <w:rsid w:val="00017087"/>
    <w:rsid w:val="00021D7F"/>
    <w:rsid w:val="00022F2D"/>
    <w:rsid w:val="00023A41"/>
    <w:rsid w:val="0002403C"/>
    <w:rsid w:val="00024373"/>
    <w:rsid w:val="00025453"/>
    <w:rsid w:val="00025877"/>
    <w:rsid w:val="00025BD9"/>
    <w:rsid w:val="0002660C"/>
    <w:rsid w:val="00026816"/>
    <w:rsid w:val="00026BCE"/>
    <w:rsid w:val="0002723E"/>
    <w:rsid w:val="00027CFB"/>
    <w:rsid w:val="00027EBA"/>
    <w:rsid w:val="00031ECD"/>
    <w:rsid w:val="00033018"/>
    <w:rsid w:val="000335F8"/>
    <w:rsid w:val="00034250"/>
    <w:rsid w:val="00035911"/>
    <w:rsid w:val="00037D56"/>
    <w:rsid w:val="00040B02"/>
    <w:rsid w:val="00043098"/>
    <w:rsid w:val="000432FF"/>
    <w:rsid w:val="0004507C"/>
    <w:rsid w:val="000456EC"/>
    <w:rsid w:val="00046C72"/>
    <w:rsid w:val="00051472"/>
    <w:rsid w:val="00051A7E"/>
    <w:rsid w:val="000520FD"/>
    <w:rsid w:val="00053169"/>
    <w:rsid w:val="00053654"/>
    <w:rsid w:val="000578F7"/>
    <w:rsid w:val="000613D9"/>
    <w:rsid w:val="00062DED"/>
    <w:rsid w:val="000633F1"/>
    <w:rsid w:val="00063DEA"/>
    <w:rsid w:val="00064037"/>
    <w:rsid w:val="0006539E"/>
    <w:rsid w:val="00065EEF"/>
    <w:rsid w:val="000676D7"/>
    <w:rsid w:val="00067905"/>
    <w:rsid w:val="0007020C"/>
    <w:rsid w:val="00070D64"/>
    <w:rsid w:val="00070E94"/>
    <w:rsid w:val="0007192D"/>
    <w:rsid w:val="00071E19"/>
    <w:rsid w:val="000729DD"/>
    <w:rsid w:val="00076CA1"/>
    <w:rsid w:val="00076E38"/>
    <w:rsid w:val="00077AFE"/>
    <w:rsid w:val="0008140A"/>
    <w:rsid w:val="0008336B"/>
    <w:rsid w:val="00084E4A"/>
    <w:rsid w:val="00085F46"/>
    <w:rsid w:val="00086209"/>
    <w:rsid w:val="00086CC9"/>
    <w:rsid w:val="0008730D"/>
    <w:rsid w:val="00087A14"/>
    <w:rsid w:val="00087BE0"/>
    <w:rsid w:val="00090239"/>
    <w:rsid w:val="0009036F"/>
    <w:rsid w:val="000918D5"/>
    <w:rsid w:val="00092094"/>
    <w:rsid w:val="00092DEB"/>
    <w:rsid w:val="00093E3C"/>
    <w:rsid w:val="00093FA6"/>
    <w:rsid w:val="00094EAF"/>
    <w:rsid w:val="00096B10"/>
    <w:rsid w:val="000A0324"/>
    <w:rsid w:val="000A10CF"/>
    <w:rsid w:val="000A1E07"/>
    <w:rsid w:val="000A30DE"/>
    <w:rsid w:val="000A337E"/>
    <w:rsid w:val="000A6C03"/>
    <w:rsid w:val="000A6E65"/>
    <w:rsid w:val="000A7491"/>
    <w:rsid w:val="000B1EA0"/>
    <w:rsid w:val="000B2AE8"/>
    <w:rsid w:val="000B4842"/>
    <w:rsid w:val="000B75CB"/>
    <w:rsid w:val="000C125A"/>
    <w:rsid w:val="000C151D"/>
    <w:rsid w:val="000C186C"/>
    <w:rsid w:val="000C1A1C"/>
    <w:rsid w:val="000C1E96"/>
    <w:rsid w:val="000C1FA4"/>
    <w:rsid w:val="000C2461"/>
    <w:rsid w:val="000C4405"/>
    <w:rsid w:val="000C5445"/>
    <w:rsid w:val="000C54B2"/>
    <w:rsid w:val="000C581C"/>
    <w:rsid w:val="000C58F8"/>
    <w:rsid w:val="000C5BA1"/>
    <w:rsid w:val="000D2AB4"/>
    <w:rsid w:val="000D2F20"/>
    <w:rsid w:val="000D4BB3"/>
    <w:rsid w:val="000D51BE"/>
    <w:rsid w:val="000D5771"/>
    <w:rsid w:val="000D6DB0"/>
    <w:rsid w:val="000E04DF"/>
    <w:rsid w:val="000E097C"/>
    <w:rsid w:val="000E130B"/>
    <w:rsid w:val="000E19F6"/>
    <w:rsid w:val="000E2777"/>
    <w:rsid w:val="000E2FD0"/>
    <w:rsid w:val="000E3826"/>
    <w:rsid w:val="000F0AF3"/>
    <w:rsid w:val="000F2D4E"/>
    <w:rsid w:val="000F2FD8"/>
    <w:rsid w:val="000F3E54"/>
    <w:rsid w:val="000F484F"/>
    <w:rsid w:val="000F4994"/>
    <w:rsid w:val="000F4B73"/>
    <w:rsid w:val="000F6C85"/>
    <w:rsid w:val="000F6CB2"/>
    <w:rsid w:val="000F7E20"/>
    <w:rsid w:val="000F7F5C"/>
    <w:rsid w:val="00100BA1"/>
    <w:rsid w:val="00101C9C"/>
    <w:rsid w:val="00102281"/>
    <w:rsid w:val="00102F81"/>
    <w:rsid w:val="001041BD"/>
    <w:rsid w:val="00104470"/>
    <w:rsid w:val="00106911"/>
    <w:rsid w:val="00106EDB"/>
    <w:rsid w:val="00110158"/>
    <w:rsid w:val="00110290"/>
    <w:rsid w:val="001119CB"/>
    <w:rsid w:val="001124EA"/>
    <w:rsid w:val="001126CC"/>
    <w:rsid w:val="001141A3"/>
    <w:rsid w:val="00114B2B"/>
    <w:rsid w:val="00114BEE"/>
    <w:rsid w:val="00115273"/>
    <w:rsid w:val="00115484"/>
    <w:rsid w:val="001175FA"/>
    <w:rsid w:val="00121847"/>
    <w:rsid w:val="0012243A"/>
    <w:rsid w:val="0012273E"/>
    <w:rsid w:val="0012399F"/>
    <w:rsid w:val="0012480F"/>
    <w:rsid w:val="00125380"/>
    <w:rsid w:val="00125BB0"/>
    <w:rsid w:val="00126005"/>
    <w:rsid w:val="001300C9"/>
    <w:rsid w:val="00131487"/>
    <w:rsid w:val="001328C9"/>
    <w:rsid w:val="00134AB8"/>
    <w:rsid w:val="0013685B"/>
    <w:rsid w:val="00137117"/>
    <w:rsid w:val="00137913"/>
    <w:rsid w:val="001379A2"/>
    <w:rsid w:val="00140430"/>
    <w:rsid w:val="0014090C"/>
    <w:rsid w:val="001425C7"/>
    <w:rsid w:val="00145A85"/>
    <w:rsid w:val="0015149A"/>
    <w:rsid w:val="00151641"/>
    <w:rsid w:val="00154678"/>
    <w:rsid w:val="00155DD4"/>
    <w:rsid w:val="00155E6D"/>
    <w:rsid w:val="00157B7D"/>
    <w:rsid w:val="001609C6"/>
    <w:rsid w:val="001613F3"/>
    <w:rsid w:val="0016428A"/>
    <w:rsid w:val="001646D2"/>
    <w:rsid w:val="00164E51"/>
    <w:rsid w:val="00165325"/>
    <w:rsid w:val="001670FE"/>
    <w:rsid w:val="0017039A"/>
    <w:rsid w:val="001707F2"/>
    <w:rsid w:val="0017175B"/>
    <w:rsid w:val="00171978"/>
    <w:rsid w:val="00172808"/>
    <w:rsid w:val="001735BA"/>
    <w:rsid w:val="001745EF"/>
    <w:rsid w:val="00175AF4"/>
    <w:rsid w:val="001774F1"/>
    <w:rsid w:val="0018012C"/>
    <w:rsid w:val="00181296"/>
    <w:rsid w:val="001823B4"/>
    <w:rsid w:val="001832DC"/>
    <w:rsid w:val="00183823"/>
    <w:rsid w:val="001843AD"/>
    <w:rsid w:val="00186406"/>
    <w:rsid w:val="00190804"/>
    <w:rsid w:val="001920F3"/>
    <w:rsid w:val="0019454D"/>
    <w:rsid w:val="00194787"/>
    <w:rsid w:val="001958CF"/>
    <w:rsid w:val="001976FA"/>
    <w:rsid w:val="00197818"/>
    <w:rsid w:val="001A2013"/>
    <w:rsid w:val="001A4949"/>
    <w:rsid w:val="001A5809"/>
    <w:rsid w:val="001A5913"/>
    <w:rsid w:val="001A5AD9"/>
    <w:rsid w:val="001B0788"/>
    <w:rsid w:val="001B0821"/>
    <w:rsid w:val="001B1F1B"/>
    <w:rsid w:val="001B206D"/>
    <w:rsid w:val="001B2D50"/>
    <w:rsid w:val="001B344C"/>
    <w:rsid w:val="001B3DE5"/>
    <w:rsid w:val="001B5071"/>
    <w:rsid w:val="001B55BF"/>
    <w:rsid w:val="001B666A"/>
    <w:rsid w:val="001B6F8E"/>
    <w:rsid w:val="001B7133"/>
    <w:rsid w:val="001C0A3A"/>
    <w:rsid w:val="001C34B1"/>
    <w:rsid w:val="001C50C0"/>
    <w:rsid w:val="001C62BC"/>
    <w:rsid w:val="001C63AC"/>
    <w:rsid w:val="001C6E05"/>
    <w:rsid w:val="001C7003"/>
    <w:rsid w:val="001D0A39"/>
    <w:rsid w:val="001D5470"/>
    <w:rsid w:val="001D6986"/>
    <w:rsid w:val="001D69AA"/>
    <w:rsid w:val="001D6A04"/>
    <w:rsid w:val="001D7230"/>
    <w:rsid w:val="001D7D3C"/>
    <w:rsid w:val="001D7EF3"/>
    <w:rsid w:val="001E1159"/>
    <w:rsid w:val="001E3908"/>
    <w:rsid w:val="001E3FA8"/>
    <w:rsid w:val="001E4BF9"/>
    <w:rsid w:val="001E7A1F"/>
    <w:rsid w:val="001F05B1"/>
    <w:rsid w:val="001F22E2"/>
    <w:rsid w:val="001F2877"/>
    <w:rsid w:val="001F38E4"/>
    <w:rsid w:val="001F3CF0"/>
    <w:rsid w:val="001F4222"/>
    <w:rsid w:val="001F42A3"/>
    <w:rsid w:val="001F4EBA"/>
    <w:rsid w:val="001F501D"/>
    <w:rsid w:val="0020032E"/>
    <w:rsid w:val="00200BF4"/>
    <w:rsid w:val="00202218"/>
    <w:rsid w:val="00202966"/>
    <w:rsid w:val="00204F7D"/>
    <w:rsid w:val="002069AF"/>
    <w:rsid w:val="00207453"/>
    <w:rsid w:val="00207AC7"/>
    <w:rsid w:val="002109FD"/>
    <w:rsid w:val="00210C6B"/>
    <w:rsid w:val="00211F4C"/>
    <w:rsid w:val="002120C4"/>
    <w:rsid w:val="00213FB6"/>
    <w:rsid w:val="00217736"/>
    <w:rsid w:val="002177D8"/>
    <w:rsid w:val="00217894"/>
    <w:rsid w:val="00221793"/>
    <w:rsid w:val="00221C46"/>
    <w:rsid w:val="00221DDD"/>
    <w:rsid w:val="00222994"/>
    <w:rsid w:val="00222C5C"/>
    <w:rsid w:val="0022383A"/>
    <w:rsid w:val="00223BED"/>
    <w:rsid w:val="00223E93"/>
    <w:rsid w:val="00225D70"/>
    <w:rsid w:val="002273F0"/>
    <w:rsid w:val="00230FDC"/>
    <w:rsid w:val="0023247B"/>
    <w:rsid w:val="00232D1D"/>
    <w:rsid w:val="0023351A"/>
    <w:rsid w:val="00233994"/>
    <w:rsid w:val="00234081"/>
    <w:rsid w:val="00236C9C"/>
    <w:rsid w:val="00237EF0"/>
    <w:rsid w:val="00240738"/>
    <w:rsid w:val="00241053"/>
    <w:rsid w:val="00241804"/>
    <w:rsid w:val="0024258B"/>
    <w:rsid w:val="00242C1D"/>
    <w:rsid w:val="0024562F"/>
    <w:rsid w:val="00245B86"/>
    <w:rsid w:val="00246D5F"/>
    <w:rsid w:val="0025014D"/>
    <w:rsid w:val="002510F5"/>
    <w:rsid w:val="00251411"/>
    <w:rsid w:val="0025400E"/>
    <w:rsid w:val="002549C9"/>
    <w:rsid w:val="00254BBE"/>
    <w:rsid w:val="0025565B"/>
    <w:rsid w:val="00255AD0"/>
    <w:rsid w:val="00257785"/>
    <w:rsid w:val="002606A6"/>
    <w:rsid w:val="00260C35"/>
    <w:rsid w:val="00260CE8"/>
    <w:rsid w:val="00261330"/>
    <w:rsid w:val="00262C93"/>
    <w:rsid w:val="002640A3"/>
    <w:rsid w:val="0026500E"/>
    <w:rsid w:val="00265CA7"/>
    <w:rsid w:val="002700E0"/>
    <w:rsid w:val="00270148"/>
    <w:rsid w:val="00270482"/>
    <w:rsid w:val="002715C0"/>
    <w:rsid w:val="002724AB"/>
    <w:rsid w:val="0027424E"/>
    <w:rsid w:val="00276BB6"/>
    <w:rsid w:val="00276E08"/>
    <w:rsid w:val="00277DFC"/>
    <w:rsid w:val="0028079C"/>
    <w:rsid w:val="0028163C"/>
    <w:rsid w:val="00281862"/>
    <w:rsid w:val="00282E34"/>
    <w:rsid w:val="0028618F"/>
    <w:rsid w:val="00287DAF"/>
    <w:rsid w:val="00291544"/>
    <w:rsid w:val="002926D2"/>
    <w:rsid w:val="00293D90"/>
    <w:rsid w:val="002941AD"/>
    <w:rsid w:val="00296717"/>
    <w:rsid w:val="00297B28"/>
    <w:rsid w:val="00297E2B"/>
    <w:rsid w:val="002A0134"/>
    <w:rsid w:val="002A0873"/>
    <w:rsid w:val="002A0D5D"/>
    <w:rsid w:val="002A10EA"/>
    <w:rsid w:val="002A1FC4"/>
    <w:rsid w:val="002A2EA0"/>
    <w:rsid w:val="002A3239"/>
    <w:rsid w:val="002A3406"/>
    <w:rsid w:val="002A447C"/>
    <w:rsid w:val="002A496E"/>
    <w:rsid w:val="002A49B5"/>
    <w:rsid w:val="002A7E37"/>
    <w:rsid w:val="002B087A"/>
    <w:rsid w:val="002B14DE"/>
    <w:rsid w:val="002B1D09"/>
    <w:rsid w:val="002B3359"/>
    <w:rsid w:val="002B383C"/>
    <w:rsid w:val="002B60D3"/>
    <w:rsid w:val="002B68F8"/>
    <w:rsid w:val="002C1742"/>
    <w:rsid w:val="002C2525"/>
    <w:rsid w:val="002C3F68"/>
    <w:rsid w:val="002C477E"/>
    <w:rsid w:val="002C4BAB"/>
    <w:rsid w:val="002C51DB"/>
    <w:rsid w:val="002C51FD"/>
    <w:rsid w:val="002C5F93"/>
    <w:rsid w:val="002C6CC0"/>
    <w:rsid w:val="002D3272"/>
    <w:rsid w:val="002D339D"/>
    <w:rsid w:val="002D3E12"/>
    <w:rsid w:val="002D4EFE"/>
    <w:rsid w:val="002D5EFC"/>
    <w:rsid w:val="002D632B"/>
    <w:rsid w:val="002D6391"/>
    <w:rsid w:val="002E2B85"/>
    <w:rsid w:val="002E435A"/>
    <w:rsid w:val="002E5344"/>
    <w:rsid w:val="002E5382"/>
    <w:rsid w:val="002E5789"/>
    <w:rsid w:val="002E5B96"/>
    <w:rsid w:val="002E7CBD"/>
    <w:rsid w:val="002F045F"/>
    <w:rsid w:val="002F154C"/>
    <w:rsid w:val="002F24ED"/>
    <w:rsid w:val="002F2636"/>
    <w:rsid w:val="002F39B0"/>
    <w:rsid w:val="002F4E9D"/>
    <w:rsid w:val="00300C70"/>
    <w:rsid w:val="00301BA3"/>
    <w:rsid w:val="00303B34"/>
    <w:rsid w:val="003040C1"/>
    <w:rsid w:val="00307234"/>
    <w:rsid w:val="003073E3"/>
    <w:rsid w:val="00307878"/>
    <w:rsid w:val="003078A4"/>
    <w:rsid w:val="00307FF4"/>
    <w:rsid w:val="003111E0"/>
    <w:rsid w:val="0031140E"/>
    <w:rsid w:val="00312462"/>
    <w:rsid w:val="00312A89"/>
    <w:rsid w:val="00313F07"/>
    <w:rsid w:val="00314731"/>
    <w:rsid w:val="00314A95"/>
    <w:rsid w:val="00314B4C"/>
    <w:rsid w:val="00316203"/>
    <w:rsid w:val="00317244"/>
    <w:rsid w:val="00317BCC"/>
    <w:rsid w:val="0032179D"/>
    <w:rsid w:val="0032185C"/>
    <w:rsid w:val="003222DA"/>
    <w:rsid w:val="003235FF"/>
    <w:rsid w:val="003244C5"/>
    <w:rsid w:val="00324647"/>
    <w:rsid w:val="00324D1C"/>
    <w:rsid w:val="0032547C"/>
    <w:rsid w:val="00330430"/>
    <w:rsid w:val="00331434"/>
    <w:rsid w:val="00332167"/>
    <w:rsid w:val="003324DA"/>
    <w:rsid w:val="00332FA4"/>
    <w:rsid w:val="00334EA7"/>
    <w:rsid w:val="00337890"/>
    <w:rsid w:val="0034145C"/>
    <w:rsid w:val="003426B1"/>
    <w:rsid w:val="00342A7C"/>
    <w:rsid w:val="003438B7"/>
    <w:rsid w:val="00343AF8"/>
    <w:rsid w:val="003471FB"/>
    <w:rsid w:val="00347AD9"/>
    <w:rsid w:val="003503EB"/>
    <w:rsid w:val="00350542"/>
    <w:rsid w:val="003528AE"/>
    <w:rsid w:val="003528EC"/>
    <w:rsid w:val="0035393F"/>
    <w:rsid w:val="003556C7"/>
    <w:rsid w:val="00355792"/>
    <w:rsid w:val="00356606"/>
    <w:rsid w:val="00356C55"/>
    <w:rsid w:val="00356DCA"/>
    <w:rsid w:val="00357CA6"/>
    <w:rsid w:val="00360A60"/>
    <w:rsid w:val="00360DF7"/>
    <w:rsid w:val="00361134"/>
    <w:rsid w:val="0036391D"/>
    <w:rsid w:val="00364BEB"/>
    <w:rsid w:val="00364F91"/>
    <w:rsid w:val="0036598F"/>
    <w:rsid w:val="0036714D"/>
    <w:rsid w:val="00371234"/>
    <w:rsid w:val="0037267B"/>
    <w:rsid w:val="00373E6A"/>
    <w:rsid w:val="00375108"/>
    <w:rsid w:val="00375D46"/>
    <w:rsid w:val="00376466"/>
    <w:rsid w:val="00376E4F"/>
    <w:rsid w:val="003800A2"/>
    <w:rsid w:val="0038075F"/>
    <w:rsid w:val="0038115F"/>
    <w:rsid w:val="00382B8A"/>
    <w:rsid w:val="00383657"/>
    <w:rsid w:val="00384035"/>
    <w:rsid w:val="003844CB"/>
    <w:rsid w:val="0038772C"/>
    <w:rsid w:val="0038772D"/>
    <w:rsid w:val="00390D52"/>
    <w:rsid w:val="00390DDE"/>
    <w:rsid w:val="00390FD0"/>
    <w:rsid w:val="003931C3"/>
    <w:rsid w:val="00393635"/>
    <w:rsid w:val="003945DF"/>
    <w:rsid w:val="00394680"/>
    <w:rsid w:val="003A0461"/>
    <w:rsid w:val="003A113A"/>
    <w:rsid w:val="003A1527"/>
    <w:rsid w:val="003A157B"/>
    <w:rsid w:val="003A3573"/>
    <w:rsid w:val="003A374C"/>
    <w:rsid w:val="003A3CBA"/>
    <w:rsid w:val="003A3E14"/>
    <w:rsid w:val="003A5621"/>
    <w:rsid w:val="003A5E70"/>
    <w:rsid w:val="003B4E3B"/>
    <w:rsid w:val="003B7CA8"/>
    <w:rsid w:val="003B7EAE"/>
    <w:rsid w:val="003C0972"/>
    <w:rsid w:val="003C0CB4"/>
    <w:rsid w:val="003C20E6"/>
    <w:rsid w:val="003C2470"/>
    <w:rsid w:val="003C2E8C"/>
    <w:rsid w:val="003C33EE"/>
    <w:rsid w:val="003C3582"/>
    <w:rsid w:val="003C72BD"/>
    <w:rsid w:val="003D0D30"/>
    <w:rsid w:val="003D0E45"/>
    <w:rsid w:val="003D10E9"/>
    <w:rsid w:val="003D2085"/>
    <w:rsid w:val="003D470C"/>
    <w:rsid w:val="003D481E"/>
    <w:rsid w:val="003E2F56"/>
    <w:rsid w:val="003E329C"/>
    <w:rsid w:val="003E57EA"/>
    <w:rsid w:val="003E5D82"/>
    <w:rsid w:val="003E5E22"/>
    <w:rsid w:val="003E7097"/>
    <w:rsid w:val="003F06E6"/>
    <w:rsid w:val="003F093F"/>
    <w:rsid w:val="003F12F3"/>
    <w:rsid w:val="003F194A"/>
    <w:rsid w:val="003F22A1"/>
    <w:rsid w:val="003F2AA1"/>
    <w:rsid w:val="003F4BE4"/>
    <w:rsid w:val="003F4D42"/>
    <w:rsid w:val="003F7F7E"/>
    <w:rsid w:val="004010B3"/>
    <w:rsid w:val="00401C5B"/>
    <w:rsid w:val="00403ADB"/>
    <w:rsid w:val="00405D0D"/>
    <w:rsid w:val="00405D57"/>
    <w:rsid w:val="00406537"/>
    <w:rsid w:val="004072F3"/>
    <w:rsid w:val="004115A1"/>
    <w:rsid w:val="00412C80"/>
    <w:rsid w:val="00413B54"/>
    <w:rsid w:val="0041454E"/>
    <w:rsid w:val="00417CE7"/>
    <w:rsid w:val="0042148B"/>
    <w:rsid w:val="00422065"/>
    <w:rsid w:val="0042224B"/>
    <w:rsid w:val="004241E3"/>
    <w:rsid w:val="00424AE6"/>
    <w:rsid w:val="00424BF6"/>
    <w:rsid w:val="00430A5C"/>
    <w:rsid w:val="0043272A"/>
    <w:rsid w:val="004333EA"/>
    <w:rsid w:val="00433B75"/>
    <w:rsid w:val="00434A8B"/>
    <w:rsid w:val="004370A0"/>
    <w:rsid w:val="00437D6D"/>
    <w:rsid w:val="00440169"/>
    <w:rsid w:val="004410C7"/>
    <w:rsid w:val="00441F61"/>
    <w:rsid w:val="00444AE3"/>
    <w:rsid w:val="00444CE7"/>
    <w:rsid w:val="00444FC0"/>
    <w:rsid w:val="00452F6F"/>
    <w:rsid w:val="00454421"/>
    <w:rsid w:val="004544E9"/>
    <w:rsid w:val="00454EDA"/>
    <w:rsid w:val="00455527"/>
    <w:rsid w:val="00456C59"/>
    <w:rsid w:val="004577D4"/>
    <w:rsid w:val="00457C18"/>
    <w:rsid w:val="00457E7F"/>
    <w:rsid w:val="004612F8"/>
    <w:rsid w:val="0046199F"/>
    <w:rsid w:val="00461D06"/>
    <w:rsid w:val="00462C51"/>
    <w:rsid w:val="004643C9"/>
    <w:rsid w:val="004649B0"/>
    <w:rsid w:val="00465692"/>
    <w:rsid w:val="004676B0"/>
    <w:rsid w:val="00472781"/>
    <w:rsid w:val="0047289B"/>
    <w:rsid w:val="00475725"/>
    <w:rsid w:val="0047659C"/>
    <w:rsid w:val="004777BB"/>
    <w:rsid w:val="00477D43"/>
    <w:rsid w:val="0048008D"/>
    <w:rsid w:val="00481CD1"/>
    <w:rsid w:val="0048225D"/>
    <w:rsid w:val="004832DD"/>
    <w:rsid w:val="00483630"/>
    <w:rsid w:val="004853CE"/>
    <w:rsid w:val="0048649D"/>
    <w:rsid w:val="0048687F"/>
    <w:rsid w:val="004872CD"/>
    <w:rsid w:val="00491DB5"/>
    <w:rsid w:val="00492C97"/>
    <w:rsid w:val="0049354C"/>
    <w:rsid w:val="00493FB8"/>
    <w:rsid w:val="004942B6"/>
    <w:rsid w:val="0049533E"/>
    <w:rsid w:val="00495575"/>
    <w:rsid w:val="00495BDA"/>
    <w:rsid w:val="004A0AE0"/>
    <w:rsid w:val="004A2DBC"/>
    <w:rsid w:val="004A4207"/>
    <w:rsid w:val="004A475C"/>
    <w:rsid w:val="004A4E04"/>
    <w:rsid w:val="004A6B51"/>
    <w:rsid w:val="004A6B9F"/>
    <w:rsid w:val="004A7C23"/>
    <w:rsid w:val="004A7D10"/>
    <w:rsid w:val="004B04F6"/>
    <w:rsid w:val="004B0DBA"/>
    <w:rsid w:val="004B135E"/>
    <w:rsid w:val="004B171B"/>
    <w:rsid w:val="004B1AD1"/>
    <w:rsid w:val="004B1F18"/>
    <w:rsid w:val="004B419D"/>
    <w:rsid w:val="004B5647"/>
    <w:rsid w:val="004B7D68"/>
    <w:rsid w:val="004C0A51"/>
    <w:rsid w:val="004C1230"/>
    <w:rsid w:val="004C2CF7"/>
    <w:rsid w:val="004C3112"/>
    <w:rsid w:val="004C5747"/>
    <w:rsid w:val="004C6F2E"/>
    <w:rsid w:val="004D398B"/>
    <w:rsid w:val="004E0578"/>
    <w:rsid w:val="004E0C30"/>
    <w:rsid w:val="004E25F9"/>
    <w:rsid w:val="004E369E"/>
    <w:rsid w:val="004E3CDA"/>
    <w:rsid w:val="004E3DF3"/>
    <w:rsid w:val="004E42D4"/>
    <w:rsid w:val="004E5D54"/>
    <w:rsid w:val="004E73FC"/>
    <w:rsid w:val="004F130A"/>
    <w:rsid w:val="004F2A46"/>
    <w:rsid w:val="004F318B"/>
    <w:rsid w:val="004F3E5D"/>
    <w:rsid w:val="004F5E69"/>
    <w:rsid w:val="005028AC"/>
    <w:rsid w:val="005029DF"/>
    <w:rsid w:val="00502ADF"/>
    <w:rsid w:val="00502D9A"/>
    <w:rsid w:val="00503170"/>
    <w:rsid w:val="0050628D"/>
    <w:rsid w:val="00507019"/>
    <w:rsid w:val="005070B2"/>
    <w:rsid w:val="00510304"/>
    <w:rsid w:val="00511788"/>
    <w:rsid w:val="00512CC1"/>
    <w:rsid w:val="00514C33"/>
    <w:rsid w:val="0051554E"/>
    <w:rsid w:val="00515790"/>
    <w:rsid w:val="0051753B"/>
    <w:rsid w:val="005207C8"/>
    <w:rsid w:val="00520CE6"/>
    <w:rsid w:val="00521A02"/>
    <w:rsid w:val="0052241B"/>
    <w:rsid w:val="00522487"/>
    <w:rsid w:val="00522F72"/>
    <w:rsid w:val="0052567A"/>
    <w:rsid w:val="00531148"/>
    <w:rsid w:val="005359EE"/>
    <w:rsid w:val="0054096E"/>
    <w:rsid w:val="005411B7"/>
    <w:rsid w:val="0054183F"/>
    <w:rsid w:val="0054211C"/>
    <w:rsid w:val="0054362B"/>
    <w:rsid w:val="00545CB2"/>
    <w:rsid w:val="005466DD"/>
    <w:rsid w:val="005470CD"/>
    <w:rsid w:val="00550F12"/>
    <w:rsid w:val="00552880"/>
    <w:rsid w:val="00555475"/>
    <w:rsid w:val="0055581F"/>
    <w:rsid w:val="0055632C"/>
    <w:rsid w:val="00557147"/>
    <w:rsid w:val="005607E9"/>
    <w:rsid w:val="005627B4"/>
    <w:rsid w:val="00563820"/>
    <w:rsid w:val="00563EC5"/>
    <w:rsid w:val="005654E3"/>
    <w:rsid w:val="00565D52"/>
    <w:rsid w:val="00566369"/>
    <w:rsid w:val="0057038E"/>
    <w:rsid w:val="00571CBB"/>
    <w:rsid w:val="00573A78"/>
    <w:rsid w:val="005745EB"/>
    <w:rsid w:val="005747C0"/>
    <w:rsid w:val="00574B31"/>
    <w:rsid w:val="00576054"/>
    <w:rsid w:val="0057674B"/>
    <w:rsid w:val="005774D9"/>
    <w:rsid w:val="00582D70"/>
    <w:rsid w:val="00583942"/>
    <w:rsid w:val="00585CB6"/>
    <w:rsid w:val="00586C25"/>
    <w:rsid w:val="005910DC"/>
    <w:rsid w:val="00591C57"/>
    <w:rsid w:val="00593588"/>
    <w:rsid w:val="00594BB5"/>
    <w:rsid w:val="005950BD"/>
    <w:rsid w:val="00596DE3"/>
    <w:rsid w:val="005A1CB4"/>
    <w:rsid w:val="005A1FA6"/>
    <w:rsid w:val="005A4032"/>
    <w:rsid w:val="005A56DE"/>
    <w:rsid w:val="005A680C"/>
    <w:rsid w:val="005A69DB"/>
    <w:rsid w:val="005B0126"/>
    <w:rsid w:val="005B2455"/>
    <w:rsid w:val="005B42BF"/>
    <w:rsid w:val="005B4CB5"/>
    <w:rsid w:val="005B5367"/>
    <w:rsid w:val="005B5DBB"/>
    <w:rsid w:val="005B5F25"/>
    <w:rsid w:val="005B5FB4"/>
    <w:rsid w:val="005B69BB"/>
    <w:rsid w:val="005B6A52"/>
    <w:rsid w:val="005B78C8"/>
    <w:rsid w:val="005C129C"/>
    <w:rsid w:val="005C1596"/>
    <w:rsid w:val="005C1E5B"/>
    <w:rsid w:val="005C2E1D"/>
    <w:rsid w:val="005C32E0"/>
    <w:rsid w:val="005C77E2"/>
    <w:rsid w:val="005C7E5F"/>
    <w:rsid w:val="005D1166"/>
    <w:rsid w:val="005D41DE"/>
    <w:rsid w:val="005D58B1"/>
    <w:rsid w:val="005D5AC2"/>
    <w:rsid w:val="005D5FA0"/>
    <w:rsid w:val="005D760B"/>
    <w:rsid w:val="005E00DE"/>
    <w:rsid w:val="005E4F4B"/>
    <w:rsid w:val="005E73DE"/>
    <w:rsid w:val="005F00D7"/>
    <w:rsid w:val="005F1482"/>
    <w:rsid w:val="005F2B92"/>
    <w:rsid w:val="005F3038"/>
    <w:rsid w:val="005F4FDD"/>
    <w:rsid w:val="005F6B0F"/>
    <w:rsid w:val="005F6F77"/>
    <w:rsid w:val="005F6FE6"/>
    <w:rsid w:val="006003F0"/>
    <w:rsid w:val="00600505"/>
    <w:rsid w:val="00602547"/>
    <w:rsid w:val="0060286B"/>
    <w:rsid w:val="00602F0C"/>
    <w:rsid w:val="00603C66"/>
    <w:rsid w:val="00603DF8"/>
    <w:rsid w:val="00604FA7"/>
    <w:rsid w:val="006056BE"/>
    <w:rsid w:val="00606591"/>
    <w:rsid w:val="00610167"/>
    <w:rsid w:val="006115E4"/>
    <w:rsid w:val="00611C1B"/>
    <w:rsid w:val="006125F3"/>
    <w:rsid w:val="006131D5"/>
    <w:rsid w:val="006150C9"/>
    <w:rsid w:val="006210B9"/>
    <w:rsid w:val="00621392"/>
    <w:rsid w:val="0062184C"/>
    <w:rsid w:val="00622D0C"/>
    <w:rsid w:val="00623C87"/>
    <w:rsid w:val="00624919"/>
    <w:rsid w:val="00625635"/>
    <w:rsid w:val="00627036"/>
    <w:rsid w:val="0063138A"/>
    <w:rsid w:val="00632191"/>
    <w:rsid w:val="00632552"/>
    <w:rsid w:val="00632618"/>
    <w:rsid w:val="006336BB"/>
    <w:rsid w:val="00633883"/>
    <w:rsid w:val="00633D64"/>
    <w:rsid w:val="00633EDB"/>
    <w:rsid w:val="00634089"/>
    <w:rsid w:val="00635F60"/>
    <w:rsid w:val="006364FA"/>
    <w:rsid w:val="00636819"/>
    <w:rsid w:val="00636FC7"/>
    <w:rsid w:val="00637060"/>
    <w:rsid w:val="006405EB"/>
    <w:rsid w:val="00640E3C"/>
    <w:rsid w:val="006413E6"/>
    <w:rsid w:val="00641F8D"/>
    <w:rsid w:val="00643414"/>
    <w:rsid w:val="00644EE8"/>
    <w:rsid w:val="0064625D"/>
    <w:rsid w:val="006468D0"/>
    <w:rsid w:val="00647BA1"/>
    <w:rsid w:val="00652017"/>
    <w:rsid w:val="0065361B"/>
    <w:rsid w:val="00655156"/>
    <w:rsid w:val="00657C39"/>
    <w:rsid w:val="00662213"/>
    <w:rsid w:val="00662240"/>
    <w:rsid w:val="006623F4"/>
    <w:rsid w:val="00663922"/>
    <w:rsid w:val="00664B5E"/>
    <w:rsid w:val="006664C0"/>
    <w:rsid w:val="00667C87"/>
    <w:rsid w:val="00670241"/>
    <w:rsid w:val="006706FE"/>
    <w:rsid w:val="00670979"/>
    <w:rsid w:val="00672532"/>
    <w:rsid w:val="00672F77"/>
    <w:rsid w:val="00673717"/>
    <w:rsid w:val="00676B29"/>
    <w:rsid w:val="00680CD3"/>
    <w:rsid w:val="00681449"/>
    <w:rsid w:val="0068196B"/>
    <w:rsid w:val="006819FD"/>
    <w:rsid w:val="00681E02"/>
    <w:rsid w:val="00681E43"/>
    <w:rsid w:val="0068282B"/>
    <w:rsid w:val="006834ED"/>
    <w:rsid w:val="00683A41"/>
    <w:rsid w:val="006842E1"/>
    <w:rsid w:val="00684354"/>
    <w:rsid w:val="00684EEF"/>
    <w:rsid w:val="00691636"/>
    <w:rsid w:val="00691F9E"/>
    <w:rsid w:val="00693EB7"/>
    <w:rsid w:val="00694432"/>
    <w:rsid w:val="00695D4C"/>
    <w:rsid w:val="00697993"/>
    <w:rsid w:val="006A05FE"/>
    <w:rsid w:val="006A0ACA"/>
    <w:rsid w:val="006A21C1"/>
    <w:rsid w:val="006A22DE"/>
    <w:rsid w:val="006A2C6F"/>
    <w:rsid w:val="006A60F4"/>
    <w:rsid w:val="006B03A1"/>
    <w:rsid w:val="006B3282"/>
    <w:rsid w:val="006B4091"/>
    <w:rsid w:val="006B56FF"/>
    <w:rsid w:val="006B6442"/>
    <w:rsid w:val="006B658A"/>
    <w:rsid w:val="006B7085"/>
    <w:rsid w:val="006C050A"/>
    <w:rsid w:val="006C0F2C"/>
    <w:rsid w:val="006C268E"/>
    <w:rsid w:val="006C3B69"/>
    <w:rsid w:val="006C4EAE"/>
    <w:rsid w:val="006C6275"/>
    <w:rsid w:val="006C691D"/>
    <w:rsid w:val="006C7A19"/>
    <w:rsid w:val="006D07DE"/>
    <w:rsid w:val="006D0B04"/>
    <w:rsid w:val="006D0C6C"/>
    <w:rsid w:val="006D3891"/>
    <w:rsid w:val="006D5294"/>
    <w:rsid w:val="006D52C2"/>
    <w:rsid w:val="006D5F97"/>
    <w:rsid w:val="006D6D70"/>
    <w:rsid w:val="006D780C"/>
    <w:rsid w:val="006D7F05"/>
    <w:rsid w:val="006E041E"/>
    <w:rsid w:val="006E076B"/>
    <w:rsid w:val="006E07A1"/>
    <w:rsid w:val="006E08DD"/>
    <w:rsid w:val="006E1AF6"/>
    <w:rsid w:val="006E1DBF"/>
    <w:rsid w:val="006E3891"/>
    <w:rsid w:val="006E57D1"/>
    <w:rsid w:val="006E5CB5"/>
    <w:rsid w:val="006E6F70"/>
    <w:rsid w:val="006E73E8"/>
    <w:rsid w:val="006E7473"/>
    <w:rsid w:val="006E75D6"/>
    <w:rsid w:val="006F0116"/>
    <w:rsid w:val="006F0E3B"/>
    <w:rsid w:val="006F1CC7"/>
    <w:rsid w:val="006F2BFC"/>
    <w:rsid w:val="006F3253"/>
    <w:rsid w:val="006F32DB"/>
    <w:rsid w:val="006F4828"/>
    <w:rsid w:val="006F73D6"/>
    <w:rsid w:val="006F7991"/>
    <w:rsid w:val="007023C6"/>
    <w:rsid w:val="00702DA3"/>
    <w:rsid w:val="007043A1"/>
    <w:rsid w:val="00704F00"/>
    <w:rsid w:val="00707E51"/>
    <w:rsid w:val="0071065E"/>
    <w:rsid w:val="00710D1F"/>
    <w:rsid w:val="00711B88"/>
    <w:rsid w:val="007120E5"/>
    <w:rsid w:val="00713A00"/>
    <w:rsid w:val="00714085"/>
    <w:rsid w:val="00714723"/>
    <w:rsid w:val="00715B89"/>
    <w:rsid w:val="00715BDD"/>
    <w:rsid w:val="00715F99"/>
    <w:rsid w:val="0072075D"/>
    <w:rsid w:val="007214BC"/>
    <w:rsid w:val="00721802"/>
    <w:rsid w:val="00722353"/>
    <w:rsid w:val="00723D9A"/>
    <w:rsid w:val="007258C7"/>
    <w:rsid w:val="00725B6A"/>
    <w:rsid w:val="0072630C"/>
    <w:rsid w:val="007270CF"/>
    <w:rsid w:val="00727F58"/>
    <w:rsid w:val="0073095D"/>
    <w:rsid w:val="00731145"/>
    <w:rsid w:val="00733E5A"/>
    <w:rsid w:val="00734C57"/>
    <w:rsid w:val="00735D5F"/>
    <w:rsid w:val="00737B16"/>
    <w:rsid w:val="0074471A"/>
    <w:rsid w:val="007451DE"/>
    <w:rsid w:val="007464A4"/>
    <w:rsid w:val="007515E2"/>
    <w:rsid w:val="0075163E"/>
    <w:rsid w:val="007517B5"/>
    <w:rsid w:val="007519F9"/>
    <w:rsid w:val="00751ED2"/>
    <w:rsid w:val="0075268A"/>
    <w:rsid w:val="0075348E"/>
    <w:rsid w:val="0075565F"/>
    <w:rsid w:val="00756636"/>
    <w:rsid w:val="00760F63"/>
    <w:rsid w:val="0076153D"/>
    <w:rsid w:val="00762C60"/>
    <w:rsid w:val="00762E8F"/>
    <w:rsid w:val="0076305D"/>
    <w:rsid w:val="0076466D"/>
    <w:rsid w:val="00764901"/>
    <w:rsid w:val="007649EA"/>
    <w:rsid w:val="007653FE"/>
    <w:rsid w:val="007661AE"/>
    <w:rsid w:val="00766998"/>
    <w:rsid w:val="00766A9E"/>
    <w:rsid w:val="00766FBF"/>
    <w:rsid w:val="0076789D"/>
    <w:rsid w:val="0077170C"/>
    <w:rsid w:val="0077175A"/>
    <w:rsid w:val="0077203A"/>
    <w:rsid w:val="00772462"/>
    <w:rsid w:val="0077420C"/>
    <w:rsid w:val="00774792"/>
    <w:rsid w:val="00774ADD"/>
    <w:rsid w:val="00775589"/>
    <w:rsid w:val="00781CAD"/>
    <w:rsid w:val="00784123"/>
    <w:rsid w:val="00784D28"/>
    <w:rsid w:val="00784FAC"/>
    <w:rsid w:val="0078510E"/>
    <w:rsid w:val="00785B96"/>
    <w:rsid w:val="007862BB"/>
    <w:rsid w:val="00786C08"/>
    <w:rsid w:val="00786C89"/>
    <w:rsid w:val="00790D87"/>
    <w:rsid w:val="00791C3F"/>
    <w:rsid w:val="007942E0"/>
    <w:rsid w:val="007952E4"/>
    <w:rsid w:val="00795AAB"/>
    <w:rsid w:val="00795FDF"/>
    <w:rsid w:val="00797388"/>
    <w:rsid w:val="007A255E"/>
    <w:rsid w:val="007A42C6"/>
    <w:rsid w:val="007A52A6"/>
    <w:rsid w:val="007A7156"/>
    <w:rsid w:val="007A7CEA"/>
    <w:rsid w:val="007B1A03"/>
    <w:rsid w:val="007B368F"/>
    <w:rsid w:val="007B3CF1"/>
    <w:rsid w:val="007B6B13"/>
    <w:rsid w:val="007B77FF"/>
    <w:rsid w:val="007C26B8"/>
    <w:rsid w:val="007C2CD0"/>
    <w:rsid w:val="007C2D89"/>
    <w:rsid w:val="007C2DAB"/>
    <w:rsid w:val="007C3B0A"/>
    <w:rsid w:val="007C4483"/>
    <w:rsid w:val="007C4A6F"/>
    <w:rsid w:val="007C7BE6"/>
    <w:rsid w:val="007D01D4"/>
    <w:rsid w:val="007D0522"/>
    <w:rsid w:val="007D0AD2"/>
    <w:rsid w:val="007D28F8"/>
    <w:rsid w:val="007D3D0C"/>
    <w:rsid w:val="007D621A"/>
    <w:rsid w:val="007D7EAD"/>
    <w:rsid w:val="007E01D5"/>
    <w:rsid w:val="007E331A"/>
    <w:rsid w:val="007E3715"/>
    <w:rsid w:val="007E5A64"/>
    <w:rsid w:val="007E5DBE"/>
    <w:rsid w:val="007E743F"/>
    <w:rsid w:val="007F09B4"/>
    <w:rsid w:val="007F0AC0"/>
    <w:rsid w:val="007F259E"/>
    <w:rsid w:val="007F49CC"/>
    <w:rsid w:val="007F711B"/>
    <w:rsid w:val="007F7307"/>
    <w:rsid w:val="007F7598"/>
    <w:rsid w:val="00800217"/>
    <w:rsid w:val="0080064C"/>
    <w:rsid w:val="008016FE"/>
    <w:rsid w:val="00803FA7"/>
    <w:rsid w:val="00806536"/>
    <w:rsid w:val="00807D07"/>
    <w:rsid w:val="008130AC"/>
    <w:rsid w:val="00813D0D"/>
    <w:rsid w:val="008146C7"/>
    <w:rsid w:val="00816B35"/>
    <w:rsid w:val="00816BBC"/>
    <w:rsid w:val="008177FC"/>
    <w:rsid w:val="0081780A"/>
    <w:rsid w:val="00820F6C"/>
    <w:rsid w:val="00821BF2"/>
    <w:rsid w:val="00821CAF"/>
    <w:rsid w:val="00822497"/>
    <w:rsid w:val="00822C3B"/>
    <w:rsid w:val="00822DD0"/>
    <w:rsid w:val="0082354C"/>
    <w:rsid w:val="008237EA"/>
    <w:rsid w:val="0082406E"/>
    <w:rsid w:val="00824697"/>
    <w:rsid w:val="0082490E"/>
    <w:rsid w:val="008253A0"/>
    <w:rsid w:val="008274BF"/>
    <w:rsid w:val="00830275"/>
    <w:rsid w:val="008363FE"/>
    <w:rsid w:val="00842A81"/>
    <w:rsid w:val="008432F8"/>
    <w:rsid w:val="00847CB2"/>
    <w:rsid w:val="008500C2"/>
    <w:rsid w:val="008503C1"/>
    <w:rsid w:val="00850588"/>
    <w:rsid w:val="008516FA"/>
    <w:rsid w:val="00851D1F"/>
    <w:rsid w:val="00852145"/>
    <w:rsid w:val="00853043"/>
    <w:rsid w:val="00853A0F"/>
    <w:rsid w:val="00854F49"/>
    <w:rsid w:val="00855ED4"/>
    <w:rsid w:val="00856E11"/>
    <w:rsid w:val="00856F1F"/>
    <w:rsid w:val="0085736B"/>
    <w:rsid w:val="00857C7F"/>
    <w:rsid w:val="00857CCA"/>
    <w:rsid w:val="0086063C"/>
    <w:rsid w:val="00861F70"/>
    <w:rsid w:val="008621CD"/>
    <w:rsid w:val="0086257D"/>
    <w:rsid w:val="00862BF1"/>
    <w:rsid w:val="00863049"/>
    <w:rsid w:val="00863C15"/>
    <w:rsid w:val="00864DDB"/>
    <w:rsid w:val="00866793"/>
    <w:rsid w:val="0087089B"/>
    <w:rsid w:val="008728EC"/>
    <w:rsid w:val="008735B4"/>
    <w:rsid w:val="00876558"/>
    <w:rsid w:val="0087683A"/>
    <w:rsid w:val="00877F8F"/>
    <w:rsid w:val="00882396"/>
    <w:rsid w:val="00883A83"/>
    <w:rsid w:val="00886703"/>
    <w:rsid w:val="00887419"/>
    <w:rsid w:val="00890A1F"/>
    <w:rsid w:val="00891485"/>
    <w:rsid w:val="00892800"/>
    <w:rsid w:val="008929A3"/>
    <w:rsid w:val="0089368B"/>
    <w:rsid w:val="00893728"/>
    <w:rsid w:val="00894A17"/>
    <w:rsid w:val="00896B1A"/>
    <w:rsid w:val="008A17CB"/>
    <w:rsid w:val="008A1AF0"/>
    <w:rsid w:val="008A33BB"/>
    <w:rsid w:val="008A3463"/>
    <w:rsid w:val="008A3E77"/>
    <w:rsid w:val="008A6296"/>
    <w:rsid w:val="008A784A"/>
    <w:rsid w:val="008B1223"/>
    <w:rsid w:val="008B2759"/>
    <w:rsid w:val="008B2CFB"/>
    <w:rsid w:val="008B3A14"/>
    <w:rsid w:val="008B4176"/>
    <w:rsid w:val="008B4286"/>
    <w:rsid w:val="008B42C9"/>
    <w:rsid w:val="008B7DAA"/>
    <w:rsid w:val="008C0D65"/>
    <w:rsid w:val="008C0D9F"/>
    <w:rsid w:val="008C2AA5"/>
    <w:rsid w:val="008C2E30"/>
    <w:rsid w:val="008C2F27"/>
    <w:rsid w:val="008C38D5"/>
    <w:rsid w:val="008C4767"/>
    <w:rsid w:val="008C50D0"/>
    <w:rsid w:val="008C5C35"/>
    <w:rsid w:val="008C63A6"/>
    <w:rsid w:val="008C70D3"/>
    <w:rsid w:val="008C72FD"/>
    <w:rsid w:val="008D04FC"/>
    <w:rsid w:val="008D068F"/>
    <w:rsid w:val="008D3025"/>
    <w:rsid w:val="008D30B1"/>
    <w:rsid w:val="008D4763"/>
    <w:rsid w:val="008D54A4"/>
    <w:rsid w:val="008E1AC2"/>
    <w:rsid w:val="008E1BA3"/>
    <w:rsid w:val="008E28CA"/>
    <w:rsid w:val="008E41C2"/>
    <w:rsid w:val="008E5362"/>
    <w:rsid w:val="008E541D"/>
    <w:rsid w:val="008E5542"/>
    <w:rsid w:val="008E67E9"/>
    <w:rsid w:val="008E6A35"/>
    <w:rsid w:val="008E7394"/>
    <w:rsid w:val="008E7809"/>
    <w:rsid w:val="008F183A"/>
    <w:rsid w:val="008F2118"/>
    <w:rsid w:val="008F4475"/>
    <w:rsid w:val="008F4F62"/>
    <w:rsid w:val="008F4F63"/>
    <w:rsid w:val="008F57DC"/>
    <w:rsid w:val="008F5ADC"/>
    <w:rsid w:val="008F6161"/>
    <w:rsid w:val="008F61CB"/>
    <w:rsid w:val="008F66F2"/>
    <w:rsid w:val="008F7907"/>
    <w:rsid w:val="008F7D86"/>
    <w:rsid w:val="00900406"/>
    <w:rsid w:val="00902E6A"/>
    <w:rsid w:val="00903135"/>
    <w:rsid w:val="00903C49"/>
    <w:rsid w:val="00904501"/>
    <w:rsid w:val="00905052"/>
    <w:rsid w:val="00905CB0"/>
    <w:rsid w:val="00905FC9"/>
    <w:rsid w:val="00906640"/>
    <w:rsid w:val="00906892"/>
    <w:rsid w:val="00911A69"/>
    <w:rsid w:val="00911BE5"/>
    <w:rsid w:val="0091252B"/>
    <w:rsid w:val="00913BAC"/>
    <w:rsid w:val="00914FB9"/>
    <w:rsid w:val="009156D8"/>
    <w:rsid w:val="009162B1"/>
    <w:rsid w:val="00916AA3"/>
    <w:rsid w:val="009175F4"/>
    <w:rsid w:val="00921F90"/>
    <w:rsid w:val="009226A6"/>
    <w:rsid w:val="0092285B"/>
    <w:rsid w:val="00922B40"/>
    <w:rsid w:val="00924BD5"/>
    <w:rsid w:val="00927167"/>
    <w:rsid w:val="00927423"/>
    <w:rsid w:val="0093200B"/>
    <w:rsid w:val="009362A9"/>
    <w:rsid w:val="0093762A"/>
    <w:rsid w:val="00940554"/>
    <w:rsid w:val="0094080A"/>
    <w:rsid w:val="00940F1A"/>
    <w:rsid w:val="00941FF0"/>
    <w:rsid w:val="009428D5"/>
    <w:rsid w:val="00943E9D"/>
    <w:rsid w:val="00944232"/>
    <w:rsid w:val="009449A6"/>
    <w:rsid w:val="00945362"/>
    <w:rsid w:val="009453CC"/>
    <w:rsid w:val="009465AD"/>
    <w:rsid w:val="009468C9"/>
    <w:rsid w:val="009478EF"/>
    <w:rsid w:val="00947B33"/>
    <w:rsid w:val="009502CB"/>
    <w:rsid w:val="00950927"/>
    <w:rsid w:val="00951033"/>
    <w:rsid w:val="00951AB2"/>
    <w:rsid w:val="009537CF"/>
    <w:rsid w:val="00953E55"/>
    <w:rsid w:val="00957AE8"/>
    <w:rsid w:val="0096197D"/>
    <w:rsid w:val="0096261F"/>
    <w:rsid w:val="009629D8"/>
    <w:rsid w:val="00963C49"/>
    <w:rsid w:val="00965156"/>
    <w:rsid w:val="00967180"/>
    <w:rsid w:val="0097011D"/>
    <w:rsid w:val="009704F8"/>
    <w:rsid w:val="00971E03"/>
    <w:rsid w:val="009720AD"/>
    <w:rsid w:val="0097314E"/>
    <w:rsid w:val="00975632"/>
    <w:rsid w:val="00976472"/>
    <w:rsid w:val="0098363E"/>
    <w:rsid w:val="00983AD5"/>
    <w:rsid w:val="0098566E"/>
    <w:rsid w:val="00985801"/>
    <w:rsid w:val="00986739"/>
    <w:rsid w:val="009867A2"/>
    <w:rsid w:val="00990230"/>
    <w:rsid w:val="00990DCE"/>
    <w:rsid w:val="009913A3"/>
    <w:rsid w:val="0099222D"/>
    <w:rsid w:val="00995149"/>
    <w:rsid w:val="00995497"/>
    <w:rsid w:val="0099590A"/>
    <w:rsid w:val="00995E88"/>
    <w:rsid w:val="00996D69"/>
    <w:rsid w:val="00996E1A"/>
    <w:rsid w:val="00997271"/>
    <w:rsid w:val="00997A9E"/>
    <w:rsid w:val="009A0C1E"/>
    <w:rsid w:val="009A1113"/>
    <w:rsid w:val="009A28A1"/>
    <w:rsid w:val="009A2FE6"/>
    <w:rsid w:val="009A32DA"/>
    <w:rsid w:val="009A3A82"/>
    <w:rsid w:val="009A40D3"/>
    <w:rsid w:val="009A6580"/>
    <w:rsid w:val="009A71AE"/>
    <w:rsid w:val="009A773C"/>
    <w:rsid w:val="009B0565"/>
    <w:rsid w:val="009B11D8"/>
    <w:rsid w:val="009B2676"/>
    <w:rsid w:val="009B413C"/>
    <w:rsid w:val="009B42AA"/>
    <w:rsid w:val="009B4E4E"/>
    <w:rsid w:val="009B5163"/>
    <w:rsid w:val="009B64F3"/>
    <w:rsid w:val="009B6BA5"/>
    <w:rsid w:val="009C0801"/>
    <w:rsid w:val="009C1748"/>
    <w:rsid w:val="009C2B00"/>
    <w:rsid w:val="009C461B"/>
    <w:rsid w:val="009C6209"/>
    <w:rsid w:val="009D18D1"/>
    <w:rsid w:val="009D3773"/>
    <w:rsid w:val="009D5474"/>
    <w:rsid w:val="009D5C62"/>
    <w:rsid w:val="009D5E69"/>
    <w:rsid w:val="009E14D4"/>
    <w:rsid w:val="009E2236"/>
    <w:rsid w:val="009E314A"/>
    <w:rsid w:val="009E35FA"/>
    <w:rsid w:val="009E5491"/>
    <w:rsid w:val="009E5BA2"/>
    <w:rsid w:val="009E6351"/>
    <w:rsid w:val="009E7296"/>
    <w:rsid w:val="009F054E"/>
    <w:rsid w:val="009F11C3"/>
    <w:rsid w:val="009F2FD8"/>
    <w:rsid w:val="009F35F5"/>
    <w:rsid w:val="009F4CC3"/>
    <w:rsid w:val="00A01C42"/>
    <w:rsid w:val="00A0315C"/>
    <w:rsid w:val="00A047BE"/>
    <w:rsid w:val="00A04EBC"/>
    <w:rsid w:val="00A054F2"/>
    <w:rsid w:val="00A069EC"/>
    <w:rsid w:val="00A06AE6"/>
    <w:rsid w:val="00A07585"/>
    <w:rsid w:val="00A10504"/>
    <w:rsid w:val="00A10A7B"/>
    <w:rsid w:val="00A11956"/>
    <w:rsid w:val="00A120AB"/>
    <w:rsid w:val="00A133DF"/>
    <w:rsid w:val="00A15C63"/>
    <w:rsid w:val="00A173AE"/>
    <w:rsid w:val="00A209BC"/>
    <w:rsid w:val="00A21BDD"/>
    <w:rsid w:val="00A23C6C"/>
    <w:rsid w:val="00A27A4D"/>
    <w:rsid w:val="00A32A2E"/>
    <w:rsid w:val="00A3310F"/>
    <w:rsid w:val="00A36248"/>
    <w:rsid w:val="00A37AF7"/>
    <w:rsid w:val="00A4005C"/>
    <w:rsid w:val="00A4178B"/>
    <w:rsid w:val="00A41FD8"/>
    <w:rsid w:val="00A42F4B"/>
    <w:rsid w:val="00A43DC0"/>
    <w:rsid w:val="00A44682"/>
    <w:rsid w:val="00A468C4"/>
    <w:rsid w:val="00A46CD1"/>
    <w:rsid w:val="00A4722D"/>
    <w:rsid w:val="00A4730B"/>
    <w:rsid w:val="00A47A47"/>
    <w:rsid w:val="00A51039"/>
    <w:rsid w:val="00A51145"/>
    <w:rsid w:val="00A5363E"/>
    <w:rsid w:val="00A53649"/>
    <w:rsid w:val="00A54574"/>
    <w:rsid w:val="00A54803"/>
    <w:rsid w:val="00A54D6B"/>
    <w:rsid w:val="00A55CE3"/>
    <w:rsid w:val="00A57394"/>
    <w:rsid w:val="00A602BC"/>
    <w:rsid w:val="00A6169F"/>
    <w:rsid w:val="00A61C03"/>
    <w:rsid w:val="00A61F03"/>
    <w:rsid w:val="00A62397"/>
    <w:rsid w:val="00A6368E"/>
    <w:rsid w:val="00A637DF"/>
    <w:rsid w:val="00A6496A"/>
    <w:rsid w:val="00A65635"/>
    <w:rsid w:val="00A6607C"/>
    <w:rsid w:val="00A66C37"/>
    <w:rsid w:val="00A66C69"/>
    <w:rsid w:val="00A66E18"/>
    <w:rsid w:val="00A70EAF"/>
    <w:rsid w:val="00A71F31"/>
    <w:rsid w:val="00A7206F"/>
    <w:rsid w:val="00A73B71"/>
    <w:rsid w:val="00A75F82"/>
    <w:rsid w:val="00A77AB8"/>
    <w:rsid w:val="00A82E38"/>
    <w:rsid w:val="00A83354"/>
    <w:rsid w:val="00A83BE8"/>
    <w:rsid w:val="00A85455"/>
    <w:rsid w:val="00A8581D"/>
    <w:rsid w:val="00A86565"/>
    <w:rsid w:val="00A86EC1"/>
    <w:rsid w:val="00A87E99"/>
    <w:rsid w:val="00A9020A"/>
    <w:rsid w:val="00A91310"/>
    <w:rsid w:val="00A92417"/>
    <w:rsid w:val="00A92CA5"/>
    <w:rsid w:val="00A93C75"/>
    <w:rsid w:val="00A94D14"/>
    <w:rsid w:val="00A96FEB"/>
    <w:rsid w:val="00A9723B"/>
    <w:rsid w:val="00AA1FE0"/>
    <w:rsid w:val="00AA5CC6"/>
    <w:rsid w:val="00AA6BF0"/>
    <w:rsid w:val="00AB0E1C"/>
    <w:rsid w:val="00AB321E"/>
    <w:rsid w:val="00AB3430"/>
    <w:rsid w:val="00AB3F06"/>
    <w:rsid w:val="00AB5CB7"/>
    <w:rsid w:val="00AB65C9"/>
    <w:rsid w:val="00AB6B28"/>
    <w:rsid w:val="00AC20AD"/>
    <w:rsid w:val="00AC2473"/>
    <w:rsid w:val="00AC28DD"/>
    <w:rsid w:val="00AC29B5"/>
    <w:rsid w:val="00AC3109"/>
    <w:rsid w:val="00AC3B52"/>
    <w:rsid w:val="00AC6128"/>
    <w:rsid w:val="00AD0153"/>
    <w:rsid w:val="00AD0614"/>
    <w:rsid w:val="00AD0EA2"/>
    <w:rsid w:val="00AD11EB"/>
    <w:rsid w:val="00AD2FFD"/>
    <w:rsid w:val="00AD499E"/>
    <w:rsid w:val="00AD4AF3"/>
    <w:rsid w:val="00AD5A7D"/>
    <w:rsid w:val="00AD6C6A"/>
    <w:rsid w:val="00AD7724"/>
    <w:rsid w:val="00AD7AAB"/>
    <w:rsid w:val="00AE1294"/>
    <w:rsid w:val="00AE3451"/>
    <w:rsid w:val="00AE348B"/>
    <w:rsid w:val="00AE6490"/>
    <w:rsid w:val="00AE7BE6"/>
    <w:rsid w:val="00AE7E86"/>
    <w:rsid w:val="00AF0934"/>
    <w:rsid w:val="00AF0C2A"/>
    <w:rsid w:val="00AF1CDB"/>
    <w:rsid w:val="00AF4064"/>
    <w:rsid w:val="00AF4831"/>
    <w:rsid w:val="00AF4F25"/>
    <w:rsid w:val="00AF50DC"/>
    <w:rsid w:val="00AF583F"/>
    <w:rsid w:val="00AF5E02"/>
    <w:rsid w:val="00AF67B1"/>
    <w:rsid w:val="00B01AA2"/>
    <w:rsid w:val="00B03883"/>
    <w:rsid w:val="00B06541"/>
    <w:rsid w:val="00B10065"/>
    <w:rsid w:val="00B105A1"/>
    <w:rsid w:val="00B15217"/>
    <w:rsid w:val="00B15C89"/>
    <w:rsid w:val="00B16357"/>
    <w:rsid w:val="00B16710"/>
    <w:rsid w:val="00B17566"/>
    <w:rsid w:val="00B17576"/>
    <w:rsid w:val="00B208C5"/>
    <w:rsid w:val="00B20E88"/>
    <w:rsid w:val="00B22401"/>
    <w:rsid w:val="00B236A2"/>
    <w:rsid w:val="00B250C5"/>
    <w:rsid w:val="00B25F39"/>
    <w:rsid w:val="00B264AF"/>
    <w:rsid w:val="00B268F2"/>
    <w:rsid w:val="00B274CD"/>
    <w:rsid w:val="00B30ECC"/>
    <w:rsid w:val="00B313D4"/>
    <w:rsid w:val="00B327F4"/>
    <w:rsid w:val="00B33EE5"/>
    <w:rsid w:val="00B34DB3"/>
    <w:rsid w:val="00B40201"/>
    <w:rsid w:val="00B40B73"/>
    <w:rsid w:val="00B41AC4"/>
    <w:rsid w:val="00B4204D"/>
    <w:rsid w:val="00B422FF"/>
    <w:rsid w:val="00B42DB6"/>
    <w:rsid w:val="00B4337E"/>
    <w:rsid w:val="00B43F59"/>
    <w:rsid w:val="00B4440C"/>
    <w:rsid w:val="00B448A8"/>
    <w:rsid w:val="00B456AE"/>
    <w:rsid w:val="00B46029"/>
    <w:rsid w:val="00B508C2"/>
    <w:rsid w:val="00B50B12"/>
    <w:rsid w:val="00B51021"/>
    <w:rsid w:val="00B522AD"/>
    <w:rsid w:val="00B53CD1"/>
    <w:rsid w:val="00B544F0"/>
    <w:rsid w:val="00B61825"/>
    <w:rsid w:val="00B62003"/>
    <w:rsid w:val="00B63840"/>
    <w:rsid w:val="00B64CD3"/>
    <w:rsid w:val="00B64F14"/>
    <w:rsid w:val="00B652AA"/>
    <w:rsid w:val="00B65717"/>
    <w:rsid w:val="00B65AF5"/>
    <w:rsid w:val="00B663D5"/>
    <w:rsid w:val="00B675E1"/>
    <w:rsid w:val="00B67CFF"/>
    <w:rsid w:val="00B70931"/>
    <w:rsid w:val="00B731C2"/>
    <w:rsid w:val="00B73D7D"/>
    <w:rsid w:val="00B7494B"/>
    <w:rsid w:val="00B74A54"/>
    <w:rsid w:val="00B77208"/>
    <w:rsid w:val="00B77FF8"/>
    <w:rsid w:val="00B80A30"/>
    <w:rsid w:val="00B8276C"/>
    <w:rsid w:val="00B82A0C"/>
    <w:rsid w:val="00B82D98"/>
    <w:rsid w:val="00B82FA1"/>
    <w:rsid w:val="00B83DB0"/>
    <w:rsid w:val="00B84B90"/>
    <w:rsid w:val="00B856F6"/>
    <w:rsid w:val="00B8589B"/>
    <w:rsid w:val="00B863CE"/>
    <w:rsid w:val="00B86936"/>
    <w:rsid w:val="00B90807"/>
    <w:rsid w:val="00B9162F"/>
    <w:rsid w:val="00B9226A"/>
    <w:rsid w:val="00B92CAA"/>
    <w:rsid w:val="00B931FE"/>
    <w:rsid w:val="00BA0BE3"/>
    <w:rsid w:val="00BA1F1C"/>
    <w:rsid w:val="00BA1FC0"/>
    <w:rsid w:val="00BA406E"/>
    <w:rsid w:val="00BA4C44"/>
    <w:rsid w:val="00BA5F37"/>
    <w:rsid w:val="00BA71BC"/>
    <w:rsid w:val="00BB02F4"/>
    <w:rsid w:val="00BB0568"/>
    <w:rsid w:val="00BB0D2F"/>
    <w:rsid w:val="00BB0DCB"/>
    <w:rsid w:val="00BB34B9"/>
    <w:rsid w:val="00BB5AF7"/>
    <w:rsid w:val="00BC1453"/>
    <w:rsid w:val="00BC1A2F"/>
    <w:rsid w:val="00BC33A0"/>
    <w:rsid w:val="00BC49F9"/>
    <w:rsid w:val="00BC5384"/>
    <w:rsid w:val="00BC6097"/>
    <w:rsid w:val="00BC72FE"/>
    <w:rsid w:val="00BC7800"/>
    <w:rsid w:val="00BC7B5F"/>
    <w:rsid w:val="00BC7D8B"/>
    <w:rsid w:val="00BD052D"/>
    <w:rsid w:val="00BD0FA5"/>
    <w:rsid w:val="00BD1C37"/>
    <w:rsid w:val="00BD236F"/>
    <w:rsid w:val="00BD2419"/>
    <w:rsid w:val="00BD5285"/>
    <w:rsid w:val="00BD6CBC"/>
    <w:rsid w:val="00BD72BA"/>
    <w:rsid w:val="00BD7B9C"/>
    <w:rsid w:val="00BE141A"/>
    <w:rsid w:val="00BE2EE8"/>
    <w:rsid w:val="00BE38F7"/>
    <w:rsid w:val="00BE4B8F"/>
    <w:rsid w:val="00BE5E08"/>
    <w:rsid w:val="00BE6130"/>
    <w:rsid w:val="00BE6623"/>
    <w:rsid w:val="00BE705B"/>
    <w:rsid w:val="00BE7F35"/>
    <w:rsid w:val="00BF0657"/>
    <w:rsid w:val="00BF06BD"/>
    <w:rsid w:val="00BF0DDF"/>
    <w:rsid w:val="00BF2446"/>
    <w:rsid w:val="00BF2891"/>
    <w:rsid w:val="00BF2B04"/>
    <w:rsid w:val="00BF36B8"/>
    <w:rsid w:val="00BF3ECE"/>
    <w:rsid w:val="00BF50BD"/>
    <w:rsid w:val="00BF5E3A"/>
    <w:rsid w:val="00BF61E8"/>
    <w:rsid w:val="00BF7511"/>
    <w:rsid w:val="00BF7FB6"/>
    <w:rsid w:val="00C005B8"/>
    <w:rsid w:val="00C02130"/>
    <w:rsid w:val="00C026EF"/>
    <w:rsid w:val="00C029A2"/>
    <w:rsid w:val="00C03BCF"/>
    <w:rsid w:val="00C050DC"/>
    <w:rsid w:val="00C06F43"/>
    <w:rsid w:val="00C070B1"/>
    <w:rsid w:val="00C1017F"/>
    <w:rsid w:val="00C118F7"/>
    <w:rsid w:val="00C14170"/>
    <w:rsid w:val="00C153F7"/>
    <w:rsid w:val="00C16107"/>
    <w:rsid w:val="00C20A80"/>
    <w:rsid w:val="00C215E8"/>
    <w:rsid w:val="00C21822"/>
    <w:rsid w:val="00C21E41"/>
    <w:rsid w:val="00C226CF"/>
    <w:rsid w:val="00C22804"/>
    <w:rsid w:val="00C30480"/>
    <w:rsid w:val="00C30EF8"/>
    <w:rsid w:val="00C314ED"/>
    <w:rsid w:val="00C32556"/>
    <w:rsid w:val="00C32B13"/>
    <w:rsid w:val="00C33A90"/>
    <w:rsid w:val="00C33FB1"/>
    <w:rsid w:val="00C3532F"/>
    <w:rsid w:val="00C35FB1"/>
    <w:rsid w:val="00C3609E"/>
    <w:rsid w:val="00C36D93"/>
    <w:rsid w:val="00C378EE"/>
    <w:rsid w:val="00C40740"/>
    <w:rsid w:val="00C40D2B"/>
    <w:rsid w:val="00C43B2A"/>
    <w:rsid w:val="00C45841"/>
    <w:rsid w:val="00C46A06"/>
    <w:rsid w:val="00C46FC4"/>
    <w:rsid w:val="00C475F1"/>
    <w:rsid w:val="00C47E82"/>
    <w:rsid w:val="00C50945"/>
    <w:rsid w:val="00C5098C"/>
    <w:rsid w:val="00C50BC9"/>
    <w:rsid w:val="00C53555"/>
    <w:rsid w:val="00C5458E"/>
    <w:rsid w:val="00C550D6"/>
    <w:rsid w:val="00C55CA9"/>
    <w:rsid w:val="00C566C4"/>
    <w:rsid w:val="00C57A3A"/>
    <w:rsid w:val="00C6126A"/>
    <w:rsid w:val="00C617F1"/>
    <w:rsid w:val="00C618C3"/>
    <w:rsid w:val="00C61BE4"/>
    <w:rsid w:val="00C6214B"/>
    <w:rsid w:val="00C62657"/>
    <w:rsid w:val="00C62C31"/>
    <w:rsid w:val="00C6638F"/>
    <w:rsid w:val="00C667AD"/>
    <w:rsid w:val="00C6771B"/>
    <w:rsid w:val="00C67C88"/>
    <w:rsid w:val="00C73E96"/>
    <w:rsid w:val="00C7412E"/>
    <w:rsid w:val="00C7520B"/>
    <w:rsid w:val="00C7524E"/>
    <w:rsid w:val="00C758A0"/>
    <w:rsid w:val="00C75ACE"/>
    <w:rsid w:val="00C77322"/>
    <w:rsid w:val="00C8110A"/>
    <w:rsid w:val="00C81308"/>
    <w:rsid w:val="00C81916"/>
    <w:rsid w:val="00C81981"/>
    <w:rsid w:val="00C82825"/>
    <w:rsid w:val="00C85EB1"/>
    <w:rsid w:val="00C8786C"/>
    <w:rsid w:val="00C878BC"/>
    <w:rsid w:val="00C90103"/>
    <w:rsid w:val="00C90954"/>
    <w:rsid w:val="00C9156D"/>
    <w:rsid w:val="00C92480"/>
    <w:rsid w:val="00C94283"/>
    <w:rsid w:val="00C9451C"/>
    <w:rsid w:val="00C9470D"/>
    <w:rsid w:val="00C94C63"/>
    <w:rsid w:val="00C95BFA"/>
    <w:rsid w:val="00C96B90"/>
    <w:rsid w:val="00CA2EFE"/>
    <w:rsid w:val="00CA432A"/>
    <w:rsid w:val="00CA4468"/>
    <w:rsid w:val="00CA4529"/>
    <w:rsid w:val="00CA62D4"/>
    <w:rsid w:val="00CA71C4"/>
    <w:rsid w:val="00CA7A19"/>
    <w:rsid w:val="00CB0003"/>
    <w:rsid w:val="00CB20D9"/>
    <w:rsid w:val="00CB30A1"/>
    <w:rsid w:val="00CB3A37"/>
    <w:rsid w:val="00CB4FD7"/>
    <w:rsid w:val="00CB5422"/>
    <w:rsid w:val="00CB64D8"/>
    <w:rsid w:val="00CB66AA"/>
    <w:rsid w:val="00CB691D"/>
    <w:rsid w:val="00CB6E09"/>
    <w:rsid w:val="00CC0CEA"/>
    <w:rsid w:val="00CC206D"/>
    <w:rsid w:val="00CC3D18"/>
    <w:rsid w:val="00CC4305"/>
    <w:rsid w:val="00CC6248"/>
    <w:rsid w:val="00CC6368"/>
    <w:rsid w:val="00CC642C"/>
    <w:rsid w:val="00CD041B"/>
    <w:rsid w:val="00CD1D5F"/>
    <w:rsid w:val="00CD40DF"/>
    <w:rsid w:val="00CD77EC"/>
    <w:rsid w:val="00CD7E3D"/>
    <w:rsid w:val="00CD7FA6"/>
    <w:rsid w:val="00CE1D5F"/>
    <w:rsid w:val="00CE290B"/>
    <w:rsid w:val="00CE3E1C"/>
    <w:rsid w:val="00CE4008"/>
    <w:rsid w:val="00CE482E"/>
    <w:rsid w:val="00CE51DF"/>
    <w:rsid w:val="00CE64CD"/>
    <w:rsid w:val="00CE6E64"/>
    <w:rsid w:val="00CE792E"/>
    <w:rsid w:val="00CF2E03"/>
    <w:rsid w:val="00CF324D"/>
    <w:rsid w:val="00CF3CB9"/>
    <w:rsid w:val="00CF55F4"/>
    <w:rsid w:val="00CF67F5"/>
    <w:rsid w:val="00CF6A7F"/>
    <w:rsid w:val="00D0006C"/>
    <w:rsid w:val="00D00CC9"/>
    <w:rsid w:val="00D01982"/>
    <w:rsid w:val="00D01A42"/>
    <w:rsid w:val="00D0314B"/>
    <w:rsid w:val="00D045CF"/>
    <w:rsid w:val="00D062F3"/>
    <w:rsid w:val="00D064D9"/>
    <w:rsid w:val="00D0780A"/>
    <w:rsid w:val="00D11CBC"/>
    <w:rsid w:val="00D12668"/>
    <w:rsid w:val="00D12A35"/>
    <w:rsid w:val="00D13115"/>
    <w:rsid w:val="00D139A7"/>
    <w:rsid w:val="00D13E2C"/>
    <w:rsid w:val="00D1400D"/>
    <w:rsid w:val="00D148FC"/>
    <w:rsid w:val="00D15421"/>
    <w:rsid w:val="00D15551"/>
    <w:rsid w:val="00D15591"/>
    <w:rsid w:val="00D17E4B"/>
    <w:rsid w:val="00D20089"/>
    <w:rsid w:val="00D208FB"/>
    <w:rsid w:val="00D2323A"/>
    <w:rsid w:val="00D23F8B"/>
    <w:rsid w:val="00D24B82"/>
    <w:rsid w:val="00D24EB2"/>
    <w:rsid w:val="00D25591"/>
    <w:rsid w:val="00D25FD7"/>
    <w:rsid w:val="00D270CC"/>
    <w:rsid w:val="00D3145B"/>
    <w:rsid w:val="00D320D0"/>
    <w:rsid w:val="00D333F8"/>
    <w:rsid w:val="00D336E6"/>
    <w:rsid w:val="00D34169"/>
    <w:rsid w:val="00D35486"/>
    <w:rsid w:val="00D41271"/>
    <w:rsid w:val="00D41D7B"/>
    <w:rsid w:val="00D41F90"/>
    <w:rsid w:val="00D43236"/>
    <w:rsid w:val="00D43943"/>
    <w:rsid w:val="00D43DAD"/>
    <w:rsid w:val="00D4580B"/>
    <w:rsid w:val="00D45E24"/>
    <w:rsid w:val="00D465E9"/>
    <w:rsid w:val="00D46A51"/>
    <w:rsid w:val="00D52D71"/>
    <w:rsid w:val="00D53915"/>
    <w:rsid w:val="00D553F9"/>
    <w:rsid w:val="00D60A12"/>
    <w:rsid w:val="00D618AE"/>
    <w:rsid w:val="00D61ADA"/>
    <w:rsid w:val="00D6333B"/>
    <w:rsid w:val="00D643CE"/>
    <w:rsid w:val="00D65131"/>
    <w:rsid w:val="00D65A33"/>
    <w:rsid w:val="00D66319"/>
    <w:rsid w:val="00D70C84"/>
    <w:rsid w:val="00D7125B"/>
    <w:rsid w:val="00D7149E"/>
    <w:rsid w:val="00D72473"/>
    <w:rsid w:val="00D73187"/>
    <w:rsid w:val="00D73399"/>
    <w:rsid w:val="00D74CEB"/>
    <w:rsid w:val="00D77274"/>
    <w:rsid w:val="00D77DAF"/>
    <w:rsid w:val="00D81008"/>
    <w:rsid w:val="00D81E30"/>
    <w:rsid w:val="00D82458"/>
    <w:rsid w:val="00D84020"/>
    <w:rsid w:val="00D850A3"/>
    <w:rsid w:val="00D86B29"/>
    <w:rsid w:val="00D86F45"/>
    <w:rsid w:val="00D87DEF"/>
    <w:rsid w:val="00D906C0"/>
    <w:rsid w:val="00D91EEE"/>
    <w:rsid w:val="00D92CB5"/>
    <w:rsid w:val="00D939F1"/>
    <w:rsid w:val="00D94068"/>
    <w:rsid w:val="00D95647"/>
    <w:rsid w:val="00D96DFD"/>
    <w:rsid w:val="00DA00DB"/>
    <w:rsid w:val="00DA0235"/>
    <w:rsid w:val="00DA0C59"/>
    <w:rsid w:val="00DA0EA9"/>
    <w:rsid w:val="00DA0FCF"/>
    <w:rsid w:val="00DA114D"/>
    <w:rsid w:val="00DA3876"/>
    <w:rsid w:val="00DA671B"/>
    <w:rsid w:val="00DA6DEE"/>
    <w:rsid w:val="00DA6F37"/>
    <w:rsid w:val="00DB0D96"/>
    <w:rsid w:val="00DB11E1"/>
    <w:rsid w:val="00DB1CBC"/>
    <w:rsid w:val="00DB319A"/>
    <w:rsid w:val="00DB3AD8"/>
    <w:rsid w:val="00DB4441"/>
    <w:rsid w:val="00DC0125"/>
    <w:rsid w:val="00DC62FD"/>
    <w:rsid w:val="00DC6A19"/>
    <w:rsid w:val="00DC77CA"/>
    <w:rsid w:val="00DD0B18"/>
    <w:rsid w:val="00DD1E84"/>
    <w:rsid w:val="00DD21CC"/>
    <w:rsid w:val="00DD27C7"/>
    <w:rsid w:val="00DD2842"/>
    <w:rsid w:val="00DD4E09"/>
    <w:rsid w:val="00DD5D0B"/>
    <w:rsid w:val="00DD7F63"/>
    <w:rsid w:val="00DE0202"/>
    <w:rsid w:val="00DE06C8"/>
    <w:rsid w:val="00DE1330"/>
    <w:rsid w:val="00DE172B"/>
    <w:rsid w:val="00DE1A7F"/>
    <w:rsid w:val="00DE2EC1"/>
    <w:rsid w:val="00DE3845"/>
    <w:rsid w:val="00DE3E99"/>
    <w:rsid w:val="00DE5C21"/>
    <w:rsid w:val="00DE7684"/>
    <w:rsid w:val="00DF0137"/>
    <w:rsid w:val="00DF25E5"/>
    <w:rsid w:val="00DF2C05"/>
    <w:rsid w:val="00DF2C0E"/>
    <w:rsid w:val="00DF6D17"/>
    <w:rsid w:val="00DF6EC0"/>
    <w:rsid w:val="00DF724A"/>
    <w:rsid w:val="00E007F4"/>
    <w:rsid w:val="00E044AF"/>
    <w:rsid w:val="00E045B2"/>
    <w:rsid w:val="00E0483B"/>
    <w:rsid w:val="00E05387"/>
    <w:rsid w:val="00E07B00"/>
    <w:rsid w:val="00E103FC"/>
    <w:rsid w:val="00E127E3"/>
    <w:rsid w:val="00E130F6"/>
    <w:rsid w:val="00E13360"/>
    <w:rsid w:val="00E13538"/>
    <w:rsid w:val="00E14EC1"/>
    <w:rsid w:val="00E16121"/>
    <w:rsid w:val="00E164ED"/>
    <w:rsid w:val="00E16C0C"/>
    <w:rsid w:val="00E20EC7"/>
    <w:rsid w:val="00E2228E"/>
    <w:rsid w:val="00E23C0D"/>
    <w:rsid w:val="00E254DA"/>
    <w:rsid w:val="00E260E8"/>
    <w:rsid w:val="00E26CCB"/>
    <w:rsid w:val="00E27387"/>
    <w:rsid w:val="00E27BBA"/>
    <w:rsid w:val="00E27C79"/>
    <w:rsid w:val="00E27FC2"/>
    <w:rsid w:val="00E31A54"/>
    <w:rsid w:val="00E31B37"/>
    <w:rsid w:val="00E31B83"/>
    <w:rsid w:val="00E32739"/>
    <w:rsid w:val="00E3360F"/>
    <w:rsid w:val="00E33870"/>
    <w:rsid w:val="00E36040"/>
    <w:rsid w:val="00E36A10"/>
    <w:rsid w:val="00E37A61"/>
    <w:rsid w:val="00E37D7C"/>
    <w:rsid w:val="00E418CD"/>
    <w:rsid w:val="00E428D4"/>
    <w:rsid w:val="00E43B78"/>
    <w:rsid w:val="00E45AAB"/>
    <w:rsid w:val="00E466CA"/>
    <w:rsid w:val="00E47AF0"/>
    <w:rsid w:val="00E50573"/>
    <w:rsid w:val="00E50651"/>
    <w:rsid w:val="00E51F17"/>
    <w:rsid w:val="00E5476F"/>
    <w:rsid w:val="00E54BC7"/>
    <w:rsid w:val="00E57290"/>
    <w:rsid w:val="00E6195A"/>
    <w:rsid w:val="00E619C1"/>
    <w:rsid w:val="00E61ACC"/>
    <w:rsid w:val="00E61CA1"/>
    <w:rsid w:val="00E62B62"/>
    <w:rsid w:val="00E63460"/>
    <w:rsid w:val="00E63EFE"/>
    <w:rsid w:val="00E643A4"/>
    <w:rsid w:val="00E6485B"/>
    <w:rsid w:val="00E651FC"/>
    <w:rsid w:val="00E663A0"/>
    <w:rsid w:val="00E674F4"/>
    <w:rsid w:val="00E7036A"/>
    <w:rsid w:val="00E71322"/>
    <w:rsid w:val="00E71A84"/>
    <w:rsid w:val="00E722CB"/>
    <w:rsid w:val="00E730C2"/>
    <w:rsid w:val="00E74113"/>
    <w:rsid w:val="00E7490F"/>
    <w:rsid w:val="00E749C3"/>
    <w:rsid w:val="00E75368"/>
    <w:rsid w:val="00E75485"/>
    <w:rsid w:val="00E766FB"/>
    <w:rsid w:val="00E7706F"/>
    <w:rsid w:val="00E82770"/>
    <w:rsid w:val="00E82AF4"/>
    <w:rsid w:val="00E83172"/>
    <w:rsid w:val="00E83618"/>
    <w:rsid w:val="00E83CC7"/>
    <w:rsid w:val="00E84100"/>
    <w:rsid w:val="00E865D8"/>
    <w:rsid w:val="00E86F9C"/>
    <w:rsid w:val="00E87ADE"/>
    <w:rsid w:val="00E90464"/>
    <w:rsid w:val="00E94A8B"/>
    <w:rsid w:val="00E94EC5"/>
    <w:rsid w:val="00E97BFB"/>
    <w:rsid w:val="00E97C93"/>
    <w:rsid w:val="00EA0F69"/>
    <w:rsid w:val="00EA1882"/>
    <w:rsid w:val="00EA3E7C"/>
    <w:rsid w:val="00EA56DC"/>
    <w:rsid w:val="00EA578E"/>
    <w:rsid w:val="00EA69F3"/>
    <w:rsid w:val="00EA7523"/>
    <w:rsid w:val="00EB07E8"/>
    <w:rsid w:val="00EB108E"/>
    <w:rsid w:val="00EB1A6F"/>
    <w:rsid w:val="00EB2CCB"/>
    <w:rsid w:val="00EB774C"/>
    <w:rsid w:val="00EB7C31"/>
    <w:rsid w:val="00EB7FC9"/>
    <w:rsid w:val="00EC1E2E"/>
    <w:rsid w:val="00EC2082"/>
    <w:rsid w:val="00EC220E"/>
    <w:rsid w:val="00EC23C8"/>
    <w:rsid w:val="00EC4C9C"/>
    <w:rsid w:val="00EC4E41"/>
    <w:rsid w:val="00EC7385"/>
    <w:rsid w:val="00ED08D0"/>
    <w:rsid w:val="00ED126E"/>
    <w:rsid w:val="00ED1E70"/>
    <w:rsid w:val="00ED3191"/>
    <w:rsid w:val="00ED68BC"/>
    <w:rsid w:val="00ED69B1"/>
    <w:rsid w:val="00ED74DC"/>
    <w:rsid w:val="00EE223E"/>
    <w:rsid w:val="00EE2FC3"/>
    <w:rsid w:val="00EE344B"/>
    <w:rsid w:val="00EE5734"/>
    <w:rsid w:val="00EF0602"/>
    <w:rsid w:val="00EF0C0E"/>
    <w:rsid w:val="00EF5EE4"/>
    <w:rsid w:val="00EF6DC0"/>
    <w:rsid w:val="00EF712B"/>
    <w:rsid w:val="00EF72A2"/>
    <w:rsid w:val="00EF7BF3"/>
    <w:rsid w:val="00F009B9"/>
    <w:rsid w:val="00F05167"/>
    <w:rsid w:val="00F0534E"/>
    <w:rsid w:val="00F05A92"/>
    <w:rsid w:val="00F06A62"/>
    <w:rsid w:val="00F07C0B"/>
    <w:rsid w:val="00F07DE3"/>
    <w:rsid w:val="00F12411"/>
    <w:rsid w:val="00F127F2"/>
    <w:rsid w:val="00F133AF"/>
    <w:rsid w:val="00F137D0"/>
    <w:rsid w:val="00F14999"/>
    <w:rsid w:val="00F14C4D"/>
    <w:rsid w:val="00F1562A"/>
    <w:rsid w:val="00F20FBC"/>
    <w:rsid w:val="00F22BEB"/>
    <w:rsid w:val="00F22CC9"/>
    <w:rsid w:val="00F238C4"/>
    <w:rsid w:val="00F258B3"/>
    <w:rsid w:val="00F25B72"/>
    <w:rsid w:val="00F25C20"/>
    <w:rsid w:val="00F26636"/>
    <w:rsid w:val="00F267BD"/>
    <w:rsid w:val="00F27BC4"/>
    <w:rsid w:val="00F27CA4"/>
    <w:rsid w:val="00F302BE"/>
    <w:rsid w:val="00F3086F"/>
    <w:rsid w:val="00F32C84"/>
    <w:rsid w:val="00F342AC"/>
    <w:rsid w:val="00F349E0"/>
    <w:rsid w:val="00F35BE3"/>
    <w:rsid w:val="00F36399"/>
    <w:rsid w:val="00F363F4"/>
    <w:rsid w:val="00F3647C"/>
    <w:rsid w:val="00F378D3"/>
    <w:rsid w:val="00F37CCF"/>
    <w:rsid w:val="00F403C8"/>
    <w:rsid w:val="00F4085C"/>
    <w:rsid w:val="00F427DF"/>
    <w:rsid w:val="00F429F4"/>
    <w:rsid w:val="00F42DBE"/>
    <w:rsid w:val="00F43294"/>
    <w:rsid w:val="00F439DD"/>
    <w:rsid w:val="00F447C8"/>
    <w:rsid w:val="00F45A98"/>
    <w:rsid w:val="00F47465"/>
    <w:rsid w:val="00F51367"/>
    <w:rsid w:val="00F51742"/>
    <w:rsid w:val="00F53782"/>
    <w:rsid w:val="00F549AB"/>
    <w:rsid w:val="00F55401"/>
    <w:rsid w:val="00F56EB9"/>
    <w:rsid w:val="00F57247"/>
    <w:rsid w:val="00F605C6"/>
    <w:rsid w:val="00F61644"/>
    <w:rsid w:val="00F61C2C"/>
    <w:rsid w:val="00F62C8A"/>
    <w:rsid w:val="00F6420F"/>
    <w:rsid w:val="00F65EDE"/>
    <w:rsid w:val="00F70927"/>
    <w:rsid w:val="00F70B6B"/>
    <w:rsid w:val="00F70CC3"/>
    <w:rsid w:val="00F71A69"/>
    <w:rsid w:val="00F71E4C"/>
    <w:rsid w:val="00F7415B"/>
    <w:rsid w:val="00F74557"/>
    <w:rsid w:val="00F746FB"/>
    <w:rsid w:val="00F75209"/>
    <w:rsid w:val="00F76877"/>
    <w:rsid w:val="00F77724"/>
    <w:rsid w:val="00F81F17"/>
    <w:rsid w:val="00F851C0"/>
    <w:rsid w:val="00F85BAD"/>
    <w:rsid w:val="00F85DAC"/>
    <w:rsid w:val="00F87BD0"/>
    <w:rsid w:val="00F90497"/>
    <w:rsid w:val="00F91FC5"/>
    <w:rsid w:val="00F9201A"/>
    <w:rsid w:val="00F931BC"/>
    <w:rsid w:val="00F953B1"/>
    <w:rsid w:val="00F968A0"/>
    <w:rsid w:val="00F9727F"/>
    <w:rsid w:val="00FA0BD0"/>
    <w:rsid w:val="00FA7995"/>
    <w:rsid w:val="00FB1BCE"/>
    <w:rsid w:val="00FB3DE3"/>
    <w:rsid w:val="00FB482D"/>
    <w:rsid w:val="00FB6387"/>
    <w:rsid w:val="00FB697F"/>
    <w:rsid w:val="00FB707F"/>
    <w:rsid w:val="00FB75A8"/>
    <w:rsid w:val="00FB75C6"/>
    <w:rsid w:val="00FC04CD"/>
    <w:rsid w:val="00FC28AC"/>
    <w:rsid w:val="00FC567A"/>
    <w:rsid w:val="00FC5EC6"/>
    <w:rsid w:val="00FC6D1E"/>
    <w:rsid w:val="00FC6E81"/>
    <w:rsid w:val="00FD14D5"/>
    <w:rsid w:val="00FD16E8"/>
    <w:rsid w:val="00FD2082"/>
    <w:rsid w:val="00FD2A7F"/>
    <w:rsid w:val="00FD2C56"/>
    <w:rsid w:val="00FD2D9B"/>
    <w:rsid w:val="00FD3C70"/>
    <w:rsid w:val="00FD70D4"/>
    <w:rsid w:val="00FE0739"/>
    <w:rsid w:val="00FE0977"/>
    <w:rsid w:val="00FE107F"/>
    <w:rsid w:val="00FE2750"/>
    <w:rsid w:val="00FE2773"/>
    <w:rsid w:val="00FE2D7C"/>
    <w:rsid w:val="00FE3F02"/>
    <w:rsid w:val="00FE4999"/>
    <w:rsid w:val="00FE56E6"/>
    <w:rsid w:val="00FF0B33"/>
    <w:rsid w:val="00FF1A26"/>
    <w:rsid w:val="00FF1B25"/>
    <w:rsid w:val="00FF2CBF"/>
    <w:rsid w:val="00FF3C9D"/>
    <w:rsid w:val="00FF3D4F"/>
    <w:rsid w:val="00FF4E0E"/>
    <w:rsid w:val="00FF5DA8"/>
    <w:rsid w:val="00FF670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49397D38"/>
  <w15:chartTrackingRefBased/>
  <w15:docId w15:val="{D7AE33FB-3AB6-4E61-9D91-59F6A525B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42B6"/>
    <w:rPr>
      <w:kern w:val="0"/>
    </w:rPr>
  </w:style>
  <w:style w:type="paragraph" w:styleId="Heading1">
    <w:name w:val="heading 1"/>
    <w:basedOn w:val="Normal"/>
    <w:next w:val="Normal"/>
    <w:link w:val="Heading1Char"/>
    <w:uiPriority w:val="9"/>
    <w:qFormat/>
    <w:rsid w:val="004942B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4942B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4942B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4942B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4942B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942B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942B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942B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942B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42B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4942B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4942B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4942B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4942B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942B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942B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942B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942B6"/>
    <w:rPr>
      <w:rFonts w:eastAsiaTheme="majorEastAsia" w:cstheme="majorBidi"/>
      <w:color w:val="272727" w:themeColor="text1" w:themeTint="D8"/>
    </w:rPr>
  </w:style>
  <w:style w:type="paragraph" w:styleId="Title">
    <w:name w:val="Title"/>
    <w:basedOn w:val="Normal"/>
    <w:next w:val="Normal"/>
    <w:link w:val="TitleChar"/>
    <w:uiPriority w:val="10"/>
    <w:qFormat/>
    <w:rsid w:val="004942B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942B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942B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942B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942B6"/>
    <w:pPr>
      <w:spacing w:before="160"/>
      <w:jc w:val="center"/>
    </w:pPr>
    <w:rPr>
      <w:i/>
      <w:iCs/>
      <w:color w:val="404040" w:themeColor="text1" w:themeTint="BF"/>
    </w:rPr>
  </w:style>
  <w:style w:type="character" w:customStyle="1" w:styleId="QuoteChar">
    <w:name w:val="Quote Char"/>
    <w:basedOn w:val="DefaultParagraphFont"/>
    <w:link w:val="Quote"/>
    <w:uiPriority w:val="29"/>
    <w:rsid w:val="004942B6"/>
    <w:rPr>
      <w:i/>
      <w:iCs/>
      <w:color w:val="404040" w:themeColor="text1" w:themeTint="BF"/>
    </w:rPr>
  </w:style>
  <w:style w:type="paragraph" w:styleId="ListParagraph">
    <w:name w:val="List Paragraph"/>
    <w:basedOn w:val="Normal"/>
    <w:uiPriority w:val="34"/>
    <w:qFormat/>
    <w:rsid w:val="004942B6"/>
    <w:pPr>
      <w:ind w:left="720"/>
      <w:contextualSpacing/>
    </w:pPr>
  </w:style>
  <w:style w:type="character" w:styleId="IntenseEmphasis">
    <w:name w:val="Intense Emphasis"/>
    <w:basedOn w:val="DefaultParagraphFont"/>
    <w:uiPriority w:val="21"/>
    <w:qFormat/>
    <w:rsid w:val="004942B6"/>
    <w:rPr>
      <w:i/>
      <w:iCs/>
      <w:color w:val="2F5496" w:themeColor="accent1" w:themeShade="BF"/>
    </w:rPr>
  </w:style>
  <w:style w:type="paragraph" w:styleId="IntenseQuote">
    <w:name w:val="Intense Quote"/>
    <w:basedOn w:val="Normal"/>
    <w:next w:val="Normal"/>
    <w:link w:val="IntenseQuoteChar"/>
    <w:uiPriority w:val="30"/>
    <w:qFormat/>
    <w:rsid w:val="004942B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942B6"/>
    <w:rPr>
      <w:i/>
      <w:iCs/>
      <w:color w:val="2F5496" w:themeColor="accent1" w:themeShade="BF"/>
    </w:rPr>
  </w:style>
  <w:style w:type="character" w:styleId="IntenseReference">
    <w:name w:val="Intense Reference"/>
    <w:basedOn w:val="DefaultParagraphFont"/>
    <w:uiPriority w:val="32"/>
    <w:qFormat/>
    <w:rsid w:val="004942B6"/>
    <w:rPr>
      <w:b/>
      <w:bCs/>
      <w:smallCaps/>
      <w:color w:val="2F5496" w:themeColor="accent1" w:themeShade="BF"/>
      <w:spacing w:val="5"/>
    </w:rPr>
  </w:style>
  <w:style w:type="character" w:styleId="Strong">
    <w:name w:val="Strong"/>
    <w:basedOn w:val="DefaultParagraphFont"/>
    <w:uiPriority w:val="22"/>
    <w:qFormat/>
    <w:rsid w:val="004942B6"/>
    <w:rPr>
      <w:b/>
      <w:bCs/>
    </w:rPr>
  </w:style>
  <w:style w:type="character" w:styleId="Emphasis">
    <w:name w:val="Emphasis"/>
    <w:basedOn w:val="DefaultParagraphFont"/>
    <w:uiPriority w:val="20"/>
    <w:qFormat/>
    <w:rsid w:val="004942B6"/>
    <w:rPr>
      <w:i/>
      <w:iCs/>
    </w:rPr>
  </w:style>
  <w:style w:type="character" w:styleId="Hyperlink">
    <w:name w:val="Hyperlink"/>
    <w:basedOn w:val="DefaultParagraphFont"/>
    <w:uiPriority w:val="99"/>
    <w:unhideWhenUsed/>
    <w:rsid w:val="004942B6"/>
    <w:rPr>
      <w:color w:val="0000FF"/>
      <w:u w:val="single"/>
    </w:rPr>
  </w:style>
  <w:style w:type="character" w:customStyle="1" w:styleId="epub-sectionitem">
    <w:name w:val="epub-section__item"/>
    <w:basedOn w:val="DefaultParagraphFont"/>
    <w:rsid w:val="004942B6"/>
  </w:style>
  <w:style w:type="character" w:styleId="PlaceholderText">
    <w:name w:val="Placeholder Text"/>
    <w:basedOn w:val="DefaultParagraphFont"/>
    <w:uiPriority w:val="99"/>
    <w:semiHidden/>
    <w:rsid w:val="004942B6"/>
    <w:rPr>
      <w:color w:val="808080"/>
    </w:rPr>
  </w:style>
  <w:style w:type="paragraph" w:styleId="NormalWeb">
    <w:name w:val="Normal (Web)"/>
    <w:basedOn w:val="Normal"/>
    <w:link w:val="NormalWebChar"/>
    <w:uiPriority w:val="99"/>
    <w:unhideWhenUsed/>
    <w:rsid w:val="004942B6"/>
    <w:pPr>
      <w:spacing w:before="100" w:beforeAutospacing="1" w:after="100" w:afterAutospacing="1" w:line="360" w:lineRule="auto"/>
    </w:pPr>
    <w:rPr>
      <w:rFonts w:ascii="Times New Roman" w:eastAsia="Times New Roman" w:hAnsi="Times New Roman" w:cs="Times New Roman"/>
      <w:sz w:val="24"/>
      <w:szCs w:val="24"/>
      <w:lang w:eastAsia="en-GB"/>
    </w:rPr>
  </w:style>
  <w:style w:type="character" w:customStyle="1" w:styleId="NormalWebChar">
    <w:name w:val="Normal (Web) Char"/>
    <w:basedOn w:val="DefaultParagraphFont"/>
    <w:link w:val="NormalWeb"/>
    <w:uiPriority w:val="99"/>
    <w:rsid w:val="004942B6"/>
    <w:rPr>
      <w:rFonts w:ascii="Times New Roman" w:eastAsia="Times New Roman" w:hAnsi="Times New Roman" w:cs="Times New Roman"/>
      <w:kern w:val="0"/>
      <w:sz w:val="24"/>
      <w:szCs w:val="24"/>
      <w:lang w:eastAsia="en-GB"/>
    </w:rPr>
  </w:style>
  <w:style w:type="table" w:styleId="TableGrid">
    <w:name w:val="Table Grid"/>
    <w:basedOn w:val="TableNormal"/>
    <w:uiPriority w:val="39"/>
    <w:rsid w:val="004942B6"/>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pter-para">
    <w:name w:val="chapter-para"/>
    <w:basedOn w:val="Normal"/>
    <w:rsid w:val="004942B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Heading">
    <w:name w:val="TOC Heading"/>
    <w:basedOn w:val="Heading1"/>
    <w:next w:val="Normal"/>
    <w:uiPriority w:val="39"/>
    <w:unhideWhenUsed/>
    <w:qFormat/>
    <w:rsid w:val="004942B6"/>
    <w:pPr>
      <w:spacing w:before="240" w:after="0"/>
      <w:outlineLvl w:val="9"/>
    </w:pPr>
    <w:rPr>
      <w:sz w:val="32"/>
      <w:szCs w:val="32"/>
      <w:lang w:val="en-US"/>
    </w:rPr>
  </w:style>
  <w:style w:type="paragraph" w:styleId="TOC1">
    <w:name w:val="toc 1"/>
    <w:basedOn w:val="Normal"/>
    <w:next w:val="Normal"/>
    <w:autoRedefine/>
    <w:uiPriority w:val="39"/>
    <w:unhideWhenUsed/>
    <w:rsid w:val="004942B6"/>
    <w:pPr>
      <w:tabs>
        <w:tab w:val="left" w:pos="440"/>
        <w:tab w:val="right" w:leader="dot" w:pos="9016"/>
      </w:tabs>
      <w:spacing w:after="100" w:line="360" w:lineRule="auto"/>
      <w:jc w:val="both"/>
    </w:pPr>
    <w:rPr>
      <w:rFonts w:ascii="Arial" w:hAnsi="Arial" w:cs="Arial"/>
      <w:b/>
      <w:bCs/>
      <w:noProof/>
      <w:sz w:val="24"/>
      <w:szCs w:val="24"/>
    </w:rPr>
  </w:style>
  <w:style w:type="paragraph" w:styleId="TOC2">
    <w:name w:val="toc 2"/>
    <w:basedOn w:val="Normal"/>
    <w:next w:val="Normal"/>
    <w:autoRedefine/>
    <w:uiPriority w:val="39"/>
    <w:unhideWhenUsed/>
    <w:rsid w:val="009156D8"/>
    <w:pPr>
      <w:tabs>
        <w:tab w:val="right" w:leader="dot" w:pos="9016"/>
      </w:tabs>
      <w:spacing w:after="100" w:line="360" w:lineRule="auto"/>
      <w:ind w:left="220"/>
      <w:jc w:val="both"/>
    </w:pPr>
    <w:rPr>
      <w:rFonts w:ascii="Aharoni" w:hAnsi="Aharoni" w:cs="Aharoni"/>
      <w:noProof/>
      <w:sz w:val="24"/>
      <w:szCs w:val="24"/>
    </w:rPr>
  </w:style>
  <w:style w:type="paragraph" w:styleId="TOC3">
    <w:name w:val="toc 3"/>
    <w:basedOn w:val="Normal"/>
    <w:next w:val="Normal"/>
    <w:autoRedefine/>
    <w:uiPriority w:val="39"/>
    <w:unhideWhenUsed/>
    <w:rsid w:val="004942B6"/>
    <w:pPr>
      <w:tabs>
        <w:tab w:val="right" w:leader="dot" w:pos="9016"/>
      </w:tabs>
      <w:spacing w:after="100"/>
      <w:ind w:left="440"/>
    </w:pPr>
    <w:rPr>
      <w:rFonts w:ascii="Arial" w:hAnsi="Arial" w:cs="Arial"/>
      <w:noProof/>
      <w:sz w:val="24"/>
      <w:szCs w:val="24"/>
    </w:rPr>
  </w:style>
  <w:style w:type="paragraph" w:styleId="NoSpacing">
    <w:name w:val="No Spacing"/>
    <w:uiPriority w:val="1"/>
    <w:qFormat/>
    <w:rsid w:val="004942B6"/>
    <w:pPr>
      <w:spacing w:after="0" w:line="240" w:lineRule="auto"/>
    </w:pPr>
    <w:rPr>
      <w:kern w:val="0"/>
    </w:rPr>
  </w:style>
  <w:style w:type="paragraph" w:styleId="Footer">
    <w:name w:val="footer"/>
    <w:basedOn w:val="Normal"/>
    <w:link w:val="FooterChar"/>
    <w:uiPriority w:val="99"/>
    <w:unhideWhenUsed/>
    <w:rsid w:val="004942B6"/>
    <w:pPr>
      <w:tabs>
        <w:tab w:val="center" w:pos="4320"/>
        <w:tab w:val="right" w:pos="8640"/>
      </w:tabs>
      <w:spacing w:after="0" w:line="240" w:lineRule="auto"/>
    </w:pPr>
    <w:rPr>
      <w:rFonts w:eastAsiaTheme="minorEastAsia"/>
      <w:sz w:val="24"/>
      <w:szCs w:val="24"/>
      <w:lang w:val="en-US"/>
    </w:rPr>
  </w:style>
  <w:style w:type="character" w:customStyle="1" w:styleId="FooterChar">
    <w:name w:val="Footer Char"/>
    <w:basedOn w:val="DefaultParagraphFont"/>
    <w:link w:val="Footer"/>
    <w:uiPriority w:val="99"/>
    <w:rsid w:val="004942B6"/>
    <w:rPr>
      <w:rFonts w:eastAsiaTheme="minorEastAsia"/>
      <w:kern w:val="0"/>
      <w:sz w:val="24"/>
      <w:szCs w:val="24"/>
      <w:lang w:val="en-US"/>
    </w:rPr>
  </w:style>
  <w:style w:type="character" w:customStyle="1" w:styleId="ej-keyword">
    <w:name w:val="ej-keyword"/>
    <w:basedOn w:val="DefaultParagraphFont"/>
    <w:rsid w:val="004942B6"/>
  </w:style>
  <w:style w:type="paragraph" w:styleId="Bibliography">
    <w:name w:val="Bibliography"/>
    <w:basedOn w:val="Normal"/>
    <w:next w:val="Normal"/>
    <w:uiPriority w:val="37"/>
    <w:semiHidden/>
    <w:unhideWhenUsed/>
    <w:rsid w:val="004942B6"/>
  </w:style>
  <w:style w:type="character" w:customStyle="1" w:styleId="content-section">
    <w:name w:val="content-section"/>
    <w:basedOn w:val="DefaultParagraphFont"/>
    <w:rsid w:val="004942B6"/>
  </w:style>
  <w:style w:type="paragraph" w:styleId="BodyText">
    <w:name w:val="Body Text"/>
    <w:basedOn w:val="Normal"/>
    <w:link w:val="BodyTextChar"/>
    <w:rsid w:val="004942B6"/>
    <w:pPr>
      <w:spacing w:after="0" w:line="240" w:lineRule="auto"/>
      <w:ind w:right="-334"/>
    </w:pPr>
    <w:rPr>
      <w:rFonts w:ascii="Arial" w:eastAsia="Times New Roman" w:hAnsi="Arial" w:cs="Arial"/>
      <w:sz w:val="24"/>
      <w:szCs w:val="24"/>
    </w:rPr>
  </w:style>
  <w:style w:type="character" w:customStyle="1" w:styleId="BodyTextChar">
    <w:name w:val="Body Text Char"/>
    <w:basedOn w:val="DefaultParagraphFont"/>
    <w:link w:val="BodyText"/>
    <w:rsid w:val="004942B6"/>
    <w:rPr>
      <w:rFonts w:ascii="Arial" w:eastAsia="Times New Roman" w:hAnsi="Arial" w:cs="Arial"/>
      <w:kern w:val="0"/>
      <w:sz w:val="24"/>
      <w:szCs w:val="24"/>
    </w:rPr>
  </w:style>
  <w:style w:type="character" w:customStyle="1" w:styleId="ff3">
    <w:name w:val="ff3"/>
    <w:basedOn w:val="DefaultParagraphFont"/>
    <w:rsid w:val="004942B6"/>
  </w:style>
  <w:style w:type="paragraph" w:customStyle="1" w:styleId="Body">
    <w:name w:val="Body"/>
    <w:rsid w:val="004942B6"/>
    <w:pPr>
      <w:pBdr>
        <w:top w:val="nil"/>
        <w:left w:val="nil"/>
        <w:bottom w:val="nil"/>
        <w:right w:val="nil"/>
        <w:between w:val="nil"/>
        <w:bar w:val="nil"/>
      </w:pBdr>
    </w:pPr>
    <w:rPr>
      <w:rFonts w:ascii="Calibri" w:eastAsia="Calibri" w:hAnsi="Calibri" w:cs="Calibri"/>
      <w:color w:val="000000"/>
      <w:kern w:val="0"/>
      <w:u w:color="000000"/>
      <w:bdr w:val="nil"/>
      <w:lang w:eastAsia="en-GB"/>
    </w:rPr>
  </w:style>
  <w:style w:type="table" w:styleId="PlainTable1">
    <w:name w:val="Plain Table 1"/>
    <w:basedOn w:val="TableNormal"/>
    <w:uiPriority w:val="41"/>
    <w:rsid w:val="004942B6"/>
    <w:pPr>
      <w:spacing w:after="0" w:line="240" w:lineRule="auto"/>
    </w:pPr>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4942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42B6"/>
    <w:rPr>
      <w:kern w:val="0"/>
    </w:rPr>
  </w:style>
  <w:style w:type="table" w:customStyle="1" w:styleId="PlainTable51">
    <w:name w:val="Plain Table 51"/>
    <w:basedOn w:val="TableNormal"/>
    <w:uiPriority w:val="45"/>
    <w:rsid w:val="004942B6"/>
    <w:pPr>
      <w:spacing w:after="0" w:line="240" w:lineRule="auto"/>
    </w:pPr>
    <w:rPr>
      <w:kern w:val="0"/>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alloonText">
    <w:name w:val="Balloon Text"/>
    <w:basedOn w:val="Normal"/>
    <w:link w:val="BalloonTextChar"/>
    <w:uiPriority w:val="99"/>
    <w:semiHidden/>
    <w:unhideWhenUsed/>
    <w:rsid w:val="004942B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42B6"/>
    <w:rPr>
      <w:rFonts w:ascii="Segoe UI" w:hAnsi="Segoe UI" w:cs="Segoe UI"/>
      <w:kern w:val="0"/>
      <w:sz w:val="18"/>
      <w:szCs w:val="18"/>
    </w:rPr>
  </w:style>
  <w:style w:type="character" w:styleId="CommentReference">
    <w:name w:val="annotation reference"/>
    <w:basedOn w:val="DefaultParagraphFont"/>
    <w:uiPriority w:val="99"/>
    <w:semiHidden/>
    <w:unhideWhenUsed/>
    <w:rsid w:val="004942B6"/>
    <w:rPr>
      <w:sz w:val="16"/>
      <w:szCs w:val="16"/>
    </w:rPr>
  </w:style>
  <w:style w:type="paragraph" w:styleId="CommentText">
    <w:name w:val="annotation text"/>
    <w:basedOn w:val="Normal"/>
    <w:link w:val="CommentTextChar"/>
    <w:uiPriority w:val="99"/>
    <w:unhideWhenUsed/>
    <w:rsid w:val="004942B6"/>
    <w:pPr>
      <w:spacing w:line="240" w:lineRule="auto"/>
    </w:pPr>
    <w:rPr>
      <w:sz w:val="20"/>
      <w:szCs w:val="20"/>
    </w:rPr>
  </w:style>
  <w:style w:type="character" w:customStyle="1" w:styleId="CommentTextChar">
    <w:name w:val="Comment Text Char"/>
    <w:basedOn w:val="DefaultParagraphFont"/>
    <w:link w:val="CommentText"/>
    <w:uiPriority w:val="99"/>
    <w:rsid w:val="004942B6"/>
    <w:rPr>
      <w:kern w:val="0"/>
      <w:sz w:val="20"/>
      <w:szCs w:val="20"/>
    </w:rPr>
  </w:style>
  <w:style w:type="paragraph" w:styleId="CommentSubject">
    <w:name w:val="annotation subject"/>
    <w:basedOn w:val="CommentText"/>
    <w:next w:val="CommentText"/>
    <w:link w:val="CommentSubjectChar"/>
    <w:uiPriority w:val="99"/>
    <w:semiHidden/>
    <w:unhideWhenUsed/>
    <w:rsid w:val="004942B6"/>
    <w:rPr>
      <w:b/>
      <w:bCs/>
    </w:rPr>
  </w:style>
  <w:style w:type="character" w:customStyle="1" w:styleId="CommentSubjectChar">
    <w:name w:val="Comment Subject Char"/>
    <w:basedOn w:val="CommentTextChar"/>
    <w:link w:val="CommentSubject"/>
    <w:uiPriority w:val="99"/>
    <w:semiHidden/>
    <w:rsid w:val="004942B6"/>
    <w:rPr>
      <w:b/>
      <w:bCs/>
      <w:kern w:val="0"/>
      <w:sz w:val="20"/>
      <w:szCs w:val="20"/>
    </w:rPr>
  </w:style>
  <w:style w:type="paragraph" w:styleId="Revision">
    <w:name w:val="Revision"/>
    <w:hidden/>
    <w:uiPriority w:val="99"/>
    <w:semiHidden/>
    <w:rsid w:val="004942B6"/>
    <w:pPr>
      <w:spacing w:after="0" w:line="240" w:lineRule="auto"/>
    </w:pPr>
    <w:rPr>
      <w:kern w:val="0"/>
    </w:rPr>
  </w:style>
  <w:style w:type="paragraph" w:styleId="Caption">
    <w:name w:val="caption"/>
    <w:basedOn w:val="Normal"/>
    <w:next w:val="Normal"/>
    <w:uiPriority w:val="35"/>
    <w:unhideWhenUsed/>
    <w:qFormat/>
    <w:rsid w:val="004942B6"/>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4942B6"/>
    <w:pPr>
      <w:spacing w:after="0"/>
    </w:pPr>
  </w:style>
  <w:style w:type="numbering" w:customStyle="1" w:styleId="CurrentList1">
    <w:name w:val="Current List1"/>
    <w:uiPriority w:val="99"/>
    <w:rsid w:val="004942B6"/>
    <w:pPr>
      <w:numPr>
        <w:numId w:val="1"/>
      </w:numPr>
    </w:pPr>
  </w:style>
  <w:style w:type="numbering" w:customStyle="1" w:styleId="CurrentList2">
    <w:name w:val="Current List2"/>
    <w:uiPriority w:val="99"/>
    <w:rsid w:val="004942B6"/>
    <w:pPr>
      <w:numPr>
        <w:numId w:val="6"/>
      </w:numPr>
    </w:pPr>
  </w:style>
  <w:style w:type="paragraph" w:customStyle="1" w:styleId="p">
    <w:name w:val="p"/>
    <w:basedOn w:val="Normal"/>
    <w:rsid w:val="004942B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kwd-text">
    <w:name w:val="kwd-text"/>
    <w:basedOn w:val="DefaultParagraphFont"/>
    <w:rsid w:val="004942B6"/>
  </w:style>
  <w:style w:type="table" w:styleId="TableGridLight">
    <w:name w:val="Grid Table Light"/>
    <w:basedOn w:val="TableNormal"/>
    <w:uiPriority w:val="40"/>
    <w:rsid w:val="004942B6"/>
    <w:pPr>
      <w:spacing w:after="0" w:line="240" w:lineRule="auto"/>
    </w:pPr>
    <w:rPr>
      <w:kern w:val="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B">
    <w:name w:val="Body B"/>
    <w:rsid w:val="004942B6"/>
    <w:pPr>
      <w:pBdr>
        <w:top w:val="nil"/>
        <w:left w:val="nil"/>
        <w:bottom w:val="nil"/>
        <w:right w:val="nil"/>
        <w:between w:val="nil"/>
        <w:bar w:val="nil"/>
      </w:pBdr>
      <w:spacing w:after="120" w:line="300" w:lineRule="exact"/>
    </w:pPr>
    <w:rPr>
      <w:rFonts w:ascii="Arial" w:eastAsia="Arial Unicode MS" w:hAnsi="Arial" w:cs="Arial Unicode MS"/>
      <w:color w:val="000000"/>
      <w:kern w:val="0"/>
      <w:u w:color="000000"/>
      <w:bdr w:val="nil"/>
      <w:lang w:val="en-US" w:eastAsia="en-GB"/>
    </w:rPr>
  </w:style>
  <w:style w:type="paragraph" w:styleId="TOC4">
    <w:name w:val="toc 4"/>
    <w:basedOn w:val="Normal"/>
    <w:next w:val="Normal"/>
    <w:autoRedefine/>
    <w:uiPriority w:val="39"/>
    <w:unhideWhenUsed/>
    <w:rsid w:val="004942B6"/>
    <w:pPr>
      <w:spacing w:after="100"/>
      <w:ind w:left="660"/>
    </w:pPr>
    <w:rPr>
      <w:rFonts w:eastAsiaTheme="minorEastAsia"/>
      <w:lang w:eastAsia="en-GB"/>
    </w:rPr>
  </w:style>
  <w:style w:type="paragraph" w:styleId="TOC5">
    <w:name w:val="toc 5"/>
    <w:basedOn w:val="Normal"/>
    <w:next w:val="Normal"/>
    <w:autoRedefine/>
    <w:uiPriority w:val="39"/>
    <w:unhideWhenUsed/>
    <w:rsid w:val="004942B6"/>
    <w:pPr>
      <w:spacing w:after="100"/>
      <w:ind w:left="880"/>
    </w:pPr>
    <w:rPr>
      <w:rFonts w:eastAsiaTheme="minorEastAsia"/>
      <w:lang w:eastAsia="en-GB"/>
    </w:rPr>
  </w:style>
  <w:style w:type="paragraph" w:styleId="TOC6">
    <w:name w:val="toc 6"/>
    <w:basedOn w:val="Normal"/>
    <w:next w:val="Normal"/>
    <w:autoRedefine/>
    <w:uiPriority w:val="39"/>
    <w:unhideWhenUsed/>
    <w:rsid w:val="004942B6"/>
    <w:pPr>
      <w:spacing w:after="100"/>
      <w:ind w:left="1100"/>
    </w:pPr>
    <w:rPr>
      <w:rFonts w:eastAsiaTheme="minorEastAsia"/>
      <w:lang w:eastAsia="en-GB"/>
    </w:rPr>
  </w:style>
  <w:style w:type="paragraph" w:styleId="TOC7">
    <w:name w:val="toc 7"/>
    <w:basedOn w:val="Normal"/>
    <w:next w:val="Normal"/>
    <w:autoRedefine/>
    <w:uiPriority w:val="39"/>
    <w:unhideWhenUsed/>
    <w:rsid w:val="004942B6"/>
    <w:pPr>
      <w:spacing w:after="100"/>
      <w:ind w:left="1320"/>
    </w:pPr>
    <w:rPr>
      <w:rFonts w:eastAsiaTheme="minorEastAsia"/>
      <w:lang w:eastAsia="en-GB"/>
    </w:rPr>
  </w:style>
  <w:style w:type="paragraph" w:styleId="TOC8">
    <w:name w:val="toc 8"/>
    <w:basedOn w:val="Normal"/>
    <w:next w:val="Normal"/>
    <w:autoRedefine/>
    <w:uiPriority w:val="39"/>
    <w:unhideWhenUsed/>
    <w:rsid w:val="004942B6"/>
    <w:pPr>
      <w:spacing w:after="100"/>
      <w:ind w:left="1540"/>
    </w:pPr>
    <w:rPr>
      <w:rFonts w:eastAsiaTheme="minorEastAsia"/>
      <w:lang w:eastAsia="en-GB"/>
    </w:rPr>
  </w:style>
  <w:style w:type="paragraph" w:styleId="TOC9">
    <w:name w:val="toc 9"/>
    <w:basedOn w:val="Normal"/>
    <w:next w:val="Normal"/>
    <w:autoRedefine/>
    <w:uiPriority w:val="39"/>
    <w:unhideWhenUsed/>
    <w:rsid w:val="004942B6"/>
    <w:pPr>
      <w:spacing w:after="100"/>
      <w:ind w:left="1760"/>
    </w:pPr>
    <w:rPr>
      <w:rFonts w:eastAsiaTheme="minorEastAsia"/>
      <w:lang w:eastAsia="en-GB"/>
    </w:rPr>
  </w:style>
  <w:style w:type="character" w:customStyle="1" w:styleId="UnresolvedMention1">
    <w:name w:val="Unresolved Mention1"/>
    <w:basedOn w:val="DefaultParagraphFont"/>
    <w:uiPriority w:val="99"/>
    <w:semiHidden/>
    <w:unhideWhenUsed/>
    <w:rsid w:val="004942B6"/>
    <w:rPr>
      <w:color w:val="605E5C"/>
      <w:shd w:val="clear" w:color="auto" w:fill="E1DFDD"/>
    </w:rPr>
  </w:style>
  <w:style w:type="table" w:styleId="GridTable1Light-Accent5">
    <w:name w:val="Grid Table 1 Light Accent 5"/>
    <w:basedOn w:val="TableNormal"/>
    <w:uiPriority w:val="46"/>
    <w:rsid w:val="004942B6"/>
    <w:pPr>
      <w:spacing w:after="0" w:line="240" w:lineRule="auto"/>
    </w:pPr>
    <w:rPr>
      <w:kern w:val="0"/>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UnresolvedMention2">
    <w:name w:val="Unresolved Mention2"/>
    <w:basedOn w:val="DefaultParagraphFont"/>
    <w:uiPriority w:val="99"/>
    <w:semiHidden/>
    <w:unhideWhenUsed/>
    <w:rsid w:val="004942B6"/>
    <w:rPr>
      <w:color w:val="605E5C"/>
      <w:shd w:val="clear" w:color="auto" w:fill="E1DFDD"/>
    </w:rPr>
  </w:style>
  <w:style w:type="table" w:styleId="GridTable1Light">
    <w:name w:val="Grid Table 1 Light"/>
    <w:basedOn w:val="TableNormal"/>
    <w:uiPriority w:val="46"/>
    <w:rsid w:val="004942B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4942B6"/>
    <w:rPr>
      <w:color w:val="954F72" w:themeColor="followedHyperlink"/>
      <w:u w:val="single"/>
    </w:rPr>
  </w:style>
  <w:style w:type="paragraph" w:styleId="EndnoteText">
    <w:name w:val="endnote text"/>
    <w:basedOn w:val="Normal"/>
    <w:link w:val="EndnoteTextChar"/>
    <w:uiPriority w:val="99"/>
    <w:semiHidden/>
    <w:unhideWhenUsed/>
    <w:rsid w:val="004942B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942B6"/>
    <w:rPr>
      <w:kern w:val="0"/>
      <w:sz w:val="20"/>
      <w:szCs w:val="20"/>
    </w:rPr>
  </w:style>
  <w:style w:type="character" w:styleId="EndnoteReference">
    <w:name w:val="endnote reference"/>
    <w:basedOn w:val="DefaultParagraphFont"/>
    <w:uiPriority w:val="99"/>
    <w:semiHidden/>
    <w:unhideWhenUsed/>
    <w:rsid w:val="004942B6"/>
    <w:rPr>
      <w:vertAlign w:val="superscript"/>
    </w:rPr>
  </w:style>
  <w:style w:type="character" w:customStyle="1" w:styleId="xref-bibr">
    <w:name w:val="xref-bibr"/>
    <w:basedOn w:val="DefaultParagraphFont"/>
    <w:rsid w:val="004942B6"/>
  </w:style>
  <w:style w:type="character" w:customStyle="1" w:styleId="ref-journal">
    <w:name w:val="ref-journal"/>
    <w:basedOn w:val="DefaultParagraphFont"/>
    <w:rsid w:val="004942B6"/>
  </w:style>
  <w:style w:type="character" w:customStyle="1" w:styleId="ref-vol">
    <w:name w:val="ref-vol"/>
    <w:basedOn w:val="DefaultParagraphFont"/>
    <w:rsid w:val="004942B6"/>
  </w:style>
  <w:style w:type="character" w:customStyle="1" w:styleId="UnresolvedMention3">
    <w:name w:val="Unresolved Mention3"/>
    <w:basedOn w:val="DefaultParagraphFont"/>
    <w:uiPriority w:val="99"/>
    <w:semiHidden/>
    <w:unhideWhenUsed/>
    <w:rsid w:val="004942B6"/>
    <w:rPr>
      <w:color w:val="605E5C"/>
      <w:shd w:val="clear" w:color="auto" w:fill="E1DFDD"/>
    </w:rPr>
  </w:style>
  <w:style w:type="paragraph" w:customStyle="1" w:styleId="pf0">
    <w:name w:val="pf0"/>
    <w:basedOn w:val="Normal"/>
    <w:rsid w:val="00EB108E"/>
    <w:pPr>
      <w:spacing w:before="100" w:beforeAutospacing="1" w:after="100" w:afterAutospacing="1" w:line="240" w:lineRule="auto"/>
    </w:pPr>
    <w:rPr>
      <w:rFonts w:ascii="Times New Roman" w:eastAsia="Times New Roman" w:hAnsi="Times New Roman" w:cs="Times New Roman"/>
      <w:sz w:val="24"/>
      <w:szCs w:val="24"/>
      <w:lang w:eastAsia="en-GB"/>
      <w14:ligatures w14:val="none"/>
    </w:rPr>
  </w:style>
  <w:style w:type="character" w:customStyle="1" w:styleId="cf01">
    <w:name w:val="cf01"/>
    <w:basedOn w:val="DefaultParagraphFont"/>
    <w:rsid w:val="00EB108E"/>
    <w:rPr>
      <w:rFonts w:ascii="Segoe UI" w:hAnsi="Segoe UI" w:cs="Segoe UI" w:hint="default"/>
      <w:sz w:val="18"/>
      <w:szCs w:val="18"/>
    </w:rPr>
  </w:style>
  <w:style w:type="character" w:customStyle="1" w:styleId="UnresolvedMention4">
    <w:name w:val="Unresolved Mention4"/>
    <w:basedOn w:val="DefaultParagraphFont"/>
    <w:uiPriority w:val="99"/>
    <w:semiHidden/>
    <w:unhideWhenUsed/>
    <w:rsid w:val="00735D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460316">
      <w:bodyDiv w:val="1"/>
      <w:marLeft w:val="0"/>
      <w:marRight w:val="0"/>
      <w:marTop w:val="0"/>
      <w:marBottom w:val="0"/>
      <w:divBdr>
        <w:top w:val="none" w:sz="0" w:space="0" w:color="auto"/>
        <w:left w:val="none" w:sz="0" w:space="0" w:color="auto"/>
        <w:bottom w:val="none" w:sz="0" w:space="0" w:color="auto"/>
        <w:right w:val="none" w:sz="0" w:space="0" w:color="auto"/>
      </w:divBdr>
    </w:div>
    <w:div w:id="176505243">
      <w:bodyDiv w:val="1"/>
      <w:marLeft w:val="0"/>
      <w:marRight w:val="0"/>
      <w:marTop w:val="0"/>
      <w:marBottom w:val="0"/>
      <w:divBdr>
        <w:top w:val="none" w:sz="0" w:space="0" w:color="auto"/>
        <w:left w:val="none" w:sz="0" w:space="0" w:color="auto"/>
        <w:bottom w:val="none" w:sz="0" w:space="0" w:color="auto"/>
        <w:right w:val="none" w:sz="0" w:space="0" w:color="auto"/>
      </w:divBdr>
    </w:div>
    <w:div w:id="312948422">
      <w:bodyDiv w:val="1"/>
      <w:marLeft w:val="0"/>
      <w:marRight w:val="0"/>
      <w:marTop w:val="0"/>
      <w:marBottom w:val="0"/>
      <w:divBdr>
        <w:top w:val="none" w:sz="0" w:space="0" w:color="auto"/>
        <w:left w:val="none" w:sz="0" w:space="0" w:color="auto"/>
        <w:bottom w:val="none" w:sz="0" w:space="0" w:color="auto"/>
        <w:right w:val="none" w:sz="0" w:space="0" w:color="auto"/>
      </w:divBdr>
    </w:div>
    <w:div w:id="371349353">
      <w:bodyDiv w:val="1"/>
      <w:marLeft w:val="0"/>
      <w:marRight w:val="0"/>
      <w:marTop w:val="0"/>
      <w:marBottom w:val="0"/>
      <w:divBdr>
        <w:top w:val="none" w:sz="0" w:space="0" w:color="auto"/>
        <w:left w:val="none" w:sz="0" w:space="0" w:color="auto"/>
        <w:bottom w:val="none" w:sz="0" w:space="0" w:color="auto"/>
        <w:right w:val="none" w:sz="0" w:space="0" w:color="auto"/>
      </w:divBdr>
    </w:div>
    <w:div w:id="402219232">
      <w:bodyDiv w:val="1"/>
      <w:marLeft w:val="0"/>
      <w:marRight w:val="0"/>
      <w:marTop w:val="0"/>
      <w:marBottom w:val="0"/>
      <w:divBdr>
        <w:top w:val="none" w:sz="0" w:space="0" w:color="auto"/>
        <w:left w:val="none" w:sz="0" w:space="0" w:color="auto"/>
        <w:bottom w:val="none" w:sz="0" w:space="0" w:color="auto"/>
        <w:right w:val="none" w:sz="0" w:space="0" w:color="auto"/>
      </w:divBdr>
    </w:div>
    <w:div w:id="507839446">
      <w:bodyDiv w:val="1"/>
      <w:marLeft w:val="0"/>
      <w:marRight w:val="0"/>
      <w:marTop w:val="0"/>
      <w:marBottom w:val="0"/>
      <w:divBdr>
        <w:top w:val="none" w:sz="0" w:space="0" w:color="auto"/>
        <w:left w:val="none" w:sz="0" w:space="0" w:color="auto"/>
        <w:bottom w:val="none" w:sz="0" w:space="0" w:color="auto"/>
        <w:right w:val="none" w:sz="0" w:space="0" w:color="auto"/>
      </w:divBdr>
    </w:div>
    <w:div w:id="561134519">
      <w:bodyDiv w:val="1"/>
      <w:marLeft w:val="0"/>
      <w:marRight w:val="0"/>
      <w:marTop w:val="0"/>
      <w:marBottom w:val="0"/>
      <w:divBdr>
        <w:top w:val="none" w:sz="0" w:space="0" w:color="auto"/>
        <w:left w:val="none" w:sz="0" w:space="0" w:color="auto"/>
        <w:bottom w:val="none" w:sz="0" w:space="0" w:color="auto"/>
        <w:right w:val="none" w:sz="0" w:space="0" w:color="auto"/>
      </w:divBdr>
    </w:div>
    <w:div w:id="727611902">
      <w:bodyDiv w:val="1"/>
      <w:marLeft w:val="0"/>
      <w:marRight w:val="0"/>
      <w:marTop w:val="0"/>
      <w:marBottom w:val="0"/>
      <w:divBdr>
        <w:top w:val="none" w:sz="0" w:space="0" w:color="auto"/>
        <w:left w:val="none" w:sz="0" w:space="0" w:color="auto"/>
        <w:bottom w:val="none" w:sz="0" w:space="0" w:color="auto"/>
        <w:right w:val="none" w:sz="0" w:space="0" w:color="auto"/>
      </w:divBdr>
    </w:div>
    <w:div w:id="793669371">
      <w:bodyDiv w:val="1"/>
      <w:marLeft w:val="0"/>
      <w:marRight w:val="0"/>
      <w:marTop w:val="0"/>
      <w:marBottom w:val="0"/>
      <w:divBdr>
        <w:top w:val="none" w:sz="0" w:space="0" w:color="auto"/>
        <w:left w:val="none" w:sz="0" w:space="0" w:color="auto"/>
        <w:bottom w:val="none" w:sz="0" w:space="0" w:color="auto"/>
        <w:right w:val="none" w:sz="0" w:space="0" w:color="auto"/>
      </w:divBdr>
    </w:div>
    <w:div w:id="801341374">
      <w:bodyDiv w:val="1"/>
      <w:marLeft w:val="0"/>
      <w:marRight w:val="0"/>
      <w:marTop w:val="0"/>
      <w:marBottom w:val="0"/>
      <w:divBdr>
        <w:top w:val="none" w:sz="0" w:space="0" w:color="auto"/>
        <w:left w:val="none" w:sz="0" w:space="0" w:color="auto"/>
        <w:bottom w:val="none" w:sz="0" w:space="0" w:color="auto"/>
        <w:right w:val="none" w:sz="0" w:space="0" w:color="auto"/>
      </w:divBdr>
    </w:div>
    <w:div w:id="865800041">
      <w:bodyDiv w:val="1"/>
      <w:marLeft w:val="0"/>
      <w:marRight w:val="0"/>
      <w:marTop w:val="0"/>
      <w:marBottom w:val="0"/>
      <w:divBdr>
        <w:top w:val="none" w:sz="0" w:space="0" w:color="auto"/>
        <w:left w:val="none" w:sz="0" w:space="0" w:color="auto"/>
        <w:bottom w:val="none" w:sz="0" w:space="0" w:color="auto"/>
        <w:right w:val="none" w:sz="0" w:space="0" w:color="auto"/>
      </w:divBdr>
    </w:div>
    <w:div w:id="872815316">
      <w:bodyDiv w:val="1"/>
      <w:marLeft w:val="0"/>
      <w:marRight w:val="0"/>
      <w:marTop w:val="0"/>
      <w:marBottom w:val="0"/>
      <w:divBdr>
        <w:top w:val="none" w:sz="0" w:space="0" w:color="auto"/>
        <w:left w:val="none" w:sz="0" w:space="0" w:color="auto"/>
        <w:bottom w:val="none" w:sz="0" w:space="0" w:color="auto"/>
        <w:right w:val="none" w:sz="0" w:space="0" w:color="auto"/>
      </w:divBdr>
    </w:div>
    <w:div w:id="890461523">
      <w:bodyDiv w:val="1"/>
      <w:marLeft w:val="0"/>
      <w:marRight w:val="0"/>
      <w:marTop w:val="0"/>
      <w:marBottom w:val="0"/>
      <w:divBdr>
        <w:top w:val="none" w:sz="0" w:space="0" w:color="auto"/>
        <w:left w:val="none" w:sz="0" w:space="0" w:color="auto"/>
        <w:bottom w:val="none" w:sz="0" w:space="0" w:color="auto"/>
        <w:right w:val="none" w:sz="0" w:space="0" w:color="auto"/>
      </w:divBdr>
    </w:div>
    <w:div w:id="911550148">
      <w:bodyDiv w:val="1"/>
      <w:marLeft w:val="0"/>
      <w:marRight w:val="0"/>
      <w:marTop w:val="0"/>
      <w:marBottom w:val="0"/>
      <w:divBdr>
        <w:top w:val="none" w:sz="0" w:space="0" w:color="auto"/>
        <w:left w:val="none" w:sz="0" w:space="0" w:color="auto"/>
        <w:bottom w:val="none" w:sz="0" w:space="0" w:color="auto"/>
        <w:right w:val="none" w:sz="0" w:space="0" w:color="auto"/>
      </w:divBdr>
    </w:div>
    <w:div w:id="952054839">
      <w:bodyDiv w:val="1"/>
      <w:marLeft w:val="0"/>
      <w:marRight w:val="0"/>
      <w:marTop w:val="0"/>
      <w:marBottom w:val="0"/>
      <w:divBdr>
        <w:top w:val="none" w:sz="0" w:space="0" w:color="auto"/>
        <w:left w:val="none" w:sz="0" w:space="0" w:color="auto"/>
        <w:bottom w:val="none" w:sz="0" w:space="0" w:color="auto"/>
        <w:right w:val="none" w:sz="0" w:space="0" w:color="auto"/>
      </w:divBdr>
    </w:div>
    <w:div w:id="1011102435">
      <w:bodyDiv w:val="1"/>
      <w:marLeft w:val="0"/>
      <w:marRight w:val="0"/>
      <w:marTop w:val="0"/>
      <w:marBottom w:val="0"/>
      <w:divBdr>
        <w:top w:val="none" w:sz="0" w:space="0" w:color="auto"/>
        <w:left w:val="none" w:sz="0" w:space="0" w:color="auto"/>
        <w:bottom w:val="none" w:sz="0" w:space="0" w:color="auto"/>
        <w:right w:val="none" w:sz="0" w:space="0" w:color="auto"/>
      </w:divBdr>
    </w:div>
    <w:div w:id="1023477307">
      <w:bodyDiv w:val="1"/>
      <w:marLeft w:val="0"/>
      <w:marRight w:val="0"/>
      <w:marTop w:val="0"/>
      <w:marBottom w:val="0"/>
      <w:divBdr>
        <w:top w:val="none" w:sz="0" w:space="0" w:color="auto"/>
        <w:left w:val="none" w:sz="0" w:space="0" w:color="auto"/>
        <w:bottom w:val="none" w:sz="0" w:space="0" w:color="auto"/>
        <w:right w:val="none" w:sz="0" w:space="0" w:color="auto"/>
      </w:divBdr>
    </w:div>
    <w:div w:id="1049841822">
      <w:bodyDiv w:val="1"/>
      <w:marLeft w:val="0"/>
      <w:marRight w:val="0"/>
      <w:marTop w:val="0"/>
      <w:marBottom w:val="0"/>
      <w:divBdr>
        <w:top w:val="none" w:sz="0" w:space="0" w:color="auto"/>
        <w:left w:val="none" w:sz="0" w:space="0" w:color="auto"/>
        <w:bottom w:val="none" w:sz="0" w:space="0" w:color="auto"/>
        <w:right w:val="none" w:sz="0" w:space="0" w:color="auto"/>
      </w:divBdr>
    </w:div>
    <w:div w:id="1303272161">
      <w:bodyDiv w:val="1"/>
      <w:marLeft w:val="0"/>
      <w:marRight w:val="0"/>
      <w:marTop w:val="0"/>
      <w:marBottom w:val="0"/>
      <w:divBdr>
        <w:top w:val="none" w:sz="0" w:space="0" w:color="auto"/>
        <w:left w:val="none" w:sz="0" w:space="0" w:color="auto"/>
        <w:bottom w:val="none" w:sz="0" w:space="0" w:color="auto"/>
        <w:right w:val="none" w:sz="0" w:space="0" w:color="auto"/>
      </w:divBdr>
    </w:div>
    <w:div w:id="1462530213">
      <w:bodyDiv w:val="1"/>
      <w:marLeft w:val="0"/>
      <w:marRight w:val="0"/>
      <w:marTop w:val="0"/>
      <w:marBottom w:val="0"/>
      <w:divBdr>
        <w:top w:val="none" w:sz="0" w:space="0" w:color="auto"/>
        <w:left w:val="none" w:sz="0" w:space="0" w:color="auto"/>
        <w:bottom w:val="none" w:sz="0" w:space="0" w:color="auto"/>
        <w:right w:val="none" w:sz="0" w:space="0" w:color="auto"/>
      </w:divBdr>
    </w:div>
    <w:div w:id="1592818052">
      <w:bodyDiv w:val="1"/>
      <w:marLeft w:val="0"/>
      <w:marRight w:val="0"/>
      <w:marTop w:val="0"/>
      <w:marBottom w:val="0"/>
      <w:divBdr>
        <w:top w:val="none" w:sz="0" w:space="0" w:color="auto"/>
        <w:left w:val="none" w:sz="0" w:space="0" w:color="auto"/>
        <w:bottom w:val="none" w:sz="0" w:space="0" w:color="auto"/>
        <w:right w:val="none" w:sz="0" w:space="0" w:color="auto"/>
      </w:divBdr>
    </w:div>
    <w:div w:id="1600679811">
      <w:bodyDiv w:val="1"/>
      <w:marLeft w:val="0"/>
      <w:marRight w:val="0"/>
      <w:marTop w:val="0"/>
      <w:marBottom w:val="0"/>
      <w:divBdr>
        <w:top w:val="none" w:sz="0" w:space="0" w:color="auto"/>
        <w:left w:val="none" w:sz="0" w:space="0" w:color="auto"/>
        <w:bottom w:val="none" w:sz="0" w:space="0" w:color="auto"/>
        <w:right w:val="none" w:sz="0" w:space="0" w:color="auto"/>
      </w:divBdr>
    </w:div>
    <w:div w:id="2064131529">
      <w:bodyDiv w:val="1"/>
      <w:marLeft w:val="0"/>
      <w:marRight w:val="0"/>
      <w:marTop w:val="0"/>
      <w:marBottom w:val="0"/>
      <w:divBdr>
        <w:top w:val="none" w:sz="0" w:space="0" w:color="auto"/>
        <w:left w:val="none" w:sz="0" w:space="0" w:color="auto"/>
        <w:bottom w:val="none" w:sz="0" w:space="0" w:color="auto"/>
        <w:right w:val="none" w:sz="0" w:space="0" w:color="auto"/>
      </w:divBdr>
    </w:div>
    <w:div w:id="2078358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microsoft.com/office/2007/relationships/hdphoto" Target="media/hdphoto4.wdp"/><Relationship Id="rId42" Type="http://schemas.openxmlformats.org/officeDocument/2006/relationships/image" Target="media/image27.png"/><Relationship Id="rId47" Type="http://schemas.openxmlformats.org/officeDocument/2006/relationships/image" Target="media/image31.png"/><Relationship Id="rId63" Type="http://schemas.openxmlformats.org/officeDocument/2006/relationships/image" Target="media/image40.png"/><Relationship Id="rId68" Type="http://schemas.openxmlformats.org/officeDocument/2006/relationships/image" Target="media/image45.png"/><Relationship Id="rId84" Type="http://schemas.microsoft.com/office/2007/relationships/hdphoto" Target="media/hdphoto20.wdp"/><Relationship Id="rId89" Type="http://schemas.openxmlformats.org/officeDocument/2006/relationships/image" Target="media/image61.png"/><Relationship Id="rId16" Type="http://schemas.microsoft.com/office/2007/relationships/hdphoto" Target="media/hdphoto3.wdp"/><Relationship Id="rId11" Type="http://schemas.microsoft.com/office/2007/relationships/hdphoto" Target="media/hdphoto1.wdp"/><Relationship Id="rId32" Type="http://schemas.openxmlformats.org/officeDocument/2006/relationships/image" Target="media/image17.png"/><Relationship Id="rId37" Type="http://schemas.openxmlformats.org/officeDocument/2006/relationships/image" Target="media/image22.png"/><Relationship Id="rId53" Type="http://schemas.microsoft.com/office/2007/relationships/hdphoto" Target="media/hdphoto11.wdp"/><Relationship Id="rId58" Type="http://schemas.openxmlformats.org/officeDocument/2006/relationships/image" Target="media/image37.png"/><Relationship Id="rId74" Type="http://schemas.openxmlformats.org/officeDocument/2006/relationships/image" Target="media/image49.png"/><Relationship Id="rId79" Type="http://schemas.microsoft.com/office/2007/relationships/hdphoto" Target="media/hdphoto19.wdp"/><Relationship Id="rId5" Type="http://schemas.openxmlformats.org/officeDocument/2006/relationships/webSettings" Target="webSettings.xml"/><Relationship Id="rId90" Type="http://schemas.openxmlformats.org/officeDocument/2006/relationships/image" Target="media/image62.png"/><Relationship Id="rId95" Type="http://schemas.microsoft.com/office/2007/relationships/hdphoto" Target="media/hdphoto22.wdp"/><Relationship Id="rId22" Type="http://schemas.openxmlformats.org/officeDocument/2006/relationships/image" Target="media/image10.png"/><Relationship Id="rId27" Type="http://schemas.microsoft.com/office/2007/relationships/hdphoto" Target="media/hdphoto7.wdp"/><Relationship Id="rId43" Type="http://schemas.openxmlformats.org/officeDocument/2006/relationships/image" Target="media/image28.png"/><Relationship Id="rId48" Type="http://schemas.microsoft.com/office/2007/relationships/hdphoto" Target="media/hdphoto9.wdp"/><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3.png"/><Relationship Id="rId85"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microsoft.com/office/2007/relationships/hdphoto" Target="media/hdphoto6.wdp"/><Relationship Id="rId33" Type="http://schemas.openxmlformats.org/officeDocument/2006/relationships/image" Target="media/image18.png"/><Relationship Id="rId38" Type="http://schemas.openxmlformats.org/officeDocument/2006/relationships/image" Target="media/image23.png"/><Relationship Id="rId46" Type="http://schemas.microsoft.com/office/2007/relationships/hdphoto" Target="media/hdphoto8.wdp"/><Relationship Id="rId59" Type="http://schemas.openxmlformats.org/officeDocument/2006/relationships/image" Target="media/image38.png"/><Relationship Id="rId67" Type="http://schemas.openxmlformats.org/officeDocument/2006/relationships/image" Target="media/image44.png"/><Relationship Id="rId20" Type="http://schemas.openxmlformats.org/officeDocument/2006/relationships/image" Target="media/image9.png"/><Relationship Id="rId41" Type="http://schemas.openxmlformats.org/officeDocument/2006/relationships/image" Target="media/image26.png"/><Relationship Id="rId54" Type="http://schemas.openxmlformats.org/officeDocument/2006/relationships/image" Target="media/image35.png"/><Relationship Id="rId62" Type="http://schemas.microsoft.com/office/2007/relationships/hdphoto" Target="media/hdphoto15.wdp"/><Relationship Id="rId70" Type="http://schemas.microsoft.com/office/2007/relationships/hdphoto" Target="media/hdphoto16.wdp"/><Relationship Id="rId75" Type="http://schemas.openxmlformats.org/officeDocument/2006/relationships/image" Target="media/image50.png"/><Relationship Id="rId83" Type="http://schemas.openxmlformats.org/officeDocument/2006/relationships/image" Target="media/image56.png"/><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microsoft.com/office/2007/relationships/hdphoto" Target="media/hdphoto5.wdp"/><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2.png"/><Relationship Id="rId57" Type="http://schemas.microsoft.com/office/2007/relationships/hdphoto" Target="media/hdphoto13.wdp"/><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4.png"/><Relationship Id="rId60" Type="http://schemas.microsoft.com/office/2007/relationships/hdphoto" Target="media/hdphoto14.wdp"/><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image" Target="media/image54.png"/><Relationship Id="rId86" Type="http://schemas.openxmlformats.org/officeDocument/2006/relationships/image" Target="media/image58.png"/><Relationship Id="rId94" Type="http://schemas.openxmlformats.org/officeDocument/2006/relationships/image" Target="media/image65.png"/><Relationship Id="rId9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3.png"/><Relationship Id="rId55" Type="http://schemas.microsoft.com/office/2007/relationships/hdphoto" Target="media/hdphoto12.wdp"/><Relationship Id="rId76" Type="http://schemas.openxmlformats.org/officeDocument/2006/relationships/image" Target="media/image51.png"/><Relationship Id="rId97"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47.png"/><Relationship Id="rId92" Type="http://schemas.microsoft.com/office/2007/relationships/hdphoto" Target="media/hdphoto21.wdp"/><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3.png"/><Relationship Id="rId87" Type="http://schemas.openxmlformats.org/officeDocument/2006/relationships/image" Target="media/image59.png"/><Relationship Id="rId61" Type="http://schemas.openxmlformats.org/officeDocument/2006/relationships/image" Target="media/image39.png"/><Relationship Id="rId82" Type="http://schemas.openxmlformats.org/officeDocument/2006/relationships/image" Target="media/image55.png"/><Relationship Id="rId19" Type="http://schemas.openxmlformats.org/officeDocument/2006/relationships/image" Target="media/image8.png"/><Relationship Id="rId14" Type="http://schemas.microsoft.com/office/2007/relationships/hdphoto" Target="media/hdphoto2.wdp"/><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6.png"/><Relationship Id="rId77" Type="http://schemas.microsoft.com/office/2007/relationships/hdphoto" Target="media/hdphoto18.wdp"/><Relationship Id="rId100" Type="http://schemas.openxmlformats.org/officeDocument/2006/relationships/theme" Target="theme/theme1.xml"/><Relationship Id="rId8" Type="http://schemas.openxmlformats.org/officeDocument/2006/relationships/image" Target="media/image1.png"/><Relationship Id="rId51" Type="http://schemas.microsoft.com/office/2007/relationships/hdphoto" Target="media/hdphoto10.wdp"/><Relationship Id="rId72" Type="http://schemas.microsoft.com/office/2007/relationships/hdphoto" Target="media/hdphoto17.wdp"/><Relationship Id="rId93" Type="http://schemas.openxmlformats.org/officeDocument/2006/relationships/image" Target="media/image64.png"/><Relationship Id="rId98"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0586A23D4794876A55A282F8892D8F9"/>
        <w:category>
          <w:name w:val="General"/>
          <w:gallery w:val="placeholder"/>
        </w:category>
        <w:types>
          <w:type w:val="bbPlcHdr"/>
        </w:types>
        <w:behaviors>
          <w:behavior w:val="content"/>
        </w:behaviors>
        <w:guid w:val="{043FDF1A-2239-48AC-9EB9-6AD79CF6B8E4}"/>
      </w:docPartPr>
      <w:docPartBody>
        <w:p w:rsidR="006E2A70" w:rsidRDefault="00BC1331" w:rsidP="00BC1331">
          <w:pPr>
            <w:pStyle w:val="60586A23D4794876A55A282F8892D8F9"/>
          </w:pPr>
          <w:r w:rsidRPr="00386A24">
            <w:rPr>
              <w:rStyle w:val="PlaceholderText"/>
            </w:rPr>
            <w:t>Click or tap here to enter text.</w:t>
          </w:r>
        </w:p>
      </w:docPartBody>
    </w:docPart>
    <w:docPart>
      <w:docPartPr>
        <w:name w:val="DD08D936C1404BCB842B16EBCAA0FFFF"/>
        <w:category>
          <w:name w:val="General"/>
          <w:gallery w:val="placeholder"/>
        </w:category>
        <w:types>
          <w:type w:val="bbPlcHdr"/>
        </w:types>
        <w:behaviors>
          <w:behavior w:val="content"/>
        </w:behaviors>
        <w:guid w:val="{DE61A4E0-9DCB-401E-921D-3C63647FE2A1}"/>
      </w:docPartPr>
      <w:docPartBody>
        <w:p w:rsidR="006E2A70" w:rsidRDefault="00BC1331" w:rsidP="00BC1331">
          <w:pPr>
            <w:pStyle w:val="DD08D936C1404BCB842B16EBCAA0FFFF"/>
          </w:pPr>
          <w:r w:rsidRPr="003D42F8">
            <w:rPr>
              <w:rStyle w:val="PlaceholderText"/>
            </w:rPr>
            <w:t>Click or tap here to enter text.</w:t>
          </w:r>
        </w:p>
      </w:docPartBody>
    </w:docPart>
    <w:docPart>
      <w:docPartPr>
        <w:name w:val="293B67E42BAA4868B946BCC23DDEBA99"/>
        <w:category>
          <w:name w:val="General"/>
          <w:gallery w:val="placeholder"/>
        </w:category>
        <w:types>
          <w:type w:val="bbPlcHdr"/>
        </w:types>
        <w:behaviors>
          <w:behavior w:val="content"/>
        </w:behaviors>
        <w:guid w:val="{C8CC874F-F6BC-4F5F-A62F-709DE4D38084}"/>
      </w:docPartPr>
      <w:docPartBody>
        <w:p w:rsidR="006E2A70" w:rsidRDefault="00BC1331" w:rsidP="00BC1331">
          <w:pPr>
            <w:pStyle w:val="293B67E42BAA4868B946BCC23DDEBA99"/>
          </w:pPr>
          <w:r w:rsidRPr="003D42F8">
            <w:rPr>
              <w:rStyle w:val="PlaceholderText"/>
            </w:rPr>
            <w:t>Click or tap here to enter text.</w:t>
          </w:r>
        </w:p>
      </w:docPartBody>
    </w:docPart>
    <w:docPart>
      <w:docPartPr>
        <w:name w:val="F07A31BFFC46480AAF1F0F470054E1D7"/>
        <w:category>
          <w:name w:val="General"/>
          <w:gallery w:val="placeholder"/>
        </w:category>
        <w:types>
          <w:type w:val="bbPlcHdr"/>
        </w:types>
        <w:behaviors>
          <w:behavior w:val="content"/>
        </w:behaviors>
        <w:guid w:val="{1AB3302A-9484-4587-8B1E-2734A79EBD87}"/>
      </w:docPartPr>
      <w:docPartBody>
        <w:p w:rsidR="006E2A70" w:rsidRDefault="00BC1331" w:rsidP="00BC1331">
          <w:pPr>
            <w:pStyle w:val="F07A31BFFC46480AAF1F0F470054E1D7"/>
          </w:pPr>
          <w:r w:rsidRPr="003D42F8">
            <w:rPr>
              <w:rStyle w:val="PlaceholderText"/>
            </w:rPr>
            <w:t>Click or tap here to enter text.</w:t>
          </w:r>
        </w:p>
      </w:docPartBody>
    </w:docPart>
    <w:docPart>
      <w:docPartPr>
        <w:name w:val="1F8BBA505C5D423C89229EB695CC9207"/>
        <w:category>
          <w:name w:val="General"/>
          <w:gallery w:val="placeholder"/>
        </w:category>
        <w:types>
          <w:type w:val="bbPlcHdr"/>
        </w:types>
        <w:behaviors>
          <w:behavior w:val="content"/>
        </w:behaviors>
        <w:guid w:val="{D7412528-70B8-4A0C-8CB4-4C626DB32F99}"/>
      </w:docPartPr>
      <w:docPartBody>
        <w:p w:rsidR="006E2A70" w:rsidRDefault="00BC1331" w:rsidP="00BC1331">
          <w:pPr>
            <w:pStyle w:val="1F8BBA505C5D423C89229EB695CC9207"/>
          </w:pPr>
          <w:r w:rsidRPr="0034152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haroni">
    <w:charset w:val="B1"/>
    <w:family w:val="auto"/>
    <w:pitch w:val="variable"/>
    <w:sig w:usb0="00000803" w:usb1="00000000" w:usb2="00000000" w:usb3="00000000" w:csb0="00000021"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UOS Blake">
    <w:altName w:val="Calibri"/>
    <w:charset w:val="00"/>
    <w:family w:val="swiss"/>
    <w:pitch w:val="variable"/>
    <w:sig w:usb0="8000002F" w:usb1="4000004A" w:usb2="00000000" w:usb3="00000000" w:csb0="00000011" w:csb1="00000000"/>
  </w:font>
  <w:font w:name="Cambria Math">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1331"/>
    <w:rsid w:val="00020D20"/>
    <w:rsid w:val="001F03F9"/>
    <w:rsid w:val="002069AF"/>
    <w:rsid w:val="00233994"/>
    <w:rsid w:val="00236B02"/>
    <w:rsid w:val="002C4BAB"/>
    <w:rsid w:val="003C0C7A"/>
    <w:rsid w:val="004229C2"/>
    <w:rsid w:val="004C56BD"/>
    <w:rsid w:val="004D5004"/>
    <w:rsid w:val="005064B7"/>
    <w:rsid w:val="00507D22"/>
    <w:rsid w:val="00520CE6"/>
    <w:rsid w:val="00580887"/>
    <w:rsid w:val="00584144"/>
    <w:rsid w:val="005C1548"/>
    <w:rsid w:val="00655156"/>
    <w:rsid w:val="00694432"/>
    <w:rsid w:val="006E2A70"/>
    <w:rsid w:val="007D28F8"/>
    <w:rsid w:val="008A62F0"/>
    <w:rsid w:val="008B4176"/>
    <w:rsid w:val="008F66F2"/>
    <w:rsid w:val="00957957"/>
    <w:rsid w:val="00981EF4"/>
    <w:rsid w:val="00986780"/>
    <w:rsid w:val="00A62889"/>
    <w:rsid w:val="00AB65C9"/>
    <w:rsid w:val="00B264AF"/>
    <w:rsid w:val="00B444AF"/>
    <w:rsid w:val="00BC1331"/>
    <w:rsid w:val="00CF1C54"/>
    <w:rsid w:val="00D7698E"/>
    <w:rsid w:val="00DD5C62"/>
    <w:rsid w:val="00E71EBA"/>
    <w:rsid w:val="00E74113"/>
    <w:rsid w:val="00EA56DC"/>
    <w:rsid w:val="00EB1A6F"/>
    <w:rsid w:val="00EF3ED8"/>
    <w:rsid w:val="00F13C63"/>
    <w:rsid w:val="00FF778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C1331"/>
    <w:rPr>
      <w:color w:val="808080"/>
    </w:rPr>
  </w:style>
  <w:style w:type="paragraph" w:customStyle="1" w:styleId="60586A23D4794876A55A282F8892D8F9">
    <w:name w:val="60586A23D4794876A55A282F8892D8F9"/>
    <w:rsid w:val="00BC1331"/>
  </w:style>
  <w:style w:type="paragraph" w:customStyle="1" w:styleId="DD08D936C1404BCB842B16EBCAA0FFFF">
    <w:name w:val="DD08D936C1404BCB842B16EBCAA0FFFF"/>
    <w:rsid w:val="00BC1331"/>
  </w:style>
  <w:style w:type="paragraph" w:customStyle="1" w:styleId="293B67E42BAA4868B946BCC23DDEBA99">
    <w:name w:val="293B67E42BAA4868B946BCC23DDEBA99"/>
    <w:rsid w:val="00BC1331"/>
  </w:style>
  <w:style w:type="paragraph" w:customStyle="1" w:styleId="F07A31BFFC46480AAF1F0F470054E1D7">
    <w:name w:val="F07A31BFFC46480AAF1F0F470054E1D7"/>
    <w:rsid w:val="00BC1331"/>
  </w:style>
  <w:style w:type="paragraph" w:customStyle="1" w:styleId="1F8BBA505C5D423C89229EB695CC9207">
    <w:name w:val="1F8BBA505C5D423C89229EB695CC9207"/>
    <w:rsid w:val="00BC13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B06C83-0F0D-41A7-BDA8-9C4F2CD38C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221</Pages>
  <Words>51410</Words>
  <Characters>278646</Characters>
  <Application>Microsoft Office Word</Application>
  <DocSecurity>0</DocSecurity>
  <Lines>9951</Lines>
  <Paragraphs>4853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Gunn, Julian (Cardiothoracic)</dc:creator>
  <cp:keywords/>
  <dc:description/>
  <cp:lastModifiedBy>Mohsin Gondal</cp:lastModifiedBy>
  <cp:revision>2</cp:revision>
  <dcterms:created xsi:type="dcterms:W3CDTF">2025-06-27T10:43:00Z</dcterms:created>
  <dcterms:modified xsi:type="dcterms:W3CDTF">2025-06-27T10:43:00Z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24aeae97-3f5a-4e20-abd9-01337aa6914c</vt:lpwstr>
  </property>
</Properties>
</file>