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2166C" w14:textId="77777777" w:rsidR="001C129E" w:rsidRDefault="001C129E" w:rsidP="00107BCF">
      <w:pPr>
        <w:pStyle w:val="Heading2"/>
      </w:pPr>
      <w:r>
        <w:t>Brief explanatory text:</w:t>
      </w:r>
    </w:p>
    <w:p w14:paraId="17431876" w14:textId="5E3670F2" w:rsidR="001C129E" w:rsidRPr="005554E9" w:rsidRDefault="001C129E" w:rsidP="001C129E">
      <w:r w:rsidRPr="005554E9">
        <w:t xml:space="preserve">An inconsistency was identified between the fecundity function for </w:t>
      </w:r>
      <w:r w:rsidR="00A473E0" w:rsidRPr="00A473E0">
        <w:rPr>
          <w:i/>
          <w:iCs/>
        </w:rPr>
        <w:t>Gammarus</w:t>
      </w:r>
      <w:r w:rsidRPr="005554E9">
        <w:t xml:space="preserve"> used in the model code for Chapter 5 and the function described in the methods (Chapter 3). </w:t>
      </w:r>
      <w:r>
        <w:t>As a result, a</w:t>
      </w:r>
      <w:r w:rsidRPr="005554E9">
        <w:t xml:space="preserve">ll simulations </w:t>
      </w:r>
      <w:r w:rsidR="006618F4">
        <w:t xml:space="preserve">for Chapter 5 </w:t>
      </w:r>
      <w:r w:rsidRPr="005554E9">
        <w:t xml:space="preserve">were re-run </w:t>
      </w:r>
      <w:r w:rsidR="006618F4">
        <w:t>with</w:t>
      </w:r>
      <w:r w:rsidRPr="005554E9">
        <w:t xml:space="preserve"> the correct fecundity function and re-analysed using the same methods. The revised results show that populations are less sensitive to reductions in feeding when interspecific competition is included</w:t>
      </w:r>
      <w:r w:rsidR="00107BCF">
        <w:t xml:space="preserve">, compared to those reported in the thesis. However, </w:t>
      </w:r>
      <w:r w:rsidRPr="005554E9">
        <w:t xml:space="preserve">overall response patterns remain similar. The results also confirm that interspecific competition </w:t>
      </w:r>
      <w:r>
        <w:t>alters</w:t>
      </w:r>
      <w:r w:rsidRPr="005554E9">
        <w:t xml:space="preserve"> the threshold at which feeding inhibition affects populations compared with single-species models, highlighting its importance for chemical risk assessment in multi-species systems.</w:t>
      </w:r>
    </w:p>
    <w:p w14:paraId="7D183EF1" w14:textId="77777777" w:rsidR="001C129E" w:rsidRDefault="001C129E">
      <w:pPr>
        <w:jc w:val="left"/>
        <w:rPr>
          <w:rFonts w:asciiTheme="majorHAnsi" w:eastAsiaTheme="majorEastAsia" w:hAnsiTheme="majorHAnsi" w:cstheme="majorBidi"/>
          <w:color w:val="0F4761" w:themeColor="accent1" w:themeShade="BF"/>
          <w:sz w:val="40"/>
          <w:szCs w:val="40"/>
        </w:rPr>
      </w:pPr>
      <w:r>
        <w:br w:type="page"/>
      </w:r>
    </w:p>
    <w:p w14:paraId="23613EB1" w14:textId="6ECB01FD" w:rsidR="00417C58" w:rsidRDefault="003F158F" w:rsidP="00AA5B42">
      <w:pPr>
        <w:pStyle w:val="Heading1"/>
      </w:pPr>
      <w:r>
        <w:lastRenderedPageBreak/>
        <w:t>Supplementary document – Correction Chapter 5</w:t>
      </w:r>
    </w:p>
    <w:p w14:paraId="32D422CE" w14:textId="2B4CC973" w:rsidR="003F158F" w:rsidRPr="00676779" w:rsidRDefault="00EB022A" w:rsidP="00AA5B42">
      <w:pPr>
        <w:pStyle w:val="Heading2"/>
      </w:pPr>
      <w:r>
        <w:t>Background</w:t>
      </w:r>
    </w:p>
    <w:p w14:paraId="0F81E609" w14:textId="350B48FC" w:rsidR="003F158F" w:rsidRDefault="003A5CC4" w:rsidP="00AA5B42">
      <w:r>
        <w:rPr>
          <w:noProof/>
        </w:rPr>
        <mc:AlternateContent>
          <mc:Choice Requires="wps">
            <w:drawing>
              <wp:anchor distT="0" distB="0" distL="114300" distR="114300" simplePos="0" relativeHeight="251671552" behindDoc="0" locked="0" layoutInCell="1" allowOverlap="1" wp14:anchorId="23972A16" wp14:editId="7B6DC224">
                <wp:simplePos x="0" y="0"/>
                <wp:positionH relativeFrom="margin">
                  <wp:align>center</wp:align>
                </wp:positionH>
                <wp:positionV relativeFrom="paragraph">
                  <wp:posOffset>3801745</wp:posOffset>
                </wp:positionV>
                <wp:extent cx="5381625" cy="635"/>
                <wp:effectExtent l="0" t="0" r="9525" b="4445"/>
                <wp:wrapTopAndBottom/>
                <wp:docPr id="48290247" name="Text Box 1"/>
                <wp:cNvGraphicFramePr/>
                <a:graphic xmlns:a="http://schemas.openxmlformats.org/drawingml/2006/main">
                  <a:graphicData uri="http://schemas.microsoft.com/office/word/2010/wordprocessingShape">
                    <wps:wsp>
                      <wps:cNvSpPr txBox="1"/>
                      <wps:spPr>
                        <a:xfrm>
                          <a:off x="0" y="0"/>
                          <a:ext cx="5381625" cy="635"/>
                        </a:xfrm>
                        <a:prstGeom prst="rect">
                          <a:avLst/>
                        </a:prstGeom>
                        <a:solidFill>
                          <a:prstClr val="white"/>
                        </a:solidFill>
                        <a:ln>
                          <a:noFill/>
                        </a:ln>
                      </wps:spPr>
                      <wps:txbx>
                        <w:txbxContent>
                          <w:p w14:paraId="7EE91831" w14:textId="09B49E4B" w:rsidR="003A5CC4" w:rsidRPr="001C20F0" w:rsidRDefault="003A5CC4" w:rsidP="003A5CC4">
                            <w:pPr>
                              <w:pStyle w:val="Caption"/>
                              <w:rPr>
                                <w:noProof/>
                                <w:color w:val="auto"/>
                                <w:sz w:val="20"/>
                                <w:szCs w:val="20"/>
                              </w:rPr>
                            </w:pPr>
                            <w:r w:rsidRPr="001C20F0">
                              <w:rPr>
                                <w:color w:val="auto"/>
                                <w:sz w:val="20"/>
                                <w:szCs w:val="20"/>
                              </w:rPr>
                              <w:t xml:space="preserve">Figure </w:t>
                            </w:r>
                            <w:r w:rsidRPr="001C20F0">
                              <w:rPr>
                                <w:color w:val="auto"/>
                                <w:sz w:val="20"/>
                                <w:szCs w:val="20"/>
                              </w:rPr>
                              <w:fldChar w:fldCharType="begin"/>
                            </w:r>
                            <w:r w:rsidRPr="001C20F0">
                              <w:rPr>
                                <w:color w:val="auto"/>
                                <w:sz w:val="20"/>
                                <w:szCs w:val="20"/>
                              </w:rPr>
                              <w:instrText xml:space="preserve"> SEQ Figure \* ARABIC </w:instrText>
                            </w:r>
                            <w:r w:rsidRPr="001C20F0">
                              <w:rPr>
                                <w:color w:val="auto"/>
                                <w:sz w:val="20"/>
                                <w:szCs w:val="20"/>
                              </w:rPr>
                              <w:fldChar w:fldCharType="separate"/>
                            </w:r>
                            <w:r w:rsidR="003E147A">
                              <w:rPr>
                                <w:noProof/>
                                <w:color w:val="auto"/>
                                <w:sz w:val="20"/>
                                <w:szCs w:val="20"/>
                              </w:rPr>
                              <w:t>1</w:t>
                            </w:r>
                            <w:r w:rsidRPr="001C20F0">
                              <w:rPr>
                                <w:color w:val="auto"/>
                                <w:sz w:val="20"/>
                                <w:szCs w:val="20"/>
                              </w:rPr>
                              <w:fldChar w:fldCharType="end"/>
                            </w:r>
                            <w:r w:rsidRPr="001C20F0">
                              <w:rPr>
                                <w:color w:val="auto"/>
                                <w:sz w:val="20"/>
                                <w:szCs w:val="20"/>
                              </w:rPr>
                              <w:t>: Mean number of offspring by size of modelled gammarids</w:t>
                            </w:r>
                            <w:r w:rsidRPr="001C20F0">
                              <w:rPr>
                                <w:noProof/>
                                <w:color w:val="auto"/>
                                <w:sz w:val="20"/>
                                <w:szCs w:val="20"/>
                              </w:rPr>
                              <w:t xml:space="preserve"> with the incorrect </w:t>
                            </w:r>
                            <w:r w:rsidR="00A473E0" w:rsidRPr="00A473E0">
                              <w:rPr>
                                <w:noProof/>
                                <w:color w:val="auto"/>
                                <w:sz w:val="20"/>
                                <w:szCs w:val="20"/>
                              </w:rPr>
                              <w:t>Gammarus</w:t>
                            </w:r>
                            <w:r w:rsidRPr="001C20F0">
                              <w:rPr>
                                <w:noProof/>
                                <w:color w:val="auto"/>
                                <w:sz w:val="20"/>
                                <w:szCs w:val="20"/>
                              </w:rPr>
                              <w:t xml:space="preserve"> pseudolimnaeus (left) and correct </w:t>
                            </w:r>
                            <w:r w:rsidR="00A473E0" w:rsidRPr="00A473E0">
                              <w:rPr>
                                <w:noProof/>
                                <w:color w:val="auto"/>
                                <w:sz w:val="20"/>
                                <w:szCs w:val="20"/>
                              </w:rPr>
                              <w:t>Gammarus</w:t>
                            </w:r>
                            <w:r w:rsidRPr="001C20F0">
                              <w:rPr>
                                <w:noProof/>
                                <w:color w:val="auto"/>
                                <w:sz w:val="20"/>
                                <w:szCs w:val="20"/>
                              </w:rPr>
                              <w:t xml:space="preserve"> pulex (Right) fecundity function.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23972A16" id="_x0000_t202" coordsize="21600,21600" o:spt="202" path="m,l,21600r21600,l21600,xe">
                <v:stroke joinstyle="miter"/>
                <v:path gradientshapeok="t" o:connecttype="rect"/>
              </v:shapetype>
              <v:shape id="Text Box 1" o:spid="_x0000_s1026" type="#_x0000_t202" style="position:absolute;left:0;text-align:left;margin-left:0;margin-top:299.35pt;width:423.75pt;height:.05pt;z-index:251671552;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" stroked="f">
                <v:textbox style="mso-fit-shape-to-text:t" inset="0,0,0,0">
                  <w:txbxContent>
                    <w:p w14:paraId="7EE91831" w14:textId="09B49E4B" w:rsidR="003A5CC4" w:rsidRPr="001C20F0" w:rsidRDefault="003A5CC4" w:rsidP="003A5CC4">
                      <w:pPr>
                        <w:pStyle w:val="Caption"/>
                        <w:rPr>
                          <w:noProof/>
                          <w:color w:val="auto"/>
                          <w:sz w:val="20"/>
                          <w:szCs w:val="20"/>
                        </w:rPr>
                      </w:pPr>
                      <w:r w:rsidRPr="001C20F0">
                        <w:rPr>
                          <w:color w:val="auto"/>
                          <w:sz w:val="20"/>
                          <w:szCs w:val="20"/>
                        </w:rPr>
                        <w:t xml:space="preserve">Figure </w:t>
                      </w:r>
                      <w:r w:rsidRPr="001C20F0">
                        <w:rPr>
                          <w:color w:val="auto"/>
                          <w:sz w:val="20"/>
                          <w:szCs w:val="20"/>
                        </w:rPr>
                        <w:fldChar w:fldCharType="begin"/>
                      </w:r>
                      <w:r w:rsidRPr="001C20F0">
                        <w:rPr>
                          <w:color w:val="auto"/>
                          <w:sz w:val="20"/>
                          <w:szCs w:val="20"/>
                        </w:rPr>
                        <w:instrText xml:space="preserve"> SEQ Figure \* ARABIC </w:instrText>
                      </w:r>
                      <w:r w:rsidRPr="001C20F0">
                        <w:rPr>
                          <w:color w:val="auto"/>
                          <w:sz w:val="20"/>
                          <w:szCs w:val="20"/>
                        </w:rPr>
                        <w:fldChar w:fldCharType="separate"/>
                      </w:r>
                      <w:r w:rsidR="003E147A">
                        <w:rPr>
                          <w:noProof/>
                          <w:color w:val="auto"/>
                          <w:sz w:val="20"/>
                          <w:szCs w:val="20"/>
                        </w:rPr>
                        <w:t>1</w:t>
                      </w:r>
                      <w:r w:rsidRPr="001C20F0">
                        <w:rPr>
                          <w:color w:val="auto"/>
                          <w:sz w:val="20"/>
                          <w:szCs w:val="20"/>
                        </w:rPr>
                        <w:fldChar w:fldCharType="end"/>
                      </w:r>
                      <w:r w:rsidRPr="001C20F0">
                        <w:rPr>
                          <w:color w:val="auto"/>
                          <w:sz w:val="20"/>
                          <w:szCs w:val="20"/>
                        </w:rPr>
                        <w:t>: Mean number of offspring by size of modelled gammarids</w:t>
                      </w:r>
                      <w:r w:rsidRPr="001C20F0">
                        <w:rPr>
                          <w:noProof/>
                          <w:color w:val="auto"/>
                          <w:sz w:val="20"/>
                          <w:szCs w:val="20"/>
                        </w:rPr>
                        <w:t xml:space="preserve"> with the incorrect </w:t>
                      </w:r>
                      <w:r w:rsidR="00A473E0" w:rsidRPr="00A473E0">
                        <w:rPr>
                          <w:noProof/>
                          <w:color w:val="auto"/>
                          <w:sz w:val="20"/>
                          <w:szCs w:val="20"/>
                        </w:rPr>
                        <w:t>Gammarus</w:t>
                      </w:r>
                      <w:r w:rsidRPr="001C20F0">
                        <w:rPr>
                          <w:noProof/>
                          <w:color w:val="auto"/>
                          <w:sz w:val="20"/>
                          <w:szCs w:val="20"/>
                        </w:rPr>
                        <w:t xml:space="preserve"> pseudolimnaeus (left) and correct </w:t>
                      </w:r>
                      <w:r w:rsidR="00A473E0" w:rsidRPr="00A473E0">
                        <w:rPr>
                          <w:noProof/>
                          <w:color w:val="auto"/>
                          <w:sz w:val="20"/>
                          <w:szCs w:val="20"/>
                        </w:rPr>
                        <w:t>Gammarus</w:t>
                      </w:r>
                      <w:r w:rsidRPr="001C20F0">
                        <w:rPr>
                          <w:noProof/>
                          <w:color w:val="auto"/>
                          <w:sz w:val="20"/>
                          <w:szCs w:val="20"/>
                        </w:rPr>
                        <w:t xml:space="preserve"> pulex (Right) fecundity function.</w:t>
                      </w:r>
                    </w:p>
                  </w:txbxContent>
                </v:textbox>
                <w10:wrap type="topAndBottom" anchorx="margin"/>
              </v:shape>
            </w:pict>
          </mc:Fallback>
        </mc:AlternateContent>
      </w:r>
      <w:r w:rsidR="006F73F2">
        <w:rPr>
          <w:noProof/>
        </w:rPr>
        <w:drawing>
          <wp:anchor distT="0" distB="0" distL="114300" distR="114300" simplePos="0" relativeHeight="251661312" behindDoc="0" locked="0" layoutInCell="1" allowOverlap="1" wp14:anchorId="3E1DB23E" wp14:editId="41CA7A58">
            <wp:simplePos x="0" y="0"/>
            <wp:positionH relativeFrom="column">
              <wp:posOffset>504825</wp:posOffset>
            </wp:positionH>
            <wp:positionV relativeFrom="paragraph">
              <wp:posOffset>1363345</wp:posOffset>
            </wp:positionV>
            <wp:extent cx="4835525" cy="2362200"/>
            <wp:effectExtent l="0" t="0" r="3175" b="0"/>
            <wp:wrapTopAndBottom/>
            <wp:docPr id="1672730113" name="Picture 1" descr="A graph of different sizes and colo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2730113" name="Picture 1" descr="A graph of different sizes and colors&#10;&#10;AI-generated content may be incorrect."/>
                    <pic:cNvPicPr>
                      <a:picLocks noChangeAspect="1" noChangeArrowheads="1"/>
                    </pic:cNvPicPr>
                  </pic:nvPicPr>
                  <pic:blipFill rotWithShape="1">
                    <a:blip r:embed="rId6">
                      <a:extLst>
                        <a:ext uri="{28A0092B-C50C-407E-A947-70E740481C1C}">
                          <a14:useLocalDpi xmlns:a14="http://schemas.microsoft.com/office/drawing/2010/main" val="0"/>
                        </a:ext>
                      </a:extLst>
                    </a:blip>
                    <a:srcRect b="19391"/>
                    <a:stretch>
                      <a:fillRect/>
                    </a:stretch>
                  </pic:blipFill>
                  <pic:spPr bwMode="auto">
                    <a:xfrm>
                      <a:off x="0" y="0"/>
                      <a:ext cx="4835525" cy="236220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3F158F" w:rsidRPr="00CF64E0">
        <w:t xml:space="preserve">The fecundity function for </w:t>
      </w:r>
      <w:r w:rsidR="00A473E0" w:rsidRPr="00A473E0">
        <w:rPr>
          <w:i/>
          <w:iCs/>
        </w:rPr>
        <w:t>Gammarus</w:t>
      </w:r>
      <w:r w:rsidR="003F158F" w:rsidRPr="00CF64E0">
        <w:t xml:space="preserve"> in the model code used to calculate the results in </w:t>
      </w:r>
      <w:r w:rsidR="00D03AE6">
        <w:t>Chapter 5</w:t>
      </w:r>
      <w:r w:rsidR="003F158F" w:rsidRPr="00CF64E0">
        <w:t xml:space="preserve"> does not match with the one described in the methods section </w:t>
      </w:r>
      <w:r w:rsidR="00D03AE6">
        <w:t xml:space="preserve">(Chapter 3) </w:t>
      </w:r>
      <w:r w:rsidR="003F158F" w:rsidRPr="00CF64E0">
        <w:t>of the thesis</w:t>
      </w:r>
      <w:r w:rsidR="00BD3761">
        <w:t xml:space="preserve">. </w:t>
      </w:r>
      <w:r w:rsidR="003F158F" w:rsidRPr="00CF64E0">
        <w:t xml:space="preserve">The fecundity function described in the thesis is data from Hynes (1955) for </w:t>
      </w:r>
      <w:r w:rsidR="00A473E0" w:rsidRPr="00A473E0">
        <w:rPr>
          <w:i/>
          <w:iCs/>
        </w:rPr>
        <w:t>Gammarus</w:t>
      </w:r>
      <w:r w:rsidR="003F158F" w:rsidRPr="00CF64E0">
        <w:rPr>
          <w:i/>
          <w:iCs/>
        </w:rPr>
        <w:t xml:space="preserve"> </w:t>
      </w:r>
      <w:proofErr w:type="spellStart"/>
      <w:r w:rsidR="003F158F" w:rsidRPr="00CF64E0">
        <w:rPr>
          <w:i/>
          <w:iCs/>
        </w:rPr>
        <w:t>pulex</w:t>
      </w:r>
      <w:proofErr w:type="spellEnd"/>
      <w:r w:rsidR="005554E9">
        <w:rPr>
          <w:i/>
          <w:iCs/>
        </w:rPr>
        <w:t xml:space="preserve"> </w:t>
      </w:r>
      <w:r w:rsidR="003F158F" w:rsidRPr="00CF64E0">
        <w:rPr>
          <w:i/>
          <w:iCs/>
        </w:rPr>
        <w:t xml:space="preserve"> </w:t>
      </w:r>
      <w:r w:rsidR="003F158F" w:rsidRPr="006165EB">
        <w:t xml:space="preserve">(Figure </w:t>
      </w:r>
      <w:r w:rsidR="00BD3761">
        <w:t>1</w:t>
      </w:r>
      <w:r w:rsidR="003F158F" w:rsidRPr="006165EB">
        <w:t>, right)</w:t>
      </w:r>
      <w:r w:rsidR="003F158F" w:rsidRPr="00CF64E0">
        <w:t xml:space="preserve">. The fecundity function used to calculate the results of the competition simulations was that of </w:t>
      </w:r>
      <w:r w:rsidR="00A473E0" w:rsidRPr="00A473E0">
        <w:rPr>
          <w:i/>
          <w:iCs/>
        </w:rPr>
        <w:t>Gammarus</w:t>
      </w:r>
      <w:r w:rsidR="003F158F" w:rsidRPr="00CF64E0">
        <w:rPr>
          <w:i/>
          <w:iCs/>
        </w:rPr>
        <w:t xml:space="preserve"> </w:t>
      </w:r>
      <w:proofErr w:type="spellStart"/>
      <w:r w:rsidR="003F158F" w:rsidRPr="00CF64E0">
        <w:rPr>
          <w:i/>
          <w:iCs/>
        </w:rPr>
        <w:t>pseudolimnaeus</w:t>
      </w:r>
      <w:proofErr w:type="spellEnd"/>
      <w:r w:rsidR="003F158F" w:rsidRPr="00CF64E0">
        <w:rPr>
          <w:i/>
          <w:iCs/>
        </w:rPr>
        <w:t xml:space="preserve"> </w:t>
      </w:r>
      <w:r w:rsidR="003F158F" w:rsidRPr="00CF64E0">
        <w:t>(Figure 1, left), left over from the Galic et al</w:t>
      </w:r>
      <w:r w:rsidR="00EB022A">
        <w:t>.</w:t>
      </w:r>
      <w:r w:rsidR="003F158F" w:rsidRPr="00CF64E0">
        <w:t xml:space="preserve"> 2017 based on Hynes &amp; Harper (1972) code that was not corrected and was missed when setting up simulations</w:t>
      </w:r>
      <w:r w:rsidR="003F158F">
        <w:t>.</w:t>
      </w:r>
    </w:p>
    <w:p w14:paraId="59687147" w14:textId="420FAACE" w:rsidR="009632F0" w:rsidRDefault="009632F0" w:rsidP="00AA5B42"/>
    <w:p w14:paraId="6E0750EF" w14:textId="68AC028F" w:rsidR="003F158F" w:rsidRDefault="003F158F" w:rsidP="00AA5B42">
      <w:r>
        <w:t>The implication of this is</w:t>
      </w:r>
      <w:r w:rsidR="006A3226">
        <w:t xml:space="preserve"> a</w:t>
      </w:r>
      <w:r>
        <w:t xml:space="preserve"> difference in the fecundity function is very likely to result in a different baseline situation</w:t>
      </w:r>
      <w:r w:rsidR="00D03AE6">
        <w:t xml:space="preserve"> and subsequently different numerical results for time to exclusion</w:t>
      </w:r>
      <w:r w:rsidR="00B426DF">
        <w:t>.</w:t>
      </w:r>
    </w:p>
    <w:p w14:paraId="7DB1F043" w14:textId="51FD02A8" w:rsidR="003F158F" w:rsidRPr="00CF64E0" w:rsidRDefault="003F158F" w:rsidP="00AA5B42">
      <w:r>
        <w:t xml:space="preserve">The following describes the analysis and discussion of the results </w:t>
      </w:r>
      <w:r w:rsidR="00D03AE6">
        <w:t xml:space="preserve">of simulations run </w:t>
      </w:r>
      <w:r>
        <w:t xml:space="preserve">with the correct </w:t>
      </w:r>
      <w:r w:rsidR="00AB2648">
        <w:t>fecundity function</w:t>
      </w:r>
      <w:r w:rsidR="00D03AE6">
        <w:t xml:space="preserve">. Methods used for the </w:t>
      </w:r>
      <w:r w:rsidR="006165EB">
        <w:t>simulations</w:t>
      </w:r>
      <w:r w:rsidR="00D03AE6">
        <w:t xml:space="preserve"> are the same as those reported in Chapter 5.</w:t>
      </w:r>
      <w:r w:rsidR="006165EB">
        <w:t xml:space="preserve"> Given that the baseline situation differs from that reported, the analysis of the results differs slightly focussing on the time to exclusion, with an absence of coexistence.</w:t>
      </w:r>
    </w:p>
    <w:p w14:paraId="5FD1989A" w14:textId="77777777" w:rsidR="009D0870" w:rsidRDefault="009D0870" w:rsidP="00AA5B42">
      <w:r>
        <w:br w:type="page"/>
      </w:r>
    </w:p>
    <w:p w14:paraId="47C5DD11" w14:textId="1EC563DD" w:rsidR="003F158F" w:rsidRDefault="009632F0" w:rsidP="00AC58B8">
      <w:pPr>
        <w:pStyle w:val="Heading2"/>
        <w:spacing w:after="0"/>
      </w:pPr>
      <w:r>
        <w:lastRenderedPageBreak/>
        <w:t xml:space="preserve">Correct </w:t>
      </w:r>
      <w:r w:rsidR="003F158F" w:rsidRPr="007B4C87">
        <w:t>Results</w:t>
      </w:r>
    </w:p>
    <w:p w14:paraId="18C6AB81" w14:textId="15D9E0B0" w:rsidR="00055007" w:rsidRPr="00AA5B42" w:rsidRDefault="00055007" w:rsidP="00AC58B8">
      <w:pPr>
        <w:pStyle w:val="Heading3"/>
        <w:spacing w:before="0" w:after="0"/>
      </w:pPr>
      <w:r w:rsidRPr="00AA5B42">
        <w:t>Baseline situation</w:t>
      </w:r>
    </w:p>
    <w:p w14:paraId="5964B631" w14:textId="299C9408" w:rsidR="00B426DF" w:rsidRDefault="00B426DF" w:rsidP="00993201">
      <w:r>
        <w:rPr>
          <w:noProof/>
        </w:rPr>
        <mc:AlternateContent>
          <mc:Choice Requires="wps">
            <w:drawing>
              <wp:anchor distT="0" distB="0" distL="114300" distR="114300" simplePos="0" relativeHeight="251681792" behindDoc="0" locked="0" layoutInCell="1" allowOverlap="1" wp14:anchorId="2396C1AD" wp14:editId="6A2CB1B6">
                <wp:simplePos x="0" y="0"/>
                <wp:positionH relativeFrom="margin">
                  <wp:align>left</wp:align>
                </wp:positionH>
                <wp:positionV relativeFrom="paragraph">
                  <wp:posOffset>4044950</wp:posOffset>
                </wp:positionV>
                <wp:extent cx="5715000" cy="504190"/>
                <wp:effectExtent l="0" t="0" r="0" b="0"/>
                <wp:wrapTopAndBottom/>
                <wp:docPr id="2062187344" name="Text Box 1"/>
                <wp:cNvGraphicFramePr/>
                <a:graphic xmlns:a="http://schemas.openxmlformats.org/drawingml/2006/main">
                  <a:graphicData uri="http://schemas.microsoft.com/office/word/2010/wordprocessingShape">
                    <wps:wsp>
                      <wps:cNvSpPr txBox="1"/>
                      <wps:spPr>
                        <a:xfrm>
                          <a:off x="0" y="0"/>
                          <a:ext cx="5715000" cy="504190"/>
                        </a:xfrm>
                        <a:prstGeom prst="rect">
                          <a:avLst/>
                        </a:prstGeom>
                        <a:solidFill>
                          <a:prstClr val="white"/>
                        </a:solidFill>
                        <a:ln>
                          <a:noFill/>
                        </a:ln>
                      </wps:spPr>
                      <wps:txbx>
                        <w:txbxContent>
                          <w:p w14:paraId="710D9174" w14:textId="2477FAB4" w:rsidR="00AB45AE" w:rsidRPr="00AA5B42" w:rsidRDefault="00AB45AE" w:rsidP="00AB45AE">
                            <w:pPr>
                              <w:pStyle w:val="Caption"/>
                            </w:pPr>
                            <w:r>
                              <w:t xml:space="preserve">Figure </w:t>
                            </w:r>
                            <w:fldSimple w:instr=" SEQ Figure \* ARABIC ">
                              <w:r w:rsidR="003E147A">
                                <w:rPr>
                                  <w:noProof/>
                                </w:rPr>
                                <w:t>2</w:t>
                              </w:r>
                            </w:fldSimple>
                            <w:r>
                              <w:t xml:space="preserve">: percentage occurrence of coexistence across varying initial population sizes of the baseline scenario where there is no </w:t>
                            </w:r>
                            <w:r w:rsidR="00F64928">
                              <w:t>stress on individual feeding rates</w:t>
                            </w:r>
                            <w:r>
                              <w:t>.</w:t>
                            </w:r>
                            <w:r w:rsidRPr="00AB45AE">
                              <w:t xml:space="preserve"> </w:t>
                            </w:r>
                            <w:r>
                              <w:t xml:space="preserve">The black line represents the point where initial densities of </w:t>
                            </w:r>
                            <w:r w:rsidR="00A473E0" w:rsidRPr="00A473E0">
                              <w:t>Gammarus</w:t>
                            </w:r>
                            <w:r>
                              <w:t xml:space="preserve"> and </w:t>
                            </w:r>
                            <w:r w:rsidR="00A473E0" w:rsidRPr="00A473E0">
                              <w:t>Asellus</w:t>
                            </w:r>
                            <w:r>
                              <w:t xml:space="preserve"> are equal (i.e. 1:1)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96C1AD" id="_x0000_s1027" type="#_x0000_t202" style="position:absolute;left:0;text-align:left;margin-left:0;margin-top:318.5pt;width:450pt;height:39.7pt;z-index:2516817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" stroked="f">
                <v:textbox inset="0,0,0,0">
                  <w:txbxContent>
                    <w:p w14:paraId="710D9174" w14:textId="2477FAB4" w:rsidR="00AB45AE" w:rsidRPr="00AA5B42" w:rsidRDefault="00AB45AE" w:rsidP="00AB45AE">
                      <w:pPr>
                        <w:pStyle w:val="Caption"/>
                      </w:pPr>
                      <w:r>
                        <w:t xml:space="preserve">Figure </w:t>
                      </w:r>
                      <w:fldSimple w:instr=" SEQ Figure \* ARABIC ">
                        <w:r w:rsidR="003E147A">
                          <w:rPr>
                            <w:noProof/>
                          </w:rPr>
                          <w:t>2</w:t>
                        </w:r>
                      </w:fldSimple>
                      <w:r>
                        <w:t xml:space="preserve">: percentage occurrence of coexistence across varying initial population sizes of the baseline scenario where there is no </w:t>
                      </w:r>
                      <w:r w:rsidR="00F64928">
                        <w:t>stress on individual feeding rates</w:t>
                      </w:r>
                      <w:r>
                        <w:t>.</w:t>
                      </w:r>
                      <w:r w:rsidRPr="00AB45AE">
                        <w:t xml:space="preserve"> </w:t>
                      </w:r>
                      <w:r>
                        <w:t xml:space="preserve">The black line represents the point where initial densities of </w:t>
                      </w:r>
                      <w:r w:rsidR="00A473E0" w:rsidRPr="00A473E0">
                        <w:t>Gammarus</w:t>
                      </w:r>
                      <w:r>
                        <w:t xml:space="preserve"> and </w:t>
                      </w:r>
                      <w:r w:rsidR="00A473E0" w:rsidRPr="00A473E0">
                        <w:t>Asellus</w:t>
                      </w:r>
                      <w:r>
                        <w:t xml:space="preserve"> are equal (i.e. 1:1)</w:t>
                      </w:r>
                    </w:p>
                  </w:txbxContent>
                </v:textbox>
                <w10:wrap type="topAndBottom" anchorx="margin"/>
              </v:shape>
            </w:pict>
          </mc:Fallback>
        </mc:AlternateContent>
      </w:r>
      <w:r>
        <w:rPr>
          <w:noProof/>
        </w:rPr>
        <w:drawing>
          <wp:anchor distT="0" distB="0" distL="114300" distR="114300" simplePos="0" relativeHeight="251678720" behindDoc="0" locked="0" layoutInCell="1" allowOverlap="1" wp14:anchorId="0B068D59" wp14:editId="13C318FF">
            <wp:simplePos x="0" y="0"/>
            <wp:positionH relativeFrom="margin">
              <wp:posOffset>933559</wp:posOffset>
            </wp:positionH>
            <wp:positionV relativeFrom="paragraph">
              <wp:posOffset>1322070</wp:posOffset>
            </wp:positionV>
            <wp:extent cx="3845560" cy="2746375"/>
            <wp:effectExtent l="0" t="0" r="2540" b="0"/>
            <wp:wrapTopAndBottom/>
            <wp:docPr id="998718498" name="Picture 6" descr="A purple and black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718498" name="Picture 6" descr="A purple and black graph&#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45560" cy="2746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55007" w:rsidRPr="00AA5B42">
        <w:t>In the baseline situation, exclusion occurs within the experiment</w:t>
      </w:r>
      <w:r w:rsidR="0060145B">
        <w:t xml:space="preserve"> time</w:t>
      </w:r>
      <w:r w:rsidR="00055007" w:rsidRPr="00AA5B42">
        <w:t xml:space="preserve"> in </w:t>
      </w:r>
      <w:r w:rsidR="00CE4492" w:rsidRPr="00AA5B42">
        <w:t>97</w:t>
      </w:r>
      <w:r w:rsidR="00055007" w:rsidRPr="00AA5B42">
        <w:t>% of simulations on</w:t>
      </w:r>
      <w:r w:rsidR="00CE4492" w:rsidRPr="00AA5B42">
        <w:t xml:space="preserve"> </w:t>
      </w:r>
      <w:r w:rsidR="009D0870" w:rsidRPr="00AA5B42">
        <w:t>1</w:t>
      </w:r>
      <w:r w:rsidR="002B3188">
        <w:t>13</w:t>
      </w:r>
      <w:r w:rsidR="00CE4492" w:rsidRPr="00AA5B42">
        <w:t xml:space="preserve"> of </w:t>
      </w:r>
      <w:r w:rsidR="002B3188">
        <w:t>4</w:t>
      </w:r>
      <w:r w:rsidR="009945DC" w:rsidRPr="00AA5B42">
        <w:t>00</w:t>
      </w:r>
      <w:r w:rsidR="00055007" w:rsidRPr="00AA5B42">
        <w:t xml:space="preserve"> patches.</w:t>
      </w:r>
      <w:r w:rsidR="00273FFB" w:rsidRPr="00AA5B42">
        <w:t xml:space="preserve"> Conditions where both species </w:t>
      </w:r>
      <w:r w:rsidR="0060145B">
        <w:t>are</w:t>
      </w:r>
      <w:r w:rsidR="00273FFB" w:rsidRPr="00AA5B42">
        <w:t xml:space="preserve"> </w:t>
      </w:r>
      <w:r w:rsidR="00CC591B" w:rsidRPr="00AA5B42">
        <w:t xml:space="preserve">present at the end of the experiment </w:t>
      </w:r>
      <w:r w:rsidR="00273FFB" w:rsidRPr="00AA5B42">
        <w:t xml:space="preserve">typically </w:t>
      </w:r>
      <w:r w:rsidR="0060145B">
        <w:t xml:space="preserve">occur </w:t>
      </w:r>
      <w:r w:rsidR="00273FFB" w:rsidRPr="00AA5B42">
        <w:t xml:space="preserve">where </w:t>
      </w:r>
      <w:r w:rsidR="00A473E0" w:rsidRPr="00A473E0">
        <w:rPr>
          <w:i/>
          <w:iCs/>
        </w:rPr>
        <w:t>Gammarus</w:t>
      </w:r>
      <w:r w:rsidR="00273FFB" w:rsidRPr="00AA5B42">
        <w:t xml:space="preserve"> density </w:t>
      </w:r>
      <w:r w:rsidR="0060145B">
        <w:t>is</w:t>
      </w:r>
      <w:r w:rsidR="00273FFB" w:rsidRPr="00AA5B42">
        <w:t xml:space="preserve"> high and </w:t>
      </w:r>
      <w:r w:rsidR="00A473E0" w:rsidRPr="00A473E0">
        <w:rPr>
          <w:i/>
          <w:iCs/>
        </w:rPr>
        <w:t>Asellus</w:t>
      </w:r>
      <w:r w:rsidR="00273FFB" w:rsidRPr="00AA5B42">
        <w:t xml:space="preserve"> density </w:t>
      </w:r>
      <w:r w:rsidR="0060145B">
        <w:t>is</w:t>
      </w:r>
      <w:r w:rsidR="00273FFB" w:rsidRPr="00AA5B42">
        <w:t xml:space="preserve"> low</w:t>
      </w:r>
      <w:r w:rsidR="002F7291" w:rsidRPr="00AA5B42">
        <w:t xml:space="preserve"> (Figure </w:t>
      </w:r>
      <w:r w:rsidR="00AB45AE">
        <w:t>2</w:t>
      </w:r>
      <w:r w:rsidR="002F7291" w:rsidRPr="00AA5B42">
        <w:t>)</w:t>
      </w:r>
      <w:r w:rsidR="00CC591B" w:rsidRPr="00AA5B42">
        <w:t xml:space="preserve">. </w:t>
      </w:r>
      <w:r w:rsidR="00055007" w:rsidRPr="00AA5B42">
        <w:t xml:space="preserve">Exclusion by </w:t>
      </w:r>
      <w:r w:rsidR="00A473E0" w:rsidRPr="00A473E0">
        <w:rPr>
          <w:i/>
          <w:iCs/>
        </w:rPr>
        <w:t>Asellus</w:t>
      </w:r>
      <w:r w:rsidR="00055007" w:rsidRPr="00AA5B42">
        <w:t xml:space="preserve"> is the most common outcome, occurring in </w:t>
      </w:r>
      <w:r w:rsidR="00676779" w:rsidRPr="00AA5B42">
        <w:t>9</w:t>
      </w:r>
      <w:r w:rsidR="0060145B">
        <w:t>3</w:t>
      </w:r>
      <w:r w:rsidR="00676779" w:rsidRPr="00AA5B42">
        <w:t xml:space="preserve">% of simulations </w:t>
      </w:r>
      <w:r w:rsidR="0060145B">
        <w:t xml:space="preserve">and present on all 400 patches </w:t>
      </w:r>
      <w:r w:rsidR="00055007" w:rsidRPr="00AA5B42">
        <w:t xml:space="preserve">while exclusion by </w:t>
      </w:r>
      <w:r w:rsidR="00A473E0" w:rsidRPr="00A473E0">
        <w:rPr>
          <w:i/>
          <w:iCs/>
        </w:rPr>
        <w:t>Gammarus</w:t>
      </w:r>
      <w:r w:rsidR="00055007" w:rsidRPr="00AA5B42">
        <w:t xml:space="preserve"> </w:t>
      </w:r>
      <w:r w:rsidR="0060145B">
        <w:t>does occur at least once on 78</w:t>
      </w:r>
      <w:r w:rsidR="00055007" w:rsidRPr="00AA5B42">
        <w:t xml:space="preserve"> patches</w:t>
      </w:r>
      <w:r w:rsidR="00D15332" w:rsidRPr="00AA5B42">
        <w:t xml:space="preserve"> </w:t>
      </w:r>
      <w:r w:rsidR="0060145B">
        <w:t>but on</w:t>
      </w:r>
      <w:r w:rsidR="00530FA5">
        <w:t xml:space="preserve">ly in 4% of all simulations. Exclusion by </w:t>
      </w:r>
      <w:r w:rsidR="00A473E0" w:rsidRPr="00A473E0">
        <w:rPr>
          <w:i/>
          <w:iCs/>
        </w:rPr>
        <w:t>Gammarus</w:t>
      </w:r>
      <w:r w:rsidR="00530FA5">
        <w:t xml:space="preserve"> occurs </w:t>
      </w:r>
      <w:r w:rsidR="00D15332" w:rsidRPr="00AA5B42">
        <w:t xml:space="preserve">where initial densities were </w:t>
      </w:r>
      <w:r w:rsidR="00CF6D6D" w:rsidRPr="00AA5B42">
        <w:t xml:space="preserve">60-80 </w:t>
      </w:r>
      <w:r w:rsidR="00273FFB" w:rsidRPr="00AA5B42">
        <w:t>Gammarids</w:t>
      </w:r>
      <w:r w:rsidR="00CF6D6D" w:rsidRPr="00AA5B42">
        <w:t xml:space="preserve"> and 20 </w:t>
      </w:r>
      <w:proofErr w:type="spellStart"/>
      <w:r w:rsidR="002F7291" w:rsidRPr="00AA5B42">
        <w:t>Asellids</w:t>
      </w:r>
      <w:proofErr w:type="spellEnd"/>
      <w:r w:rsidR="00CF6D6D" w:rsidRPr="00AA5B42">
        <w:t>.</w:t>
      </w:r>
    </w:p>
    <w:p w14:paraId="3958D3C0" w14:textId="0C9A3DEE" w:rsidR="00F103D9" w:rsidRDefault="00B426DF" w:rsidP="00B426DF">
      <w:pPr>
        <w:spacing w:before="240"/>
      </w:pPr>
      <w:r>
        <w:rPr>
          <w:noProof/>
        </w:rPr>
        <w:drawing>
          <wp:anchor distT="0" distB="0" distL="114300" distR="114300" simplePos="0" relativeHeight="251691008" behindDoc="0" locked="0" layoutInCell="1" allowOverlap="1" wp14:anchorId="02D92E6C" wp14:editId="26B86AEB">
            <wp:simplePos x="0" y="0"/>
            <wp:positionH relativeFrom="margin">
              <wp:posOffset>487571</wp:posOffset>
            </wp:positionH>
            <wp:positionV relativeFrom="paragraph">
              <wp:posOffset>4402455</wp:posOffset>
            </wp:positionV>
            <wp:extent cx="5003165" cy="2143760"/>
            <wp:effectExtent l="0" t="0" r="6985" b="8890"/>
            <wp:wrapTopAndBottom/>
            <wp:docPr id="414261093" name="Picture 8" descr="A graph of different colored shap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261093" name="Picture 8" descr="A graph of different colored shapes&#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03165" cy="214376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86912" behindDoc="0" locked="0" layoutInCell="1" allowOverlap="1" wp14:anchorId="43BA2461" wp14:editId="3E36D2C1">
                <wp:simplePos x="0" y="0"/>
                <wp:positionH relativeFrom="margin">
                  <wp:align>left</wp:align>
                </wp:positionH>
                <wp:positionV relativeFrom="paragraph">
                  <wp:posOffset>6535179</wp:posOffset>
                </wp:positionV>
                <wp:extent cx="5804535" cy="635"/>
                <wp:effectExtent l="0" t="0" r="5715" b="635"/>
                <wp:wrapTopAndBottom/>
                <wp:docPr id="1537745646" name="Text Box 1"/>
                <wp:cNvGraphicFramePr/>
                <a:graphic xmlns:a="http://schemas.openxmlformats.org/drawingml/2006/main">
                  <a:graphicData uri="http://schemas.microsoft.com/office/word/2010/wordprocessingShape">
                    <wps:wsp>
                      <wps:cNvSpPr txBox="1"/>
                      <wps:spPr>
                        <a:xfrm>
                          <a:off x="0" y="0"/>
                          <a:ext cx="5804535" cy="635"/>
                        </a:xfrm>
                        <a:prstGeom prst="rect">
                          <a:avLst/>
                        </a:prstGeom>
                        <a:solidFill>
                          <a:prstClr val="white"/>
                        </a:solidFill>
                        <a:ln>
                          <a:noFill/>
                        </a:ln>
                      </wps:spPr>
                      <wps:txbx>
                        <w:txbxContent>
                          <w:p w14:paraId="4BAC3A73" w14:textId="38E51834" w:rsidR="00F103D9" w:rsidRPr="00DD5E52" w:rsidRDefault="00F103D9" w:rsidP="00F103D9">
                            <w:pPr>
                              <w:pStyle w:val="Caption"/>
                              <w:rPr>
                                <w:noProof/>
                                <w:sz w:val="21"/>
                                <w:szCs w:val="21"/>
                              </w:rPr>
                            </w:pPr>
                            <w:r>
                              <w:t xml:space="preserve">Figure </w:t>
                            </w:r>
                            <w:fldSimple w:instr=" SEQ Figure \* ARABIC ">
                              <w:r w:rsidR="003E147A">
                                <w:rPr>
                                  <w:noProof/>
                                </w:rPr>
                                <w:t>3</w:t>
                              </w:r>
                            </w:fldSimple>
                            <w:r>
                              <w:t xml:space="preserve">: Time to exclusion in years by </w:t>
                            </w:r>
                            <w:r w:rsidR="00A473E0" w:rsidRPr="00A473E0">
                              <w:t>Gammarus</w:t>
                            </w:r>
                            <w:r>
                              <w:t xml:space="preserve"> and </w:t>
                            </w:r>
                            <w:r w:rsidR="00A473E0" w:rsidRPr="00A473E0">
                              <w:t>Asellus</w:t>
                            </w:r>
                            <w:r>
                              <w:t xml:space="preserve"> across patches with different initial ratios of </w:t>
                            </w:r>
                            <w:r w:rsidR="00A473E0" w:rsidRPr="00A473E0">
                              <w:t>Gammarus</w:t>
                            </w:r>
                            <w:r>
                              <w:t xml:space="preserve"> and </w:t>
                            </w:r>
                            <w:r w:rsidR="00A473E0" w:rsidRPr="00A473E0">
                              <w:t>Asellus</w:t>
                            </w:r>
                            <w:r>
                              <w:t xml:space="preserve"> (dominance) in the baseline scenario.</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43BA2461" id="_x0000_s1028" type="#_x0000_t202" style="position:absolute;left:0;text-align:left;margin-left:0;margin-top:514.6pt;width:457.05pt;height:.05pt;z-index:25168691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" stroked="f">
                <v:textbox style="mso-fit-shape-to-text:t" inset="0,0,0,0">
                  <w:txbxContent>
                    <w:p w14:paraId="4BAC3A73" w14:textId="38E51834" w:rsidR="00F103D9" w:rsidRPr="00DD5E52" w:rsidRDefault="00F103D9" w:rsidP="00F103D9">
                      <w:pPr>
                        <w:pStyle w:val="Caption"/>
                        <w:rPr>
                          <w:noProof/>
                          <w:sz w:val="21"/>
                          <w:szCs w:val="21"/>
                        </w:rPr>
                      </w:pPr>
                      <w:r>
                        <w:t xml:space="preserve">Figure </w:t>
                      </w:r>
                      <w:fldSimple w:instr=" SEQ Figure \* ARABIC ">
                        <w:r w:rsidR="003E147A">
                          <w:rPr>
                            <w:noProof/>
                          </w:rPr>
                          <w:t>3</w:t>
                        </w:r>
                      </w:fldSimple>
                      <w:r>
                        <w:t xml:space="preserve">: Time to exclusion in years by </w:t>
                      </w:r>
                      <w:r w:rsidR="00A473E0" w:rsidRPr="00A473E0">
                        <w:t>Gammarus</w:t>
                      </w:r>
                      <w:r>
                        <w:t xml:space="preserve"> and </w:t>
                      </w:r>
                      <w:r w:rsidR="00A473E0" w:rsidRPr="00A473E0">
                        <w:t>Asellus</w:t>
                      </w:r>
                      <w:r>
                        <w:t xml:space="preserve"> across patches with different initial ratios of </w:t>
                      </w:r>
                      <w:r w:rsidR="00A473E0" w:rsidRPr="00A473E0">
                        <w:t>Gammarus</w:t>
                      </w:r>
                      <w:r>
                        <w:t xml:space="preserve"> and </w:t>
                      </w:r>
                      <w:r w:rsidR="00A473E0" w:rsidRPr="00A473E0">
                        <w:t>Asellus</w:t>
                      </w:r>
                      <w:r>
                        <w:t xml:space="preserve"> (dominance) in the baseline scenario.</w:t>
                      </w:r>
                    </w:p>
                  </w:txbxContent>
                </v:textbox>
                <w10:wrap type="topAndBottom" anchorx="margin"/>
              </v:shape>
            </w:pict>
          </mc:Fallback>
        </mc:AlternateContent>
      </w:r>
      <w:r w:rsidR="009D0870" w:rsidRPr="00AA5B42">
        <w:t xml:space="preserve">Exclusion of </w:t>
      </w:r>
      <w:r w:rsidR="00A473E0" w:rsidRPr="00A473E0">
        <w:rPr>
          <w:i/>
          <w:iCs/>
        </w:rPr>
        <w:t>Asellus</w:t>
      </w:r>
      <w:r w:rsidR="009D0870" w:rsidRPr="00AA5B42">
        <w:t xml:space="preserve"> by </w:t>
      </w:r>
      <w:r w:rsidR="00A473E0" w:rsidRPr="00A473E0">
        <w:rPr>
          <w:i/>
          <w:iCs/>
        </w:rPr>
        <w:t>Gammarus</w:t>
      </w:r>
      <w:r w:rsidR="009D0870" w:rsidRPr="00AA5B42">
        <w:t xml:space="preserve"> was quicker than exclusion of </w:t>
      </w:r>
      <w:r w:rsidR="00A473E0" w:rsidRPr="00A473E0">
        <w:rPr>
          <w:i/>
          <w:iCs/>
        </w:rPr>
        <w:t>Gammarus</w:t>
      </w:r>
      <w:r w:rsidR="009D0870" w:rsidRPr="00AA5B42">
        <w:t xml:space="preserve"> by </w:t>
      </w:r>
      <w:r w:rsidR="00A473E0" w:rsidRPr="00A473E0">
        <w:rPr>
          <w:i/>
          <w:iCs/>
        </w:rPr>
        <w:t>Asellus</w:t>
      </w:r>
      <w:r w:rsidR="009D0870" w:rsidRPr="00AA5B42">
        <w:t xml:space="preserve">. The median time to exclusion </w:t>
      </w:r>
      <w:r w:rsidR="003A5CC4">
        <w:t xml:space="preserve">by </w:t>
      </w:r>
      <w:r w:rsidR="00A473E0" w:rsidRPr="00A473E0">
        <w:rPr>
          <w:i/>
          <w:iCs/>
        </w:rPr>
        <w:t>Gammarus</w:t>
      </w:r>
      <w:r w:rsidR="009D0870" w:rsidRPr="00AA5B42">
        <w:t xml:space="preserve"> was 1 year (5-95%, 0.5 -2.3 years), while exclusion </w:t>
      </w:r>
      <w:r w:rsidR="003A5CC4">
        <w:t>o</w:t>
      </w:r>
      <w:r w:rsidR="009D0870" w:rsidRPr="00AA5B42">
        <w:t xml:space="preserve">f </w:t>
      </w:r>
      <w:r w:rsidR="00A473E0" w:rsidRPr="00A473E0">
        <w:rPr>
          <w:i/>
          <w:iCs/>
        </w:rPr>
        <w:t>Gammarus</w:t>
      </w:r>
      <w:r w:rsidR="009D0870" w:rsidRPr="00AA5B42">
        <w:t xml:space="preserve"> </w:t>
      </w:r>
      <w:r w:rsidR="003A5CC4">
        <w:t xml:space="preserve">by </w:t>
      </w:r>
      <w:r w:rsidR="00A473E0" w:rsidRPr="00A473E0">
        <w:rPr>
          <w:i/>
          <w:iCs/>
        </w:rPr>
        <w:t>Asellus</w:t>
      </w:r>
      <w:r w:rsidR="003A5CC4">
        <w:t xml:space="preserve"> </w:t>
      </w:r>
      <w:r w:rsidR="009D0870" w:rsidRPr="00AA5B42">
        <w:t xml:space="preserve">was 6 years (5-95%, 4.6 – 9.3 years). There was little difference in the time to exclusion between </w:t>
      </w:r>
      <w:r w:rsidR="00A473E0" w:rsidRPr="00A473E0">
        <w:rPr>
          <w:i/>
          <w:iCs/>
        </w:rPr>
        <w:t>Asellus</w:t>
      </w:r>
      <w:r w:rsidR="009D0870" w:rsidRPr="00AA5B42">
        <w:t xml:space="preserve"> and </w:t>
      </w:r>
      <w:r w:rsidR="00A473E0" w:rsidRPr="00A473E0">
        <w:rPr>
          <w:i/>
          <w:iCs/>
        </w:rPr>
        <w:t>Gammarus</w:t>
      </w:r>
      <w:r w:rsidR="009D0870" w:rsidRPr="00AA5B42">
        <w:t xml:space="preserve"> dominant scenarios, with exclusion </w:t>
      </w:r>
      <w:r w:rsidR="00F103D9">
        <w:t xml:space="preserve">by </w:t>
      </w:r>
      <w:r w:rsidR="00A473E0" w:rsidRPr="00A473E0">
        <w:rPr>
          <w:i/>
          <w:iCs/>
        </w:rPr>
        <w:t>Asellus</w:t>
      </w:r>
      <w:r w:rsidR="009D0870" w:rsidRPr="00AA5B42">
        <w:t xml:space="preserve"> quickest on </w:t>
      </w:r>
      <w:r w:rsidR="00A473E0" w:rsidRPr="00A473E0">
        <w:rPr>
          <w:i/>
          <w:iCs/>
        </w:rPr>
        <w:t>Asellus</w:t>
      </w:r>
      <w:r w:rsidR="009D0870" w:rsidRPr="00AA5B42">
        <w:t xml:space="preserve"> dominated patches and </w:t>
      </w:r>
      <w:r w:rsidR="00023590" w:rsidRPr="00AA5B42">
        <w:t>vice</w:t>
      </w:r>
      <w:r w:rsidR="009D0870" w:rsidRPr="00AA5B42">
        <w:t xml:space="preserve"> versa</w:t>
      </w:r>
      <w:r w:rsidR="00F103D9">
        <w:t xml:space="preserve"> (Figure 3)</w:t>
      </w:r>
      <w:r w:rsidR="009D0870" w:rsidRPr="00AA5B42">
        <w:t xml:space="preserve">. </w:t>
      </w:r>
    </w:p>
    <w:p w14:paraId="7B12C95A" w14:textId="5A660B96" w:rsidR="00676779" w:rsidRPr="00AA5B42" w:rsidRDefault="009945DC" w:rsidP="00AA5B42">
      <w:pPr>
        <w:pStyle w:val="Heading3"/>
      </w:pPr>
      <w:r w:rsidRPr="00AA5B42">
        <w:lastRenderedPageBreak/>
        <w:t xml:space="preserve">Reductions in </w:t>
      </w:r>
      <w:r w:rsidR="00A473E0" w:rsidRPr="00A473E0">
        <w:rPr>
          <w:i/>
          <w:iCs/>
        </w:rPr>
        <w:t>Gammarus</w:t>
      </w:r>
      <w:r w:rsidRPr="00AA5B42">
        <w:t xml:space="preserve"> Feeding</w:t>
      </w:r>
    </w:p>
    <w:p w14:paraId="097F22D7" w14:textId="79F1F9FA" w:rsidR="009945DC" w:rsidRPr="00AA5B42" w:rsidRDefault="001E4C93" w:rsidP="00AA5B42">
      <w:r>
        <w:rPr>
          <w:noProof/>
        </w:rPr>
        <w:drawing>
          <wp:anchor distT="0" distB="0" distL="114300" distR="114300" simplePos="0" relativeHeight="251692032" behindDoc="0" locked="0" layoutInCell="1" allowOverlap="1" wp14:anchorId="150EADE0" wp14:editId="1D3D4E72">
            <wp:simplePos x="0" y="0"/>
            <wp:positionH relativeFrom="margin">
              <wp:posOffset>6985</wp:posOffset>
            </wp:positionH>
            <wp:positionV relativeFrom="paragraph">
              <wp:posOffset>1893570</wp:posOffset>
            </wp:positionV>
            <wp:extent cx="5731510" cy="5094605"/>
            <wp:effectExtent l="0" t="0" r="2540" b="0"/>
            <wp:wrapTopAndBottom/>
            <wp:docPr id="141930999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31510" cy="5094605"/>
                    </a:xfrm>
                    <a:prstGeom prst="rect">
                      <a:avLst/>
                    </a:prstGeom>
                    <a:noFill/>
                    <a:ln>
                      <a:noFill/>
                    </a:ln>
                  </pic:spPr>
                </pic:pic>
              </a:graphicData>
            </a:graphic>
          </wp:anchor>
        </w:drawing>
      </w:r>
      <w:r>
        <w:rPr>
          <w:noProof/>
        </w:rPr>
        <mc:AlternateContent>
          <mc:Choice Requires="wps">
            <w:drawing>
              <wp:anchor distT="0" distB="0" distL="114300" distR="114300" simplePos="0" relativeHeight="251675648" behindDoc="0" locked="0" layoutInCell="1" allowOverlap="1" wp14:anchorId="580FAE9A" wp14:editId="68651422">
                <wp:simplePos x="0" y="0"/>
                <wp:positionH relativeFrom="margin">
                  <wp:align>center</wp:align>
                </wp:positionH>
                <wp:positionV relativeFrom="paragraph">
                  <wp:posOffset>7004685</wp:posOffset>
                </wp:positionV>
                <wp:extent cx="4998720" cy="635"/>
                <wp:effectExtent l="0" t="0" r="0" b="635"/>
                <wp:wrapTopAndBottom/>
                <wp:docPr id="22849260" name="Text Box 1"/>
                <wp:cNvGraphicFramePr/>
                <a:graphic xmlns:a="http://schemas.openxmlformats.org/drawingml/2006/main">
                  <a:graphicData uri="http://schemas.microsoft.com/office/word/2010/wordprocessingShape">
                    <wps:wsp>
                      <wps:cNvSpPr txBox="1"/>
                      <wps:spPr>
                        <a:xfrm>
                          <a:off x="0" y="0"/>
                          <a:ext cx="4998720" cy="635"/>
                        </a:xfrm>
                        <a:prstGeom prst="rect">
                          <a:avLst/>
                        </a:prstGeom>
                        <a:solidFill>
                          <a:prstClr val="white"/>
                        </a:solidFill>
                        <a:ln>
                          <a:noFill/>
                        </a:ln>
                      </wps:spPr>
                      <wps:txbx>
                        <w:txbxContent>
                          <w:p w14:paraId="5A1D8B16" w14:textId="47F2C2DC" w:rsidR="003A5CC4" w:rsidRPr="00C93B69" w:rsidRDefault="003A5CC4" w:rsidP="003A5CC4">
                            <w:pPr>
                              <w:pStyle w:val="Caption"/>
                              <w:rPr>
                                <w:noProof/>
                                <w:sz w:val="21"/>
                                <w:szCs w:val="21"/>
                              </w:rPr>
                            </w:pPr>
                            <w:r>
                              <w:t xml:space="preserve">Figure </w:t>
                            </w:r>
                            <w:fldSimple w:instr=" SEQ Figure \* ARABIC ">
                              <w:r w:rsidR="003E147A">
                                <w:rPr>
                                  <w:noProof/>
                                </w:rPr>
                                <w:t>4</w:t>
                              </w:r>
                            </w:fldSimple>
                            <w:r w:rsidR="001C20F0">
                              <w:t xml:space="preserve">: The time to exclusion (in years) under different initial conditions and </w:t>
                            </w:r>
                            <w:r w:rsidR="00A473E0" w:rsidRPr="00A473E0">
                              <w:t>Gammarus</w:t>
                            </w:r>
                            <w:r w:rsidR="001C20F0">
                              <w:t xml:space="preserve"> feeding </w:t>
                            </w:r>
                            <w:r w:rsidR="00F64928">
                              <w:t>stress</w:t>
                            </w:r>
                            <w:r w:rsidR="00107BCF">
                              <w:t xml:space="preserve"> for all patches (top) and when grouping by species initial dominance (bottom)</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580FAE9A" id="_x0000_s1029" type="#_x0000_t202" style="position:absolute;left:0;text-align:left;margin-left:0;margin-top:551.55pt;width:393.6pt;height:.05pt;z-index:251675648;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" stroked="f">
                <v:textbox style="mso-fit-shape-to-text:t" inset="0,0,0,0">
                  <w:txbxContent>
                    <w:p w14:paraId="5A1D8B16" w14:textId="47F2C2DC" w:rsidR="003A5CC4" w:rsidRPr="00C93B69" w:rsidRDefault="003A5CC4" w:rsidP="003A5CC4">
                      <w:pPr>
                        <w:pStyle w:val="Caption"/>
                        <w:rPr>
                          <w:noProof/>
                          <w:sz w:val="21"/>
                          <w:szCs w:val="21"/>
                        </w:rPr>
                      </w:pPr>
                      <w:r>
                        <w:t xml:space="preserve">Figure </w:t>
                      </w:r>
                      <w:fldSimple w:instr=" SEQ Figure \* ARABIC ">
                        <w:r w:rsidR="003E147A">
                          <w:rPr>
                            <w:noProof/>
                          </w:rPr>
                          <w:t>4</w:t>
                        </w:r>
                      </w:fldSimple>
                      <w:r w:rsidR="001C20F0">
                        <w:t xml:space="preserve">: The time to exclusion (in years) under different initial conditions and </w:t>
                      </w:r>
                      <w:r w:rsidR="00A473E0" w:rsidRPr="00A473E0">
                        <w:t>Gammarus</w:t>
                      </w:r>
                      <w:r w:rsidR="001C20F0">
                        <w:t xml:space="preserve"> feeding </w:t>
                      </w:r>
                      <w:r w:rsidR="00F64928">
                        <w:t>stress</w:t>
                      </w:r>
                      <w:r w:rsidR="00107BCF">
                        <w:t xml:space="preserve"> for all patches (top) and when grouping by species initial dominance (bottom)</w:t>
                      </w:r>
                    </w:p>
                  </w:txbxContent>
                </v:textbox>
                <w10:wrap type="topAndBottom" anchorx="margin"/>
              </v:shape>
            </w:pict>
          </mc:Fallback>
        </mc:AlternateContent>
      </w:r>
      <w:r w:rsidR="00B90AD0">
        <w:t>I</w:t>
      </w:r>
      <w:r w:rsidR="009945DC" w:rsidRPr="00AA5B42">
        <w:t xml:space="preserve">ncreasing </w:t>
      </w:r>
      <w:r w:rsidR="00A473E0" w:rsidRPr="00A473E0">
        <w:rPr>
          <w:i/>
          <w:iCs/>
        </w:rPr>
        <w:t>Gammarus</w:t>
      </w:r>
      <w:r w:rsidR="009945DC" w:rsidRPr="00AA5B42">
        <w:t xml:space="preserve"> feeding stress</w:t>
      </w:r>
      <w:r w:rsidR="00B90AD0">
        <w:t xml:space="preserve"> leads to </w:t>
      </w:r>
      <w:r w:rsidR="006F73F2">
        <w:t>exclusion on all</w:t>
      </w:r>
      <w:r w:rsidR="009945DC" w:rsidRPr="00AA5B42">
        <w:t xml:space="preserve"> patches </w:t>
      </w:r>
      <w:r w:rsidR="00AC58B8">
        <w:t xml:space="preserve">from the </w:t>
      </w:r>
      <w:r w:rsidR="009945DC" w:rsidRPr="00AA5B42">
        <w:t>10</w:t>
      </w:r>
      <w:r w:rsidR="00BD3761" w:rsidRPr="00AA5B42">
        <w:t xml:space="preserve">% </w:t>
      </w:r>
      <w:r w:rsidR="00A473E0" w:rsidRPr="00A473E0">
        <w:rPr>
          <w:i/>
          <w:iCs/>
        </w:rPr>
        <w:t>Gammarus</w:t>
      </w:r>
      <w:r w:rsidR="009945DC" w:rsidRPr="00AA5B42">
        <w:t xml:space="preserve"> feeding stress</w:t>
      </w:r>
      <w:r w:rsidR="00AC58B8">
        <w:t xml:space="preserve"> level (Figure 4)</w:t>
      </w:r>
      <w:r w:rsidR="009945DC" w:rsidRPr="00AA5B42">
        <w:t xml:space="preserve">. </w:t>
      </w:r>
      <w:r w:rsidR="00B90AD0">
        <w:t xml:space="preserve">Increasing feeding stress also reduces the time to exclusion of </w:t>
      </w:r>
      <w:r w:rsidR="00A473E0" w:rsidRPr="00A473E0">
        <w:rPr>
          <w:i/>
          <w:iCs/>
        </w:rPr>
        <w:t>Gammarus</w:t>
      </w:r>
      <w:r w:rsidR="00F103D9">
        <w:rPr>
          <w:i/>
          <w:iCs/>
        </w:rPr>
        <w:t xml:space="preserve"> </w:t>
      </w:r>
      <w:r w:rsidR="00F103D9">
        <w:t xml:space="preserve">by </w:t>
      </w:r>
      <w:r w:rsidR="00A473E0" w:rsidRPr="00A473E0">
        <w:rPr>
          <w:i/>
          <w:iCs/>
        </w:rPr>
        <w:t>Asellus</w:t>
      </w:r>
      <w:r w:rsidR="009945DC" w:rsidRPr="00AA5B42">
        <w:t xml:space="preserve"> decreases with increasing </w:t>
      </w:r>
      <w:r w:rsidR="00A473E0" w:rsidRPr="00A473E0">
        <w:rPr>
          <w:i/>
          <w:iCs/>
        </w:rPr>
        <w:t>Gammarus</w:t>
      </w:r>
      <w:r w:rsidR="009945DC" w:rsidRPr="00AA5B42">
        <w:t xml:space="preserve"> feeding stres</w:t>
      </w:r>
      <w:r w:rsidR="00B90AD0">
        <w:t xml:space="preserve">s, while </w:t>
      </w:r>
      <w:r w:rsidR="009945DC" w:rsidRPr="00AA5B42">
        <w:t xml:space="preserve">the variation across patches also decreasing with increasing </w:t>
      </w:r>
      <w:r w:rsidR="00B90AD0">
        <w:t>feeding stress</w:t>
      </w:r>
      <w:r w:rsidR="009945DC" w:rsidRPr="00AA5B42">
        <w:t xml:space="preserve">.  At a 30% reduction, </w:t>
      </w:r>
      <w:r w:rsidR="00A473E0" w:rsidRPr="00A473E0">
        <w:rPr>
          <w:i/>
          <w:iCs/>
        </w:rPr>
        <w:t>Asellus</w:t>
      </w:r>
      <w:r w:rsidR="009945DC" w:rsidRPr="00AA5B42">
        <w:t xml:space="preserve"> excluded </w:t>
      </w:r>
      <w:r w:rsidR="00A473E0" w:rsidRPr="00A473E0">
        <w:rPr>
          <w:i/>
          <w:iCs/>
        </w:rPr>
        <w:t>Gammarus</w:t>
      </w:r>
      <w:r w:rsidR="009945DC" w:rsidRPr="00AA5B42">
        <w:t xml:space="preserve"> in all scenarios with time to exclusion falling to 1.8 years (5-95% 1.2 - 3 years). At the 50% stress level, time to exclusion of </w:t>
      </w:r>
      <w:r w:rsidR="00A473E0" w:rsidRPr="00A473E0">
        <w:rPr>
          <w:i/>
          <w:iCs/>
        </w:rPr>
        <w:t>Gammarus</w:t>
      </w:r>
      <w:r w:rsidR="009945DC" w:rsidRPr="00AA5B42">
        <w:t xml:space="preserve"> </w:t>
      </w:r>
      <w:r w:rsidR="00F103D9">
        <w:t xml:space="preserve">by </w:t>
      </w:r>
      <w:r w:rsidR="00A473E0" w:rsidRPr="00A473E0">
        <w:rPr>
          <w:i/>
          <w:iCs/>
        </w:rPr>
        <w:t>Asellus</w:t>
      </w:r>
      <w:r w:rsidR="00F103D9">
        <w:rPr>
          <w:i/>
          <w:iCs/>
        </w:rPr>
        <w:t xml:space="preserve"> </w:t>
      </w:r>
      <w:r w:rsidR="009945DC" w:rsidRPr="00AA5B42">
        <w:t>was 0.8 years (5-95%, 0.4 - 1.1 years)</w:t>
      </w:r>
      <w:r>
        <w:t xml:space="preserve">. </w:t>
      </w:r>
      <w:r w:rsidRPr="00AA5B42">
        <w:t xml:space="preserve">When grouping the patches by </w:t>
      </w:r>
      <w:r>
        <w:t>species initial dominance</w:t>
      </w:r>
      <w:r w:rsidRPr="00AA5B42">
        <w:t>,</w:t>
      </w:r>
      <w:r>
        <w:t xml:space="preserve"> </w:t>
      </w:r>
      <w:r w:rsidR="00A473E0" w:rsidRPr="00A473E0">
        <w:rPr>
          <w:i/>
          <w:iCs/>
        </w:rPr>
        <w:t>Gammarus</w:t>
      </w:r>
      <w:r>
        <w:t xml:space="preserve"> only persists in </w:t>
      </w:r>
      <w:r w:rsidR="00A473E0" w:rsidRPr="00A473E0">
        <w:rPr>
          <w:i/>
          <w:iCs/>
        </w:rPr>
        <w:t>Gammarus</w:t>
      </w:r>
      <w:r>
        <w:t xml:space="preserve"> dominant patches at the 10 and 20% effect level</w:t>
      </w:r>
      <w:r w:rsidR="00432CDD">
        <w:t xml:space="preserve"> (Figure 4)</w:t>
      </w:r>
    </w:p>
    <w:p w14:paraId="5AAF1877" w14:textId="40F0B909" w:rsidR="003D602D" w:rsidRPr="00F103D9" w:rsidRDefault="003D602D" w:rsidP="00F103D9"/>
    <w:p w14:paraId="46ACB3FE" w14:textId="77777777" w:rsidR="001E4C93" w:rsidRDefault="001E4C93">
      <w:pPr>
        <w:jc w:val="left"/>
        <w:rPr>
          <w:rFonts w:eastAsiaTheme="majorEastAsia" w:cstheme="majorBidi"/>
          <w:color w:val="0F4761" w:themeColor="accent1" w:themeShade="BF"/>
          <w:sz w:val="24"/>
          <w:szCs w:val="24"/>
        </w:rPr>
      </w:pPr>
      <w:r>
        <w:br w:type="page"/>
      </w:r>
    </w:p>
    <w:p w14:paraId="03294D99" w14:textId="2365DBA1" w:rsidR="009945DC" w:rsidRPr="00AA5B42" w:rsidRDefault="00C47C16" w:rsidP="00AA5B42">
      <w:pPr>
        <w:pStyle w:val="Heading3"/>
      </w:pPr>
      <w:r w:rsidRPr="00AA5B42">
        <w:lastRenderedPageBreak/>
        <w:t xml:space="preserve">Reduction in </w:t>
      </w:r>
      <w:r w:rsidR="00A473E0" w:rsidRPr="00A473E0">
        <w:rPr>
          <w:i/>
          <w:iCs/>
        </w:rPr>
        <w:t>Asellus</w:t>
      </w:r>
      <w:r w:rsidRPr="00AA5B42">
        <w:t xml:space="preserve"> feeding</w:t>
      </w:r>
    </w:p>
    <w:p w14:paraId="7AB4FB32" w14:textId="4275778E" w:rsidR="001C20F0" w:rsidRDefault="00B426DF" w:rsidP="00B426DF">
      <w:r>
        <w:rPr>
          <w:noProof/>
        </w:rPr>
        <w:drawing>
          <wp:anchor distT="0" distB="0" distL="114300" distR="114300" simplePos="0" relativeHeight="251693056" behindDoc="0" locked="0" layoutInCell="1" allowOverlap="1" wp14:anchorId="34C17592" wp14:editId="3F0AA579">
            <wp:simplePos x="0" y="0"/>
            <wp:positionH relativeFrom="column">
              <wp:posOffset>0</wp:posOffset>
            </wp:positionH>
            <wp:positionV relativeFrom="paragraph">
              <wp:posOffset>1267241</wp:posOffset>
            </wp:positionV>
            <wp:extent cx="5731510" cy="2149475"/>
            <wp:effectExtent l="0" t="0" r="2540" b="3175"/>
            <wp:wrapTopAndBottom/>
            <wp:docPr id="203504792" name="Picture 5" descr="A close-up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504792" name="Picture 5" descr="A close-up of a graph&#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31510" cy="2149475"/>
                    </a:xfrm>
                    <a:prstGeom prst="rect">
                      <a:avLst/>
                    </a:prstGeom>
                    <a:noFill/>
                    <a:ln>
                      <a:noFill/>
                    </a:ln>
                  </pic:spPr>
                </pic:pic>
              </a:graphicData>
            </a:graphic>
          </wp:anchor>
        </w:drawing>
      </w:r>
      <w:r w:rsidR="00C47C16" w:rsidRPr="00AA5B42">
        <w:t xml:space="preserve">The occurrence of coexistence increases with 10% </w:t>
      </w:r>
      <w:r w:rsidR="00A473E0" w:rsidRPr="00A473E0">
        <w:rPr>
          <w:i/>
          <w:iCs/>
        </w:rPr>
        <w:t>Asellus</w:t>
      </w:r>
      <w:r w:rsidR="00C47C16" w:rsidRPr="00AA5B42">
        <w:t xml:space="preserve"> feeding stress as </w:t>
      </w:r>
      <w:r w:rsidR="00A473E0" w:rsidRPr="00A473E0">
        <w:rPr>
          <w:i/>
          <w:iCs/>
        </w:rPr>
        <w:t>Gammarus</w:t>
      </w:r>
      <w:r w:rsidR="00C47C16" w:rsidRPr="00AA5B42">
        <w:t xml:space="preserve"> relative abundance also increases.  Here, coexistence occurs </w:t>
      </w:r>
      <w:r w:rsidR="00CA58B7" w:rsidRPr="00AA5B42">
        <w:t>in 68</w:t>
      </w:r>
      <w:r w:rsidR="00C47C16" w:rsidRPr="00AA5B42">
        <w:t>% of all simulations on 378 of 400 patches</w:t>
      </w:r>
      <w:r w:rsidR="009632F0" w:rsidRPr="00AA5B42">
        <w:t xml:space="preserve">. </w:t>
      </w:r>
      <w:r w:rsidR="00C47C16" w:rsidRPr="00AA5B42">
        <w:t xml:space="preserve">With 20% </w:t>
      </w:r>
      <w:r w:rsidR="00A473E0" w:rsidRPr="00A473E0">
        <w:rPr>
          <w:i/>
          <w:iCs/>
        </w:rPr>
        <w:t>Asellus</w:t>
      </w:r>
      <w:r w:rsidR="00C47C16" w:rsidRPr="00AA5B42">
        <w:t xml:space="preserve"> feeding stress, increases, occurring in 1% of all simulations on 119 of 400 patches. Here, </w:t>
      </w:r>
      <w:r w:rsidR="00A473E0" w:rsidRPr="00A473E0">
        <w:rPr>
          <w:i/>
          <w:iCs/>
        </w:rPr>
        <w:t>Gammarus</w:t>
      </w:r>
      <w:r w:rsidR="00C47C16" w:rsidRPr="00AA5B42">
        <w:t xml:space="preserve"> is the dominant species in all patches. </w:t>
      </w:r>
      <w:r w:rsidR="009632F0" w:rsidRPr="00AA5B42">
        <w:t xml:space="preserve"> </w:t>
      </w:r>
      <w:r w:rsidR="00C47C16" w:rsidRPr="00AA5B42">
        <w:t xml:space="preserve">At the 30% </w:t>
      </w:r>
      <w:r w:rsidR="00A473E0" w:rsidRPr="00A473E0">
        <w:rPr>
          <w:i/>
          <w:iCs/>
        </w:rPr>
        <w:t>Asellus</w:t>
      </w:r>
      <w:r w:rsidR="00C47C16" w:rsidRPr="00AA5B42">
        <w:t xml:space="preserve"> feeding stress, exclusion occurs in all patches</w:t>
      </w:r>
      <w:r w:rsidR="00107BCF">
        <w:t xml:space="preserve"> (Figure </w:t>
      </w:r>
      <w:r w:rsidR="001E4C93">
        <w:t>5</w:t>
      </w:r>
      <w:r w:rsidR="00107BCF">
        <w:t>)</w:t>
      </w:r>
    </w:p>
    <w:p w14:paraId="3EE8ED94" w14:textId="46407433" w:rsidR="00F052F4" w:rsidRDefault="001C20F0" w:rsidP="001C129E">
      <w:pPr>
        <w:pStyle w:val="Caption"/>
      </w:pPr>
      <w:r>
        <w:t xml:space="preserve">Figure </w:t>
      </w:r>
      <w:fldSimple w:instr=" SEQ Figure \* ARABIC ">
        <w:r w:rsidR="003E147A">
          <w:rPr>
            <w:noProof/>
          </w:rPr>
          <w:t>5</w:t>
        </w:r>
      </w:fldSimple>
      <w:r>
        <w:t xml:space="preserve">: Percentage occurrence of coexistence across varying initial population sizes with increasing </w:t>
      </w:r>
      <w:r w:rsidR="00A473E0" w:rsidRPr="00A473E0">
        <w:t>Asellus</w:t>
      </w:r>
      <w:r>
        <w:t xml:space="preserve"> feeding </w:t>
      </w:r>
      <w:r w:rsidR="00F64928">
        <w:t>stress</w:t>
      </w:r>
      <w:r>
        <w:t xml:space="preserve">. The black line represents the point where initial densities of </w:t>
      </w:r>
      <w:r w:rsidR="00A473E0" w:rsidRPr="00A473E0">
        <w:t>Gammarus</w:t>
      </w:r>
      <w:r>
        <w:t xml:space="preserve"> and </w:t>
      </w:r>
      <w:r w:rsidR="00A473E0" w:rsidRPr="00A473E0">
        <w:t>Asellus</w:t>
      </w:r>
      <w:r>
        <w:t xml:space="preserve"> are equal (i.e. 1:1)</w:t>
      </w:r>
    </w:p>
    <w:p w14:paraId="66AE74B3" w14:textId="2782B6D6" w:rsidR="00C47C16" w:rsidRDefault="00AB45AE" w:rsidP="00AA5B42">
      <w:r>
        <w:rPr>
          <w:noProof/>
        </w:rPr>
        <mc:AlternateContent>
          <mc:Choice Requires="wps">
            <w:drawing>
              <wp:anchor distT="0" distB="0" distL="114300" distR="114300" simplePos="0" relativeHeight="251684864" behindDoc="0" locked="0" layoutInCell="1" allowOverlap="1" wp14:anchorId="2F5013B5" wp14:editId="767CE63B">
                <wp:simplePos x="0" y="0"/>
                <wp:positionH relativeFrom="column">
                  <wp:posOffset>133350</wp:posOffset>
                </wp:positionH>
                <wp:positionV relativeFrom="paragraph">
                  <wp:posOffset>4227195</wp:posOffset>
                </wp:positionV>
                <wp:extent cx="5731510" cy="635"/>
                <wp:effectExtent l="0" t="0" r="0" b="0"/>
                <wp:wrapTopAndBottom/>
                <wp:docPr id="940934755" name="Text Box 1"/>
                <wp:cNvGraphicFramePr/>
                <a:graphic xmlns:a="http://schemas.openxmlformats.org/drawingml/2006/main">
                  <a:graphicData uri="http://schemas.microsoft.com/office/word/2010/wordprocessingShape">
                    <wps:wsp>
                      <wps:cNvSpPr txBox="1"/>
                      <wps:spPr>
                        <a:xfrm>
                          <a:off x="0" y="0"/>
                          <a:ext cx="5731510" cy="635"/>
                        </a:xfrm>
                        <a:prstGeom prst="rect">
                          <a:avLst/>
                        </a:prstGeom>
                        <a:solidFill>
                          <a:prstClr val="white"/>
                        </a:solidFill>
                        <a:ln>
                          <a:noFill/>
                        </a:ln>
                      </wps:spPr>
                      <wps:txbx>
                        <w:txbxContent>
                          <w:p w14:paraId="6FD286E4" w14:textId="39479BB8" w:rsidR="00AB45AE" w:rsidRPr="00D115A6" w:rsidRDefault="00AB45AE" w:rsidP="00AB45AE">
                            <w:pPr>
                              <w:pStyle w:val="Caption"/>
                              <w:rPr>
                                <w:noProof/>
                                <w:sz w:val="21"/>
                                <w:szCs w:val="21"/>
                              </w:rPr>
                            </w:pPr>
                            <w:r>
                              <w:t xml:space="preserve">Figure </w:t>
                            </w:r>
                            <w:fldSimple w:instr=" SEQ Figure \* ARABIC ">
                              <w:r w:rsidR="003E147A">
                                <w:rPr>
                                  <w:noProof/>
                                </w:rPr>
                                <w:t>6</w:t>
                              </w:r>
                            </w:fldSimple>
                            <w:r>
                              <w:t xml:space="preserve">: The time to exclusion (in years) under different initial conditions and </w:t>
                            </w:r>
                            <w:r w:rsidR="00A473E0" w:rsidRPr="00A473E0">
                              <w:t>Asellus</w:t>
                            </w:r>
                            <w:r>
                              <w:t xml:space="preserve"> feeding </w:t>
                            </w:r>
                            <w:r w:rsidR="00F64928">
                              <w:t>stress</w:t>
                            </w:r>
                            <w:r>
                              <w: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2F5013B5" id="_x0000_s1030" type="#_x0000_t202" style="position:absolute;left:0;text-align:left;margin-left:10.5pt;margin-top:332.85pt;width:451.3pt;height:.05pt;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" stroked="f">
                <v:textbox style="mso-fit-shape-to-text:t" inset="0,0,0,0">
                  <w:txbxContent>
                    <w:p w14:paraId="6FD286E4" w14:textId="39479BB8" w:rsidR="00AB45AE" w:rsidRPr="00D115A6" w:rsidRDefault="00AB45AE" w:rsidP="00AB45AE">
                      <w:pPr>
                        <w:pStyle w:val="Caption"/>
                        <w:rPr>
                          <w:noProof/>
                          <w:sz w:val="21"/>
                          <w:szCs w:val="21"/>
                        </w:rPr>
                      </w:pPr>
                      <w:r>
                        <w:t xml:space="preserve">Figure </w:t>
                      </w:r>
                      <w:fldSimple w:instr=" SEQ Figure \* ARABIC ">
                        <w:r w:rsidR="003E147A">
                          <w:rPr>
                            <w:noProof/>
                          </w:rPr>
                          <w:t>6</w:t>
                        </w:r>
                      </w:fldSimple>
                      <w:r>
                        <w:t xml:space="preserve">: The time to exclusion (in years) under different initial conditions and </w:t>
                      </w:r>
                      <w:r w:rsidR="00A473E0" w:rsidRPr="00A473E0">
                        <w:t>Asellus</w:t>
                      </w:r>
                      <w:r>
                        <w:t xml:space="preserve"> feeding </w:t>
                      </w:r>
                      <w:r w:rsidR="00F64928">
                        <w:t>stress</w:t>
                      </w:r>
                      <w:r>
                        <w:t>.</w:t>
                      </w:r>
                    </w:p>
                  </w:txbxContent>
                </v:textbox>
                <w10:wrap type="topAndBottom"/>
              </v:shape>
            </w:pict>
          </mc:Fallback>
        </mc:AlternateContent>
      </w:r>
      <w:r>
        <w:rPr>
          <w:noProof/>
        </w:rPr>
        <w:drawing>
          <wp:anchor distT="0" distB="0" distL="114300" distR="114300" simplePos="0" relativeHeight="251669504" behindDoc="0" locked="0" layoutInCell="1" allowOverlap="1" wp14:anchorId="4AD10EAF" wp14:editId="1EF7E27C">
            <wp:simplePos x="0" y="0"/>
            <wp:positionH relativeFrom="margin">
              <wp:align>center</wp:align>
            </wp:positionH>
            <wp:positionV relativeFrom="paragraph">
              <wp:posOffset>1360170</wp:posOffset>
            </wp:positionV>
            <wp:extent cx="5295900" cy="2824480"/>
            <wp:effectExtent l="0" t="0" r="0" b="0"/>
            <wp:wrapTopAndBottom/>
            <wp:docPr id="1801954175" name="Picture 9" descr="A graph of different colored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1954175" name="Picture 9" descr="A graph of different colored lines&#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95900" cy="28244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47C16" w:rsidRPr="00AA5B42">
        <w:t xml:space="preserve">Time to exclusion </w:t>
      </w:r>
      <w:r w:rsidR="00B90AD0">
        <w:t>of</w:t>
      </w:r>
      <w:r w:rsidR="00B90AD0" w:rsidRPr="00AA5B42">
        <w:t xml:space="preserve"> </w:t>
      </w:r>
      <w:r w:rsidR="00A473E0" w:rsidRPr="00A473E0">
        <w:rPr>
          <w:i/>
          <w:iCs/>
        </w:rPr>
        <w:t>Asellus</w:t>
      </w:r>
      <w:r w:rsidR="00B90AD0" w:rsidRPr="00AA5B42">
        <w:t xml:space="preserve"> </w:t>
      </w:r>
      <w:r w:rsidR="00B90AD0">
        <w:t xml:space="preserve">by </w:t>
      </w:r>
      <w:r w:rsidR="00A473E0" w:rsidRPr="00A473E0">
        <w:rPr>
          <w:i/>
          <w:iCs/>
        </w:rPr>
        <w:t>Gammarus</w:t>
      </w:r>
      <w:r w:rsidR="00B90AD0">
        <w:t xml:space="preserve"> </w:t>
      </w:r>
      <w:r w:rsidR="00C47C16" w:rsidRPr="00AA5B42">
        <w:t>decreases with increasing feeding stress</w:t>
      </w:r>
      <w:r w:rsidR="001E4C93">
        <w:t xml:space="preserve"> (Figure 6)</w:t>
      </w:r>
      <w:r w:rsidR="00C47C16" w:rsidRPr="00AA5B42">
        <w:t xml:space="preserve">. At 10% </w:t>
      </w:r>
      <w:r w:rsidR="00A473E0" w:rsidRPr="00A473E0">
        <w:rPr>
          <w:i/>
          <w:iCs/>
        </w:rPr>
        <w:t>Asellus</w:t>
      </w:r>
      <w:r w:rsidR="00C47C16" w:rsidRPr="00AA5B42">
        <w:t xml:space="preserve"> feeding stress, exclusion of </w:t>
      </w:r>
      <w:r w:rsidR="00A473E0" w:rsidRPr="00A473E0">
        <w:rPr>
          <w:i/>
          <w:iCs/>
        </w:rPr>
        <w:t>Gammarus</w:t>
      </w:r>
      <w:r w:rsidR="00C47C16" w:rsidRPr="00AA5B42">
        <w:t xml:space="preserve"> only occurs on </w:t>
      </w:r>
      <w:r w:rsidR="00A473E0" w:rsidRPr="00A473E0">
        <w:rPr>
          <w:i/>
          <w:iCs/>
        </w:rPr>
        <w:t>Asellus</w:t>
      </w:r>
      <w:r w:rsidR="00C47C16" w:rsidRPr="00AA5B42">
        <w:t xml:space="preserve"> dominated patches with time to exclusion by </w:t>
      </w:r>
      <w:r w:rsidR="00A473E0" w:rsidRPr="00A473E0">
        <w:rPr>
          <w:i/>
          <w:iCs/>
        </w:rPr>
        <w:t>Asellus</w:t>
      </w:r>
      <w:r w:rsidR="00C47C16" w:rsidRPr="00AA5B42">
        <w:t xml:space="preserve"> increasing to 9.7 years.</w:t>
      </w:r>
      <w:r w:rsidR="009632F0" w:rsidRPr="00AA5B42">
        <w:t xml:space="preserve"> </w:t>
      </w:r>
      <w:r w:rsidR="00C47C16" w:rsidRPr="00AA5B42">
        <w:t xml:space="preserve">With 20% </w:t>
      </w:r>
      <w:r w:rsidR="000355DD">
        <w:t>f</w:t>
      </w:r>
      <w:r w:rsidR="00C47C16" w:rsidRPr="00AA5B42">
        <w:t xml:space="preserve">eeding stress of </w:t>
      </w:r>
      <w:r w:rsidR="00A473E0" w:rsidRPr="00A473E0">
        <w:rPr>
          <w:i/>
          <w:iCs/>
        </w:rPr>
        <w:t>Asellus</w:t>
      </w:r>
      <w:r w:rsidR="00C47C16" w:rsidRPr="00AA5B42">
        <w:t xml:space="preserve">, </w:t>
      </w:r>
      <w:r w:rsidR="00A473E0" w:rsidRPr="00A473E0">
        <w:rPr>
          <w:i/>
          <w:iCs/>
        </w:rPr>
        <w:t>Gammarus</w:t>
      </w:r>
      <w:r w:rsidR="00C47C16" w:rsidRPr="00AA5B42">
        <w:t xml:space="preserve"> excluded </w:t>
      </w:r>
      <w:r w:rsidR="00A473E0" w:rsidRPr="00A473E0">
        <w:rPr>
          <w:i/>
          <w:iCs/>
        </w:rPr>
        <w:t>Asellus</w:t>
      </w:r>
      <w:r w:rsidR="00C47C16" w:rsidRPr="00AA5B42">
        <w:t xml:space="preserve"> in all scenarios with exclusion time ranging from 1.6 years (5-95% 0.6 – 7.12 years), with time to exclusion greater on </w:t>
      </w:r>
      <w:r w:rsidR="00A473E0" w:rsidRPr="00A473E0">
        <w:rPr>
          <w:i/>
          <w:iCs/>
        </w:rPr>
        <w:t>Asellus</w:t>
      </w:r>
      <w:r w:rsidR="00C47C16" w:rsidRPr="00AA5B42">
        <w:t xml:space="preserve"> domina</w:t>
      </w:r>
      <w:r w:rsidR="00432CDD">
        <w:t>nt patches</w:t>
      </w:r>
      <w:r w:rsidR="00C47C16" w:rsidRPr="00AA5B42">
        <w:t>. This fell to 0.33 years (9-95%, 0.2 -</w:t>
      </w:r>
      <w:r w:rsidR="00CA58B7" w:rsidRPr="00AA5B42">
        <w:t xml:space="preserve"> </w:t>
      </w:r>
      <w:r w:rsidR="00C47C16" w:rsidRPr="00AA5B42">
        <w:t xml:space="preserve">1.6 years) with 50% </w:t>
      </w:r>
      <w:r w:rsidR="00A473E0" w:rsidRPr="00A473E0">
        <w:rPr>
          <w:i/>
          <w:iCs/>
        </w:rPr>
        <w:t>Asellus</w:t>
      </w:r>
      <w:r w:rsidR="00C47C16" w:rsidRPr="00AA5B42">
        <w:t xml:space="preserve"> feeding stress</w:t>
      </w:r>
      <w:r w:rsidR="00652EE8">
        <w:t xml:space="preserve">. </w:t>
      </w:r>
    </w:p>
    <w:p w14:paraId="35469518" w14:textId="4E2361F9" w:rsidR="00AB45AE" w:rsidRDefault="00AB45AE" w:rsidP="00AB45AE">
      <w:pPr>
        <w:rPr>
          <w:i/>
          <w:iCs/>
          <w:color w:val="0E2841" w:themeColor="text2"/>
          <w:sz w:val="18"/>
          <w:szCs w:val="18"/>
        </w:rPr>
      </w:pPr>
    </w:p>
    <w:p w14:paraId="32DBC09A" w14:textId="5933DA32" w:rsidR="00C47C16" w:rsidRPr="00AA5B42" w:rsidRDefault="00C47C16" w:rsidP="00AB45AE">
      <w:pPr>
        <w:pStyle w:val="Heading3"/>
      </w:pPr>
      <w:r w:rsidRPr="00AA5B42">
        <w:t xml:space="preserve">Increasing absolute </w:t>
      </w:r>
      <w:r w:rsidR="00AA5B42" w:rsidRPr="00AA5B42">
        <w:t>stress</w:t>
      </w:r>
    </w:p>
    <w:p w14:paraId="1DCC629C" w14:textId="015D4BBD" w:rsidR="003A5CC4" w:rsidRDefault="003E147A" w:rsidP="00B426DF">
      <w:r w:rsidRPr="006B09E3">
        <w:rPr>
          <w:noProof/>
        </w:rPr>
        <w:drawing>
          <wp:anchor distT="0" distB="0" distL="114300" distR="114300" simplePos="0" relativeHeight="251688960" behindDoc="0" locked="0" layoutInCell="1" allowOverlap="1" wp14:anchorId="529EA106" wp14:editId="3C7576DA">
            <wp:simplePos x="0" y="0"/>
            <wp:positionH relativeFrom="margin">
              <wp:align>right</wp:align>
            </wp:positionH>
            <wp:positionV relativeFrom="paragraph">
              <wp:posOffset>808990</wp:posOffset>
            </wp:positionV>
            <wp:extent cx="5731510" cy="2149475"/>
            <wp:effectExtent l="0" t="0" r="2540" b="3175"/>
            <wp:wrapTopAndBottom/>
            <wp:docPr id="149693022" name="Picture 4" descr="A close-up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693022" name="Picture 4" descr="A close-up of a graph&#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31510" cy="2149475"/>
                    </a:xfrm>
                    <a:prstGeom prst="rect">
                      <a:avLst/>
                    </a:prstGeom>
                    <a:noFill/>
                    <a:ln>
                      <a:noFill/>
                    </a:ln>
                  </pic:spPr>
                </pic:pic>
              </a:graphicData>
            </a:graphic>
          </wp:anchor>
        </w:drawing>
      </w:r>
      <w:r w:rsidR="00C47C16" w:rsidRPr="00AA5B42">
        <w:t>Reduction</w:t>
      </w:r>
      <w:r w:rsidR="001E4C93">
        <w:t xml:space="preserve"> in</w:t>
      </w:r>
      <w:r w:rsidR="00C47C16" w:rsidRPr="00AA5B42">
        <w:t xml:space="preserve"> feeding rates of both species </w:t>
      </w:r>
      <w:r w:rsidR="00AA5B42" w:rsidRPr="00AA5B42">
        <w:t xml:space="preserve">(absolute stress) </w:t>
      </w:r>
      <w:r w:rsidR="00C47C16" w:rsidRPr="00AA5B42">
        <w:t>resulted in an increased occurrence of coexistence</w:t>
      </w:r>
      <w:r w:rsidR="001E4C93">
        <w:t xml:space="preserve"> (Figure 7)</w:t>
      </w:r>
      <w:r w:rsidR="00C47C16" w:rsidRPr="00AA5B42">
        <w:t xml:space="preserve">. </w:t>
      </w:r>
      <w:r w:rsidR="009632F0" w:rsidRPr="00AA5B42">
        <w:t xml:space="preserve"> </w:t>
      </w:r>
      <w:r w:rsidR="00C47C16" w:rsidRPr="00AA5B42">
        <w:t xml:space="preserve">Coexistence increased from 3% in the baseline 9% at the 10% stress level and to occurring </w:t>
      </w:r>
      <w:r w:rsidR="009632F0" w:rsidRPr="00AA5B42">
        <w:t>on all patches</w:t>
      </w:r>
      <w:r w:rsidR="00C47C16" w:rsidRPr="00AA5B42">
        <w:t xml:space="preserve"> </w:t>
      </w:r>
      <w:r w:rsidR="009632F0" w:rsidRPr="00AA5B42">
        <w:t xml:space="preserve">and in 93% of simulations </w:t>
      </w:r>
      <w:r w:rsidR="00C47C16" w:rsidRPr="00AA5B42">
        <w:t>at the 50% effect level</w:t>
      </w:r>
      <w:r w:rsidR="006B09E3">
        <w:t>.</w:t>
      </w:r>
    </w:p>
    <w:p w14:paraId="2767B247" w14:textId="422C9D92" w:rsidR="006B09E3" w:rsidRPr="00AA5B42" w:rsidRDefault="003A5CC4" w:rsidP="00F103D9">
      <w:pPr>
        <w:pStyle w:val="Caption"/>
      </w:pPr>
      <w:r>
        <w:t xml:space="preserve">Figure </w:t>
      </w:r>
      <w:fldSimple w:instr=" SEQ Figure \* ARABIC ">
        <w:r w:rsidR="003E147A">
          <w:rPr>
            <w:noProof/>
          </w:rPr>
          <w:t>7</w:t>
        </w:r>
      </w:fldSimple>
      <w:r w:rsidR="001C20F0">
        <w:t xml:space="preserve">: Percentage occurrence of coexistence across varying initial population sizes with increasing absolute feeding </w:t>
      </w:r>
      <w:r w:rsidR="00F64928">
        <w:t>stress</w:t>
      </w:r>
      <w:r w:rsidR="001C20F0">
        <w:t xml:space="preserve">. The black line represents the point where initial densities of </w:t>
      </w:r>
      <w:r w:rsidR="00A473E0" w:rsidRPr="00A473E0">
        <w:t>Gammarus</w:t>
      </w:r>
      <w:r w:rsidR="001C20F0">
        <w:t xml:space="preserve"> and </w:t>
      </w:r>
      <w:r w:rsidR="00A473E0" w:rsidRPr="00A473E0">
        <w:t>Asellus</w:t>
      </w:r>
      <w:r w:rsidR="001C20F0">
        <w:t xml:space="preserve"> are equal (i.e. 1:1)</w:t>
      </w:r>
    </w:p>
    <w:p w14:paraId="5EB1C644" w14:textId="272FF6B6" w:rsidR="003E147A" w:rsidRDefault="00B426DF" w:rsidP="00B426DF">
      <w:r>
        <w:rPr>
          <w:noProof/>
        </w:rPr>
        <w:drawing>
          <wp:anchor distT="0" distB="0" distL="114300" distR="114300" simplePos="0" relativeHeight="251694080" behindDoc="0" locked="0" layoutInCell="1" allowOverlap="1" wp14:anchorId="0E21D874" wp14:editId="76E00FDC">
            <wp:simplePos x="0" y="0"/>
            <wp:positionH relativeFrom="column">
              <wp:posOffset>0</wp:posOffset>
            </wp:positionH>
            <wp:positionV relativeFrom="paragraph">
              <wp:posOffset>821581</wp:posOffset>
            </wp:positionV>
            <wp:extent cx="5731510" cy="2149475"/>
            <wp:effectExtent l="0" t="0" r="2540" b="3175"/>
            <wp:wrapTopAndBottom/>
            <wp:docPr id="141705284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31510" cy="2149475"/>
                    </a:xfrm>
                    <a:prstGeom prst="rect">
                      <a:avLst/>
                    </a:prstGeom>
                    <a:noFill/>
                    <a:ln>
                      <a:noFill/>
                    </a:ln>
                  </pic:spPr>
                </pic:pic>
              </a:graphicData>
            </a:graphic>
          </wp:anchor>
        </w:drawing>
      </w:r>
      <w:r w:rsidR="00C47C16" w:rsidRPr="00AA5B42">
        <w:t>With increasing reduction in both shredder feeding rates</w:t>
      </w:r>
      <w:r w:rsidR="00F103D9">
        <w:t xml:space="preserve"> (increasing absolute stress)</w:t>
      </w:r>
      <w:r w:rsidR="00C47C16" w:rsidRPr="00AA5B42">
        <w:t xml:space="preserve">, while the relative abundance of </w:t>
      </w:r>
      <w:r w:rsidR="00A473E0" w:rsidRPr="00A473E0">
        <w:rPr>
          <w:i/>
          <w:iCs/>
        </w:rPr>
        <w:t>Gammarus</w:t>
      </w:r>
      <w:r w:rsidR="00C47C16" w:rsidRPr="00AA5B42">
        <w:t xml:space="preserve"> increases in </w:t>
      </w:r>
      <w:r w:rsidR="00CA58B7" w:rsidRPr="00AA5B42">
        <w:t xml:space="preserve">localised </w:t>
      </w:r>
      <w:r w:rsidR="00C47C16" w:rsidRPr="00AA5B42">
        <w:t>patches,</w:t>
      </w:r>
      <w:r w:rsidR="009632F0" w:rsidRPr="00AA5B42">
        <w:t xml:space="preserve"> </w:t>
      </w:r>
      <w:r w:rsidR="00A473E0" w:rsidRPr="00A473E0">
        <w:rPr>
          <w:i/>
          <w:iCs/>
        </w:rPr>
        <w:t>Asellus</w:t>
      </w:r>
      <w:r w:rsidR="00C47C16" w:rsidRPr="00AA5B42">
        <w:t xml:space="preserve"> remains the most dominant species among patches</w:t>
      </w:r>
      <w:r w:rsidR="001E4C93">
        <w:t xml:space="preserve"> (Figure 8)</w:t>
      </w:r>
      <w:r w:rsidR="00C47C16" w:rsidRPr="00AA5B42">
        <w:t xml:space="preserve">. </w:t>
      </w:r>
    </w:p>
    <w:p w14:paraId="3FBC1BE5" w14:textId="20920229" w:rsidR="003E147A" w:rsidRPr="00AA5B42" w:rsidRDefault="003E147A" w:rsidP="003E147A">
      <w:pPr>
        <w:pStyle w:val="Caption"/>
      </w:pPr>
      <w:r>
        <w:t xml:space="preserve">Figure </w:t>
      </w:r>
      <w:fldSimple w:instr=" SEQ Figure \* ARABIC ">
        <w:r>
          <w:rPr>
            <w:noProof/>
          </w:rPr>
          <w:t>8</w:t>
        </w:r>
      </w:fldSimple>
      <w:r>
        <w:t xml:space="preserve">: The Mean relative abundance of </w:t>
      </w:r>
      <w:r w:rsidR="00A473E0" w:rsidRPr="00A473E0">
        <w:t>Gammarus</w:t>
      </w:r>
      <w:r>
        <w:t xml:space="preserve"> at the end of the simulation across varying initial population sizes with increasing absolute feeding </w:t>
      </w:r>
      <w:r w:rsidR="00F64928">
        <w:t>stress</w:t>
      </w:r>
      <w:r>
        <w:t>.</w:t>
      </w:r>
      <w:r w:rsidRPr="003E147A">
        <w:t xml:space="preserve"> </w:t>
      </w:r>
      <w:r>
        <w:t xml:space="preserve">Oranges patches represent where </w:t>
      </w:r>
      <w:r w:rsidR="00A473E0" w:rsidRPr="00A473E0">
        <w:t>Gammarus</w:t>
      </w:r>
      <w:r>
        <w:t xml:space="preserve"> is the dominant species while blue is indicative of </w:t>
      </w:r>
      <w:r w:rsidR="00A473E0" w:rsidRPr="00A473E0">
        <w:t>Asellus</w:t>
      </w:r>
      <w:r>
        <w:t xml:space="preserve"> being the more dominant species. The black line represents the point where initial densities of </w:t>
      </w:r>
      <w:r w:rsidR="00A473E0" w:rsidRPr="00A473E0">
        <w:t>Gammarus</w:t>
      </w:r>
      <w:r>
        <w:t xml:space="preserve"> and </w:t>
      </w:r>
      <w:r w:rsidR="00A473E0" w:rsidRPr="00A473E0">
        <w:t>Asellus</w:t>
      </w:r>
      <w:r>
        <w:t xml:space="preserve"> are equal (i.e. 1:1)</w:t>
      </w:r>
    </w:p>
    <w:p w14:paraId="7C5858EB" w14:textId="21D9D4D8" w:rsidR="003A5CC4" w:rsidRDefault="00432556" w:rsidP="003A5CC4">
      <w:pPr>
        <w:keepNext/>
      </w:pPr>
      <w:r>
        <w:rPr>
          <w:noProof/>
        </w:rPr>
        <w:lastRenderedPageBreak/>
        <w:drawing>
          <wp:anchor distT="0" distB="0" distL="114300" distR="114300" simplePos="0" relativeHeight="251687936" behindDoc="0" locked="0" layoutInCell="1" allowOverlap="1" wp14:anchorId="560D0A57" wp14:editId="7FEFFAD3">
            <wp:simplePos x="0" y="0"/>
            <wp:positionH relativeFrom="margin">
              <wp:align>center</wp:align>
            </wp:positionH>
            <wp:positionV relativeFrom="paragraph">
              <wp:posOffset>1705315</wp:posOffset>
            </wp:positionV>
            <wp:extent cx="5379085" cy="2868295"/>
            <wp:effectExtent l="0" t="0" r="0" b="8255"/>
            <wp:wrapTopAndBottom/>
            <wp:docPr id="1645840199" name="Picture 10" descr="A graph of different colored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5840199" name="Picture 10" descr="A graph of different colored lines&#10;&#10;AI-generated content may be incorrec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379085" cy="28682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10973" w:rsidRPr="00610973">
        <w:t xml:space="preserve">As the </w:t>
      </w:r>
      <w:r w:rsidR="003E147A">
        <w:t>occurrence</w:t>
      </w:r>
      <w:r w:rsidR="00610973" w:rsidRPr="00610973">
        <w:t xml:space="preserve"> of coexistence increases, the time to exclusion for both species also increases</w:t>
      </w:r>
      <w:r w:rsidR="001E4C93">
        <w:t xml:space="preserve"> (Figure 9)</w:t>
      </w:r>
      <w:r w:rsidR="00610973" w:rsidRPr="00610973">
        <w:t xml:space="preserve">. The variability in time to exclusion by </w:t>
      </w:r>
      <w:r w:rsidR="00A473E0" w:rsidRPr="00A473E0">
        <w:rPr>
          <w:i/>
          <w:iCs/>
        </w:rPr>
        <w:t>Asellus</w:t>
      </w:r>
      <w:r w:rsidR="00610973" w:rsidRPr="00610973">
        <w:t xml:space="preserve"> decreases with increasing coexistence frequency,</w:t>
      </w:r>
      <w:r w:rsidR="00432CDD">
        <w:t xml:space="preserve"> </w:t>
      </w:r>
      <w:r w:rsidR="000D05A4">
        <w:t xml:space="preserve">with 5-95 percentile values 4.5 – 9.3 years in the baseline to </w:t>
      </w:r>
      <w:r w:rsidR="00432CDD">
        <w:t xml:space="preserve">5.7 </w:t>
      </w:r>
      <w:r w:rsidR="000D05A4">
        <w:t>-</w:t>
      </w:r>
      <w:r w:rsidR="00432CDD">
        <w:t xml:space="preserve"> 9.9 years at the 30% stress level and 7.9</w:t>
      </w:r>
      <w:r w:rsidR="000D05A4">
        <w:t xml:space="preserve"> </w:t>
      </w:r>
      <w:r w:rsidR="00432CDD">
        <w:t>-</w:t>
      </w:r>
      <w:r w:rsidR="000D05A4">
        <w:t xml:space="preserve"> </w:t>
      </w:r>
      <w:r w:rsidR="00432CDD">
        <w:t>9.</w:t>
      </w:r>
      <w:r w:rsidR="000D05A4">
        <w:t>9 years at the 50% level. W</w:t>
      </w:r>
      <w:r w:rsidR="00610973" w:rsidRPr="00610973">
        <w:t xml:space="preserve">hereas the variability in time to exclusion by </w:t>
      </w:r>
      <w:r w:rsidR="00A473E0" w:rsidRPr="00A473E0">
        <w:rPr>
          <w:i/>
          <w:iCs/>
        </w:rPr>
        <w:t>Gammarus</w:t>
      </w:r>
      <w:r w:rsidR="00432CDD">
        <w:t xml:space="preserve"> </w:t>
      </w:r>
      <w:r w:rsidR="00610973" w:rsidRPr="00610973">
        <w:t>increases across these patches</w:t>
      </w:r>
      <w:r w:rsidR="00432CDD">
        <w:t xml:space="preserve"> </w:t>
      </w:r>
      <w:r w:rsidR="000D05A4">
        <w:t xml:space="preserve">with 5-95 percentiles 0.63 – 3.6 years at the 30% stress level and 0.7 to 6.7 years at the 50% stress level </w:t>
      </w:r>
      <w:r w:rsidR="00432CDD">
        <w:t>(Figure 9)</w:t>
      </w:r>
      <w:r w:rsidR="00610973" w:rsidRPr="00610973">
        <w:t>. It is important to note that the width of the violin plots is not proportional to the number of replicates represented; as the frequency of coexistence increases, the number of replicates contributing to each violin plot decreases.</w:t>
      </w:r>
    </w:p>
    <w:p w14:paraId="5B603E8B" w14:textId="352CC555" w:rsidR="00C47C16" w:rsidRPr="001C20F0" w:rsidRDefault="003A5CC4" w:rsidP="003A5CC4">
      <w:pPr>
        <w:pStyle w:val="Caption"/>
        <w:rPr>
          <w:noProof/>
          <w:sz w:val="21"/>
          <w:szCs w:val="21"/>
        </w:rPr>
      </w:pPr>
      <w:r>
        <w:t xml:space="preserve">Figure </w:t>
      </w:r>
      <w:fldSimple w:instr=" SEQ Figure \* ARABIC ">
        <w:r w:rsidR="003E147A">
          <w:rPr>
            <w:noProof/>
          </w:rPr>
          <w:t>9</w:t>
        </w:r>
      </w:fldSimple>
      <w:r w:rsidR="001C20F0">
        <w:t>: The time to exclusion</w:t>
      </w:r>
      <w:r w:rsidR="003C1CEA">
        <w:t xml:space="preserve"> by </w:t>
      </w:r>
      <w:r w:rsidR="00A473E0" w:rsidRPr="00A473E0">
        <w:t>Asellus</w:t>
      </w:r>
      <w:r w:rsidR="003C1CEA">
        <w:t xml:space="preserve"> and </w:t>
      </w:r>
      <w:r w:rsidR="00A473E0" w:rsidRPr="00A473E0">
        <w:t>Gammarus</w:t>
      </w:r>
      <w:r w:rsidR="001C20F0">
        <w:t xml:space="preserve"> (in years) under different initial conditions </w:t>
      </w:r>
      <w:r w:rsidR="003C1CEA">
        <w:t>with</w:t>
      </w:r>
      <w:r w:rsidR="001C20F0">
        <w:t xml:space="preserve"> increasing absolute feeding </w:t>
      </w:r>
      <w:r w:rsidR="00F64928">
        <w:t>stress</w:t>
      </w:r>
      <w:r w:rsidR="001C20F0">
        <w:t>.</w:t>
      </w:r>
    </w:p>
    <w:p w14:paraId="07E1FA53" w14:textId="77777777" w:rsidR="00C47C16" w:rsidRPr="00AA5B42" w:rsidRDefault="00C47C16" w:rsidP="00AA5B42"/>
    <w:p w14:paraId="6BD64C49" w14:textId="77777777" w:rsidR="00142AB4" w:rsidRDefault="00142AB4">
      <w:pPr>
        <w:jc w:val="left"/>
        <w:rPr>
          <w:rFonts w:asciiTheme="majorHAnsi" w:eastAsiaTheme="majorEastAsia" w:hAnsiTheme="majorHAnsi" w:cstheme="majorBidi"/>
          <w:color w:val="0F4761" w:themeColor="accent1" w:themeShade="BF"/>
          <w:sz w:val="32"/>
          <w:szCs w:val="32"/>
        </w:rPr>
      </w:pPr>
      <w:r>
        <w:br w:type="page"/>
      </w:r>
    </w:p>
    <w:p w14:paraId="21D3D49F" w14:textId="2A6E7DA1" w:rsidR="003F158F" w:rsidRPr="00AA5B42" w:rsidRDefault="003F158F" w:rsidP="00AA5B42">
      <w:pPr>
        <w:pStyle w:val="Heading2"/>
      </w:pPr>
      <w:r w:rsidRPr="00AA5B42">
        <w:lastRenderedPageBreak/>
        <w:t>Discussion</w:t>
      </w:r>
    </w:p>
    <w:p w14:paraId="5A361186" w14:textId="78B69919" w:rsidR="009945DC" w:rsidRPr="00AA5B42" w:rsidRDefault="00C47C16" w:rsidP="00AA5B42">
      <w:pPr>
        <w:pStyle w:val="Heading3"/>
      </w:pPr>
      <w:r w:rsidRPr="00AA5B42">
        <w:t>Summary</w:t>
      </w:r>
    </w:p>
    <w:p w14:paraId="29DD49DE" w14:textId="05083548" w:rsidR="00C47C16" w:rsidRPr="00AA5B42" w:rsidRDefault="00C47C16" w:rsidP="00AA5B42">
      <w:pPr>
        <w:pStyle w:val="ListParagraph"/>
        <w:numPr>
          <w:ilvl w:val="0"/>
          <w:numId w:val="4"/>
        </w:numPr>
      </w:pPr>
      <w:r w:rsidRPr="00AA5B42">
        <w:t xml:space="preserve">Interspecific competition for resources between the two species results in species exclusion with 30% threshold for </w:t>
      </w:r>
      <w:r w:rsidR="00A473E0" w:rsidRPr="00A473E0">
        <w:rPr>
          <w:i/>
          <w:iCs/>
        </w:rPr>
        <w:t>Gammarus</w:t>
      </w:r>
      <w:r w:rsidRPr="00AA5B42">
        <w:t xml:space="preserve"> and the 20% threshold for </w:t>
      </w:r>
      <w:r w:rsidR="00A473E0" w:rsidRPr="00A473E0">
        <w:rPr>
          <w:i/>
          <w:iCs/>
        </w:rPr>
        <w:t>Asellus</w:t>
      </w:r>
      <w:r w:rsidRPr="00AA5B42">
        <w:t xml:space="preserve">, compared to 70 and 80% at the single species level (Chapter 4). </w:t>
      </w:r>
    </w:p>
    <w:p w14:paraId="29678212" w14:textId="7ED946FC" w:rsidR="00C47C16" w:rsidRPr="00AA5B42" w:rsidRDefault="00C47C16" w:rsidP="00AA5B42">
      <w:pPr>
        <w:pStyle w:val="ListParagraph"/>
        <w:numPr>
          <w:ilvl w:val="0"/>
          <w:numId w:val="4"/>
        </w:numPr>
      </w:pPr>
      <w:r w:rsidRPr="00AA5B42">
        <w:t xml:space="preserve">Time to exclusion decreases with increasing reduction in feeding stress. For </w:t>
      </w:r>
      <w:r w:rsidR="00A473E0" w:rsidRPr="00A473E0">
        <w:rPr>
          <w:i/>
          <w:iCs/>
        </w:rPr>
        <w:t>Gammarus</w:t>
      </w:r>
      <w:r w:rsidRPr="00AA5B42">
        <w:t xml:space="preserve"> this the median time to exclusion falls to within 1 year at the 50% effect level while at the 40% for </w:t>
      </w:r>
      <w:r w:rsidR="00A473E0" w:rsidRPr="00A473E0">
        <w:rPr>
          <w:i/>
          <w:iCs/>
        </w:rPr>
        <w:t>Asellus</w:t>
      </w:r>
      <w:r w:rsidRPr="00AA5B42">
        <w:t xml:space="preserve">. </w:t>
      </w:r>
    </w:p>
    <w:p w14:paraId="02F5BDC4" w14:textId="3D9689BE" w:rsidR="00C47C16" w:rsidRPr="00AA5B42" w:rsidRDefault="00C47C16" w:rsidP="00AA5B42">
      <w:pPr>
        <w:pStyle w:val="ListParagraph"/>
        <w:numPr>
          <w:ilvl w:val="0"/>
          <w:numId w:val="4"/>
        </w:numPr>
      </w:pPr>
      <w:r w:rsidRPr="00AA5B42">
        <w:t xml:space="preserve">While </w:t>
      </w:r>
      <w:r w:rsidR="00A473E0" w:rsidRPr="00A473E0">
        <w:rPr>
          <w:i/>
          <w:iCs/>
        </w:rPr>
        <w:t>Gammarus</w:t>
      </w:r>
      <w:r w:rsidRPr="00AA5B42">
        <w:t xml:space="preserve"> populations were the most responsive of the two species to reductions in feeding rates, they were more resistant to exclusion than </w:t>
      </w:r>
      <w:r w:rsidR="00A473E0" w:rsidRPr="00A473E0">
        <w:rPr>
          <w:i/>
          <w:iCs/>
        </w:rPr>
        <w:t>Asellus</w:t>
      </w:r>
      <w:r w:rsidRPr="00AA5B42">
        <w:t>.</w:t>
      </w:r>
    </w:p>
    <w:p w14:paraId="287DB7C9" w14:textId="77777777" w:rsidR="00C47C16" w:rsidRPr="00AA5B42" w:rsidRDefault="00C47C16" w:rsidP="00AA5B42">
      <w:pPr>
        <w:pStyle w:val="ListParagraph"/>
        <w:numPr>
          <w:ilvl w:val="0"/>
          <w:numId w:val="4"/>
        </w:numPr>
      </w:pPr>
      <w:r w:rsidRPr="00AA5B42">
        <w:t>Populations on patches where the sensitive species is dominant are most resistant to collapse.</w:t>
      </w:r>
    </w:p>
    <w:p w14:paraId="7A005A9B" w14:textId="77777777" w:rsidR="00C47C16" w:rsidRPr="00AA5B42" w:rsidRDefault="00C47C16" w:rsidP="00AA5B42">
      <w:pPr>
        <w:pStyle w:val="ListParagraph"/>
        <w:numPr>
          <w:ilvl w:val="0"/>
          <w:numId w:val="4"/>
        </w:numPr>
      </w:pPr>
      <w:r w:rsidRPr="00AA5B42">
        <w:t>Increasing reduction in feeding rates of both species resulted in greater occurrence of coexistence (at least increased the time to exclusion)</w:t>
      </w:r>
    </w:p>
    <w:p w14:paraId="28C372E3" w14:textId="77777777" w:rsidR="00C47C16" w:rsidRPr="00AA5B42" w:rsidRDefault="00C47C16" w:rsidP="00AA5B42"/>
    <w:p w14:paraId="3B4191D2" w14:textId="04B7DC9E" w:rsidR="006165EB" w:rsidRPr="00AA5B42" w:rsidRDefault="00046748" w:rsidP="00AA5B42">
      <w:pPr>
        <w:pStyle w:val="Heading3"/>
      </w:pPr>
      <w:r>
        <w:t xml:space="preserve">Summary and </w:t>
      </w:r>
      <w:r w:rsidR="005554E9">
        <w:t>comparison to results</w:t>
      </w:r>
      <w:r w:rsidR="00D665E6">
        <w:t xml:space="preserve"> </w:t>
      </w:r>
      <w:r w:rsidR="006165EB" w:rsidRPr="00AA5B42">
        <w:t>reported</w:t>
      </w:r>
      <w:r w:rsidR="00AA5B42" w:rsidRPr="00AA5B42">
        <w:t xml:space="preserve"> in the thesis</w:t>
      </w:r>
    </w:p>
    <w:p w14:paraId="47298912" w14:textId="0095E647" w:rsidR="00CA58B7" w:rsidRPr="00AA5B42" w:rsidRDefault="00CA58B7" w:rsidP="00AA5B42">
      <w:r w:rsidRPr="00AA5B42">
        <w:t xml:space="preserve">The baseline </w:t>
      </w:r>
      <w:r w:rsidR="00D93451">
        <w:t xml:space="preserve">scenario with the corrected simulations shows </w:t>
      </w:r>
      <w:r w:rsidRPr="00AA5B42">
        <w:t xml:space="preserve">significantly </w:t>
      </w:r>
      <w:r w:rsidR="00D93451">
        <w:t>fewer</w:t>
      </w:r>
      <w:r w:rsidRPr="00AA5B42">
        <w:t xml:space="preserve"> occurrence</w:t>
      </w:r>
      <w:r w:rsidR="00D93451">
        <w:t>s</w:t>
      </w:r>
      <w:r w:rsidRPr="00AA5B42">
        <w:t xml:space="preserve"> of coexistence between patches with 3% compared to 32% of all experiments as reported in the thesis. </w:t>
      </w:r>
      <w:r w:rsidR="00D93451">
        <w:t>Furthermore</w:t>
      </w:r>
      <w:r w:rsidRPr="00AA5B42">
        <w:t xml:space="preserve">, the point at which species dominance shifts </w:t>
      </w:r>
      <w:r w:rsidR="00D93451">
        <w:t xml:space="preserve">differs between the two analyses. In the thesis, this transition occurs approximately where </w:t>
      </w:r>
      <w:r w:rsidR="00A473E0" w:rsidRPr="00A473E0">
        <w:rPr>
          <w:i/>
          <w:iCs/>
        </w:rPr>
        <w:t>Gammarus</w:t>
      </w:r>
      <w:r w:rsidR="00D93451">
        <w:t xml:space="preserve"> a</w:t>
      </w:r>
      <w:r w:rsidRPr="00AA5B42">
        <w:t xml:space="preserve">nd </w:t>
      </w:r>
      <w:r w:rsidR="00A473E0" w:rsidRPr="00A473E0">
        <w:rPr>
          <w:i/>
          <w:iCs/>
        </w:rPr>
        <w:t>Asellus</w:t>
      </w:r>
      <w:r w:rsidR="00D93451">
        <w:t xml:space="preserve"> densities</w:t>
      </w:r>
      <w:r w:rsidRPr="00AA5B42">
        <w:t xml:space="preserve"> are equal</w:t>
      </w:r>
      <w:r w:rsidR="00D93451">
        <w:t>. In contrast, i</w:t>
      </w:r>
      <w:r w:rsidRPr="00AA5B42">
        <w:t>n the correct</w:t>
      </w:r>
      <w:r w:rsidR="00D93451">
        <w:t>ed</w:t>
      </w:r>
      <w:r w:rsidRPr="00AA5B42">
        <w:t xml:space="preserve"> simulations this shift occurs in an area of localised patch</w:t>
      </w:r>
      <w:r w:rsidR="00D93451">
        <w:t xml:space="preserve"> conditions</w:t>
      </w:r>
      <w:r w:rsidRPr="00AA5B42">
        <w:t xml:space="preserve"> around the point where </w:t>
      </w:r>
      <w:r w:rsidR="00A473E0" w:rsidRPr="00A473E0">
        <w:rPr>
          <w:i/>
          <w:iCs/>
        </w:rPr>
        <w:t>Asellus</w:t>
      </w:r>
      <w:r w:rsidRPr="00AA5B42">
        <w:t xml:space="preserve"> = 20 and </w:t>
      </w:r>
      <w:r w:rsidR="00A473E0" w:rsidRPr="00A473E0">
        <w:rPr>
          <w:i/>
          <w:iCs/>
        </w:rPr>
        <w:t>Gammarus</w:t>
      </w:r>
      <w:r w:rsidRPr="00AA5B42">
        <w:t xml:space="preserve"> = 60-80.</w:t>
      </w:r>
    </w:p>
    <w:p w14:paraId="2A47A0FE" w14:textId="21F33723" w:rsidR="00520633" w:rsidRPr="00AA5B42" w:rsidRDefault="00D93451" w:rsidP="00520633">
      <w:r>
        <w:t>Consistent with the reduced occurrence of coexistence, the corrected model generally produces shorter times to exclusion</w:t>
      </w:r>
      <w:r w:rsidR="00207957">
        <w:t xml:space="preserve"> </w:t>
      </w:r>
      <w:r>
        <w:t xml:space="preserve">than those </w:t>
      </w:r>
      <w:r w:rsidR="00207957">
        <w:t>reported in the thesis. Notabl</w:t>
      </w:r>
      <w:r>
        <w:t>y</w:t>
      </w:r>
      <w:r w:rsidR="00207957">
        <w:t xml:space="preserve">, </w:t>
      </w:r>
      <w:r w:rsidR="00520633">
        <w:t xml:space="preserve">in the thesis, time to exclusion of </w:t>
      </w:r>
      <w:r w:rsidR="00A473E0" w:rsidRPr="00A473E0">
        <w:rPr>
          <w:i/>
          <w:iCs/>
        </w:rPr>
        <w:t>Gammarus</w:t>
      </w:r>
      <w:r>
        <w:t xml:space="preserve"> occurs sooner than t</w:t>
      </w:r>
      <w:r w:rsidR="00520633">
        <w:t xml:space="preserve">hat of </w:t>
      </w:r>
      <w:r w:rsidR="00A473E0" w:rsidRPr="00A473E0">
        <w:rPr>
          <w:i/>
          <w:iCs/>
        </w:rPr>
        <w:t>Asellus</w:t>
      </w:r>
      <w:r w:rsidR="00520633">
        <w:t xml:space="preserve"> with exclusion of </w:t>
      </w:r>
      <w:r w:rsidR="00A473E0" w:rsidRPr="00A473E0">
        <w:rPr>
          <w:i/>
          <w:iCs/>
        </w:rPr>
        <w:t>Gammarus</w:t>
      </w:r>
      <w:r w:rsidR="002A47EB">
        <w:rPr>
          <w:i/>
          <w:iCs/>
        </w:rPr>
        <w:t xml:space="preserve"> </w:t>
      </w:r>
      <w:r w:rsidR="002A47EB">
        <w:t xml:space="preserve">by </w:t>
      </w:r>
      <w:r w:rsidR="00A473E0" w:rsidRPr="00A473E0">
        <w:rPr>
          <w:i/>
          <w:iCs/>
        </w:rPr>
        <w:t>Asellus</w:t>
      </w:r>
      <w:r w:rsidR="00520633">
        <w:t xml:space="preserve"> 1-7 years, while exclusion of </w:t>
      </w:r>
      <w:r w:rsidR="00A473E0" w:rsidRPr="00A473E0">
        <w:rPr>
          <w:i/>
          <w:iCs/>
        </w:rPr>
        <w:t>Asellus</w:t>
      </w:r>
      <w:r w:rsidR="002A47EB">
        <w:rPr>
          <w:i/>
          <w:iCs/>
        </w:rPr>
        <w:t xml:space="preserve"> </w:t>
      </w:r>
      <w:r w:rsidR="002A47EB">
        <w:t xml:space="preserve">by </w:t>
      </w:r>
      <w:r w:rsidR="00A473E0" w:rsidRPr="00A473E0">
        <w:rPr>
          <w:i/>
          <w:iCs/>
        </w:rPr>
        <w:t>Gammarus</w:t>
      </w:r>
      <w:r w:rsidR="00520633">
        <w:t xml:space="preserve"> is 8-12 years. </w:t>
      </w:r>
      <w:r>
        <w:t>In the corrected simulations, this patter</w:t>
      </w:r>
      <w:r w:rsidR="002A47EB">
        <w:t>n</w:t>
      </w:r>
      <w:r>
        <w:t xml:space="preserve"> is the reverse </w:t>
      </w:r>
      <w:r w:rsidR="00520633">
        <w:t xml:space="preserve">with exclusion </w:t>
      </w:r>
      <w:r w:rsidR="002A47EB">
        <w:t xml:space="preserve">by </w:t>
      </w:r>
      <w:r w:rsidR="00A473E0" w:rsidRPr="00A473E0">
        <w:rPr>
          <w:i/>
          <w:iCs/>
        </w:rPr>
        <w:t>Gammarus</w:t>
      </w:r>
      <w:r w:rsidR="002A47EB">
        <w:t xml:space="preserve"> </w:t>
      </w:r>
      <w:r w:rsidR="00520633">
        <w:t xml:space="preserve">around 1 year and </w:t>
      </w:r>
      <w:r>
        <w:t>exclusion</w:t>
      </w:r>
      <w:r w:rsidR="00520633">
        <w:t xml:space="preserve"> </w:t>
      </w:r>
      <w:r w:rsidR="002A47EB">
        <w:t xml:space="preserve">by </w:t>
      </w:r>
      <w:r w:rsidR="00A473E0" w:rsidRPr="00A473E0">
        <w:rPr>
          <w:i/>
          <w:iCs/>
        </w:rPr>
        <w:t>Asellus</w:t>
      </w:r>
      <w:r w:rsidR="002A47EB">
        <w:t xml:space="preserve"> </w:t>
      </w:r>
      <w:r>
        <w:t xml:space="preserve">takes around </w:t>
      </w:r>
      <w:r w:rsidR="00520633">
        <w:t xml:space="preserve">6 years. </w:t>
      </w:r>
    </w:p>
    <w:p w14:paraId="40A1F503" w14:textId="5EEA765F" w:rsidR="00AD1209" w:rsidRPr="00AD1209" w:rsidRDefault="00D93451" w:rsidP="00AD1209">
      <w:r>
        <w:t xml:space="preserve">Despite the differences in the baseline scenario, the patterns of effects of reduced feeding rates on the SPU are largely consistent between the two analyses with small differences in threshold values. In the thesis, exclusion of the </w:t>
      </w:r>
      <w:r w:rsidRPr="00D93451">
        <w:t>sensitive species under interspecific competition occurs at</w:t>
      </w:r>
      <w:r w:rsidR="009945DC" w:rsidRPr="00D93451">
        <w:t xml:space="preserve"> 20% </w:t>
      </w:r>
      <w:r w:rsidRPr="00D93451">
        <w:t>reduction in feeding, for</w:t>
      </w:r>
      <w:r w:rsidR="009945DC" w:rsidRPr="00D93451">
        <w:t xml:space="preserve"> both species</w:t>
      </w:r>
      <w:r w:rsidRPr="00D93451">
        <w:t xml:space="preserve">. In the corrected simulations, exclusion occurs at a 30% reduction for </w:t>
      </w:r>
      <w:r w:rsidR="00A473E0" w:rsidRPr="00A473E0">
        <w:rPr>
          <w:i/>
          <w:iCs/>
        </w:rPr>
        <w:t>Gammarus</w:t>
      </w:r>
      <w:r w:rsidRPr="00D93451">
        <w:t xml:space="preserve"> and a 20% reduction for </w:t>
      </w:r>
      <w:r w:rsidR="00A473E0" w:rsidRPr="00A473E0">
        <w:rPr>
          <w:i/>
          <w:iCs/>
        </w:rPr>
        <w:t>Asellus</w:t>
      </w:r>
      <w:r w:rsidRPr="00D93451">
        <w:t>, compared with much higher thresholds (70% and 80%, respectively) under single-species conditions (Chapter 4).</w:t>
      </w:r>
      <w:r w:rsidR="00AD1209">
        <w:t xml:space="preserve"> </w:t>
      </w:r>
      <w:r w:rsidR="00AD1209" w:rsidRPr="00AD1209">
        <w:t>Results from the absolute stress simulations in both models show that the occurrence of coexistence increases with increasing reductions in feeding rates for both species, reflecting rising absolute stress on the system. At the 50% effect level, coexistence occurs in nearly all patches, approaching 100%.</w:t>
      </w:r>
    </w:p>
    <w:p w14:paraId="4DAE3F3C" w14:textId="25B98D8F" w:rsidR="003A5CC4" w:rsidRDefault="00BD3761" w:rsidP="00AA5B42">
      <w:r w:rsidRPr="00AA5B42">
        <w:lastRenderedPageBreak/>
        <w:t>In both analyses,</w:t>
      </w:r>
      <w:r w:rsidR="00AD1209">
        <w:t xml:space="preserve"> increasing reduction in feeding leads to shorter times to exclusion and reduced variability in exclusion times across patches. However, differences emerge in the effect levels required for median time to exclusion to fall below one year</w:t>
      </w:r>
      <w:r w:rsidR="00F103D9">
        <w:t xml:space="preserve"> - </w:t>
      </w:r>
      <w:r w:rsidR="00AD1209">
        <w:t xml:space="preserve">which is more relevant for risk assessments. </w:t>
      </w:r>
      <w:r w:rsidRPr="00AA5B42">
        <w:t>In the thesis it is reported that</w:t>
      </w:r>
      <w:r w:rsidR="00207957">
        <w:t xml:space="preserve"> the median time to exclusion</w:t>
      </w:r>
      <w:r w:rsidR="0050626A">
        <w:t xml:space="preserve"> across all patches</w:t>
      </w:r>
      <w:r w:rsidR="00207957">
        <w:t xml:space="preserve"> falls to 1 year with a </w:t>
      </w:r>
      <w:r w:rsidR="00500A44">
        <w:t>4</w:t>
      </w:r>
      <w:r w:rsidR="00207957">
        <w:t xml:space="preserve">0% reduction in </w:t>
      </w:r>
      <w:r w:rsidR="00500A44">
        <w:t>f</w:t>
      </w:r>
      <w:r w:rsidR="00207957">
        <w:t xml:space="preserve">eeding </w:t>
      </w:r>
      <w:r w:rsidR="00500A44">
        <w:t>for both species</w:t>
      </w:r>
      <w:r w:rsidR="00AD1209">
        <w:t>,</w:t>
      </w:r>
      <w:r w:rsidR="0050626A">
        <w:t xml:space="preserve"> with patches dominated by the sensitive </w:t>
      </w:r>
      <w:r w:rsidR="0050626A" w:rsidRPr="00AD1209">
        <w:t xml:space="preserve">species experiencing exclusion in </w:t>
      </w:r>
      <w:r w:rsidR="00AD1209" w:rsidRPr="00AD1209">
        <w:t xml:space="preserve">under </w:t>
      </w:r>
      <w:r w:rsidR="0050626A" w:rsidRPr="00AD1209">
        <w:t xml:space="preserve">one year at the 20% effect level. </w:t>
      </w:r>
      <w:r w:rsidR="00AD1209" w:rsidRPr="00AD1209">
        <w:t xml:space="preserve">In contrast, in the corrected simulations, the median time to exclusion across all patches falls below one year only at a 50% reduction in feeding rate for both species, although patches dominated by the sensitive species experience exclusion within one year at the 30% effect level. </w:t>
      </w:r>
    </w:p>
    <w:p w14:paraId="716D5610" w14:textId="4308CDB5" w:rsidR="005554E9" w:rsidRDefault="005554E9" w:rsidP="005554E9">
      <w:pPr>
        <w:pStyle w:val="Heading3"/>
      </w:pPr>
      <w:r>
        <w:t>Implications</w:t>
      </w:r>
    </w:p>
    <w:p w14:paraId="1FC9D2DB" w14:textId="70C898FD" w:rsidR="005554E9" w:rsidRPr="00DD5438" w:rsidRDefault="00AD1209" w:rsidP="00DD5438">
      <w:r w:rsidRPr="00DD5438">
        <w:t xml:space="preserve">These results indicate that populations in the corrected model are less sensitive to reductions in feeding when interspecific competition is </w:t>
      </w:r>
      <w:r w:rsidR="00D665E6" w:rsidRPr="00DD5438">
        <w:t>considered</w:t>
      </w:r>
      <w:r w:rsidRPr="00DD5438">
        <w:t xml:space="preserve"> even though the overall response patterns remain similar.</w:t>
      </w:r>
      <w:r w:rsidR="00DD5438" w:rsidRPr="00DD5438">
        <w:t xml:space="preserve"> Nonetheless, </w:t>
      </w:r>
      <w:r w:rsidR="00DD5438">
        <w:t xml:space="preserve">the corrected results still indicate that </w:t>
      </w:r>
      <w:r w:rsidR="00DD5438" w:rsidRPr="00DD5438">
        <w:t xml:space="preserve">interspecific competition for resources </w:t>
      </w:r>
      <w:r w:rsidR="00DD5438">
        <w:t>alters</w:t>
      </w:r>
      <w:r w:rsidR="00DD5438" w:rsidRPr="00DD5438">
        <w:t xml:space="preserve"> the </w:t>
      </w:r>
      <w:r w:rsidR="00DD5438">
        <w:t xml:space="preserve">effect </w:t>
      </w:r>
      <w:r w:rsidR="00DD5438" w:rsidRPr="00DD5438">
        <w:t xml:space="preserve">threshold at which feeding inhibition </w:t>
      </w:r>
      <w:r w:rsidR="00DD5438">
        <w:t>impacts populations co</w:t>
      </w:r>
      <w:r w:rsidR="00DD5438" w:rsidRPr="00DD5438">
        <w:t>mpared with single-species models. This highlights interspecific competition as an important factor to consider when assessing the risks of chemicals in multi-species systems.</w:t>
      </w:r>
    </w:p>
    <w:sectPr w:rsidR="005554E9" w:rsidRPr="00DD543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Ebrima">
    <w:panose1 w:val="02000000000000000000"/>
    <w:charset w:val="00"/>
    <w:family w:val="auto"/>
    <w:pitch w:val="variable"/>
    <w:sig w:usb0="A000005F" w:usb1="02000041" w:usb2="00000800" w:usb3="00000000" w:csb0="00000093"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00AD3"/>
    <w:multiLevelType w:val="hybridMultilevel"/>
    <w:tmpl w:val="E0768CD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535484A"/>
    <w:multiLevelType w:val="hybridMultilevel"/>
    <w:tmpl w:val="F9CCAF70"/>
    <w:lvl w:ilvl="0" w:tplc="FDE285A6">
      <w:start w:val="1"/>
      <w:numFmt w:val="bullet"/>
      <w:lvlText w:val="•"/>
      <w:lvlJc w:val="left"/>
      <w:pPr>
        <w:tabs>
          <w:tab w:val="num" w:pos="720"/>
        </w:tabs>
        <w:ind w:left="720" w:hanging="360"/>
      </w:pPr>
      <w:rPr>
        <w:rFonts w:ascii="Arial" w:hAnsi="Arial" w:hint="default"/>
      </w:rPr>
    </w:lvl>
    <w:lvl w:ilvl="1" w:tplc="C154463E" w:tentative="1">
      <w:start w:val="1"/>
      <w:numFmt w:val="bullet"/>
      <w:lvlText w:val="•"/>
      <w:lvlJc w:val="left"/>
      <w:pPr>
        <w:tabs>
          <w:tab w:val="num" w:pos="1440"/>
        </w:tabs>
        <w:ind w:left="1440" w:hanging="360"/>
      </w:pPr>
      <w:rPr>
        <w:rFonts w:ascii="Arial" w:hAnsi="Arial" w:hint="default"/>
      </w:rPr>
    </w:lvl>
    <w:lvl w:ilvl="2" w:tplc="076AB910" w:tentative="1">
      <w:start w:val="1"/>
      <w:numFmt w:val="bullet"/>
      <w:lvlText w:val="•"/>
      <w:lvlJc w:val="left"/>
      <w:pPr>
        <w:tabs>
          <w:tab w:val="num" w:pos="2160"/>
        </w:tabs>
        <w:ind w:left="2160" w:hanging="360"/>
      </w:pPr>
      <w:rPr>
        <w:rFonts w:ascii="Arial" w:hAnsi="Arial" w:hint="default"/>
      </w:rPr>
    </w:lvl>
    <w:lvl w:ilvl="3" w:tplc="346A5616" w:tentative="1">
      <w:start w:val="1"/>
      <w:numFmt w:val="bullet"/>
      <w:lvlText w:val="•"/>
      <w:lvlJc w:val="left"/>
      <w:pPr>
        <w:tabs>
          <w:tab w:val="num" w:pos="2880"/>
        </w:tabs>
        <w:ind w:left="2880" w:hanging="360"/>
      </w:pPr>
      <w:rPr>
        <w:rFonts w:ascii="Arial" w:hAnsi="Arial" w:hint="default"/>
      </w:rPr>
    </w:lvl>
    <w:lvl w:ilvl="4" w:tplc="FF46C900" w:tentative="1">
      <w:start w:val="1"/>
      <w:numFmt w:val="bullet"/>
      <w:lvlText w:val="•"/>
      <w:lvlJc w:val="left"/>
      <w:pPr>
        <w:tabs>
          <w:tab w:val="num" w:pos="3600"/>
        </w:tabs>
        <w:ind w:left="3600" w:hanging="360"/>
      </w:pPr>
      <w:rPr>
        <w:rFonts w:ascii="Arial" w:hAnsi="Arial" w:hint="default"/>
      </w:rPr>
    </w:lvl>
    <w:lvl w:ilvl="5" w:tplc="945E6C06" w:tentative="1">
      <w:start w:val="1"/>
      <w:numFmt w:val="bullet"/>
      <w:lvlText w:val="•"/>
      <w:lvlJc w:val="left"/>
      <w:pPr>
        <w:tabs>
          <w:tab w:val="num" w:pos="4320"/>
        </w:tabs>
        <w:ind w:left="4320" w:hanging="360"/>
      </w:pPr>
      <w:rPr>
        <w:rFonts w:ascii="Arial" w:hAnsi="Arial" w:hint="default"/>
      </w:rPr>
    </w:lvl>
    <w:lvl w:ilvl="6" w:tplc="BDFC23C2" w:tentative="1">
      <w:start w:val="1"/>
      <w:numFmt w:val="bullet"/>
      <w:lvlText w:val="•"/>
      <w:lvlJc w:val="left"/>
      <w:pPr>
        <w:tabs>
          <w:tab w:val="num" w:pos="5040"/>
        </w:tabs>
        <w:ind w:left="5040" w:hanging="360"/>
      </w:pPr>
      <w:rPr>
        <w:rFonts w:ascii="Arial" w:hAnsi="Arial" w:hint="default"/>
      </w:rPr>
    </w:lvl>
    <w:lvl w:ilvl="7" w:tplc="2236C72E" w:tentative="1">
      <w:start w:val="1"/>
      <w:numFmt w:val="bullet"/>
      <w:lvlText w:val="•"/>
      <w:lvlJc w:val="left"/>
      <w:pPr>
        <w:tabs>
          <w:tab w:val="num" w:pos="5760"/>
        </w:tabs>
        <w:ind w:left="5760" w:hanging="360"/>
      </w:pPr>
      <w:rPr>
        <w:rFonts w:ascii="Arial" w:hAnsi="Arial" w:hint="default"/>
      </w:rPr>
    </w:lvl>
    <w:lvl w:ilvl="8" w:tplc="B7BAF55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04E04C0"/>
    <w:multiLevelType w:val="hybridMultilevel"/>
    <w:tmpl w:val="4A7E3054"/>
    <w:lvl w:ilvl="0" w:tplc="956855D6">
      <w:numFmt w:val="bullet"/>
      <w:lvlText w:val="-"/>
      <w:lvlJc w:val="left"/>
      <w:pPr>
        <w:ind w:left="405" w:hanging="360"/>
      </w:pPr>
      <w:rPr>
        <w:rFonts w:ascii="Aptos" w:eastAsiaTheme="minorHAnsi" w:hAnsi="Aptos" w:cstheme="minorBid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3" w15:restartNumberingAfterBreak="0">
    <w:nsid w:val="68891DC2"/>
    <w:multiLevelType w:val="hybridMultilevel"/>
    <w:tmpl w:val="852C4C74"/>
    <w:lvl w:ilvl="0" w:tplc="5FF24BA4">
      <w:start w:val="1"/>
      <w:numFmt w:val="bullet"/>
      <w:lvlText w:val="•"/>
      <w:lvlJc w:val="left"/>
      <w:pPr>
        <w:tabs>
          <w:tab w:val="num" w:pos="720"/>
        </w:tabs>
        <w:ind w:left="720" w:hanging="360"/>
      </w:pPr>
      <w:rPr>
        <w:rFonts w:ascii="Arial" w:hAnsi="Arial" w:hint="default"/>
      </w:rPr>
    </w:lvl>
    <w:lvl w:ilvl="1" w:tplc="2F24C78C" w:tentative="1">
      <w:start w:val="1"/>
      <w:numFmt w:val="bullet"/>
      <w:lvlText w:val="•"/>
      <w:lvlJc w:val="left"/>
      <w:pPr>
        <w:tabs>
          <w:tab w:val="num" w:pos="1440"/>
        </w:tabs>
        <w:ind w:left="1440" w:hanging="360"/>
      </w:pPr>
      <w:rPr>
        <w:rFonts w:ascii="Arial" w:hAnsi="Arial" w:hint="default"/>
      </w:rPr>
    </w:lvl>
    <w:lvl w:ilvl="2" w:tplc="F61ADDEA" w:tentative="1">
      <w:start w:val="1"/>
      <w:numFmt w:val="bullet"/>
      <w:lvlText w:val="•"/>
      <w:lvlJc w:val="left"/>
      <w:pPr>
        <w:tabs>
          <w:tab w:val="num" w:pos="2160"/>
        </w:tabs>
        <w:ind w:left="2160" w:hanging="360"/>
      </w:pPr>
      <w:rPr>
        <w:rFonts w:ascii="Arial" w:hAnsi="Arial" w:hint="default"/>
      </w:rPr>
    </w:lvl>
    <w:lvl w:ilvl="3" w:tplc="04A8076E" w:tentative="1">
      <w:start w:val="1"/>
      <w:numFmt w:val="bullet"/>
      <w:lvlText w:val="•"/>
      <w:lvlJc w:val="left"/>
      <w:pPr>
        <w:tabs>
          <w:tab w:val="num" w:pos="2880"/>
        </w:tabs>
        <w:ind w:left="2880" w:hanging="360"/>
      </w:pPr>
      <w:rPr>
        <w:rFonts w:ascii="Arial" w:hAnsi="Arial" w:hint="default"/>
      </w:rPr>
    </w:lvl>
    <w:lvl w:ilvl="4" w:tplc="46EC3E4A" w:tentative="1">
      <w:start w:val="1"/>
      <w:numFmt w:val="bullet"/>
      <w:lvlText w:val="•"/>
      <w:lvlJc w:val="left"/>
      <w:pPr>
        <w:tabs>
          <w:tab w:val="num" w:pos="3600"/>
        </w:tabs>
        <w:ind w:left="3600" w:hanging="360"/>
      </w:pPr>
      <w:rPr>
        <w:rFonts w:ascii="Arial" w:hAnsi="Arial" w:hint="default"/>
      </w:rPr>
    </w:lvl>
    <w:lvl w:ilvl="5" w:tplc="E70E812A" w:tentative="1">
      <w:start w:val="1"/>
      <w:numFmt w:val="bullet"/>
      <w:lvlText w:val="•"/>
      <w:lvlJc w:val="left"/>
      <w:pPr>
        <w:tabs>
          <w:tab w:val="num" w:pos="4320"/>
        </w:tabs>
        <w:ind w:left="4320" w:hanging="360"/>
      </w:pPr>
      <w:rPr>
        <w:rFonts w:ascii="Arial" w:hAnsi="Arial" w:hint="default"/>
      </w:rPr>
    </w:lvl>
    <w:lvl w:ilvl="6" w:tplc="A13AC460" w:tentative="1">
      <w:start w:val="1"/>
      <w:numFmt w:val="bullet"/>
      <w:lvlText w:val="•"/>
      <w:lvlJc w:val="left"/>
      <w:pPr>
        <w:tabs>
          <w:tab w:val="num" w:pos="5040"/>
        </w:tabs>
        <w:ind w:left="5040" w:hanging="360"/>
      </w:pPr>
      <w:rPr>
        <w:rFonts w:ascii="Arial" w:hAnsi="Arial" w:hint="default"/>
      </w:rPr>
    </w:lvl>
    <w:lvl w:ilvl="7" w:tplc="25907BC0" w:tentative="1">
      <w:start w:val="1"/>
      <w:numFmt w:val="bullet"/>
      <w:lvlText w:val="•"/>
      <w:lvlJc w:val="left"/>
      <w:pPr>
        <w:tabs>
          <w:tab w:val="num" w:pos="5760"/>
        </w:tabs>
        <w:ind w:left="5760" w:hanging="360"/>
      </w:pPr>
      <w:rPr>
        <w:rFonts w:ascii="Arial" w:hAnsi="Arial" w:hint="default"/>
      </w:rPr>
    </w:lvl>
    <w:lvl w:ilvl="8" w:tplc="12C6986A" w:tentative="1">
      <w:start w:val="1"/>
      <w:numFmt w:val="bullet"/>
      <w:lvlText w:val="•"/>
      <w:lvlJc w:val="left"/>
      <w:pPr>
        <w:tabs>
          <w:tab w:val="num" w:pos="6480"/>
        </w:tabs>
        <w:ind w:left="6480" w:hanging="360"/>
      </w:pPr>
      <w:rPr>
        <w:rFonts w:ascii="Arial" w:hAnsi="Arial" w:hint="default"/>
      </w:rPr>
    </w:lvl>
  </w:abstractNum>
  <w:num w:numId="1" w16cid:durableId="1420444004">
    <w:abstractNumId w:val="2"/>
  </w:num>
  <w:num w:numId="2" w16cid:durableId="1593008390">
    <w:abstractNumId w:val="3"/>
  </w:num>
  <w:num w:numId="3" w16cid:durableId="1427270274">
    <w:abstractNumId w:val="1"/>
  </w:num>
  <w:num w:numId="4" w16cid:durableId="1812890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58F"/>
    <w:rsid w:val="00023590"/>
    <w:rsid w:val="00032DB9"/>
    <w:rsid w:val="000355DD"/>
    <w:rsid w:val="00046748"/>
    <w:rsid w:val="00055007"/>
    <w:rsid w:val="000D05A4"/>
    <w:rsid w:val="00100F85"/>
    <w:rsid w:val="00107BCF"/>
    <w:rsid w:val="00142AB4"/>
    <w:rsid w:val="00152E8B"/>
    <w:rsid w:val="00156049"/>
    <w:rsid w:val="00196033"/>
    <w:rsid w:val="001C129E"/>
    <w:rsid w:val="001C20F0"/>
    <w:rsid w:val="001E4C93"/>
    <w:rsid w:val="00207957"/>
    <w:rsid w:val="00273FFB"/>
    <w:rsid w:val="002968C1"/>
    <w:rsid w:val="002A47EB"/>
    <w:rsid w:val="002B3188"/>
    <w:rsid w:val="002F7291"/>
    <w:rsid w:val="00314E03"/>
    <w:rsid w:val="00331CED"/>
    <w:rsid w:val="00384BF3"/>
    <w:rsid w:val="003A5CC4"/>
    <w:rsid w:val="003B6DCF"/>
    <w:rsid w:val="003C1CEA"/>
    <w:rsid w:val="003D485B"/>
    <w:rsid w:val="003D602D"/>
    <w:rsid w:val="003E147A"/>
    <w:rsid w:val="003F158F"/>
    <w:rsid w:val="00417C58"/>
    <w:rsid w:val="00432556"/>
    <w:rsid w:val="00432CDD"/>
    <w:rsid w:val="0044306E"/>
    <w:rsid w:val="00500A44"/>
    <w:rsid w:val="0050626A"/>
    <w:rsid w:val="00506C09"/>
    <w:rsid w:val="00520633"/>
    <w:rsid w:val="00530FA5"/>
    <w:rsid w:val="005433D9"/>
    <w:rsid w:val="005554E9"/>
    <w:rsid w:val="005572A0"/>
    <w:rsid w:val="00594108"/>
    <w:rsid w:val="0060145B"/>
    <w:rsid w:val="00610973"/>
    <w:rsid w:val="006165EB"/>
    <w:rsid w:val="00652EE8"/>
    <w:rsid w:val="006618F4"/>
    <w:rsid w:val="00676779"/>
    <w:rsid w:val="006A3226"/>
    <w:rsid w:val="006B09E3"/>
    <w:rsid w:val="006C6FC5"/>
    <w:rsid w:val="006F73F2"/>
    <w:rsid w:val="00727D83"/>
    <w:rsid w:val="007448CD"/>
    <w:rsid w:val="007B4C87"/>
    <w:rsid w:val="008A1203"/>
    <w:rsid w:val="00951BF2"/>
    <w:rsid w:val="009632F0"/>
    <w:rsid w:val="0096695E"/>
    <w:rsid w:val="00977A35"/>
    <w:rsid w:val="00993201"/>
    <w:rsid w:val="009945DC"/>
    <w:rsid w:val="009A4B7A"/>
    <w:rsid w:val="009A7118"/>
    <w:rsid w:val="009D0870"/>
    <w:rsid w:val="009E316B"/>
    <w:rsid w:val="00A473E0"/>
    <w:rsid w:val="00AA5B42"/>
    <w:rsid w:val="00AB2648"/>
    <w:rsid w:val="00AB45AE"/>
    <w:rsid w:val="00AC58B8"/>
    <w:rsid w:val="00AD1209"/>
    <w:rsid w:val="00B426DF"/>
    <w:rsid w:val="00B73CA7"/>
    <w:rsid w:val="00B90AD0"/>
    <w:rsid w:val="00BA674B"/>
    <w:rsid w:val="00BC454F"/>
    <w:rsid w:val="00BD3761"/>
    <w:rsid w:val="00BD5BF0"/>
    <w:rsid w:val="00C246C2"/>
    <w:rsid w:val="00C32256"/>
    <w:rsid w:val="00C47C16"/>
    <w:rsid w:val="00C63545"/>
    <w:rsid w:val="00C64135"/>
    <w:rsid w:val="00C81A68"/>
    <w:rsid w:val="00CA58B7"/>
    <w:rsid w:val="00CC591B"/>
    <w:rsid w:val="00CD60C5"/>
    <w:rsid w:val="00CE2AD7"/>
    <w:rsid w:val="00CE4492"/>
    <w:rsid w:val="00CF6D6D"/>
    <w:rsid w:val="00D03AE6"/>
    <w:rsid w:val="00D139EC"/>
    <w:rsid w:val="00D15332"/>
    <w:rsid w:val="00D1690F"/>
    <w:rsid w:val="00D555D2"/>
    <w:rsid w:val="00D665E6"/>
    <w:rsid w:val="00D80D80"/>
    <w:rsid w:val="00D93451"/>
    <w:rsid w:val="00DD5438"/>
    <w:rsid w:val="00DD76F0"/>
    <w:rsid w:val="00E77177"/>
    <w:rsid w:val="00E9581D"/>
    <w:rsid w:val="00EB022A"/>
    <w:rsid w:val="00F052F4"/>
    <w:rsid w:val="00F103D9"/>
    <w:rsid w:val="00F50AE9"/>
    <w:rsid w:val="00F64928"/>
    <w:rsid w:val="00F921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3FDEC"/>
  <w15:chartTrackingRefBased/>
  <w15:docId w15:val="{A756F606-C23E-4AC6-A80A-A06F8291D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B42"/>
    <w:pPr>
      <w:jc w:val="both"/>
    </w:pPr>
    <w:rPr>
      <w:rFonts w:ascii="Ebrima" w:hAnsi="Ebrima"/>
      <w:sz w:val="21"/>
      <w:szCs w:val="21"/>
    </w:rPr>
  </w:style>
  <w:style w:type="paragraph" w:styleId="Heading1">
    <w:name w:val="heading 1"/>
    <w:basedOn w:val="Normal"/>
    <w:next w:val="Normal"/>
    <w:link w:val="Heading1Char"/>
    <w:uiPriority w:val="9"/>
    <w:qFormat/>
    <w:rsid w:val="003F15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F15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A5B42"/>
    <w:pPr>
      <w:keepNext/>
      <w:keepLines/>
      <w:spacing w:before="160" w:after="80"/>
      <w:outlineLvl w:val="2"/>
    </w:pPr>
    <w:rPr>
      <w:rFonts w:eastAsiaTheme="majorEastAsia" w:cstheme="majorBidi"/>
      <w:color w:val="0F4761" w:themeColor="accent1" w:themeShade="BF"/>
      <w:sz w:val="24"/>
      <w:szCs w:val="24"/>
    </w:rPr>
  </w:style>
  <w:style w:type="paragraph" w:styleId="Heading4">
    <w:name w:val="heading 4"/>
    <w:basedOn w:val="Normal"/>
    <w:next w:val="Normal"/>
    <w:link w:val="Heading4Char"/>
    <w:uiPriority w:val="9"/>
    <w:semiHidden/>
    <w:unhideWhenUsed/>
    <w:qFormat/>
    <w:rsid w:val="003F15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15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15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15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15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15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15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F15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A5B42"/>
    <w:rPr>
      <w:rFonts w:ascii="Ebrima" w:eastAsiaTheme="majorEastAsia" w:hAnsi="Ebrima" w:cstheme="majorBidi"/>
      <w:color w:val="0F4761" w:themeColor="accent1" w:themeShade="BF"/>
    </w:rPr>
  </w:style>
  <w:style w:type="character" w:customStyle="1" w:styleId="Heading4Char">
    <w:name w:val="Heading 4 Char"/>
    <w:basedOn w:val="DefaultParagraphFont"/>
    <w:link w:val="Heading4"/>
    <w:uiPriority w:val="9"/>
    <w:semiHidden/>
    <w:rsid w:val="003F15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15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15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15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15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158F"/>
    <w:rPr>
      <w:rFonts w:eastAsiaTheme="majorEastAsia" w:cstheme="majorBidi"/>
      <w:color w:val="272727" w:themeColor="text1" w:themeTint="D8"/>
    </w:rPr>
  </w:style>
  <w:style w:type="paragraph" w:styleId="Title">
    <w:name w:val="Title"/>
    <w:basedOn w:val="Normal"/>
    <w:next w:val="Normal"/>
    <w:link w:val="TitleChar"/>
    <w:uiPriority w:val="10"/>
    <w:qFormat/>
    <w:rsid w:val="003F15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15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15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15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158F"/>
    <w:pPr>
      <w:spacing w:before="160"/>
      <w:jc w:val="center"/>
    </w:pPr>
    <w:rPr>
      <w:i/>
      <w:iCs/>
      <w:color w:val="404040" w:themeColor="text1" w:themeTint="BF"/>
    </w:rPr>
  </w:style>
  <w:style w:type="character" w:customStyle="1" w:styleId="QuoteChar">
    <w:name w:val="Quote Char"/>
    <w:basedOn w:val="DefaultParagraphFont"/>
    <w:link w:val="Quote"/>
    <w:uiPriority w:val="29"/>
    <w:rsid w:val="003F158F"/>
    <w:rPr>
      <w:i/>
      <w:iCs/>
      <w:color w:val="404040" w:themeColor="text1" w:themeTint="BF"/>
    </w:rPr>
  </w:style>
  <w:style w:type="paragraph" w:styleId="ListParagraph">
    <w:name w:val="List Paragraph"/>
    <w:basedOn w:val="Normal"/>
    <w:uiPriority w:val="34"/>
    <w:qFormat/>
    <w:rsid w:val="003F158F"/>
    <w:pPr>
      <w:ind w:left="720"/>
      <w:contextualSpacing/>
    </w:pPr>
  </w:style>
  <w:style w:type="character" w:styleId="IntenseEmphasis">
    <w:name w:val="Intense Emphasis"/>
    <w:basedOn w:val="DefaultParagraphFont"/>
    <w:uiPriority w:val="21"/>
    <w:qFormat/>
    <w:rsid w:val="003F158F"/>
    <w:rPr>
      <w:i/>
      <w:iCs/>
      <w:color w:val="0F4761" w:themeColor="accent1" w:themeShade="BF"/>
    </w:rPr>
  </w:style>
  <w:style w:type="paragraph" w:styleId="IntenseQuote">
    <w:name w:val="Intense Quote"/>
    <w:basedOn w:val="Normal"/>
    <w:next w:val="Normal"/>
    <w:link w:val="IntenseQuoteChar"/>
    <w:uiPriority w:val="30"/>
    <w:qFormat/>
    <w:rsid w:val="003F15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158F"/>
    <w:rPr>
      <w:i/>
      <w:iCs/>
      <w:color w:val="0F4761" w:themeColor="accent1" w:themeShade="BF"/>
    </w:rPr>
  </w:style>
  <w:style w:type="character" w:styleId="IntenseReference">
    <w:name w:val="Intense Reference"/>
    <w:basedOn w:val="DefaultParagraphFont"/>
    <w:uiPriority w:val="32"/>
    <w:qFormat/>
    <w:rsid w:val="003F158F"/>
    <w:rPr>
      <w:b/>
      <w:bCs/>
      <w:smallCaps/>
      <w:color w:val="0F4761" w:themeColor="accent1" w:themeShade="BF"/>
      <w:spacing w:val="5"/>
    </w:rPr>
  </w:style>
  <w:style w:type="paragraph" w:styleId="NormalWeb">
    <w:name w:val="Normal (Web)"/>
    <w:basedOn w:val="Normal"/>
    <w:uiPriority w:val="99"/>
    <w:semiHidden/>
    <w:unhideWhenUsed/>
    <w:rsid w:val="009945DC"/>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styleId="Caption">
    <w:name w:val="caption"/>
    <w:basedOn w:val="Normal"/>
    <w:next w:val="Normal"/>
    <w:uiPriority w:val="35"/>
    <w:unhideWhenUsed/>
    <w:qFormat/>
    <w:rsid w:val="003A5CC4"/>
    <w:pPr>
      <w:spacing w:after="200" w:line="240" w:lineRule="auto"/>
    </w:pPr>
    <w:rPr>
      <w:i/>
      <w:iCs/>
      <w:color w:val="0E2841" w:themeColor="text2"/>
      <w:sz w:val="18"/>
      <w:szCs w:val="18"/>
    </w:rPr>
  </w:style>
  <w:style w:type="character" w:styleId="Emphasis">
    <w:name w:val="Emphasis"/>
    <w:basedOn w:val="DefaultParagraphFont"/>
    <w:uiPriority w:val="20"/>
    <w:qFormat/>
    <w:rsid w:val="001C20F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A99EC2-DCD0-49F3-9226-3A6EF5CF9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9</Pages>
  <Words>1711</Words>
  <Characters>9758</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Niamh O'Connor</dc:creator>
  <cp:keywords/>
  <dc:description/>
  <cp:lastModifiedBy>Niamh O'Connor</cp:lastModifiedBy>
  <cp:revision>7</cp:revision>
  <dcterms:created xsi:type="dcterms:W3CDTF">2026-01-17T19:37:00Z</dcterms:created>
  <dcterms:modified xsi:type="dcterms:W3CDTF">2026-01-21T20:51:00Z</dcterms:modified>
</cp:coreProperties>
</file>