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2">
      <w:pPr>
        <w:spacing w:line="360" w:lineRule="auto"/>
        <w:rPr>
          <w:rFonts w:ascii="Times" w:cs="Times" w:eastAsia="Times" w:hAnsi="Times"/>
          <w:b w:val="1"/>
          <w:sz w:val="28"/>
          <w:szCs w:val="28"/>
        </w:rPr>
      </w:pPr>
      <w:r w:rsidDel="00000000" w:rsidR="00000000" w:rsidRPr="00000000">
        <w:rPr>
          <w:rFonts w:ascii="Times New Roman" w:cs="Times New Roman" w:eastAsia="Times New Roman" w:hAnsi="Times New Roman"/>
        </w:rPr>
        <w:drawing>
          <wp:anchor allowOverlap="1" behindDoc="0" distB="0" distT="0" distL="114300" distR="114300" hidden="0" layoutInCell="1" locked="0" relativeHeight="0" simplePos="0">
            <wp:simplePos x="0" y="0"/>
            <wp:positionH relativeFrom="margin">
              <wp:posOffset>616585</wp:posOffset>
            </wp:positionH>
            <wp:positionV relativeFrom="margin">
              <wp:posOffset>491348</wp:posOffset>
            </wp:positionV>
            <wp:extent cx="4497705" cy="1362075"/>
            <wp:effectExtent b="0" l="0" r="0" t="0"/>
            <wp:wrapSquare wrapText="bothSides" distB="0" distT="0" distL="114300" distR="114300"/>
            <wp:docPr descr="page1image2215797184" id="2142794194" name="image1.png"/>
            <a:graphic>
              <a:graphicData uri="http://schemas.openxmlformats.org/drawingml/2006/picture">
                <pic:pic>
                  <pic:nvPicPr>
                    <pic:cNvPr descr="page1image2215797184" id="0" name="image1.png"/>
                    <pic:cNvPicPr preferRelativeResize="0"/>
                  </pic:nvPicPr>
                  <pic:blipFill>
                    <a:blip r:embed="rId7"/>
                    <a:srcRect b="0" l="0" r="0" t="0"/>
                    <a:stretch>
                      <a:fillRect/>
                    </a:stretch>
                  </pic:blipFill>
                  <pic:spPr>
                    <a:xfrm>
                      <a:off x="0" y="0"/>
                      <a:ext cx="4497705" cy="1362075"/>
                    </a:xfrm>
                    <a:prstGeom prst="rect"/>
                    <a:ln/>
                  </pic:spPr>
                </pic:pic>
              </a:graphicData>
            </a:graphic>
          </wp:anchor>
        </w:drawing>
      </w:r>
      <w:r w:rsidDel="00000000" w:rsidR="00000000" w:rsidRPr="00000000">
        <w:rPr>
          <w:rtl w:val="0"/>
        </w:rPr>
      </w:r>
    </w:p>
    <w:p w:rsidR="00000000" w:rsidDel="00000000" w:rsidP="00000000" w:rsidRDefault="00000000" w:rsidRPr="00000000" w14:paraId="00000003">
      <w:pPr>
        <w:spacing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4">
      <w:pPr>
        <w:spacing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5">
      <w:pPr>
        <w:spacing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6">
      <w:pPr>
        <w:spacing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7">
      <w:pPr>
        <w:spacing w:line="360" w:lineRule="auto"/>
        <w:rPr>
          <w:rFonts w:ascii="Times" w:cs="Times" w:eastAsia="Times" w:hAnsi="Times"/>
          <w:b w:val="1"/>
          <w:sz w:val="32"/>
          <w:szCs w:val="32"/>
        </w:rPr>
      </w:pPr>
      <w:r w:rsidDel="00000000" w:rsidR="00000000" w:rsidRPr="00000000">
        <w:rPr>
          <w:rtl w:val="0"/>
        </w:rPr>
      </w:r>
    </w:p>
    <w:p w:rsidR="00000000" w:rsidDel="00000000" w:rsidP="00000000" w:rsidRDefault="00000000" w:rsidRPr="00000000" w14:paraId="00000008">
      <w:pPr>
        <w:spacing w:line="360" w:lineRule="auto"/>
        <w:jc w:val="center"/>
        <w:rPr>
          <w:rFonts w:ascii="Times" w:cs="Times" w:eastAsia="Times" w:hAnsi="Times"/>
          <w:b w:val="1"/>
          <w:sz w:val="32"/>
          <w:szCs w:val="32"/>
        </w:rPr>
      </w:pPr>
      <w:r w:rsidDel="00000000" w:rsidR="00000000" w:rsidRPr="00000000">
        <w:rPr>
          <w:rtl w:val="0"/>
        </w:rPr>
      </w:r>
    </w:p>
    <w:p w:rsidR="00000000" w:rsidDel="00000000" w:rsidP="00000000" w:rsidRDefault="00000000" w:rsidRPr="00000000" w14:paraId="00000009">
      <w:pPr>
        <w:spacing w:line="360" w:lineRule="auto"/>
        <w:jc w:val="center"/>
        <w:rPr>
          <w:rFonts w:ascii="Times" w:cs="Times" w:eastAsia="Times" w:hAnsi="Times"/>
          <w:b w:val="1"/>
          <w:sz w:val="32"/>
          <w:szCs w:val="32"/>
        </w:rPr>
      </w:pPr>
      <w:r w:rsidDel="00000000" w:rsidR="00000000" w:rsidRPr="00000000">
        <w:rPr>
          <w:rtl w:val="0"/>
        </w:rPr>
      </w:r>
    </w:p>
    <w:p w:rsidR="00000000" w:rsidDel="00000000" w:rsidP="00000000" w:rsidRDefault="00000000" w:rsidRPr="00000000" w14:paraId="0000000A">
      <w:pPr>
        <w:spacing w:line="360" w:lineRule="auto"/>
        <w:jc w:val="center"/>
        <w:rPr>
          <w:b w:val="1"/>
          <w:sz w:val="32"/>
          <w:szCs w:val="32"/>
        </w:rPr>
      </w:pPr>
      <w:r w:rsidDel="00000000" w:rsidR="00000000" w:rsidRPr="00000000">
        <w:rPr>
          <w:b w:val="1"/>
          <w:sz w:val="32"/>
          <w:szCs w:val="32"/>
          <w:rtl w:val="0"/>
        </w:rPr>
        <w:t xml:space="preserve">Patient Experiences of Prescription Drug Dependence and Associated Treatment in England – A Qualitative Study.</w:t>
      </w:r>
    </w:p>
    <w:p w:rsidR="00000000" w:rsidDel="00000000" w:rsidP="00000000" w:rsidRDefault="00000000" w:rsidRPr="00000000" w14:paraId="0000000B">
      <w:pPr>
        <w:spacing w:line="360" w:lineRule="auto"/>
        <w:jc w:val="center"/>
        <w:rPr>
          <w:b w:val="1"/>
          <w:sz w:val="32"/>
          <w:szCs w:val="32"/>
        </w:rPr>
      </w:pPr>
      <w:r w:rsidDel="00000000" w:rsidR="00000000" w:rsidRPr="00000000">
        <w:rPr>
          <w:b w:val="1"/>
          <w:sz w:val="20"/>
          <w:szCs w:val="20"/>
          <w:rtl w:val="0"/>
        </w:rPr>
        <w:br w:type="textWrapping"/>
      </w:r>
      <w:r w:rsidDel="00000000" w:rsidR="00000000" w:rsidRPr="00000000">
        <w:rPr>
          <w:b w:val="1"/>
          <w:sz w:val="28"/>
          <w:szCs w:val="28"/>
          <w:rtl w:val="0"/>
        </w:rPr>
        <w:t xml:space="preserve">Jessica Louise White</w:t>
      </w:r>
      <w:r w:rsidDel="00000000" w:rsidR="00000000" w:rsidRPr="00000000">
        <w:rPr>
          <w:rtl w:val="0"/>
        </w:rPr>
      </w:r>
    </w:p>
    <w:p w:rsidR="00000000" w:rsidDel="00000000" w:rsidP="00000000" w:rsidRDefault="00000000" w:rsidRPr="00000000" w14:paraId="0000000C">
      <w:pPr>
        <w:spacing w:line="360" w:lineRule="auto"/>
        <w:jc w:val="center"/>
        <w:rPr>
          <w:b w:val="1"/>
          <w:sz w:val="22"/>
          <w:szCs w:val="22"/>
        </w:rPr>
      </w:pPr>
      <w:r w:rsidDel="00000000" w:rsidR="00000000" w:rsidRPr="00000000">
        <w:rPr>
          <w:rtl w:val="0"/>
        </w:rPr>
      </w:r>
    </w:p>
    <w:p w:rsidR="00000000" w:rsidDel="00000000" w:rsidP="00000000" w:rsidRDefault="00000000" w:rsidRPr="00000000" w14:paraId="0000000D">
      <w:pPr>
        <w:spacing w:line="360" w:lineRule="auto"/>
        <w:jc w:val="center"/>
        <w:rPr>
          <w:b w:val="1"/>
          <w:sz w:val="22"/>
          <w:szCs w:val="22"/>
        </w:rPr>
      </w:pPr>
      <w:r w:rsidDel="00000000" w:rsidR="00000000" w:rsidRPr="00000000">
        <w:rPr>
          <w:rtl w:val="0"/>
        </w:rPr>
      </w:r>
    </w:p>
    <w:p w:rsidR="00000000" w:rsidDel="00000000" w:rsidP="00000000" w:rsidRDefault="00000000" w:rsidRPr="00000000" w14:paraId="0000000E">
      <w:pPr>
        <w:spacing w:line="360" w:lineRule="auto"/>
        <w:jc w:val="center"/>
        <w:rPr>
          <w:sz w:val="22"/>
          <w:szCs w:val="22"/>
        </w:rPr>
      </w:pPr>
      <w:r w:rsidDel="00000000" w:rsidR="00000000" w:rsidRPr="00000000">
        <w:rPr>
          <w:sz w:val="22"/>
          <w:szCs w:val="22"/>
          <w:rtl w:val="0"/>
        </w:rPr>
        <w:t xml:space="preserve">Submitted in accordance with the requirements for the degree of Master of Philosophy </w:t>
      </w:r>
    </w:p>
    <w:p w:rsidR="00000000" w:rsidDel="00000000" w:rsidP="00000000" w:rsidRDefault="00000000" w:rsidRPr="00000000" w14:paraId="0000000F">
      <w:pPr>
        <w:spacing w:line="360" w:lineRule="auto"/>
        <w:jc w:val="center"/>
        <w:rPr>
          <w:sz w:val="22"/>
          <w:szCs w:val="22"/>
        </w:rPr>
      </w:pPr>
      <w:r w:rsidDel="00000000" w:rsidR="00000000" w:rsidRPr="00000000">
        <w:rPr>
          <w:rtl w:val="0"/>
        </w:rPr>
      </w:r>
    </w:p>
    <w:p w:rsidR="00000000" w:rsidDel="00000000" w:rsidP="00000000" w:rsidRDefault="00000000" w:rsidRPr="00000000" w14:paraId="00000010">
      <w:pPr>
        <w:spacing w:line="360" w:lineRule="auto"/>
        <w:jc w:val="center"/>
        <w:rPr>
          <w:sz w:val="22"/>
          <w:szCs w:val="22"/>
        </w:rPr>
      </w:pPr>
      <w:r w:rsidDel="00000000" w:rsidR="00000000" w:rsidRPr="00000000">
        <w:rPr>
          <w:rtl w:val="0"/>
        </w:rPr>
      </w:r>
    </w:p>
    <w:p w:rsidR="00000000" w:rsidDel="00000000" w:rsidP="00000000" w:rsidRDefault="00000000" w:rsidRPr="00000000" w14:paraId="00000011">
      <w:pPr>
        <w:spacing w:line="360" w:lineRule="auto"/>
        <w:jc w:val="center"/>
        <w:rPr>
          <w:b w:val="1"/>
          <w:sz w:val="22"/>
          <w:szCs w:val="22"/>
        </w:rPr>
      </w:pPr>
      <w:r w:rsidDel="00000000" w:rsidR="00000000" w:rsidRPr="00000000">
        <w:rPr>
          <w:b w:val="1"/>
          <w:sz w:val="22"/>
          <w:szCs w:val="22"/>
          <w:rtl w:val="0"/>
        </w:rPr>
        <w:t xml:space="preserve">The University of Sheffield</w:t>
      </w:r>
    </w:p>
    <w:p w:rsidR="00000000" w:rsidDel="00000000" w:rsidP="00000000" w:rsidRDefault="00000000" w:rsidRPr="00000000" w14:paraId="00000012">
      <w:pPr>
        <w:spacing w:line="360" w:lineRule="auto"/>
        <w:jc w:val="center"/>
        <w:rPr>
          <w:sz w:val="22"/>
          <w:szCs w:val="22"/>
        </w:rPr>
      </w:pPr>
      <w:r w:rsidDel="00000000" w:rsidR="00000000" w:rsidRPr="00000000">
        <w:rPr>
          <w:sz w:val="22"/>
          <w:szCs w:val="22"/>
          <w:rtl w:val="0"/>
        </w:rPr>
        <w:t xml:space="preserve">School of Medicine and Population Health</w:t>
      </w:r>
    </w:p>
    <w:p w:rsidR="00000000" w:rsidDel="00000000" w:rsidP="00000000" w:rsidRDefault="00000000" w:rsidRPr="00000000" w14:paraId="00000013">
      <w:pPr>
        <w:spacing w:line="360" w:lineRule="auto"/>
        <w:jc w:val="center"/>
        <w:rPr>
          <w:sz w:val="22"/>
          <w:szCs w:val="22"/>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1"/>
          <w:i w:val="0"/>
          <w:smallCaps w:val="0"/>
          <w:strike w:val="0"/>
          <w:color w:val="212121"/>
          <w:sz w:val="22"/>
          <w:szCs w:val="22"/>
          <w:u w:val="none"/>
          <w:shd w:fill="auto" w:val="clear"/>
          <w:vertAlign w:val="baseline"/>
          <w:rtl w:val="0"/>
        </w:rPr>
        <w:t xml:space="preserve">Supervisors:</w:t>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Dr Richard Cooper</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br w:type="textWrapping"/>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Dr Nicholas Woodrow</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ptos" w:cs="Aptos" w:eastAsia="Aptos" w:hAnsi="Aptos"/>
          <w:b w:val="0"/>
          <w:i w:val="0"/>
          <w:smallCaps w:val="0"/>
          <w:strike w:val="0"/>
          <w:color w:val="212121"/>
          <w:sz w:val="22"/>
          <w:szCs w:val="22"/>
          <w:u w:val="none"/>
          <w:shd w:fill="auto" w:val="clear"/>
          <w:vertAlign w:val="baseline"/>
        </w:rPr>
      </w:pPr>
      <w:r w:rsidDel="00000000" w:rsidR="00000000" w:rsidRPr="00000000">
        <w:rPr>
          <w:rFonts w:ascii="Aptos" w:cs="Aptos" w:eastAsia="Aptos" w:hAnsi="Aptos"/>
          <w:b w:val="1"/>
          <w:i w:val="0"/>
          <w:smallCaps w:val="0"/>
          <w:strike w:val="0"/>
          <w:color w:val="212121"/>
          <w:sz w:val="22"/>
          <w:szCs w:val="22"/>
          <w:u w:val="none"/>
          <w:shd w:fill="auto" w:val="clear"/>
          <w:vertAlign w:val="baseline"/>
          <w:rtl w:val="0"/>
        </w:rPr>
        <w:t xml:space="preserve">Submission date:</w:t>
      </w:r>
      <w:r w:rsidDel="00000000" w:rsidR="00000000" w:rsidRPr="00000000">
        <w:rPr>
          <w:rFonts w:ascii="Aptos" w:cs="Aptos" w:eastAsia="Aptos" w:hAnsi="Aptos"/>
          <w:b w:val="0"/>
          <w:i w:val="0"/>
          <w:smallCaps w:val="0"/>
          <w:strike w:val="0"/>
          <w:color w:val="212121"/>
          <w:sz w:val="22"/>
          <w:szCs w:val="22"/>
          <w:u w:val="none"/>
          <w:shd w:fill="auto" w:val="clear"/>
          <w:vertAlign w:val="baseline"/>
          <w:rtl w:val="0"/>
        </w:rPr>
        <w:t xml:space="preserve"> December 12</w:t>
      </w:r>
      <w:r w:rsidDel="00000000" w:rsidR="00000000" w:rsidRPr="00000000">
        <w:rPr>
          <w:rFonts w:ascii="Aptos" w:cs="Aptos" w:eastAsia="Aptos" w:hAnsi="Aptos"/>
          <w:b w:val="0"/>
          <w:i w:val="0"/>
          <w:smallCaps w:val="0"/>
          <w:strike w:val="0"/>
          <w:color w:val="212121"/>
          <w:sz w:val="22"/>
          <w:szCs w:val="22"/>
          <w:u w:val="none"/>
          <w:shd w:fill="auto" w:val="clear"/>
          <w:vertAlign w:val="superscript"/>
          <w:rtl w:val="0"/>
        </w:rPr>
        <w:t xml:space="preserve">th</w:t>
      </w:r>
      <w:r w:rsidDel="00000000" w:rsidR="00000000" w:rsidRPr="00000000">
        <w:rPr>
          <w:rFonts w:ascii="Aptos" w:cs="Aptos" w:eastAsia="Aptos" w:hAnsi="Aptos"/>
          <w:b w:val="0"/>
          <w:i w:val="0"/>
          <w:smallCaps w:val="0"/>
          <w:strike w:val="0"/>
          <w:color w:val="212121"/>
          <w:sz w:val="22"/>
          <w:szCs w:val="22"/>
          <w:u w:val="none"/>
          <w:shd w:fill="auto" w:val="clear"/>
          <w:vertAlign w:val="baseline"/>
          <w:rtl w:val="0"/>
        </w:rPr>
        <w:t xml:space="preserve"> 2024</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212121"/>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ptos" w:cs="Aptos" w:eastAsia="Aptos" w:hAnsi="Aptos"/>
          <w:b w:val="1"/>
          <w:i w:val="0"/>
          <w:smallCaps w:val="0"/>
          <w:strike w:val="0"/>
          <w:color w:val="212121"/>
          <w:sz w:val="22"/>
          <w:szCs w:val="22"/>
          <w:u w:val="none"/>
          <w:shd w:fill="auto" w:val="clear"/>
          <w:vertAlign w:val="baseline"/>
        </w:rPr>
      </w:pPr>
      <w:r w:rsidDel="00000000" w:rsidR="00000000" w:rsidRPr="00000000">
        <w:rPr>
          <w:rFonts w:ascii="Aptos" w:cs="Aptos" w:eastAsia="Aptos" w:hAnsi="Aptos"/>
          <w:b w:val="1"/>
          <w:i w:val="0"/>
          <w:smallCaps w:val="0"/>
          <w:strike w:val="0"/>
          <w:color w:val="212121"/>
          <w:sz w:val="22"/>
          <w:szCs w:val="22"/>
          <w:u w:val="none"/>
          <w:shd w:fill="auto" w:val="clear"/>
          <w:vertAlign w:val="baseline"/>
          <w:rtl w:val="0"/>
        </w:rPr>
        <w:t xml:space="preserve">Word Count: 72, 410</w:t>
      </w:r>
    </w:p>
    <w:p w:rsidR="00000000" w:rsidDel="00000000" w:rsidP="00000000" w:rsidRDefault="00000000" w:rsidRPr="00000000" w14:paraId="0000001A">
      <w:pPr>
        <w:pStyle w:val="Heading1"/>
        <w:rPr/>
      </w:pPr>
      <w:bookmarkStart w:colFirst="0" w:colLast="0" w:name="_heading=h.gjdgxs" w:id="0"/>
      <w:bookmarkEnd w:id="0"/>
      <w:r w:rsidDel="00000000" w:rsidR="00000000" w:rsidRPr="00000000">
        <w:rPr>
          <w:rtl w:val="0"/>
        </w:rPr>
      </w:r>
    </w:p>
    <w:p w:rsidR="00000000" w:rsidDel="00000000" w:rsidP="00000000" w:rsidRDefault="00000000" w:rsidRPr="00000000" w14:paraId="0000001B">
      <w:pPr>
        <w:pStyle w:val="Heading1"/>
        <w:rPr/>
      </w:pPr>
      <w:r w:rsidDel="00000000" w:rsidR="00000000" w:rsidRPr="00000000">
        <w:rPr>
          <w:rtl w:val="0"/>
        </w:rPr>
      </w:r>
    </w:p>
    <w:p w:rsidR="00000000" w:rsidDel="00000000" w:rsidP="00000000" w:rsidRDefault="00000000" w:rsidRPr="00000000" w14:paraId="0000001C">
      <w:pPr>
        <w:pStyle w:val="Heading1"/>
        <w:rPr/>
      </w:pPr>
      <w:r w:rsidDel="00000000" w:rsidR="00000000" w:rsidRPr="00000000">
        <w:rPr>
          <w:rtl w:val="0"/>
        </w:rPr>
      </w:r>
    </w:p>
    <w:p w:rsidR="00000000" w:rsidDel="00000000" w:rsidP="00000000" w:rsidRDefault="00000000" w:rsidRPr="00000000" w14:paraId="0000001D">
      <w:pPr>
        <w:pStyle w:val="Heading1"/>
        <w:rPr/>
      </w:pPr>
      <w:r w:rsidDel="00000000" w:rsidR="00000000" w:rsidRPr="00000000">
        <w:rPr>
          <w:rtl w:val="0"/>
        </w:rPr>
      </w:r>
    </w:p>
    <w:p w:rsidR="00000000" w:rsidDel="00000000" w:rsidP="00000000" w:rsidRDefault="00000000" w:rsidRPr="00000000" w14:paraId="0000001E">
      <w:pPr>
        <w:pStyle w:val="Heading1"/>
        <w:rPr/>
      </w:pPr>
      <w:r w:rsidDel="00000000" w:rsidR="00000000" w:rsidRPr="00000000">
        <w:rPr>
          <w:rtl w:val="0"/>
        </w:rPr>
      </w:r>
    </w:p>
    <w:p w:rsidR="00000000" w:rsidDel="00000000" w:rsidP="00000000" w:rsidRDefault="00000000" w:rsidRPr="00000000" w14:paraId="0000001F">
      <w:pPr>
        <w:pStyle w:val="Heading1"/>
        <w:rPr/>
      </w:pPr>
      <w:r w:rsidDel="00000000" w:rsidR="00000000" w:rsidRPr="00000000">
        <w:rPr>
          <w:rtl w:val="0"/>
        </w:rPr>
      </w:r>
    </w:p>
    <w:p w:rsidR="00000000" w:rsidDel="00000000" w:rsidP="00000000" w:rsidRDefault="00000000" w:rsidRPr="00000000" w14:paraId="00000020">
      <w:pPr>
        <w:pStyle w:val="Heading1"/>
        <w:rPr/>
      </w:pPr>
      <w:r w:rsidDel="00000000" w:rsidR="00000000" w:rsidRPr="00000000">
        <w:rPr>
          <w:rtl w:val="0"/>
        </w:rPr>
      </w:r>
    </w:p>
    <w:p w:rsidR="00000000" w:rsidDel="00000000" w:rsidP="00000000" w:rsidRDefault="00000000" w:rsidRPr="00000000" w14:paraId="00000021">
      <w:pPr>
        <w:pStyle w:val="Heading1"/>
        <w:rPr/>
      </w:pPr>
      <w:r w:rsidDel="00000000" w:rsidR="00000000" w:rsidRPr="00000000">
        <w:rPr>
          <w:rtl w:val="0"/>
        </w:rPr>
      </w:r>
    </w:p>
    <w:p w:rsidR="00000000" w:rsidDel="00000000" w:rsidP="00000000" w:rsidRDefault="00000000" w:rsidRPr="00000000" w14:paraId="00000022">
      <w:pPr>
        <w:pStyle w:val="Heading1"/>
        <w:rPr/>
      </w:pPr>
      <w:r w:rsidDel="00000000" w:rsidR="00000000" w:rsidRPr="00000000">
        <w:rPr>
          <w:rtl w:val="0"/>
        </w:rPr>
      </w:r>
    </w:p>
    <w:p w:rsidR="00000000" w:rsidDel="00000000" w:rsidP="00000000" w:rsidRDefault="00000000" w:rsidRPr="00000000" w14:paraId="00000023">
      <w:pPr>
        <w:pStyle w:val="Heading1"/>
        <w:rPr/>
      </w:pPr>
      <w:r w:rsidDel="00000000" w:rsidR="00000000" w:rsidRPr="00000000">
        <w:rPr>
          <w:rtl w:val="0"/>
        </w:rPr>
      </w:r>
    </w:p>
    <w:p w:rsidR="00000000" w:rsidDel="00000000" w:rsidP="00000000" w:rsidRDefault="00000000" w:rsidRPr="00000000" w14:paraId="00000024">
      <w:pPr>
        <w:pStyle w:val="Heading1"/>
        <w:rPr/>
      </w:pPr>
      <w:r w:rsidDel="00000000" w:rsidR="00000000" w:rsidRPr="00000000">
        <w:rPr>
          <w:rtl w:val="0"/>
        </w:rPr>
      </w:r>
    </w:p>
    <w:p w:rsidR="00000000" w:rsidDel="00000000" w:rsidP="00000000" w:rsidRDefault="00000000" w:rsidRPr="00000000" w14:paraId="00000025">
      <w:pPr>
        <w:pStyle w:val="Heading1"/>
        <w:rPr/>
      </w:pPr>
      <w:r w:rsidDel="00000000" w:rsidR="00000000" w:rsidRPr="00000000">
        <w:rPr>
          <w:rtl w:val="0"/>
        </w:rPr>
      </w:r>
    </w:p>
    <w:p w:rsidR="00000000" w:rsidDel="00000000" w:rsidP="00000000" w:rsidRDefault="00000000" w:rsidRPr="00000000" w14:paraId="00000026">
      <w:pPr>
        <w:pStyle w:val="Heading1"/>
        <w:rPr/>
      </w:pPr>
      <w:r w:rsidDel="00000000" w:rsidR="00000000" w:rsidRPr="00000000">
        <w:rPr>
          <w:rtl w:val="0"/>
        </w:rPr>
      </w:r>
    </w:p>
    <w:p w:rsidR="00000000" w:rsidDel="00000000" w:rsidP="00000000" w:rsidRDefault="00000000" w:rsidRPr="00000000" w14:paraId="00000027">
      <w:pPr>
        <w:pStyle w:val="Heading1"/>
        <w:rPr/>
      </w:pPr>
      <w:r w:rsidDel="00000000" w:rsidR="00000000" w:rsidRPr="00000000">
        <w:rPr>
          <w:rtl w:val="0"/>
        </w:rPr>
      </w:r>
    </w:p>
    <w:p w:rsidR="00000000" w:rsidDel="00000000" w:rsidP="00000000" w:rsidRDefault="00000000" w:rsidRPr="00000000" w14:paraId="00000028">
      <w:pPr>
        <w:pStyle w:val="Heading1"/>
        <w:rPr/>
      </w:pPr>
      <w:r w:rsidDel="00000000" w:rsidR="00000000" w:rsidRPr="00000000">
        <w:rPr>
          <w:rtl w:val="0"/>
        </w:rPr>
      </w:r>
    </w:p>
    <w:p w:rsidR="00000000" w:rsidDel="00000000" w:rsidP="00000000" w:rsidRDefault="00000000" w:rsidRPr="00000000" w14:paraId="00000029">
      <w:pPr>
        <w:pStyle w:val="Heading1"/>
        <w:rPr/>
      </w:pPr>
      <w:r w:rsidDel="00000000" w:rsidR="00000000" w:rsidRPr="00000000">
        <w:rPr>
          <w:rtl w:val="0"/>
        </w:rPr>
      </w:r>
    </w:p>
    <w:p w:rsidR="00000000" w:rsidDel="00000000" w:rsidP="00000000" w:rsidRDefault="00000000" w:rsidRPr="00000000" w14:paraId="0000002A">
      <w:pPr>
        <w:pStyle w:val="Heading1"/>
        <w:spacing w:line="360" w:lineRule="auto"/>
        <w:rPr/>
      </w:pPr>
      <w:bookmarkStart w:colFirst="0" w:colLast="0" w:name="_heading=h.efnqrxrfgwnl" w:id="1"/>
      <w:bookmarkEnd w:id="1"/>
      <w:r w:rsidDel="00000000" w:rsidR="00000000" w:rsidRPr="00000000">
        <w:rPr>
          <w:rtl w:val="0"/>
        </w:rPr>
      </w:r>
    </w:p>
    <w:p w:rsidR="00000000" w:rsidDel="00000000" w:rsidP="00000000" w:rsidRDefault="00000000" w:rsidRPr="00000000" w14:paraId="0000002B">
      <w:pPr>
        <w:pStyle w:val="Heading1"/>
        <w:spacing w:line="360" w:lineRule="auto"/>
        <w:rPr/>
      </w:pPr>
      <w:bookmarkStart w:colFirst="0" w:colLast="0" w:name="_heading=h.30j0zll" w:id="2"/>
      <w:bookmarkEnd w:id="2"/>
      <w:r w:rsidDel="00000000" w:rsidR="00000000" w:rsidRPr="00000000">
        <w:rPr>
          <w:rtl w:val="0"/>
        </w:rPr>
        <w:t xml:space="preserve">Abstract </w:t>
      </w:r>
    </w:p>
    <w:p w:rsidR="00000000" w:rsidDel="00000000" w:rsidP="00000000" w:rsidRDefault="00000000" w:rsidRPr="00000000" w14:paraId="0000002C">
      <w:pPr>
        <w:spacing w:line="360" w:lineRule="auto"/>
        <w:jc w:val="both"/>
        <w:rPr>
          <w:color w:val="000000"/>
          <w:sz w:val="22"/>
          <w:szCs w:val="22"/>
        </w:rPr>
      </w:pPr>
      <w:r w:rsidDel="00000000" w:rsidR="00000000" w:rsidRPr="00000000">
        <w:rPr>
          <w:b w:val="1"/>
          <w:color w:val="000000"/>
          <w:sz w:val="22"/>
          <w:szCs w:val="22"/>
          <w:rtl w:val="0"/>
        </w:rPr>
        <w:t xml:space="preserve">Background </w:t>
      </w:r>
      <w:r w:rsidDel="00000000" w:rsidR="00000000" w:rsidRPr="00000000">
        <w:rPr>
          <w:color w:val="000000"/>
          <w:sz w:val="22"/>
          <w:szCs w:val="22"/>
          <w:rtl w:val="0"/>
        </w:rPr>
        <w:t xml:space="preserve">- Medicines represent an important area of clinical therapy but several types including antidepressants, benzodiazepines, gabapentinoids, z-drugs and mostly recognisably opioids, have been associated with dependence and withdrawal symptoms. This represents both a clinical but also a public health concern and there have been recent attempts to limit prescribing, whilst providing more treatment and support. However, understanding of the lived experiences of those affected by prescription medicine dependence and withdrawal are still limited. This study aimed to explore experiences of those reporting dependence and withdrawal from such medications, contextualised within the theoretical frameworks of Parsons (1951) sick role and stigma.</w:t>
      </w:r>
    </w:p>
    <w:p w:rsidR="00000000" w:rsidDel="00000000" w:rsidP="00000000" w:rsidRDefault="00000000" w:rsidRPr="00000000" w14:paraId="0000002D">
      <w:pPr>
        <w:spacing w:line="360" w:lineRule="auto"/>
        <w:jc w:val="both"/>
        <w:rPr>
          <w:rFonts w:ascii="Times" w:cs="Times" w:eastAsia="Times" w:hAnsi="Times"/>
          <w:color w:val="000000"/>
          <w:sz w:val="22"/>
          <w:szCs w:val="22"/>
        </w:rPr>
      </w:pPr>
      <w:r w:rsidDel="00000000" w:rsidR="00000000" w:rsidRPr="00000000">
        <w:rPr>
          <w:rtl w:val="0"/>
        </w:rPr>
      </w:r>
    </w:p>
    <w:p w:rsidR="00000000" w:rsidDel="00000000" w:rsidP="00000000" w:rsidRDefault="00000000" w:rsidRPr="00000000" w14:paraId="0000002E">
      <w:pPr>
        <w:spacing w:line="360" w:lineRule="auto"/>
        <w:jc w:val="both"/>
        <w:rPr>
          <w:color w:val="000000"/>
          <w:sz w:val="22"/>
          <w:szCs w:val="22"/>
        </w:rPr>
      </w:pPr>
      <w:r w:rsidDel="00000000" w:rsidR="00000000" w:rsidRPr="00000000">
        <w:rPr>
          <w:b w:val="1"/>
          <w:color w:val="000000"/>
          <w:sz w:val="22"/>
          <w:szCs w:val="22"/>
          <w:rtl w:val="0"/>
        </w:rPr>
        <w:t xml:space="preserve">Methods</w:t>
      </w:r>
      <w:r w:rsidDel="00000000" w:rsidR="00000000" w:rsidRPr="00000000">
        <w:rPr>
          <w:color w:val="000000"/>
          <w:sz w:val="22"/>
          <w:szCs w:val="22"/>
          <w:rtl w:val="0"/>
        </w:rPr>
        <w:t xml:space="preserve"> - A qualitative exploratory methodology was used. Thirteen semi-structured online interviews were undertaken between 2021-2023. These were with individuals residing in the UK who self-identified as being dependent on, or experiencing withdrawal from, the aforementioned prescription medicines using purposive sampling. This was analysed using Braun and Clarke’s six stage thematic analysis.</w:t>
      </w:r>
    </w:p>
    <w:p w:rsidR="00000000" w:rsidDel="00000000" w:rsidP="00000000" w:rsidRDefault="00000000" w:rsidRPr="00000000" w14:paraId="0000002F">
      <w:pPr>
        <w:spacing w:line="360" w:lineRule="auto"/>
        <w:jc w:val="both"/>
        <w:rPr>
          <w:color w:val="000000"/>
          <w:sz w:val="22"/>
          <w:szCs w:val="22"/>
        </w:rPr>
      </w:pPr>
      <w:r w:rsidDel="00000000" w:rsidR="00000000" w:rsidRPr="00000000">
        <w:rPr>
          <w:rFonts w:ascii="Times" w:cs="Times" w:eastAsia="Times" w:hAnsi="Times"/>
          <w:color w:val="000000"/>
          <w:sz w:val="22"/>
          <w:szCs w:val="22"/>
          <w:rtl w:val="0"/>
        </w:rPr>
        <w:br w:type="textWrapping"/>
      </w:r>
      <w:r w:rsidDel="00000000" w:rsidR="00000000" w:rsidRPr="00000000">
        <w:rPr>
          <w:b w:val="1"/>
          <w:color w:val="000000"/>
          <w:sz w:val="22"/>
          <w:szCs w:val="22"/>
          <w:rtl w:val="0"/>
        </w:rPr>
        <w:t xml:space="preserve">Findings</w:t>
      </w:r>
      <w:r w:rsidDel="00000000" w:rsidR="00000000" w:rsidRPr="00000000">
        <w:rPr>
          <w:color w:val="000000"/>
          <w:sz w:val="22"/>
          <w:szCs w:val="22"/>
          <w:rtl w:val="0"/>
        </w:rPr>
        <w:t xml:space="preserve"> – Patients using prescribed medicines continuously evaluate medicines in relation to their safety, efficacy and the wider social and personal implications of their use. Medicines were generally perceived to be safe and effective, with an overall positive perception of these drugs, particularly if therapeutic benefits were experienced. There was a perceived lack of information shared by prescribers regarding medicine risks. Non-pharmacological treatments such as psychosocial interventions were preferred, but these were limited in terms of availability due to perceived barriers such as waiting times. As a result, some individuals feeling “</w:t>
      </w:r>
      <w:r w:rsidDel="00000000" w:rsidR="00000000" w:rsidRPr="00000000">
        <w:rPr>
          <w:i w:val="1"/>
          <w:color w:val="000000"/>
          <w:sz w:val="22"/>
          <w:szCs w:val="22"/>
          <w:rtl w:val="0"/>
        </w:rPr>
        <w:t xml:space="preserve">trapped</w:t>
      </w:r>
      <w:r w:rsidDel="00000000" w:rsidR="00000000" w:rsidRPr="00000000">
        <w:rPr>
          <w:color w:val="000000"/>
          <w:sz w:val="22"/>
          <w:szCs w:val="22"/>
          <w:rtl w:val="0"/>
        </w:rPr>
        <w:t xml:space="preserve">” in their medication use.</w:t>
      </w:r>
    </w:p>
    <w:p w:rsidR="00000000" w:rsidDel="00000000" w:rsidP="00000000" w:rsidRDefault="00000000" w:rsidRPr="00000000" w14:paraId="00000030">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31">
      <w:pPr>
        <w:spacing w:line="360" w:lineRule="auto"/>
        <w:jc w:val="both"/>
        <w:rPr>
          <w:color w:val="000000"/>
          <w:sz w:val="22"/>
          <w:szCs w:val="22"/>
        </w:rPr>
      </w:pPr>
      <w:r w:rsidDel="00000000" w:rsidR="00000000" w:rsidRPr="00000000">
        <w:rPr>
          <w:b w:val="1"/>
          <w:color w:val="000000"/>
          <w:sz w:val="22"/>
          <w:szCs w:val="22"/>
          <w:rtl w:val="0"/>
        </w:rPr>
        <w:t xml:space="preserve">Discussion and Conclusion </w:t>
      </w:r>
      <w:r w:rsidDel="00000000" w:rsidR="00000000" w:rsidRPr="00000000">
        <w:rPr>
          <w:color w:val="000000"/>
          <w:sz w:val="22"/>
          <w:szCs w:val="22"/>
          <w:rtl w:val="0"/>
        </w:rPr>
        <w:t xml:space="preserve">- Experiences varied for individuals but perceptions of safety and risk were linked to whether side effects and positive effects were experienced or not. Individuals appeared to be relatively isolated and relationships with prescribers were often suboptimal which resulted in individualised attempts to address dependence and withdrawal. These findings suggest that more is needed in terms of training and education of prescribers in relation to these therapeutic groups and more support is also needed to manage those experiencing withdrawal and dependence.</w:t>
      </w:r>
    </w:p>
    <w:p w:rsidR="00000000" w:rsidDel="00000000" w:rsidP="00000000" w:rsidRDefault="00000000" w:rsidRPr="00000000" w14:paraId="00000032">
      <w:pPr>
        <w:spacing w:line="480" w:lineRule="auto"/>
        <w:jc w:val="both"/>
        <w:rPr/>
      </w:pPr>
      <w:r w:rsidDel="00000000" w:rsidR="00000000" w:rsidRPr="00000000">
        <w:rPr>
          <w:rFonts w:ascii="Times" w:cs="Times" w:eastAsia="Times" w:hAnsi="Times"/>
          <w:color w:val="000000"/>
          <w:sz w:val="22"/>
          <w:szCs w:val="22"/>
          <w:rtl w:val="0"/>
        </w:rPr>
        <w:br w:type="textWrapping"/>
      </w:r>
      <w:r w:rsidDel="00000000" w:rsidR="00000000" w:rsidRPr="00000000">
        <w:rPr>
          <w:rtl w:val="0"/>
        </w:rPr>
      </w:r>
    </w:p>
    <w:p w:rsidR="00000000" w:rsidDel="00000000" w:rsidP="00000000" w:rsidRDefault="00000000" w:rsidRPr="00000000" w14:paraId="00000033">
      <w:pPr>
        <w:pStyle w:val="Heading1"/>
        <w:spacing w:line="480" w:lineRule="auto"/>
        <w:jc w:val="both"/>
        <w:rPr/>
      </w:pPr>
      <w:bookmarkStart w:colFirst="0" w:colLast="0" w:name="_heading=h.1fob9te" w:id="3"/>
      <w:bookmarkEnd w:id="3"/>
      <w:r w:rsidDel="00000000" w:rsidR="00000000" w:rsidRPr="00000000">
        <w:rPr>
          <w:rtl w:val="0"/>
        </w:rPr>
        <w:t xml:space="preserve">Acknowledgements</w:t>
      </w:r>
    </w:p>
    <w:p w:rsidR="00000000" w:rsidDel="00000000" w:rsidP="00000000" w:rsidRDefault="00000000" w:rsidRPr="00000000" w14:paraId="00000034">
      <w:pPr>
        <w:spacing w:line="480" w:lineRule="auto"/>
        <w:jc w:val="both"/>
        <w:rPr>
          <w:sz w:val="22"/>
          <w:szCs w:val="22"/>
        </w:rPr>
      </w:pPr>
      <w:r w:rsidDel="00000000" w:rsidR="00000000" w:rsidRPr="00000000">
        <w:rPr>
          <w:sz w:val="22"/>
          <w:szCs w:val="22"/>
          <w:rtl w:val="0"/>
        </w:rPr>
        <w:t xml:space="preserve">Firstly, I would like to say thank you to my supervisors, Dr Richard Cooper and Dr Nicholas Woodrow, for sharing your knowledge and supporting me, and my development as a researcher. Their guidance carried me through all stages of this research and writing of this thesis. </w:t>
      </w:r>
    </w:p>
    <w:p w:rsidR="00000000" w:rsidDel="00000000" w:rsidP="00000000" w:rsidRDefault="00000000" w:rsidRPr="00000000" w14:paraId="00000035">
      <w:pPr>
        <w:spacing w:line="480" w:lineRule="auto"/>
        <w:jc w:val="both"/>
        <w:rPr>
          <w:sz w:val="22"/>
          <w:szCs w:val="22"/>
        </w:rPr>
      </w:pPr>
      <w:r w:rsidDel="00000000" w:rsidR="00000000" w:rsidRPr="00000000">
        <w:rPr>
          <w:rtl w:val="0"/>
        </w:rPr>
      </w:r>
    </w:p>
    <w:p w:rsidR="00000000" w:rsidDel="00000000" w:rsidP="00000000" w:rsidRDefault="00000000" w:rsidRPr="00000000" w14:paraId="00000036">
      <w:pPr>
        <w:spacing w:line="480" w:lineRule="auto"/>
        <w:jc w:val="both"/>
        <w:rPr>
          <w:sz w:val="22"/>
          <w:szCs w:val="22"/>
        </w:rPr>
      </w:pPr>
      <w:r w:rsidDel="00000000" w:rsidR="00000000" w:rsidRPr="00000000">
        <w:rPr>
          <w:sz w:val="22"/>
          <w:szCs w:val="22"/>
          <w:rtl w:val="0"/>
        </w:rPr>
        <w:t xml:space="preserve">I would also like to thank my friends and family, who without their unwavering support, this would not have been possible. Grandma, Grandad and Mum, thank you for believing in me. My Spice Girls – Carina, Miriam, Paige and Ruby. You ladies kept me on track whilst balancing work and university, which in a pandemic was so difficult at times. My fellow PhD buddy, Maddy, for your insights have been marvellous, and I’m so happy I was on this journey with you. </w:t>
      </w:r>
    </w:p>
    <w:p w:rsidR="00000000" w:rsidDel="00000000" w:rsidP="00000000" w:rsidRDefault="00000000" w:rsidRPr="00000000" w14:paraId="00000037">
      <w:pPr>
        <w:spacing w:line="480" w:lineRule="auto"/>
        <w:jc w:val="both"/>
        <w:rPr>
          <w:sz w:val="22"/>
          <w:szCs w:val="22"/>
        </w:rPr>
      </w:pPr>
      <w:r w:rsidDel="00000000" w:rsidR="00000000" w:rsidRPr="00000000">
        <w:rPr>
          <w:rtl w:val="0"/>
        </w:rPr>
      </w:r>
    </w:p>
    <w:p w:rsidR="00000000" w:rsidDel="00000000" w:rsidP="00000000" w:rsidRDefault="00000000" w:rsidRPr="00000000" w14:paraId="00000038">
      <w:pPr>
        <w:spacing w:line="480" w:lineRule="auto"/>
        <w:jc w:val="both"/>
        <w:rPr>
          <w:sz w:val="22"/>
          <w:szCs w:val="22"/>
        </w:rPr>
      </w:pPr>
      <w:r w:rsidDel="00000000" w:rsidR="00000000" w:rsidRPr="00000000">
        <w:rPr>
          <w:sz w:val="22"/>
          <w:szCs w:val="22"/>
          <w:rtl w:val="0"/>
        </w:rPr>
        <w:t xml:space="preserve">Finally, I would like to thank the participants of this research who gave up their time to be interviewed for this study. </w:t>
      </w:r>
    </w:p>
    <w:p w:rsidR="00000000" w:rsidDel="00000000" w:rsidP="00000000" w:rsidRDefault="00000000" w:rsidRPr="00000000" w14:paraId="00000039">
      <w:pPr>
        <w:spacing w:line="480" w:lineRule="auto"/>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lay" w:cs="Play" w:eastAsia="Play" w:hAnsi="Play"/>
          <w:b w:val="0"/>
          <w:i w:val="0"/>
          <w:smallCaps w:val="0"/>
          <w:strike w:val="0"/>
          <w:color w:val="0f4761"/>
          <w:sz w:val="40"/>
          <w:szCs w:val="40"/>
          <w:u w:val="none"/>
          <w:shd w:fill="auto" w:val="clear"/>
          <w:vertAlign w:val="baseline"/>
        </w:rPr>
      </w:pPr>
      <w:r w:rsidDel="00000000" w:rsidR="00000000" w:rsidRPr="00000000">
        <w:rPr>
          <w:rFonts w:ascii="Play" w:cs="Play" w:eastAsia="Play" w:hAnsi="Play"/>
          <w:b w:val="0"/>
          <w:i w:val="0"/>
          <w:smallCaps w:val="0"/>
          <w:strike w:val="0"/>
          <w:color w:val="0f4761"/>
          <w:sz w:val="40"/>
          <w:szCs w:val="40"/>
          <w:u w:val="none"/>
          <w:shd w:fill="auto" w:val="clear"/>
          <w:vertAlign w:val="baseline"/>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6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480" w:lineRule="auto"/>
            <w:ind w:left="0" w:right="0" w:firstLine="0"/>
            <w:jc w:val="both"/>
            <w:rPr>
              <w:rFonts w:ascii="Play" w:cs="Play" w:eastAsia="Play" w:hAnsi="Play"/>
              <w:b w:val="1"/>
              <w:i w:val="0"/>
              <w:smallCaps w:val="0"/>
              <w:strike w:val="0"/>
              <w:color w:val="0f4761"/>
              <w:sz w:val="28"/>
              <w:szCs w:val="28"/>
              <w:u w:val="none"/>
              <w:shd w:fill="auto" w:val="clear"/>
              <w:vertAlign w:val="baseline"/>
            </w:rPr>
          </w:pPr>
          <w:r w:rsidDel="00000000" w:rsidR="00000000" w:rsidRPr="00000000">
            <w:fldChar w:fldCharType="begin"/>
            <w:instrText xml:space="preserve"> TOC \h \u \z \t "Heading 1,1,Heading 2,2,Heading 3,3,"</w:instrText>
            <w:fldChar w:fldCharType="separate"/>
          </w: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znysh7">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List of Figures</w:t>
              <w:tab/>
              <w:t xml:space="preserve">9</w:t>
            </w:r>
          </w:hyperlink>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et92p0">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List of Tables</w:t>
              <w:tab/>
              <w:t xml:space="preserve">10</w:t>
            </w:r>
          </w:hyperlink>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1"/>
              <w:i w:val="1"/>
              <w:smallCaps w:val="0"/>
              <w:strike w:val="0"/>
              <w:color w:val="467886"/>
              <w:sz w:val="24"/>
              <w:szCs w:val="24"/>
              <w:u w:val="single"/>
              <w:shd w:fill="auto" w:val="clear"/>
              <w:vertAlign w:val="baseline"/>
            </w:rPr>
          </w:pPr>
          <w:hyperlink w:anchor="_heading=h.tyjcwt">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List of Appendices</w:t>
              <w:tab/>
              <w:t xml:space="preserve">11</w:t>
            </w:r>
          </w:hyperlink>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dy6vkm">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One – Introduction</w:t>
              <w:tab/>
              <w:t xml:space="preserve">12</w:t>
            </w:r>
          </w:hyperlink>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t3h5sf">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1.1.</w:t>
            </w:r>
          </w:hyperlink>
          <w:hyperlink w:anchor="_heading=h.1t3h5sf">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_heading=h.1t3h5sf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Importance of Medicines</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d34og8">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1.2.</w:t>
            </w:r>
          </w:hyperlink>
          <w:hyperlink w:anchor="_heading=h.4d34og8">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_heading=h.4d34og8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Context of Prescribed Drug Dependence</w:t>
            <w:tab/>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s8eyo1">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1.3.</w:t>
            </w:r>
          </w:hyperlink>
          <w:hyperlink w:anchor="_heading=h.2s8eyo1">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_heading=h.2s8eyo1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Aims and Objectives</w:t>
            <w:tab/>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7dp8vu">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1.4.</w:t>
            </w:r>
          </w:hyperlink>
          <w:hyperlink w:anchor="_heading=h.17dp8vu">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Medication Uses and Prescribing Trends</w:t>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jxsxqh">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1.5.</w:t>
            </w:r>
          </w:hyperlink>
          <w:hyperlink w:anchor="_heading=h.2jxsxqh">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_heading=h.2jxsxqh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Health Burden due to the Dependence on Medicines</w:t>
            <w:tab/>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3j2qqm3">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1.6.</w:t>
            </w:r>
          </w:hyperlink>
          <w:hyperlink w:anchor="_heading=h.3j2qqm3">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_heading=h.3j2qqm3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Outline of Thesis</w:t>
            <w:tab/>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y810tw">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Two –Defining and Explaining Drug Dependence</w:t>
              <w:tab/>
              <w:t xml:space="preserve">33</w:t>
            </w:r>
          </w:hyperlink>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xcytpi">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2.1.</w:t>
            </w:r>
          </w:hyperlink>
          <w:hyperlink w:anchor="_heading=h.2xcytpi">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_heading=h.2xcytpi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Defining Dependence</w:t>
            <w:tab/>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bn6wsx">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2.2.</w:t>
            </w:r>
          </w:hyperlink>
          <w:hyperlink w:anchor="_heading=h.2bn6wsx">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 sick role</w:t>
            <w:tab/>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as4poj">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2.3.</w:t>
            </w:r>
          </w:hyperlink>
          <w:hyperlink w:anchor="_heading=h.3as4poj">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_heading=h.3as4poj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Stigma</w:t>
            <w:tab/>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pxezwc">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2.4.</w:t>
            </w:r>
          </w:hyperlink>
          <w:hyperlink w:anchor="_heading=h.1pxezwc">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_heading=h.1pxezwc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Implications for this Research</w:t>
            <w:tab/>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49x2ik5">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2.5.</w:t>
            </w:r>
          </w:hyperlink>
          <w:hyperlink w:anchor="_heading=h.49x2ik5">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_heading=h.49x2ik5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Summary</w:t>
            <w:tab/>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p2csry">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Three – Literature Review</w:t>
              <w:tab/>
              <w:t xml:space="preserve">60</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47n2z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3.1.</w:t>
            </w:r>
          </w:hyperlink>
          <w:hyperlink w:anchor="_heading=h.147n2z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_heading=h.147n2zr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Methods</w:t>
            <w:tab/>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o7alnk">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3.2.</w:t>
            </w:r>
          </w:hyperlink>
          <w:hyperlink w:anchor="_heading=h.3o7alnk">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Data Sources and Search Terms</w:t>
            <w:tab/>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2hioqz">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3.3.</w:t>
            </w:r>
          </w:hyperlink>
          <w:hyperlink w:anchor="_heading=h.32hioqz">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Analysis and Synthesis of the Literature</w:t>
            <w:tab/>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hmsyys">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3.4.</w:t>
            </w:r>
          </w:hyperlink>
          <w:hyperlink w:anchor="_heading=h.1hmsyys">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Overview and Characteristics of the Included Studies</w:t>
            <w:tab/>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grqrue">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3.5.</w:t>
            </w:r>
          </w:hyperlink>
          <w:hyperlink w:anchor="_heading=h.2grqrue">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_heading=h.2grqrue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Balancing the Risk versus Benefits of Prescribed Medicines</w:t>
            <w:tab/>
            <w:t xml:space="preserve">68</w:t>
          </w:r>
          <w:r w:rsidDel="00000000" w:rsidR="00000000" w:rsidRPr="00000000">
            <w:fldChar w:fldCharType="end"/>
          </w: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fwokq0">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3.6.</w:t>
            </w:r>
          </w:hyperlink>
          <w:hyperlink w:anchor="_heading=h.3fwokq0">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_heading=h.3fwokq0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Experiences of Withdrawal</w:t>
            <w:tab/>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6r0co2">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3.7.</w:t>
            </w:r>
          </w:hyperlink>
          <w:hyperlink w:anchor="_heading=h.46r0co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_heading=h.46r0co2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 Impact of the Practitioner Relationship</w:t>
            <w:tab/>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206ipza">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3.8.</w:t>
            </w:r>
          </w:hyperlink>
          <w:hyperlink w:anchor="_heading=h.206ipza">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_heading=h.206ipza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Discussion and Conclusion</w:t>
            <w:tab/>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k668n3">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Four – Methodology</w:t>
              <w:tab/>
              <w:t xml:space="preserve">100</w:t>
            </w:r>
          </w:hyperlink>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zbgiuw">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4.1.</w:t>
            </w:r>
          </w:hyperlink>
          <w:hyperlink w:anchor="_heading=h.2zbgiuw">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_heading=h.2zbgiuw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Ontology and Epistemology</w:t>
            <w:tab/>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egqt2p">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4.2.</w:t>
            </w:r>
          </w:hyperlink>
          <w:hyperlink w:anchor="_heading=h.1egqt2p">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_heading=h.1egqt2p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Sampling and Recruitment</w:t>
            <w:tab/>
            <w:t xml:space="preserve">103</w:t>
          </w:r>
          <w:r w:rsidDel="00000000" w:rsidR="00000000" w:rsidRPr="00000000">
            <w:fldChar w:fldCharType="end"/>
          </w: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ygebqi">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4.3.</w:t>
            </w:r>
          </w:hyperlink>
          <w:hyperlink w:anchor="_heading=h.3ygebqi">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_heading=h.3ygebqi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Data Collection</w:t>
            <w:tab/>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rvwp1q">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4.4.</w:t>
            </w:r>
          </w:hyperlink>
          <w:hyperlink w:anchor="_heading=h.1rvwp1q">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_heading=h.1rvwp1q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Data Analysis</w:t>
            <w:tab/>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3ky6rz">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4.5.</w:t>
            </w:r>
          </w:hyperlink>
          <w:hyperlink w:anchor="_heading=h.43ky6rz">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_heading=h.43ky6rz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Challenges in Recruitment and Data Collection</w:t>
            <w:tab/>
            <w:t xml:space="preserve">115</w:t>
          </w:r>
          <w:r w:rsidDel="00000000" w:rsidR="00000000" w:rsidRPr="00000000">
            <w:fldChar w:fldCharType="end"/>
          </w: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hv69ve">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4.6.</w:t>
            </w:r>
          </w:hyperlink>
          <w:hyperlink w:anchor="_heading=h.3hv69ve">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_heading=h.3hv69ve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Reflexivity</w:t>
            <w:tab/>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w5ecyt">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4.7.</w:t>
            </w:r>
          </w:hyperlink>
          <w:hyperlink w:anchor="_heading=h.2w5ecyt">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_heading=h.2w5ecyt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Ethical Considerations</w:t>
            <w:tab/>
            <w:t xml:space="preserve">125</w:t>
          </w:r>
          <w:r w:rsidDel="00000000" w:rsidR="00000000" w:rsidRPr="00000000">
            <w:fldChar w:fldCharType="end"/>
          </w: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1baon6m">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4.8.</w:t>
            </w:r>
          </w:hyperlink>
          <w:hyperlink w:anchor="_heading=h.1baon6m">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_heading=h.1baon6m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Summary of Chapter</w:t>
            <w:tab/>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vac5uf">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Five – Acceptance and Evaluation of Medicines</w:t>
              <w:tab/>
              <w:t xml:space="preserve">132</w:t>
            </w:r>
          </w:hyperlink>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9kk8xu">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5.1.</w:t>
            </w:r>
          </w:hyperlink>
          <w:hyperlink w:anchor="_heading=h.39kk8xu">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_heading=h.39kk8xu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Accepting Medicines</w:t>
            <w:tab/>
            <w:t xml:space="preserve">133</w:t>
          </w:r>
          <w:r w:rsidDel="00000000" w:rsidR="00000000" w:rsidRPr="00000000">
            <w:fldChar w:fldCharType="end"/>
          </w: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302m92">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5.2.</w:t>
            </w:r>
          </w:hyperlink>
          <w:hyperlink w:anchor="_heading=h.1302m9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_heading=h.1302m92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Evaluating Medicines</w:t>
            <w:tab/>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2fk6b3p">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5.3.</w:t>
            </w:r>
          </w:hyperlink>
          <w:hyperlink w:anchor="_heading=h.2fk6b3p">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_heading=h.2fk6b3p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Summary of Chapter</w:t>
            <w:tab/>
            <w:t xml:space="preserve">161</w:t>
          </w:r>
          <w:r w:rsidDel="00000000" w:rsidR="00000000" w:rsidRPr="00000000">
            <w:fldChar w:fldCharType="end"/>
          </w: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pglbi">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Six – The Medication Trap</w:t>
              <w:tab/>
              <w:t xml:space="preserve">163</w:t>
            </w:r>
          </w:hyperlink>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tuee74">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6.1.</w:t>
            </w:r>
          </w:hyperlink>
          <w:hyperlink w:anchor="_heading=h.1tuee74">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_heading=h.1tuee74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Dependency, Side Effects and Withdrawal Symptoms</w:t>
            <w:tab/>
            <w:t xml:space="preserve">164</w:t>
          </w:r>
          <w:r w:rsidDel="00000000" w:rsidR="00000000" w:rsidRPr="00000000">
            <w:fldChar w:fldCharType="end"/>
          </w: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du1wux">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6.2.</w:t>
            </w:r>
          </w:hyperlink>
          <w:hyperlink w:anchor="_heading=h.4du1wux">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_heading=h.4du1wux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Diagnosis</w:t>
            <w:tab/>
            <w:t xml:space="preserve">168</w:t>
          </w:r>
          <w:r w:rsidDel="00000000" w:rsidR="00000000" w:rsidRPr="00000000">
            <w:fldChar w:fldCharType="end"/>
          </w: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84mhaj">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6.3.</w:t>
            </w:r>
          </w:hyperlink>
          <w:hyperlink w:anchor="_heading=h.184mhaj">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_heading=h.184mhaj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Is the Practitioner Responsible?</w:t>
            <w:tab/>
            <w:t xml:space="preserve">177</w:t>
          </w:r>
          <w:r w:rsidDel="00000000" w:rsidR="00000000" w:rsidRPr="00000000">
            <w:fldChar w:fldCharType="end"/>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ljsd9k">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6.5.</w:t>
            </w:r>
          </w:hyperlink>
          <w:hyperlink w:anchor="_heading=h.1ljsd9k">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_heading=h.1ljsd9k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Escaping the Medication Trap</w:t>
            <w:tab/>
            <w:t xml:space="preserve">188</w:t>
          </w:r>
          <w:r w:rsidDel="00000000" w:rsidR="00000000" w:rsidRPr="00000000">
            <w:fldChar w:fldCharType="end"/>
          </w: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zu0gcz">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6.6.</w:t>
            </w:r>
          </w:hyperlink>
          <w:hyperlink w:anchor="_heading=h.zu0gcz">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_heading=h.zu0gcz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Summary of Chapter</w:t>
            <w:tab/>
            <w:t xml:space="preserve">193</w:t>
          </w:r>
          <w:r w:rsidDel="00000000" w:rsidR="00000000" w:rsidRPr="00000000">
            <w:fldChar w:fldCharType="end"/>
          </w: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jtnz0s">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Chapter Seven – Discussion, Recommendations and Conclusion</w:t>
              <w:tab/>
              <w:t xml:space="preserve">197</w:t>
            </w:r>
          </w:hyperlink>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yyy98l">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7.1.</w:t>
            </w:r>
          </w:hyperlink>
          <w:hyperlink w:anchor="_heading=h.1yyy98l">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_heading=h.1yyy98l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Thesis Overview</w:t>
            <w:tab/>
            <w:t xml:space="preserve">197</w:t>
          </w:r>
          <w:r w:rsidDel="00000000" w:rsidR="00000000" w:rsidRPr="00000000">
            <w:fldChar w:fldCharType="end"/>
          </w: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iylrwe">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7.2.</w:t>
            </w:r>
          </w:hyperlink>
          <w:hyperlink w:anchor="_heading=h.4iylrwe">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_heading=h.4iylrwe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Summary of Key Findings</w:t>
            <w:tab/>
            <w:t xml:space="preserve">198</w:t>
          </w:r>
          <w:r w:rsidDel="00000000" w:rsidR="00000000" w:rsidRPr="00000000">
            <w:fldChar w:fldCharType="end"/>
          </w: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y3w247">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7.3.</w:t>
            </w:r>
          </w:hyperlink>
          <w:hyperlink w:anchor="_heading=h.2y3w247">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_heading=h.2y3w247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Integration of Main Findings with Current Literature</w:t>
            <w:tab/>
            <w:t xml:space="preserve">201</w:t>
          </w:r>
          <w:r w:rsidDel="00000000" w:rsidR="00000000" w:rsidRPr="00000000">
            <w:fldChar w:fldCharType="end"/>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qoc8b1">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7.4.</w:t>
            </w:r>
          </w:hyperlink>
          <w:hyperlink w:anchor="_heading=h.1qoc8b1">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_heading=h.1qoc8b1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Dominance of Antidepressants within the Data</w:t>
            <w:tab/>
            <w:t xml:space="preserve">204</w:t>
          </w:r>
          <w:r w:rsidDel="00000000" w:rsidR="00000000" w:rsidRPr="00000000">
            <w:fldChar w:fldCharType="end"/>
          </w: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43i4a2">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7.5.</w:t>
            </w:r>
          </w:hyperlink>
          <w:hyperlink w:anchor="_heading=h.243i4a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_heading=h.243i4a2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Information Sharing and Informed Consent</w:t>
            <w:tab/>
            <w:t xml:space="preserve">220</w:t>
          </w:r>
          <w:r w:rsidDel="00000000" w:rsidR="00000000" w:rsidRPr="00000000">
            <w:fldChar w:fldCharType="end"/>
          </w: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hio093">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7.6.</w:t>
            </w:r>
          </w:hyperlink>
          <w:hyperlink w:anchor="_heading=h.2hio093">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_heading=h.2hio093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Practitioner Roles</w:t>
            <w:tab/>
            <w:t xml:space="preserve">231</w:t>
          </w:r>
          <w:r w:rsidDel="00000000" w:rsidR="00000000" w:rsidRPr="00000000">
            <w:fldChar w:fldCharType="end"/>
          </w: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a346fx">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7.7.</w:t>
            </w:r>
          </w:hyperlink>
          <w:hyperlink w:anchor="_heading=h.1a346fx">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_heading=h.1a346fx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Limited Accessibility of Secondary Care</w:t>
            <w:tab/>
            <w:t xml:space="preserve">247</w:t>
          </w:r>
          <w:r w:rsidDel="00000000" w:rsidR="00000000" w:rsidRPr="00000000">
            <w:fldChar w:fldCharType="end"/>
          </w: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981zbj">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7.8.</w:t>
            </w:r>
          </w:hyperlink>
          <w:hyperlink w:anchor="_heading=h.2981zbj">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_heading=h.2981zbj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Lay Knowledge and Peer Support</w:t>
            <w:tab/>
            <w:t xml:space="preserve">253</w:t>
          </w:r>
          <w:r w:rsidDel="00000000" w:rsidR="00000000" w:rsidRPr="00000000">
            <w:fldChar w:fldCharType="end"/>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8czs75">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7.9.</w:t>
            </w:r>
          </w:hyperlink>
          <w:hyperlink w:anchor="_heading=h.38czs75">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_heading=h.38czs75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Strengths and Limitations</w:t>
            <w:tab/>
            <w:t xml:space="preserve">260</w:t>
          </w:r>
          <w:r w:rsidDel="00000000" w:rsidR="00000000" w:rsidRPr="00000000">
            <w:fldChar w:fldCharType="end"/>
          </w: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1si5id">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7.10.</w:t>
            </w:r>
          </w:hyperlink>
          <w:hyperlink w:anchor="_heading=h.11si5id">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_heading=h.11si5id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Recommendations for Further Research and Practice</w:t>
            <w:tab/>
            <w:t xml:space="preserve">265</w:t>
          </w:r>
          <w:r w:rsidDel="00000000" w:rsidR="00000000" w:rsidRPr="00000000">
            <w:fldChar w:fldCharType="end"/>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016"/>
            </w:tabs>
            <w:spacing w:after="0" w:before="120" w:line="240" w:lineRule="auto"/>
            <w:ind w:left="240" w:right="0" w:firstLine="0"/>
            <w:jc w:val="left"/>
            <w:rPr>
              <w:rFonts w:ascii="Aptos" w:cs="Aptos" w:eastAsia="Aptos" w:hAnsi="Aptos"/>
              <w:b w:val="0"/>
              <w:i w:val="0"/>
              <w:smallCaps w:val="0"/>
              <w:strike w:val="0"/>
              <w:color w:val="467886"/>
              <w:sz w:val="22"/>
              <w:szCs w:val="22"/>
              <w:u w:val="single"/>
              <w:shd w:fill="auto" w:val="clear"/>
              <w:vertAlign w:val="baseline"/>
            </w:rPr>
          </w:pPr>
          <w:hyperlink w:anchor="_heading=h.4kx3h1s">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7.11.</w:t>
            </w:r>
          </w:hyperlink>
          <w:hyperlink w:anchor="_heading=h.4kx3h1s">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_heading=h.4kx3h1s \h </w:instrText>
            <w:fldChar w:fldCharType="separate"/>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Conclusion</w:t>
            <w:tab/>
            <w:t xml:space="preserve">268</w:t>
          </w:r>
          <w:r w:rsidDel="00000000" w:rsidR="00000000" w:rsidRPr="00000000">
            <w:fldChar w:fldCharType="end"/>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02dr9l">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References</w:t>
              <w:tab/>
              <w:t xml:space="preserve">272</w:t>
            </w:r>
          </w:hyperlink>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12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f7o1he">
            <w:r w:rsidDel="00000000" w:rsidR="00000000" w:rsidRPr="00000000">
              <w:rPr>
                <w:rFonts w:ascii="Aptos" w:cs="Aptos" w:eastAsia="Aptos" w:hAnsi="Aptos"/>
                <w:b w:val="1"/>
                <w:i w:val="1"/>
                <w:smallCaps w:val="0"/>
                <w:strike w:val="0"/>
                <w:color w:val="000000"/>
                <w:sz w:val="24"/>
                <w:szCs w:val="24"/>
                <w:u w:val="none"/>
                <w:shd w:fill="auto" w:val="clear"/>
                <w:vertAlign w:val="baseline"/>
                <w:rtl w:val="0"/>
              </w:rPr>
              <w:t xml:space="preserve">Appendices</w:t>
              <w:tab/>
              <w:t xml:space="preserve">318</w:t>
            </w:r>
          </w:hyperlink>
          <w:r w:rsidDel="00000000" w:rsidR="00000000" w:rsidRPr="00000000">
            <w:rPr>
              <w:rtl w:val="0"/>
            </w:rPr>
          </w:r>
        </w:p>
        <w:p w:rsidR="00000000" w:rsidDel="00000000" w:rsidP="00000000" w:rsidRDefault="00000000" w:rsidRPr="00000000" w14:paraId="000000AB">
          <w:pPr>
            <w:jc w:val="both"/>
            <w:rPr>
              <w:sz w:val="22"/>
              <w:szCs w:val="2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C">
      <w:pPr>
        <w:rPr>
          <w:sz w:val="22"/>
          <w:szCs w:val="22"/>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pStyle w:val="Heading1"/>
        <w:spacing w:line="480" w:lineRule="auto"/>
        <w:rPr/>
      </w:pPr>
      <w:bookmarkStart w:colFirst="0" w:colLast="0" w:name="_heading=h.3znysh7" w:id="4"/>
      <w:bookmarkEnd w:id="4"/>
      <w:r w:rsidDel="00000000" w:rsidR="00000000" w:rsidRPr="00000000">
        <w:rPr>
          <w:rtl w:val="0"/>
        </w:rPr>
        <w:t xml:space="preserve">List of Figures</w:t>
      </w:r>
    </w:p>
    <w:sdt>
      <w:sdtPr>
        <w:docPartObj>
          <w:docPartGallery w:val="Table of Contents"/>
          <w:docPartUnique w:val="1"/>
        </w:docPartObj>
      </w:sdtPr>
      <w:sdtContent>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1kc7wiv">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1: </w:t>
            </w:r>
          </w:hyperlink>
          <w:hyperlink w:anchor="_heading=h.1kc7wiv">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Proportion of adult residents in England receiving a prescription 2015 to 2018, by year and class of medicine. Taken from Public Health England (2019, p. 44).</w:t>
              <w:tab/>
            </w:r>
          </w:hyperlink>
          <w:r w:rsidDel="00000000" w:rsidR="00000000" w:rsidRPr="00000000">
            <w:fldChar w:fldCharType="begin"/>
            <w:instrText xml:space="preserve"> PAGEREF _heading=h.1kc7wiv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44bvf6o">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2: </w:t>
            </w:r>
          </w:hyperlink>
          <w:hyperlink w:anchor="_heading=h.44bvf6o">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graph outlining antidepressant prescribing data across all General Practices in England, taken from OpenPrescribing.net (2023)</w:t>
              <w:tab/>
            </w:r>
          </w:hyperlink>
          <w:r w:rsidDel="00000000" w:rsidR="00000000" w:rsidRPr="00000000">
            <w:fldChar w:fldCharType="begin"/>
            <w:instrText xml:space="preserve"> PAGEREF _heading=h.44bvf6o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2jh5peh">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3: </w:t>
            </w:r>
          </w:hyperlink>
          <w:hyperlink w:anchor="_heading=h.2jh5peh">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Benzodiazepine prescribing rates for adults in primary care in England, standardised for adult resident population, 2016/17 to 2020/21. Taken from NHS England (2023).</w:t>
              <w:tab/>
            </w:r>
          </w:hyperlink>
          <w:r w:rsidDel="00000000" w:rsidR="00000000" w:rsidRPr="00000000">
            <w:fldChar w:fldCharType="begin"/>
            <w:instrText xml:space="preserve"> PAGEREF _heading=h.2jh5peh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ymfzma">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4: </w:t>
            </w:r>
          </w:hyperlink>
          <w:hyperlink w:anchor="_heading=h.ymfzma">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Annual rates of incident gabapentinoid prescribing (1997–2019) per 100,000 patient years. Taken from Ashworth et al (2023).</w:t>
              <w:tab/>
            </w:r>
          </w:hyperlink>
          <w:r w:rsidDel="00000000" w:rsidR="00000000" w:rsidRPr="00000000">
            <w:fldChar w:fldCharType="begin"/>
            <w:instrText xml:space="preserve"> PAGEREF _heading=h.ymfzma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3im3ia3">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5: </w:t>
            </w:r>
          </w:hyperlink>
          <w:hyperlink w:anchor="_heading=h.3im3ia3">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Opioid utilisation in the Clinical Practice Research Datalink by individual opioid. (A) The most frequently prescribed opioids, 2006–2017. (B) All opioids in (A) except for codeine. (Taken from Jani et al 2020, p.9).</w:t>
              <w:tab/>
            </w:r>
          </w:hyperlink>
          <w:r w:rsidDel="00000000" w:rsidR="00000000" w:rsidRPr="00000000">
            <w:fldChar w:fldCharType="begin"/>
            <w:instrText xml:space="preserve"> PAGEREF _heading=h.3im3ia3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1xrdshw">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6: </w:t>
            </w:r>
          </w:hyperlink>
          <w:hyperlink w:anchor="_heading=h.1xrdshw">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Graph showing the number of items of Zopiclone dispensed in the England between October 2016 and September 2022 (OpenPrescribing.net 2022)</w:t>
              <w:tab/>
            </w:r>
          </w:hyperlink>
          <w:r w:rsidDel="00000000" w:rsidR="00000000" w:rsidRPr="00000000">
            <w:fldChar w:fldCharType="begin"/>
            <w:instrText xml:space="preserve"> PAGEREF _heading=h.1xrdshw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4hr1b5p">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7: </w:t>
            </w:r>
          </w:hyperlink>
          <w:hyperlink w:anchor="_heading=h.4hr1b5p">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PRISMA Flowchart depicting the literature review process.</w:t>
              <w:tab/>
            </w:r>
          </w:hyperlink>
          <w:r w:rsidDel="00000000" w:rsidR="00000000" w:rsidRPr="00000000">
            <w:fldChar w:fldCharType="begin"/>
            <w:instrText xml:space="preserve"> PAGEREF _heading=h.4hr1b5p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2wwbldi">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8: </w:t>
            </w:r>
          </w:hyperlink>
          <w:hyperlink w:anchor="_heading=h.2wwbldi">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Percentage of adults with moderate to severe depressive symptoms, Great Britain, July 2019 to October 2022 (Taken from the Office for National Statistics, 2022).</w:t>
              <w:tab/>
            </w:r>
          </w:hyperlink>
          <w:r w:rsidDel="00000000" w:rsidR="00000000" w:rsidRPr="00000000">
            <w:fldChar w:fldCharType="begin"/>
            <w:instrText xml:space="preserve"> PAGEREF _heading=h.2wwbldi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206</w:t>
          </w:r>
          <w:r w:rsidDel="00000000" w:rsidR="00000000" w:rsidRPr="00000000">
            <w:fldChar w:fldCharType="end"/>
          </w: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000000"/>
              <w:sz w:val="22"/>
              <w:szCs w:val="22"/>
              <w:u w:val="none"/>
              <w:shd w:fill="auto" w:val="clear"/>
              <w:vertAlign w:val="baseline"/>
            </w:rPr>
          </w:pPr>
          <w:hyperlink w:anchor="_heading=h.1c1lvlb">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Figure 9: </w:t>
            </w:r>
          </w:hyperlink>
          <w:hyperlink w:anchor="_heading=h.1c1lvlb">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An illustration depicting how the tiers of Primary, Secondary and Tertiary care interact. Taken from NHS Digital (2022)</w:t>
            </w:r>
          </w:hyperlink>
          <w:hyperlink w:anchor="_heading=h.1c1lvlb">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w:t>
              <w:tab/>
              <w:t xml:space="preserve">247</w:t>
            </w:r>
          </w:hyperlink>
          <w:r w:rsidDel="00000000" w:rsidR="00000000" w:rsidRPr="00000000">
            <w:rPr>
              <w:rtl w:val="0"/>
            </w:rPr>
          </w:r>
        </w:p>
        <w:p w:rsidR="00000000" w:rsidDel="00000000" w:rsidP="00000000" w:rsidRDefault="00000000" w:rsidRPr="00000000" w14:paraId="000000C0">
          <w:pPr>
            <w:jc w:val="both"/>
            <w:rPr>
              <w:b w:val="1"/>
              <w:sz w:val="22"/>
              <w:szCs w:val="2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1">
      <w:pPr>
        <w:jc w:val="both"/>
        <w:rPr>
          <w:b w:val="1"/>
          <w:sz w:val="22"/>
          <w:szCs w:val="22"/>
        </w:rPr>
      </w:pPr>
      <w:r w:rsidDel="00000000" w:rsidR="00000000" w:rsidRPr="00000000">
        <w:rPr>
          <w:rtl w:val="0"/>
        </w:rPr>
      </w:r>
    </w:p>
    <w:p w:rsidR="00000000" w:rsidDel="00000000" w:rsidP="00000000" w:rsidRDefault="00000000" w:rsidRPr="00000000" w14:paraId="000000C2">
      <w:pPr>
        <w:jc w:val="both"/>
        <w:rPr>
          <w:b w:val="1"/>
          <w:sz w:val="22"/>
          <w:szCs w:val="22"/>
        </w:rPr>
      </w:pPr>
      <w:r w:rsidDel="00000000" w:rsidR="00000000" w:rsidRPr="00000000">
        <w:rPr>
          <w:rtl w:val="0"/>
        </w:rPr>
      </w:r>
    </w:p>
    <w:p w:rsidR="00000000" w:rsidDel="00000000" w:rsidP="00000000" w:rsidRDefault="00000000" w:rsidRPr="00000000" w14:paraId="000000C3">
      <w:pPr>
        <w:jc w:val="both"/>
        <w:rPr>
          <w:b w:val="1"/>
          <w:sz w:val="22"/>
          <w:szCs w:val="22"/>
        </w:rPr>
      </w:pPr>
      <w:r w:rsidDel="00000000" w:rsidR="00000000" w:rsidRPr="00000000">
        <w:rPr>
          <w:rtl w:val="0"/>
        </w:rPr>
      </w:r>
    </w:p>
    <w:p w:rsidR="00000000" w:rsidDel="00000000" w:rsidP="00000000" w:rsidRDefault="00000000" w:rsidRPr="00000000" w14:paraId="000000C4">
      <w:pPr>
        <w:jc w:val="both"/>
        <w:rPr>
          <w:b w:val="1"/>
          <w:sz w:val="22"/>
          <w:szCs w:val="22"/>
        </w:rPr>
      </w:pPr>
      <w:r w:rsidDel="00000000" w:rsidR="00000000" w:rsidRPr="00000000">
        <w:rPr>
          <w:rtl w:val="0"/>
        </w:rPr>
      </w:r>
    </w:p>
    <w:p w:rsidR="00000000" w:rsidDel="00000000" w:rsidP="00000000" w:rsidRDefault="00000000" w:rsidRPr="00000000" w14:paraId="000000C5">
      <w:pPr>
        <w:rPr>
          <w:b w:val="1"/>
          <w:sz w:val="22"/>
          <w:szCs w:val="22"/>
        </w:rPr>
      </w:pPr>
      <w:r w:rsidDel="00000000" w:rsidR="00000000" w:rsidRPr="00000000">
        <w:rPr>
          <w:rtl w:val="0"/>
        </w:rPr>
      </w:r>
    </w:p>
    <w:p w:rsidR="00000000" w:rsidDel="00000000" w:rsidP="00000000" w:rsidRDefault="00000000" w:rsidRPr="00000000" w14:paraId="000000C6">
      <w:pPr>
        <w:rPr>
          <w:b w:val="1"/>
          <w:sz w:val="22"/>
          <w:szCs w:val="22"/>
        </w:rPr>
      </w:pPr>
      <w:r w:rsidDel="00000000" w:rsidR="00000000" w:rsidRPr="00000000">
        <w:rPr>
          <w:rtl w:val="0"/>
        </w:rPr>
      </w:r>
    </w:p>
    <w:p w:rsidR="00000000" w:rsidDel="00000000" w:rsidP="00000000" w:rsidRDefault="00000000" w:rsidRPr="00000000" w14:paraId="000000C7">
      <w:pPr>
        <w:rPr>
          <w:b w:val="1"/>
          <w:sz w:val="22"/>
          <w:szCs w:val="22"/>
        </w:rPr>
      </w:pPr>
      <w:r w:rsidDel="00000000" w:rsidR="00000000" w:rsidRPr="00000000">
        <w:rPr>
          <w:rtl w:val="0"/>
        </w:rPr>
      </w:r>
    </w:p>
    <w:p w:rsidR="00000000" w:rsidDel="00000000" w:rsidP="00000000" w:rsidRDefault="00000000" w:rsidRPr="00000000" w14:paraId="000000C8">
      <w:pPr>
        <w:rPr>
          <w:b w:val="1"/>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pStyle w:val="Heading1"/>
        <w:spacing w:line="480" w:lineRule="auto"/>
        <w:rPr/>
      </w:pPr>
      <w:bookmarkStart w:colFirst="0" w:colLast="0" w:name="_heading=h.2et92p0" w:id="5"/>
      <w:bookmarkEnd w:id="5"/>
      <w:r w:rsidDel="00000000" w:rsidR="00000000" w:rsidRPr="00000000">
        <w:rPr>
          <w:rtl w:val="0"/>
        </w:rPr>
        <w:t xml:space="preserve">List of Tables</w:t>
      </w:r>
    </w:p>
    <w:sdt>
      <w:sdtPr>
        <w:docPartObj>
          <w:docPartGallery w:val="Table of Contents"/>
          <w:docPartUnique w:val="1"/>
        </w:docPartObj>
      </w:sdtPr>
      <w:sdtContent>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qsh70q">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1: </w:t>
            </w:r>
          </w:hyperlink>
          <w:hyperlink w:anchor="_heading=h.qsh70q">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summarising the exemptions and obligations of those in the sick role and practitioners who afford it (Parsons 1951).</w:t>
            </w:r>
          </w:hyperlink>
          <w:hyperlink w:anchor="_heading=h.qsh70q">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44</w:t>
            </w:r>
          </w:hyperlink>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ihv636">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2: </w:t>
            </w:r>
          </w:hyperlink>
          <w:hyperlink w:anchor="_heading=h.ihv636">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Literature search inclusion and exclusion criteria</w:t>
            </w:r>
          </w:hyperlink>
          <w:hyperlink w:anchor="_heading=h.ihv636">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63</w:t>
            </w:r>
          </w:hyperlink>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41mghml">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3: </w:t>
            </w:r>
          </w:hyperlink>
          <w:hyperlink w:anchor="_heading=h.41mghml">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study characteristics</w:t>
            </w:r>
          </w:hyperlink>
          <w:hyperlink w:anchor="_heading=h.41mghml">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67</w:t>
            </w:r>
          </w:hyperlink>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1v1yuxt">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4: </w:t>
            </w:r>
          </w:hyperlink>
          <w:hyperlink w:anchor="_heading=h.1v1yuxt">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withdrawal symptoms associated with each therapeutic group</w:t>
            </w:r>
          </w:hyperlink>
          <w:hyperlink w:anchor="_heading=h.1v1yuxt">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76</w:t>
            </w:r>
          </w:hyperlink>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2u6wntf">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5:</w:t>
            </w:r>
          </w:hyperlink>
          <w:hyperlink w:anchor="_heading=h.2u6wntf">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A table presenting the prevalence (%)  of antidepressant withdrawal across the five reporting papers.</w:t>
            </w:r>
          </w:hyperlink>
          <w:hyperlink w:anchor="_heading=h.2u6wntf">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77</w:t>
            </w:r>
          </w:hyperlink>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19c6y18">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6: </w:t>
            </w:r>
          </w:hyperlink>
          <w:hyperlink w:anchor="_heading=h.19c6y18">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individual withdrawal symptoms and their prevalence (%)</w:t>
            </w:r>
          </w:hyperlink>
          <w:hyperlink w:anchor="_heading=h.19c6y18">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w:t>
              <w:tab/>
              <w:t xml:space="preserve">78</w:t>
            </w:r>
          </w:hyperlink>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3cqmetx">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7: </w:t>
            </w:r>
          </w:hyperlink>
          <w:hyperlink w:anchor="_heading=h.3cqmetx">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presenting a participant sample description</w:t>
            </w:r>
          </w:hyperlink>
          <w:hyperlink w:anchor="_heading=h.3cqmetx">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109</w:t>
            </w:r>
          </w:hyperlink>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pkwqa1">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8: </w:t>
            </w:r>
          </w:hyperlink>
          <w:hyperlink w:anchor="_heading=h.pkwqa1">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themes and subthemes identified in the data, pertaining to the Acceptance and Evaluation of medicines.</w:t>
            </w:r>
          </w:hyperlink>
          <w:hyperlink w:anchor="_heading=h.pkwqa1">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132</w:t>
            </w:r>
          </w:hyperlink>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3ep43zb">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9: </w:t>
            </w:r>
          </w:hyperlink>
          <w:hyperlink w:anchor="_heading=h.3ep43zb">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themes and subthemes identified in the data, pertaining to The Medication Trap</w:t>
            </w:r>
          </w:hyperlink>
          <w:hyperlink w:anchor="_heading=h.3ep43zb">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w:t>
              <w:tab/>
              <w:t xml:space="preserve">163</w:t>
            </w:r>
          </w:hyperlink>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467886"/>
              <w:sz w:val="22"/>
              <w:szCs w:val="22"/>
              <w:u w:val="single"/>
              <w:shd w:fill="auto" w:val="clear"/>
              <w:vertAlign w:val="baseline"/>
            </w:rPr>
          </w:pPr>
          <w:hyperlink w:anchor="_heading=h.3w19e94">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10: </w:t>
            </w:r>
          </w:hyperlink>
          <w:hyperlink w:anchor="_heading=h.3w19e94">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outlining the number of prescriptions for each therapeutic group, issued in July 2024. Data taken from OpenPrescribing.net</w:t>
            </w:r>
          </w:hyperlink>
          <w:hyperlink w:anchor="_heading=h.3w19e94">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205</w:t>
            </w:r>
          </w:hyperlink>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both"/>
            <w:rPr>
              <w:rFonts w:ascii="Aptos" w:cs="Aptos" w:eastAsia="Aptos" w:hAnsi="Aptos"/>
              <w:b w:val="1"/>
              <w:i w:val="0"/>
              <w:smallCaps w:val="0"/>
              <w:strike w:val="0"/>
              <w:color w:val="000000"/>
              <w:sz w:val="22"/>
              <w:szCs w:val="22"/>
              <w:u w:val="none"/>
              <w:shd w:fill="auto" w:val="clear"/>
              <w:vertAlign w:val="baseline"/>
            </w:rPr>
          </w:pPr>
          <w:hyperlink w:anchor="_heading=h.4fsjm0b">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Table 11: </w:t>
            </w:r>
          </w:hyperlink>
          <w:hyperlink w:anchor="_heading=h.4fsjm0b">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summarising the medication groups participants were prescribed to contextualise the polypharmacy.</w:t>
              <w:tab/>
            </w:r>
          </w:hyperlink>
          <w:r w:rsidDel="00000000" w:rsidR="00000000" w:rsidRPr="00000000">
            <w:fldChar w:fldCharType="begin"/>
            <w:instrText xml:space="preserve"> PAGEREF _heading=h.4fsjm0b \h </w:instrText>
            <w:fldChar w:fldCharType="separate"/>
          </w:r>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239</w:t>
          </w:r>
          <w:r w:rsidDel="00000000" w:rsidR="00000000" w:rsidRPr="00000000">
            <w:fldChar w:fldCharType="end"/>
          </w:r>
          <w:r w:rsidDel="00000000" w:rsidR="00000000" w:rsidRPr="00000000">
            <w:rPr>
              <w:rtl w:val="0"/>
            </w:rPr>
          </w:r>
        </w:p>
        <w:p w:rsidR="00000000" w:rsidDel="00000000" w:rsidP="00000000" w:rsidRDefault="00000000" w:rsidRPr="00000000" w14:paraId="000000E6">
          <w:pPr>
            <w:jc w:val="both"/>
            <w:rPr>
              <w:b w:val="1"/>
              <w:sz w:val="22"/>
              <w:szCs w:val="2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E7">
      <w:pPr>
        <w:jc w:val="both"/>
        <w:rPr>
          <w:b w:val="1"/>
          <w:sz w:val="22"/>
          <w:szCs w:val="22"/>
        </w:rPr>
      </w:pPr>
      <w:r w:rsidDel="00000000" w:rsidR="00000000" w:rsidRPr="00000000">
        <w:rPr>
          <w:rtl w:val="0"/>
        </w:rPr>
      </w:r>
    </w:p>
    <w:p w:rsidR="00000000" w:rsidDel="00000000" w:rsidP="00000000" w:rsidRDefault="00000000" w:rsidRPr="00000000" w14:paraId="000000E8">
      <w:pPr>
        <w:jc w:val="both"/>
        <w:rPr>
          <w:sz w:val="22"/>
          <w:szCs w:val="22"/>
        </w:rPr>
      </w:pPr>
      <w:r w:rsidDel="00000000" w:rsidR="00000000" w:rsidRPr="00000000">
        <w:rPr>
          <w:rtl w:val="0"/>
        </w:rPr>
      </w:r>
    </w:p>
    <w:p w:rsidR="00000000" w:rsidDel="00000000" w:rsidP="00000000" w:rsidRDefault="00000000" w:rsidRPr="00000000" w14:paraId="000000E9">
      <w:pPr>
        <w:jc w:val="both"/>
        <w:rPr>
          <w:sz w:val="22"/>
          <w:szCs w:val="22"/>
        </w:rPr>
      </w:pPr>
      <w:r w:rsidDel="00000000" w:rsidR="00000000" w:rsidRPr="00000000">
        <w:rPr>
          <w:rtl w:val="0"/>
        </w:rPr>
      </w:r>
    </w:p>
    <w:p w:rsidR="00000000" w:rsidDel="00000000" w:rsidP="00000000" w:rsidRDefault="00000000" w:rsidRPr="00000000" w14:paraId="000000EA">
      <w:pPr>
        <w:jc w:val="both"/>
        <w:rPr>
          <w:sz w:val="22"/>
          <w:szCs w:val="22"/>
        </w:rPr>
      </w:pPr>
      <w:r w:rsidDel="00000000" w:rsidR="00000000" w:rsidRPr="00000000">
        <w:rPr>
          <w:rtl w:val="0"/>
        </w:rPr>
      </w:r>
    </w:p>
    <w:p w:rsidR="00000000" w:rsidDel="00000000" w:rsidP="00000000" w:rsidRDefault="00000000" w:rsidRPr="00000000" w14:paraId="000000EB">
      <w:pPr>
        <w:jc w:val="both"/>
        <w:rPr>
          <w:sz w:val="22"/>
          <w:szCs w:val="22"/>
        </w:rPr>
      </w:pPr>
      <w:r w:rsidDel="00000000" w:rsidR="00000000" w:rsidRPr="00000000">
        <w:rPr>
          <w:rtl w:val="0"/>
        </w:rPr>
      </w:r>
    </w:p>
    <w:p w:rsidR="00000000" w:rsidDel="00000000" w:rsidP="00000000" w:rsidRDefault="00000000" w:rsidRPr="00000000" w14:paraId="000000EC">
      <w:pPr>
        <w:jc w:val="both"/>
        <w:rPr>
          <w:sz w:val="22"/>
          <w:szCs w:val="22"/>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pStyle w:val="Heading1"/>
        <w:rPr/>
      </w:pPr>
      <w:bookmarkStart w:colFirst="0" w:colLast="0" w:name="_heading=h.tyjcwt" w:id="6"/>
      <w:bookmarkEnd w:id="6"/>
      <w:r w:rsidDel="00000000" w:rsidR="00000000" w:rsidRPr="00000000">
        <w:rPr>
          <w:rtl w:val="0"/>
        </w:rPr>
        <w:t xml:space="preserve">List of Appendices</w:t>
      </w:r>
    </w:p>
    <w:p w:rsidR="00000000" w:rsidDel="00000000" w:rsidP="00000000" w:rsidRDefault="00000000" w:rsidRPr="00000000" w14:paraId="000000FA">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3z7bk57">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1 - </w:t>
            </w:r>
          </w:hyperlink>
          <w:hyperlink w:anchor="_heading=h.3z7bk57">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Table of Included Studies from the Literature Searches</w:t>
            </w:r>
          </w:hyperlink>
          <w:hyperlink w:anchor="_heading=h.3z7bk57">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319</w:t>
            </w:r>
          </w:hyperlink>
          <w:r w:rsidDel="00000000" w:rsidR="00000000" w:rsidRPr="00000000">
            <w:rPr>
              <w:rtl w:val="0"/>
            </w:rPr>
          </w:r>
        </w:p>
        <w:p w:rsidR="00000000" w:rsidDel="00000000" w:rsidP="00000000" w:rsidRDefault="00000000" w:rsidRPr="00000000" w14:paraId="000000FC">
          <w:pPr>
            <w:rPr>
              <w:sz w:val="22"/>
              <w:szCs w:val="22"/>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2b6jogx">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2 - </w:t>
            </w:r>
          </w:hyperlink>
          <w:hyperlink w:anchor="_heading=h.2b6jogx">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Research Poster</w:t>
            </w:r>
          </w:hyperlink>
          <w:hyperlink w:anchor="_heading=h.2b6jogx">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361</w:t>
            </w:r>
          </w:hyperlink>
          <w:r w:rsidDel="00000000" w:rsidR="00000000" w:rsidRPr="00000000">
            <w:rPr>
              <w:rtl w:val="0"/>
            </w:rPr>
          </w:r>
        </w:p>
        <w:p w:rsidR="00000000" w:rsidDel="00000000" w:rsidP="00000000" w:rsidRDefault="00000000" w:rsidRPr="00000000" w14:paraId="000000FE">
          <w:pPr>
            <w:rPr>
              <w:sz w:val="22"/>
              <w:szCs w:val="22"/>
            </w:rPr>
          </w:pP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3dhjn8m">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3 - </w:t>
            </w:r>
          </w:hyperlink>
          <w:hyperlink w:anchor="_heading=h.3dhjn8m">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Participant Information Sheet</w:t>
            </w:r>
          </w:hyperlink>
          <w:hyperlink w:anchor="_heading=h.3dhjn8m">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362</w:t>
            </w:r>
          </w:hyperlink>
          <w:r w:rsidDel="00000000" w:rsidR="00000000" w:rsidRPr="00000000">
            <w:rPr>
              <w:rtl w:val="0"/>
            </w:rPr>
          </w:r>
        </w:p>
        <w:p w:rsidR="00000000" w:rsidDel="00000000" w:rsidP="00000000" w:rsidRDefault="00000000" w:rsidRPr="00000000" w14:paraId="00000100">
          <w:pPr>
            <w:rPr>
              <w:sz w:val="22"/>
              <w:szCs w:val="22"/>
            </w:rPr>
          </w:pPr>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1smtxgf">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4 –</w:t>
            </w:r>
          </w:hyperlink>
          <w:hyperlink w:anchor="_heading=h.1smtxgf">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Ethical Approval from the Health Research Authority</w:t>
            </w:r>
          </w:hyperlink>
          <w:hyperlink w:anchor="_heading=h.1smtxgf">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367</w:t>
            </w:r>
          </w:hyperlink>
          <w:r w:rsidDel="00000000" w:rsidR="00000000" w:rsidRPr="00000000">
            <w:rPr>
              <w:rtl w:val="0"/>
            </w:rPr>
          </w:r>
        </w:p>
        <w:p w:rsidR="00000000" w:rsidDel="00000000" w:rsidP="00000000" w:rsidRDefault="00000000" w:rsidRPr="00000000" w14:paraId="00000102">
          <w:pPr>
            <w:rPr>
              <w:sz w:val="22"/>
              <w:szCs w:val="22"/>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4cmhg48">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5 - </w:t>
            </w:r>
          </w:hyperlink>
          <w:hyperlink w:anchor="_heading=h.4cmhg48">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Participant Consent Form</w:t>
            </w:r>
          </w:hyperlink>
          <w:hyperlink w:anchor="_heading=h.4cmhg48">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368</w:t>
            </w:r>
          </w:hyperlink>
          <w:r w:rsidDel="00000000" w:rsidR="00000000" w:rsidRPr="00000000">
            <w:rPr>
              <w:rtl w:val="0"/>
            </w:rPr>
          </w:r>
        </w:p>
        <w:p w:rsidR="00000000" w:rsidDel="00000000" w:rsidP="00000000" w:rsidRDefault="00000000" w:rsidRPr="00000000" w14:paraId="00000104">
          <w:pPr>
            <w:rPr>
              <w:sz w:val="22"/>
              <w:szCs w:val="22"/>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2rrrqc1">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6 - </w:t>
            </w:r>
          </w:hyperlink>
          <w:hyperlink w:anchor="_heading=h.2rrrqc1">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Interview Schedule</w:t>
            </w:r>
          </w:hyperlink>
          <w:hyperlink w:anchor="_heading=h.2rrrqc1">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369</w:t>
            </w:r>
          </w:hyperlink>
          <w:r w:rsidDel="00000000" w:rsidR="00000000" w:rsidRPr="00000000">
            <w:rPr>
              <w:rtl w:val="0"/>
            </w:rPr>
          </w:r>
        </w:p>
        <w:p w:rsidR="00000000" w:rsidDel="00000000" w:rsidP="00000000" w:rsidRDefault="00000000" w:rsidRPr="00000000" w14:paraId="00000106">
          <w:pPr>
            <w:rPr>
              <w:sz w:val="22"/>
              <w:szCs w:val="22"/>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16x20ju">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7 - </w:t>
            </w:r>
          </w:hyperlink>
          <w:hyperlink w:anchor="_heading=h.16x20ju">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Ethical Approval from the University of Sheffield Ethics Board</w:t>
            </w:r>
          </w:hyperlink>
          <w:hyperlink w:anchor="_heading=h.16x20ju">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374</w:t>
            </w:r>
          </w:hyperlink>
          <w:r w:rsidDel="00000000" w:rsidR="00000000" w:rsidRPr="00000000">
            <w:rPr>
              <w:rtl w:val="0"/>
            </w:rPr>
          </w:r>
        </w:p>
        <w:p w:rsidR="00000000" w:rsidDel="00000000" w:rsidP="00000000" w:rsidRDefault="00000000" w:rsidRPr="00000000" w14:paraId="00000108">
          <w:pPr>
            <w:rPr>
              <w:sz w:val="22"/>
              <w:szCs w:val="22"/>
            </w:rPr>
          </w:pP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3qwpj7n">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8 - </w:t>
            </w:r>
          </w:hyperlink>
          <w:hyperlink w:anchor="_heading=h.3qwpj7n">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Risk Assessment</w:t>
            </w:r>
          </w:hyperlink>
          <w:hyperlink w:anchor="_heading=h.3qwpj7n">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375</w:t>
            </w:r>
          </w:hyperlink>
          <w:r w:rsidDel="00000000" w:rsidR="00000000" w:rsidRPr="00000000">
            <w:rPr>
              <w:rtl w:val="0"/>
            </w:rPr>
          </w:r>
        </w:p>
        <w:p w:rsidR="00000000" w:rsidDel="00000000" w:rsidP="00000000" w:rsidRDefault="00000000" w:rsidRPr="00000000" w14:paraId="0000010A">
          <w:pPr>
            <w:rPr>
              <w:sz w:val="22"/>
              <w:szCs w:val="22"/>
            </w:rPr>
          </w:pPr>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467886"/>
              <w:sz w:val="22"/>
              <w:szCs w:val="22"/>
              <w:u w:val="single"/>
              <w:shd w:fill="auto" w:val="clear"/>
              <w:vertAlign w:val="baseline"/>
            </w:rPr>
          </w:pPr>
          <w:hyperlink w:anchor="_heading=h.261ztfg">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9 -</w:t>
            </w:r>
          </w:hyperlink>
          <w:hyperlink w:anchor="_heading=h.261ztfg">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Participant Debrief Sheet</w:t>
            </w:r>
          </w:hyperlink>
          <w:hyperlink w:anchor="_heading=h.261ztfg">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380</w:t>
            </w:r>
          </w:hyperlink>
          <w:r w:rsidDel="00000000" w:rsidR="00000000" w:rsidRPr="00000000">
            <w:rPr>
              <w:rtl w:val="0"/>
            </w:rPr>
          </w:r>
        </w:p>
        <w:p w:rsidR="00000000" w:rsidDel="00000000" w:rsidP="00000000" w:rsidRDefault="00000000" w:rsidRPr="00000000" w14:paraId="0000010C">
          <w:pPr>
            <w:rPr>
              <w:sz w:val="22"/>
              <w:szCs w:val="22"/>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0" w:before="0" w:line="240" w:lineRule="auto"/>
            <w:ind w:left="0" w:right="0" w:firstLine="0"/>
            <w:jc w:val="left"/>
            <w:rPr>
              <w:rFonts w:ascii="Aptos" w:cs="Aptos" w:eastAsia="Aptos" w:hAnsi="Aptos"/>
              <w:b w:val="1"/>
              <w:i w:val="0"/>
              <w:smallCaps w:val="0"/>
              <w:strike w:val="0"/>
              <w:color w:val="000000"/>
              <w:sz w:val="22"/>
              <w:szCs w:val="22"/>
              <w:u w:val="none"/>
              <w:shd w:fill="auto" w:val="clear"/>
              <w:vertAlign w:val="baseline"/>
            </w:rPr>
          </w:pPr>
          <w:hyperlink w:anchor="_heading=h.356xmb2">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 xml:space="preserve">Appendix 10 - </w:t>
            </w:r>
          </w:hyperlink>
          <w:hyperlink w:anchor="_heading=h.356xmb2">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Gannt Chart</w:t>
            </w:r>
          </w:hyperlink>
          <w:hyperlink w:anchor="_heading=h.356xmb2">
            <w:r w:rsidDel="00000000" w:rsidR="00000000" w:rsidRPr="00000000">
              <w:rPr>
                <w:rFonts w:ascii="Aptos" w:cs="Aptos" w:eastAsia="Aptos" w:hAnsi="Aptos"/>
                <w:b w:val="1"/>
                <w:i w:val="0"/>
                <w:smallCaps w:val="0"/>
                <w:strike w:val="0"/>
                <w:color w:val="000000"/>
                <w:sz w:val="22"/>
                <w:szCs w:val="22"/>
                <w:u w:val="none"/>
                <w:shd w:fill="auto" w:val="clear"/>
                <w:vertAlign w:val="baseline"/>
                <w:rtl w:val="0"/>
              </w:rPr>
              <w:tab/>
              <w:t xml:space="preserve">381</w:t>
            </w:r>
          </w:hyperlink>
          <w:r w:rsidDel="00000000" w:rsidR="00000000" w:rsidRPr="00000000">
            <w:rPr>
              <w:rtl w:val="0"/>
            </w:rPr>
          </w:r>
        </w:p>
        <w:p w:rsidR="00000000" w:rsidDel="00000000" w:rsidP="00000000" w:rsidRDefault="00000000" w:rsidRPr="00000000" w14:paraId="0000010E">
          <w:pPr>
            <w:jc w:val="both"/>
            <w:rPr>
              <w:b w:val="1"/>
              <w:sz w:val="22"/>
              <w:szCs w:val="2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0F">
      <w:pPr>
        <w:jc w:val="both"/>
        <w:rPr>
          <w:b w:val="1"/>
          <w:sz w:val="22"/>
          <w:szCs w:val="22"/>
        </w:rPr>
      </w:pPr>
      <w:r w:rsidDel="00000000" w:rsidR="00000000" w:rsidRPr="00000000">
        <w:rPr>
          <w:rtl w:val="0"/>
        </w:rPr>
      </w:r>
    </w:p>
    <w:p w:rsidR="00000000" w:rsidDel="00000000" w:rsidP="00000000" w:rsidRDefault="00000000" w:rsidRPr="00000000" w14:paraId="00000110">
      <w:pPr>
        <w:rPr>
          <w:sz w:val="22"/>
          <w:szCs w:val="22"/>
        </w:rPr>
      </w:pPr>
      <w:r w:rsidDel="00000000" w:rsidR="00000000" w:rsidRPr="00000000">
        <w:rPr>
          <w:rtl w:val="0"/>
        </w:rPr>
      </w:r>
    </w:p>
    <w:p w:rsidR="00000000" w:rsidDel="00000000" w:rsidP="00000000" w:rsidRDefault="00000000" w:rsidRPr="00000000" w14:paraId="00000111">
      <w:pPr>
        <w:rPr>
          <w:sz w:val="22"/>
          <w:szCs w:val="22"/>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pStyle w:val="Heading1"/>
        <w:spacing w:line="480" w:lineRule="auto"/>
        <w:rPr/>
      </w:pPr>
      <w:bookmarkStart w:colFirst="0" w:colLast="0" w:name="_heading=h.3dy6vkm" w:id="7"/>
      <w:bookmarkEnd w:id="7"/>
      <w:r w:rsidDel="00000000" w:rsidR="00000000" w:rsidRPr="00000000">
        <w:rPr>
          <w:rtl w:val="0"/>
        </w:rPr>
        <w:t xml:space="preserve">Chapter One – Introduction </w:t>
      </w:r>
    </w:p>
    <w:p w:rsidR="00000000" w:rsidDel="00000000" w:rsidP="00000000" w:rsidRDefault="00000000" w:rsidRPr="00000000" w14:paraId="00000129">
      <w:pPr>
        <w:spacing w:line="480" w:lineRule="auto"/>
        <w:jc w:val="both"/>
        <w:rPr>
          <w:sz w:val="22"/>
          <w:szCs w:val="22"/>
        </w:rPr>
      </w:pPr>
      <w:r w:rsidDel="00000000" w:rsidR="00000000" w:rsidRPr="00000000">
        <w:rPr>
          <w:sz w:val="22"/>
          <w:szCs w:val="22"/>
          <w:rtl w:val="0"/>
        </w:rPr>
        <w:t xml:space="preserve">This thesis focuses on increasing societal concerns about the problematic use of prescription medicines, and in particular symptoms of dependence and withdrawal. It will present the findings from a qualitative study undertaken with a number of patients in England who have lived experience of dependence and/or withdrawal associated with the five main groups of implicated medicines. These include antidepressants, benzodiazepines, gabapentinoids, opioids and z-drugs. </w:t>
      </w:r>
    </w:p>
    <w:p w:rsidR="00000000" w:rsidDel="00000000" w:rsidP="00000000" w:rsidRDefault="00000000" w:rsidRPr="00000000" w14:paraId="0000012A">
      <w:pPr>
        <w:spacing w:line="480" w:lineRule="auto"/>
        <w:jc w:val="both"/>
        <w:rPr>
          <w:sz w:val="22"/>
          <w:szCs w:val="22"/>
        </w:rPr>
      </w:pPr>
      <w:r w:rsidDel="00000000" w:rsidR="00000000" w:rsidRPr="00000000">
        <w:rPr>
          <w:rtl w:val="0"/>
        </w:rPr>
      </w:r>
    </w:p>
    <w:p w:rsidR="00000000" w:rsidDel="00000000" w:rsidP="00000000" w:rsidRDefault="00000000" w:rsidRPr="00000000" w14:paraId="0000012B">
      <w:pPr>
        <w:spacing w:line="480" w:lineRule="auto"/>
        <w:jc w:val="both"/>
        <w:rPr>
          <w:sz w:val="22"/>
          <w:szCs w:val="22"/>
        </w:rPr>
      </w:pPr>
      <w:r w:rsidDel="00000000" w:rsidR="00000000" w:rsidRPr="00000000">
        <w:rPr>
          <w:sz w:val="22"/>
          <w:szCs w:val="22"/>
          <w:rtl w:val="0"/>
        </w:rPr>
        <w:t xml:space="preserve">This chapter will firstly contextualise prescribed drug dependence, before presenting the aims and objectives of this research. It will then outline the clinical indication for each medicine, then present the prescribing rates for each medicine both in the United Kingdom, and internationally. The implications of the use of these medicines will also be addressed. </w:t>
      </w:r>
    </w:p>
    <w:p w:rsidR="00000000" w:rsidDel="00000000" w:rsidP="00000000" w:rsidRDefault="00000000" w:rsidRPr="00000000" w14:paraId="0000012C">
      <w:pPr>
        <w:spacing w:line="480" w:lineRule="auto"/>
        <w:jc w:val="both"/>
        <w:rPr>
          <w:sz w:val="22"/>
          <w:szCs w:val="22"/>
        </w:rPr>
      </w:pPr>
      <w:r w:rsidDel="00000000" w:rsidR="00000000" w:rsidRPr="00000000">
        <w:rPr>
          <w:rtl w:val="0"/>
        </w:rPr>
      </w:r>
    </w:p>
    <w:p w:rsidR="00000000" w:rsidDel="00000000" w:rsidP="00000000" w:rsidRDefault="00000000" w:rsidRPr="00000000" w14:paraId="0000012D">
      <w:pPr>
        <w:pStyle w:val="Heading2"/>
        <w:numPr>
          <w:ilvl w:val="1"/>
          <w:numId w:val="25"/>
        </w:numPr>
        <w:spacing w:line="480" w:lineRule="auto"/>
        <w:ind w:left="0" w:firstLine="0"/>
        <w:rPr/>
      </w:pPr>
      <w:bookmarkStart w:colFirst="0" w:colLast="0" w:name="_heading=h.1t3h5sf" w:id="8"/>
      <w:bookmarkEnd w:id="8"/>
      <w:r w:rsidDel="00000000" w:rsidR="00000000" w:rsidRPr="00000000">
        <w:rPr>
          <w:rtl w:val="0"/>
        </w:rPr>
        <w:t xml:space="preserve">Importance of Medicines</w:t>
      </w:r>
    </w:p>
    <w:p w:rsidR="00000000" w:rsidDel="00000000" w:rsidP="00000000" w:rsidRDefault="00000000" w:rsidRPr="00000000" w14:paraId="0000012E">
      <w:pPr>
        <w:spacing w:line="480" w:lineRule="auto"/>
        <w:jc w:val="both"/>
        <w:rPr>
          <w:sz w:val="22"/>
          <w:szCs w:val="22"/>
        </w:rPr>
      </w:pPr>
      <w:r w:rsidDel="00000000" w:rsidR="00000000" w:rsidRPr="00000000">
        <w:rPr>
          <w:sz w:val="22"/>
          <w:szCs w:val="22"/>
          <w:rtl w:val="0"/>
        </w:rPr>
        <w:t xml:space="preserve">Before considering the more specific issue of the problematic use of medicines, it is important to provide some initial context around the importance of medicines as a key element of many treatments within health systems globally as well as the UK. Indeed, prescribed medicines represent one of the mains sources of expenditure in many health systems, and in the UK amounts to around £17.2 billion annual expenditure (NHSBSA 2022). Medicines within many countries are controlled through legislation, and in the UK, this is primarily done through the Human Medicines Regulations (2012). This replaced most of the previously influential Medicines Act (1968). In the UK, there are also further laws relating to specific substances that are considered to be a public health concern, the main category being controlled drugs, which cover many of the therapeutic groups of medicines to be covered in this research.</w:t>
      </w:r>
    </w:p>
    <w:p w:rsidR="00000000" w:rsidDel="00000000" w:rsidP="00000000" w:rsidRDefault="00000000" w:rsidRPr="00000000" w14:paraId="0000012F">
      <w:pPr>
        <w:spacing w:line="480" w:lineRule="auto"/>
        <w:jc w:val="both"/>
        <w:rPr>
          <w:sz w:val="22"/>
          <w:szCs w:val="22"/>
        </w:rPr>
      </w:pPr>
      <w:r w:rsidDel="00000000" w:rsidR="00000000" w:rsidRPr="00000000">
        <w:rPr>
          <w:sz w:val="22"/>
          <w:szCs w:val="22"/>
          <w:rtl w:val="0"/>
        </w:rPr>
        <w:t xml:space="preserve">As well as legislation that governs how medicines can be prescribed and supplied, there are many other factors that influence medicine supply. A key other area related to clinical guidance and the influence of key statutory bodies such as the National Institute of Health and Clinical Excellence (NICE) in the UK as well as numerous other sources that shape and influence what constitutes appropriate prescribing of medicines. However, medicines are recognised as having the potential for side effects as well as producing the required therapeutic benefits and at the heart of this research, is a concern about this aspect and also those previously mentioned, namely the extent to which individuals as patients are prescribed medicines appropriately and the extent to which there may be iatrogenic harm – that is harm caused by medical intervention. This is explored further in the next section.</w:t>
      </w:r>
    </w:p>
    <w:p w:rsidR="00000000" w:rsidDel="00000000" w:rsidP="00000000" w:rsidRDefault="00000000" w:rsidRPr="00000000" w14:paraId="00000130">
      <w:pPr>
        <w:spacing w:line="480" w:lineRule="auto"/>
        <w:jc w:val="both"/>
        <w:rPr>
          <w:sz w:val="22"/>
          <w:szCs w:val="22"/>
        </w:rPr>
      </w:pPr>
      <w:r w:rsidDel="00000000" w:rsidR="00000000" w:rsidRPr="00000000">
        <w:rPr>
          <w:rtl w:val="0"/>
        </w:rPr>
      </w:r>
    </w:p>
    <w:p w:rsidR="00000000" w:rsidDel="00000000" w:rsidP="00000000" w:rsidRDefault="00000000" w:rsidRPr="00000000" w14:paraId="00000131">
      <w:pPr>
        <w:pStyle w:val="Heading2"/>
        <w:numPr>
          <w:ilvl w:val="1"/>
          <w:numId w:val="25"/>
        </w:numPr>
        <w:spacing w:line="480" w:lineRule="auto"/>
        <w:ind w:left="0" w:firstLine="0"/>
        <w:rPr/>
      </w:pPr>
      <w:bookmarkStart w:colFirst="0" w:colLast="0" w:name="_heading=h.4d34og8" w:id="9"/>
      <w:bookmarkEnd w:id="9"/>
      <w:r w:rsidDel="00000000" w:rsidR="00000000" w:rsidRPr="00000000">
        <w:rPr>
          <w:rtl w:val="0"/>
        </w:rPr>
        <w:t xml:space="preserve">Context of Prescribed Drug Dependence</w:t>
      </w:r>
    </w:p>
    <w:p w:rsidR="00000000" w:rsidDel="00000000" w:rsidP="00000000" w:rsidRDefault="00000000" w:rsidRPr="00000000" w14:paraId="00000132">
      <w:pPr>
        <w:spacing w:line="480" w:lineRule="auto"/>
        <w:jc w:val="both"/>
        <w:rPr>
          <w:sz w:val="22"/>
          <w:szCs w:val="22"/>
        </w:rPr>
      </w:pPr>
      <w:r w:rsidDel="00000000" w:rsidR="00000000" w:rsidRPr="00000000">
        <w:rPr>
          <w:sz w:val="22"/>
          <w:szCs w:val="22"/>
          <w:rtl w:val="0"/>
        </w:rPr>
        <w:t xml:space="preserve">Some individuals may experience problems in the use of their prescribed medicines (National Health Service 2018). Whilst some of these problems may result from side effects, there are increasing concerns that some prescription medicines can result in negative outcomes relating to what have been variously defined and described as dependence, addiction, abuse or misuse. These have been recognised both clinically, but also societally and perhaps no more so than the concerns about the opioid epidemic in the United States and other countries (Wood and Dargan 2020, Chiappiani et al 2020). As a result, there is an increasing awareness of the problematic use of these medicines over the last decade in the public realm and mass media (Wood and Dargan 2020, Chiappiani et al 2020). Despite heavy regulation under the Medicines Act (1968), concerns around dependence on prescription medicines, particularly opioids and prescribed stimulants, are increasing in the United Kingdom (McHugh et al 2016, Marsden et al 2019, p.937). </w:t>
      </w:r>
    </w:p>
    <w:p w:rsidR="00000000" w:rsidDel="00000000" w:rsidP="00000000" w:rsidRDefault="00000000" w:rsidRPr="00000000" w14:paraId="00000133">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-73976</wp:posOffset>
                </wp:positionH>
                <wp:positionV relativeFrom="margin">
                  <wp:posOffset>3781651</wp:posOffset>
                </wp:positionV>
                <wp:extent cx="4251325" cy="2787650"/>
                <wp:effectExtent b="0" l="0" r="0" t="0"/>
                <wp:wrapSquare wrapText="bothSides" distB="0" distT="0" distL="114300" distR="114300"/>
                <wp:docPr id="2142794189" name=""/>
                <a:graphic>
                  <a:graphicData uri="http://schemas.microsoft.com/office/word/2010/wordprocessingShape">
                    <wps:wsp>
                      <wps:cNvSpPr/>
                      <wps:cNvPr id="30" name="Shape 30"/>
                      <wps:spPr>
                        <a:xfrm>
                          <a:off x="3225100" y="2390938"/>
                          <a:ext cx="4241800" cy="2778125"/>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Proportion of adult residents in England receiving a prescription 2015 to 2018, by year and class of medicine. Taken from Public Health England (2019, p. 44).</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-73976</wp:posOffset>
                </wp:positionH>
                <wp:positionV relativeFrom="margin">
                  <wp:posOffset>3781651</wp:posOffset>
                </wp:positionV>
                <wp:extent cx="4251325" cy="2787650"/>
                <wp:effectExtent b="0" l="0" r="0" t="0"/>
                <wp:wrapSquare wrapText="bothSides" distB="0" distT="0" distL="114300" distR="114300"/>
                <wp:docPr id="2142794189"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4251325" cy="2787650"/>
                        </a:xfrm>
                        <a:prstGeom prst="rect"/>
                        <a:ln/>
                      </pic:spPr>
                    </pic:pic>
                  </a:graphicData>
                </a:graphic>
              </wp:anchor>
            </w:drawing>
          </mc:Fallback>
        </mc:AlternateContent>
      </w:r>
      <w:r w:rsidDel="00000000" w:rsidR="00000000" w:rsidRPr="00000000">
        <w:rPr>
          <w:sz w:val="22"/>
          <w:szCs w:val="22"/>
          <w:rtl w:val="0"/>
        </w:rPr>
        <w:t xml:space="preserve">Highlighting increasing concerns about this the British Medical Association (BMA) published a report expressing concerns regarding prescribed drug dependence and associated withdrawal (British Medical Association 2015, Public Health England 2019, p. 17). Medical professionals observed a potential for some patients to become dependent on, or experience withdrawal symptoms from prescription medicines, which ultimately led to a range of harms (British Medical Association 2015). The British Medical Association state the management of prescribed drug dependence and associated withdrawal is “</w:t>
      </w:r>
      <w:r w:rsidDel="00000000" w:rsidR="00000000" w:rsidRPr="00000000">
        <w:rPr>
          <w:i w:val="1"/>
          <w:sz w:val="22"/>
          <w:szCs w:val="22"/>
          <w:rtl w:val="0"/>
        </w:rPr>
        <w:t xml:space="preserve">central to doctor’s clinical role</w:t>
      </w:r>
      <w:r w:rsidDel="00000000" w:rsidR="00000000" w:rsidRPr="00000000">
        <w:rPr>
          <w:sz w:val="22"/>
          <w:szCs w:val="22"/>
          <w:rtl w:val="0"/>
        </w:rPr>
        <w:t xml:space="preserve">” and something the “</w:t>
      </w:r>
      <w:r w:rsidDel="00000000" w:rsidR="00000000" w:rsidRPr="00000000">
        <w:rPr>
          <w:i w:val="1"/>
          <w:sz w:val="22"/>
          <w:szCs w:val="22"/>
          <w:rtl w:val="0"/>
        </w:rPr>
        <w:t xml:space="preserve">medical profession has a clear responsibility</w:t>
      </w:r>
      <w:r w:rsidDel="00000000" w:rsidR="00000000" w:rsidRPr="00000000">
        <w:rPr>
          <w:sz w:val="22"/>
          <w:szCs w:val="22"/>
          <w:rtl w:val="0"/>
        </w:rPr>
        <w:t xml:space="preserve">” to help address (British Medical Association 2015). In response, Public Health England was commissioned to identify the “</w:t>
      </w:r>
      <w:r w:rsidDel="00000000" w:rsidR="00000000" w:rsidRPr="00000000">
        <w:rPr>
          <w:i w:val="1"/>
          <w:sz w:val="22"/>
          <w:szCs w:val="22"/>
          <w:rtl w:val="0"/>
        </w:rPr>
        <w:t xml:space="preserve">scale, distribution and causes</w:t>
      </w:r>
      <w:r w:rsidDel="00000000" w:rsidR="00000000" w:rsidRPr="00000000">
        <w:rPr>
          <w:sz w:val="22"/>
          <w:szCs w:val="22"/>
          <w:rtl w:val="0"/>
        </w:rPr>
        <w:t xml:space="preserve">” of “</w:t>
      </w:r>
      <w:r w:rsidDel="00000000" w:rsidR="00000000" w:rsidRPr="00000000">
        <w:rPr>
          <w:i w:val="1"/>
          <w:sz w:val="22"/>
          <w:szCs w:val="22"/>
          <w:rtl w:val="0"/>
        </w:rPr>
        <w:t xml:space="preserve">dependence forming medicines</w:t>
      </w:r>
      <w:r w:rsidDel="00000000" w:rsidR="00000000" w:rsidRPr="00000000">
        <w:rPr>
          <w:sz w:val="22"/>
          <w:szCs w:val="22"/>
          <w:rtl w:val="0"/>
        </w:rPr>
        <w:t xml:space="preserve">” (British Medical Association 2015). This report focussed on antidepressants, benzodiazepines, gabapentinoids, opioids (for non-cancer pain) and z-drugs (Public Health England 2019, p. 11). </w:t>
      </w:r>
    </w:p>
    <w:p w:rsidR="00000000" w:rsidDel="00000000" w:rsidP="00000000" w:rsidRDefault="00000000" w:rsidRPr="00000000" w14:paraId="00000134">
      <w:pPr>
        <w:spacing w:line="480" w:lineRule="auto"/>
        <w:jc w:val="both"/>
        <w:rPr>
          <w:sz w:val="22"/>
          <w:szCs w:val="22"/>
        </w:rPr>
      </w:pPr>
      <w:r w:rsidDel="00000000" w:rsidR="00000000" w:rsidRPr="00000000">
        <w:rPr>
          <w:rtl w:val="0"/>
        </w:rPr>
      </w:r>
    </w:p>
    <w:p w:rsidR="00000000" w:rsidDel="00000000" w:rsidP="00000000" w:rsidRDefault="00000000" w:rsidRPr="00000000" w14:paraId="00000135">
      <w:pPr>
        <w:spacing w:line="480" w:lineRule="auto"/>
        <w:jc w:val="both"/>
        <w:rPr>
          <w:sz w:val="22"/>
          <w:szCs w:val="22"/>
        </w:rPr>
      </w:pPr>
      <w:r w:rsidDel="00000000" w:rsidR="00000000" w:rsidRPr="00000000">
        <w:rPr>
          <w:sz w:val="22"/>
          <w:szCs w:val="22"/>
          <w:rtl w:val="0"/>
        </w:rPr>
        <w:t xml:space="preserve">As shown in Figure One, there has been an overall upward trend in prescribing, for antidepressants and gabapentinoids, and a slight decrease in the other three therapeutic groups. This has been noted to reflect longer-term patterns in prescribing, which will be discussed later in this chapter.  As part of this review, there was limited insight due to the low number of studies exploring the detailed descriptions of individual patient experiences (Public Health England 2019, p. 109). This includes their perception of support, particularly assessing the experiences of those using gabapentinoids (Public Health England 2019 p. 118, 119). Therefore, there has been a further call for evidence to explore this phenomenon (Public Health England 2019, p. 109).</w:t>
      </w:r>
    </w:p>
    <w:p w:rsidR="00000000" w:rsidDel="00000000" w:rsidP="00000000" w:rsidRDefault="00000000" w:rsidRPr="00000000" w14:paraId="00000136">
      <w:pPr>
        <w:spacing w:line="480" w:lineRule="auto"/>
        <w:jc w:val="both"/>
        <w:rPr>
          <w:sz w:val="22"/>
          <w:szCs w:val="22"/>
        </w:rPr>
      </w:pPr>
      <w:r w:rsidDel="00000000" w:rsidR="00000000" w:rsidRPr="00000000">
        <w:rPr>
          <w:rtl w:val="0"/>
        </w:rPr>
      </w:r>
    </w:p>
    <w:p w:rsidR="00000000" w:rsidDel="00000000" w:rsidP="00000000" w:rsidRDefault="00000000" w:rsidRPr="00000000" w14:paraId="00000137">
      <w:pPr>
        <w:spacing w:line="480" w:lineRule="auto"/>
        <w:jc w:val="both"/>
        <w:rPr>
          <w:sz w:val="22"/>
          <w:szCs w:val="22"/>
        </w:rPr>
      </w:pPr>
      <w:r w:rsidDel="00000000" w:rsidR="00000000" w:rsidRPr="00000000">
        <w:rPr>
          <w:sz w:val="22"/>
          <w:szCs w:val="22"/>
          <w:rtl w:val="0"/>
        </w:rPr>
        <w:t xml:space="preserve">Considering this research is discussing “</w:t>
      </w:r>
      <w:r w:rsidDel="00000000" w:rsidR="00000000" w:rsidRPr="00000000">
        <w:rPr>
          <w:i w:val="1"/>
          <w:sz w:val="22"/>
          <w:szCs w:val="22"/>
          <w:rtl w:val="0"/>
        </w:rPr>
        <w:t xml:space="preserve">dependence</w:t>
      </w:r>
      <w:r w:rsidDel="00000000" w:rsidR="00000000" w:rsidRPr="00000000">
        <w:rPr>
          <w:sz w:val="22"/>
          <w:szCs w:val="22"/>
          <w:rtl w:val="0"/>
        </w:rPr>
        <w:t xml:space="preserve">” and “</w:t>
      </w:r>
      <w:r w:rsidDel="00000000" w:rsidR="00000000" w:rsidRPr="00000000">
        <w:rPr>
          <w:i w:val="1"/>
          <w:sz w:val="22"/>
          <w:szCs w:val="22"/>
          <w:rtl w:val="0"/>
        </w:rPr>
        <w:t xml:space="preserve">withdrawal</w:t>
      </w:r>
      <w:r w:rsidDel="00000000" w:rsidR="00000000" w:rsidRPr="00000000">
        <w:rPr>
          <w:sz w:val="22"/>
          <w:szCs w:val="22"/>
          <w:rtl w:val="0"/>
        </w:rPr>
        <w:t xml:space="preserve">”, it is important to briefly outline the definitions used throughout and will be presented in the next chapter. Dependence is considered an “</w:t>
      </w:r>
      <w:r w:rsidDel="00000000" w:rsidR="00000000" w:rsidRPr="00000000">
        <w:rPr>
          <w:i w:val="1"/>
          <w:sz w:val="22"/>
          <w:szCs w:val="22"/>
          <w:rtl w:val="0"/>
        </w:rPr>
        <w:t xml:space="preserve">adaptation to repeated exposure to some drugs and medicines</w:t>
      </w:r>
      <w:r w:rsidDel="00000000" w:rsidR="00000000" w:rsidRPr="00000000">
        <w:rPr>
          <w:sz w:val="22"/>
          <w:szCs w:val="22"/>
          <w:rtl w:val="0"/>
        </w:rPr>
        <w:t xml:space="preserve">”, whilst withdrawal</w:t>
      </w:r>
      <w:r w:rsidDel="00000000" w:rsidR="00000000" w:rsidRPr="00000000">
        <w:rPr>
          <w:b w:val="1"/>
          <w:sz w:val="22"/>
          <w:szCs w:val="22"/>
          <w:rtl w:val="0"/>
        </w:rPr>
        <w:t xml:space="preserve"> </w:t>
      </w:r>
      <w:r w:rsidDel="00000000" w:rsidR="00000000" w:rsidRPr="00000000">
        <w:rPr>
          <w:sz w:val="22"/>
          <w:szCs w:val="22"/>
          <w:rtl w:val="0"/>
        </w:rPr>
        <w:t xml:space="preserve">symptoms are “physiological reactions when a drug or medicine that has been taken repeatedly is removed” (Public Health England 2019, p.8). Withdrawal symptoms are “</w:t>
      </w:r>
      <w:r w:rsidDel="00000000" w:rsidR="00000000" w:rsidRPr="00000000">
        <w:rPr>
          <w:i w:val="1"/>
          <w:sz w:val="22"/>
          <w:szCs w:val="22"/>
          <w:rtl w:val="0"/>
        </w:rPr>
        <w:t xml:space="preserve">physiological reactions when a drug or medicine that has been taken repeatedly is removed</w:t>
      </w:r>
      <w:r w:rsidDel="00000000" w:rsidR="00000000" w:rsidRPr="00000000">
        <w:rPr>
          <w:sz w:val="22"/>
          <w:szCs w:val="22"/>
          <w:rtl w:val="0"/>
        </w:rPr>
        <w:t xml:space="preserve">” (Public Health England 2019, p.8).</w:t>
      </w:r>
    </w:p>
    <w:p w:rsidR="00000000" w:rsidDel="00000000" w:rsidP="00000000" w:rsidRDefault="00000000" w:rsidRPr="00000000" w14:paraId="00000138">
      <w:pPr>
        <w:spacing w:line="480" w:lineRule="auto"/>
        <w:jc w:val="both"/>
        <w:rPr>
          <w:sz w:val="22"/>
          <w:szCs w:val="22"/>
        </w:rPr>
      </w:pPr>
      <w:r w:rsidDel="00000000" w:rsidR="00000000" w:rsidRPr="00000000">
        <w:rPr>
          <w:rtl w:val="0"/>
        </w:rPr>
      </w:r>
    </w:p>
    <w:p w:rsidR="00000000" w:rsidDel="00000000" w:rsidP="00000000" w:rsidRDefault="00000000" w:rsidRPr="00000000" w14:paraId="00000139">
      <w:pPr>
        <w:pStyle w:val="Heading2"/>
        <w:numPr>
          <w:ilvl w:val="1"/>
          <w:numId w:val="25"/>
        </w:numPr>
        <w:spacing w:line="480" w:lineRule="auto"/>
        <w:ind w:left="0" w:firstLine="0"/>
        <w:rPr/>
      </w:pPr>
      <w:bookmarkStart w:colFirst="0" w:colLast="0" w:name="_heading=h.2s8eyo1" w:id="10"/>
      <w:bookmarkEnd w:id="10"/>
      <w:r w:rsidDel="00000000" w:rsidR="00000000" w:rsidRPr="00000000">
        <w:rPr>
          <w:rtl w:val="0"/>
        </w:rPr>
        <w:t xml:space="preserve">Aims and Objectives</w:t>
      </w:r>
    </w:p>
    <w:p w:rsidR="00000000" w:rsidDel="00000000" w:rsidP="00000000" w:rsidRDefault="00000000" w:rsidRPr="00000000" w14:paraId="0000013A">
      <w:pPr>
        <w:spacing w:line="480" w:lineRule="auto"/>
        <w:jc w:val="both"/>
        <w:rPr>
          <w:sz w:val="36"/>
          <w:szCs w:val="36"/>
        </w:rPr>
      </w:pPr>
      <w:r w:rsidDel="00000000" w:rsidR="00000000" w:rsidRPr="00000000">
        <w:rPr>
          <w:sz w:val="22"/>
          <w:szCs w:val="22"/>
          <w:rtl w:val="0"/>
        </w:rPr>
        <w:t xml:space="preserve">This study aims to examine the experiences of patients who are dependent on, or have experienced withdrawal symptoms from, prescription medicines. It focusses on the five therapeutic groups addressed in the Public Health England (2019) report. This study aims to answer the following research question:</w:t>
      </w:r>
      <w:r w:rsidDel="00000000" w:rsidR="00000000" w:rsidRPr="00000000">
        <w:rPr>
          <w:rtl w:val="0"/>
        </w:rPr>
      </w:r>
    </w:p>
    <w:p w:rsidR="00000000" w:rsidDel="00000000" w:rsidP="00000000" w:rsidRDefault="00000000" w:rsidRPr="00000000" w14:paraId="0000013B">
      <w:pPr>
        <w:spacing w:line="480" w:lineRule="auto"/>
        <w:jc w:val="both"/>
        <w:rPr>
          <w:sz w:val="22"/>
          <w:szCs w:val="22"/>
        </w:rPr>
      </w:pPr>
      <w:r w:rsidDel="00000000" w:rsidR="00000000" w:rsidRPr="00000000">
        <w:rPr>
          <w:rtl w:val="0"/>
        </w:rPr>
      </w:r>
    </w:p>
    <w:p w:rsidR="00000000" w:rsidDel="00000000" w:rsidP="00000000" w:rsidRDefault="00000000" w:rsidRPr="00000000" w14:paraId="0000013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What are the experiences of patients who are dependent on, or experiencing withdrawal symptoms from prescription medicines?</w:t>
      </w:r>
      <w:r w:rsidDel="00000000" w:rsidR="00000000" w:rsidRPr="00000000">
        <w:rPr>
          <w:sz w:val="22"/>
          <w:szCs w:val="22"/>
          <w:rtl w:val="0"/>
        </w:rPr>
        <w:t xml:space="preserve">”</w:t>
      </w:r>
    </w:p>
    <w:p w:rsidR="00000000" w:rsidDel="00000000" w:rsidP="00000000" w:rsidRDefault="00000000" w:rsidRPr="00000000" w14:paraId="0000013D">
      <w:pPr>
        <w:spacing w:line="480" w:lineRule="auto"/>
        <w:ind w:left="709" w:firstLine="0"/>
        <w:jc w:val="both"/>
        <w:rPr>
          <w:i w:val="1"/>
          <w:sz w:val="22"/>
          <w:szCs w:val="22"/>
        </w:rPr>
      </w:pPr>
      <w:r w:rsidDel="00000000" w:rsidR="00000000" w:rsidRPr="00000000">
        <w:rPr>
          <w:rtl w:val="0"/>
        </w:rPr>
      </w:r>
    </w:p>
    <w:p w:rsidR="00000000" w:rsidDel="00000000" w:rsidP="00000000" w:rsidRDefault="00000000" w:rsidRPr="00000000" w14:paraId="0000013E">
      <w:pPr>
        <w:spacing w:line="480" w:lineRule="auto"/>
        <w:jc w:val="both"/>
        <w:rPr>
          <w:sz w:val="22"/>
          <w:szCs w:val="22"/>
        </w:rPr>
      </w:pPr>
      <w:r w:rsidDel="00000000" w:rsidR="00000000" w:rsidRPr="00000000">
        <w:rPr>
          <w:sz w:val="22"/>
          <w:szCs w:val="22"/>
          <w:rtl w:val="0"/>
        </w:rPr>
        <w:t xml:space="preserve">This research question will be answered using semi-structured interviews to assess the experiences of this patient group. It also aims to identify areas of importance within this study population, their medication practices and perception of care and support. This research does not, however, discuss the “</w:t>
      </w:r>
      <w:r w:rsidDel="00000000" w:rsidR="00000000" w:rsidRPr="00000000">
        <w:rPr>
          <w:i w:val="1"/>
          <w:sz w:val="22"/>
          <w:szCs w:val="22"/>
          <w:rtl w:val="0"/>
        </w:rPr>
        <w:t xml:space="preserve">abuse</w:t>
      </w:r>
      <w:r w:rsidDel="00000000" w:rsidR="00000000" w:rsidRPr="00000000">
        <w:rPr>
          <w:sz w:val="22"/>
          <w:szCs w:val="22"/>
          <w:rtl w:val="0"/>
        </w:rPr>
        <w:t xml:space="preserve">” or “</w:t>
      </w:r>
      <w:r w:rsidDel="00000000" w:rsidR="00000000" w:rsidRPr="00000000">
        <w:rPr>
          <w:i w:val="1"/>
          <w:sz w:val="22"/>
          <w:szCs w:val="22"/>
          <w:rtl w:val="0"/>
        </w:rPr>
        <w:t xml:space="preserve">misuse</w:t>
      </w:r>
      <w:r w:rsidDel="00000000" w:rsidR="00000000" w:rsidRPr="00000000">
        <w:rPr>
          <w:sz w:val="22"/>
          <w:szCs w:val="22"/>
          <w:rtl w:val="0"/>
        </w:rPr>
        <w:t xml:space="preserve">” of prescribed medicines. These behaviours are characterised as the illicit, excessive, and harmful use for “</w:t>
      </w:r>
      <w:r w:rsidDel="00000000" w:rsidR="00000000" w:rsidRPr="00000000">
        <w:rPr>
          <w:i w:val="1"/>
          <w:sz w:val="22"/>
          <w:szCs w:val="22"/>
          <w:rtl w:val="0"/>
        </w:rPr>
        <w:t xml:space="preserve">purposes other than those for which they are meant to be used</w:t>
      </w:r>
      <w:r w:rsidDel="00000000" w:rsidR="00000000" w:rsidRPr="00000000">
        <w:rPr>
          <w:sz w:val="22"/>
          <w:szCs w:val="22"/>
          <w:rtl w:val="0"/>
        </w:rPr>
        <w:t xml:space="preserve">” (National Cancer Institute 2024, Avon Partnership Occupational Health Service, 2024).  </w:t>
      </w:r>
    </w:p>
    <w:p w:rsidR="00000000" w:rsidDel="00000000" w:rsidP="00000000" w:rsidRDefault="00000000" w:rsidRPr="00000000" w14:paraId="0000013F">
      <w:pPr>
        <w:spacing w:line="480" w:lineRule="auto"/>
        <w:jc w:val="both"/>
        <w:rPr>
          <w:sz w:val="22"/>
          <w:szCs w:val="22"/>
        </w:rPr>
      </w:pPr>
      <w:r w:rsidDel="00000000" w:rsidR="00000000" w:rsidRPr="00000000">
        <w:rPr>
          <w:rtl w:val="0"/>
        </w:rPr>
      </w:r>
    </w:p>
    <w:p w:rsidR="00000000" w:rsidDel="00000000" w:rsidP="00000000" w:rsidRDefault="00000000" w:rsidRPr="00000000" w14:paraId="00000140">
      <w:pPr>
        <w:spacing w:line="480" w:lineRule="auto"/>
        <w:jc w:val="both"/>
        <w:rPr>
          <w:sz w:val="22"/>
          <w:szCs w:val="22"/>
        </w:rPr>
      </w:pPr>
      <w:r w:rsidDel="00000000" w:rsidR="00000000" w:rsidRPr="00000000">
        <w:rPr>
          <w:sz w:val="22"/>
          <w:szCs w:val="22"/>
          <w:rtl w:val="0"/>
        </w:rPr>
        <w:t xml:space="preserve">The illicit procurement of prescribed medicines is explicitly stated as an exclusionary criterion for participation in this research, as outlined in the </w:t>
      </w:r>
      <w:hyperlink w:anchor="_heading=h.4k668n3">
        <w:r w:rsidDel="00000000" w:rsidR="00000000" w:rsidRPr="00000000">
          <w:rPr>
            <w:color w:val="467886"/>
            <w:sz w:val="22"/>
            <w:szCs w:val="22"/>
            <w:u w:val="single"/>
            <w:rtl w:val="0"/>
          </w:rPr>
          <w:t xml:space="preserve">Methodology</w:t>
        </w:r>
      </w:hyperlink>
      <w:r w:rsidDel="00000000" w:rsidR="00000000" w:rsidRPr="00000000">
        <w:rPr>
          <w:sz w:val="22"/>
          <w:szCs w:val="22"/>
          <w:rtl w:val="0"/>
        </w:rPr>
        <w:t xml:space="preserve"> chapter (p.103). The British Medical Association found the management of withdrawal and long-term prescribing posed issues in clinical practice (British Medical Association 2015). This naturally excludes those who were obtaining their prescribed drugs illicitly. Furthermore, limitations outlined by Public Health England’s rapid evidence assessment, that this research aims to address, would not accurately measure the experiences and perception of care and support of services for this patient group, and components of service provision. </w:t>
      </w:r>
    </w:p>
    <w:p w:rsidR="00000000" w:rsidDel="00000000" w:rsidP="00000000" w:rsidRDefault="00000000" w:rsidRPr="00000000" w14:paraId="00000141">
      <w:pPr>
        <w:spacing w:line="480" w:lineRule="auto"/>
        <w:jc w:val="both"/>
        <w:rPr>
          <w:sz w:val="22"/>
          <w:szCs w:val="22"/>
        </w:rPr>
      </w:pPr>
      <w:r w:rsidDel="00000000" w:rsidR="00000000" w:rsidRPr="00000000">
        <w:rPr>
          <w:rtl w:val="0"/>
        </w:rPr>
      </w:r>
    </w:p>
    <w:p w:rsidR="00000000" w:rsidDel="00000000" w:rsidP="00000000" w:rsidRDefault="00000000" w:rsidRPr="00000000" w14:paraId="00000142">
      <w:pPr>
        <w:pStyle w:val="Heading2"/>
        <w:numPr>
          <w:ilvl w:val="1"/>
          <w:numId w:val="25"/>
        </w:numPr>
        <w:spacing w:line="480" w:lineRule="auto"/>
        <w:ind w:left="0" w:firstLine="0"/>
        <w:rPr/>
      </w:pPr>
      <w:bookmarkStart w:colFirst="0" w:colLast="0" w:name="_heading=h.17dp8vu" w:id="11"/>
      <w:bookmarkEnd w:id="11"/>
      <w:r w:rsidDel="00000000" w:rsidR="00000000" w:rsidRPr="00000000">
        <w:rPr>
          <w:rtl w:val="0"/>
        </w:rPr>
        <w:t xml:space="preserve">Medication Uses and Prescribing Trends</w:t>
      </w:r>
    </w:p>
    <w:p w:rsidR="00000000" w:rsidDel="00000000" w:rsidP="00000000" w:rsidRDefault="00000000" w:rsidRPr="00000000" w14:paraId="00000143">
      <w:pPr>
        <w:spacing w:line="480" w:lineRule="auto"/>
        <w:jc w:val="both"/>
        <w:rPr>
          <w:sz w:val="22"/>
          <w:szCs w:val="22"/>
        </w:rPr>
      </w:pPr>
      <w:r w:rsidDel="00000000" w:rsidR="00000000" w:rsidRPr="00000000">
        <w:rPr>
          <w:sz w:val="22"/>
          <w:szCs w:val="22"/>
          <w:rtl w:val="0"/>
        </w:rPr>
        <w:t xml:space="preserve">This section will outline the clinical indication for each therapeutic group and the prescribing trends within the United Kingdom, and internationally. Prescription drugs are monitored by the Medicines Act (1968). This act attempts to regulate the licensing and sale of medicines, their packaging, and the identification of medicines (Medicines Act 1968). </w:t>
      </w:r>
    </w:p>
    <w:p w:rsidR="00000000" w:rsidDel="00000000" w:rsidP="00000000" w:rsidRDefault="00000000" w:rsidRPr="00000000" w14:paraId="00000144">
      <w:pPr>
        <w:spacing w:line="480" w:lineRule="auto"/>
        <w:jc w:val="both"/>
        <w:rPr>
          <w:sz w:val="22"/>
          <w:szCs w:val="22"/>
        </w:rPr>
      </w:pPr>
      <w:r w:rsidDel="00000000" w:rsidR="00000000" w:rsidRPr="00000000">
        <w:rPr>
          <w:rtl w:val="0"/>
        </w:rPr>
      </w:r>
    </w:p>
    <w:p w:rsidR="00000000" w:rsidDel="00000000" w:rsidP="00000000" w:rsidRDefault="00000000" w:rsidRPr="00000000" w14:paraId="00000145">
      <w:pPr>
        <w:spacing w:line="480" w:lineRule="auto"/>
        <w:jc w:val="both"/>
        <w:rPr>
          <w:sz w:val="22"/>
          <w:szCs w:val="22"/>
        </w:rPr>
      </w:pPr>
      <w:r w:rsidDel="00000000" w:rsidR="00000000" w:rsidRPr="00000000">
        <w:rPr>
          <w:sz w:val="22"/>
          <w:szCs w:val="22"/>
          <w:rtl w:val="0"/>
        </w:rPr>
        <w:t xml:space="preserve">The General Medical Council published guidance for good practice when prescribing medications and is under regular review, known as Good Clinical Prescribing (General Medical Council 2021). This guidance states the prescriber must be up to date with current legislation, maintain patient records, and monitor their patient’s health whilst using medications (General medical Council 2021, p.4). Prescriptions should only be written if they have adequate knowledge of the patient’s history and current medical complaint, and if they are in doubt should seek advice from colleagues (General Medical Council 2021, p.2). Failure to comply can place the prescriber’s professional registration at risk (General Medical Council 2021, p.2).</w:t>
      </w:r>
    </w:p>
    <w:p w:rsidR="00000000" w:rsidDel="00000000" w:rsidP="00000000" w:rsidRDefault="00000000" w:rsidRPr="00000000" w14:paraId="00000146">
      <w:pPr>
        <w:spacing w:line="480" w:lineRule="auto"/>
        <w:jc w:val="both"/>
        <w:rPr>
          <w:sz w:val="22"/>
          <w:szCs w:val="22"/>
        </w:rPr>
      </w:pPr>
      <w:r w:rsidDel="00000000" w:rsidR="00000000" w:rsidRPr="00000000">
        <w:rPr>
          <w:rtl w:val="0"/>
        </w:rPr>
      </w:r>
    </w:p>
    <w:p w:rsidR="00000000" w:rsidDel="00000000" w:rsidP="00000000" w:rsidRDefault="00000000" w:rsidRPr="00000000" w14:paraId="00000147">
      <w:pPr>
        <w:pStyle w:val="Heading3"/>
        <w:spacing w:line="480" w:lineRule="auto"/>
        <w:rPr/>
      </w:pPr>
      <w:bookmarkStart w:colFirst="0" w:colLast="0" w:name="_heading=h.3rdcrjn" w:id="12"/>
      <w:bookmarkEnd w:id="12"/>
      <w:r w:rsidDel="00000000" w:rsidR="00000000" w:rsidRPr="00000000">
        <w:rPr>
          <w:rtl w:val="0"/>
        </w:rPr>
        <w:t xml:space="preserve">Antidepressants</w:t>
      </w:r>
    </w:p>
    <w:p w:rsidR="00000000" w:rsidDel="00000000" w:rsidP="00000000" w:rsidRDefault="00000000" w:rsidRPr="00000000" w14:paraId="00000148">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-109536</wp:posOffset>
                </wp:positionH>
                <wp:positionV relativeFrom="margin">
                  <wp:posOffset>3593057</wp:posOffset>
                </wp:positionV>
                <wp:extent cx="3782695" cy="2321560"/>
                <wp:effectExtent b="0" l="0" r="0" t="0"/>
                <wp:wrapSquare wrapText="bothSides" distB="0" distT="0" distL="114300" distR="114300"/>
                <wp:docPr id="2142794192" name=""/>
                <a:graphic>
                  <a:graphicData uri="http://schemas.microsoft.com/office/word/2010/wordprocessingShape">
                    <wps:wsp>
                      <wps:cNvSpPr/>
                      <wps:cNvPr id="33" name="Shape 33"/>
                      <wps:spPr>
                        <a:xfrm>
                          <a:off x="3459415" y="2623983"/>
                          <a:ext cx="3773170" cy="2312035"/>
                        </a:xfrm>
                        <a:prstGeom prst="rect">
                          <a:avLst/>
                        </a:prstGeom>
                        <a:noFill/>
                        <a:ln>
                          <a:noFill/>
                        </a:ln>
                      </wps:spPr>
                      <wps:txbx>
                        <w:txbxContent>
                          <w:p w:rsidR="00000000" w:rsidDel="00000000" w:rsidP="00000000" w:rsidRDefault="00000000" w:rsidRPr="00000000">
                            <w:pPr>
                              <w:spacing w:after="20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A graph outlining antidepressant prescribing data across all General Practices in England, taken from OpenPrescribing.net (2023)</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w:cs="Times" w:eastAsia="Times" w:hAnsi="Times"/>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-109536</wp:posOffset>
                </wp:positionH>
                <wp:positionV relativeFrom="margin">
                  <wp:posOffset>3593057</wp:posOffset>
                </wp:positionV>
                <wp:extent cx="3782695" cy="2321560"/>
                <wp:effectExtent b="0" l="0" r="0" t="0"/>
                <wp:wrapSquare wrapText="bothSides" distB="0" distT="0" distL="114300" distR="114300"/>
                <wp:docPr id="2142794192" name="image14.png"/>
                <a:graphic>
                  <a:graphicData uri="http://schemas.openxmlformats.org/drawingml/2006/picture">
                    <pic:pic>
                      <pic:nvPicPr>
                        <pic:cNvPr id="0" name="image14.png"/>
                        <pic:cNvPicPr preferRelativeResize="0"/>
                      </pic:nvPicPr>
                      <pic:blipFill>
                        <a:blip r:embed="rId8"/>
                        <a:srcRect/>
                        <a:stretch>
                          <a:fillRect/>
                        </a:stretch>
                      </pic:blipFill>
                      <pic:spPr>
                        <a:xfrm>
                          <a:off x="0" y="0"/>
                          <a:ext cx="3782695" cy="2321560"/>
                        </a:xfrm>
                        <a:prstGeom prst="rect"/>
                        <a:ln/>
                      </pic:spPr>
                    </pic:pic>
                  </a:graphicData>
                </a:graphic>
              </wp:anchor>
            </w:drawing>
          </mc:Fallback>
        </mc:AlternateContent>
      </w:r>
      <w:r w:rsidDel="00000000" w:rsidR="00000000" w:rsidRPr="00000000">
        <w:rPr>
          <w:sz w:val="22"/>
          <w:szCs w:val="22"/>
          <w:rtl w:val="0"/>
        </w:rPr>
        <w:t xml:space="preserve">Antidepressants are used to treat a number of mental health difficulties, such as depression, Obsessive Compulsive Disorder (OCD), generalised anxiety disorder and Post-Traumatic Stress Disorder (PTSD) (NHS 2021). Some examples of antidepressants include citalopram, sertraline, and venlafaxine. Antidepressants should be considered for those who experience moderate to severe depression, and not to be used routinely (Oxford Healthcare NHS Foundation Trust 2011). These medicines should be used after the consideration of psychosocial interventions (Oxford Healthcare NHS Foundation Trust 2011).</w:t>
      </w:r>
    </w:p>
    <w:p w:rsidR="00000000" w:rsidDel="00000000" w:rsidP="00000000" w:rsidRDefault="00000000" w:rsidRPr="00000000" w14:paraId="00000149">
      <w:pPr>
        <w:spacing w:line="480" w:lineRule="auto"/>
        <w:jc w:val="both"/>
        <w:rPr>
          <w:sz w:val="22"/>
          <w:szCs w:val="22"/>
        </w:rPr>
      </w:pPr>
      <w:r w:rsidDel="00000000" w:rsidR="00000000" w:rsidRPr="00000000">
        <w:rPr>
          <w:rtl w:val="0"/>
        </w:rPr>
      </w:r>
    </w:p>
    <w:p w:rsidR="00000000" w:rsidDel="00000000" w:rsidP="00000000" w:rsidRDefault="00000000" w:rsidRPr="00000000" w14:paraId="0000014A">
      <w:pPr>
        <w:spacing w:line="480" w:lineRule="auto"/>
        <w:jc w:val="both"/>
        <w:rPr>
          <w:sz w:val="22"/>
          <w:szCs w:val="22"/>
        </w:rPr>
      </w:pPr>
      <w:r w:rsidDel="00000000" w:rsidR="00000000" w:rsidRPr="00000000">
        <w:rPr>
          <w:sz w:val="22"/>
          <w:szCs w:val="22"/>
          <w:rtl w:val="0"/>
        </w:rPr>
        <w:t xml:space="preserve">According to Public Health England, antidepressants are the most prescribed medicines (Taylor et al 2019). Between January and March 2022, there were 21 million antidepressant drugs prescribed, a 4.06% increase from the previous year (National Health Services Business Services Authority 2023). Since their initial manufacture, there has been a gradual increase in the use of these medicines within western medicine to treat depression (Taylor et al 2019, p.26). This yearly increase has been reflected in England, as shown in Figure Two. There has been a twofold increase in the prescribing of antidepressant medication between 1975 to 1998, and a threefold increase between 1988 to 1998 (Middleton et al 2001). The consumption of medicines can be measured in Defined Daily Doses (DDDs). The United Kingdom’s consumption of antidepressants is measured at 107.9 DDDs (Mikulinc 2019), which is much lower than the world’s leading consumers, Iceland (Mikulnic 2019). However, the measure is still much higher than the next consumers of antidepressants (Mikulnic 2019). </w:t>
      </w:r>
    </w:p>
    <w:p w:rsidR="00000000" w:rsidDel="00000000" w:rsidP="00000000" w:rsidRDefault="00000000" w:rsidRPr="00000000" w14:paraId="0000014B">
      <w:pPr>
        <w:spacing w:line="480" w:lineRule="auto"/>
        <w:jc w:val="both"/>
        <w:rPr>
          <w:sz w:val="22"/>
          <w:szCs w:val="22"/>
        </w:rPr>
      </w:pPr>
      <w:r w:rsidDel="00000000" w:rsidR="00000000" w:rsidRPr="00000000">
        <w:rPr>
          <w:rtl w:val="0"/>
        </w:rPr>
      </w:r>
    </w:p>
    <w:p w:rsidR="00000000" w:rsidDel="00000000" w:rsidP="00000000" w:rsidRDefault="00000000" w:rsidRPr="00000000" w14:paraId="0000014C">
      <w:pPr>
        <w:pStyle w:val="Heading4"/>
        <w:spacing w:line="480" w:lineRule="auto"/>
        <w:rPr/>
      </w:pPr>
      <w:r w:rsidDel="00000000" w:rsidR="00000000" w:rsidRPr="00000000">
        <w:rPr>
          <w:rtl w:val="0"/>
        </w:rPr>
        <w:t xml:space="preserve">Justification for the Inclusion of Antidepressants</w:t>
      </w:r>
    </w:p>
    <w:p w:rsidR="00000000" w:rsidDel="00000000" w:rsidP="00000000" w:rsidRDefault="00000000" w:rsidRPr="00000000" w14:paraId="0000014D">
      <w:pPr>
        <w:spacing w:line="480" w:lineRule="auto"/>
        <w:jc w:val="both"/>
        <w:rPr>
          <w:sz w:val="22"/>
          <w:szCs w:val="22"/>
        </w:rPr>
      </w:pPr>
      <w:r w:rsidDel="00000000" w:rsidR="00000000" w:rsidRPr="00000000">
        <w:rPr>
          <w:sz w:val="22"/>
          <w:szCs w:val="22"/>
          <w:rtl w:val="0"/>
        </w:rPr>
        <w:t xml:space="preserve">Typically, antidepressants are not considered dependence forming, with no clear evidence to suggest these medicines have any “</w:t>
      </w:r>
      <w:r w:rsidDel="00000000" w:rsidR="00000000" w:rsidRPr="00000000">
        <w:rPr>
          <w:i w:val="1"/>
          <w:sz w:val="22"/>
          <w:szCs w:val="22"/>
          <w:rtl w:val="0"/>
        </w:rPr>
        <w:t xml:space="preserve">significant dependence liability</w:t>
      </w:r>
      <w:r w:rsidDel="00000000" w:rsidR="00000000" w:rsidRPr="00000000">
        <w:rPr>
          <w:sz w:val="22"/>
          <w:szCs w:val="22"/>
          <w:rtl w:val="0"/>
        </w:rPr>
        <w:t xml:space="preserve">” (Committee on the Safety of Medicines 2004). Despite this limited risk of dependence, however, antidepressants are now widely considered to have an association with the onset of withdrawal symptoms upon cessation. The risk of withdrawal is a widely reported phenomena, with symptoms having variable presentations (Public Health England 2019, p.27). Berber (1998) coined the term “</w:t>
      </w:r>
      <w:r w:rsidDel="00000000" w:rsidR="00000000" w:rsidRPr="00000000">
        <w:rPr>
          <w:i w:val="1"/>
          <w:sz w:val="22"/>
          <w:szCs w:val="22"/>
          <w:rtl w:val="0"/>
        </w:rPr>
        <w:t xml:space="preserve">FINISH</w:t>
      </w:r>
      <w:r w:rsidDel="00000000" w:rsidR="00000000" w:rsidRPr="00000000">
        <w:rPr>
          <w:sz w:val="22"/>
          <w:szCs w:val="22"/>
          <w:rtl w:val="0"/>
        </w:rPr>
        <w:t xml:space="preserve">” to summarise the main symptoms of antidepressant withdrawal:</w:t>
      </w:r>
    </w:p>
    <w:p w:rsidR="00000000" w:rsidDel="00000000" w:rsidP="00000000" w:rsidRDefault="00000000" w:rsidRPr="00000000" w14:paraId="0000014E">
      <w:pPr>
        <w:spacing w:line="480" w:lineRule="auto"/>
        <w:jc w:val="both"/>
        <w:rPr>
          <w:sz w:val="22"/>
          <w:szCs w:val="22"/>
        </w:rPr>
      </w:pPr>
      <w:r w:rsidDel="00000000" w:rsidR="00000000" w:rsidRPr="00000000">
        <w:rPr>
          <w:rtl w:val="0"/>
        </w:rPr>
      </w:r>
    </w:p>
    <w:tbl>
      <w:tblPr>
        <w:tblStyle w:val="Table1"/>
        <w:tblW w:w="8454.0" w:type="dxa"/>
        <w:jc w:val="left"/>
        <w:tblInd w:w="56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72"/>
        <w:gridCol w:w="7882"/>
        <w:tblGridChange w:id="0">
          <w:tblGrid>
            <w:gridCol w:w="572"/>
            <w:gridCol w:w="7882"/>
          </w:tblGrid>
        </w:tblGridChange>
      </w:tblGrid>
      <w:tr>
        <w:trPr>
          <w:cantSplit w:val="0"/>
          <w:tblHeader w:val="0"/>
        </w:trPr>
        <w:tc>
          <w:tcPr/>
          <w:p w:rsidR="00000000" w:rsidDel="00000000" w:rsidP="00000000" w:rsidRDefault="00000000" w:rsidRPr="00000000" w14:paraId="0000014F">
            <w:pPr>
              <w:spacing w:line="480" w:lineRule="auto"/>
              <w:jc w:val="center"/>
              <w:rPr>
                <w:b w:val="1"/>
                <w:i w:val="1"/>
                <w:sz w:val="22"/>
                <w:szCs w:val="22"/>
              </w:rPr>
            </w:pPr>
            <w:r w:rsidDel="00000000" w:rsidR="00000000" w:rsidRPr="00000000">
              <w:rPr>
                <w:b w:val="1"/>
                <w:i w:val="1"/>
                <w:sz w:val="22"/>
                <w:szCs w:val="22"/>
                <w:rtl w:val="0"/>
              </w:rPr>
              <w:t xml:space="preserve">F</w:t>
            </w:r>
          </w:p>
        </w:tc>
        <w:tc>
          <w:tcPr/>
          <w:p w:rsidR="00000000" w:rsidDel="00000000" w:rsidP="00000000" w:rsidRDefault="00000000" w:rsidRPr="00000000" w14:paraId="00000150">
            <w:pPr>
              <w:spacing w:line="480" w:lineRule="auto"/>
              <w:jc w:val="both"/>
              <w:rPr>
                <w:i w:val="1"/>
                <w:sz w:val="22"/>
                <w:szCs w:val="22"/>
              </w:rPr>
            </w:pPr>
            <w:r w:rsidDel="00000000" w:rsidR="00000000" w:rsidRPr="00000000">
              <w:rPr>
                <w:i w:val="1"/>
                <w:sz w:val="22"/>
                <w:szCs w:val="22"/>
                <w:rtl w:val="0"/>
              </w:rPr>
              <w:t xml:space="preserve">Flu-like symptoms, lethargy, fatigue, headache, achiness, sweating.</w:t>
            </w:r>
          </w:p>
        </w:tc>
      </w:tr>
      <w:tr>
        <w:trPr>
          <w:cantSplit w:val="0"/>
          <w:tblHeader w:val="0"/>
        </w:trPr>
        <w:tc>
          <w:tcPr/>
          <w:p w:rsidR="00000000" w:rsidDel="00000000" w:rsidP="00000000" w:rsidRDefault="00000000" w:rsidRPr="00000000" w14:paraId="00000151">
            <w:pPr>
              <w:spacing w:line="480" w:lineRule="auto"/>
              <w:jc w:val="center"/>
              <w:rPr>
                <w:b w:val="1"/>
                <w:i w:val="1"/>
                <w:sz w:val="22"/>
                <w:szCs w:val="22"/>
              </w:rPr>
            </w:pPr>
            <w:r w:rsidDel="00000000" w:rsidR="00000000" w:rsidRPr="00000000">
              <w:rPr>
                <w:b w:val="1"/>
                <w:i w:val="1"/>
                <w:sz w:val="22"/>
                <w:szCs w:val="22"/>
                <w:rtl w:val="0"/>
              </w:rPr>
              <w:t xml:space="preserve">I</w:t>
            </w:r>
          </w:p>
        </w:tc>
        <w:tc>
          <w:tcPr/>
          <w:p w:rsidR="00000000" w:rsidDel="00000000" w:rsidP="00000000" w:rsidRDefault="00000000" w:rsidRPr="00000000" w14:paraId="00000152">
            <w:pPr>
              <w:spacing w:line="480" w:lineRule="auto"/>
              <w:jc w:val="both"/>
              <w:rPr>
                <w:i w:val="1"/>
                <w:sz w:val="22"/>
                <w:szCs w:val="22"/>
              </w:rPr>
            </w:pPr>
            <w:r w:rsidDel="00000000" w:rsidR="00000000" w:rsidRPr="00000000">
              <w:rPr>
                <w:i w:val="1"/>
                <w:sz w:val="22"/>
                <w:szCs w:val="22"/>
                <w:rtl w:val="0"/>
              </w:rPr>
              <w:t xml:space="preserve">Insomnia – and included vivid dreams or nightmares.</w:t>
            </w:r>
          </w:p>
        </w:tc>
      </w:tr>
      <w:tr>
        <w:trPr>
          <w:cantSplit w:val="0"/>
          <w:tblHeader w:val="0"/>
        </w:trPr>
        <w:tc>
          <w:tcPr/>
          <w:p w:rsidR="00000000" w:rsidDel="00000000" w:rsidP="00000000" w:rsidRDefault="00000000" w:rsidRPr="00000000" w14:paraId="00000153">
            <w:pPr>
              <w:spacing w:line="480" w:lineRule="auto"/>
              <w:ind w:left="380" w:hanging="380"/>
              <w:jc w:val="center"/>
              <w:rPr>
                <w:b w:val="1"/>
                <w:i w:val="1"/>
                <w:sz w:val="22"/>
                <w:szCs w:val="22"/>
              </w:rPr>
            </w:pPr>
            <w:r w:rsidDel="00000000" w:rsidR="00000000" w:rsidRPr="00000000">
              <w:rPr>
                <w:b w:val="1"/>
                <w:i w:val="1"/>
                <w:sz w:val="22"/>
                <w:szCs w:val="22"/>
                <w:rtl w:val="0"/>
              </w:rPr>
              <w:t xml:space="preserve">N</w:t>
            </w:r>
          </w:p>
        </w:tc>
        <w:tc>
          <w:tcPr/>
          <w:p w:rsidR="00000000" w:rsidDel="00000000" w:rsidP="00000000" w:rsidRDefault="00000000" w:rsidRPr="00000000" w14:paraId="00000154">
            <w:pPr>
              <w:spacing w:line="480" w:lineRule="auto"/>
              <w:jc w:val="both"/>
              <w:rPr>
                <w:i w:val="1"/>
                <w:sz w:val="22"/>
                <w:szCs w:val="22"/>
              </w:rPr>
            </w:pPr>
            <w:r w:rsidDel="00000000" w:rsidR="00000000" w:rsidRPr="00000000">
              <w:rPr>
                <w:i w:val="1"/>
                <w:sz w:val="22"/>
                <w:szCs w:val="22"/>
                <w:rtl w:val="0"/>
              </w:rPr>
              <w:t xml:space="preserve">Nausea – and sometimes vomiting.</w:t>
            </w:r>
          </w:p>
        </w:tc>
      </w:tr>
      <w:tr>
        <w:trPr>
          <w:cantSplit w:val="0"/>
          <w:tblHeader w:val="0"/>
        </w:trPr>
        <w:tc>
          <w:tcPr/>
          <w:p w:rsidR="00000000" w:rsidDel="00000000" w:rsidP="00000000" w:rsidRDefault="00000000" w:rsidRPr="00000000" w14:paraId="00000155">
            <w:pPr>
              <w:spacing w:line="480" w:lineRule="auto"/>
              <w:jc w:val="center"/>
              <w:rPr>
                <w:b w:val="1"/>
                <w:i w:val="1"/>
                <w:sz w:val="22"/>
                <w:szCs w:val="22"/>
              </w:rPr>
            </w:pPr>
            <w:r w:rsidDel="00000000" w:rsidR="00000000" w:rsidRPr="00000000">
              <w:rPr>
                <w:b w:val="1"/>
                <w:i w:val="1"/>
                <w:sz w:val="22"/>
                <w:szCs w:val="22"/>
                <w:rtl w:val="0"/>
              </w:rPr>
              <w:t xml:space="preserve">I</w:t>
            </w:r>
          </w:p>
        </w:tc>
        <w:tc>
          <w:tcPr/>
          <w:p w:rsidR="00000000" w:rsidDel="00000000" w:rsidP="00000000" w:rsidRDefault="00000000" w:rsidRPr="00000000" w14:paraId="00000156">
            <w:pPr>
              <w:spacing w:line="480" w:lineRule="auto"/>
              <w:jc w:val="both"/>
              <w:rPr>
                <w:i w:val="1"/>
                <w:sz w:val="22"/>
                <w:szCs w:val="22"/>
              </w:rPr>
            </w:pPr>
            <w:r w:rsidDel="00000000" w:rsidR="00000000" w:rsidRPr="00000000">
              <w:rPr>
                <w:i w:val="1"/>
                <w:sz w:val="22"/>
                <w:szCs w:val="22"/>
                <w:rtl w:val="0"/>
              </w:rPr>
              <w:t xml:space="preserve">Imbalance – dizziness, vertigo, light-headedness.</w:t>
            </w:r>
          </w:p>
        </w:tc>
      </w:tr>
      <w:tr>
        <w:trPr>
          <w:cantSplit w:val="0"/>
          <w:tblHeader w:val="0"/>
        </w:trPr>
        <w:tc>
          <w:tcPr/>
          <w:p w:rsidR="00000000" w:rsidDel="00000000" w:rsidP="00000000" w:rsidRDefault="00000000" w:rsidRPr="00000000" w14:paraId="00000157">
            <w:pPr>
              <w:spacing w:line="480" w:lineRule="auto"/>
              <w:jc w:val="center"/>
              <w:rPr>
                <w:b w:val="1"/>
                <w:i w:val="1"/>
                <w:sz w:val="22"/>
                <w:szCs w:val="22"/>
              </w:rPr>
            </w:pPr>
            <w:r w:rsidDel="00000000" w:rsidR="00000000" w:rsidRPr="00000000">
              <w:rPr>
                <w:b w:val="1"/>
                <w:i w:val="1"/>
                <w:sz w:val="22"/>
                <w:szCs w:val="22"/>
                <w:rtl w:val="0"/>
              </w:rPr>
              <w:t xml:space="preserve">S</w:t>
            </w:r>
          </w:p>
        </w:tc>
        <w:tc>
          <w:tcPr/>
          <w:p w:rsidR="00000000" w:rsidDel="00000000" w:rsidP="00000000" w:rsidRDefault="00000000" w:rsidRPr="00000000" w14:paraId="00000158">
            <w:pPr>
              <w:spacing w:line="480" w:lineRule="auto"/>
              <w:jc w:val="both"/>
              <w:rPr>
                <w:i w:val="1"/>
                <w:sz w:val="22"/>
                <w:szCs w:val="22"/>
              </w:rPr>
            </w:pPr>
            <w:r w:rsidDel="00000000" w:rsidR="00000000" w:rsidRPr="00000000">
              <w:rPr>
                <w:i w:val="1"/>
                <w:sz w:val="22"/>
                <w:szCs w:val="22"/>
                <w:rtl w:val="0"/>
              </w:rPr>
              <w:t xml:space="preserve">Sensory disturbances – ‘burning’, ‘tingling’, ‘electric-like’ or ‘shock-like’ sensations</w:t>
            </w:r>
          </w:p>
        </w:tc>
      </w:tr>
      <w:tr>
        <w:trPr>
          <w:cantSplit w:val="0"/>
          <w:trHeight w:val="81" w:hRule="atLeast"/>
          <w:tblHeader w:val="0"/>
        </w:trPr>
        <w:tc>
          <w:tcPr/>
          <w:p w:rsidR="00000000" w:rsidDel="00000000" w:rsidP="00000000" w:rsidRDefault="00000000" w:rsidRPr="00000000" w14:paraId="00000159">
            <w:pPr>
              <w:spacing w:line="480" w:lineRule="auto"/>
              <w:jc w:val="center"/>
              <w:rPr>
                <w:b w:val="1"/>
                <w:i w:val="1"/>
                <w:sz w:val="22"/>
                <w:szCs w:val="22"/>
              </w:rPr>
            </w:pPr>
            <w:r w:rsidDel="00000000" w:rsidR="00000000" w:rsidRPr="00000000">
              <w:rPr>
                <w:b w:val="1"/>
                <w:i w:val="1"/>
                <w:sz w:val="22"/>
                <w:szCs w:val="22"/>
                <w:rtl w:val="0"/>
              </w:rPr>
              <w:t xml:space="preserve">H</w:t>
            </w:r>
          </w:p>
        </w:tc>
        <w:tc>
          <w:tcPr/>
          <w:p w:rsidR="00000000" w:rsidDel="00000000" w:rsidP="00000000" w:rsidRDefault="00000000" w:rsidRPr="00000000" w14:paraId="0000015A">
            <w:pPr>
              <w:spacing w:line="480" w:lineRule="auto"/>
              <w:jc w:val="both"/>
              <w:rPr>
                <w:i w:val="1"/>
                <w:sz w:val="22"/>
                <w:szCs w:val="22"/>
              </w:rPr>
            </w:pPr>
            <w:r w:rsidDel="00000000" w:rsidR="00000000" w:rsidRPr="00000000">
              <w:rPr>
                <w:i w:val="1"/>
                <w:sz w:val="22"/>
                <w:szCs w:val="22"/>
                <w:rtl w:val="0"/>
              </w:rPr>
              <w:t xml:space="preserve">Hyperarousal – anxiety, irritability, agitation, aggression, mania, jerkiness.</w:t>
            </w:r>
          </w:p>
        </w:tc>
      </w:tr>
      <w:tr>
        <w:trPr>
          <w:cantSplit w:val="0"/>
          <w:trHeight w:val="81" w:hRule="atLeast"/>
          <w:tblHeader w:val="0"/>
        </w:trPr>
        <w:tc>
          <w:tcPr/>
          <w:p w:rsidR="00000000" w:rsidDel="00000000" w:rsidP="00000000" w:rsidRDefault="00000000" w:rsidRPr="00000000" w14:paraId="0000015B">
            <w:pPr>
              <w:spacing w:line="480" w:lineRule="auto"/>
              <w:jc w:val="center"/>
              <w:rPr>
                <w:b w:val="1"/>
                <w:i w:val="1"/>
                <w:sz w:val="22"/>
                <w:szCs w:val="22"/>
              </w:rPr>
            </w:pPr>
            <w:r w:rsidDel="00000000" w:rsidR="00000000" w:rsidRPr="00000000">
              <w:rPr>
                <w:rtl w:val="0"/>
              </w:rPr>
            </w:r>
          </w:p>
        </w:tc>
        <w:tc>
          <w:tcPr/>
          <w:p w:rsidR="00000000" w:rsidDel="00000000" w:rsidP="00000000" w:rsidRDefault="00000000" w:rsidRPr="00000000" w14:paraId="0000015C">
            <w:pPr>
              <w:spacing w:line="480" w:lineRule="auto"/>
              <w:jc w:val="right"/>
              <w:rPr>
                <w:sz w:val="22"/>
                <w:szCs w:val="22"/>
              </w:rPr>
            </w:pPr>
            <w:r w:rsidDel="00000000" w:rsidR="00000000" w:rsidRPr="00000000">
              <w:rPr>
                <w:sz w:val="22"/>
                <w:szCs w:val="22"/>
                <w:rtl w:val="0"/>
              </w:rPr>
              <w:t xml:space="preserve">(Berber 1998)</w:t>
            </w:r>
          </w:p>
        </w:tc>
      </w:tr>
    </w:tbl>
    <w:p w:rsidR="00000000" w:rsidDel="00000000" w:rsidP="00000000" w:rsidRDefault="00000000" w:rsidRPr="00000000" w14:paraId="0000015D">
      <w:pPr>
        <w:spacing w:line="480" w:lineRule="auto"/>
        <w:jc w:val="both"/>
        <w:rPr>
          <w:sz w:val="22"/>
          <w:szCs w:val="22"/>
        </w:rPr>
      </w:pPr>
      <w:r w:rsidDel="00000000" w:rsidR="00000000" w:rsidRPr="00000000">
        <w:rPr>
          <w:rtl w:val="0"/>
        </w:rPr>
      </w:r>
    </w:p>
    <w:p w:rsidR="00000000" w:rsidDel="00000000" w:rsidP="00000000" w:rsidRDefault="00000000" w:rsidRPr="00000000" w14:paraId="0000015E">
      <w:pPr>
        <w:spacing w:line="480" w:lineRule="auto"/>
        <w:jc w:val="both"/>
        <w:rPr>
          <w:sz w:val="22"/>
          <w:szCs w:val="22"/>
        </w:rPr>
      </w:pPr>
      <w:r w:rsidDel="00000000" w:rsidR="00000000" w:rsidRPr="00000000">
        <w:rPr>
          <w:sz w:val="22"/>
          <w:szCs w:val="22"/>
          <w:rtl w:val="0"/>
        </w:rPr>
        <w:t xml:space="preserve">Although antidepressant medicines are not typically associated with dependence, as are the other four therapeutic groups (Public Health England 2019, p.14). The decision to include antidepressants in this research was based upon the extensive literature base identifying, describing and assessing the withdrawal symptoms associated with this therapeutic group of medicines (Public Health England 2019, p.14).Following this, since this research is a response to the Public Health England recommendation of further research into “</w:t>
      </w:r>
      <w:r w:rsidDel="00000000" w:rsidR="00000000" w:rsidRPr="00000000">
        <w:rPr>
          <w:i w:val="1"/>
          <w:sz w:val="22"/>
          <w:szCs w:val="22"/>
          <w:rtl w:val="0"/>
        </w:rPr>
        <w:t xml:space="preserve">understanding the incidence, nature and severity of withdrawal from antidepressants, including long-term and enduring side effects</w:t>
      </w:r>
      <w:r w:rsidDel="00000000" w:rsidR="00000000" w:rsidRPr="00000000">
        <w:rPr>
          <w:sz w:val="22"/>
          <w:szCs w:val="22"/>
          <w:rtl w:val="0"/>
        </w:rPr>
        <w:t xml:space="preserve">” (Public Health England 2019, p.126). Therefore, this research included antidepressants as a response to these issues identified by Public Health England (2019, p.126). </w:t>
      </w:r>
    </w:p>
    <w:p w:rsidR="00000000" w:rsidDel="00000000" w:rsidP="00000000" w:rsidRDefault="00000000" w:rsidRPr="00000000" w14:paraId="0000015F">
      <w:pPr>
        <w:spacing w:line="480" w:lineRule="auto"/>
        <w:jc w:val="both"/>
        <w:rPr>
          <w:sz w:val="22"/>
          <w:szCs w:val="22"/>
        </w:rPr>
      </w:pPr>
      <w:r w:rsidDel="00000000" w:rsidR="00000000" w:rsidRPr="00000000">
        <w:rPr>
          <w:rtl w:val="0"/>
        </w:rPr>
      </w:r>
    </w:p>
    <w:p w:rsidR="00000000" w:rsidDel="00000000" w:rsidP="00000000" w:rsidRDefault="00000000" w:rsidRPr="00000000" w14:paraId="00000160">
      <w:pPr>
        <w:pStyle w:val="Heading3"/>
        <w:spacing w:line="480" w:lineRule="auto"/>
        <w:rPr/>
      </w:pPr>
      <w:bookmarkStart w:colFirst="0" w:colLast="0" w:name="_heading=h.26in1rg" w:id="13"/>
      <w:bookmarkEnd w:id="13"/>
      <w:r w:rsidDel="00000000" w:rsidR="00000000" w:rsidRPr="00000000">
        <w:rPr>
          <w:rtl w:val="0"/>
        </w:rPr>
        <w:t xml:space="preserve">Benzodiazepines</w:t>
      </w:r>
    </w:p>
    <w:p w:rsidR="00000000" w:rsidDel="00000000" w:rsidP="00000000" w:rsidRDefault="00000000" w:rsidRPr="00000000" w14:paraId="00000161">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-87402</wp:posOffset>
                </wp:positionH>
                <wp:positionV relativeFrom="margin">
                  <wp:posOffset>3922078</wp:posOffset>
                </wp:positionV>
                <wp:extent cx="4175760" cy="2714625"/>
                <wp:effectExtent b="0" l="0" r="0" t="0"/>
                <wp:wrapSquare wrapText="bothSides" distB="0" distT="0" distL="114300" distR="114300"/>
                <wp:docPr id="2142794193" name=""/>
                <a:graphic>
                  <a:graphicData uri="http://schemas.microsoft.com/office/word/2010/wordprocessingShape">
                    <wps:wsp>
                      <wps:cNvSpPr/>
                      <wps:cNvPr id="34" name="Shape 34"/>
                      <wps:spPr>
                        <a:xfrm>
                          <a:off x="3262883" y="2427450"/>
                          <a:ext cx="4166235" cy="270510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Benzodiazepine prescribing rates for adults in primary care in England, standardised for adult resident population, 2016/17 to 2020/21. Taken from NHS England (2023).</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-87402</wp:posOffset>
                </wp:positionH>
                <wp:positionV relativeFrom="margin">
                  <wp:posOffset>3922078</wp:posOffset>
                </wp:positionV>
                <wp:extent cx="4175760" cy="2714625"/>
                <wp:effectExtent b="0" l="0" r="0" t="0"/>
                <wp:wrapSquare wrapText="bothSides" distB="0" distT="0" distL="114300" distR="114300"/>
                <wp:docPr id="2142794193" name="image15.png"/>
                <a:graphic>
                  <a:graphicData uri="http://schemas.openxmlformats.org/drawingml/2006/picture">
                    <pic:pic>
                      <pic:nvPicPr>
                        <pic:cNvPr id="0" name="image15.png"/>
                        <pic:cNvPicPr preferRelativeResize="0"/>
                      </pic:nvPicPr>
                      <pic:blipFill>
                        <a:blip r:embed="rId8"/>
                        <a:srcRect/>
                        <a:stretch>
                          <a:fillRect/>
                        </a:stretch>
                      </pic:blipFill>
                      <pic:spPr>
                        <a:xfrm>
                          <a:off x="0" y="0"/>
                          <a:ext cx="4175760" cy="2714625"/>
                        </a:xfrm>
                        <a:prstGeom prst="rect"/>
                        <a:ln/>
                      </pic:spPr>
                    </pic:pic>
                  </a:graphicData>
                </a:graphic>
              </wp:anchor>
            </w:drawing>
          </mc:Fallback>
        </mc:AlternateContent>
      </w:r>
      <w:r w:rsidDel="00000000" w:rsidR="00000000" w:rsidRPr="00000000">
        <w:rPr>
          <w:sz w:val="22"/>
          <w:szCs w:val="22"/>
          <w:rtl w:val="0"/>
        </w:rPr>
        <w:t xml:space="preserve">Benzodiazepines are widely prescribed in primary care (Soyombo et al 2020). Benzodiazepines are a group of medicines that are generally prescribed for anxiety, and occasionally sleeping difficulties (NHS Inform 2021). Benzodiazepines include diazepam (Valium), lorazepam and clonazepam. Benzodiazepines are indicated for only short-term relief (2 – 4 weeks) of severe anxiety that has been identified as “</w:t>
      </w:r>
      <w:r w:rsidDel="00000000" w:rsidR="00000000" w:rsidRPr="00000000">
        <w:rPr>
          <w:i w:val="1"/>
          <w:sz w:val="22"/>
          <w:szCs w:val="22"/>
          <w:rtl w:val="0"/>
        </w:rPr>
        <w:t xml:space="preserve">disabling or subjecting the individual to unacceptable distress</w:t>
      </w:r>
      <w:r w:rsidDel="00000000" w:rsidR="00000000" w:rsidRPr="00000000">
        <w:rPr>
          <w:sz w:val="22"/>
          <w:szCs w:val="22"/>
          <w:rtl w:val="0"/>
        </w:rPr>
        <w:t xml:space="preserve">”, and short-term insomnia (Dorset Clinical Commissioning Group 2016). </w:t>
      </w:r>
    </w:p>
    <w:p w:rsidR="00000000" w:rsidDel="00000000" w:rsidP="00000000" w:rsidRDefault="00000000" w:rsidRPr="00000000" w14:paraId="00000162">
      <w:pPr>
        <w:spacing w:line="480" w:lineRule="auto"/>
        <w:jc w:val="both"/>
        <w:rPr>
          <w:sz w:val="22"/>
          <w:szCs w:val="22"/>
        </w:rPr>
      </w:pPr>
      <w:r w:rsidDel="00000000" w:rsidR="00000000" w:rsidRPr="00000000">
        <w:rPr>
          <w:rtl w:val="0"/>
        </w:rPr>
      </w:r>
    </w:p>
    <w:p w:rsidR="00000000" w:rsidDel="00000000" w:rsidP="00000000" w:rsidRDefault="00000000" w:rsidRPr="00000000" w14:paraId="00000163">
      <w:pPr>
        <w:spacing w:line="480" w:lineRule="auto"/>
        <w:jc w:val="both"/>
        <w:rPr>
          <w:sz w:val="22"/>
          <w:szCs w:val="22"/>
        </w:rPr>
      </w:pPr>
      <w:r w:rsidDel="00000000" w:rsidR="00000000" w:rsidRPr="00000000">
        <w:rPr>
          <w:sz w:val="22"/>
          <w:szCs w:val="22"/>
          <w:rtl w:val="0"/>
        </w:rPr>
        <w:t xml:space="preserve">In the United Kingdom, 1.5 million patients were prescribed a benzodiazepine, which equates to 3% of the population (Taylor et al 2019, p.12). In 2020/21, there was a reduction in prescribing, resulting in 2.4% of the adult population of England was prescribed at least one benzodiazepine (NHS England 2023). This is supported by Farias et al (2017), who noted there was a slight decline in the number of prescriptions in primary care- from 3.5% in 2000 to 2.6% in 2016. </w:t>
      </w:r>
    </w:p>
    <w:p w:rsidR="00000000" w:rsidDel="00000000" w:rsidP="00000000" w:rsidRDefault="00000000" w:rsidRPr="00000000" w14:paraId="00000164">
      <w:pPr>
        <w:spacing w:line="480" w:lineRule="auto"/>
        <w:jc w:val="both"/>
        <w:rPr>
          <w:sz w:val="22"/>
          <w:szCs w:val="22"/>
        </w:rPr>
      </w:pPr>
      <w:r w:rsidDel="00000000" w:rsidR="00000000" w:rsidRPr="00000000">
        <w:rPr>
          <w:sz w:val="22"/>
          <w:szCs w:val="22"/>
          <w:rtl w:val="0"/>
        </w:rPr>
        <w:t xml:space="preserve">This is presented in Figure Three, taken from the National Health Service’s prescribing data (2023). Between 2015 and March 2018, 120,000 patients were in receipt of a prescription, and 5% of those prescriptions were for more than 12 months (Taylor et al 2019, p.13).  Although it is challenging to measure the scale of benzodiazepine dependence in the UK (Davies et al 2019), it is possible to estimate the prevalence of benzodiazepine misuse Johnson et al 2016, p.12).  Of those entering a treatment programme, 11% of patients report benzodiazepines as a secondary drug problem (Johnson et al 2016, p.12). Furthermore, Kapil et al (2014, p.407) suggests that out of 1,500 respondents, 7.7% misused one or more benzodiazepines. This is supported by Saranghi et al (2021), who found that 2.2% of patients have misused their benzodiazepine prescription.</w:t>
      </w:r>
    </w:p>
    <w:p w:rsidR="00000000" w:rsidDel="00000000" w:rsidP="00000000" w:rsidRDefault="00000000" w:rsidRPr="00000000" w14:paraId="00000165">
      <w:pPr>
        <w:spacing w:line="480" w:lineRule="auto"/>
        <w:jc w:val="both"/>
        <w:rPr>
          <w:sz w:val="22"/>
          <w:szCs w:val="22"/>
        </w:rPr>
      </w:pPr>
      <w:r w:rsidDel="00000000" w:rsidR="00000000" w:rsidRPr="00000000">
        <w:rPr>
          <w:rtl w:val="0"/>
        </w:rPr>
      </w:r>
    </w:p>
    <w:p w:rsidR="00000000" w:rsidDel="00000000" w:rsidP="00000000" w:rsidRDefault="00000000" w:rsidRPr="00000000" w14:paraId="00000166">
      <w:pPr>
        <w:pStyle w:val="Heading3"/>
        <w:spacing w:line="480" w:lineRule="auto"/>
        <w:rPr/>
      </w:pPr>
      <w:bookmarkStart w:colFirst="0" w:colLast="0" w:name="_heading=h.lnxbz9" w:id="14"/>
      <w:bookmarkEnd w:id="14"/>
      <w:r w:rsidDel="00000000" w:rsidR="00000000" w:rsidRPr="00000000">
        <w:rPr>
          <w:rtl w:val="0"/>
        </w:rPr>
        <w:t xml:space="preserve">Gabapentinoids</w:t>
      </w:r>
    </w:p>
    <w:p w:rsidR="00000000" w:rsidDel="00000000" w:rsidP="00000000" w:rsidRDefault="00000000" w:rsidRPr="00000000" w14:paraId="00000167">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-40956</wp:posOffset>
                </wp:positionH>
                <wp:positionV relativeFrom="margin">
                  <wp:posOffset>6085638</wp:posOffset>
                </wp:positionV>
                <wp:extent cx="3201035" cy="2669540"/>
                <wp:effectExtent b="0" l="0" r="0" t="0"/>
                <wp:wrapSquare wrapText="bothSides" distB="0" distT="0" distL="114300" distR="114300"/>
                <wp:docPr id="2142794185" name=""/>
                <a:graphic>
                  <a:graphicData uri="http://schemas.microsoft.com/office/word/2010/wordprocessingShape">
                    <wps:wsp>
                      <wps:cNvSpPr/>
                      <wps:cNvPr id="26" name="Shape 26"/>
                      <wps:spPr>
                        <a:xfrm>
                          <a:off x="3750245" y="2449993"/>
                          <a:ext cx="3191510" cy="2660015"/>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Annual rates of incident gabapentinoid prescribing (1997–2019) per 100,000 patient years. Taken from Ashworth et al (2023).</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w:cs="Times" w:eastAsia="Times" w:hAnsi="Times"/>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-40956</wp:posOffset>
                </wp:positionH>
                <wp:positionV relativeFrom="margin">
                  <wp:posOffset>6085638</wp:posOffset>
                </wp:positionV>
                <wp:extent cx="3201035" cy="2669540"/>
                <wp:effectExtent b="0" l="0" r="0" t="0"/>
                <wp:wrapSquare wrapText="bothSides" distB="0" distT="0" distL="114300" distR="114300"/>
                <wp:docPr id="2142794185" name="image7.png"/>
                <a:graphic>
                  <a:graphicData uri="http://schemas.openxmlformats.org/drawingml/2006/picture">
                    <pic:pic>
                      <pic:nvPicPr>
                        <pic:cNvPr id="0" name="image7.png"/>
                        <pic:cNvPicPr preferRelativeResize="0"/>
                      </pic:nvPicPr>
                      <pic:blipFill>
                        <a:blip r:embed="rId8"/>
                        <a:srcRect/>
                        <a:stretch>
                          <a:fillRect/>
                        </a:stretch>
                      </pic:blipFill>
                      <pic:spPr>
                        <a:xfrm>
                          <a:off x="0" y="0"/>
                          <a:ext cx="3201035" cy="2669540"/>
                        </a:xfrm>
                        <a:prstGeom prst="rect"/>
                        <a:ln/>
                      </pic:spPr>
                    </pic:pic>
                  </a:graphicData>
                </a:graphic>
              </wp:anchor>
            </w:drawing>
          </mc:Fallback>
        </mc:AlternateContent>
      </w:r>
      <w:r w:rsidDel="00000000" w:rsidR="00000000" w:rsidRPr="00000000">
        <w:rPr>
          <w:sz w:val="22"/>
          <w:szCs w:val="22"/>
          <w:rtl w:val="0"/>
        </w:rPr>
        <w:t xml:space="preserve">Gabapentinoids (gabapentin and pregabalin) are medicines used to treat epilepsy and anxiety, with other uses including nerve pain or injury (Shropshire, Telford, and Wrekin CCG Guidance for Primary Care 2022). Updated clinical guidelines state gabapentinoids are not indicted for non-neuropathic pain, and these medicines should not be prescribed in primary care (Shropshire, Telford and Wrekin CCG Guidance for Primary Care 2022, National Institute for Health, and Care Excellence 2021). Pregabalin is sold under the brand names Alzain, Axalid, Lyrica and Neurontin (NHS 2021).  </w:t>
      </w:r>
    </w:p>
    <w:p w:rsidR="00000000" w:rsidDel="00000000" w:rsidP="00000000" w:rsidRDefault="00000000" w:rsidRPr="00000000" w14:paraId="00000168">
      <w:pPr>
        <w:spacing w:line="480" w:lineRule="auto"/>
        <w:jc w:val="both"/>
        <w:rPr>
          <w:sz w:val="22"/>
          <w:szCs w:val="22"/>
        </w:rPr>
      </w:pPr>
      <w:r w:rsidDel="00000000" w:rsidR="00000000" w:rsidRPr="00000000">
        <w:rPr>
          <w:rtl w:val="0"/>
        </w:rPr>
      </w:r>
    </w:p>
    <w:p w:rsidR="00000000" w:rsidDel="00000000" w:rsidP="00000000" w:rsidRDefault="00000000" w:rsidRPr="00000000" w14:paraId="00000169">
      <w:pPr>
        <w:spacing w:line="480" w:lineRule="auto"/>
        <w:jc w:val="both"/>
        <w:rPr>
          <w:sz w:val="22"/>
          <w:szCs w:val="22"/>
        </w:rPr>
      </w:pPr>
      <w:r w:rsidDel="00000000" w:rsidR="00000000" w:rsidRPr="00000000">
        <w:rPr>
          <w:sz w:val="22"/>
          <w:szCs w:val="22"/>
          <w:rtl w:val="0"/>
        </w:rPr>
        <w:t xml:space="preserve">The rate of gabapentin and pregabalin use is increasing, alongside an increase in related harms (Green et al 2019, p.1). This increase in prescribing is illustrated in Figure Four. Of the gabapentinoids, gabapentin was the most utilised in this therapeutic group (Kurdi 2021, Ashworth et al 2023 p. 7). Gabapentin is prescribed more than pregabalin (Green et al 2019, p.4), with the number of prescriptions totalling 6.72 million and 5.95 million respectively (Green et al 2019, p.4). There was a steady increase of 205.8% in the number of dispensed items/1000 inhabitants, from 374 to 1,144 in 2010 and 2019 respectively (Kurdi 2021). Although there was a significant annual increase, it was at a lower rate in the years between 2016 and 2019, in comparison to the 2010 to 2016 period (Kurdi 2021). Following this, there is has been an increase of 207% in the DDD in this therapeutic group (Kurdi 2021). </w:t>
      </w:r>
    </w:p>
    <w:p w:rsidR="00000000" w:rsidDel="00000000" w:rsidP="00000000" w:rsidRDefault="00000000" w:rsidRPr="00000000" w14:paraId="0000016A">
      <w:pPr>
        <w:spacing w:line="480" w:lineRule="auto"/>
        <w:jc w:val="both"/>
        <w:rPr>
          <w:sz w:val="22"/>
          <w:szCs w:val="22"/>
        </w:rPr>
      </w:pPr>
      <w:r w:rsidDel="00000000" w:rsidR="00000000" w:rsidRPr="00000000">
        <w:rPr>
          <w:rtl w:val="0"/>
        </w:rPr>
      </w:r>
    </w:p>
    <w:p w:rsidR="00000000" w:rsidDel="00000000" w:rsidP="00000000" w:rsidRDefault="00000000" w:rsidRPr="00000000" w14:paraId="0000016B">
      <w:pPr>
        <w:pStyle w:val="Heading3"/>
        <w:spacing w:line="480" w:lineRule="auto"/>
        <w:rPr/>
      </w:pPr>
      <w:bookmarkStart w:colFirst="0" w:colLast="0" w:name="_heading=h.35nkun2" w:id="15"/>
      <w:bookmarkEnd w:id="15"/>
      <w:r w:rsidDel="00000000" w:rsidR="00000000" w:rsidRPr="00000000">
        <w:rPr>
          <w:rtl w:val="0"/>
        </w:rPr>
        <w:t xml:space="preserve">Opioids (for non-cancer pain)</w:t>
      </w:r>
    </w:p>
    <w:p w:rsidR="00000000" w:rsidDel="00000000" w:rsidP="00000000" w:rsidRDefault="00000000" w:rsidRPr="00000000" w14:paraId="0000016C">
      <w:pPr>
        <w:spacing w:line="480" w:lineRule="auto"/>
        <w:jc w:val="both"/>
        <w:rPr>
          <w:sz w:val="22"/>
          <w:szCs w:val="22"/>
        </w:rPr>
      </w:pPr>
      <w:r w:rsidDel="00000000" w:rsidR="00000000" w:rsidRPr="00000000">
        <w:rPr>
          <w:sz w:val="22"/>
          <w:szCs w:val="22"/>
          <w:highlight w:val="green"/>
        </w:rPr>
        <mc:AlternateContent>
          <mc:Choice Requires="wpg">
            <w:drawing>
              <wp:anchor allowOverlap="1" behindDoc="0" distB="0" distT="0" distL="114300" distR="114300" hidden="0" layoutInCell="1" locked="0" relativeHeight="0" simplePos="0">
                <wp:simplePos x="0" y="0"/>
                <wp:positionH relativeFrom="margin">
                  <wp:posOffset>-99376</wp:posOffset>
                </wp:positionH>
                <wp:positionV relativeFrom="margin">
                  <wp:posOffset>5474826</wp:posOffset>
                </wp:positionV>
                <wp:extent cx="5868670" cy="2908935"/>
                <wp:effectExtent b="0" l="0" r="0" t="0"/>
                <wp:wrapSquare wrapText="bothSides" distB="0" distT="0" distL="114300" distR="114300"/>
                <wp:docPr id="2142794190" name=""/>
                <a:graphic>
                  <a:graphicData uri="http://schemas.microsoft.com/office/word/2010/wordprocessingShape">
                    <wps:wsp>
                      <wps:cNvSpPr/>
                      <wps:cNvPr id="31" name="Shape 31"/>
                      <wps:spPr>
                        <a:xfrm>
                          <a:off x="2416428" y="2330295"/>
                          <a:ext cx="5859145" cy="289941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Opioid utilisation in the Clinical Practice Research Datalink by individual opioid. (A) The most frequently prescribed opioids, 2006–2017. (B) All opioids in (A) except for codeine. (Taken from Jani et al 2020, p.9).</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-99376</wp:posOffset>
                </wp:positionH>
                <wp:positionV relativeFrom="margin">
                  <wp:posOffset>5474826</wp:posOffset>
                </wp:positionV>
                <wp:extent cx="5868670" cy="2908935"/>
                <wp:effectExtent b="0" l="0" r="0" t="0"/>
                <wp:wrapSquare wrapText="bothSides" distB="0" distT="0" distL="114300" distR="114300"/>
                <wp:docPr id="2142794190"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5868670" cy="2908935"/>
                        </a:xfrm>
                        <a:prstGeom prst="rect"/>
                        <a:ln/>
                      </pic:spPr>
                    </pic:pic>
                  </a:graphicData>
                </a:graphic>
              </wp:anchor>
            </w:drawing>
          </mc:Fallback>
        </mc:AlternateContent>
      </w:r>
      <w:r w:rsidDel="00000000" w:rsidR="00000000" w:rsidRPr="00000000">
        <w:rPr>
          <w:sz w:val="22"/>
          <w:szCs w:val="22"/>
          <w:rtl w:val="0"/>
        </w:rPr>
        <w:t xml:space="preserve">Opioids are prescribed mainly for pain relief for patients who have a diagnosis of terminal cancer and require end-of-life care (The Priory 2021). These include drugs such as morphine, codeine, tramadol and fentanyl (The Priory 2021). Opioids are used in the management of end of life and acute pain, yet there is limited evidence to suggest these medicines are appropriate to manage long term and chronic pain (NHS England 2024). Despite this, there has been an increase in their use to treat chronic non-cancer pain (Noble et al 2010, Bedson et al 2016). </w:t>
      </w:r>
    </w:p>
    <w:p w:rsidR="00000000" w:rsidDel="00000000" w:rsidP="00000000" w:rsidRDefault="00000000" w:rsidRPr="00000000" w14:paraId="0000016D">
      <w:pPr>
        <w:spacing w:line="480" w:lineRule="auto"/>
        <w:jc w:val="both"/>
        <w:rPr>
          <w:sz w:val="22"/>
          <w:szCs w:val="22"/>
        </w:rPr>
      </w:pPr>
      <w:r w:rsidDel="00000000" w:rsidR="00000000" w:rsidRPr="00000000">
        <w:rPr>
          <w:sz w:val="22"/>
          <w:szCs w:val="22"/>
          <w:rtl w:val="0"/>
        </w:rPr>
        <w:t xml:space="preserve">Of the opioids, codeine is the most prescribed, with a five-fold increase in their prescribing between 2006 to 2-17 (Jani et al 2020, p. 1). As illustrated in Figure Five, the number of opioid prescriptions, however, has increased by 34% between 1998 and 2016, from 568 per 1000 patients to 761 per 1000 patients (Curtis et al 2019, p.142). There was a 12.5%-14% increase of in the number of dispensed items per 1000 inhabitants between 2010 to 2019, from 2, 177 to 2, 532 (Kurdi 2021). Up until 2016, the dispensing trend began to decline by 2.5% from 2, 589 in 2016 to 2, 532 per 1000 inhabitants (Kurdi 2021). This is supported by data collected by OpenPrescribing.net (2021). When considering DDDs per 1000 inhabitants per day, there was an upward trend of 12.5% from 93 to 105 in 2010 and 2019 respectively (Kurdi 2021).</w:t>
      </w:r>
    </w:p>
    <w:p w:rsidR="00000000" w:rsidDel="00000000" w:rsidP="00000000" w:rsidRDefault="00000000" w:rsidRPr="00000000" w14:paraId="0000016E">
      <w:pPr>
        <w:spacing w:line="480" w:lineRule="auto"/>
        <w:jc w:val="both"/>
        <w:rPr>
          <w:sz w:val="22"/>
          <w:szCs w:val="22"/>
        </w:rPr>
      </w:pPr>
      <w:r w:rsidDel="00000000" w:rsidR="00000000" w:rsidRPr="00000000">
        <w:rPr>
          <w:rtl w:val="0"/>
        </w:rPr>
      </w:r>
    </w:p>
    <w:p w:rsidR="00000000" w:rsidDel="00000000" w:rsidP="00000000" w:rsidRDefault="00000000" w:rsidRPr="00000000" w14:paraId="0000016F">
      <w:pPr>
        <w:pStyle w:val="Heading3"/>
        <w:spacing w:line="480" w:lineRule="auto"/>
        <w:rPr/>
      </w:pPr>
      <w:bookmarkStart w:colFirst="0" w:colLast="0" w:name="_heading=h.1ksv4uv" w:id="16"/>
      <w:bookmarkEnd w:id="16"/>
      <w:r w:rsidDel="00000000" w:rsidR="00000000" w:rsidRPr="00000000">
        <w:rPr>
          <w:rtl w:val="0"/>
        </w:rPr>
        <w:t xml:space="preserve">Z-Drugs</w:t>
      </w:r>
    </w:p>
    <w:p w:rsidR="00000000" w:rsidDel="00000000" w:rsidP="00000000" w:rsidRDefault="00000000" w:rsidRPr="00000000" w14:paraId="00000170">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-60641</wp:posOffset>
                </wp:positionH>
                <wp:positionV relativeFrom="margin">
                  <wp:posOffset>6116404</wp:posOffset>
                </wp:positionV>
                <wp:extent cx="3546475" cy="2708910"/>
                <wp:effectExtent b="0" l="0" r="0" t="0"/>
                <wp:wrapSquare wrapText="bothSides" distB="0" distT="0" distL="114300" distR="114300"/>
                <wp:docPr id="2142794182" name=""/>
                <a:graphic>
                  <a:graphicData uri="http://schemas.microsoft.com/office/word/2010/wordprocessingShape">
                    <wps:wsp>
                      <wps:cNvSpPr/>
                      <wps:cNvPr id="3" name="Shape 3"/>
                      <wps:spPr>
                        <a:xfrm>
                          <a:off x="3577525" y="2430308"/>
                          <a:ext cx="3536950" cy="2699385"/>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A Graph showing the number of items of Zopiclone dispensed in the England between October 2016 and September 2022 (OpenPrescribing.net 2022)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-60641</wp:posOffset>
                </wp:positionH>
                <wp:positionV relativeFrom="margin">
                  <wp:posOffset>6116404</wp:posOffset>
                </wp:positionV>
                <wp:extent cx="3546475" cy="2708910"/>
                <wp:effectExtent b="0" l="0" r="0" t="0"/>
                <wp:wrapSquare wrapText="bothSides" distB="0" distT="0" distL="114300" distR="114300"/>
                <wp:docPr id="2142794182" name="image4.png"/>
                <a:graphic>
                  <a:graphicData uri="http://schemas.openxmlformats.org/drawingml/2006/picture">
                    <pic:pic>
                      <pic:nvPicPr>
                        <pic:cNvPr id="0" name="image4.png"/>
                        <pic:cNvPicPr preferRelativeResize="0"/>
                      </pic:nvPicPr>
                      <pic:blipFill>
                        <a:blip r:embed="rId8"/>
                        <a:srcRect/>
                        <a:stretch>
                          <a:fillRect/>
                        </a:stretch>
                      </pic:blipFill>
                      <pic:spPr>
                        <a:xfrm>
                          <a:off x="0" y="0"/>
                          <a:ext cx="3546475" cy="2708910"/>
                        </a:xfrm>
                        <a:prstGeom prst="rect"/>
                        <a:ln/>
                      </pic:spPr>
                    </pic:pic>
                  </a:graphicData>
                </a:graphic>
              </wp:anchor>
            </w:drawing>
          </mc:Fallback>
        </mc:AlternateContent>
      </w:r>
      <w:r w:rsidDel="00000000" w:rsidR="00000000" w:rsidRPr="00000000">
        <w:rPr>
          <w:sz w:val="22"/>
          <w:szCs w:val="22"/>
          <w:rtl w:val="0"/>
        </w:rPr>
        <w:t xml:space="preserve">Z-drugs are prescribed to patients who are experiencing difficulties sleeping (NHS 2019) and are typically only prescribed for 2 – 4 weeks (Greater Manchester Medicines Management Group 2019. These include zopiclone and zolpidem and are widely prescribed in primary care (Soyombo et al 2020). There is little available literature on the prescribing rate for this therapeutic group, other than outlined in Taylor et al (2019), or data published on OpenPrescribing.net.  Prescribing of medicines within this therapeutic group has slightly declined over the years (Taylor et al 2019, p.60), with 68% of these prescriptions being short term and less than a month (Taylor et al 2019, p.60). </w:t>
      </w:r>
    </w:p>
    <w:p w:rsidR="00000000" w:rsidDel="00000000" w:rsidP="00000000" w:rsidRDefault="00000000" w:rsidRPr="00000000" w14:paraId="00000171">
      <w:pPr>
        <w:spacing w:line="480" w:lineRule="auto"/>
        <w:jc w:val="both"/>
        <w:rPr>
          <w:sz w:val="22"/>
          <w:szCs w:val="22"/>
        </w:rPr>
      </w:pPr>
      <w:r w:rsidDel="00000000" w:rsidR="00000000" w:rsidRPr="00000000">
        <w:rPr>
          <w:rtl w:val="0"/>
        </w:rPr>
      </w:r>
    </w:p>
    <w:p w:rsidR="00000000" w:rsidDel="00000000" w:rsidP="00000000" w:rsidRDefault="00000000" w:rsidRPr="00000000" w14:paraId="00000172">
      <w:pPr>
        <w:spacing w:line="480" w:lineRule="auto"/>
        <w:jc w:val="both"/>
        <w:rPr>
          <w:sz w:val="22"/>
          <w:szCs w:val="22"/>
        </w:rPr>
      </w:pPr>
      <w:r w:rsidDel="00000000" w:rsidR="00000000" w:rsidRPr="00000000">
        <w:rPr>
          <w:sz w:val="22"/>
          <w:szCs w:val="22"/>
          <w:rtl w:val="0"/>
        </w:rPr>
        <w:t xml:space="preserve">However, 3% of these prescriptions lasted for more than the 36-month duration of Taylor et al’s investigation. There has been some fluctuation in prescribing data, but an overall downwards trend (OpenPrescribing.net 2021), as shown in Figure Six. In September 2021, there were 410,107 zopiclone items dispensed, which is lower than the previous year, with 415,818 items dispensed in September 2020 (OpenPrescribing.net 2021).</w:t>
      </w:r>
    </w:p>
    <w:p w:rsidR="00000000" w:rsidDel="00000000" w:rsidP="00000000" w:rsidRDefault="00000000" w:rsidRPr="00000000" w14:paraId="00000173">
      <w:pPr>
        <w:spacing w:line="480" w:lineRule="auto"/>
        <w:jc w:val="both"/>
        <w:rPr>
          <w:sz w:val="22"/>
          <w:szCs w:val="22"/>
        </w:rPr>
      </w:pPr>
      <w:r w:rsidDel="00000000" w:rsidR="00000000" w:rsidRPr="00000000">
        <w:rPr>
          <w:rtl w:val="0"/>
        </w:rPr>
      </w:r>
    </w:p>
    <w:p w:rsidR="00000000" w:rsidDel="00000000" w:rsidP="00000000" w:rsidRDefault="00000000" w:rsidRPr="00000000" w14:paraId="00000174">
      <w:pPr>
        <w:pStyle w:val="Heading3"/>
        <w:spacing w:line="480" w:lineRule="auto"/>
        <w:rPr/>
      </w:pPr>
      <w:bookmarkStart w:colFirst="0" w:colLast="0" w:name="_heading=h.44sinio" w:id="17"/>
      <w:bookmarkEnd w:id="17"/>
      <w:r w:rsidDel="00000000" w:rsidR="00000000" w:rsidRPr="00000000">
        <w:rPr>
          <w:rtl w:val="0"/>
        </w:rPr>
        <w:t xml:space="preserve">Polypharmacy and Overprescribing</w:t>
      </w:r>
    </w:p>
    <w:p w:rsidR="00000000" w:rsidDel="00000000" w:rsidP="00000000" w:rsidRDefault="00000000" w:rsidRPr="00000000" w14:paraId="00000175">
      <w:pPr>
        <w:spacing w:line="480" w:lineRule="auto"/>
        <w:jc w:val="both"/>
        <w:rPr>
          <w:sz w:val="22"/>
          <w:szCs w:val="22"/>
        </w:rPr>
      </w:pPr>
      <w:r w:rsidDel="00000000" w:rsidR="00000000" w:rsidRPr="00000000">
        <w:rPr>
          <w:sz w:val="22"/>
          <w:szCs w:val="22"/>
          <w:rtl w:val="0"/>
        </w:rPr>
        <w:t xml:space="preserve">Medication is perceived as “</w:t>
      </w:r>
      <w:r w:rsidDel="00000000" w:rsidR="00000000" w:rsidRPr="00000000">
        <w:rPr>
          <w:i w:val="1"/>
          <w:sz w:val="22"/>
          <w:szCs w:val="22"/>
          <w:rtl w:val="0"/>
        </w:rPr>
        <w:t xml:space="preserve">relatively safe</w:t>
      </w:r>
      <w:r w:rsidDel="00000000" w:rsidR="00000000" w:rsidRPr="00000000">
        <w:rPr>
          <w:sz w:val="22"/>
          <w:szCs w:val="22"/>
          <w:rtl w:val="0"/>
        </w:rPr>
        <w:t xml:space="preserve">” and helpful (Parsons et al 2015 p.9, Cheung et al 2015, Hallinan 2014), and beneficial, yet their harms can be just as great as those of illicit substances (National Institute for Drug Abuse 2014). Polypharmacy, defined as “</w:t>
      </w:r>
      <w:r w:rsidDel="00000000" w:rsidR="00000000" w:rsidRPr="00000000">
        <w:rPr>
          <w:i w:val="1"/>
          <w:sz w:val="22"/>
          <w:szCs w:val="22"/>
          <w:rtl w:val="0"/>
        </w:rPr>
        <w:t xml:space="preserve">multimorbidity and the associated use of multiple medicines</w:t>
      </w:r>
      <w:r w:rsidDel="00000000" w:rsidR="00000000" w:rsidRPr="00000000">
        <w:rPr>
          <w:sz w:val="22"/>
          <w:szCs w:val="22"/>
          <w:rtl w:val="0"/>
        </w:rPr>
        <w:t xml:space="preserve">” aims to improve the quality of life, minimise risk of harm and increase longevity (Masnoon et al 2017, Nicholson et al 2024 p.287). Polypharmacy can be “</w:t>
      </w:r>
      <w:r w:rsidDel="00000000" w:rsidR="00000000" w:rsidRPr="00000000">
        <w:rPr>
          <w:i w:val="1"/>
          <w:sz w:val="22"/>
          <w:szCs w:val="22"/>
          <w:rtl w:val="0"/>
        </w:rPr>
        <w:t xml:space="preserve">clinically necessary</w:t>
      </w:r>
      <w:r w:rsidDel="00000000" w:rsidR="00000000" w:rsidRPr="00000000">
        <w:rPr>
          <w:sz w:val="22"/>
          <w:szCs w:val="22"/>
          <w:rtl w:val="0"/>
        </w:rPr>
        <w:t xml:space="preserve">”, however, concerns regarding an increasingly and inappropriately high number of medicines are apparent, as are the associated risks (Department of Health and Social Care 2021, p.7). The rate of polypharmacy is estimated to be between 2.6% to 86.6% and is particularly common in older adults (Nicholson et al 2024 p.290, Delara et al 2022 p.5). </w:t>
      </w:r>
    </w:p>
    <w:p w:rsidR="00000000" w:rsidDel="00000000" w:rsidP="00000000" w:rsidRDefault="00000000" w:rsidRPr="00000000" w14:paraId="00000176">
      <w:pPr>
        <w:spacing w:line="480" w:lineRule="auto"/>
        <w:jc w:val="both"/>
        <w:rPr>
          <w:sz w:val="22"/>
          <w:szCs w:val="22"/>
        </w:rPr>
      </w:pPr>
      <w:r w:rsidDel="00000000" w:rsidR="00000000" w:rsidRPr="00000000">
        <w:rPr>
          <w:rtl w:val="0"/>
        </w:rPr>
      </w:r>
    </w:p>
    <w:p w:rsidR="00000000" w:rsidDel="00000000" w:rsidP="00000000" w:rsidRDefault="00000000" w:rsidRPr="00000000" w14:paraId="00000177">
      <w:pPr>
        <w:spacing w:line="480" w:lineRule="auto"/>
        <w:jc w:val="both"/>
        <w:rPr>
          <w:sz w:val="22"/>
          <w:szCs w:val="22"/>
        </w:rPr>
      </w:pPr>
      <w:r w:rsidDel="00000000" w:rsidR="00000000" w:rsidRPr="00000000">
        <w:rPr>
          <w:sz w:val="22"/>
          <w:szCs w:val="22"/>
          <w:rtl w:val="0"/>
        </w:rPr>
        <w:t xml:space="preserve">According to the National Overprescribing Review, 8.4 million people in England are prescribed five or more medicines, with an increased number of medicines associated with an “</w:t>
      </w:r>
      <w:r w:rsidDel="00000000" w:rsidR="00000000" w:rsidRPr="00000000">
        <w:rPr>
          <w:i w:val="1"/>
          <w:sz w:val="22"/>
          <w:szCs w:val="22"/>
          <w:rtl w:val="0"/>
        </w:rPr>
        <w:t xml:space="preserve">unwanted or harmful effect</w:t>
      </w:r>
      <w:r w:rsidDel="00000000" w:rsidR="00000000" w:rsidRPr="00000000">
        <w:rPr>
          <w:sz w:val="22"/>
          <w:szCs w:val="22"/>
          <w:rtl w:val="0"/>
        </w:rPr>
        <w:t xml:space="preserve">” (Department of Health and Social Care 2021, p.73). Risks associated with polypharmacy include drug interactions, falls, kidney impairment, poor quality of life and hospitalisation (Chang et al 2020, p.5). Overprescribing defined as:</w:t>
      </w:r>
    </w:p>
    <w:p w:rsidR="00000000" w:rsidDel="00000000" w:rsidP="00000000" w:rsidRDefault="00000000" w:rsidRPr="00000000" w14:paraId="00000178">
      <w:pPr>
        <w:spacing w:line="480" w:lineRule="auto"/>
        <w:jc w:val="both"/>
        <w:rPr>
          <w:sz w:val="22"/>
          <w:szCs w:val="22"/>
        </w:rPr>
      </w:pPr>
      <w:r w:rsidDel="00000000" w:rsidR="00000000" w:rsidRPr="00000000">
        <w:rPr>
          <w:rtl w:val="0"/>
        </w:rPr>
      </w:r>
    </w:p>
    <w:p w:rsidR="00000000" w:rsidDel="00000000" w:rsidP="00000000" w:rsidRDefault="00000000" w:rsidRPr="00000000" w14:paraId="00000179">
      <w:pPr>
        <w:spacing w:line="480" w:lineRule="auto"/>
        <w:ind w:left="709" w:firstLine="0"/>
        <w:jc w:val="both"/>
        <w:rPr>
          <w:sz w:val="22"/>
          <w:szCs w:val="22"/>
        </w:rPr>
      </w:pPr>
      <w:r w:rsidDel="00000000" w:rsidR="00000000" w:rsidRPr="00000000">
        <w:rPr>
          <w:sz w:val="22"/>
          <w:szCs w:val="22"/>
          <w:rtl w:val="0"/>
        </w:rPr>
        <w:t xml:space="preserve"> “</w:t>
      </w:r>
      <w:r w:rsidDel="00000000" w:rsidR="00000000" w:rsidRPr="00000000">
        <w:rPr>
          <w:i w:val="1"/>
          <w:sz w:val="22"/>
          <w:szCs w:val="22"/>
          <w:rtl w:val="0"/>
        </w:rPr>
        <w:t xml:space="preserve">The use of a medicine where there is a better non-medicine alternative, or the use is inappropriate for that patients’ circumstances and wishes.</w:t>
      </w:r>
      <w:r w:rsidDel="00000000" w:rsidR="00000000" w:rsidRPr="00000000">
        <w:rPr>
          <w:sz w:val="22"/>
          <w:szCs w:val="22"/>
          <w:rtl w:val="0"/>
        </w:rPr>
        <w:t xml:space="preserve">”</w:t>
      </w:r>
    </w:p>
    <w:p w:rsidR="00000000" w:rsidDel="00000000" w:rsidP="00000000" w:rsidRDefault="00000000" w:rsidRPr="00000000" w14:paraId="0000017A">
      <w:pPr>
        <w:spacing w:line="480" w:lineRule="auto"/>
        <w:jc w:val="right"/>
        <w:rPr>
          <w:sz w:val="22"/>
          <w:szCs w:val="22"/>
        </w:rPr>
      </w:pPr>
      <w:r w:rsidDel="00000000" w:rsidR="00000000" w:rsidRPr="00000000">
        <w:rPr>
          <w:sz w:val="22"/>
          <w:szCs w:val="22"/>
          <w:rtl w:val="0"/>
        </w:rPr>
        <w:t xml:space="preserve">(Department of Health and Social Care 2021)</w:t>
      </w:r>
    </w:p>
    <w:p w:rsidR="00000000" w:rsidDel="00000000" w:rsidP="00000000" w:rsidRDefault="00000000" w:rsidRPr="00000000" w14:paraId="0000017B">
      <w:pPr>
        <w:spacing w:line="480" w:lineRule="auto"/>
        <w:jc w:val="both"/>
        <w:rPr>
          <w:sz w:val="22"/>
          <w:szCs w:val="22"/>
        </w:rPr>
      </w:pPr>
      <w:r w:rsidDel="00000000" w:rsidR="00000000" w:rsidRPr="00000000">
        <w:rPr>
          <w:sz w:val="22"/>
          <w:szCs w:val="22"/>
          <w:rtl w:val="0"/>
        </w:rPr>
        <w:t xml:space="preserve">The National Health Service had an annual budget of £190.3 billion in 2021/2022, with the budget in 2022/2023 totalling £152.6 billion (The Kings Fund 2022). The costs of prescribing in primary care totalled £9.42 billion, increasing to £10.4 billion in 2022/2023 (National Health Service Business Services Authority 2021, National Health Services Business Services Authority 2023). </w:t>
      </w:r>
      <w:r w:rsidDel="00000000" w:rsidR="00000000" w:rsidRPr="00000000">
        <w:rPr>
          <w:rFonts w:ascii="Aptos" w:cs="Aptos" w:eastAsia="Aptos" w:hAnsi="Aptos"/>
          <w:sz w:val="22"/>
          <w:szCs w:val="22"/>
          <w:rtl w:val="0"/>
        </w:rPr>
        <w:t xml:space="preserve">Prescribing rates increased by 42.6% between 2004 and 2019 (Naser et al 2022, p.3), with the National Health Service expenditure on prescribing increasing from £6.7billion to £9.1billion between 2018 and 2022 (Angelis et al 2023). </w:t>
      </w:r>
      <w:r w:rsidDel="00000000" w:rsidR="00000000" w:rsidRPr="00000000">
        <w:rPr>
          <w:sz w:val="22"/>
          <w:szCs w:val="22"/>
          <w:rtl w:val="0"/>
        </w:rPr>
        <w:t xml:space="preserve">Recent estimates, however, suggest that at least 10% of prescriptions are unnecessary (Department of Health and Social Care 2021, p.7). </w:t>
      </w:r>
    </w:p>
    <w:p w:rsidR="00000000" w:rsidDel="00000000" w:rsidP="00000000" w:rsidRDefault="00000000" w:rsidRPr="00000000" w14:paraId="0000017C">
      <w:pPr>
        <w:spacing w:line="480" w:lineRule="auto"/>
        <w:jc w:val="both"/>
        <w:rPr>
          <w:sz w:val="22"/>
          <w:szCs w:val="22"/>
        </w:rPr>
      </w:pPr>
      <w:r w:rsidDel="00000000" w:rsidR="00000000" w:rsidRPr="00000000">
        <w:rPr>
          <w:rtl w:val="0"/>
        </w:rPr>
      </w:r>
    </w:p>
    <w:p w:rsidR="00000000" w:rsidDel="00000000" w:rsidP="00000000" w:rsidRDefault="00000000" w:rsidRPr="00000000" w14:paraId="0000017D">
      <w:pPr>
        <w:spacing w:line="480" w:lineRule="auto"/>
        <w:jc w:val="both"/>
        <w:rPr>
          <w:sz w:val="22"/>
          <w:szCs w:val="22"/>
        </w:rPr>
      </w:pPr>
      <w:r w:rsidDel="00000000" w:rsidR="00000000" w:rsidRPr="00000000">
        <w:rPr>
          <w:sz w:val="22"/>
          <w:szCs w:val="22"/>
          <w:rtl w:val="0"/>
        </w:rPr>
        <w:t xml:space="preserve">Furthermore, the long-term use of medicines, particularly opioids, is associated with overdose and dependence (Marsden et al 2019). This is often called “</w:t>
      </w:r>
      <w:r w:rsidDel="00000000" w:rsidR="00000000" w:rsidRPr="00000000">
        <w:rPr>
          <w:i w:val="1"/>
          <w:sz w:val="22"/>
          <w:szCs w:val="22"/>
          <w:rtl w:val="0"/>
        </w:rPr>
        <w:t xml:space="preserve">iatrogenic dependence</w:t>
      </w:r>
      <w:r w:rsidDel="00000000" w:rsidR="00000000" w:rsidRPr="00000000">
        <w:rPr>
          <w:sz w:val="22"/>
          <w:szCs w:val="22"/>
          <w:rtl w:val="0"/>
        </w:rPr>
        <w:t xml:space="preserve">”, defined as the “</w:t>
      </w:r>
      <w:r w:rsidDel="00000000" w:rsidR="00000000" w:rsidRPr="00000000">
        <w:rPr>
          <w:i w:val="1"/>
          <w:sz w:val="22"/>
          <w:szCs w:val="22"/>
          <w:rtl w:val="0"/>
        </w:rPr>
        <w:t xml:space="preserve">development of narcotic dependence following medical treatment</w:t>
      </w:r>
      <w:r w:rsidDel="00000000" w:rsidR="00000000" w:rsidRPr="00000000">
        <w:rPr>
          <w:sz w:val="22"/>
          <w:szCs w:val="22"/>
          <w:rtl w:val="0"/>
        </w:rPr>
        <w:t xml:space="preserve">”, and is associated with pain relief in particular (Walker 2009).</w:t>
      </w:r>
      <w:r w:rsidDel="00000000" w:rsidR="00000000" w:rsidRPr="00000000">
        <w:rPr>
          <w:rtl w:val="0"/>
        </w:rPr>
        <w:t xml:space="preserve"> </w:t>
      </w:r>
      <w:r w:rsidDel="00000000" w:rsidR="00000000" w:rsidRPr="00000000">
        <w:rPr>
          <w:sz w:val="22"/>
          <w:szCs w:val="22"/>
          <w:rtl w:val="0"/>
        </w:rPr>
        <w:t xml:space="preserve">The prescribing of these therapeutic groups, other than benzodiazepines, has increased and continues to rise, particularly due to the use of these medicines on a long-term basis (Archer 2022).</w:t>
      </w:r>
    </w:p>
    <w:p w:rsidR="00000000" w:rsidDel="00000000" w:rsidP="00000000" w:rsidRDefault="00000000" w:rsidRPr="00000000" w14:paraId="0000017E">
      <w:pPr>
        <w:spacing w:line="480" w:lineRule="auto"/>
        <w:jc w:val="both"/>
        <w:rPr>
          <w:sz w:val="22"/>
          <w:szCs w:val="22"/>
        </w:rPr>
      </w:pPr>
      <w:r w:rsidDel="00000000" w:rsidR="00000000" w:rsidRPr="00000000">
        <w:rPr>
          <w:rtl w:val="0"/>
        </w:rPr>
      </w:r>
    </w:p>
    <w:p w:rsidR="00000000" w:rsidDel="00000000" w:rsidP="00000000" w:rsidRDefault="00000000" w:rsidRPr="00000000" w14:paraId="0000017F">
      <w:pPr>
        <w:spacing w:line="480" w:lineRule="auto"/>
        <w:jc w:val="both"/>
        <w:rPr>
          <w:rFonts w:ascii="Aptos" w:cs="Aptos" w:eastAsia="Aptos" w:hAnsi="Aptos"/>
          <w:sz w:val="22"/>
          <w:szCs w:val="22"/>
        </w:rPr>
      </w:pPr>
      <w:r w:rsidDel="00000000" w:rsidR="00000000" w:rsidRPr="00000000">
        <w:rPr>
          <w:sz w:val="22"/>
          <w:szCs w:val="22"/>
          <w:rtl w:val="0"/>
        </w:rPr>
        <w:t xml:space="preserve"> The NHS has experienced a significant increase in patients waiting for treatment (Lovett 2021). At the time of writing 5.6 million patients are waiting for long term treatment, and due to the extensive waiting lists, exacerbated by the COVID-19 pandemic, has resulted in many patients using prescription medicines for longer than initially anticipated (Hamilton 2021). For example, patients are waiting longer for operative procedures therefore using pain relief for longer than the guidelines advise (Hamilton 2021). </w:t>
      </w:r>
      <w:r w:rsidDel="00000000" w:rsidR="00000000" w:rsidRPr="00000000">
        <w:rPr>
          <w:rFonts w:ascii="Aptos" w:cs="Aptos" w:eastAsia="Aptos" w:hAnsi="Aptos"/>
          <w:sz w:val="22"/>
          <w:szCs w:val="22"/>
          <w:rtl w:val="0"/>
        </w:rPr>
        <w:t xml:space="preserve">Although prescribers do not intentionally prescribe inappropriately, they can often fail to deprescribe when appropriate (Anderson et al 2014, p.15). Inappropriate prescribing is defined as:</w:t>
      </w:r>
    </w:p>
    <w:p w:rsidR="00000000" w:rsidDel="00000000" w:rsidP="00000000" w:rsidRDefault="00000000" w:rsidRPr="00000000" w14:paraId="00000180">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 </w:t>
      </w:r>
    </w:p>
    <w:p w:rsidR="00000000" w:rsidDel="00000000" w:rsidP="00000000" w:rsidRDefault="00000000" w:rsidRPr="00000000" w14:paraId="00000181">
      <w:pPr>
        <w:spacing w:line="480" w:lineRule="auto"/>
        <w:ind w:left="709" w:firstLine="0"/>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w:t>
      </w:r>
      <w:r w:rsidDel="00000000" w:rsidR="00000000" w:rsidRPr="00000000">
        <w:rPr>
          <w:rFonts w:ascii="Aptos" w:cs="Aptos" w:eastAsia="Aptos" w:hAnsi="Aptos"/>
          <w:i w:val="1"/>
          <w:sz w:val="22"/>
          <w:szCs w:val="22"/>
          <w:rtl w:val="0"/>
        </w:rPr>
        <w:t xml:space="preserve">Using medicines that may cause more harm than benefit, are not cost-effective, or are not clinically indicated.</w:t>
      </w:r>
      <w:r w:rsidDel="00000000" w:rsidR="00000000" w:rsidRPr="00000000">
        <w:rPr>
          <w:rFonts w:ascii="Aptos" w:cs="Aptos" w:eastAsia="Aptos" w:hAnsi="Aptos"/>
          <w:sz w:val="22"/>
          <w:szCs w:val="22"/>
          <w:rtl w:val="0"/>
        </w:rPr>
        <w:t xml:space="preserve">”</w:t>
      </w:r>
    </w:p>
    <w:p w:rsidR="00000000" w:rsidDel="00000000" w:rsidP="00000000" w:rsidRDefault="00000000" w:rsidRPr="00000000" w14:paraId="00000182">
      <w:pPr>
        <w:spacing w:line="480" w:lineRule="auto"/>
        <w:jc w:val="right"/>
        <w:rPr>
          <w:rFonts w:ascii="Aptos" w:cs="Aptos" w:eastAsia="Aptos" w:hAnsi="Aptos"/>
          <w:sz w:val="22"/>
          <w:szCs w:val="22"/>
        </w:rPr>
      </w:pPr>
      <w:r w:rsidDel="00000000" w:rsidR="00000000" w:rsidRPr="00000000">
        <w:rPr>
          <w:rFonts w:ascii="Aptos" w:cs="Aptos" w:eastAsia="Aptos" w:hAnsi="Aptos"/>
          <w:sz w:val="22"/>
          <w:szCs w:val="22"/>
          <w:rtl w:val="0"/>
        </w:rPr>
        <w:t xml:space="preserve">(Khatter et al 2021)</w:t>
      </w:r>
    </w:p>
    <w:p w:rsidR="00000000" w:rsidDel="00000000" w:rsidP="00000000" w:rsidRDefault="00000000" w:rsidRPr="00000000" w14:paraId="00000183">
      <w:pPr>
        <w:spacing w:line="480" w:lineRule="auto"/>
        <w:jc w:val="right"/>
        <w:rPr>
          <w:rFonts w:ascii="Aptos" w:cs="Aptos" w:eastAsia="Aptos" w:hAnsi="Aptos"/>
          <w:sz w:val="22"/>
          <w:szCs w:val="22"/>
        </w:rPr>
      </w:pPr>
      <w:r w:rsidDel="00000000" w:rsidR="00000000" w:rsidRPr="00000000">
        <w:rPr>
          <w:rtl w:val="0"/>
        </w:rPr>
      </w:r>
    </w:p>
    <w:p w:rsidR="00000000" w:rsidDel="00000000" w:rsidP="00000000" w:rsidRDefault="00000000" w:rsidRPr="00000000" w14:paraId="00000184">
      <w:pPr>
        <w:spacing w:line="480" w:lineRule="auto"/>
        <w:jc w:val="both"/>
        <w:rPr>
          <w:sz w:val="22"/>
          <w:szCs w:val="22"/>
        </w:rPr>
      </w:pPr>
      <w:r w:rsidDel="00000000" w:rsidR="00000000" w:rsidRPr="00000000">
        <w:rPr>
          <w:sz w:val="22"/>
          <w:szCs w:val="22"/>
          <w:rtl w:val="0"/>
        </w:rPr>
        <w:t xml:space="preserve">To mitigate the increasing prescribing rates, the risks and costs of prescribing, the Department of Health and Social Care commissioned a review to find ways to reduce overprescribing, particularly in primary care (Ogden 2022). This resulted in the NHS Long Term Plan, which included social prescribing and community-based approaches as outlined in the previous section (NHS England 2023). This will be explored in depth in the next chapter, “</w:t>
      </w:r>
      <w:hyperlink w:anchor="_heading=h.1y810tw">
        <w:r w:rsidDel="00000000" w:rsidR="00000000" w:rsidRPr="00000000">
          <w:rPr>
            <w:i w:val="1"/>
            <w:color w:val="467886"/>
            <w:sz w:val="22"/>
            <w:szCs w:val="22"/>
            <w:u w:val="single"/>
            <w:rtl w:val="0"/>
          </w:rPr>
          <w:t xml:space="preserve">Defining and Explaining Drug Dependence</w:t>
        </w:r>
      </w:hyperlink>
      <w:r w:rsidDel="00000000" w:rsidR="00000000" w:rsidRPr="00000000">
        <w:rPr>
          <w:sz w:val="22"/>
          <w:szCs w:val="22"/>
          <w:rtl w:val="0"/>
        </w:rPr>
        <w:t xml:space="preserve">” (p. 33). </w:t>
      </w:r>
    </w:p>
    <w:p w:rsidR="00000000" w:rsidDel="00000000" w:rsidP="00000000" w:rsidRDefault="00000000" w:rsidRPr="00000000" w14:paraId="00000185">
      <w:pPr>
        <w:spacing w:line="480" w:lineRule="auto"/>
        <w:jc w:val="both"/>
        <w:rPr>
          <w:sz w:val="22"/>
          <w:szCs w:val="22"/>
        </w:rPr>
      </w:pPr>
      <w:r w:rsidDel="00000000" w:rsidR="00000000" w:rsidRPr="00000000">
        <w:rPr>
          <w:rtl w:val="0"/>
        </w:rPr>
      </w:r>
    </w:p>
    <w:p w:rsidR="00000000" w:rsidDel="00000000" w:rsidP="00000000" w:rsidRDefault="00000000" w:rsidRPr="00000000" w14:paraId="00000186">
      <w:pPr>
        <w:pStyle w:val="Heading2"/>
        <w:numPr>
          <w:ilvl w:val="1"/>
          <w:numId w:val="25"/>
        </w:numPr>
        <w:spacing w:line="480" w:lineRule="auto"/>
        <w:ind w:left="0" w:firstLine="0"/>
        <w:rPr/>
      </w:pPr>
      <w:bookmarkStart w:colFirst="0" w:colLast="0" w:name="_heading=h.2jxsxqh" w:id="18"/>
      <w:bookmarkEnd w:id="18"/>
      <w:r w:rsidDel="00000000" w:rsidR="00000000" w:rsidRPr="00000000">
        <w:rPr>
          <w:rtl w:val="0"/>
        </w:rPr>
        <w:t xml:space="preserve">Health Burden due to the Dependence on Medicines</w:t>
      </w:r>
    </w:p>
    <w:p w:rsidR="00000000" w:rsidDel="00000000" w:rsidP="00000000" w:rsidRDefault="00000000" w:rsidRPr="00000000" w14:paraId="00000187">
      <w:pPr>
        <w:spacing w:line="480" w:lineRule="auto"/>
        <w:jc w:val="both"/>
        <w:rPr>
          <w:sz w:val="22"/>
          <w:szCs w:val="22"/>
        </w:rPr>
      </w:pPr>
      <w:r w:rsidDel="00000000" w:rsidR="00000000" w:rsidRPr="00000000">
        <w:rPr>
          <w:sz w:val="22"/>
          <w:szCs w:val="22"/>
          <w:rtl w:val="0"/>
        </w:rPr>
        <w:t xml:space="preserve">This section will discuss the harms associated with prescribed drug dependence. Morbidity is defined as “</w:t>
      </w:r>
      <w:r w:rsidDel="00000000" w:rsidR="00000000" w:rsidRPr="00000000">
        <w:rPr>
          <w:i w:val="1"/>
          <w:sz w:val="22"/>
          <w:szCs w:val="22"/>
          <w:rtl w:val="0"/>
        </w:rPr>
        <w:t xml:space="preserve">any departure, subjective or objective, from a state of physiological or psychological wellbeing</w:t>
      </w:r>
      <w:r w:rsidDel="00000000" w:rsidR="00000000" w:rsidRPr="00000000">
        <w:rPr>
          <w:sz w:val="22"/>
          <w:szCs w:val="22"/>
          <w:rtl w:val="0"/>
        </w:rPr>
        <w:t xml:space="preserve">” (Last 2001). Prescription drug related harms can include, but are not limited to, the following physical health issues such as nausea, vomiting and depressed nervous system (Mayo Clinic 2021). There is also an association between the use of prescription drugs and aggression in clinical settings (Duxbury and Whittington 2005, p.473). </w:t>
      </w:r>
    </w:p>
    <w:p w:rsidR="00000000" w:rsidDel="00000000" w:rsidP="00000000" w:rsidRDefault="00000000" w:rsidRPr="00000000" w14:paraId="00000188">
      <w:pPr>
        <w:spacing w:line="480" w:lineRule="auto"/>
        <w:jc w:val="both"/>
        <w:rPr>
          <w:sz w:val="22"/>
          <w:szCs w:val="22"/>
        </w:rPr>
      </w:pPr>
      <w:r w:rsidDel="00000000" w:rsidR="00000000" w:rsidRPr="00000000">
        <w:rPr>
          <w:rtl w:val="0"/>
        </w:rPr>
      </w:r>
    </w:p>
    <w:p w:rsidR="00000000" w:rsidDel="00000000" w:rsidP="00000000" w:rsidRDefault="00000000" w:rsidRPr="00000000" w14:paraId="00000189">
      <w:pPr>
        <w:spacing w:line="480" w:lineRule="auto"/>
        <w:jc w:val="both"/>
        <w:rPr>
          <w:sz w:val="22"/>
          <w:szCs w:val="22"/>
        </w:rPr>
      </w:pPr>
      <w:r w:rsidDel="00000000" w:rsidR="00000000" w:rsidRPr="00000000">
        <w:rPr>
          <w:sz w:val="22"/>
          <w:szCs w:val="22"/>
          <w:rtl w:val="0"/>
        </w:rPr>
        <w:t xml:space="preserve">Lund et al (2015, p.11) suggested there is a risk of harm to children when exposed to drug use and dependence, including the use of prescription medicines (Lund et al 2015, p.11). Serious health issues can arise from the use of prescribed medicines, particularly opioids and benzodiazepines, such as Spina Bifida, heart abnormalities and glaucoma (Centers for Disease Control and Prevention 2014). These medicines will usually be avoided during pregnancy and the period in which the parent will breastfeed (Ipswich and East Suffolk Clinical Commissioning Group 2016, p.2). The development of the emotional and psychological wellbeing can be impacted by parental drug use and is associated with the development of childhood trauma, including that of prescription medicine use (Cornwall and Isles of Scilly Safeguarding Partnership Procedures 2019, NSPCC Learning 2022, Hampshire Safeguarding Children’s Partnership 2023). </w:t>
      </w:r>
    </w:p>
    <w:p w:rsidR="00000000" w:rsidDel="00000000" w:rsidP="00000000" w:rsidRDefault="00000000" w:rsidRPr="00000000" w14:paraId="0000018A">
      <w:pPr>
        <w:spacing w:line="480" w:lineRule="auto"/>
        <w:jc w:val="both"/>
        <w:rPr>
          <w:sz w:val="22"/>
          <w:szCs w:val="22"/>
        </w:rPr>
      </w:pPr>
      <w:r w:rsidDel="00000000" w:rsidR="00000000" w:rsidRPr="00000000">
        <w:rPr>
          <w:rtl w:val="0"/>
        </w:rPr>
      </w:r>
    </w:p>
    <w:p w:rsidR="00000000" w:rsidDel="00000000" w:rsidP="00000000" w:rsidRDefault="00000000" w:rsidRPr="00000000" w14:paraId="0000018B">
      <w:pPr>
        <w:spacing w:line="480" w:lineRule="auto"/>
        <w:jc w:val="both"/>
        <w:rPr>
          <w:sz w:val="22"/>
          <w:szCs w:val="22"/>
        </w:rPr>
      </w:pPr>
      <w:r w:rsidDel="00000000" w:rsidR="00000000" w:rsidRPr="00000000">
        <w:rPr>
          <w:sz w:val="22"/>
          <w:szCs w:val="22"/>
          <w:rtl w:val="0"/>
        </w:rPr>
        <w:t xml:space="preserve">Mortality is “</w:t>
      </w:r>
      <w:r w:rsidDel="00000000" w:rsidR="00000000" w:rsidRPr="00000000">
        <w:rPr>
          <w:i w:val="1"/>
          <w:sz w:val="22"/>
          <w:szCs w:val="22"/>
          <w:rtl w:val="0"/>
        </w:rPr>
        <w:t xml:space="preserve">the frequency of occurrence of death in a defined population during a specified interval</w:t>
      </w:r>
      <w:r w:rsidDel="00000000" w:rsidR="00000000" w:rsidRPr="00000000">
        <w:rPr>
          <w:sz w:val="22"/>
          <w:szCs w:val="22"/>
          <w:rtl w:val="0"/>
        </w:rPr>
        <w:t xml:space="preserve">” (Centers for Disease Control and Prevention 2012). Mortality from prescription medicines is being recognised as a growing concern in the United Kingdom (Turning Point 2017). In 2016, there were 3744 drug poisoning deaths recorded in England and Wales, with 3450 recorded in England alone (Office for National Statistics 2016). This increased to 4393 in 2019, and to 4561 in 2020 (Office for National Statistics 2021). The number of drug related deaths for each therapeutic group of medicines outlined in this research are as follows:</w:t>
      </w:r>
    </w:p>
    <w:p w:rsidR="00000000" w:rsidDel="00000000" w:rsidP="00000000" w:rsidRDefault="00000000" w:rsidRPr="00000000" w14:paraId="0000018C">
      <w:pPr>
        <w:spacing w:line="480" w:lineRule="auto"/>
        <w:jc w:val="both"/>
        <w:rPr>
          <w:sz w:val="22"/>
          <w:szCs w:val="22"/>
        </w:rPr>
      </w:pPr>
      <w:r w:rsidDel="00000000" w:rsidR="00000000" w:rsidRPr="00000000">
        <w:rPr>
          <w:rtl w:val="0"/>
        </w:rPr>
      </w:r>
    </w:p>
    <w:p w:rsidR="00000000" w:rsidDel="00000000" w:rsidP="00000000" w:rsidRDefault="00000000" w:rsidRPr="00000000" w14:paraId="0000018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 2021, 607 drug poisonings involved antidepressants (Stewart 2023), which was an increase from 2020, where 517 incidents were reported. Tricyclic antidepressants may influence a fatal opioid overdose (Darke and Ross 2000, Best 2001).</w:t>
      </w:r>
    </w:p>
    <w:p w:rsidR="00000000" w:rsidDel="00000000" w:rsidP="00000000" w:rsidRDefault="00000000" w:rsidRPr="00000000" w14:paraId="0000018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Benzodiazepines were noted in 420 deaths in England and Wales in 2017 (Parsons 2019), increasing to 538 in 2022 (Stewart 2023). There has been a 19.3% increase in deaths related to benzodiazepines in 2020, from 399 to 476 deaths in 2019 (Office for National Statistics 2021). Benzodiazepines are rarely implicated in drug deaths independently and are often a factor in an adverse drug reaction (Parsons 2019). </w:t>
      </w:r>
    </w:p>
    <w:p w:rsidR="00000000" w:rsidDel="00000000" w:rsidP="00000000" w:rsidRDefault="00000000" w:rsidRPr="00000000" w14:paraId="0000018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Drug poisonings involving pregabalin has increased from 244 in 2019 to 344 deaths in 2020 (a 41.0% increase). Gabapentin deaths rose from 89 to 118 deaths in the same period (a 32.6% increase) (Office for National Statistics 2020).</w:t>
      </w:r>
    </w:p>
    <w:p w:rsidR="00000000" w:rsidDel="00000000" w:rsidP="00000000" w:rsidRDefault="00000000" w:rsidRPr="00000000" w14:paraId="0000019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 2016, there were 184 deaths recorded involving tramadol, 75 involving OxyCodone and 58 deaths involving fentanyl (Office for National Statistics 2016, p.12). In 2020, the Office for National Statistics have only released data involving polysubstance misuse- where cocaine and opioid medicines have both been involved.</w:t>
      </w:r>
    </w:p>
    <w:p w:rsidR="00000000" w:rsidDel="00000000" w:rsidP="00000000" w:rsidRDefault="00000000" w:rsidRPr="00000000" w14:paraId="0000019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Zopiclone related drug poisonings have risen by 4.3%, from 140 to 146 deaths between 2019 and 2020 (Office for National Statistics 2020). </w:t>
      </w:r>
    </w:p>
    <w:p w:rsidR="00000000" w:rsidDel="00000000" w:rsidP="00000000" w:rsidRDefault="00000000" w:rsidRPr="00000000" w14:paraId="00000192">
      <w:pPr>
        <w:spacing w:line="480" w:lineRule="auto"/>
        <w:jc w:val="both"/>
        <w:rPr>
          <w:sz w:val="22"/>
          <w:szCs w:val="22"/>
        </w:rPr>
      </w:pPr>
      <w:r w:rsidDel="00000000" w:rsidR="00000000" w:rsidRPr="00000000">
        <w:rPr>
          <w:rtl w:val="0"/>
        </w:rPr>
      </w:r>
    </w:p>
    <w:p w:rsidR="00000000" w:rsidDel="00000000" w:rsidP="00000000" w:rsidRDefault="00000000" w:rsidRPr="00000000" w14:paraId="00000193">
      <w:pPr>
        <w:spacing w:line="480" w:lineRule="auto"/>
        <w:jc w:val="both"/>
        <w:rPr>
          <w:sz w:val="22"/>
          <w:szCs w:val="22"/>
        </w:rPr>
      </w:pPr>
      <w:r w:rsidDel="00000000" w:rsidR="00000000" w:rsidRPr="00000000">
        <w:rPr>
          <w:sz w:val="22"/>
          <w:szCs w:val="22"/>
          <w:rtl w:val="0"/>
        </w:rPr>
        <w:t xml:space="preserve">Typically, drug poisoning deaths reported by the Office for National Statistics include prescription and over the counter medicines (Office for National Statistics 2020, p.22). The Office for National Statistics report several factors that increase the individual’s risk of fatal drug poisoning, or overdose, such as:</w:t>
      </w:r>
    </w:p>
    <w:p w:rsidR="00000000" w:rsidDel="00000000" w:rsidP="00000000" w:rsidRDefault="00000000" w:rsidRPr="00000000" w14:paraId="00000194">
      <w:pPr>
        <w:spacing w:line="480" w:lineRule="auto"/>
        <w:jc w:val="both"/>
        <w:rPr>
          <w:sz w:val="22"/>
          <w:szCs w:val="22"/>
        </w:rPr>
      </w:pPr>
      <w:r w:rsidDel="00000000" w:rsidR="00000000" w:rsidRPr="00000000">
        <w:rPr>
          <w:rtl w:val="0"/>
        </w:rPr>
      </w:r>
    </w:p>
    <w:p w:rsidR="00000000" w:rsidDel="00000000" w:rsidP="00000000" w:rsidRDefault="00000000" w:rsidRPr="00000000" w14:paraId="0000019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Those who are single, divorced, or living alone</w:t>
      </w:r>
    </w:p>
    <w:p w:rsidR="00000000" w:rsidDel="00000000" w:rsidP="00000000" w:rsidRDefault="00000000" w:rsidRPr="00000000" w14:paraId="0000019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Unemployed or low income</w:t>
      </w:r>
    </w:p>
    <w:p w:rsidR="00000000" w:rsidDel="00000000" w:rsidP="00000000" w:rsidRDefault="00000000" w:rsidRPr="00000000" w14:paraId="0000019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White ethnic origin </w:t>
      </w:r>
    </w:p>
    <w:p w:rsidR="00000000" w:rsidDel="00000000" w:rsidP="00000000" w:rsidRDefault="00000000" w:rsidRPr="00000000" w14:paraId="0000019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Male</w:t>
      </w:r>
    </w:p>
    <w:p w:rsidR="00000000" w:rsidDel="00000000" w:rsidP="00000000" w:rsidRDefault="00000000" w:rsidRPr="00000000" w14:paraId="0000019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Those who have experienced a prior history of mental health difficulties</w:t>
      </w:r>
    </w:p>
    <w:p w:rsidR="00000000" w:rsidDel="00000000" w:rsidP="00000000" w:rsidRDefault="00000000" w:rsidRPr="00000000" w14:paraId="0000019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Those with a history of substance use and misuse </w:t>
      </w:r>
    </w:p>
    <w:p w:rsidR="00000000" w:rsidDel="00000000" w:rsidP="00000000" w:rsidRDefault="00000000" w:rsidRPr="00000000" w14:paraId="0000019B">
      <w:pPr>
        <w:spacing w:line="480" w:lineRule="auto"/>
        <w:jc w:val="right"/>
        <w:rPr>
          <w:sz w:val="22"/>
          <w:szCs w:val="22"/>
        </w:rPr>
      </w:pPr>
      <w:r w:rsidDel="00000000" w:rsidR="00000000" w:rsidRPr="00000000">
        <w:rPr>
          <w:sz w:val="22"/>
          <w:szCs w:val="22"/>
          <w:rtl w:val="0"/>
        </w:rPr>
        <w:t xml:space="preserve">(Office for National Statistics 2018)</w:t>
      </w:r>
    </w:p>
    <w:p w:rsidR="00000000" w:rsidDel="00000000" w:rsidP="00000000" w:rsidRDefault="00000000" w:rsidRPr="00000000" w14:paraId="0000019C">
      <w:pPr>
        <w:spacing w:line="480" w:lineRule="auto"/>
        <w:jc w:val="right"/>
        <w:rPr>
          <w:sz w:val="22"/>
          <w:szCs w:val="22"/>
        </w:rPr>
      </w:pPr>
      <w:r w:rsidDel="00000000" w:rsidR="00000000" w:rsidRPr="00000000">
        <w:rPr>
          <w:rtl w:val="0"/>
        </w:rPr>
      </w:r>
    </w:p>
    <w:p w:rsidR="00000000" w:rsidDel="00000000" w:rsidP="00000000" w:rsidRDefault="00000000" w:rsidRPr="00000000" w14:paraId="0000019D">
      <w:pPr>
        <w:spacing w:line="480" w:lineRule="auto"/>
        <w:jc w:val="both"/>
        <w:rPr>
          <w:sz w:val="22"/>
          <w:szCs w:val="22"/>
        </w:rPr>
      </w:pPr>
      <w:r w:rsidDel="00000000" w:rsidR="00000000" w:rsidRPr="00000000">
        <w:rPr>
          <w:sz w:val="22"/>
          <w:szCs w:val="22"/>
          <w:rtl w:val="0"/>
        </w:rPr>
        <w:t xml:space="preserve">There are some methodological difficulties when measuring deaths relating to prescription drug related deaths (Slavova et al 2019). The quantification of these deaths are only as accurate as the death certificates produced per individual, and many deaths reported are a result of physiological injury. One example of this is the case of a female who self-administered their prescribed diazepam and lorazepam whilst in hospital, which resulted in a hypoxic brain injury, proving fatal (Courts and Tribunals Judiciary 2022). </w:t>
      </w:r>
    </w:p>
    <w:p w:rsidR="00000000" w:rsidDel="00000000" w:rsidP="00000000" w:rsidRDefault="00000000" w:rsidRPr="00000000" w14:paraId="0000019E">
      <w:pPr>
        <w:spacing w:line="480" w:lineRule="auto"/>
        <w:jc w:val="both"/>
        <w:rPr>
          <w:sz w:val="22"/>
          <w:szCs w:val="22"/>
        </w:rPr>
      </w:pPr>
      <w:r w:rsidDel="00000000" w:rsidR="00000000" w:rsidRPr="00000000">
        <w:rPr>
          <w:rtl w:val="0"/>
        </w:rPr>
      </w:r>
    </w:p>
    <w:p w:rsidR="00000000" w:rsidDel="00000000" w:rsidP="00000000" w:rsidRDefault="00000000" w:rsidRPr="00000000" w14:paraId="0000019F">
      <w:pPr>
        <w:spacing w:line="480" w:lineRule="auto"/>
        <w:jc w:val="both"/>
        <w:rPr>
          <w:sz w:val="22"/>
          <w:szCs w:val="22"/>
        </w:rPr>
      </w:pPr>
      <w:r w:rsidDel="00000000" w:rsidR="00000000" w:rsidRPr="00000000">
        <w:rPr>
          <w:sz w:val="22"/>
          <w:szCs w:val="22"/>
          <w:rtl w:val="0"/>
        </w:rPr>
        <w:t xml:space="preserve">Much of the official reporting pertaining to fatal overdose of medicines are measured when they are used in combination with illicit drugs, such as cocaine (Office for National Statistics 2021), or when alcohol has been consumed against medical advice. In the United Kingdom, drug related deaths can only be considered a drug related death when the death is a result of the consumption of a substance regulated by the Misuse of Drugs Act (1971), or when the death is a result of confirmable drug abuse (Office for National Statistics 2021). Illicit use of these substances are not within the scope of this research, nor is the abuse and misuse of these medicines. Therefore, it is difficult to measure the number of deaths relating to the licit use of the therapeutic groups.</w:t>
      </w:r>
    </w:p>
    <w:p w:rsidR="00000000" w:rsidDel="00000000" w:rsidP="00000000" w:rsidRDefault="00000000" w:rsidRPr="00000000" w14:paraId="000001A0">
      <w:pPr>
        <w:spacing w:line="480" w:lineRule="auto"/>
        <w:jc w:val="both"/>
        <w:rPr>
          <w:sz w:val="22"/>
          <w:szCs w:val="22"/>
        </w:rPr>
      </w:pPr>
      <w:r w:rsidDel="00000000" w:rsidR="00000000" w:rsidRPr="00000000">
        <w:rPr>
          <w:rtl w:val="0"/>
        </w:rPr>
      </w:r>
    </w:p>
    <w:p w:rsidR="00000000" w:rsidDel="00000000" w:rsidP="00000000" w:rsidRDefault="00000000" w:rsidRPr="00000000" w14:paraId="000001A1">
      <w:pPr>
        <w:pStyle w:val="Heading3"/>
        <w:spacing w:line="480" w:lineRule="auto"/>
        <w:rPr/>
      </w:pPr>
      <w:bookmarkStart w:colFirst="0" w:colLast="0" w:name="_heading=h.z337ya" w:id="19"/>
      <w:bookmarkEnd w:id="19"/>
      <w:r w:rsidDel="00000000" w:rsidR="00000000" w:rsidRPr="00000000">
        <w:rPr>
          <w:rtl w:val="0"/>
        </w:rPr>
        <w:t xml:space="preserve">Implications of the COVID-19 Pandemic</w:t>
      </w:r>
    </w:p>
    <w:p w:rsidR="00000000" w:rsidDel="00000000" w:rsidP="00000000" w:rsidRDefault="00000000" w:rsidRPr="00000000" w14:paraId="000001A2">
      <w:pPr>
        <w:spacing w:line="480" w:lineRule="auto"/>
        <w:jc w:val="both"/>
        <w:rPr>
          <w:sz w:val="22"/>
          <w:szCs w:val="22"/>
        </w:rPr>
      </w:pPr>
      <w:r w:rsidDel="00000000" w:rsidR="00000000" w:rsidRPr="00000000">
        <w:rPr>
          <w:sz w:val="22"/>
          <w:szCs w:val="22"/>
          <w:rtl w:val="0"/>
        </w:rPr>
        <w:t xml:space="preserve">The COVID-19 pandemic and the subsequent measures implemented, have had huge implications on the mental wellbeing of the global population; through fear, uncertainty, isolation, and loneliness (Galea et al 2020, Gunell et al 2020, Al Dhalaheri et al 2021). Restrictions governments placed, such as “</w:t>
      </w:r>
      <w:r w:rsidDel="00000000" w:rsidR="00000000" w:rsidRPr="00000000">
        <w:rPr>
          <w:i w:val="1"/>
          <w:sz w:val="22"/>
          <w:szCs w:val="22"/>
          <w:rtl w:val="0"/>
        </w:rPr>
        <w:t xml:space="preserve">lockdowns</w:t>
      </w:r>
      <w:r w:rsidDel="00000000" w:rsidR="00000000" w:rsidRPr="00000000">
        <w:rPr>
          <w:sz w:val="22"/>
          <w:szCs w:val="22"/>
          <w:rtl w:val="0"/>
        </w:rPr>
        <w:t xml:space="preserve">” and suspension of non-essential services (Johnson 2020), have undoubtedly mitigated the harms caused by the COVID-19 pandemic. People who use drugs and those who rely heavily on health and social care services were found to have been disproportionally affected by these restrictions (Russell et al 2021). Those with a substance use disorder and mental health difficulty are often overlooked during such crises (Drug Enforcement Agency 2020, European Monitoring Centre for Drug and Drug Addiction 2020).</w:t>
      </w:r>
    </w:p>
    <w:p w:rsidR="00000000" w:rsidDel="00000000" w:rsidP="00000000" w:rsidRDefault="00000000" w:rsidRPr="00000000" w14:paraId="000001A3">
      <w:pPr>
        <w:spacing w:line="480" w:lineRule="auto"/>
        <w:jc w:val="both"/>
        <w:rPr>
          <w:sz w:val="22"/>
          <w:szCs w:val="22"/>
        </w:rPr>
      </w:pPr>
      <w:r w:rsidDel="00000000" w:rsidR="00000000" w:rsidRPr="00000000">
        <w:rPr>
          <w:rtl w:val="0"/>
        </w:rPr>
      </w:r>
    </w:p>
    <w:p w:rsidR="00000000" w:rsidDel="00000000" w:rsidP="00000000" w:rsidRDefault="00000000" w:rsidRPr="00000000" w14:paraId="000001A4">
      <w:pPr>
        <w:spacing w:line="480" w:lineRule="auto"/>
        <w:jc w:val="both"/>
        <w:rPr>
          <w:sz w:val="22"/>
          <w:szCs w:val="22"/>
        </w:rPr>
      </w:pPr>
      <w:r w:rsidDel="00000000" w:rsidR="00000000" w:rsidRPr="00000000">
        <w:rPr>
          <w:sz w:val="22"/>
          <w:szCs w:val="22"/>
          <w:rtl w:val="0"/>
        </w:rPr>
        <w:t xml:space="preserve">Prescription medicines can “</w:t>
      </w:r>
      <w:r w:rsidDel="00000000" w:rsidR="00000000" w:rsidRPr="00000000">
        <w:rPr>
          <w:i w:val="1"/>
          <w:sz w:val="22"/>
          <w:szCs w:val="22"/>
          <w:rtl w:val="0"/>
        </w:rPr>
        <w:t xml:space="preserve">harm as well as heal” </w:t>
      </w:r>
      <w:r w:rsidDel="00000000" w:rsidR="00000000" w:rsidRPr="00000000">
        <w:rPr>
          <w:sz w:val="22"/>
          <w:szCs w:val="22"/>
          <w:rtl w:val="0"/>
        </w:rPr>
        <w:t xml:space="preserve">(Nazarko 2018), therefore should be reviewed regularly). Medication reviews are imperative in primary care, to prevent adverse reactions, improve the patients’ medical condition, and to reduce the usage of medicines (Burton Sheppard 2018). Due to COVID-19, General Practitioners in the UK were authorised to stop or postpone routine work, such as routine medication reviews (Rimmer 2020). As a result, electronic prescriptions have been utilised during the pandemic, to support the reduction in footfall within General Practice surgeries, and to control the management of medicine supply chains where medicines are temporarily unavailable (NHS Business Services Authority 2020). One in ten electronic prescriptions, however, include a medication error, with a third of these errors considered potentially harmful (Nanji et al 2011). With the reduction of patient contact with GPs, these errors could go unnoticed until the patient receives their prescription, and will take some time to correct, meaning the patient may go without medication for longer than necessary.</w:t>
      </w:r>
    </w:p>
    <w:p w:rsidR="00000000" w:rsidDel="00000000" w:rsidP="00000000" w:rsidRDefault="00000000" w:rsidRPr="00000000" w14:paraId="000001A5">
      <w:pPr>
        <w:spacing w:line="480" w:lineRule="auto"/>
        <w:jc w:val="both"/>
        <w:rPr>
          <w:sz w:val="22"/>
          <w:szCs w:val="22"/>
        </w:rPr>
      </w:pPr>
      <w:r w:rsidDel="00000000" w:rsidR="00000000" w:rsidRPr="00000000">
        <w:rPr>
          <w:rtl w:val="0"/>
        </w:rPr>
      </w:r>
    </w:p>
    <w:p w:rsidR="00000000" w:rsidDel="00000000" w:rsidP="00000000" w:rsidRDefault="00000000" w:rsidRPr="00000000" w14:paraId="000001A6">
      <w:pPr>
        <w:spacing w:line="480" w:lineRule="auto"/>
        <w:jc w:val="both"/>
        <w:rPr>
          <w:sz w:val="22"/>
          <w:szCs w:val="22"/>
        </w:rPr>
      </w:pPr>
      <w:r w:rsidDel="00000000" w:rsidR="00000000" w:rsidRPr="00000000">
        <w:rPr>
          <w:sz w:val="22"/>
          <w:szCs w:val="22"/>
          <w:rtl w:val="0"/>
        </w:rPr>
        <w:t xml:space="preserve">Unfortunately, the COVID-19 pandemic led to an increase and ease of access in “</w:t>
      </w:r>
      <w:r w:rsidDel="00000000" w:rsidR="00000000" w:rsidRPr="00000000">
        <w:rPr>
          <w:i w:val="1"/>
          <w:sz w:val="22"/>
          <w:szCs w:val="22"/>
          <w:rtl w:val="0"/>
        </w:rPr>
        <w:t xml:space="preserve">rogue online pharmacies</w:t>
      </w:r>
      <w:r w:rsidDel="00000000" w:rsidR="00000000" w:rsidRPr="00000000">
        <w:rPr>
          <w:sz w:val="22"/>
          <w:szCs w:val="22"/>
          <w:rtl w:val="0"/>
        </w:rPr>
        <w:t xml:space="preserve">”</w:t>
      </w:r>
      <w:r w:rsidDel="00000000" w:rsidR="00000000" w:rsidRPr="00000000">
        <w:rPr>
          <w:i w:val="1"/>
          <w:sz w:val="22"/>
          <w:szCs w:val="22"/>
          <w:rtl w:val="0"/>
        </w:rPr>
        <w:t xml:space="preserve"> </w:t>
      </w:r>
      <w:r w:rsidDel="00000000" w:rsidR="00000000" w:rsidRPr="00000000">
        <w:rPr>
          <w:sz w:val="22"/>
          <w:szCs w:val="22"/>
          <w:rtl w:val="0"/>
        </w:rPr>
        <w:t xml:space="preserve">(Oriakhi et al 2024). These pose a risk to patient safety (Oriakhi et al 2024), despite the perception of some that these medicines are safe, compared to illicitly sourced and diverted prescribed medicines (Hillis et al 2023, p.5). Hertig et al (2021, p.1). According to Jairoun et al (2021, p.3), 31.2% of survey respondents report purchasing medication online due to the pandemic, particularly due to social restrictions and to mitigate the spread of COVID-19. Medication shortages due to the pandemic were also highlighted as a motivating factor for online pharmacy use (Almomani et al 2023, p.17). </w:t>
      </w:r>
    </w:p>
    <w:p w:rsidR="00000000" w:rsidDel="00000000" w:rsidP="00000000" w:rsidRDefault="00000000" w:rsidRPr="00000000" w14:paraId="000001A7">
      <w:pPr>
        <w:spacing w:line="480" w:lineRule="auto"/>
        <w:jc w:val="both"/>
        <w:rPr>
          <w:sz w:val="22"/>
          <w:szCs w:val="22"/>
        </w:rPr>
      </w:pPr>
      <w:r w:rsidDel="00000000" w:rsidR="00000000" w:rsidRPr="00000000">
        <w:rPr>
          <w:rtl w:val="0"/>
        </w:rPr>
      </w:r>
    </w:p>
    <w:p w:rsidR="00000000" w:rsidDel="00000000" w:rsidP="00000000" w:rsidRDefault="00000000" w:rsidRPr="00000000" w14:paraId="000001A8">
      <w:pPr>
        <w:spacing w:line="480" w:lineRule="auto"/>
        <w:jc w:val="both"/>
        <w:rPr>
          <w:sz w:val="22"/>
          <w:szCs w:val="22"/>
        </w:rPr>
      </w:pPr>
      <w:r w:rsidDel="00000000" w:rsidR="00000000" w:rsidRPr="00000000">
        <w:rPr>
          <w:sz w:val="22"/>
          <w:szCs w:val="22"/>
          <w:rtl w:val="0"/>
        </w:rPr>
        <w:t xml:space="preserve">Hertig et al (2021, p.1) found that 95% of online pharmacies are illegitimate, with 50% of medicines sold online were found to be illegitimate or “</w:t>
      </w:r>
      <w:r w:rsidDel="00000000" w:rsidR="00000000" w:rsidRPr="00000000">
        <w:rPr>
          <w:i w:val="1"/>
          <w:sz w:val="22"/>
          <w:szCs w:val="22"/>
          <w:rtl w:val="0"/>
        </w:rPr>
        <w:t xml:space="preserve">fake</w:t>
      </w:r>
      <w:r w:rsidDel="00000000" w:rsidR="00000000" w:rsidRPr="00000000">
        <w:rPr>
          <w:sz w:val="22"/>
          <w:szCs w:val="22"/>
          <w:rtl w:val="0"/>
        </w:rPr>
        <w:t xml:space="preserve">” (World Health Organisation 2020). Other medicines have been tested and have shown a large variance in the active component of the medication, with others found to have been adulterated with substances such as paint, heavy metals, and antifreeze (Partnership for Safe Medicines 2015). Oriakhi et al (2024, p.9) found that of the 116 “</w:t>
      </w:r>
      <w:r w:rsidDel="00000000" w:rsidR="00000000" w:rsidRPr="00000000">
        <w:rPr>
          <w:i w:val="1"/>
          <w:sz w:val="22"/>
          <w:szCs w:val="22"/>
          <w:rtl w:val="0"/>
        </w:rPr>
        <w:t xml:space="preserve">online pharmacies</w:t>
      </w:r>
      <w:r w:rsidDel="00000000" w:rsidR="00000000" w:rsidRPr="00000000">
        <w:rPr>
          <w:sz w:val="22"/>
          <w:szCs w:val="22"/>
          <w:rtl w:val="0"/>
        </w:rPr>
        <w:t xml:space="preserve">” investigated, 47% were confirmed as “</w:t>
      </w:r>
      <w:r w:rsidDel="00000000" w:rsidR="00000000" w:rsidRPr="00000000">
        <w:rPr>
          <w:i w:val="1"/>
          <w:sz w:val="22"/>
          <w:szCs w:val="22"/>
          <w:rtl w:val="0"/>
        </w:rPr>
        <w:t xml:space="preserve">rogue</w:t>
      </w:r>
      <w:r w:rsidDel="00000000" w:rsidR="00000000" w:rsidRPr="00000000">
        <w:rPr>
          <w:sz w:val="22"/>
          <w:szCs w:val="22"/>
          <w:rtl w:val="0"/>
        </w:rPr>
        <w:t xml:space="preserve">”, and of these pharmacies, 80.9% did not require a prescription for medications that are Prescription Medicines Only (POM), such as diazepam. Furthermore, only 47 of the 116 pharmacies were verified by the General Pharmaceutical Council (GPhC), the regulating body for pharmacy technicians and pharmacies (Oriakhi et al 2024 p.9, General Pharmaceutical Council 2024). The names of online pharmacies are often “</w:t>
      </w:r>
      <w:r w:rsidDel="00000000" w:rsidR="00000000" w:rsidRPr="00000000">
        <w:rPr>
          <w:i w:val="1"/>
          <w:sz w:val="22"/>
          <w:szCs w:val="22"/>
          <w:rtl w:val="0"/>
        </w:rPr>
        <w:t xml:space="preserve">misleading</w:t>
      </w:r>
      <w:r w:rsidDel="00000000" w:rsidR="00000000" w:rsidRPr="00000000">
        <w:rPr>
          <w:sz w:val="22"/>
          <w:szCs w:val="22"/>
          <w:rtl w:val="0"/>
        </w:rPr>
        <w:t xml:space="preserve">”, speculated to give the consumer the impression they are legitimate (Whitfield et al 2021, p.5). </w:t>
      </w:r>
    </w:p>
    <w:p w:rsidR="00000000" w:rsidDel="00000000" w:rsidP="00000000" w:rsidRDefault="00000000" w:rsidRPr="00000000" w14:paraId="000001A9">
      <w:pPr>
        <w:spacing w:line="480" w:lineRule="auto"/>
        <w:jc w:val="both"/>
        <w:rPr>
          <w:sz w:val="22"/>
          <w:szCs w:val="22"/>
        </w:rPr>
      </w:pPr>
      <w:r w:rsidDel="00000000" w:rsidR="00000000" w:rsidRPr="00000000">
        <w:rPr>
          <w:rtl w:val="0"/>
        </w:rPr>
      </w:r>
    </w:p>
    <w:p w:rsidR="00000000" w:rsidDel="00000000" w:rsidP="00000000" w:rsidRDefault="00000000" w:rsidRPr="00000000" w14:paraId="000001AA">
      <w:pPr>
        <w:pStyle w:val="Heading2"/>
        <w:numPr>
          <w:ilvl w:val="1"/>
          <w:numId w:val="25"/>
        </w:numPr>
        <w:spacing w:line="480" w:lineRule="auto"/>
        <w:ind w:left="0" w:firstLine="0"/>
        <w:rPr/>
      </w:pPr>
      <w:bookmarkStart w:colFirst="0" w:colLast="0" w:name="_heading=h.3j2qqm3" w:id="20"/>
      <w:bookmarkEnd w:id="20"/>
      <w:r w:rsidDel="00000000" w:rsidR="00000000" w:rsidRPr="00000000">
        <w:rPr>
          <w:rtl w:val="0"/>
        </w:rPr>
        <w:t xml:space="preserve">Outline of Thesis</w:t>
      </w:r>
    </w:p>
    <w:p w:rsidR="00000000" w:rsidDel="00000000" w:rsidP="00000000" w:rsidRDefault="00000000" w:rsidRPr="00000000" w14:paraId="000001AB">
      <w:pPr>
        <w:spacing w:line="480" w:lineRule="auto"/>
        <w:jc w:val="both"/>
        <w:rPr>
          <w:sz w:val="22"/>
          <w:szCs w:val="22"/>
        </w:rPr>
      </w:pPr>
      <w:r w:rsidDel="00000000" w:rsidR="00000000" w:rsidRPr="00000000">
        <w:rPr>
          <w:sz w:val="22"/>
          <w:szCs w:val="22"/>
          <w:rtl w:val="0"/>
        </w:rPr>
        <w:t xml:space="preserve">Before moving to the next chapter, an overview of the overall thesis will be provided, to help understand the scope of the research and how it will be presented. This initial </w:t>
      </w:r>
      <w:hyperlink w:anchor="_heading=h.3dy6vkm">
        <w:r w:rsidDel="00000000" w:rsidR="00000000" w:rsidRPr="00000000">
          <w:rPr>
            <w:color w:val="467886"/>
            <w:sz w:val="22"/>
            <w:szCs w:val="22"/>
            <w:u w:val="single"/>
            <w:rtl w:val="0"/>
          </w:rPr>
          <w:t xml:space="preserve">Chapter One</w:t>
        </w:r>
      </w:hyperlink>
      <w:r w:rsidDel="00000000" w:rsidR="00000000" w:rsidRPr="00000000">
        <w:rPr>
          <w:sz w:val="22"/>
          <w:szCs w:val="22"/>
          <w:rtl w:val="0"/>
        </w:rPr>
        <w:t xml:space="preserve"> (p. 12) has provided key background to the topic and proposed research; it has introduced the concept of prescribed drug dependence as well as other related terms. It also presented the aims and objectives of the study before providing an overview of the five main therapeutic groups associated with dependence to medicines and given orientating detail about their respective prescribing trends, and associated harms.</w:t>
      </w:r>
    </w:p>
    <w:p w:rsidR="00000000" w:rsidDel="00000000" w:rsidP="00000000" w:rsidRDefault="00000000" w:rsidRPr="00000000" w14:paraId="000001AC">
      <w:pPr>
        <w:spacing w:line="480" w:lineRule="auto"/>
        <w:jc w:val="both"/>
        <w:rPr>
          <w:sz w:val="22"/>
          <w:szCs w:val="22"/>
        </w:rPr>
      </w:pPr>
      <w:r w:rsidDel="00000000" w:rsidR="00000000" w:rsidRPr="00000000">
        <w:rPr>
          <w:rtl w:val="0"/>
        </w:rPr>
      </w:r>
    </w:p>
    <w:p w:rsidR="00000000" w:rsidDel="00000000" w:rsidP="00000000" w:rsidRDefault="00000000" w:rsidRPr="00000000" w14:paraId="000001AD">
      <w:pPr>
        <w:spacing w:line="480" w:lineRule="auto"/>
        <w:jc w:val="both"/>
        <w:rPr>
          <w:sz w:val="22"/>
          <w:szCs w:val="22"/>
        </w:rPr>
      </w:pPr>
      <w:hyperlink w:anchor="_heading=h.1y810tw">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33) engages a debate around the literature pertaining to drug use, showing the evolution from historic perceptions of volatility to the brain disease model to addiction. It will also provide an overview of the sick role and stigma, and their importance within this research. The implications of these theories will be contextualised with the research aims and objectives. </w:t>
      </w:r>
    </w:p>
    <w:p w:rsidR="00000000" w:rsidDel="00000000" w:rsidP="00000000" w:rsidRDefault="00000000" w:rsidRPr="00000000" w14:paraId="000001AE">
      <w:pPr>
        <w:spacing w:line="480" w:lineRule="auto"/>
        <w:jc w:val="both"/>
        <w:rPr>
          <w:sz w:val="22"/>
          <w:szCs w:val="22"/>
        </w:rPr>
      </w:pPr>
      <w:r w:rsidDel="00000000" w:rsidR="00000000" w:rsidRPr="00000000">
        <w:rPr>
          <w:rtl w:val="0"/>
        </w:rPr>
      </w:r>
    </w:p>
    <w:p w:rsidR="00000000" w:rsidDel="00000000" w:rsidP="00000000" w:rsidRDefault="00000000" w:rsidRPr="00000000" w14:paraId="000001AF">
      <w:pPr>
        <w:spacing w:line="480" w:lineRule="auto"/>
        <w:jc w:val="both"/>
        <w:rPr>
          <w:sz w:val="22"/>
          <w:szCs w:val="22"/>
        </w:rPr>
      </w:pPr>
      <w:hyperlink w:anchor="_heading=h.2p2csry">
        <w:r w:rsidDel="00000000" w:rsidR="00000000" w:rsidRPr="00000000">
          <w:rPr>
            <w:color w:val="467886"/>
            <w:sz w:val="22"/>
            <w:szCs w:val="22"/>
            <w:u w:val="single"/>
            <w:rtl w:val="0"/>
          </w:rPr>
          <w:t xml:space="preserve">Chapter Three</w:t>
        </w:r>
      </w:hyperlink>
      <w:r w:rsidDel="00000000" w:rsidR="00000000" w:rsidRPr="00000000">
        <w:rPr>
          <w:sz w:val="22"/>
          <w:szCs w:val="22"/>
          <w:rtl w:val="0"/>
        </w:rPr>
        <w:t xml:space="preserve"> (p. 60) presents the existing literature exploring prescribed drug dependence and associated withdrawal symptoms associated with the aforementioned therapeutic groups. This is using a narrative review methodology, analysed using Thematic Analysis (Braun and Clarke 2006). The themes resulting from the literature search will be presented in turn, before identifying key areas of concern.  It will be shown that patients utilise a “</w:t>
      </w:r>
      <w:r w:rsidDel="00000000" w:rsidR="00000000" w:rsidRPr="00000000">
        <w:rPr>
          <w:i w:val="1"/>
          <w:sz w:val="22"/>
          <w:szCs w:val="22"/>
          <w:rtl w:val="0"/>
        </w:rPr>
        <w:t xml:space="preserve">risk versus benefit</w:t>
      </w:r>
      <w:r w:rsidDel="00000000" w:rsidR="00000000" w:rsidRPr="00000000">
        <w:rPr>
          <w:sz w:val="22"/>
          <w:szCs w:val="22"/>
          <w:rtl w:val="0"/>
        </w:rPr>
        <w:t xml:space="preserve">” approach to medicines, further assessing the impact of the patient-practitioner relationship. It will also present the withdrawal symptoms associated with these medicines, and the experiences of this patient group. </w:t>
      </w:r>
    </w:p>
    <w:p w:rsidR="00000000" w:rsidDel="00000000" w:rsidP="00000000" w:rsidRDefault="00000000" w:rsidRPr="00000000" w14:paraId="000001B0">
      <w:pPr>
        <w:spacing w:line="480" w:lineRule="auto"/>
        <w:jc w:val="both"/>
        <w:rPr>
          <w:sz w:val="22"/>
          <w:szCs w:val="22"/>
        </w:rPr>
      </w:pPr>
      <w:r w:rsidDel="00000000" w:rsidR="00000000" w:rsidRPr="00000000">
        <w:rPr>
          <w:rtl w:val="0"/>
        </w:rPr>
      </w:r>
    </w:p>
    <w:p w:rsidR="00000000" w:rsidDel="00000000" w:rsidP="00000000" w:rsidRDefault="00000000" w:rsidRPr="00000000" w14:paraId="000001B1">
      <w:pPr>
        <w:spacing w:line="480" w:lineRule="auto"/>
        <w:jc w:val="both"/>
        <w:rPr>
          <w:sz w:val="22"/>
          <w:szCs w:val="22"/>
        </w:rPr>
      </w:pPr>
      <w:hyperlink w:anchor="_heading=h.4k668n3">
        <w:r w:rsidDel="00000000" w:rsidR="00000000" w:rsidRPr="00000000">
          <w:rPr>
            <w:color w:val="467886"/>
            <w:sz w:val="22"/>
            <w:szCs w:val="22"/>
            <w:u w:val="single"/>
            <w:rtl w:val="0"/>
          </w:rPr>
          <w:t xml:space="preserve">Chapter Four</w:t>
        </w:r>
      </w:hyperlink>
      <w:r w:rsidDel="00000000" w:rsidR="00000000" w:rsidRPr="00000000">
        <w:rPr>
          <w:sz w:val="22"/>
          <w:szCs w:val="22"/>
          <w:rtl w:val="0"/>
        </w:rPr>
        <w:t xml:space="preserve"> (p. 100) outlines and justifies the chosen methodology and its application in this research. It will describe the data collection approach of semi-structured interviews, before describing Braun and Clarke’s Thematic Analysis (2006). It will also justify the use of these methodologies, before presenting the challenges faced throughout the research process. The findings of this research will be presented across two chapters.</w:t>
      </w:r>
    </w:p>
    <w:p w:rsidR="00000000" w:rsidDel="00000000" w:rsidP="00000000" w:rsidRDefault="00000000" w:rsidRPr="00000000" w14:paraId="000001B2">
      <w:pPr>
        <w:spacing w:line="480" w:lineRule="auto"/>
        <w:jc w:val="both"/>
        <w:rPr>
          <w:sz w:val="22"/>
          <w:szCs w:val="22"/>
        </w:rPr>
      </w:pPr>
      <w:r w:rsidDel="00000000" w:rsidR="00000000" w:rsidRPr="00000000">
        <w:rPr>
          <w:rtl w:val="0"/>
        </w:rPr>
      </w:r>
    </w:p>
    <w:p w:rsidR="00000000" w:rsidDel="00000000" w:rsidP="00000000" w:rsidRDefault="00000000" w:rsidRPr="00000000" w14:paraId="000001B3">
      <w:pPr>
        <w:spacing w:line="480" w:lineRule="auto"/>
        <w:jc w:val="both"/>
        <w:rPr>
          <w:sz w:val="22"/>
          <w:szCs w:val="22"/>
        </w:rPr>
      </w:pPr>
      <w:hyperlink w:anchor="_heading=h.3vac5uf">
        <w:r w:rsidDel="00000000" w:rsidR="00000000" w:rsidRPr="00000000">
          <w:rPr>
            <w:color w:val="467886"/>
            <w:sz w:val="22"/>
            <w:szCs w:val="22"/>
            <w:u w:val="single"/>
            <w:rtl w:val="0"/>
          </w:rPr>
          <w:t xml:space="preserve">Chapter Five</w:t>
        </w:r>
      </w:hyperlink>
      <w:r w:rsidDel="00000000" w:rsidR="00000000" w:rsidRPr="00000000">
        <w:rPr>
          <w:sz w:val="22"/>
          <w:szCs w:val="22"/>
          <w:rtl w:val="0"/>
        </w:rPr>
        <w:t xml:space="preserve"> (p. 132) will present the first main findings of this qualitative research. It will explore the theme of Acceptance and Evaluation of Medicines. It will describe how participants navigated the process of both initially accepting and then continuously evaluating their use of prescribed medicines. </w:t>
      </w:r>
    </w:p>
    <w:p w:rsidR="00000000" w:rsidDel="00000000" w:rsidP="00000000" w:rsidRDefault="00000000" w:rsidRPr="00000000" w14:paraId="000001B4">
      <w:pPr>
        <w:spacing w:line="480" w:lineRule="auto"/>
        <w:jc w:val="both"/>
        <w:rPr>
          <w:sz w:val="22"/>
          <w:szCs w:val="22"/>
        </w:rPr>
      </w:pPr>
      <w:r w:rsidDel="00000000" w:rsidR="00000000" w:rsidRPr="00000000">
        <w:rPr>
          <w:rtl w:val="0"/>
        </w:rPr>
      </w:r>
    </w:p>
    <w:p w:rsidR="00000000" w:rsidDel="00000000" w:rsidP="00000000" w:rsidRDefault="00000000" w:rsidRPr="00000000" w14:paraId="000001B5">
      <w:pPr>
        <w:spacing w:line="480" w:lineRule="auto"/>
        <w:jc w:val="both"/>
        <w:rPr>
          <w:sz w:val="22"/>
          <w:szCs w:val="22"/>
        </w:rPr>
      </w:pPr>
      <w:r w:rsidDel="00000000" w:rsidR="00000000" w:rsidRPr="00000000">
        <w:rPr>
          <w:sz w:val="22"/>
          <w:szCs w:val="22"/>
          <w:rtl w:val="0"/>
        </w:rPr>
        <w:t xml:space="preserve">The second findings chapter - </w:t>
      </w:r>
      <w:hyperlink w:anchor="_heading=h.upglbi">
        <w:r w:rsidDel="00000000" w:rsidR="00000000" w:rsidRPr="00000000">
          <w:rPr>
            <w:color w:val="467886"/>
            <w:sz w:val="22"/>
            <w:szCs w:val="22"/>
            <w:u w:val="single"/>
            <w:rtl w:val="0"/>
          </w:rPr>
          <w:t xml:space="preserve">Chapter Six</w:t>
        </w:r>
      </w:hyperlink>
      <w:r w:rsidDel="00000000" w:rsidR="00000000" w:rsidRPr="00000000">
        <w:rPr>
          <w:sz w:val="22"/>
          <w:szCs w:val="22"/>
          <w:rtl w:val="0"/>
        </w:rPr>
        <w:t xml:space="preserve"> (p. 163) -will explore the second main theme relating to the Medication Trap. It will be shown how participants described feeling trapped in their medication use, either by the symptoms they experienced, or the behaviours exhibited by their practitioners. The way in which participants describe escaping this trap will also be presented. </w:t>
      </w:r>
    </w:p>
    <w:p w:rsidR="00000000" w:rsidDel="00000000" w:rsidP="00000000" w:rsidRDefault="00000000" w:rsidRPr="00000000" w14:paraId="000001B6">
      <w:pPr>
        <w:spacing w:line="480" w:lineRule="auto"/>
        <w:jc w:val="both"/>
        <w:rPr>
          <w:sz w:val="22"/>
          <w:szCs w:val="22"/>
        </w:rPr>
      </w:pPr>
      <w:r w:rsidDel="00000000" w:rsidR="00000000" w:rsidRPr="00000000">
        <w:rPr>
          <w:rtl w:val="0"/>
        </w:rPr>
      </w:r>
    </w:p>
    <w:p w:rsidR="00000000" w:rsidDel="00000000" w:rsidP="00000000" w:rsidRDefault="00000000" w:rsidRPr="00000000" w14:paraId="000001B7">
      <w:pPr>
        <w:spacing w:line="480" w:lineRule="auto"/>
        <w:jc w:val="both"/>
        <w:rPr>
          <w:sz w:val="22"/>
          <w:szCs w:val="22"/>
        </w:rPr>
      </w:pPr>
      <w:r w:rsidDel="00000000" w:rsidR="00000000" w:rsidRPr="00000000">
        <w:rPr>
          <w:sz w:val="22"/>
          <w:szCs w:val="22"/>
          <w:rtl w:val="0"/>
        </w:rPr>
        <w:t xml:space="preserve">The final chapter, </w:t>
      </w:r>
      <w:hyperlink w:anchor="_heading=h.3jtnz0s">
        <w:r w:rsidDel="00000000" w:rsidR="00000000" w:rsidRPr="00000000">
          <w:rPr>
            <w:color w:val="467886"/>
            <w:sz w:val="22"/>
            <w:szCs w:val="22"/>
            <w:u w:val="single"/>
            <w:rtl w:val="0"/>
          </w:rPr>
          <w:t xml:space="preserve">Chapter Seven</w:t>
        </w:r>
      </w:hyperlink>
      <w:r w:rsidDel="00000000" w:rsidR="00000000" w:rsidRPr="00000000">
        <w:rPr>
          <w:sz w:val="22"/>
          <w:szCs w:val="22"/>
          <w:rtl w:val="0"/>
        </w:rPr>
        <w:t xml:space="preserve"> (p. 197) will discuss the findings, and form conclusions. It will be shown that participants experiences are complex and multifaceted, resulting from a combination of personal beliefs surrounding medicines, communication with healthcare and perceived benefits of medicines. This chapter will encapsulate the findings of this research, and key insights from the data analysis. The exploration of these experiences raised five key issues that have implications for this patient group, such as informed consent and information sharing, the specific roles of the practitioner (such as perceived knowledge and understanding, and prescribing practices), the perceived limitations of secondary care and lay knowledge gained through their treatment. It will then present the implications of this research and provides practical recommendations. These include pilot schemes to improve training for medical professionals who work with this patient group, to enable them to better identify at risk patients, whilst further research is needed to explore the experiences of those using gabapentinoids.</w:t>
      </w:r>
    </w:p>
    <w:p w:rsidR="00000000" w:rsidDel="00000000" w:rsidP="00000000" w:rsidRDefault="00000000" w:rsidRPr="00000000" w14:paraId="000001B8">
      <w:pPr>
        <w:spacing w:line="480" w:lineRule="auto"/>
        <w:jc w:val="both"/>
        <w:rPr>
          <w:sz w:val="22"/>
          <w:szCs w:val="22"/>
        </w:rPr>
      </w:pPr>
      <w:r w:rsidDel="00000000" w:rsidR="00000000" w:rsidRPr="00000000">
        <w:rPr>
          <w:rtl w:val="0"/>
        </w:rPr>
      </w:r>
    </w:p>
    <w:p w:rsidR="00000000" w:rsidDel="00000000" w:rsidP="00000000" w:rsidRDefault="00000000" w:rsidRPr="00000000" w14:paraId="000001B9">
      <w:pPr>
        <w:spacing w:line="480" w:lineRule="auto"/>
        <w:jc w:val="both"/>
        <w:rPr>
          <w:sz w:val="22"/>
          <w:szCs w:val="22"/>
        </w:rPr>
      </w:pPr>
      <w:r w:rsidDel="00000000" w:rsidR="00000000" w:rsidRPr="00000000">
        <w:rPr>
          <w:rtl w:val="0"/>
        </w:rPr>
      </w:r>
    </w:p>
    <w:p w:rsidR="00000000" w:rsidDel="00000000" w:rsidP="00000000" w:rsidRDefault="00000000" w:rsidRPr="00000000" w14:paraId="000001BA">
      <w:pPr>
        <w:spacing w:line="480" w:lineRule="auto"/>
        <w:jc w:val="both"/>
        <w:rPr>
          <w:sz w:val="22"/>
          <w:szCs w:val="22"/>
        </w:rPr>
      </w:pPr>
      <w:r w:rsidDel="00000000" w:rsidR="00000000" w:rsidRPr="00000000">
        <w:rPr>
          <w:rtl w:val="0"/>
        </w:rPr>
      </w:r>
    </w:p>
    <w:p w:rsidR="00000000" w:rsidDel="00000000" w:rsidP="00000000" w:rsidRDefault="00000000" w:rsidRPr="00000000" w14:paraId="000001BB">
      <w:pPr>
        <w:spacing w:line="480" w:lineRule="auto"/>
        <w:jc w:val="both"/>
        <w:rPr>
          <w:sz w:val="22"/>
          <w:szCs w:val="22"/>
        </w:rPr>
      </w:pPr>
      <w:r w:rsidDel="00000000" w:rsidR="00000000" w:rsidRPr="00000000">
        <w:rPr>
          <w:rtl w:val="0"/>
        </w:rPr>
      </w:r>
    </w:p>
    <w:p w:rsidR="00000000" w:rsidDel="00000000" w:rsidP="00000000" w:rsidRDefault="00000000" w:rsidRPr="00000000" w14:paraId="000001BC">
      <w:pPr>
        <w:spacing w:line="480" w:lineRule="auto"/>
        <w:jc w:val="both"/>
        <w:rPr>
          <w:sz w:val="22"/>
          <w:szCs w:val="22"/>
        </w:rPr>
      </w:pPr>
      <w:r w:rsidDel="00000000" w:rsidR="00000000" w:rsidRPr="00000000">
        <w:rPr>
          <w:rtl w:val="0"/>
        </w:rPr>
      </w:r>
    </w:p>
    <w:p w:rsidR="00000000" w:rsidDel="00000000" w:rsidP="00000000" w:rsidRDefault="00000000" w:rsidRPr="00000000" w14:paraId="000001BD">
      <w:pPr>
        <w:spacing w:line="480" w:lineRule="auto"/>
        <w:jc w:val="both"/>
        <w:rPr>
          <w:sz w:val="22"/>
          <w:szCs w:val="22"/>
        </w:rPr>
      </w:pPr>
      <w:r w:rsidDel="00000000" w:rsidR="00000000" w:rsidRPr="00000000">
        <w:rPr>
          <w:rtl w:val="0"/>
        </w:rPr>
      </w:r>
    </w:p>
    <w:p w:rsidR="00000000" w:rsidDel="00000000" w:rsidP="00000000" w:rsidRDefault="00000000" w:rsidRPr="00000000" w14:paraId="000001BE">
      <w:pPr>
        <w:spacing w:line="480" w:lineRule="auto"/>
        <w:jc w:val="both"/>
        <w:rPr>
          <w:sz w:val="22"/>
          <w:szCs w:val="22"/>
        </w:rPr>
      </w:pPr>
      <w:r w:rsidDel="00000000" w:rsidR="00000000" w:rsidRPr="00000000">
        <w:rPr>
          <w:rtl w:val="0"/>
        </w:rPr>
      </w:r>
    </w:p>
    <w:p w:rsidR="00000000" w:rsidDel="00000000" w:rsidP="00000000" w:rsidRDefault="00000000" w:rsidRPr="00000000" w14:paraId="000001BF">
      <w:pPr>
        <w:spacing w:line="480" w:lineRule="auto"/>
        <w:jc w:val="both"/>
        <w:rPr>
          <w:sz w:val="22"/>
          <w:szCs w:val="22"/>
        </w:rPr>
      </w:pPr>
      <w:r w:rsidDel="00000000" w:rsidR="00000000" w:rsidRPr="00000000">
        <w:rPr>
          <w:rtl w:val="0"/>
        </w:rPr>
      </w:r>
    </w:p>
    <w:p w:rsidR="00000000" w:rsidDel="00000000" w:rsidP="00000000" w:rsidRDefault="00000000" w:rsidRPr="00000000" w14:paraId="000001C0">
      <w:pPr>
        <w:spacing w:line="480" w:lineRule="auto"/>
        <w:jc w:val="both"/>
        <w:rPr>
          <w:sz w:val="22"/>
          <w:szCs w:val="22"/>
        </w:rPr>
      </w:pPr>
      <w:r w:rsidDel="00000000" w:rsidR="00000000" w:rsidRPr="00000000">
        <w:rPr>
          <w:rtl w:val="0"/>
        </w:rPr>
      </w:r>
    </w:p>
    <w:p w:rsidR="00000000" w:rsidDel="00000000" w:rsidP="00000000" w:rsidRDefault="00000000" w:rsidRPr="00000000" w14:paraId="000001C1">
      <w:pPr>
        <w:spacing w:line="480" w:lineRule="auto"/>
        <w:jc w:val="both"/>
        <w:rPr>
          <w:sz w:val="22"/>
          <w:szCs w:val="22"/>
        </w:rPr>
      </w:pPr>
      <w:r w:rsidDel="00000000" w:rsidR="00000000" w:rsidRPr="00000000">
        <w:rPr>
          <w:rtl w:val="0"/>
        </w:rPr>
      </w:r>
    </w:p>
    <w:p w:rsidR="00000000" w:rsidDel="00000000" w:rsidP="00000000" w:rsidRDefault="00000000" w:rsidRPr="00000000" w14:paraId="000001C2">
      <w:pPr>
        <w:spacing w:line="480" w:lineRule="auto"/>
        <w:jc w:val="both"/>
        <w:rPr>
          <w:sz w:val="22"/>
          <w:szCs w:val="22"/>
        </w:rPr>
      </w:pPr>
      <w:r w:rsidDel="00000000" w:rsidR="00000000" w:rsidRPr="00000000">
        <w:rPr>
          <w:rtl w:val="0"/>
        </w:rPr>
      </w:r>
    </w:p>
    <w:p w:rsidR="00000000" w:rsidDel="00000000" w:rsidP="00000000" w:rsidRDefault="00000000" w:rsidRPr="00000000" w14:paraId="000001C3">
      <w:pPr>
        <w:spacing w:line="480" w:lineRule="auto"/>
        <w:jc w:val="both"/>
        <w:rPr>
          <w:sz w:val="22"/>
          <w:szCs w:val="22"/>
        </w:rPr>
      </w:pPr>
      <w:r w:rsidDel="00000000" w:rsidR="00000000" w:rsidRPr="00000000">
        <w:rPr>
          <w:rtl w:val="0"/>
        </w:rPr>
      </w:r>
    </w:p>
    <w:p w:rsidR="00000000" w:rsidDel="00000000" w:rsidP="00000000" w:rsidRDefault="00000000" w:rsidRPr="00000000" w14:paraId="000001C4">
      <w:pPr>
        <w:spacing w:line="480" w:lineRule="auto"/>
        <w:jc w:val="both"/>
        <w:rPr>
          <w:sz w:val="22"/>
          <w:szCs w:val="22"/>
        </w:rPr>
      </w:pPr>
      <w:r w:rsidDel="00000000" w:rsidR="00000000" w:rsidRPr="00000000">
        <w:rPr>
          <w:rtl w:val="0"/>
        </w:rPr>
      </w:r>
    </w:p>
    <w:p w:rsidR="00000000" w:rsidDel="00000000" w:rsidP="00000000" w:rsidRDefault="00000000" w:rsidRPr="00000000" w14:paraId="000001C5">
      <w:pPr>
        <w:spacing w:line="480" w:lineRule="auto"/>
        <w:jc w:val="both"/>
        <w:rPr>
          <w:sz w:val="22"/>
          <w:szCs w:val="22"/>
        </w:rPr>
      </w:pPr>
      <w:r w:rsidDel="00000000" w:rsidR="00000000" w:rsidRPr="00000000">
        <w:rPr>
          <w:rtl w:val="0"/>
        </w:rPr>
      </w:r>
    </w:p>
    <w:p w:rsidR="00000000" w:rsidDel="00000000" w:rsidP="00000000" w:rsidRDefault="00000000" w:rsidRPr="00000000" w14:paraId="000001C6">
      <w:pPr>
        <w:spacing w:line="480" w:lineRule="auto"/>
        <w:jc w:val="both"/>
        <w:rPr>
          <w:sz w:val="22"/>
          <w:szCs w:val="22"/>
        </w:rPr>
      </w:pPr>
      <w:r w:rsidDel="00000000" w:rsidR="00000000" w:rsidRPr="00000000">
        <w:rPr>
          <w:rtl w:val="0"/>
        </w:rPr>
      </w:r>
    </w:p>
    <w:p w:rsidR="00000000" w:rsidDel="00000000" w:rsidP="00000000" w:rsidRDefault="00000000" w:rsidRPr="00000000" w14:paraId="000001C7">
      <w:pPr>
        <w:spacing w:line="480" w:lineRule="auto"/>
        <w:jc w:val="both"/>
        <w:rPr>
          <w:sz w:val="22"/>
          <w:szCs w:val="22"/>
        </w:rPr>
      </w:pPr>
      <w:r w:rsidDel="00000000" w:rsidR="00000000" w:rsidRPr="00000000">
        <w:rPr>
          <w:rtl w:val="0"/>
        </w:rPr>
      </w:r>
    </w:p>
    <w:p w:rsidR="00000000" w:rsidDel="00000000" w:rsidP="00000000" w:rsidRDefault="00000000" w:rsidRPr="00000000" w14:paraId="000001C8">
      <w:pPr>
        <w:spacing w:line="480" w:lineRule="auto"/>
        <w:jc w:val="both"/>
        <w:rPr>
          <w:sz w:val="22"/>
          <w:szCs w:val="22"/>
        </w:rPr>
      </w:pPr>
      <w:r w:rsidDel="00000000" w:rsidR="00000000" w:rsidRPr="00000000">
        <w:rPr>
          <w:rtl w:val="0"/>
        </w:rPr>
      </w:r>
    </w:p>
    <w:p w:rsidR="00000000" w:rsidDel="00000000" w:rsidP="00000000" w:rsidRDefault="00000000" w:rsidRPr="00000000" w14:paraId="000001C9">
      <w:pPr>
        <w:pStyle w:val="Heading1"/>
        <w:spacing w:line="480" w:lineRule="auto"/>
        <w:jc w:val="both"/>
        <w:rPr/>
      </w:pPr>
      <w:bookmarkStart w:colFirst="0" w:colLast="0" w:name="_heading=h.1y810tw" w:id="21"/>
      <w:bookmarkEnd w:id="21"/>
      <w:r w:rsidDel="00000000" w:rsidR="00000000" w:rsidRPr="00000000">
        <w:rPr>
          <w:rtl w:val="0"/>
        </w:rPr>
        <w:t xml:space="preserve">Chapter Two –Defining and Explaining Drug Dependence</w:t>
      </w:r>
    </w:p>
    <w:p w:rsidR="00000000" w:rsidDel="00000000" w:rsidP="00000000" w:rsidRDefault="00000000" w:rsidRPr="00000000" w14:paraId="000001CA">
      <w:pPr>
        <w:spacing w:line="480" w:lineRule="auto"/>
        <w:jc w:val="both"/>
        <w:rPr>
          <w:rFonts w:ascii="Aptos" w:cs="Aptos" w:eastAsia="Aptos" w:hAnsi="Aptos"/>
          <w:sz w:val="22"/>
          <w:szCs w:val="22"/>
        </w:rPr>
      </w:pPr>
      <w:bookmarkStart w:colFirst="0" w:colLast="0" w:name="_heading=h.4i7ojhp" w:id="22"/>
      <w:bookmarkEnd w:id="22"/>
      <w:r w:rsidDel="00000000" w:rsidR="00000000" w:rsidRPr="00000000">
        <w:rPr>
          <w:rFonts w:ascii="Aptos" w:cs="Aptos" w:eastAsia="Aptos" w:hAnsi="Aptos"/>
          <w:sz w:val="22"/>
          <w:szCs w:val="22"/>
          <w:rtl w:val="0"/>
        </w:rPr>
        <w:t xml:space="preserve">This chapter will outline the debates in the literature pertaining to substance use and drug dependency. It will firstly define the terms used in this research, then present the biological approach and learning theories that attempt to explain drug dependency, before outlining competing theories that attempt to explain this phenomenon. This chapter will then outline two key theoretical concepts – the sick role and Stigmatisation – which will be used to help frame and inform this research. </w:t>
      </w:r>
    </w:p>
    <w:p w:rsidR="00000000" w:rsidDel="00000000" w:rsidP="00000000" w:rsidRDefault="00000000" w:rsidRPr="00000000" w14:paraId="000001CB">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1CC">
      <w:pPr>
        <w:pStyle w:val="Heading2"/>
        <w:numPr>
          <w:ilvl w:val="1"/>
          <w:numId w:val="8"/>
        </w:numPr>
        <w:spacing w:line="480" w:lineRule="auto"/>
        <w:ind w:left="720" w:hanging="720"/>
        <w:jc w:val="both"/>
        <w:rPr/>
      </w:pPr>
      <w:bookmarkStart w:colFirst="0" w:colLast="0" w:name="_heading=h.2xcytpi" w:id="23"/>
      <w:bookmarkEnd w:id="23"/>
      <w:r w:rsidDel="00000000" w:rsidR="00000000" w:rsidRPr="00000000">
        <w:rPr>
          <w:rtl w:val="0"/>
        </w:rPr>
        <w:t xml:space="preserve">Defining Dependence</w:t>
      </w:r>
    </w:p>
    <w:p w:rsidR="00000000" w:rsidDel="00000000" w:rsidP="00000000" w:rsidRDefault="00000000" w:rsidRPr="00000000" w14:paraId="000001CD">
      <w:pPr>
        <w:spacing w:line="480" w:lineRule="auto"/>
        <w:jc w:val="both"/>
        <w:rPr>
          <w:sz w:val="22"/>
          <w:szCs w:val="22"/>
        </w:rPr>
      </w:pPr>
      <w:r w:rsidDel="00000000" w:rsidR="00000000" w:rsidRPr="00000000">
        <w:rPr>
          <w:sz w:val="22"/>
          <w:szCs w:val="22"/>
          <w:rtl w:val="0"/>
        </w:rPr>
        <w:t xml:space="preserve">Addiction is a “</w:t>
      </w:r>
      <w:r w:rsidDel="00000000" w:rsidR="00000000" w:rsidRPr="00000000">
        <w:rPr>
          <w:i w:val="1"/>
          <w:sz w:val="22"/>
          <w:szCs w:val="22"/>
          <w:rtl w:val="0"/>
        </w:rPr>
        <w:t xml:space="preserve">highly complex phenomenon, with numerous explanations ranging from biology to neurology, to psychology</w:t>
      </w:r>
      <w:r w:rsidDel="00000000" w:rsidR="00000000" w:rsidRPr="00000000">
        <w:rPr>
          <w:sz w:val="22"/>
          <w:szCs w:val="22"/>
          <w:rtl w:val="0"/>
        </w:rPr>
        <w:t xml:space="preserve">”, and can have “</w:t>
      </w:r>
      <w:r w:rsidDel="00000000" w:rsidR="00000000" w:rsidRPr="00000000">
        <w:rPr>
          <w:i w:val="1"/>
          <w:sz w:val="22"/>
          <w:szCs w:val="22"/>
          <w:rtl w:val="0"/>
        </w:rPr>
        <w:t xml:space="preserve">significant implications for the individual who experiences it</w:t>
      </w:r>
      <w:r w:rsidDel="00000000" w:rsidR="00000000" w:rsidRPr="00000000">
        <w:rPr>
          <w:sz w:val="22"/>
          <w:szCs w:val="22"/>
          <w:rtl w:val="0"/>
        </w:rPr>
        <w:t xml:space="preserve">” (Moss and Dyer 2010, p.1). Although no single theory has been able to explain all domains of this phenomena (Moss and Dyer 2010, p.1), this section aims to outline and summarise these differing perspectives. Categorised as a disease by the World Health Organisation ICD-11 (World Health Organisation 2022), addiction has been further adopted by the American Psychiatric Association (APA) as a mental health disorder, listed in the Diagnostic Statistical Manual of Mental Disorders (DSM-V) (American Psychiatric Association 2013). The International Statistical Classification of Disease and Related Health Problems (ICD-11) chose to utilise the term "</w:t>
      </w:r>
      <w:r w:rsidDel="00000000" w:rsidR="00000000" w:rsidRPr="00000000">
        <w:rPr>
          <w:i w:val="1"/>
          <w:sz w:val="22"/>
          <w:szCs w:val="22"/>
          <w:rtl w:val="0"/>
        </w:rPr>
        <w:t xml:space="preserve">addiction</w:t>
      </w:r>
      <w:r w:rsidDel="00000000" w:rsidR="00000000" w:rsidRPr="00000000">
        <w:rPr>
          <w:sz w:val="22"/>
          <w:szCs w:val="22"/>
          <w:rtl w:val="0"/>
        </w:rPr>
        <w:t xml:space="preserve">” (Szalavitz et al 2021, p.1989, World Health Organisation 2022). Therefore, when discussing the Brain Disease Model of Addiction (BDMA), the term “</w:t>
      </w:r>
      <w:r w:rsidDel="00000000" w:rsidR="00000000" w:rsidRPr="00000000">
        <w:rPr>
          <w:i w:val="1"/>
          <w:sz w:val="22"/>
          <w:szCs w:val="22"/>
          <w:rtl w:val="0"/>
        </w:rPr>
        <w:t xml:space="preserve">addiction</w:t>
      </w:r>
      <w:r w:rsidDel="00000000" w:rsidR="00000000" w:rsidRPr="00000000">
        <w:rPr>
          <w:sz w:val="22"/>
          <w:szCs w:val="22"/>
          <w:rtl w:val="0"/>
        </w:rPr>
        <w:t xml:space="preserve">” will be utilised. The APA, however, renamed this as “</w:t>
      </w:r>
      <w:r w:rsidDel="00000000" w:rsidR="00000000" w:rsidRPr="00000000">
        <w:rPr>
          <w:i w:val="1"/>
          <w:sz w:val="22"/>
          <w:szCs w:val="22"/>
          <w:rtl w:val="0"/>
        </w:rPr>
        <w:t xml:space="preserve">Substance Use Disorder</w:t>
      </w:r>
      <w:r w:rsidDel="00000000" w:rsidR="00000000" w:rsidRPr="00000000">
        <w:rPr>
          <w:sz w:val="22"/>
          <w:szCs w:val="22"/>
          <w:rtl w:val="0"/>
        </w:rPr>
        <w:t xml:space="preserve">” or “</w:t>
      </w:r>
      <w:r w:rsidDel="00000000" w:rsidR="00000000" w:rsidRPr="00000000">
        <w:rPr>
          <w:i w:val="1"/>
          <w:sz w:val="22"/>
          <w:szCs w:val="22"/>
          <w:rtl w:val="0"/>
        </w:rPr>
        <w:t xml:space="preserve">SUD</w:t>
      </w:r>
      <w:r w:rsidDel="00000000" w:rsidR="00000000" w:rsidRPr="00000000">
        <w:rPr>
          <w:sz w:val="22"/>
          <w:szCs w:val="22"/>
          <w:rtl w:val="0"/>
        </w:rPr>
        <w:t xml:space="preserve">”. It is diagnosed when an individual experiences at least two of the following issues:</w:t>
      </w:r>
    </w:p>
    <w:p w:rsidR="00000000" w:rsidDel="00000000" w:rsidP="00000000" w:rsidRDefault="00000000" w:rsidRPr="00000000" w14:paraId="000001CE">
      <w:pPr>
        <w:spacing w:line="480" w:lineRule="auto"/>
        <w:jc w:val="both"/>
        <w:rPr>
          <w:sz w:val="22"/>
          <w:szCs w:val="22"/>
        </w:rPr>
      </w:pPr>
      <w:r w:rsidDel="00000000" w:rsidR="00000000" w:rsidRPr="00000000">
        <w:rPr>
          <w:rtl w:val="0"/>
        </w:rPr>
      </w:r>
    </w:p>
    <w:p w:rsidR="00000000" w:rsidDel="00000000" w:rsidP="00000000" w:rsidRDefault="00000000" w:rsidRPr="00000000" w14:paraId="000001C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Using more of a substance than intended or using it for longer than intended</w:t>
      </w:r>
    </w:p>
    <w:p w:rsidR="00000000" w:rsidDel="00000000" w:rsidP="00000000" w:rsidRDefault="00000000" w:rsidRPr="00000000" w14:paraId="000001D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Trying to cut down or stop using the substance but being unable to.</w:t>
      </w:r>
    </w:p>
    <w:p w:rsidR="00000000" w:rsidDel="00000000" w:rsidP="00000000" w:rsidRDefault="00000000" w:rsidRPr="00000000" w14:paraId="000001D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Experiencing intense cravings or urges to use the substance.</w:t>
      </w:r>
    </w:p>
    <w:p w:rsidR="00000000" w:rsidDel="00000000" w:rsidP="00000000" w:rsidRDefault="00000000" w:rsidRPr="00000000" w14:paraId="000001D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Needing more of the substance to get the desired effect — also called tolerance.</w:t>
      </w:r>
    </w:p>
    <w:p w:rsidR="00000000" w:rsidDel="00000000" w:rsidP="00000000" w:rsidRDefault="00000000" w:rsidRPr="00000000" w14:paraId="000001D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Developing withdrawal symptoms when not using the substance.</w:t>
      </w:r>
    </w:p>
    <w:p w:rsidR="00000000" w:rsidDel="00000000" w:rsidP="00000000" w:rsidRDefault="00000000" w:rsidRPr="00000000" w14:paraId="000001D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Spending more time getting and using drugs and recovering from substance use.</w:t>
      </w:r>
    </w:p>
    <w:p w:rsidR="00000000" w:rsidDel="00000000" w:rsidP="00000000" w:rsidRDefault="00000000" w:rsidRPr="00000000" w14:paraId="000001D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Neglecting responsibilities at home, work, or school because of substance use.</w:t>
      </w:r>
    </w:p>
    <w:p w:rsidR="00000000" w:rsidDel="00000000" w:rsidP="00000000" w:rsidRDefault="00000000" w:rsidRPr="00000000" w14:paraId="000001D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Continuing to use even when it causes relationship problems.</w:t>
      </w:r>
    </w:p>
    <w:p w:rsidR="00000000" w:rsidDel="00000000" w:rsidP="00000000" w:rsidRDefault="00000000" w:rsidRPr="00000000" w14:paraId="000001D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Giving up important or desirable social and recreational activities due to substance use.</w:t>
      </w:r>
    </w:p>
    <w:p w:rsidR="00000000" w:rsidDel="00000000" w:rsidP="00000000" w:rsidRDefault="00000000" w:rsidRPr="00000000" w14:paraId="000001D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Using substances in risky settings that put you in danger.</w:t>
      </w:r>
    </w:p>
    <w:p w:rsidR="00000000" w:rsidDel="00000000" w:rsidP="00000000" w:rsidRDefault="00000000" w:rsidRPr="00000000" w14:paraId="000001D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8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Continuing to use despite the substance causing problems to your physical and mental health.</w:t>
      </w:r>
    </w:p>
    <w:p w:rsidR="00000000" w:rsidDel="00000000" w:rsidP="00000000" w:rsidRDefault="00000000" w:rsidRPr="00000000" w14:paraId="000001DA">
      <w:pPr>
        <w:spacing w:line="480" w:lineRule="auto"/>
        <w:ind w:left="709" w:firstLine="0"/>
        <w:jc w:val="right"/>
        <w:rPr>
          <w:sz w:val="22"/>
          <w:szCs w:val="22"/>
        </w:rPr>
      </w:pPr>
      <w:r w:rsidDel="00000000" w:rsidR="00000000" w:rsidRPr="00000000">
        <w:rPr>
          <w:sz w:val="22"/>
          <w:szCs w:val="22"/>
          <w:rtl w:val="0"/>
        </w:rPr>
        <w:t xml:space="preserve">(American Psychiatric Association 2013)</w:t>
      </w:r>
    </w:p>
    <w:p w:rsidR="00000000" w:rsidDel="00000000" w:rsidP="00000000" w:rsidRDefault="00000000" w:rsidRPr="00000000" w14:paraId="000001DB">
      <w:pPr>
        <w:spacing w:line="480" w:lineRule="auto"/>
        <w:ind w:left="709" w:firstLine="0"/>
        <w:rPr>
          <w:i w:val="1"/>
          <w:sz w:val="22"/>
          <w:szCs w:val="22"/>
        </w:rPr>
      </w:pPr>
      <w:r w:rsidDel="00000000" w:rsidR="00000000" w:rsidRPr="00000000">
        <w:rPr>
          <w:rtl w:val="0"/>
        </w:rPr>
      </w:r>
    </w:p>
    <w:p w:rsidR="00000000" w:rsidDel="00000000" w:rsidP="00000000" w:rsidRDefault="00000000" w:rsidRPr="00000000" w14:paraId="000001DC">
      <w:pPr>
        <w:spacing w:line="480" w:lineRule="auto"/>
        <w:jc w:val="both"/>
        <w:rPr>
          <w:sz w:val="22"/>
          <w:szCs w:val="22"/>
        </w:rPr>
      </w:pPr>
      <w:r w:rsidDel="00000000" w:rsidR="00000000" w:rsidRPr="00000000">
        <w:rPr>
          <w:sz w:val="22"/>
          <w:szCs w:val="22"/>
          <w:rtl w:val="0"/>
        </w:rPr>
        <w:t xml:space="preserve">The term “</w:t>
      </w:r>
      <w:r w:rsidDel="00000000" w:rsidR="00000000" w:rsidRPr="00000000">
        <w:rPr>
          <w:i w:val="1"/>
          <w:sz w:val="22"/>
          <w:szCs w:val="22"/>
          <w:rtl w:val="0"/>
        </w:rPr>
        <w:t xml:space="preserve">addiction</w:t>
      </w:r>
      <w:r w:rsidDel="00000000" w:rsidR="00000000" w:rsidRPr="00000000">
        <w:rPr>
          <w:sz w:val="22"/>
          <w:szCs w:val="22"/>
          <w:rtl w:val="0"/>
        </w:rPr>
        <w:t xml:space="preserve">” is often used interchangeably with “</w:t>
      </w:r>
      <w:r w:rsidDel="00000000" w:rsidR="00000000" w:rsidRPr="00000000">
        <w:rPr>
          <w:i w:val="1"/>
          <w:sz w:val="22"/>
          <w:szCs w:val="22"/>
          <w:rtl w:val="0"/>
        </w:rPr>
        <w:t xml:space="preserve">dependence</w:t>
      </w:r>
      <w:r w:rsidDel="00000000" w:rsidR="00000000" w:rsidRPr="00000000">
        <w:rPr>
          <w:sz w:val="22"/>
          <w:szCs w:val="22"/>
          <w:rtl w:val="0"/>
        </w:rPr>
        <w:t xml:space="preserve">” and is “</w:t>
      </w:r>
      <w:r w:rsidDel="00000000" w:rsidR="00000000" w:rsidRPr="00000000">
        <w:rPr>
          <w:i w:val="1"/>
          <w:sz w:val="22"/>
          <w:szCs w:val="22"/>
          <w:rtl w:val="0"/>
        </w:rPr>
        <w:t xml:space="preserve">synonymous with substance use disorder</w:t>
      </w:r>
      <w:r w:rsidDel="00000000" w:rsidR="00000000" w:rsidRPr="00000000">
        <w:rPr>
          <w:sz w:val="22"/>
          <w:szCs w:val="22"/>
          <w:rtl w:val="0"/>
        </w:rPr>
        <w:t xml:space="preserve">” (Horowitz and Taylor 2023). As noted in the </w:t>
      </w:r>
      <w:hyperlink w:anchor="_heading=h.2jxsxqh">
        <w:r w:rsidDel="00000000" w:rsidR="00000000" w:rsidRPr="00000000">
          <w:rPr>
            <w:color w:val="467886"/>
            <w:sz w:val="22"/>
            <w:szCs w:val="22"/>
            <w:u w:val="single"/>
            <w:rtl w:val="0"/>
          </w:rPr>
          <w:t xml:space="preserve">Introduction</w:t>
        </w:r>
      </w:hyperlink>
      <w:r w:rsidDel="00000000" w:rsidR="00000000" w:rsidRPr="00000000">
        <w:rPr>
          <w:sz w:val="22"/>
          <w:szCs w:val="22"/>
          <w:rtl w:val="0"/>
        </w:rPr>
        <w:t xml:space="preserve"> chapter (p. 15), dependence is defined as an “</w:t>
      </w:r>
      <w:r w:rsidDel="00000000" w:rsidR="00000000" w:rsidRPr="00000000">
        <w:rPr>
          <w:i w:val="1"/>
          <w:sz w:val="22"/>
          <w:szCs w:val="22"/>
          <w:rtl w:val="0"/>
        </w:rPr>
        <w:t xml:space="preserve">adaptation to repeated exposure to some drugs and medicines</w:t>
      </w:r>
      <w:r w:rsidDel="00000000" w:rsidR="00000000" w:rsidRPr="00000000">
        <w:rPr>
          <w:sz w:val="22"/>
          <w:szCs w:val="22"/>
          <w:rtl w:val="0"/>
        </w:rPr>
        <w:t xml:space="preserve">”, whilst withdrawal</w:t>
      </w:r>
      <w:r w:rsidDel="00000000" w:rsidR="00000000" w:rsidRPr="00000000">
        <w:rPr>
          <w:b w:val="1"/>
          <w:sz w:val="22"/>
          <w:szCs w:val="22"/>
          <w:rtl w:val="0"/>
        </w:rPr>
        <w:t xml:space="preserve"> </w:t>
      </w:r>
      <w:r w:rsidDel="00000000" w:rsidR="00000000" w:rsidRPr="00000000">
        <w:rPr>
          <w:sz w:val="22"/>
          <w:szCs w:val="22"/>
          <w:rtl w:val="0"/>
        </w:rPr>
        <w:t xml:space="preserve">symptoms are “</w:t>
      </w:r>
      <w:r w:rsidDel="00000000" w:rsidR="00000000" w:rsidRPr="00000000">
        <w:rPr>
          <w:i w:val="1"/>
          <w:sz w:val="22"/>
          <w:szCs w:val="22"/>
          <w:rtl w:val="0"/>
        </w:rPr>
        <w:t xml:space="preserve">physiological reactions when a drug or medicine that has been taken repeatedly is removed</w:t>
      </w:r>
      <w:r w:rsidDel="00000000" w:rsidR="00000000" w:rsidRPr="00000000">
        <w:rPr>
          <w:sz w:val="22"/>
          <w:szCs w:val="22"/>
          <w:rtl w:val="0"/>
        </w:rPr>
        <w:t xml:space="preserve">” (Public Health England 2019, p.8). The differing perspectives on addiction will now be discussed in turn.</w:t>
      </w:r>
    </w:p>
    <w:p w:rsidR="00000000" w:rsidDel="00000000" w:rsidP="00000000" w:rsidRDefault="00000000" w:rsidRPr="00000000" w14:paraId="000001DD">
      <w:pPr>
        <w:spacing w:line="480" w:lineRule="auto"/>
        <w:jc w:val="both"/>
        <w:rPr>
          <w:sz w:val="22"/>
          <w:szCs w:val="22"/>
        </w:rPr>
      </w:pPr>
      <w:r w:rsidDel="00000000" w:rsidR="00000000" w:rsidRPr="00000000">
        <w:rPr>
          <w:rtl w:val="0"/>
        </w:rPr>
      </w:r>
    </w:p>
    <w:p w:rsidR="00000000" w:rsidDel="00000000" w:rsidP="00000000" w:rsidRDefault="00000000" w:rsidRPr="00000000" w14:paraId="000001DE">
      <w:pPr>
        <w:pStyle w:val="Heading3"/>
        <w:spacing w:line="480" w:lineRule="auto"/>
        <w:rPr/>
      </w:pPr>
      <w:bookmarkStart w:colFirst="0" w:colLast="0" w:name="_heading=h.1ci93xb" w:id="24"/>
      <w:bookmarkEnd w:id="24"/>
      <w:r w:rsidDel="00000000" w:rsidR="00000000" w:rsidRPr="00000000">
        <w:rPr>
          <w:rtl w:val="0"/>
        </w:rPr>
        <w:t xml:space="preserve">Is Addiction a Disease?</w:t>
      </w:r>
    </w:p>
    <w:p w:rsidR="00000000" w:rsidDel="00000000" w:rsidP="00000000" w:rsidRDefault="00000000" w:rsidRPr="00000000" w14:paraId="000001DF">
      <w:pPr>
        <w:spacing w:line="480" w:lineRule="auto"/>
        <w:jc w:val="both"/>
        <w:rPr>
          <w:sz w:val="22"/>
          <w:szCs w:val="22"/>
        </w:rPr>
      </w:pPr>
      <w:r w:rsidDel="00000000" w:rsidR="00000000" w:rsidRPr="00000000">
        <w:rPr>
          <w:sz w:val="22"/>
          <w:szCs w:val="22"/>
          <w:rtl w:val="0"/>
        </w:rPr>
        <w:t xml:space="preserve">Historically, addiction was considered a deviant behaviour (White 2001, Russell et al 2010, p.150). Those who are experiencing it were considered “</w:t>
      </w:r>
      <w:r w:rsidDel="00000000" w:rsidR="00000000" w:rsidRPr="00000000">
        <w:rPr>
          <w:i w:val="1"/>
          <w:sz w:val="22"/>
          <w:szCs w:val="22"/>
          <w:rtl w:val="0"/>
        </w:rPr>
        <w:t xml:space="preserve">responsible moral agents who perpetuate acts of mayhem on themselves</w:t>
      </w:r>
      <w:r w:rsidDel="00000000" w:rsidR="00000000" w:rsidRPr="00000000">
        <w:rPr>
          <w:sz w:val="22"/>
          <w:szCs w:val="22"/>
          <w:rtl w:val="0"/>
        </w:rPr>
        <w:t xml:space="preserve">” or were victims of a disorder of “</w:t>
      </w:r>
      <w:r w:rsidDel="00000000" w:rsidR="00000000" w:rsidRPr="00000000">
        <w:rPr>
          <w:i w:val="1"/>
          <w:sz w:val="22"/>
          <w:szCs w:val="22"/>
          <w:rtl w:val="0"/>
        </w:rPr>
        <w:t xml:space="preserve">which undermines their values and best intentions</w:t>
      </w:r>
      <w:r w:rsidDel="00000000" w:rsidR="00000000" w:rsidRPr="00000000">
        <w:rPr>
          <w:sz w:val="22"/>
          <w:szCs w:val="22"/>
          <w:rtl w:val="0"/>
        </w:rPr>
        <w:t xml:space="preserve">” (White 2001, Russell et al 2010, p.150). Later, in 2014, the academic journal, Nature, presented the notion that drug addiction was a “</w:t>
      </w:r>
      <w:r w:rsidDel="00000000" w:rsidR="00000000" w:rsidRPr="00000000">
        <w:rPr>
          <w:i w:val="1"/>
          <w:sz w:val="22"/>
          <w:szCs w:val="22"/>
          <w:rtl w:val="0"/>
        </w:rPr>
        <w:t xml:space="preserve">chronic relapsing disease that changes the structure and function of the brain</w:t>
      </w:r>
      <w:r w:rsidDel="00000000" w:rsidR="00000000" w:rsidRPr="00000000">
        <w:rPr>
          <w:sz w:val="22"/>
          <w:szCs w:val="22"/>
          <w:rtl w:val="0"/>
        </w:rPr>
        <w:t xml:space="preserve">” (Nature 2014, p.5). </w:t>
      </w:r>
    </w:p>
    <w:p w:rsidR="00000000" w:rsidDel="00000000" w:rsidP="00000000" w:rsidRDefault="00000000" w:rsidRPr="00000000" w14:paraId="000001E0">
      <w:pPr>
        <w:spacing w:line="480" w:lineRule="auto"/>
        <w:jc w:val="both"/>
        <w:rPr>
          <w:sz w:val="22"/>
          <w:szCs w:val="22"/>
        </w:rPr>
      </w:pPr>
      <w:r w:rsidDel="00000000" w:rsidR="00000000" w:rsidRPr="00000000">
        <w:rPr>
          <w:rtl w:val="0"/>
        </w:rPr>
      </w:r>
    </w:p>
    <w:p w:rsidR="00000000" w:rsidDel="00000000" w:rsidP="00000000" w:rsidRDefault="00000000" w:rsidRPr="00000000" w14:paraId="000001E1">
      <w:pPr>
        <w:spacing w:line="480" w:lineRule="auto"/>
        <w:jc w:val="both"/>
        <w:rPr>
          <w:sz w:val="22"/>
          <w:szCs w:val="22"/>
        </w:rPr>
      </w:pPr>
      <w:r w:rsidDel="00000000" w:rsidR="00000000" w:rsidRPr="00000000">
        <w:rPr>
          <w:sz w:val="22"/>
          <w:szCs w:val="22"/>
          <w:rtl w:val="0"/>
        </w:rPr>
        <w:t xml:space="preserve">The Brain Disease Model of Addiction (BDMA), or the “</w:t>
      </w:r>
      <w:r w:rsidDel="00000000" w:rsidR="00000000" w:rsidRPr="00000000">
        <w:rPr>
          <w:i w:val="1"/>
          <w:sz w:val="22"/>
          <w:szCs w:val="22"/>
          <w:rtl w:val="0"/>
        </w:rPr>
        <w:t xml:space="preserve">Brain-Hijack Theory</w:t>
      </w:r>
      <w:r w:rsidDel="00000000" w:rsidR="00000000" w:rsidRPr="00000000">
        <w:rPr>
          <w:sz w:val="22"/>
          <w:szCs w:val="22"/>
          <w:rtl w:val="0"/>
        </w:rPr>
        <w:t xml:space="preserve">” is the core tenet of the biomedical approach to addiction. It claims it is caused by a “</w:t>
      </w:r>
      <w:r w:rsidDel="00000000" w:rsidR="00000000" w:rsidRPr="00000000">
        <w:rPr>
          <w:i w:val="1"/>
          <w:sz w:val="22"/>
          <w:szCs w:val="22"/>
          <w:rtl w:val="0"/>
        </w:rPr>
        <w:t xml:space="preserve">dysfunction of brain systems involved in reward and pleasure seeking</w:t>
      </w:r>
      <w:r w:rsidDel="00000000" w:rsidR="00000000" w:rsidRPr="00000000">
        <w:rPr>
          <w:sz w:val="22"/>
          <w:szCs w:val="22"/>
          <w:rtl w:val="0"/>
        </w:rPr>
        <w:t xml:space="preserve">” (Leshner 1997, Volkow and Li 2005, Racine et al 2017, p.1). This approach sought an alternative view of addiction as a “</w:t>
      </w:r>
      <w:r w:rsidDel="00000000" w:rsidR="00000000" w:rsidRPr="00000000">
        <w:rPr>
          <w:i w:val="1"/>
          <w:sz w:val="22"/>
          <w:szCs w:val="22"/>
          <w:rtl w:val="0"/>
        </w:rPr>
        <w:t xml:space="preserve">personal moral failure</w:t>
      </w:r>
      <w:r w:rsidDel="00000000" w:rsidR="00000000" w:rsidRPr="00000000">
        <w:rPr>
          <w:sz w:val="22"/>
          <w:szCs w:val="22"/>
          <w:rtl w:val="0"/>
        </w:rPr>
        <w:t xml:space="preserve">” and attempted to study addiction as a disease whereby manifestations of dysfunction can be treated (Dackis and O’Brien 2005, Harding 1986, Skewes and Gonzalez 2013, p.61). </w:t>
      </w:r>
    </w:p>
    <w:p w:rsidR="00000000" w:rsidDel="00000000" w:rsidP="00000000" w:rsidRDefault="00000000" w:rsidRPr="00000000" w14:paraId="000001E2">
      <w:pPr>
        <w:spacing w:line="480" w:lineRule="auto"/>
        <w:jc w:val="both"/>
        <w:rPr>
          <w:sz w:val="22"/>
          <w:szCs w:val="22"/>
        </w:rPr>
      </w:pPr>
      <w:r w:rsidDel="00000000" w:rsidR="00000000" w:rsidRPr="00000000">
        <w:rPr>
          <w:rtl w:val="0"/>
        </w:rPr>
      </w:r>
    </w:p>
    <w:p w:rsidR="00000000" w:rsidDel="00000000" w:rsidP="00000000" w:rsidRDefault="00000000" w:rsidRPr="00000000" w14:paraId="000001E3">
      <w:pPr>
        <w:spacing w:line="480" w:lineRule="auto"/>
        <w:jc w:val="both"/>
        <w:rPr>
          <w:sz w:val="22"/>
          <w:szCs w:val="22"/>
        </w:rPr>
      </w:pPr>
      <w:r w:rsidDel="00000000" w:rsidR="00000000" w:rsidRPr="00000000">
        <w:rPr>
          <w:sz w:val="22"/>
          <w:szCs w:val="22"/>
          <w:rtl w:val="0"/>
        </w:rPr>
        <w:t xml:space="preserve">The BDMA has been widely accepted, particularly by neuroscience, and suggests there are genetic abnormalities, neurotransmitter dysregulation and differing brain structures and functions (Deacon 2013, p.847, Andreason 1985). Acker (2010) argued the BDMA should offer:</w:t>
      </w:r>
    </w:p>
    <w:p w:rsidR="00000000" w:rsidDel="00000000" w:rsidP="00000000" w:rsidRDefault="00000000" w:rsidRPr="00000000" w14:paraId="000001E4">
      <w:pPr>
        <w:spacing w:line="480" w:lineRule="auto"/>
        <w:jc w:val="both"/>
        <w:rPr>
          <w:sz w:val="22"/>
          <w:szCs w:val="22"/>
        </w:rPr>
      </w:pPr>
      <w:r w:rsidDel="00000000" w:rsidR="00000000" w:rsidRPr="00000000">
        <w:rPr>
          <w:rtl w:val="0"/>
        </w:rPr>
      </w:r>
    </w:p>
    <w:p w:rsidR="00000000" w:rsidDel="00000000" w:rsidP="00000000" w:rsidRDefault="00000000" w:rsidRPr="00000000" w14:paraId="000001E5">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Scientific lustre (an explanation of the scientific world)</w:t>
      </w:r>
    </w:p>
    <w:p w:rsidR="00000000" w:rsidDel="00000000" w:rsidP="00000000" w:rsidRDefault="00000000" w:rsidRPr="00000000" w14:paraId="000001E6">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Diagnostic robustness</w:t>
      </w:r>
    </w:p>
    <w:p w:rsidR="00000000" w:rsidDel="00000000" w:rsidP="00000000" w:rsidRDefault="00000000" w:rsidRPr="00000000" w14:paraId="000001E7">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Groundwork for discovering treatments, and</w:t>
      </w:r>
    </w:p>
    <w:p w:rsidR="00000000" w:rsidDel="00000000" w:rsidP="00000000" w:rsidRDefault="00000000" w:rsidRPr="00000000" w14:paraId="000001E8">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platform for bringing incidence and prevalence for the disease under control</w:t>
      </w:r>
    </w:p>
    <w:p w:rsidR="00000000" w:rsidDel="00000000" w:rsidP="00000000" w:rsidRDefault="00000000" w:rsidRPr="00000000" w14:paraId="000001E9">
      <w:pPr>
        <w:spacing w:line="480" w:lineRule="auto"/>
        <w:jc w:val="right"/>
        <w:rPr>
          <w:sz w:val="22"/>
          <w:szCs w:val="22"/>
        </w:rPr>
      </w:pPr>
      <w:r w:rsidDel="00000000" w:rsidR="00000000" w:rsidRPr="00000000">
        <w:rPr>
          <w:sz w:val="22"/>
          <w:szCs w:val="22"/>
          <w:rtl w:val="0"/>
        </w:rPr>
        <w:t xml:space="preserve">(Aker 2010, Deacon 2013 p.847, Andreason 1985)</w:t>
      </w:r>
    </w:p>
    <w:p w:rsidR="00000000" w:rsidDel="00000000" w:rsidP="00000000" w:rsidRDefault="00000000" w:rsidRPr="00000000" w14:paraId="000001EA">
      <w:pPr>
        <w:spacing w:line="480" w:lineRule="auto"/>
        <w:jc w:val="right"/>
        <w:rPr>
          <w:sz w:val="22"/>
          <w:szCs w:val="22"/>
        </w:rPr>
      </w:pPr>
      <w:r w:rsidDel="00000000" w:rsidR="00000000" w:rsidRPr="00000000">
        <w:rPr>
          <w:rtl w:val="0"/>
        </w:rPr>
      </w:r>
    </w:p>
    <w:p w:rsidR="00000000" w:rsidDel="00000000" w:rsidP="00000000" w:rsidRDefault="00000000" w:rsidRPr="00000000" w14:paraId="000001EB">
      <w:pPr>
        <w:spacing w:line="480" w:lineRule="auto"/>
        <w:jc w:val="both"/>
        <w:rPr>
          <w:sz w:val="22"/>
          <w:szCs w:val="22"/>
        </w:rPr>
      </w:pPr>
      <w:r w:rsidDel="00000000" w:rsidR="00000000" w:rsidRPr="00000000">
        <w:rPr>
          <w:sz w:val="22"/>
          <w:szCs w:val="22"/>
          <w:rtl w:val="0"/>
        </w:rPr>
        <w:t xml:space="preserve">Supporters of this model are predominantly within neuroscience, mental health, and psychiatry Antonuccio et al 2003). It has been described as a combination of ideological, political, and economic forces (Antonuccio et al 2003). The BDMA model has legitimised requests for research, leading to increased investment into treatments and cures for illnesses (Hammer et al 2013 p.15, Deacon 2013, p.847). This includes pharmaceutical interventions, with the primary aim seeking to develop treatments that target the underlying dysfunction in the brain (Deacon 2013, p.847). When considering Aker’s four proponents of the BDMA, there is an argument that the model has satisfied its aims. This model has gone some way in explaining the scientific world, by discovering possible explanations for illness, with treatments having arisen from this research such as the now contested Serotonin Theory and the development of the antidepressant, Prozac. </w:t>
      </w:r>
    </w:p>
    <w:p w:rsidR="00000000" w:rsidDel="00000000" w:rsidP="00000000" w:rsidRDefault="00000000" w:rsidRPr="00000000" w14:paraId="000001EC">
      <w:pPr>
        <w:spacing w:line="480" w:lineRule="auto"/>
        <w:jc w:val="both"/>
        <w:rPr>
          <w:sz w:val="22"/>
          <w:szCs w:val="22"/>
        </w:rPr>
      </w:pPr>
      <w:r w:rsidDel="00000000" w:rsidR="00000000" w:rsidRPr="00000000">
        <w:rPr>
          <w:rtl w:val="0"/>
        </w:rPr>
      </w:r>
    </w:p>
    <w:p w:rsidR="00000000" w:rsidDel="00000000" w:rsidP="00000000" w:rsidRDefault="00000000" w:rsidRPr="00000000" w14:paraId="000001ED">
      <w:pPr>
        <w:spacing w:line="480" w:lineRule="auto"/>
        <w:jc w:val="both"/>
        <w:rPr>
          <w:sz w:val="22"/>
          <w:szCs w:val="22"/>
        </w:rPr>
      </w:pPr>
      <w:r w:rsidDel="00000000" w:rsidR="00000000" w:rsidRPr="00000000">
        <w:rPr>
          <w:sz w:val="22"/>
          <w:szCs w:val="22"/>
          <w:rtl w:val="0"/>
        </w:rPr>
        <w:t xml:space="preserve">Although the biological model acts as a basis for improved access to treatment for those who require it, it is not without criticism (Dackis and O’Brien 2005). This model has been described as appealing to authority, rather than founded in empirical evidence, with for profit treatment providers more likely to support this theory (Satel and Lillenfield 2014, Russell et al 2010, p.161). Human behaviour is not simple, instead, a “</w:t>
      </w:r>
      <w:r w:rsidDel="00000000" w:rsidR="00000000" w:rsidRPr="00000000">
        <w:rPr>
          <w:i w:val="1"/>
          <w:sz w:val="22"/>
          <w:szCs w:val="22"/>
          <w:rtl w:val="0"/>
        </w:rPr>
        <w:t xml:space="preserve">highly complex system</w:t>
      </w:r>
      <w:r w:rsidDel="00000000" w:rsidR="00000000" w:rsidRPr="00000000">
        <w:rPr>
          <w:sz w:val="22"/>
          <w:szCs w:val="22"/>
          <w:rtl w:val="0"/>
        </w:rPr>
        <w:t xml:space="preserve">” of biological, social, ecological and spirituality (Hutchinson 2018). </w:t>
      </w:r>
    </w:p>
    <w:p w:rsidR="00000000" w:rsidDel="00000000" w:rsidP="00000000" w:rsidRDefault="00000000" w:rsidRPr="00000000" w14:paraId="000001EE">
      <w:pPr>
        <w:spacing w:line="480" w:lineRule="auto"/>
        <w:jc w:val="both"/>
        <w:rPr>
          <w:sz w:val="22"/>
          <w:szCs w:val="22"/>
        </w:rPr>
      </w:pPr>
      <w:r w:rsidDel="00000000" w:rsidR="00000000" w:rsidRPr="00000000">
        <w:rPr>
          <w:rtl w:val="0"/>
        </w:rPr>
      </w:r>
    </w:p>
    <w:p w:rsidR="00000000" w:rsidDel="00000000" w:rsidP="00000000" w:rsidRDefault="00000000" w:rsidRPr="00000000" w14:paraId="000001EF">
      <w:pPr>
        <w:spacing w:line="480" w:lineRule="auto"/>
        <w:jc w:val="both"/>
        <w:rPr>
          <w:sz w:val="22"/>
          <w:szCs w:val="22"/>
        </w:rPr>
      </w:pPr>
      <w:r w:rsidDel="00000000" w:rsidR="00000000" w:rsidRPr="00000000">
        <w:rPr>
          <w:sz w:val="22"/>
          <w:szCs w:val="22"/>
          <w:rtl w:val="0"/>
        </w:rPr>
        <w:t xml:space="preserve">It could be argued the BDMA has removed personal responsibility and diminishes personal and moral judgements, however, it has failed to recognise that disease has a stigma attached in itself (Dingel et al 2012, Hammer et al 2013 p.3, p.4). Classifying addiction as a disease has been criticised as it has not reduced stigma but could have contributed to stigmatisation due to the reduction in self-efficacy. Self-efficacy is defined as a “pers</w:t>
      </w:r>
      <w:r w:rsidDel="00000000" w:rsidR="00000000" w:rsidRPr="00000000">
        <w:rPr>
          <w:i w:val="1"/>
          <w:sz w:val="22"/>
          <w:szCs w:val="22"/>
          <w:rtl w:val="0"/>
        </w:rPr>
        <w:t xml:space="preserve">onal belief in one’s capability to organise and execute courses of action required to attain designated types of performances</w:t>
      </w:r>
      <w:r w:rsidDel="00000000" w:rsidR="00000000" w:rsidRPr="00000000">
        <w:rPr>
          <w:sz w:val="22"/>
          <w:szCs w:val="22"/>
          <w:rtl w:val="0"/>
        </w:rPr>
        <w:t xml:space="preserve">” (Hall et al 2017, Hall et al 2015, Hammer et al 2013, Heather et al 2018, Trujols 2015, Artino 2012). </w:t>
      </w:r>
    </w:p>
    <w:p w:rsidR="00000000" w:rsidDel="00000000" w:rsidP="00000000" w:rsidRDefault="00000000" w:rsidRPr="00000000" w14:paraId="000001F0">
      <w:pPr>
        <w:spacing w:line="480" w:lineRule="auto"/>
        <w:jc w:val="both"/>
        <w:rPr>
          <w:sz w:val="22"/>
          <w:szCs w:val="22"/>
        </w:rPr>
      </w:pPr>
      <w:r w:rsidDel="00000000" w:rsidR="00000000" w:rsidRPr="00000000">
        <w:rPr>
          <w:sz w:val="22"/>
          <w:szCs w:val="22"/>
          <w:rtl w:val="0"/>
        </w:rPr>
        <w:t xml:space="preserve">The BMDA and other biological explanations has been described as reductionist, conceptualising the cause of addiction as “</w:t>
      </w:r>
      <w:r w:rsidDel="00000000" w:rsidR="00000000" w:rsidRPr="00000000">
        <w:rPr>
          <w:i w:val="1"/>
          <w:sz w:val="22"/>
          <w:szCs w:val="22"/>
          <w:rtl w:val="0"/>
        </w:rPr>
        <w:t xml:space="preserve">abnormalities</w:t>
      </w:r>
      <w:r w:rsidDel="00000000" w:rsidR="00000000" w:rsidRPr="00000000">
        <w:rPr>
          <w:sz w:val="22"/>
          <w:szCs w:val="22"/>
          <w:rtl w:val="0"/>
        </w:rPr>
        <w:t xml:space="preserve">” or “</w:t>
      </w:r>
      <w:r w:rsidDel="00000000" w:rsidR="00000000" w:rsidRPr="00000000">
        <w:rPr>
          <w:i w:val="1"/>
          <w:sz w:val="22"/>
          <w:szCs w:val="22"/>
          <w:rtl w:val="0"/>
        </w:rPr>
        <w:t xml:space="preserve">dysfunctions</w:t>
      </w:r>
      <w:r w:rsidDel="00000000" w:rsidR="00000000" w:rsidRPr="00000000">
        <w:rPr>
          <w:sz w:val="22"/>
          <w:szCs w:val="22"/>
          <w:rtl w:val="0"/>
        </w:rPr>
        <w:t xml:space="preserve">” of the brain, removing agency from the individual (Vrecko 2010, Kuorikosi and Uusitalo 2018, p.2). Furthermore, the accepted definition of addiction implies there is a motivation in seeking out a substance, or medicine, whereas “</w:t>
      </w:r>
      <w:r w:rsidDel="00000000" w:rsidR="00000000" w:rsidRPr="00000000">
        <w:rPr>
          <w:i w:val="1"/>
          <w:sz w:val="22"/>
          <w:szCs w:val="22"/>
          <w:rtl w:val="0"/>
        </w:rPr>
        <w:t xml:space="preserve">dependence</w:t>
      </w:r>
      <w:r w:rsidDel="00000000" w:rsidR="00000000" w:rsidRPr="00000000">
        <w:rPr>
          <w:sz w:val="22"/>
          <w:szCs w:val="22"/>
          <w:rtl w:val="0"/>
        </w:rPr>
        <w:t xml:space="preserve">” refers to the “</w:t>
      </w:r>
      <w:r w:rsidDel="00000000" w:rsidR="00000000" w:rsidRPr="00000000">
        <w:rPr>
          <w:i w:val="1"/>
          <w:sz w:val="22"/>
          <w:szCs w:val="22"/>
          <w:rtl w:val="0"/>
        </w:rPr>
        <w:t xml:space="preserve">ordinary biological consequences of taking certain medications for weeks or years</w:t>
      </w:r>
      <w:r w:rsidDel="00000000" w:rsidR="00000000" w:rsidRPr="00000000">
        <w:rPr>
          <w:sz w:val="22"/>
          <w:szCs w:val="22"/>
          <w:rtl w:val="0"/>
        </w:rPr>
        <w:t xml:space="preserve">” (Szalavitz et al 2021, p.1990). Subsequently, there appears to be a confusion reported in prescribers (O’Brien et al 2006, p.764). As a result, there can be reluctance to prescribe some medications if they observe evidence of tolerance and withdrawal symptoms due to the assumption one is “</w:t>
      </w:r>
      <w:r w:rsidDel="00000000" w:rsidR="00000000" w:rsidRPr="00000000">
        <w:rPr>
          <w:i w:val="1"/>
          <w:sz w:val="22"/>
          <w:szCs w:val="22"/>
          <w:rtl w:val="0"/>
        </w:rPr>
        <w:t xml:space="preserve">addicted</w:t>
      </w:r>
      <w:r w:rsidDel="00000000" w:rsidR="00000000" w:rsidRPr="00000000">
        <w:rPr>
          <w:sz w:val="22"/>
          <w:szCs w:val="22"/>
          <w:rtl w:val="0"/>
        </w:rPr>
        <w:t xml:space="preserve">” (O’Brien et al 2006, p.764). </w:t>
      </w:r>
    </w:p>
    <w:p w:rsidR="00000000" w:rsidDel="00000000" w:rsidP="00000000" w:rsidRDefault="00000000" w:rsidRPr="00000000" w14:paraId="000001F1">
      <w:pPr>
        <w:spacing w:line="480" w:lineRule="auto"/>
        <w:jc w:val="both"/>
        <w:rPr>
          <w:sz w:val="22"/>
          <w:szCs w:val="22"/>
        </w:rPr>
      </w:pPr>
      <w:r w:rsidDel="00000000" w:rsidR="00000000" w:rsidRPr="00000000">
        <w:rPr>
          <w:rtl w:val="0"/>
        </w:rPr>
      </w:r>
    </w:p>
    <w:p w:rsidR="00000000" w:rsidDel="00000000" w:rsidP="00000000" w:rsidRDefault="00000000" w:rsidRPr="00000000" w14:paraId="000001F2">
      <w:pPr>
        <w:spacing w:line="480" w:lineRule="auto"/>
        <w:jc w:val="both"/>
        <w:rPr>
          <w:sz w:val="22"/>
          <w:szCs w:val="22"/>
        </w:rPr>
      </w:pPr>
      <w:r w:rsidDel="00000000" w:rsidR="00000000" w:rsidRPr="00000000">
        <w:rPr>
          <w:sz w:val="22"/>
          <w:szCs w:val="22"/>
          <w:rtl w:val="0"/>
        </w:rPr>
        <w:t xml:space="preserve">This can impact patient care, as in the context of pain medication, patients may not be offered adequate analgesia, and “</w:t>
      </w:r>
      <w:r w:rsidDel="00000000" w:rsidR="00000000" w:rsidRPr="00000000">
        <w:rPr>
          <w:i w:val="1"/>
          <w:sz w:val="22"/>
          <w:szCs w:val="22"/>
          <w:rtl w:val="0"/>
        </w:rPr>
        <w:t xml:space="preserve">are made to suffer</w:t>
      </w:r>
      <w:r w:rsidDel="00000000" w:rsidR="00000000" w:rsidRPr="00000000">
        <w:rPr>
          <w:sz w:val="22"/>
          <w:szCs w:val="22"/>
          <w:rtl w:val="0"/>
        </w:rPr>
        <w:t xml:space="preserve">” due to the lack of intervention (O’Brien et al 2006 p.76, Volkow and McLellan 2016 p.1259, Szalavitz et al 2021 p.1990). Many can experience withdrawal symptoms without experiencing a dependency due to this physiological and biological consequence (Szalavitz et al 2021, p.1990). Some argue the differentiating factor between “</w:t>
      </w:r>
      <w:r w:rsidDel="00000000" w:rsidR="00000000" w:rsidRPr="00000000">
        <w:rPr>
          <w:i w:val="1"/>
          <w:sz w:val="22"/>
          <w:szCs w:val="22"/>
          <w:rtl w:val="0"/>
        </w:rPr>
        <w:t xml:space="preserve">addiction</w:t>
      </w:r>
      <w:r w:rsidDel="00000000" w:rsidR="00000000" w:rsidRPr="00000000">
        <w:rPr>
          <w:sz w:val="22"/>
          <w:szCs w:val="22"/>
          <w:rtl w:val="0"/>
        </w:rPr>
        <w:t xml:space="preserve">” and “</w:t>
      </w:r>
      <w:r w:rsidDel="00000000" w:rsidR="00000000" w:rsidRPr="00000000">
        <w:rPr>
          <w:i w:val="1"/>
          <w:sz w:val="22"/>
          <w:szCs w:val="22"/>
          <w:rtl w:val="0"/>
        </w:rPr>
        <w:t xml:space="preserve">dependence</w:t>
      </w:r>
      <w:r w:rsidDel="00000000" w:rsidR="00000000" w:rsidRPr="00000000">
        <w:rPr>
          <w:sz w:val="22"/>
          <w:szCs w:val="22"/>
          <w:rtl w:val="0"/>
        </w:rPr>
        <w:t xml:space="preserve">” is the “</w:t>
      </w:r>
      <w:r w:rsidDel="00000000" w:rsidR="00000000" w:rsidRPr="00000000">
        <w:rPr>
          <w:i w:val="1"/>
          <w:sz w:val="22"/>
          <w:szCs w:val="22"/>
          <w:rtl w:val="0"/>
        </w:rPr>
        <w:t xml:space="preserve">loss of control over the intense urges to take the drug” despite consequences</w:t>
      </w:r>
      <w:r w:rsidDel="00000000" w:rsidR="00000000" w:rsidRPr="00000000">
        <w:rPr>
          <w:sz w:val="22"/>
          <w:szCs w:val="22"/>
          <w:rtl w:val="0"/>
        </w:rPr>
        <w:t xml:space="preserve">” (O’Brien et al 2006, p.764). “</w:t>
      </w:r>
      <w:r w:rsidDel="00000000" w:rsidR="00000000" w:rsidRPr="00000000">
        <w:rPr>
          <w:i w:val="1"/>
          <w:sz w:val="22"/>
          <w:szCs w:val="22"/>
          <w:rtl w:val="0"/>
        </w:rPr>
        <w:t xml:space="preserve">Dependenc</w:t>
      </w:r>
      <w:r w:rsidDel="00000000" w:rsidR="00000000" w:rsidRPr="00000000">
        <w:rPr>
          <w:sz w:val="22"/>
          <w:szCs w:val="22"/>
          <w:rtl w:val="0"/>
        </w:rPr>
        <w:t xml:space="preserve">e” is a neutral term that can refer to any drug, including alcohol and nicotine, with supporters of this terminology associating “</w:t>
      </w:r>
      <w:r w:rsidDel="00000000" w:rsidR="00000000" w:rsidRPr="00000000">
        <w:rPr>
          <w:i w:val="1"/>
          <w:sz w:val="22"/>
          <w:szCs w:val="22"/>
          <w:rtl w:val="0"/>
        </w:rPr>
        <w:t xml:space="preserve">addiction</w:t>
      </w:r>
      <w:r w:rsidDel="00000000" w:rsidR="00000000" w:rsidRPr="00000000">
        <w:rPr>
          <w:sz w:val="22"/>
          <w:szCs w:val="22"/>
          <w:rtl w:val="0"/>
        </w:rPr>
        <w:t xml:space="preserve">” with prejudice and stigmatisation (O’Brien et al 2006, p.764).</w:t>
      </w:r>
    </w:p>
    <w:p w:rsidR="00000000" w:rsidDel="00000000" w:rsidP="00000000" w:rsidRDefault="00000000" w:rsidRPr="00000000" w14:paraId="000001F3">
      <w:pPr>
        <w:spacing w:line="480" w:lineRule="auto"/>
        <w:jc w:val="both"/>
        <w:rPr>
          <w:sz w:val="22"/>
          <w:szCs w:val="22"/>
        </w:rPr>
      </w:pPr>
      <w:r w:rsidDel="00000000" w:rsidR="00000000" w:rsidRPr="00000000">
        <w:rPr>
          <w:rtl w:val="0"/>
        </w:rPr>
      </w:r>
    </w:p>
    <w:p w:rsidR="00000000" w:rsidDel="00000000" w:rsidP="00000000" w:rsidRDefault="00000000" w:rsidRPr="00000000" w14:paraId="000001F4">
      <w:pPr>
        <w:pStyle w:val="Heading3"/>
        <w:spacing w:line="480" w:lineRule="auto"/>
        <w:rPr/>
      </w:pPr>
      <w:bookmarkStart w:colFirst="0" w:colLast="0" w:name="_heading=h.3whwml4" w:id="25"/>
      <w:bookmarkEnd w:id="25"/>
      <w:r w:rsidDel="00000000" w:rsidR="00000000" w:rsidRPr="00000000">
        <w:rPr>
          <w:rtl w:val="0"/>
        </w:rPr>
        <w:t xml:space="preserve">Learning Theories</w:t>
      </w:r>
    </w:p>
    <w:p w:rsidR="00000000" w:rsidDel="00000000" w:rsidP="00000000" w:rsidRDefault="00000000" w:rsidRPr="00000000" w14:paraId="000001F5">
      <w:pPr>
        <w:spacing w:line="480" w:lineRule="auto"/>
        <w:jc w:val="both"/>
        <w:rPr>
          <w:sz w:val="22"/>
          <w:szCs w:val="22"/>
        </w:rPr>
      </w:pPr>
      <w:r w:rsidDel="00000000" w:rsidR="00000000" w:rsidRPr="00000000">
        <w:rPr>
          <w:sz w:val="22"/>
          <w:szCs w:val="22"/>
          <w:rtl w:val="0"/>
        </w:rPr>
        <w:t xml:space="preserve">Behavioural psychologists believe any activity that stimulates an individual can become addictive, noting behavioural addiction shares many similarities with substance use and misuse (Alavi et al 2011, p.455). Pickard (2021) further argues addiction is as a result of a “</w:t>
      </w:r>
      <w:r w:rsidDel="00000000" w:rsidR="00000000" w:rsidRPr="00000000">
        <w:rPr>
          <w:i w:val="1"/>
          <w:sz w:val="22"/>
          <w:szCs w:val="22"/>
          <w:rtl w:val="0"/>
        </w:rPr>
        <w:t xml:space="preserve">system of addictive beliefs</w:t>
      </w:r>
      <w:r w:rsidDel="00000000" w:rsidR="00000000" w:rsidRPr="00000000">
        <w:rPr>
          <w:sz w:val="22"/>
          <w:szCs w:val="22"/>
          <w:rtl w:val="0"/>
        </w:rPr>
        <w:t xml:space="preserve">”, focussing on finding pleasure, problem solving, and the management or escape of these problems. </w:t>
      </w:r>
    </w:p>
    <w:p w:rsidR="00000000" w:rsidDel="00000000" w:rsidP="00000000" w:rsidRDefault="00000000" w:rsidRPr="00000000" w14:paraId="000001F6">
      <w:pPr>
        <w:spacing w:line="480" w:lineRule="auto"/>
        <w:jc w:val="both"/>
        <w:rPr>
          <w:sz w:val="22"/>
          <w:szCs w:val="22"/>
        </w:rPr>
      </w:pPr>
      <w:r w:rsidDel="00000000" w:rsidR="00000000" w:rsidRPr="00000000">
        <w:rPr>
          <w:rtl w:val="0"/>
        </w:rPr>
      </w:r>
    </w:p>
    <w:p w:rsidR="00000000" w:rsidDel="00000000" w:rsidP="00000000" w:rsidRDefault="00000000" w:rsidRPr="00000000" w14:paraId="000001F7">
      <w:pPr>
        <w:spacing w:line="480" w:lineRule="auto"/>
        <w:jc w:val="both"/>
        <w:rPr>
          <w:sz w:val="22"/>
          <w:szCs w:val="22"/>
        </w:rPr>
      </w:pPr>
      <w:r w:rsidDel="00000000" w:rsidR="00000000" w:rsidRPr="00000000">
        <w:rPr>
          <w:sz w:val="22"/>
          <w:szCs w:val="22"/>
          <w:rtl w:val="0"/>
        </w:rPr>
        <w:t xml:space="preserve">Learning theories suggest the development of an addiction can be a continuum of recreational use, with the diagnostic criteria of “</w:t>
      </w:r>
      <w:r w:rsidDel="00000000" w:rsidR="00000000" w:rsidRPr="00000000">
        <w:rPr>
          <w:i w:val="1"/>
          <w:sz w:val="22"/>
          <w:szCs w:val="22"/>
          <w:rtl w:val="0"/>
        </w:rPr>
        <w:t xml:space="preserve">loss of control</w:t>
      </w:r>
      <w:r w:rsidDel="00000000" w:rsidR="00000000" w:rsidRPr="00000000">
        <w:rPr>
          <w:sz w:val="22"/>
          <w:szCs w:val="22"/>
          <w:rtl w:val="0"/>
        </w:rPr>
        <w:t xml:space="preserve">” being indicated as the differentiating factor between dependence and addiction (Alavi et al 2011, p.455). Individuals engaging in addictive behaviours continue to do so regardless of harm (Alavi et al 2011, p.455). To contextualise, 74,600 individuals died from smoking related illnesses in 2019 despite the widely understood and publicised risks (National Health Service 2023). Learning theories suggest behaviours can be understood by examining rewards or punishments individuals experience through such behaviours, rewards such as achieving a goal, or punishments such as adverse outcomes (Moss and Dyer 2010, p.52). </w:t>
      </w:r>
    </w:p>
    <w:p w:rsidR="00000000" w:rsidDel="00000000" w:rsidP="00000000" w:rsidRDefault="00000000" w:rsidRPr="00000000" w14:paraId="000001F8">
      <w:pPr>
        <w:spacing w:line="480" w:lineRule="auto"/>
        <w:jc w:val="both"/>
        <w:rPr>
          <w:sz w:val="22"/>
          <w:szCs w:val="22"/>
        </w:rPr>
      </w:pPr>
      <w:r w:rsidDel="00000000" w:rsidR="00000000" w:rsidRPr="00000000">
        <w:rPr>
          <w:rtl w:val="0"/>
        </w:rPr>
      </w:r>
    </w:p>
    <w:p w:rsidR="00000000" w:rsidDel="00000000" w:rsidP="00000000" w:rsidRDefault="00000000" w:rsidRPr="00000000" w14:paraId="000001F9">
      <w:pPr>
        <w:spacing w:line="480" w:lineRule="auto"/>
        <w:jc w:val="both"/>
        <w:rPr>
          <w:sz w:val="22"/>
          <w:szCs w:val="22"/>
        </w:rPr>
      </w:pPr>
      <w:r w:rsidDel="00000000" w:rsidR="00000000" w:rsidRPr="00000000">
        <w:rPr>
          <w:sz w:val="22"/>
          <w:szCs w:val="22"/>
          <w:rtl w:val="0"/>
        </w:rPr>
        <w:t xml:space="preserve">There is a substantial literature base supporting the idea of Operant Conditioning and its association with addiction (Miguel et al 2015, p.779). Based on BF Skinner’s work, Operant Conditioning is constructed by reinforcement through rewards or punishments, which can either increase or decrease the likelihood of repeated behaviour (Moss and Dyer 2010, p.52). Reinforcement also refers to “</w:t>
      </w:r>
      <w:r w:rsidDel="00000000" w:rsidR="00000000" w:rsidRPr="00000000">
        <w:rPr>
          <w:i w:val="1"/>
          <w:sz w:val="22"/>
          <w:szCs w:val="22"/>
          <w:rtl w:val="0"/>
        </w:rPr>
        <w:t xml:space="preserve">satiation</w:t>
      </w:r>
      <w:r w:rsidDel="00000000" w:rsidR="00000000" w:rsidRPr="00000000">
        <w:rPr>
          <w:sz w:val="22"/>
          <w:szCs w:val="22"/>
          <w:rtl w:val="0"/>
        </w:rPr>
        <w:t xml:space="preserve">”, or the sense of feeling fulfilled (Moss and Dyer 2010, p.52). Positive reinforcements increase the likelihood of the behaviour being repeated, where negative reinforcement reduce or stops this likelihood. In his experiment, Skinner placed a rat in a box with a lever that releases a food pellet when operated. Eventually, the rat learnt and therefore associated the operation of this lever with food and repeated the behaviour – positive reinforcement. Alternatively, an unpleasant situation, such as an electric current in the floor of the box, was removed when the lever was pressed, a term called “</w:t>
      </w:r>
      <w:r w:rsidDel="00000000" w:rsidR="00000000" w:rsidRPr="00000000">
        <w:rPr>
          <w:i w:val="1"/>
          <w:sz w:val="22"/>
          <w:szCs w:val="22"/>
          <w:rtl w:val="0"/>
        </w:rPr>
        <w:t xml:space="preserve">negative reinforcement</w:t>
      </w:r>
      <w:r w:rsidDel="00000000" w:rsidR="00000000" w:rsidRPr="00000000">
        <w:rPr>
          <w:sz w:val="22"/>
          <w:szCs w:val="22"/>
          <w:rtl w:val="0"/>
        </w:rPr>
        <w:t xml:space="preserve">” (Moss and Dyer 2010, p.52).</w:t>
      </w:r>
      <w:r w:rsidDel="00000000" w:rsidR="00000000" w:rsidRPr="00000000">
        <w:rPr>
          <w:rtl w:val="0"/>
        </w:rPr>
        <w:t xml:space="preserve"> </w:t>
      </w:r>
      <w:r w:rsidDel="00000000" w:rsidR="00000000" w:rsidRPr="00000000">
        <w:rPr>
          <w:sz w:val="22"/>
          <w:szCs w:val="22"/>
          <w:rtl w:val="0"/>
        </w:rPr>
        <w:t xml:space="preserve">In the context of prescribed drug dependence, the improvement in mood, or reduction in pain, can serve as a positive reinforcer in which the individual may associate with the medicine (Alavi et al, p.456). Furthermore, the alleviation of negative experiences such as pain or withdrawal can also reinforce this behaviour, resulting in the substance acting as a positive reinforcer (Orford 2001). Not all experiences, however, are reinforcing. If an individual uses a substance, or medication, for the first time and experience side effects, it may discourage continued use. </w:t>
      </w:r>
    </w:p>
    <w:p w:rsidR="00000000" w:rsidDel="00000000" w:rsidP="00000000" w:rsidRDefault="00000000" w:rsidRPr="00000000" w14:paraId="000001FA">
      <w:pPr>
        <w:spacing w:line="480" w:lineRule="auto"/>
        <w:jc w:val="both"/>
        <w:rPr>
          <w:sz w:val="22"/>
          <w:szCs w:val="22"/>
        </w:rPr>
      </w:pPr>
      <w:r w:rsidDel="00000000" w:rsidR="00000000" w:rsidRPr="00000000">
        <w:rPr>
          <w:rtl w:val="0"/>
        </w:rPr>
      </w:r>
    </w:p>
    <w:p w:rsidR="00000000" w:rsidDel="00000000" w:rsidP="00000000" w:rsidRDefault="00000000" w:rsidRPr="00000000" w14:paraId="000001FB">
      <w:pPr>
        <w:spacing w:line="480" w:lineRule="auto"/>
        <w:jc w:val="both"/>
        <w:rPr>
          <w:sz w:val="22"/>
          <w:szCs w:val="22"/>
        </w:rPr>
      </w:pPr>
      <w:r w:rsidDel="00000000" w:rsidR="00000000" w:rsidRPr="00000000">
        <w:rPr>
          <w:sz w:val="22"/>
          <w:szCs w:val="22"/>
          <w:rtl w:val="0"/>
        </w:rPr>
        <w:t xml:space="preserve">Alternative theories include Classical Conditioning, based on the classic work of Pavlov. Pavlov’s theory is a well-known model of learning, often referred to as “</w:t>
      </w:r>
      <w:r w:rsidDel="00000000" w:rsidR="00000000" w:rsidRPr="00000000">
        <w:rPr>
          <w:i w:val="1"/>
          <w:sz w:val="22"/>
          <w:szCs w:val="22"/>
          <w:rtl w:val="0"/>
        </w:rPr>
        <w:t xml:space="preserve">Pavlovian Theory</w:t>
      </w:r>
      <w:r w:rsidDel="00000000" w:rsidR="00000000" w:rsidRPr="00000000">
        <w:rPr>
          <w:sz w:val="22"/>
          <w:szCs w:val="22"/>
          <w:rtl w:val="0"/>
        </w:rPr>
        <w:t xml:space="preserve">”. Pavlov set up an experiment, whereby he rang a bell (unconditioned stimulus) immediately before feeding his dogs (Rehman et al 2024, p.3). Initially, there was no response, however eventually the dogs began to salivate upon hearing the bell regardless of whether food was presented. Initially, the bell was considered a neutral stimulus, since no response was elicited, however became conditioned when the dogs began to associate the bell with food (Rehman et al 2024, p.3). Both humans and animals learn to associate stimuli that occur close together regardless of their causal link and has been evidenced in early works and observations. </w:t>
      </w:r>
    </w:p>
    <w:p w:rsidR="00000000" w:rsidDel="00000000" w:rsidP="00000000" w:rsidRDefault="00000000" w:rsidRPr="00000000" w14:paraId="000001FC">
      <w:pPr>
        <w:spacing w:line="480" w:lineRule="auto"/>
        <w:jc w:val="both"/>
        <w:rPr>
          <w:sz w:val="22"/>
          <w:szCs w:val="22"/>
        </w:rPr>
      </w:pPr>
      <w:r w:rsidDel="00000000" w:rsidR="00000000" w:rsidRPr="00000000">
        <w:rPr>
          <w:rtl w:val="0"/>
        </w:rPr>
      </w:r>
    </w:p>
    <w:p w:rsidR="00000000" w:rsidDel="00000000" w:rsidP="00000000" w:rsidRDefault="00000000" w:rsidRPr="00000000" w14:paraId="000001FD">
      <w:pPr>
        <w:spacing w:line="480" w:lineRule="auto"/>
        <w:jc w:val="both"/>
        <w:rPr>
          <w:sz w:val="22"/>
          <w:szCs w:val="22"/>
        </w:rPr>
      </w:pPr>
      <w:r w:rsidDel="00000000" w:rsidR="00000000" w:rsidRPr="00000000">
        <w:rPr>
          <w:sz w:val="22"/>
          <w:szCs w:val="22"/>
          <w:rtl w:val="0"/>
        </w:rPr>
        <w:t xml:space="preserve">Robins et al (1975) documented the panic arising in the United States in the post-Vietnam War era. Whilst in Vietnam, 43% of soldiers used opiates (opium and heroin), with 20% of these users experiencing a dependence (Robins et al 1975). There was a concern this would continue when the soldiers returned home, however, this was not the case as only 10% of soldiers continued to use opiates on their return (Robins et al 1975). Although heroin was available, returning soldiers did not use heroin due to experiencing adverse effects, criminal justice implications and the risk of disapproval of their peers or family (Robins et al 1975). It appears that these soldiers were using opiates for the euphoric feeling, alongside an escape from the stressful combat situations they were in, homesickness, boredom, poor mental health and fear (Robins et al 1975, Becona 2018 p.271). The individual experienced an improvement in their circumstances. This included a safe and secure environment, free from stressors associated with conflict, surrounded by family and partners. These improvements in soldier’s lives resulted in opiate use amongst soldiers returning to pre-war levels almost overnight (Robins et al 1975, Becona 2018 p.271). </w:t>
      </w:r>
    </w:p>
    <w:p w:rsidR="00000000" w:rsidDel="00000000" w:rsidP="00000000" w:rsidRDefault="00000000" w:rsidRPr="00000000" w14:paraId="000001FE">
      <w:pPr>
        <w:spacing w:line="480" w:lineRule="auto"/>
        <w:jc w:val="both"/>
        <w:rPr>
          <w:sz w:val="22"/>
          <w:szCs w:val="22"/>
        </w:rPr>
      </w:pPr>
      <w:r w:rsidDel="00000000" w:rsidR="00000000" w:rsidRPr="00000000">
        <w:rPr>
          <w:rtl w:val="0"/>
        </w:rPr>
      </w:r>
    </w:p>
    <w:p w:rsidR="00000000" w:rsidDel="00000000" w:rsidP="00000000" w:rsidRDefault="00000000" w:rsidRPr="00000000" w14:paraId="000001FF">
      <w:pPr>
        <w:spacing w:line="480" w:lineRule="auto"/>
        <w:jc w:val="both"/>
        <w:rPr>
          <w:sz w:val="22"/>
          <w:szCs w:val="22"/>
        </w:rPr>
      </w:pPr>
      <w:r w:rsidDel="00000000" w:rsidR="00000000" w:rsidRPr="00000000">
        <w:rPr>
          <w:sz w:val="22"/>
          <w:szCs w:val="22"/>
          <w:rtl w:val="0"/>
        </w:rPr>
        <w:t xml:space="preserve">Alongside the development of the BDMA, the social model of addiction emerged through a grassroots movement, stemming from the principles of the Alcoholics Anonymous (AA) (Wittman and Polcin 2014, Shaw and Borkman 1990, Borkman 1983). Despite limited research into this model, the available literature suggests improved outcomes compared to clinical studies (Polcin et al 2014, p.436). Some of the primary characteristics are as follows:</w:t>
      </w:r>
    </w:p>
    <w:p w:rsidR="00000000" w:rsidDel="00000000" w:rsidP="00000000" w:rsidRDefault="00000000" w:rsidRPr="00000000" w14:paraId="00000200">
      <w:pPr>
        <w:spacing w:line="480" w:lineRule="auto"/>
        <w:jc w:val="both"/>
        <w:rPr>
          <w:sz w:val="22"/>
          <w:szCs w:val="22"/>
        </w:rPr>
      </w:pPr>
      <w:r w:rsidDel="00000000" w:rsidR="00000000" w:rsidRPr="00000000">
        <w:rPr>
          <w:rtl w:val="0"/>
        </w:rPr>
      </w:r>
    </w:p>
    <w:p w:rsidR="00000000" w:rsidDel="00000000" w:rsidP="00000000" w:rsidRDefault="00000000" w:rsidRPr="00000000" w14:paraId="00000201">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Emphasis of experiential knowledge gained through one’s recovery experience.</w:t>
      </w:r>
    </w:p>
    <w:p w:rsidR="00000000" w:rsidDel="00000000" w:rsidP="00000000" w:rsidRDefault="00000000" w:rsidRPr="00000000" w14:paraId="0000020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Recovery operates through connections.</w:t>
      </w:r>
    </w:p>
    <w:p w:rsidR="00000000" w:rsidDel="00000000" w:rsidP="00000000" w:rsidRDefault="00000000" w:rsidRPr="00000000" w14:paraId="00000203">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Participants are both consumers and providers, both giving and receiving support.</w:t>
      </w:r>
    </w:p>
    <w:p w:rsidR="00000000" w:rsidDel="00000000" w:rsidP="00000000" w:rsidRDefault="00000000" w:rsidRPr="00000000" w14:paraId="00000204">
      <w:pPr>
        <w:spacing w:line="480" w:lineRule="auto"/>
        <w:ind w:left="360" w:firstLine="0"/>
        <w:jc w:val="both"/>
        <w:rPr>
          <w:sz w:val="22"/>
          <w:szCs w:val="22"/>
        </w:rPr>
      </w:pPr>
      <w:r w:rsidDel="00000000" w:rsidR="00000000" w:rsidRPr="00000000">
        <w:rPr>
          <w:rtl w:val="0"/>
        </w:rPr>
      </w:r>
    </w:p>
    <w:p w:rsidR="00000000" w:rsidDel="00000000" w:rsidP="00000000" w:rsidRDefault="00000000" w:rsidRPr="00000000" w14:paraId="00000205">
      <w:pPr>
        <w:spacing w:line="480" w:lineRule="auto"/>
        <w:ind w:left="360" w:firstLine="0"/>
        <w:jc w:val="right"/>
        <w:rPr>
          <w:sz w:val="22"/>
          <w:szCs w:val="22"/>
        </w:rPr>
      </w:pPr>
      <w:r w:rsidDel="00000000" w:rsidR="00000000" w:rsidRPr="00000000">
        <w:rPr>
          <w:sz w:val="22"/>
          <w:szCs w:val="22"/>
          <w:rtl w:val="0"/>
        </w:rPr>
        <w:t xml:space="preserve">(Wright 1990, Polcin et al 2014 p.436)</w:t>
      </w:r>
    </w:p>
    <w:p w:rsidR="00000000" w:rsidDel="00000000" w:rsidP="00000000" w:rsidRDefault="00000000" w:rsidRPr="00000000" w14:paraId="00000206">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207">
      <w:pPr>
        <w:spacing w:line="480" w:lineRule="auto"/>
        <w:jc w:val="both"/>
        <w:rPr>
          <w:sz w:val="22"/>
          <w:szCs w:val="22"/>
        </w:rPr>
      </w:pPr>
      <w:r w:rsidDel="00000000" w:rsidR="00000000" w:rsidRPr="00000000">
        <w:rPr>
          <w:sz w:val="22"/>
          <w:szCs w:val="22"/>
          <w:rtl w:val="0"/>
        </w:rPr>
        <w:t xml:space="preserve">Recovery is considered a “</w:t>
      </w:r>
      <w:r w:rsidDel="00000000" w:rsidR="00000000" w:rsidRPr="00000000">
        <w:rPr>
          <w:i w:val="1"/>
          <w:sz w:val="22"/>
          <w:szCs w:val="22"/>
          <w:rtl w:val="0"/>
        </w:rPr>
        <w:t xml:space="preserve">social experience</w:t>
      </w:r>
      <w:r w:rsidDel="00000000" w:rsidR="00000000" w:rsidRPr="00000000">
        <w:rPr>
          <w:sz w:val="22"/>
          <w:szCs w:val="22"/>
          <w:rtl w:val="0"/>
        </w:rPr>
        <w:t xml:space="preserve">” that is subjective in nature (Healther et al 2018, p.250), as evidenced using psychosocial interventions. These include Cognitive Behavioural Therapy (CBT), Motivational Interviewing (MI) and mutual aid groups such as Alcoholics Anonymous, which have been suggested to be the most effective treatments for addiction (Miller and Wilbourne 2002, Dutra et al 2008, Kelly 2017). The idea one can recover does not support the theory that addiction is a chronic disease and challenges the self-determination and personal responsibility associated with recovery narratives (Peele 2015, Volkow et al 2016, p.364).  </w:t>
      </w:r>
    </w:p>
    <w:p w:rsidR="00000000" w:rsidDel="00000000" w:rsidP="00000000" w:rsidRDefault="00000000" w:rsidRPr="00000000" w14:paraId="00000208">
      <w:pPr>
        <w:spacing w:line="480" w:lineRule="auto"/>
        <w:jc w:val="both"/>
        <w:rPr>
          <w:sz w:val="22"/>
          <w:szCs w:val="22"/>
        </w:rPr>
      </w:pPr>
      <w:r w:rsidDel="00000000" w:rsidR="00000000" w:rsidRPr="00000000">
        <w:rPr>
          <w:rtl w:val="0"/>
        </w:rPr>
      </w:r>
    </w:p>
    <w:p w:rsidR="00000000" w:rsidDel="00000000" w:rsidP="00000000" w:rsidRDefault="00000000" w:rsidRPr="00000000" w14:paraId="00000209">
      <w:pPr>
        <w:spacing w:line="480" w:lineRule="auto"/>
        <w:jc w:val="both"/>
        <w:rPr>
          <w:sz w:val="22"/>
          <w:szCs w:val="22"/>
        </w:rPr>
      </w:pPr>
      <w:r w:rsidDel="00000000" w:rsidR="00000000" w:rsidRPr="00000000">
        <w:rPr>
          <w:sz w:val="22"/>
          <w:szCs w:val="22"/>
          <w:rtl w:val="0"/>
        </w:rPr>
        <w:t xml:space="preserve">In modern day practice, community engagement and social activities have been identified as a potential treatment for poor mental health. The NHS Long Term Plan was written to find ways to mitigate the increasing prescribing rates, which included social prescribing and community-based approaches (Ogden 2022, NHS England 2023). Social prescribing, often referred to Community Referral, enables GPs and allied healthcare professionals to refer patients to a range of local and non-clinical services (NHS 2022), to reduce prescribing (Health Research Group 2021). This is assessed on a patient’s socioeconomic, and environmental factors with the aim of providing support to patients so they can take greater control of their own health in a holistic way (NHS 2022). </w:t>
      </w:r>
    </w:p>
    <w:p w:rsidR="00000000" w:rsidDel="00000000" w:rsidP="00000000" w:rsidRDefault="00000000" w:rsidRPr="00000000" w14:paraId="0000020A">
      <w:pPr>
        <w:spacing w:line="480" w:lineRule="auto"/>
        <w:jc w:val="both"/>
        <w:rPr>
          <w:sz w:val="22"/>
          <w:szCs w:val="22"/>
        </w:rPr>
      </w:pPr>
      <w:r w:rsidDel="00000000" w:rsidR="00000000" w:rsidRPr="00000000">
        <w:rPr>
          <w:rtl w:val="0"/>
        </w:rPr>
      </w:r>
    </w:p>
    <w:p w:rsidR="00000000" w:rsidDel="00000000" w:rsidP="00000000" w:rsidRDefault="00000000" w:rsidRPr="00000000" w14:paraId="0000020B">
      <w:pPr>
        <w:spacing w:line="480" w:lineRule="auto"/>
        <w:jc w:val="both"/>
        <w:rPr>
          <w:sz w:val="22"/>
          <w:szCs w:val="22"/>
        </w:rPr>
      </w:pPr>
      <w:r w:rsidDel="00000000" w:rsidR="00000000" w:rsidRPr="00000000">
        <w:rPr>
          <w:sz w:val="22"/>
          <w:szCs w:val="22"/>
          <w:rtl w:val="0"/>
        </w:rPr>
        <w:t xml:space="preserve">Examples of schemes in which patients can be referred to include volunteering, gardening, befriending, cooking, and sporting activities (NHS 2022).  This scheme involves the community by listening to patients and conducting research to gain insight into the local needs. Analysis of research conducted as early as 2013 found that social prescribing reduced the need for GP attendance (Kimberlee 2013). Social prescribing schemes have found that patient satisfaction is as high as 4.8/5, as participants were listened to and were referred to projects that met their needs (Polley and Pilkington 2017). For example, the convenience of the venue and the ability to discuss concerns with the social prescribing practitioner (Polley and Pilkington 2017). Participants in the same scheme assessed in Polley and Pilkington’s study reported statistically significant increases in wellbeing measures, patient activation, and loneliness (Polley et al 2019). In terms of prescribing in primary care, Polley and Pilkington (2017), found a 28% reduction in demand for GP services who had been referred to a social prescribing scheme.</w:t>
      </w:r>
    </w:p>
    <w:p w:rsidR="00000000" w:rsidDel="00000000" w:rsidP="00000000" w:rsidRDefault="00000000" w:rsidRPr="00000000" w14:paraId="0000020C">
      <w:pPr>
        <w:spacing w:line="480" w:lineRule="auto"/>
        <w:jc w:val="both"/>
        <w:rPr>
          <w:sz w:val="22"/>
          <w:szCs w:val="22"/>
        </w:rPr>
      </w:pPr>
      <w:r w:rsidDel="00000000" w:rsidR="00000000" w:rsidRPr="00000000">
        <w:rPr>
          <w:rtl w:val="0"/>
        </w:rPr>
      </w:r>
    </w:p>
    <w:p w:rsidR="00000000" w:rsidDel="00000000" w:rsidP="00000000" w:rsidRDefault="00000000" w:rsidRPr="00000000" w14:paraId="0000020D">
      <w:pPr>
        <w:spacing w:line="480" w:lineRule="auto"/>
        <w:jc w:val="both"/>
        <w:rPr>
          <w:sz w:val="22"/>
          <w:szCs w:val="22"/>
        </w:rPr>
      </w:pPr>
      <w:r w:rsidDel="00000000" w:rsidR="00000000" w:rsidRPr="00000000">
        <w:rPr>
          <w:sz w:val="22"/>
          <w:szCs w:val="22"/>
          <w:rtl w:val="0"/>
        </w:rPr>
        <w:t xml:space="preserve">The aim in the first part of this chapter has been to summarise the key debates and rival explanations for why addiction and dependence are thought to occur. In the next main part of this chapter, additional theoretical insights are also considered but importantly these draw upon much broader concepts within sociology; these relate to, firstly, the concept of the sick role and its influential role in understanding the role of patients and other key actors in healthcare –  particularly doctors – and it will be argued that despite its historic significance and applicability more to acute illness initially, it remains an important and powerful way of framing patient’s interaction and crucially expectations within a health system. The second sociological theory to be introduced and argued to be relevant to this research relates to stigma and stigmatisation. Again, this is a theory with a relatively long tradition going back into the mid-part of the last century but, like the sick role, it will be argued to be important in framing this research. These are now considered in turn.</w:t>
      </w:r>
    </w:p>
    <w:p w:rsidR="00000000" w:rsidDel="00000000" w:rsidP="00000000" w:rsidRDefault="00000000" w:rsidRPr="00000000" w14:paraId="0000020E">
      <w:pPr>
        <w:spacing w:line="480" w:lineRule="auto"/>
        <w:jc w:val="both"/>
        <w:rPr>
          <w:sz w:val="22"/>
          <w:szCs w:val="22"/>
        </w:rPr>
      </w:pPr>
      <w:r w:rsidDel="00000000" w:rsidR="00000000" w:rsidRPr="00000000">
        <w:rPr>
          <w:rtl w:val="0"/>
        </w:rPr>
      </w:r>
    </w:p>
    <w:p w:rsidR="00000000" w:rsidDel="00000000" w:rsidP="00000000" w:rsidRDefault="00000000" w:rsidRPr="00000000" w14:paraId="0000020F">
      <w:pPr>
        <w:pStyle w:val="Heading2"/>
        <w:numPr>
          <w:ilvl w:val="1"/>
          <w:numId w:val="8"/>
        </w:numPr>
        <w:spacing w:line="480" w:lineRule="auto"/>
        <w:ind w:left="720" w:hanging="720"/>
        <w:rPr/>
      </w:pPr>
      <w:bookmarkStart w:colFirst="0" w:colLast="0" w:name="_heading=h.2bn6wsx" w:id="26"/>
      <w:bookmarkEnd w:id="26"/>
      <w:r w:rsidDel="00000000" w:rsidR="00000000" w:rsidRPr="00000000">
        <w:rPr>
          <w:rtl w:val="0"/>
        </w:rPr>
        <w:t xml:space="preserve">The sick role </w:t>
      </w:r>
    </w:p>
    <w:p w:rsidR="00000000" w:rsidDel="00000000" w:rsidP="00000000" w:rsidRDefault="00000000" w:rsidRPr="00000000" w14:paraId="00000210">
      <w:pPr>
        <w:spacing w:line="480" w:lineRule="auto"/>
        <w:jc w:val="both"/>
        <w:rPr>
          <w:sz w:val="22"/>
          <w:szCs w:val="22"/>
        </w:rPr>
      </w:pPr>
      <w:r w:rsidDel="00000000" w:rsidR="00000000" w:rsidRPr="00000000">
        <w:rPr>
          <w:rFonts w:ascii="Aptos" w:cs="Aptos" w:eastAsia="Aptos" w:hAnsi="Aptos"/>
          <w:sz w:val="22"/>
          <w:szCs w:val="22"/>
          <w:rtl w:val="0"/>
        </w:rPr>
        <w:t xml:space="preserve">The sick role was developed in the early 1950s by the sociologist Talcott Parsons</w:t>
      </w:r>
      <w:r w:rsidDel="00000000" w:rsidR="00000000" w:rsidRPr="00000000">
        <w:rPr>
          <w:sz w:val="22"/>
          <w:szCs w:val="22"/>
          <w:rtl w:val="0"/>
        </w:rPr>
        <w:t xml:space="preserve">, as a key part of his wider analysis of how illness and status of individuals experiencing illness could and should be viewed in society. It drew on a structural functionalist perspective and was part of Parson’s attempt to explain and justify how individuals acted socially rather than behaved and was an attempt to move beyond the biomedical approach so widely adopted in modern medicine (Parsons 1951, Coates 2024). The sick role is considered important in this research as it provides a framework for considering how individuals experience illness and health and in the context of dependence to medicines, what might be the expectations of those affected as patients, but also what the implications of this might be.</w:t>
      </w:r>
    </w:p>
    <w:p w:rsidR="00000000" w:rsidDel="00000000" w:rsidP="00000000" w:rsidRDefault="00000000" w:rsidRPr="00000000" w14:paraId="00000211">
      <w:pPr>
        <w:spacing w:line="480" w:lineRule="auto"/>
        <w:jc w:val="both"/>
        <w:rPr>
          <w:sz w:val="22"/>
          <w:szCs w:val="22"/>
        </w:rPr>
      </w:pPr>
      <w:r w:rsidDel="00000000" w:rsidR="00000000" w:rsidRPr="00000000">
        <w:rPr>
          <w:rtl w:val="0"/>
        </w:rPr>
      </w:r>
    </w:p>
    <w:p w:rsidR="00000000" w:rsidDel="00000000" w:rsidP="00000000" w:rsidRDefault="00000000" w:rsidRPr="00000000" w14:paraId="00000212">
      <w:pPr>
        <w:spacing w:line="480" w:lineRule="auto"/>
        <w:jc w:val="both"/>
        <w:rPr>
          <w:sz w:val="22"/>
          <w:szCs w:val="22"/>
        </w:rPr>
      </w:pPr>
      <w:r w:rsidDel="00000000" w:rsidR="00000000" w:rsidRPr="00000000">
        <w:rPr>
          <w:sz w:val="22"/>
          <w:szCs w:val="22"/>
          <w:rtl w:val="0"/>
        </w:rPr>
        <w:t xml:space="preserve">In the concept of the sick role, Parsons suggested that sickness and the experiences of being unwell are not only biological or physical, but a socio-cultural phenomenon “</w:t>
      </w:r>
      <w:r w:rsidDel="00000000" w:rsidR="00000000" w:rsidRPr="00000000">
        <w:rPr>
          <w:i w:val="1"/>
          <w:sz w:val="22"/>
          <w:szCs w:val="22"/>
          <w:rtl w:val="0"/>
        </w:rPr>
        <w:t xml:space="preserve">locating people within social roles incorporating certain institutionalised expectations</w:t>
      </w:r>
      <w:r w:rsidDel="00000000" w:rsidR="00000000" w:rsidRPr="00000000">
        <w:rPr>
          <w:sz w:val="22"/>
          <w:szCs w:val="22"/>
          <w:rtl w:val="0"/>
        </w:rPr>
        <w:t xml:space="preserve">” (Crossley 1998 p.509, Nettleton 2013, Burnham 2013). These expectations include rights and responsibilities, placing “</w:t>
      </w:r>
      <w:r w:rsidDel="00000000" w:rsidR="00000000" w:rsidRPr="00000000">
        <w:rPr>
          <w:i w:val="1"/>
          <w:sz w:val="22"/>
          <w:szCs w:val="22"/>
          <w:rtl w:val="0"/>
        </w:rPr>
        <w:t xml:space="preserve">judgements on how people fulfil such roles</w:t>
      </w:r>
      <w:r w:rsidDel="00000000" w:rsidR="00000000" w:rsidRPr="00000000">
        <w:rPr>
          <w:sz w:val="22"/>
          <w:szCs w:val="22"/>
          <w:rtl w:val="0"/>
        </w:rPr>
        <w:t xml:space="preserve">” (Cheshire et al 2021). Parsons defined health as “</w:t>
      </w:r>
      <w:r w:rsidDel="00000000" w:rsidR="00000000" w:rsidRPr="00000000">
        <w:rPr>
          <w:i w:val="1"/>
          <w:sz w:val="22"/>
          <w:szCs w:val="22"/>
          <w:rtl w:val="0"/>
        </w:rPr>
        <w:t xml:space="preserve">the state of optimum capacity of an individual for the effective performance of the roles and tasks for which he has been socialised</w:t>
      </w:r>
      <w:r w:rsidDel="00000000" w:rsidR="00000000" w:rsidRPr="00000000">
        <w:rPr>
          <w:sz w:val="22"/>
          <w:szCs w:val="22"/>
          <w:rtl w:val="0"/>
        </w:rPr>
        <w:t xml:space="preserve">”, and illness as the “</w:t>
      </w:r>
      <w:r w:rsidDel="00000000" w:rsidR="00000000" w:rsidRPr="00000000">
        <w:rPr>
          <w:i w:val="1"/>
          <w:sz w:val="22"/>
          <w:szCs w:val="22"/>
          <w:rtl w:val="0"/>
        </w:rPr>
        <w:t xml:space="preserve">breakdown of the general capacity for the effective performance of valued tasks</w:t>
      </w:r>
      <w:r w:rsidDel="00000000" w:rsidR="00000000" w:rsidRPr="00000000">
        <w:rPr>
          <w:sz w:val="22"/>
          <w:szCs w:val="22"/>
          <w:rtl w:val="0"/>
        </w:rPr>
        <w:t xml:space="preserve">” (Parsons 1964, Varul 2010 p.4). Parsons goes on to suggest “</w:t>
      </w:r>
      <w:r w:rsidDel="00000000" w:rsidR="00000000" w:rsidRPr="00000000">
        <w:rPr>
          <w:i w:val="1"/>
          <w:sz w:val="22"/>
          <w:szCs w:val="22"/>
          <w:rtl w:val="0"/>
        </w:rPr>
        <w:t xml:space="preserve">society’s gift of life is repaid by continued contributions and conformity to social expectations</w:t>
      </w:r>
      <w:r w:rsidDel="00000000" w:rsidR="00000000" w:rsidRPr="00000000">
        <w:rPr>
          <w:sz w:val="22"/>
          <w:szCs w:val="22"/>
          <w:rtl w:val="0"/>
        </w:rPr>
        <w:t xml:space="preserve">” (Varul 2010, p.4). Those entering such role were defined as a “</w:t>
      </w:r>
      <w:r w:rsidDel="00000000" w:rsidR="00000000" w:rsidRPr="00000000">
        <w:rPr>
          <w:i w:val="1"/>
          <w:sz w:val="22"/>
          <w:szCs w:val="22"/>
          <w:rtl w:val="0"/>
        </w:rPr>
        <w:t xml:space="preserve">sick person who adopts certain patterns of behaviour in order to minimise the impact of their illness</w:t>
      </w:r>
      <w:r w:rsidDel="00000000" w:rsidR="00000000" w:rsidRPr="00000000">
        <w:rPr>
          <w:sz w:val="22"/>
          <w:szCs w:val="22"/>
          <w:rtl w:val="0"/>
        </w:rPr>
        <w:t xml:space="preserve">” (Giddens 2001, p.159). </w:t>
      </w:r>
    </w:p>
    <w:p w:rsidR="00000000" w:rsidDel="00000000" w:rsidP="00000000" w:rsidRDefault="00000000" w:rsidRPr="00000000" w14:paraId="00000213">
      <w:pPr>
        <w:spacing w:line="480" w:lineRule="auto"/>
        <w:jc w:val="both"/>
        <w:rPr>
          <w:sz w:val="22"/>
          <w:szCs w:val="22"/>
        </w:rPr>
      </w:pPr>
      <w:r w:rsidDel="00000000" w:rsidR="00000000" w:rsidRPr="00000000">
        <w:rPr>
          <w:rtl w:val="0"/>
        </w:rPr>
      </w:r>
    </w:p>
    <w:p w:rsidR="00000000" w:rsidDel="00000000" w:rsidP="00000000" w:rsidRDefault="00000000" w:rsidRPr="00000000" w14:paraId="00000214">
      <w:pPr>
        <w:spacing w:line="480" w:lineRule="auto"/>
        <w:jc w:val="both"/>
        <w:rPr>
          <w:rFonts w:ascii="Aptos" w:cs="Aptos" w:eastAsia="Aptos" w:hAnsi="Aptos"/>
          <w:sz w:val="22"/>
          <w:szCs w:val="22"/>
        </w:rPr>
      </w:pPr>
      <w:r w:rsidDel="00000000" w:rsidR="00000000" w:rsidRPr="00000000">
        <w:rPr>
          <w:sz w:val="22"/>
          <w:szCs w:val="22"/>
          <w:rtl w:val="0"/>
        </w:rPr>
        <w:t xml:space="preserve">Health is believed to be an essential component for the effective running of a “</w:t>
      </w:r>
      <w:r w:rsidDel="00000000" w:rsidR="00000000" w:rsidRPr="00000000">
        <w:rPr>
          <w:i w:val="1"/>
          <w:sz w:val="22"/>
          <w:szCs w:val="22"/>
          <w:rtl w:val="0"/>
        </w:rPr>
        <w:t xml:space="preserve">democratic, capitalist society</w:t>
      </w:r>
      <w:r w:rsidDel="00000000" w:rsidR="00000000" w:rsidRPr="00000000">
        <w:rPr>
          <w:sz w:val="22"/>
          <w:szCs w:val="22"/>
          <w:rtl w:val="0"/>
        </w:rPr>
        <w:t xml:space="preserve">”, where economic output and productivity is considered the most significant measure of the common good (Parsons 1964, Varul 2010 p.5).  Those who do not fulfil their roles, however, are considered deviant (Parsons 1964, Varul 2010 p.5).  </w:t>
      </w:r>
      <w:r w:rsidDel="00000000" w:rsidR="00000000" w:rsidRPr="00000000">
        <w:rPr>
          <w:rFonts w:ascii="Aptos" w:cs="Aptos" w:eastAsia="Aptos" w:hAnsi="Aptos"/>
          <w:sz w:val="22"/>
          <w:szCs w:val="22"/>
          <w:rtl w:val="0"/>
        </w:rPr>
        <w:t xml:space="preserve">Ill health can impact the individual’s ability to engage in social obligations, therefore threatening economic productivity and the smooth running of society. Parsons, therefore, believes is a form of social deviancy (Scrambler 2008, p.103-113, Parsons 1964). </w:t>
      </w:r>
    </w:p>
    <w:p w:rsidR="00000000" w:rsidDel="00000000" w:rsidP="00000000" w:rsidRDefault="00000000" w:rsidRPr="00000000" w14:paraId="00000215">
      <w:pPr>
        <w:spacing w:line="480" w:lineRule="auto"/>
        <w:jc w:val="both"/>
        <w:rPr>
          <w:sz w:val="22"/>
          <w:szCs w:val="22"/>
        </w:rPr>
      </w:pPr>
      <w:r w:rsidDel="00000000" w:rsidR="00000000" w:rsidRPr="00000000">
        <w:rPr>
          <w:rtl w:val="0"/>
        </w:rPr>
      </w:r>
    </w:p>
    <w:p w:rsidR="00000000" w:rsidDel="00000000" w:rsidP="00000000" w:rsidRDefault="00000000" w:rsidRPr="00000000" w14:paraId="00000216">
      <w:pPr>
        <w:spacing w:line="480" w:lineRule="auto"/>
        <w:jc w:val="both"/>
        <w:rPr>
          <w:sz w:val="22"/>
          <w:szCs w:val="22"/>
        </w:rPr>
      </w:pPr>
      <w:r w:rsidDel="00000000" w:rsidR="00000000" w:rsidRPr="00000000">
        <w:rPr>
          <w:sz w:val="22"/>
          <w:szCs w:val="22"/>
          <w:rtl w:val="0"/>
        </w:rPr>
        <w:t xml:space="preserve">Differences in deviance is noted, however. Those who identify as unwell are </w:t>
      </w:r>
      <w:r w:rsidDel="00000000" w:rsidR="00000000" w:rsidRPr="00000000">
        <w:rPr>
          <w:i w:val="1"/>
          <w:sz w:val="22"/>
          <w:szCs w:val="22"/>
          <w:rtl w:val="0"/>
        </w:rPr>
        <w:t xml:space="preserve">unable</w:t>
      </w:r>
      <w:r w:rsidDel="00000000" w:rsidR="00000000" w:rsidRPr="00000000">
        <w:rPr>
          <w:sz w:val="22"/>
          <w:szCs w:val="22"/>
          <w:rtl w:val="0"/>
        </w:rPr>
        <w:t xml:space="preserve"> to uphold their obligations, as opposed to those engaging in antisocial or dysfunctional behaviour, such as criminality (Parsons 1951). Those who enter the sick role are temporarily exempt from social obligations, such as work and caring duties, dependent on the nature and severity of their illness (Heidarnia et al 2016, p.130). With greater illness, greater the exemption from the social contract (Parsons 1951). </w:t>
      </w:r>
    </w:p>
    <w:p w:rsidR="00000000" w:rsidDel="00000000" w:rsidP="00000000" w:rsidRDefault="00000000" w:rsidRPr="00000000" w14:paraId="00000217">
      <w:pPr>
        <w:spacing w:line="480" w:lineRule="auto"/>
        <w:jc w:val="both"/>
        <w:rPr>
          <w:sz w:val="22"/>
          <w:szCs w:val="22"/>
        </w:rPr>
      </w:pPr>
      <w:r w:rsidDel="00000000" w:rsidR="00000000" w:rsidRPr="00000000">
        <w:rPr>
          <w:rtl w:val="0"/>
        </w:rPr>
      </w:r>
    </w:p>
    <w:p w:rsidR="00000000" w:rsidDel="00000000" w:rsidP="00000000" w:rsidRDefault="00000000" w:rsidRPr="00000000" w14:paraId="00000218">
      <w:pPr>
        <w:spacing w:line="480" w:lineRule="auto"/>
        <w:jc w:val="both"/>
        <w:rPr>
          <w:sz w:val="22"/>
          <w:szCs w:val="22"/>
        </w:rPr>
      </w:pPr>
      <w:r w:rsidDel="00000000" w:rsidR="00000000" w:rsidRPr="00000000">
        <w:rPr>
          <w:sz w:val="22"/>
          <w:szCs w:val="22"/>
          <w:rtl w:val="0"/>
        </w:rPr>
        <w:t xml:space="preserve">Those in the sick role are bound to several obligations, as shown in Table One. The sick person is not expected to move out of this position alone, suggesting they are largely not responsible for getting well. Although Parsons emphasised those who enter the sick role have not chosen to become unwell, and are therefore not responsible for their illness, they are still considered deviant and as a result, are obliged to “</w:t>
      </w:r>
      <w:r w:rsidDel="00000000" w:rsidR="00000000" w:rsidRPr="00000000">
        <w:rPr>
          <w:i w:val="1"/>
          <w:sz w:val="22"/>
          <w:szCs w:val="22"/>
          <w:rtl w:val="0"/>
        </w:rPr>
        <w:t xml:space="preserve">condone</w:t>
      </w:r>
      <w:r w:rsidDel="00000000" w:rsidR="00000000" w:rsidRPr="00000000">
        <w:rPr>
          <w:sz w:val="22"/>
          <w:szCs w:val="22"/>
          <w:rtl w:val="0"/>
        </w:rPr>
        <w:t xml:space="preserve">” their illness (Parsons 1951, Heidarnia et al 2016, p.130). Deviant, or unwell bodies, can be repaired by medicine (Parsons 1951, 1978). Modern medicine can be considered a normalising function, by correcting dysfunctional individuals and restore “</w:t>
      </w:r>
      <w:r w:rsidDel="00000000" w:rsidR="00000000" w:rsidRPr="00000000">
        <w:rPr>
          <w:i w:val="1"/>
          <w:sz w:val="22"/>
          <w:szCs w:val="22"/>
          <w:rtl w:val="0"/>
        </w:rPr>
        <w:t xml:space="preserve">patient abnormalities</w:t>
      </w:r>
      <w:r w:rsidDel="00000000" w:rsidR="00000000" w:rsidRPr="00000000">
        <w:rPr>
          <w:sz w:val="22"/>
          <w:szCs w:val="22"/>
          <w:rtl w:val="0"/>
        </w:rPr>
        <w:t xml:space="preserve">” (Canguilhem 1989, Foucault 1977, Mik-Meyer and Obling 2012, p.1028). </w:t>
      </w:r>
    </w:p>
    <w:p w:rsidR="00000000" w:rsidDel="00000000" w:rsidP="00000000" w:rsidRDefault="00000000" w:rsidRPr="00000000" w14:paraId="00000219">
      <w:pPr>
        <w:spacing w:line="480" w:lineRule="auto"/>
        <w:jc w:val="both"/>
        <w:rPr>
          <w:sz w:val="22"/>
          <w:szCs w:val="22"/>
        </w:rPr>
      </w:pPr>
      <w:r w:rsidDel="00000000" w:rsidR="00000000" w:rsidRPr="00000000">
        <w:rPr>
          <w:rtl w:val="0"/>
        </w:rPr>
      </w:r>
    </w:p>
    <w:tbl>
      <w:tblPr>
        <w:tblStyle w:val="Table2"/>
        <w:tblW w:w="9003.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491"/>
        <w:gridCol w:w="4014"/>
        <w:gridCol w:w="4498"/>
        <w:tblGridChange w:id="0">
          <w:tblGrid>
            <w:gridCol w:w="491"/>
            <w:gridCol w:w="4014"/>
            <w:gridCol w:w="4498"/>
          </w:tblGrid>
        </w:tblGridChange>
      </w:tblGrid>
      <w:tr>
        <w:trPr>
          <w:cantSplit w:val="0"/>
          <w:trHeight w:val="162" w:hRule="atLeast"/>
          <w:tblHeader w:val="0"/>
        </w:trPr>
        <w:tc>
          <w:tcPr/>
          <w:p w:rsidR="00000000" w:rsidDel="00000000" w:rsidP="00000000" w:rsidRDefault="00000000" w:rsidRPr="00000000" w14:paraId="0000021A">
            <w:pPr>
              <w:jc w:val="both"/>
              <w:rPr>
                <w:b w:val="0"/>
                <w:sz w:val="22"/>
                <w:szCs w:val="22"/>
              </w:rPr>
            </w:pPr>
            <w:r w:rsidDel="00000000" w:rsidR="00000000" w:rsidRPr="00000000">
              <w:rPr>
                <w:rtl w:val="0"/>
              </w:rPr>
            </w:r>
          </w:p>
        </w:tc>
        <w:tc>
          <w:tcPr/>
          <w:p w:rsidR="00000000" w:rsidDel="00000000" w:rsidP="00000000" w:rsidRDefault="00000000" w:rsidRPr="00000000" w14:paraId="0000021B">
            <w:pPr>
              <w:jc w:val="center"/>
              <w:rPr>
                <w:sz w:val="22"/>
                <w:szCs w:val="22"/>
              </w:rPr>
            </w:pPr>
            <w:r w:rsidDel="00000000" w:rsidR="00000000" w:rsidRPr="00000000">
              <w:rPr>
                <w:sz w:val="22"/>
                <w:szCs w:val="22"/>
                <w:rtl w:val="0"/>
              </w:rPr>
              <w:t xml:space="preserve">Rights</w:t>
            </w:r>
          </w:p>
        </w:tc>
        <w:tc>
          <w:tcPr/>
          <w:p w:rsidR="00000000" w:rsidDel="00000000" w:rsidP="00000000" w:rsidRDefault="00000000" w:rsidRPr="00000000" w14:paraId="0000021C">
            <w:pPr>
              <w:jc w:val="center"/>
              <w:rPr>
                <w:sz w:val="22"/>
                <w:szCs w:val="22"/>
              </w:rPr>
            </w:pPr>
            <w:r w:rsidDel="00000000" w:rsidR="00000000" w:rsidRPr="00000000">
              <w:rPr>
                <w:sz w:val="22"/>
                <w:szCs w:val="22"/>
                <w:rtl w:val="0"/>
              </w:rPr>
              <w:t xml:space="preserve">Obligations</w:t>
            </w:r>
          </w:p>
        </w:tc>
      </w:tr>
      <w:tr>
        <w:trPr>
          <w:cantSplit w:val="0"/>
          <w:trHeight w:val="860" w:hRule="atLeast"/>
          <w:tblHeader w:val="0"/>
        </w:trPr>
        <w:tc>
          <w:tcPr>
            <w:vAlign w:val="center"/>
          </w:tcPr>
          <w:p w:rsidR="00000000" w:rsidDel="00000000" w:rsidP="00000000" w:rsidRDefault="00000000" w:rsidRPr="00000000" w14:paraId="0000021D">
            <w:pPr>
              <w:ind w:left="113" w:right="113" w:firstLine="0"/>
              <w:jc w:val="center"/>
              <w:rPr>
                <w:sz w:val="22"/>
                <w:szCs w:val="22"/>
              </w:rPr>
            </w:pPr>
            <w:r w:rsidDel="00000000" w:rsidR="00000000" w:rsidRPr="00000000">
              <w:rPr>
                <w:sz w:val="22"/>
                <w:szCs w:val="22"/>
                <w:rtl w:val="0"/>
              </w:rPr>
              <w:t xml:space="preserve">Patients</w:t>
            </w:r>
          </w:p>
        </w:tc>
        <w:tc>
          <w:tcPr>
            <w:vAlign w:val="center"/>
          </w:tcPr>
          <w:p w:rsidR="00000000" w:rsidDel="00000000" w:rsidP="00000000" w:rsidRDefault="00000000" w:rsidRPr="00000000" w14:paraId="0000021E">
            <w:pPr>
              <w:jc w:val="center"/>
              <w:rPr>
                <w:sz w:val="22"/>
                <w:szCs w:val="22"/>
              </w:rPr>
            </w:pPr>
            <w:r w:rsidDel="00000000" w:rsidR="00000000" w:rsidRPr="00000000">
              <w:rPr>
                <w:sz w:val="22"/>
                <w:szCs w:val="22"/>
                <w:rtl w:val="0"/>
              </w:rPr>
              <w:t xml:space="preserve">Exempt from normal social roles.</w:t>
            </w:r>
          </w:p>
          <w:p w:rsidR="00000000" w:rsidDel="00000000" w:rsidP="00000000" w:rsidRDefault="00000000" w:rsidRPr="00000000" w14:paraId="0000021F">
            <w:pPr>
              <w:jc w:val="center"/>
              <w:rPr>
                <w:b w:val="1"/>
                <w:sz w:val="22"/>
                <w:szCs w:val="22"/>
              </w:rPr>
            </w:pPr>
            <w:r w:rsidDel="00000000" w:rsidR="00000000" w:rsidRPr="00000000">
              <w:rPr>
                <w:rtl w:val="0"/>
              </w:rPr>
            </w:r>
          </w:p>
          <w:p w:rsidR="00000000" w:rsidDel="00000000" w:rsidP="00000000" w:rsidRDefault="00000000" w:rsidRPr="00000000" w14:paraId="00000220">
            <w:pPr>
              <w:jc w:val="center"/>
              <w:rPr>
                <w:sz w:val="22"/>
                <w:szCs w:val="22"/>
              </w:rPr>
            </w:pPr>
            <w:r w:rsidDel="00000000" w:rsidR="00000000" w:rsidRPr="00000000">
              <w:rPr>
                <w:sz w:val="22"/>
                <w:szCs w:val="22"/>
                <w:rtl w:val="0"/>
              </w:rPr>
              <w:t xml:space="preserve">Not responsible for their condition.</w:t>
            </w:r>
          </w:p>
        </w:tc>
        <w:tc>
          <w:tcPr>
            <w:vAlign w:val="center"/>
          </w:tcPr>
          <w:p w:rsidR="00000000" w:rsidDel="00000000" w:rsidP="00000000" w:rsidRDefault="00000000" w:rsidRPr="00000000" w14:paraId="00000221">
            <w:pPr>
              <w:jc w:val="center"/>
              <w:rPr>
                <w:sz w:val="22"/>
                <w:szCs w:val="22"/>
              </w:rPr>
            </w:pPr>
            <w:r w:rsidDel="00000000" w:rsidR="00000000" w:rsidRPr="00000000">
              <w:rPr>
                <w:rtl w:val="0"/>
              </w:rPr>
            </w:r>
          </w:p>
          <w:p w:rsidR="00000000" w:rsidDel="00000000" w:rsidP="00000000" w:rsidRDefault="00000000" w:rsidRPr="00000000" w14:paraId="00000222">
            <w:pPr>
              <w:jc w:val="center"/>
              <w:rPr>
                <w:sz w:val="22"/>
                <w:szCs w:val="22"/>
              </w:rPr>
            </w:pPr>
            <w:r w:rsidDel="00000000" w:rsidR="00000000" w:rsidRPr="00000000">
              <w:rPr>
                <w:sz w:val="22"/>
                <w:szCs w:val="22"/>
                <w:rtl w:val="0"/>
              </w:rPr>
              <w:t xml:space="preserve">To “</w:t>
            </w:r>
            <w:r w:rsidDel="00000000" w:rsidR="00000000" w:rsidRPr="00000000">
              <w:rPr>
                <w:i w:val="1"/>
                <w:sz w:val="22"/>
                <w:szCs w:val="22"/>
                <w:rtl w:val="0"/>
              </w:rPr>
              <w:t xml:space="preserve">condone</w:t>
            </w:r>
            <w:r w:rsidDel="00000000" w:rsidR="00000000" w:rsidRPr="00000000">
              <w:rPr>
                <w:sz w:val="22"/>
                <w:szCs w:val="22"/>
                <w:rtl w:val="0"/>
              </w:rPr>
              <w:t xml:space="preserve">” their illness.</w:t>
            </w:r>
          </w:p>
          <w:p w:rsidR="00000000" w:rsidDel="00000000" w:rsidP="00000000" w:rsidRDefault="00000000" w:rsidRPr="00000000" w14:paraId="00000223">
            <w:pPr>
              <w:jc w:val="center"/>
              <w:rPr>
                <w:sz w:val="22"/>
                <w:szCs w:val="22"/>
              </w:rPr>
            </w:pPr>
            <w:r w:rsidDel="00000000" w:rsidR="00000000" w:rsidRPr="00000000">
              <w:rPr>
                <w:rtl w:val="0"/>
              </w:rPr>
            </w:r>
          </w:p>
          <w:p w:rsidR="00000000" w:rsidDel="00000000" w:rsidP="00000000" w:rsidRDefault="00000000" w:rsidRPr="00000000" w14:paraId="00000224">
            <w:pPr>
              <w:jc w:val="center"/>
              <w:rPr>
                <w:sz w:val="22"/>
                <w:szCs w:val="22"/>
              </w:rPr>
            </w:pPr>
            <w:r w:rsidDel="00000000" w:rsidR="00000000" w:rsidRPr="00000000">
              <w:rPr>
                <w:sz w:val="22"/>
                <w:szCs w:val="22"/>
                <w:rtl w:val="0"/>
              </w:rPr>
              <w:t xml:space="preserve">Try to get well as soon as possible.</w:t>
            </w:r>
          </w:p>
          <w:p w:rsidR="00000000" w:rsidDel="00000000" w:rsidP="00000000" w:rsidRDefault="00000000" w:rsidRPr="00000000" w14:paraId="00000225">
            <w:pPr>
              <w:jc w:val="center"/>
              <w:rPr>
                <w:sz w:val="22"/>
                <w:szCs w:val="22"/>
              </w:rPr>
            </w:pPr>
            <w:r w:rsidDel="00000000" w:rsidR="00000000" w:rsidRPr="00000000">
              <w:rPr>
                <w:rtl w:val="0"/>
              </w:rPr>
            </w:r>
          </w:p>
          <w:p w:rsidR="00000000" w:rsidDel="00000000" w:rsidP="00000000" w:rsidRDefault="00000000" w:rsidRPr="00000000" w14:paraId="00000226">
            <w:pPr>
              <w:jc w:val="center"/>
              <w:rPr>
                <w:sz w:val="22"/>
                <w:szCs w:val="22"/>
              </w:rPr>
            </w:pPr>
            <w:r w:rsidDel="00000000" w:rsidR="00000000" w:rsidRPr="00000000">
              <w:rPr>
                <w:sz w:val="22"/>
                <w:szCs w:val="22"/>
                <w:rtl w:val="0"/>
              </w:rPr>
              <w:t xml:space="preserve">Seek competent medical advice.</w:t>
            </w:r>
          </w:p>
          <w:p w:rsidR="00000000" w:rsidDel="00000000" w:rsidP="00000000" w:rsidRDefault="00000000" w:rsidRPr="00000000" w14:paraId="00000227">
            <w:pPr>
              <w:jc w:val="center"/>
              <w:rPr>
                <w:sz w:val="22"/>
                <w:szCs w:val="22"/>
              </w:rPr>
            </w:pPr>
            <w:r w:rsidDel="00000000" w:rsidR="00000000" w:rsidRPr="00000000">
              <w:rPr>
                <w:rtl w:val="0"/>
              </w:rPr>
            </w:r>
          </w:p>
          <w:p w:rsidR="00000000" w:rsidDel="00000000" w:rsidP="00000000" w:rsidRDefault="00000000" w:rsidRPr="00000000" w14:paraId="00000228">
            <w:pPr>
              <w:keepNext w:val="1"/>
              <w:jc w:val="center"/>
              <w:rPr>
                <w:sz w:val="22"/>
                <w:szCs w:val="22"/>
              </w:rPr>
            </w:pPr>
            <w:r w:rsidDel="00000000" w:rsidR="00000000" w:rsidRPr="00000000">
              <w:rPr>
                <w:sz w:val="22"/>
                <w:szCs w:val="22"/>
                <w:rtl w:val="0"/>
              </w:rPr>
              <w:t xml:space="preserve">Comply with medical advice.</w:t>
            </w:r>
          </w:p>
          <w:p w:rsidR="00000000" w:rsidDel="00000000" w:rsidP="00000000" w:rsidRDefault="00000000" w:rsidRPr="00000000" w14:paraId="00000229">
            <w:pPr>
              <w:keepNext w:val="1"/>
              <w:jc w:val="center"/>
              <w:rPr>
                <w:sz w:val="22"/>
                <w:szCs w:val="22"/>
              </w:rPr>
            </w:pPr>
            <w:r w:rsidDel="00000000" w:rsidR="00000000" w:rsidRPr="00000000">
              <w:rPr>
                <w:rtl w:val="0"/>
              </w:rPr>
            </w:r>
          </w:p>
        </w:tc>
      </w:tr>
      <w:tr>
        <w:trPr>
          <w:cantSplit w:val="0"/>
          <w:trHeight w:val="860" w:hRule="atLeast"/>
          <w:tblHeader w:val="0"/>
        </w:trPr>
        <w:tc>
          <w:tcPr>
            <w:vAlign w:val="center"/>
          </w:tcPr>
          <w:p w:rsidR="00000000" w:rsidDel="00000000" w:rsidP="00000000" w:rsidRDefault="00000000" w:rsidRPr="00000000" w14:paraId="0000022A">
            <w:pPr>
              <w:ind w:left="113" w:right="113" w:firstLine="0"/>
              <w:jc w:val="center"/>
              <w:rPr>
                <w:sz w:val="22"/>
                <w:szCs w:val="22"/>
              </w:rPr>
            </w:pPr>
            <w:r w:rsidDel="00000000" w:rsidR="00000000" w:rsidRPr="00000000">
              <w:rPr>
                <w:sz w:val="22"/>
                <w:szCs w:val="22"/>
                <w:rtl w:val="0"/>
              </w:rPr>
              <w:t xml:space="preserve">Practitioners</w:t>
            </w:r>
          </w:p>
        </w:tc>
        <w:tc>
          <w:tcPr>
            <w:vAlign w:val="center"/>
          </w:tcPr>
          <w:p w:rsidR="00000000" w:rsidDel="00000000" w:rsidP="00000000" w:rsidRDefault="00000000" w:rsidRPr="00000000" w14:paraId="0000022B">
            <w:pPr>
              <w:jc w:val="center"/>
              <w:rPr>
                <w:sz w:val="22"/>
                <w:szCs w:val="22"/>
              </w:rPr>
            </w:pPr>
            <w:r w:rsidDel="00000000" w:rsidR="00000000" w:rsidRPr="00000000">
              <w:rPr>
                <w:sz w:val="22"/>
                <w:szCs w:val="22"/>
                <w:rtl w:val="0"/>
              </w:rPr>
              <w:t xml:space="preserve">Granted a high status.</w:t>
            </w:r>
          </w:p>
          <w:p w:rsidR="00000000" w:rsidDel="00000000" w:rsidP="00000000" w:rsidRDefault="00000000" w:rsidRPr="00000000" w14:paraId="0000022C">
            <w:pPr>
              <w:jc w:val="center"/>
              <w:rPr>
                <w:sz w:val="22"/>
                <w:szCs w:val="22"/>
              </w:rPr>
            </w:pPr>
            <w:r w:rsidDel="00000000" w:rsidR="00000000" w:rsidRPr="00000000">
              <w:rPr>
                <w:rtl w:val="0"/>
              </w:rPr>
            </w:r>
          </w:p>
          <w:p w:rsidR="00000000" w:rsidDel="00000000" w:rsidP="00000000" w:rsidRDefault="00000000" w:rsidRPr="00000000" w14:paraId="0000022D">
            <w:pPr>
              <w:jc w:val="center"/>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Considerable autonomy</w:t>
            </w:r>
            <w:r w:rsidDel="00000000" w:rsidR="00000000" w:rsidRPr="00000000">
              <w:rPr>
                <w:sz w:val="22"/>
                <w:szCs w:val="22"/>
                <w:rtl w:val="0"/>
              </w:rPr>
              <w:t xml:space="preserve">” over their practice.</w:t>
            </w:r>
          </w:p>
          <w:p w:rsidR="00000000" w:rsidDel="00000000" w:rsidP="00000000" w:rsidRDefault="00000000" w:rsidRPr="00000000" w14:paraId="0000022E">
            <w:pPr>
              <w:jc w:val="center"/>
              <w:rPr>
                <w:sz w:val="22"/>
                <w:szCs w:val="22"/>
              </w:rPr>
            </w:pPr>
            <w:r w:rsidDel="00000000" w:rsidR="00000000" w:rsidRPr="00000000">
              <w:rPr>
                <w:rtl w:val="0"/>
              </w:rPr>
            </w:r>
          </w:p>
          <w:p w:rsidR="00000000" w:rsidDel="00000000" w:rsidP="00000000" w:rsidRDefault="00000000" w:rsidRPr="00000000" w14:paraId="0000022F">
            <w:pPr>
              <w:jc w:val="center"/>
              <w:rPr>
                <w:sz w:val="22"/>
                <w:szCs w:val="22"/>
              </w:rPr>
            </w:pPr>
            <w:r w:rsidDel="00000000" w:rsidR="00000000" w:rsidRPr="00000000">
              <w:rPr>
                <w:sz w:val="22"/>
                <w:szCs w:val="22"/>
                <w:rtl w:val="0"/>
              </w:rPr>
              <w:t xml:space="preserve">The right to physically examine the patient and their lives.</w:t>
            </w:r>
          </w:p>
          <w:p w:rsidR="00000000" w:rsidDel="00000000" w:rsidP="00000000" w:rsidRDefault="00000000" w:rsidRPr="00000000" w14:paraId="00000230">
            <w:pPr>
              <w:jc w:val="center"/>
              <w:rPr>
                <w:sz w:val="22"/>
                <w:szCs w:val="22"/>
              </w:rPr>
            </w:pPr>
            <w:r w:rsidDel="00000000" w:rsidR="00000000" w:rsidRPr="00000000">
              <w:rPr>
                <w:rtl w:val="0"/>
              </w:rPr>
            </w:r>
          </w:p>
          <w:p w:rsidR="00000000" w:rsidDel="00000000" w:rsidP="00000000" w:rsidRDefault="00000000" w:rsidRPr="00000000" w14:paraId="00000231">
            <w:pPr>
              <w:jc w:val="center"/>
              <w:rPr>
                <w:sz w:val="22"/>
                <w:szCs w:val="22"/>
              </w:rPr>
            </w:pPr>
            <w:r w:rsidDel="00000000" w:rsidR="00000000" w:rsidRPr="00000000">
              <w:rPr>
                <w:sz w:val="22"/>
                <w:szCs w:val="22"/>
                <w:rtl w:val="0"/>
              </w:rPr>
              <w:t xml:space="preserve">Authority over the patient.</w:t>
            </w:r>
          </w:p>
        </w:tc>
        <w:tc>
          <w:tcPr>
            <w:vAlign w:val="center"/>
          </w:tcPr>
          <w:p w:rsidR="00000000" w:rsidDel="00000000" w:rsidP="00000000" w:rsidRDefault="00000000" w:rsidRPr="00000000" w14:paraId="00000232">
            <w:pPr>
              <w:jc w:val="center"/>
              <w:rPr>
                <w:sz w:val="22"/>
                <w:szCs w:val="22"/>
              </w:rPr>
            </w:pPr>
            <w:r w:rsidDel="00000000" w:rsidR="00000000" w:rsidRPr="00000000">
              <w:rPr>
                <w:rtl w:val="0"/>
              </w:rPr>
            </w:r>
          </w:p>
          <w:p w:rsidR="00000000" w:rsidDel="00000000" w:rsidP="00000000" w:rsidRDefault="00000000" w:rsidRPr="00000000" w14:paraId="00000233">
            <w:pPr>
              <w:jc w:val="center"/>
              <w:rPr>
                <w:sz w:val="22"/>
                <w:szCs w:val="22"/>
              </w:rPr>
            </w:pPr>
            <w:r w:rsidDel="00000000" w:rsidR="00000000" w:rsidRPr="00000000">
              <w:rPr>
                <w:sz w:val="22"/>
                <w:szCs w:val="22"/>
                <w:rtl w:val="0"/>
              </w:rPr>
              <w:t xml:space="preserve">Must be highly trained.</w:t>
            </w:r>
          </w:p>
          <w:p w:rsidR="00000000" w:rsidDel="00000000" w:rsidP="00000000" w:rsidRDefault="00000000" w:rsidRPr="00000000" w14:paraId="00000234">
            <w:pPr>
              <w:jc w:val="center"/>
              <w:rPr>
                <w:sz w:val="22"/>
                <w:szCs w:val="22"/>
              </w:rPr>
            </w:pPr>
            <w:r w:rsidDel="00000000" w:rsidR="00000000" w:rsidRPr="00000000">
              <w:rPr>
                <w:rtl w:val="0"/>
              </w:rPr>
            </w:r>
          </w:p>
          <w:p w:rsidR="00000000" w:rsidDel="00000000" w:rsidP="00000000" w:rsidRDefault="00000000" w:rsidRPr="00000000" w14:paraId="00000235">
            <w:pPr>
              <w:jc w:val="center"/>
              <w:rPr>
                <w:sz w:val="22"/>
                <w:szCs w:val="22"/>
              </w:rPr>
            </w:pPr>
            <w:r w:rsidDel="00000000" w:rsidR="00000000" w:rsidRPr="00000000">
              <w:rPr>
                <w:sz w:val="22"/>
                <w:szCs w:val="22"/>
                <w:rtl w:val="0"/>
              </w:rPr>
              <w:t xml:space="preserve">Must bring great skill and knowledge.</w:t>
            </w:r>
          </w:p>
          <w:p w:rsidR="00000000" w:rsidDel="00000000" w:rsidP="00000000" w:rsidRDefault="00000000" w:rsidRPr="00000000" w14:paraId="00000236">
            <w:pPr>
              <w:jc w:val="center"/>
              <w:rPr>
                <w:sz w:val="22"/>
                <w:szCs w:val="22"/>
              </w:rPr>
            </w:pPr>
            <w:r w:rsidDel="00000000" w:rsidR="00000000" w:rsidRPr="00000000">
              <w:rPr>
                <w:rtl w:val="0"/>
              </w:rPr>
            </w:r>
          </w:p>
          <w:p w:rsidR="00000000" w:rsidDel="00000000" w:rsidP="00000000" w:rsidRDefault="00000000" w:rsidRPr="00000000" w14:paraId="00000237">
            <w:pPr>
              <w:jc w:val="center"/>
              <w:rPr>
                <w:sz w:val="22"/>
                <w:szCs w:val="22"/>
              </w:rPr>
            </w:pPr>
            <w:r w:rsidDel="00000000" w:rsidR="00000000" w:rsidRPr="00000000">
              <w:rPr>
                <w:sz w:val="22"/>
                <w:szCs w:val="22"/>
                <w:rtl w:val="0"/>
              </w:rPr>
              <w:t xml:space="preserve">Bound by professional conduct.</w:t>
            </w:r>
          </w:p>
          <w:p w:rsidR="00000000" w:rsidDel="00000000" w:rsidP="00000000" w:rsidRDefault="00000000" w:rsidRPr="00000000" w14:paraId="00000238">
            <w:pPr>
              <w:jc w:val="center"/>
              <w:rPr>
                <w:sz w:val="22"/>
                <w:szCs w:val="22"/>
              </w:rPr>
            </w:pPr>
            <w:r w:rsidDel="00000000" w:rsidR="00000000" w:rsidRPr="00000000">
              <w:rPr>
                <w:rtl w:val="0"/>
              </w:rPr>
            </w:r>
          </w:p>
          <w:p w:rsidR="00000000" w:rsidDel="00000000" w:rsidP="00000000" w:rsidRDefault="00000000" w:rsidRPr="00000000" w14:paraId="00000239">
            <w:pPr>
              <w:jc w:val="center"/>
              <w:rPr>
                <w:sz w:val="22"/>
                <w:szCs w:val="22"/>
              </w:rPr>
            </w:pPr>
            <w:r w:rsidDel="00000000" w:rsidR="00000000" w:rsidRPr="00000000">
              <w:rPr>
                <w:sz w:val="22"/>
                <w:szCs w:val="22"/>
                <w:rtl w:val="0"/>
              </w:rPr>
              <w:t xml:space="preserve">Motivated by the patient and community, not by professional gain.</w:t>
            </w:r>
          </w:p>
          <w:p w:rsidR="00000000" w:rsidDel="00000000" w:rsidP="00000000" w:rsidRDefault="00000000" w:rsidRPr="00000000" w14:paraId="0000023A">
            <w:pPr>
              <w:jc w:val="center"/>
              <w:rPr>
                <w:sz w:val="22"/>
                <w:szCs w:val="22"/>
              </w:rPr>
            </w:pPr>
            <w:r w:rsidDel="00000000" w:rsidR="00000000" w:rsidRPr="00000000">
              <w:rPr>
                <w:rtl w:val="0"/>
              </w:rPr>
            </w:r>
          </w:p>
          <w:p w:rsidR="00000000" w:rsidDel="00000000" w:rsidP="00000000" w:rsidRDefault="00000000" w:rsidRPr="00000000" w14:paraId="0000023B">
            <w:pPr>
              <w:keepNext w:val="1"/>
              <w:jc w:val="center"/>
              <w:rPr>
                <w:sz w:val="22"/>
                <w:szCs w:val="22"/>
              </w:rPr>
            </w:pPr>
            <w:r w:rsidDel="00000000" w:rsidR="00000000" w:rsidRPr="00000000">
              <w:rPr>
                <w:sz w:val="22"/>
                <w:szCs w:val="22"/>
                <w:rtl w:val="0"/>
              </w:rPr>
              <w:t xml:space="preserve">Remain professional, emotionally detached, and objective in their work.</w:t>
            </w:r>
          </w:p>
          <w:p w:rsidR="00000000" w:rsidDel="00000000" w:rsidP="00000000" w:rsidRDefault="00000000" w:rsidRPr="00000000" w14:paraId="0000023C">
            <w:pPr>
              <w:keepNext w:val="1"/>
              <w:jc w:val="center"/>
              <w:rPr>
                <w:sz w:val="22"/>
                <w:szCs w:val="22"/>
              </w:rPr>
            </w:pPr>
            <w:r w:rsidDel="00000000" w:rsidR="00000000" w:rsidRPr="00000000">
              <w:rPr>
                <w:rtl w:val="0"/>
              </w:rPr>
            </w:r>
          </w:p>
        </w:tc>
      </w:tr>
    </w:tbl>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qsh70q" w:id="27"/>
      <w:bookmarkEnd w:id="27"/>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1: A table summarising the exemptions and obligations of those in the sick role and practitioners who afford it (Parsons 1951).</w:t>
      </w:r>
    </w:p>
    <w:p w:rsidR="00000000" w:rsidDel="00000000" w:rsidP="00000000" w:rsidRDefault="00000000" w:rsidRPr="00000000" w14:paraId="0000023F">
      <w:pPr>
        <w:spacing w:line="480" w:lineRule="auto"/>
        <w:rPr>
          <w:sz w:val="22"/>
          <w:szCs w:val="22"/>
        </w:rPr>
      </w:pPr>
      <w:r w:rsidDel="00000000" w:rsidR="00000000" w:rsidRPr="00000000">
        <w:rPr>
          <w:rtl w:val="0"/>
        </w:rPr>
      </w:r>
    </w:p>
    <w:p w:rsidR="00000000" w:rsidDel="00000000" w:rsidP="00000000" w:rsidRDefault="00000000" w:rsidRPr="00000000" w14:paraId="00000240">
      <w:pPr>
        <w:spacing w:line="480" w:lineRule="auto"/>
        <w:jc w:val="both"/>
        <w:rPr>
          <w:sz w:val="22"/>
          <w:szCs w:val="22"/>
        </w:rPr>
      </w:pPr>
      <w:r w:rsidDel="00000000" w:rsidR="00000000" w:rsidRPr="00000000">
        <w:rPr>
          <w:sz w:val="22"/>
          <w:szCs w:val="22"/>
          <w:rtl w:val="0"/>
        </w:rPr>
        <w:t xml:space="preserve">As illness considered a temporary state of being, those who occupy the sick role are obliged to seek medical advice from a medical professional, recovering as quickly as possible (Heidarnia et al 2016 p.129, Parsons 1951 p.456, Frank 2012 p.18). The sick person will enter a doctor-patient relationship, characterised by Crossley (1998, p.509) as “</w:t>
      </w:r>
      <w:r w:rsidDel="00000000" w:rsidR="00000000" w:rsidRPr="00000000">
        <w:rPr>
          <w:i w:val="1"/>
          <w:sz w:val="22"/>
          <w:szCs w:val="22"/>
          <w:rtl w:val="0"/>
        </w:rPr>
        <w:t xml:space="preserve">an asymmetry of knowledge, competence, authority and power in favour of the doctor</w:t>
      </w:r>
      <w:r w:rsidDel="00000000" w:rsidR="00000000" w:rsidRPr="00000000">
        <w:rPr>
          <w:sz w:val="22"/>
          <w:szCs w:val="22"/>
          <w:rtl w:val="0"/>
        </w:rPr>
        <w:t xml:space="preserve">”. This relationship requires a degree of dependence on the practitioner, with the obligation to remain compliant with their instruction (Crossley 1998 p.509, Heidarnia et al 2016, p.130, Parsons 1951, Frank 2012 p.18).</w:t>
      </w:r>
    </w:p>
    <w:p w:rsidR="00000000" w:rsidDel="00000000" w:rsidP="00000000" w:rsidRDefault="00000000" w:rsidRPr="00000000" w14:paraId="00000241">
      <w:pPr>
        <w:spacing w:line="480" w:lineRule="auto"/>
        <w:jc w:val="both"/>
        <w:rPr>
          <w:sz w:val="22"/>
          <w:szCs w:val="22"/>
        </w:rPr>
      </w:pPr>
      <w:r w:rsidDel="00000000" w:rsidR="00000000" w:rsidRPr="00000000">
        <w:rPr>
          <w:sz w:val="22"/>
          <w:szCs w:val="22"/>
          <w:rtl w:val="0"/>
        </w:rPr>
        <w:t xml:space="preserve">Medical practitioners also have rights and responsibilities. Medical professionals are considered the “</w:t>
      </w:r>
      <w:r w:rsidDel="00000000" w:rsidR="00000000" w:rsidRPr="00000000">
        <w:rPr>
          <w:i w:val="1"/>
          <w:sz w:val="22"/>
          <w:szCs w:val="22"/>
          <w:rtl w:val="0"/>
        </w:rPr>
        <w:t xml:space="preserve">gatekeepers</w:t>
      </w:r>
      <w:r w:rsidDel="00000000" w:rsidR="00000000" w:rsidRPr="00000000">
        <w:rPr>
          <w:sz w:val="22"/>
          <w:szCs w:val="22"/>
          <w:rtl w:val="0"/>
        </w:rPr>
        <w:t xml:space="preserve">” of the sick role and have been described by Becker (1963) as “</w:t>
      </w:r>
      <w:r w:rsidDel="00000000" w:rsidR="00000000" w:rsidRPr="00000000">
        <w:rPr>
          <w:i w:val="1"/>
          <w:sz w:val="22"/>
          <w:szCs w:val="22"/>
          <w:rtl w:val="0"/>
        </w:rPr>
        <w:t xml:space="preserve">moral entrepreneurs</w:t>
      </w:r>
      <w:r w:rsidDel="00000000" w:rsidR="00000000" w:rsidRPr="00000000">
        <w:rPr>
          <w:sz w:val="22"/>
          <w:szCs w:val="22"/>
          <w:rtl w:val="0"/>
        </w:rPr>
        <w:t xml:space="preserve">” due to their role in “</w:t>
      </w:r>
      <w:r w:rsidDel="00000000" w:rsidR="00000000" w:rsidRPr="00000000">
        <w:rPr>
          <w:i w:val="1"/>
          <w:sz w:val="22"/>
          <w:szCs w:val="22"/>
          <w:rtl w:val="0"/>
        </w:rPr>
        <w:t xml:space="preserve">legitimising and labelling illness</w:t>
      </w:r>
      <w:r w:rsidDel="00000000" w:rsidR="00000000" w:rsidRPr="00000000">
        <w:rPr>
          <w:sz w:val="22"/>
          <w:szCs w:val="22"/>
          <w:rtl w:val="0"/>
        </w:rPr>
        <w:t xml:space="preserve">” (Mik-Meyer and Obling 2012, p.1028). Practitioners have a right to not only examine the patients’ physical presentation but also assess their lives. Therefore, they must be highly trained and bring great skill and knowledge to their work, bound by the rules of professional conduct (Parsons 1951, p.459). As noted previously, hierarchical nature of the doctor-patient relationship means those in the sick role are obliged to follow the instruction of the practitioner (Parsons 1951). Not doing so compromises their position in the sick role. Practitioners are granted a high status due to the importance of their role and are awarded “</w:t>
      </w:r>
      <w:r w:rsidDel="00000000" w:rsidR="00000000" w:rsidRPr="00000000">
        <w:rPr>
          <w:i w:val="1"/>
          <w:sz w:val="22"/>
          <w:szCs w:val="22"/>
          <w:rtl w:val="0"/>
        </w:rPr>
        <w:t xml:space="preserve">considerable autonomy</w:t>
      </w:r>
      <w:r w:rsidDel="00000000" w:rsidR="00000000" w:rsidRPr="00000000">
        <w:rPr>
          <w:sz w:val="22"/>
          <w:szCs w:val="22"/>
          <w:rtl w:val="0"/>
        </w:rPr>
        <w:t xml:space="preserve">” over their practice (Parsons 1951, p.459). They should, however, be motivated by the patient and community as opposed to professional gain, whilst remaining professional, emotionally detached and objective in their work (Parsons 1951, p.457).</w:t>
      </w:r>
    </w:p>
    <w:p w:rsidR="00000000" w:rsidDel="00000000" w:rsidP="00000000" w:rsidRDefault="00000000" w:rsidRPr="00000000" w14:paraId="00000242">
      <w:pPr>
        <w:spacing w:line="480" w:lineRule="auto"/>
        <w:jc w:val="both"/>
        <w:rPr>
          <w:sz w:val="22"/>
          <w:szCs w:val="22"/>
        </w:rPr>
      </w:pPr>
      <w:r w:rsidDel="00000000" w:rsidR="00000000" w:rsidRPr="00000000">
        <w:rPr>
          <w:rtl w:val="0"/>
        </w:rPr>
      </w:r>
    </w:p>
    <w:p w:rsidR="00000000" w:rsidDel="00000000" w:rsidP="00000000" w:rsidRDefault="00000000" w:rsidRPr="00000000" w14:paraId="00000243">
      <w:pPr>
        <w:spacing w:line="480" w:lineRule="auto"/>
        <w:jc w:val="both"/>
        <w:rPr>
          <w:sz w:val="22"/>
          <w:szCs w:val="22"/>
        </w:rPr>
      </w:pPr>
      <w:r w:rsidDel="00000000" w:rsidR="00000000" w:rsidRPr="00000000">
        <w:rPr>
          <w:sz w:val="22"/>
          <w:szCs w:val="22"/>
          <w:rtl w:val="0"/>
        </w:rPr>
        <w:t xml:space="preserve">This theory has been used to explore the idea of patient empowerment, or “</w:t>
      </w:r>
      <w:r w:rsidDel="00000000" w:rsidR="00000000" w:rsidRPr="00000000">
        <w:rPr>
          <w:i w:val="1"/>
          <w:sz w:val="22"/>
          <w:szCs w:val="22"/>
          <w:rtl w:val="0"/>
        </w:rPr>
        <w:t xml:space="preserve">an individual who adopts a positive attitude towards his or her condition and its management</w:t>
      </w:r>
      <w:r w:rsidDel="00000000" w:rsidR="00000000" w:rsidRPr="00000000">
        <w:rPr>
          <w:sz w:val="22"/>
          <w:szCs w:val="22"/>
          <w:rtl w:val="0"/>
        </w:rPr>
        <w:t xml:space="preserve">” (White 2017, p.125). Crossley (1998) suggests the risk, anxiety, and uncertainty around the development of disease can lead some to take steps in managing their health. Crossley observed individuals with Human Immunodeficiency Viruses (HIV) who attended support groups to manage their risk status (Crossley 1998). Another enquiry exploring the sick role explored the development of breast cancer (Hallowell 2000). Developing breast cancer has been likened to living with a chronic illness, with the anxieties and risk of developing this disease being described as “</w:t>
      </w:r>
      <w:r w:rsidDel="00000000" w:rsidR="00000000" w:rsidRPr="00000000">
        <w:rPr>
          <w:i w:val="1"/>
          <w:sz w:val="22"/>
          <w:szCs w:val="22"/>
          <w:rtl w:val="0"/>
        </w:rPr>
        <w:t xml:space="preserve">all pervasive and enduring</w:t>
      </w:r>
      <w:r w:rsidDel="00000000" w:rsidR="00000000" w:rsidRPr="00000000">
        <w:rPr>
          <w:sz w:val="22"/>
          <w:szCs w:val="22"/>
          <w:rtl w:val="0"/>
        </w:rPr>
        <w:t xml:space="preserve">” (Hallowell 2000, Robertson 2000). Participants in Hallowell et al’s study of those who had undergone risk reducing surgeries, to minimise the risk of developing breast cancer. Medical professionals were found to be sceptical of these procedures, with a small group of participants had to “</w:t>
      </w:r>
      <w:r w:rsidDel="00000000" w:rsidR="00000000" w:rsidRPr="00000000">
        <w:rPr>
          <w:i w:val="1"/>
          <w:sz w:val="22"/>
          <w:szCs w:val="22"/>
          <w:rtl w:val="0"/>
        </w:rPr>
        <w:t xml:space="preserve">beg</w:t>
      </w:r>
      <w:r w:rsidDel="00000000" w:rsidR="00000000" w:rsidRPr="00000000">
        <w:rPr>
          <w:sz w:val="22"/>
          <w:szCs w:val="22"/>
          <w:rtl w:val="0"/>
        </w:rPr>
        <w:t xml:space="preserve">” for their elective surgeries (Hallowell et al 2015, p.190). </w:t>
      </w:r>
    </w:p>
    <w:p w:rsidR="00000000" w:rsidDel="00000000" w:rsidP="00000000" w:rsidRDefault="00000000" w:rsidRPr="00000000" w14:paraId="00000244">
      <w:pPr>
        <w:spacing w:line="480" w:lineRule="auto"/>
        <w:jc w:val="both"/>
        <w:rPr>
          <w:sz w:val="22"/>
          <w:szCs w:val="22"/>
        </w:rPr>
      </w:pPr>
      <w:r w:rsidDel="00000000" w:rsidR="00000000" w:rsidRPr="00000000">
        <w:rPr>
          <w:sz w:val="22"/>
          <w:szCs w:val="22"/>
          <w:rtl w:val="0"/>
        </w:rPr>
        <w:t xml:space="preserve">This “</w:t>
      </w:r>
      <w:r w:rsidDel="00000000" w:rsidR="00000000" w:rsidRPr="00000000">
        <w:rPr>
          <w:i w:val="1"/>
          <w:sz w:val="22"/>
          <w:szCs w:val="22"/>
          <w:rtl w:val="0"/>
        </w:rPr>
        <w:t xml:space="preserve">negotiation</w:t>
      </w:r>
      <w:r w:rsidDel="00000000" w:rsidR="00000000" w:rsidRPr="00000000">
        <w:rPr>
          <w:sz w:val="22"/>
          <w:szCs w:val="22"/>
          <w:rtl w:val="0"/>
        </w:rPr>
        <w:t xml:space="preserve">” into the sick role, as opposed to passive acceptance, may go some way in explaining why some women rejected the sick role position (Hallowell et al 2015, p.190). Some women were seen to directly resist entry into the sick role, resuming their normal social obligations soon after surgery (Hallowell et al 2015, p.194). Adverse health outcomes, such as secondary infection and pain, were associated with the level of medical legitimisation and the acceptance of the sick role (Hallowell et al 2015, p.194). Although electing surgery can reluctantly move individuals into the sick role, it enables them the opportunity to remain healthy longer term. This patient group are actively managing their health by avoiding a diagnosis of breast cancer and a longer illness and are therefore considered a “</w:t>
      </w:r>
      <w:r w:rsidDel="00000000" w:rsidR="00000000" w:rsidRPr="00000000">
        <w:rPr>
          <w:i w:val="1"/>
          <w:sz w:val="22"/>
          <w:szCs w:val="22"/>
          <w:rtl w:val="0"/>
        </w:rPr>
        <w:t xml:space="preserve">morally responsible entrepreneurial subject</w:t>
      </w:r>
      <w:r w:rsidDel="00000000" w:rsidR="00000000" w:rsidRPr="00000000">
        <w:rPr>
          <w:sz w:val="22"/>
          <w:szCs w:val="22"/>
          <w:rtl w:val="0"/>
        </w:rPr>
        <w:t xml:space="preserve">” (Hallowell et al 2015, p.195).</w:t>
      </w:r>
    </w:p>
    <w:p w:rsidR="00000000" w:rsidDel="00000000" w:rsidP="00000000" w:rsidRDefault="00000000" w:rsidRPr="00000000" w14:paraId="00000245">
      <w:pPr>
        <w:spacing w:line="480" w:lineRule="auto"/>
        <w:jc w:val="both"/>
        <w:rPr>
          <w:sz w:val="22"/>
          <w:szCs w:val="22"/>
        </w:rPr>
      </w:pPr>
      <w:r w:rsidDel="00000000" w:rsidR="00000000" w:rsidRPr="00000000">
        <w:rPr>
          <w:rtl w:val="0"/>
        </w:rPr>
      </w:r>
    </w:p>
    <w:p w:rsidR="00000000" w:rsidDel="00000000" w:rsidP="00000000" w:rsidRDefault="00000000" w:rsidRPr="00000000" w14:paraId="00000246">
      <w:pPr>
        <w:spacing w:line="480" w:lineRule="auto"/>
        <w:jc w:val="both"/>
        <w:rPr/>
      </w:pPr>
      <w:r w:rsidDel="00000000" w:rsidR="00000000" w:rsidRPr="00000000">
        <w:rPr>
          <w:sz w:val="22"/>
          <w:szCs w:val="22"/>
          <w:rtl w:val="0"/>
        </w:rPr>
        <w:t xml:space="preserve">There are extensive critiques of this position, however. Despite the assumption that the rights and obligations of adopting the sick role being temporary and universal (Martino 2017). Arluke et al (1979) questioned whether this theory was “</w:t>
      </w:r>
      <w:r w:rsidDel="00000000" w:rsidR="00000000" w:rsidRPr="00000000">
        <w:rPr>
          <w:i w:val="1"/>
          <w:sz w:val="22"/>
          <w:szCs w:val="22"/>
          <w:rtl w:val="0"/>
        </w:rPr>
        <w:t xml:space="preserve">equally accepted in all segments of society</w:t>
      </w:r>
      <w:r w:rsidDel="00000000" w:rsidR="00000000" w:rsidRPr="00000000">
        <w:rPr>
          <w:sz w:val="22"/>
          <w:szCs w:val="22"/>
          <w:rtl w:val="0"/>
        </w:rPr>
        <w:t xml:space="preserve">”. One of the main critiques of the sick role is that it only appears to consider short term illness (Friedson 1970). As Parsons considers illness as temporary, this theory does not take into consideration the experiences of those with a chronic illness and long-term disabilities. It appears to be best applied for short-term medical conditions such as a common cold (Parsons 1951, Segall 1976). Regardless of its nature, illness is unplanned and can be indeterminate in its onset with an indeterminate end, which can lead to long-term health issues (Wade and Halligan 2007, p.295). It also has no clear boundaries, with many identifying as “</w:t>
      </w:r>
      <w:r w:rsidDel="00000000" w:rsidR="00000000" w:rsidRPr="00000000">
        <w:rPr>
          <w:i w:val="1"/>
          <w:sz w:val="22"/>
          <w:szCs w:val="22"/>
          <w:rtl w:val="0"/>
        </w:rPr>
        <w:t xml:space="preserve">partially</w:t>
      </w:r>
      <w:r w:rsidDel="00000000" w:rsidR="00000000" w:rsidRPr="00000000">
        <w:rPr>
          <w:sz w:val="22"/>
          <w:szCs w:val="22"/>
          <w:rtl w:val="0"/>
        </w:rPr>
        <w:t xml:space="preserve"> </w:t>
      </w:r>
      <w:r w:rsidDel="00000000" w:rsidR="00000000" w:rsidRPr="00000000">
        <w:rPr>
          <w:i w:val="1"/>
          <w:sz w:val="22"/>
          <w:szCs w:val="22"/>
          <w:rtl w:val="0"/>
        </w:rPr>
        <w:t xml:space="preserve">sick</w:t>
      </w:r>
      <w:r w:rsidDel="00000000" w:rsidR="00000000" w:rsidRPr="00000000">
        <w:rPr>
          <w:sz w:val="22"/>
          <w:szCs w:val="22"/>
          <w:rtl w:val="0"/>
        </w:rPr>
        <w:t xml:space="preserve">” (Wade and Halligan 2007, p.295).</w:t>
      </w:r>
      <w:r w:rsidDel="00000000" w:rsidR="00000000" w:rsidRPr="00000000">
        <w:rPr>
          <w:rtl w:val="0"/>
        </w:rPr>
        <w:t xml:space="preserve"> </w:t>
      </w:r>
    </w:p>
    <w:p w:rsidR="00000000" w:rsidDel="00000000" w:rsidP="00000000" w:rsidRDefault="00000000" w:rsidRPr="00000000" w14:paraId="00000247">
      <w:pPr>
        <w:spacing w:line="480" w:lineRule="auto"/>
        <w:jc w:val="both"/>
        <w:rPr>
          <w:sz w:val="22"/>
          <w:szCs w:val="22"/>
        </w:rPr>
      </w:pPr>
      <w:r w:rsidDel="00000000" w:rsidR="00000000" w:rsidRPr="00000000">
        <w:rPr>
          <w:rtl w:val="0"/>
        </w:rPr>
      </w:r>
    </w:p>
    <w:p w:rsidR="00000000" w:rsidDel="00000000" w:rsidP="00000000" w:rsidRDefault="00000000" w:rsidRPr="00000000" w14:paraId="00000248">
      <w:pPr>
        <w:spacing w:line="480" w:lineRule="auto"/>
        <w:jc w:val="both"/>
        <w:rPr>
          <w:sz w:val="22"/>
          <w:szCs w:val="22"/>
        </w:rPr>
      </w:pPr>
      <w:r w:rsidDel="00000000" w:rsidR="00000000" w:rsidRPr="00000000">
        <w:rPr>
          <w:sz w:val="22"/>
          <w:szCs w:val="22"/>
          <w:rtl w:val="0"/>
        </w:rPr>
        <w:t xml:space="preserve">Often symptoms can arise without underlying pathology, such as chronic physical pain that cannot be medically explained (Mik-Meyer and Obling 2012, p.1026). This can have an impact on the hierarchical nature of the doctor-patient relationship. Chronic illness, by definition, is not considered temporary and implies the individual will be unwell for an extensive period, or cannot get well at all, therefore contradicts one of the core assumptions of the sick role (Segall 1976, Byrd 2013, p. 23). This considered, this patient group have limited exemptions from the sick role, with a partial exemption from social obligations as opposed to a total exemption. Yet, this patient group is expected to manage a “</w:t>
      </w:r>
      <w:r w:rsidDel="00000000" w:rsidR="00000000" w:rsidRPr="00000000">
        <w:rPr>
          <w:i w:val="1"/>
          <w:sz w:val="22"/>
          <w:szCs w:val="22"/>
          <w:rtl w:val="0"/>
        </w:rPr>
        <w:t xml:space="preserve">routine regimen, self-monitoring and crisis management as prolonged compliance</w:t>
      </w:r>
      <w:r w:rsidDel="00000000" w:rsidR="00000000" w:rsidRPr="00000000">
        <w:rPr>
          <w:sz w:val="22"/>
          <w:szCs w:val="22"/>
          <w:rtl w:val="0"/>
        </w:rPr>
        <w:t xml:space="preserve">” and perform “</w:t>
      </w:r>
      <w:r w:rsidDel="00000000" w:rsidR="00000000" w:rsidRPr="00000000">
        <w:rPr>
          <w:i w:val="1"/>
          <w:sz w:val="22"/>
          <w:szCs w:val="22"/>
          <w:rtl w:val="0"/>
        </w:rPr>
        <w:t xml:space="preserve">as far as possible in normal roles</w:t>
      </w:r>
      <w:r w:rsidDel="00000000" w:rsidR="00000000" w:rsidRPr="00000000">
        <w:rPr>
          <w:sz w:val="22"/>
          <w:szCs w:val="22"/>
          <w:rtl w:val="0"/>
        </w:rPr>
        <w:t xml:space="preserve">” (Levine and Kozloff 1978, Kassebaum and Bauman 1965, Varul 2010 p.83).</w:t>
      </w:r>
    </w:p>
    <w:p w:rsidR="00000000" w:rsidDel="00000000" w:rsidP="00000000" w:rsidRDefault="00000000" w:rsidRPr="00000000" w14:paraId="00000249">
      <w:pPr>
        <w:spacing w:line="480" w:lineRule="auto"/>
        <w:jc w:val="both"/>
        <w:rPr>
          <w:sz w:val="22"/>
          <w:szCs w:val="22"/>
        </w:rPr>
      </w:pPr>
      <w:r w:rsidDel="00000000" w:rsidR="00000000" w:rsidRPr="00000000">
        <w:rPr>
          <w:rtl w:val="0"/>
        </w:rPr>
      </w:r>
    </w:p>
    <w:p w:rsidR="00000000" w:rsidDel="00000000" w:rsidP="00000000" w:rsidRDefault="00000000" w:rsidRPr="00000000" w14:paraId="0000024A">
      <w:pPr>
        <w:spacing w:line="480" w:lineRule="auto"/>
        <w:jc w:val="both"/>
        <w:rPr>
          <w:sz w:val="22"/>
          <w:szCs w:val="22"/>
        </w:rPr>
      </w:pPr>
      <w:r w:rsidDel="00000000" w:rsidR="00000000" w:rsidRPr="00000000">
        <w:rPr>
          <w:sz w:val="22"/>
          <w:szCs w:val="22"/>
          <w:rtl w:val="0"/>
        </w:rPr>
        <w:t xml:space="preserve">The complexity and unique experience of chronic illness means the practitioner must rely on self-reported information gathered from the patient. They must take a step back from their position as the “</w:t>
      </w:r>
      <w:r w:rsidDel="00000000" w:rsidR="00000000" w:rsidRPr="00000000">
        <w:rPr>
          <w:i w:val="1"/>
          <w:sz w:val="22"/>
          <w:szCs w:val="22"/>
          <w:rtl w:val="0"/>
        </w:rPr>
        <w:t xml:space="preserve">expert</w:t>
      </w:r>
      <w:r w:rsidDel="00000000" w:rsidR="00000000" w:rsidRPr="00000000">
        <w:rPr>
          <w:sz w:val="22"/>
          <w:szCs w:val="22"/>
          <w:rtl w:val="0"/>
        </w:rPr>
        <w:t xml:space="preserve">”, weakening their gap in medical knowledge (Varul 2010, Young 2004). Despite the doctor aiming to treat symptoms of the chronically ill, the patient can feel ignored in their treatment and can lead to seeking out lay information and an alternative solution (Poole 2022). Therefore, this patient group is more likely to be independent from traditional medical care and take on more responsibility for managing their illness (Radley 1994, Poole 2022).</w:t>
      </w:r>
    </w:p>
    <w:p w:rsidR="00000000" w:rsidDel="00000000" w:rsidP="00000000" w:rsidRDefault="00000000" w:rsidRPr="00000000" w14:paraId="0000024B">
      <w:pPr>
        <w:spacing w:line="480" w:lineRule="auto"/>
        <w:jc w:val="both"/>
        <w:rPr>
          <w:sz w:val="22"/>
          <w:szCs w:val="22"/>
        </w:rPr>
      </w:pPr>
      <w:r w:rsidDel="00000000" w:rsidR="00000000" w:rsidRPr="00000000">
        <w:rPr>
          <w:rtl w:val="0"/>
        </w:rPr>
      </w:r>
    </w:p>
    <w:p w:rsidR="00000000" w:rsidDel="00000000" w:rsidP="00000000" w:rsidRDefault="00000000" w:rsidRPr="00000000" w14:paraId="0000024C">
      <w:pPr>
        <w:spacing w:line="480" w:lineRule="auto"/>
        <w:jc w:val="both"/>
        <w:rPr>
          <w:sz w:val="22"/>
          <w:szCs w:val="22"/>
        </w:rPr>
      </w:pPr>
      <w:r w:rsidDel="00000000" w:rsidR="00000000" w:rsidRPr="00000000">
        <w:rPr>
          <w:sz w:val="22"/>
          <w:szCs w:val="22"/>
          <w:rtl w:val="0"/>
        </w:rPr>
        <w:t xml:space="preserve">Further criticisms of Parsons’ sick role is explored through the lens of gender. Before continuing, it is important to note that in this thesis, the definition of “</w:t>
      </w:r>
      <w:r w:rsidDel="00000000" w:rsidR="00000000" w:rsidRPr="00000000">
        <w:rPr>
          <w:i w:val="1"/>
          <w:sz w:val="22"/>
          <w:szCs w:val="22"/>
          <w:rtl w:val="0"/>
        </w:rPr>
        <w:t xml:space="preserve">male</w:t>
      </w:r>
      <w:r w:rsidDel="00000000" w:rsidR="00000000" w:rsidRPr="00000000">
        <w:rPr>
          <w:sz w:val="22"/>
          <w:szCs w:val="22"/>
          <w:rtl w:val="0"/>
        </w:rPr>
        <w:t xml:space="preserve">” and “</w:t>
      </w:r>
      <w:r w:rsidDel="00000000" w:rsidR="00000000" w:rsidRPr="00000000">
        <w:rPr>
          <w:i w:val="1"/>
          <w:sz w:val="22"/>
          <w:szCs w:val="22"/>
          <w:rtl w:val="0"/>
        </w:rPr>
        <w:t xml:space="preserve">female</w:t>
      </w:r>
      <w:r w:rsidDel="00000000" w:rsidR="00000000" w:rsidRPr="00000000">
        <w:rPr>
          <w:sz w:val="22"/>
          <w:szCs w:val="22"/>
          <w:rtl w:val="0"/>
        </w:rPr>
        <w:t xml:space="preserve">” is used in the context of gender and not sex. Gender is defined as the “</w:t>
      </w:r>
      <w:r w:rsidDel="00000000" w:rsidR="00000000" w:rsidRPr="00000000">
        <w:rPr>
          <w:i w:val="1"/>
          <w:sz w:val="22"/>
          <w:szCs w:val="22"/>
          <w:rtl w:val="0"/>
        </w:rPr>
        <w:t xml:space="preserve">behavioural, cultural or psychological traits associated with one’s sex</w:t>
      </w:r>
      <w:r w:rsidDel="00000000" w:rsidR="00000000" w:rsidRPr="00000000">
        <w:rPr>
          <w:sz w:val="22"/>
          <w:szCs w:val="22"/>
          <w:rtl w:val="0"/>
        </w:rPr>
        <w:t xml:space="preserve">”, with sex defined as “</w:t>
      </w:r>
      <w:r w:rsidDel="00000000" w:rsidR="00000000" w:rsidRPr="00000000">
        <w:rPr>
          <w:i w:val="1"/>
          <w:sz w:val="22"/>
          <w:szCs w:val="22"/>
          <w:rtl w:val="0"/>
        </w:rPr>
        <w:t xml:space="preserve">the sum of those difference in the structure and faction of the reproductive organs on the ground of which beings are distinguished as male and female</w:t>
      </w:r>
      <w:r w:rsidDel="00000000" w:rsidR="00000000" w:rsidRPr="00000000">
        <w:rPr>
          <w:sz w:val="22"/>
          <w:szCs w:val="22"/>
          <w:rtl w:val="0"/>
        </w:rPr>
        <w:t xml:space="preserve">” (Torgrimson and Minson 2005). The sick role has been described as “</w:t>
      </w:r>
      <w:r w:rsidDel="00000000" w:rsidR="00000000" w:rsidRPr="00000000">
        <w:rPr>
          <w:i w:val="1"/>
          <w:sz w:val="22"/>
          <w:szCs w:val="22"/>
          <w:rtl w:val="0"/>
        </w:rPr>
        <w:t xml:space="preserve">derived from the male body</w:t>
      </w:r>
      <w:r w:rsidDel="00000000" w:rsidR="00000000" w:rsidRPr="00000000">
        <w:rPr>
          <w:sz w:val="22"/>
          <w:szCs w:val="22"/>
          <w:rtl w:val="0"/>
        </w:rPr>
        <w:t xml:space="preserve">” with the female body gaining “</w:t>
      </w:r>
      <w:r w:rsidDel="00000000" w:rsidR="00000000" w:rsidRPr="00000000">
        <w:rPr>
          <w:i w:val="1"/>
          <w:sz w:val="22"/>
          <w:szCs w:val="22"/>
          <w:rtl w:val="0"/>
        </w:rPr>
        <w:t xml:space="preserve">legitimacy in its reproductive capacity</w:t>
      </w:r>
      <w:r w:rsidDel="00000000" w:rsidR="00000000" w:rsidRPr="00000000">
        <w:rPr>
          <w:sz w:val="22"/>
          <w:szCs w:val="22"/>
          <w:rtl w:val="0"/>
        </w:rPr>
        <w:t xml:space="preserve">” (Varul 2010). </w:t>
      </w:r>
    </w:p>
    <w:p w:rsidR="00000000" w:rsidDel="00000000" w:rsidP="00000000" w:rsidRDefault="00000000" w:rsidRPr="00000000" w14:paraId="0000024D">
      <w:pPr>
        <w:spacing w:line="480" w:lineRule="auto"/>
        <w:jc w:val="both"/>
        <w:rPr>
          <w:sz w:val="22"/>
          <w:szCs w:val="22"/>
        </w:rPr>
      </w:pPr>
      <w:r w:rsidDel="00000000" w:rsidR="00000000" w:rsidRPr="00000000">
        <w:rPr>
          <w:rtl w:val="0"/>
        </w:rPr>
      </w:r>
    </w:p>
    <w:p w:rsidR="00000000" w:rsidDel="00000000" w:rsidP="00000000" w:rsidRDefault="00000000" w:rsidRPr="00000000" w14:paraId="0000024E">
      <w:pPr>
        <w:spacing w:line="480" w:lineRule="auto"/>
        <w:jc w:val="both"/>
        <w:rPr>
          <w:sz w:val="22"/>
          <w:szCs w:val="22"/>
        </w:rPr>
      </w:pPr>
      <w:r w:rsidDel="00000000" w:rsidR="00000000" w:rsidRPr="00000000">
        <w:rPr>
          <w:sz w:val="22"/>
          <w:szCs w:val="22"/>
          <w:rtl w:val="0"/>
        </w:rPr>
        <w:t xml:space="preserve">Entering the sick role may also “</w:t>
      </w:r>
      <w:r w:rsidDel="00000000" w:rsidR="00000000" w:rsidRPr="00000000">
        <w:rPr>
          <w:i w:val="1"/>
          <w:sz w:val="22"/>
          <w:szCs w:val="22"/>
          <w:rtl w:val="0"/>
        </w:rPr>
        <w:t xml:space="preserve">threaten</w:t>
      </w:r>
      <w:r w:rsidDel="00000000" w:rsidR="00000000" w:rsidRPr="00000000">
        <w:rPr>
          <w:sz w:val="22"/>
          <w:szCs w:val="22"/>
          <w:rtl w:val="0"/>
        </w:rPr>
        <w:t xml:space="preserve">” women’s’ status (Sanders 2018, p.128). De Sola et al (2020) suggest mothers do not perceive housework or childcare responsibilities as work. Despite women being more accepting of the sick role, and may report more illness, they may be less able to identify with this position due to their caregiving and stereotypically ‘female’ responsibilities, providing a barrier to accessing support (Nathanson 1975, Oakley 1974). This readiness to accept the sick role is less apparent if they have a larger parental responsibility, despite significant symptomology (Hibbard and Pope 1983 p.132). </w:t>
      </w:r>
    </w:p>
    <w:p w:rsidR="00000000" w:rsidDel="00000000" w:rsidP="00000000" w:rsidRDefault="00000000" w:rsidRPr="00000000" w14:paraId="0000024F">
      <w:pPr>
        <w:spacing w:line="480" w:lineRule="auto"/>
        <w:jc w:val="both"/>
        <w:rPr>
          <w:sz w:val="22"/>
          <w:szCs w:val="22"/>
        </w:rPr>
      </w:pPr>
      <w:r w:rsidDel="00000000" w:rsidR="00000000" w:rsidRPr="00000000">
        <w:rPr>
          <w:rtl w:val="0"/>
        </w:rPr>
      </w:r>
    </w:p>
    <w:p w:rsidR="00000000" w:rsidDel="00000000" w:rsidP="00000000" w:rsidRDefault="00000000" w:rsidRPr="00000000" w14:paraId="00000250">
      <w:pPr>
        <w:spacing w:line="480" w:lineRule="auto"/>
        <w:jc w:val="both"/>
        <w:rPr>
          <w:sz w:val="22"/>
          <w:szCs w:val="22"/>
        </w:rPr>
      </w:pPr>
      <w:r w:rsidDel="00000000" w:rsidR="00000000" w:rsidRPr="00000000">
        <w:rPr>
          <w:sz w:val="22"/>
          <w:szCs w:val="22"/>
          <w:rtl w:val="0"/>
        </w:rPr>
        <w:t xml:space="preserve">Referring to Hallowell’s enquiry, women downplayed their elective surgery, referred to as “</w:t>
      </w:r>
      <w:r w:rsidDel="00000000" w:rsidR="00000000" w:rsidRPr="00000000">
        <w:rPr>
          <w:i w:val="1"/>
          <w:sz w:val="22"/>
          <w:szCs w:val="22"/>
          <w:rtl w:val="0"/>
        </w:rPr>
        <w:t xml:space="preserve">not such a big deal</w:t>
      </w:r>
      <w:r w:rsidDel="00000000" w:rsidR="00000000" w:rsidRPr="00000000">
        <w:rPr>
          <w:sz w:val="22"/>
          <w:szCs w:val="22"/>
          <w:rtl w:val="0"/>
        </w:rPr>
        <w:t xml:space="preserve">”, returning to work shortly after their surgery despite feeling “</w:t>
      </w:r>
      <w:r w:rsidDel="00000000" w:rsidR="00000000" w:rsidRPr="00000000">
        <w:rPr>
          <w:i w:val="1"/>
          <w:sz w:val="22"/>
          <w:szCs w:val="22"/>
          <w:rtl w:val="0"/>
        </w:rPr>
        <w:t xml:space="preserve">fragile</w:t>
      </w:r>
      <w:r w:rsidDel="00000000" w:rsidR="00000000" w:rsidRPr="00000000">
        <w:rPr>
          <w:sz w:val="22"/>
          <w:szCs w:val="22"/>
          <w:rtl w:val="0"/>
        </w:rPr>
        <w:t xml:space="preserve">” (Hallowell et al 2015, p.192). Rejecting the sick role enabled them to maintain their position as “</w:t>
      </w:r>
      <w:r w:rsidDel="00000000" w:rsidR="00000000" w:rsidRPr="00000000">
        <w:rPr>
          <w:i w:val="1"/>
          <w:sz w:val="22"/>
          <w:szCs w:val="22"/>
          <w:rtl w:val="0"/>
        </w:rPr>
        <w:t xml:space="preserve">wife, mother and employee</w:t>
      </w:r>
      <w:r w:rsidDel="00000000" w:rsidR="00000000" w:rsidRPr="00000000">
        <w:rPr>
          <w:sz w:val="22"/>
          <w:szCs w:val="22"/>
          <w:rtl w:val="0"/>
        </w:rPr>
        <w:t xml:space="preserve">” throughout their post-operative period (Hallowell et al 2015, p.192). These concerns about disrupting household functioning result in women waiting much longer to access medical care (Hallowell et al 2015, p.192). Following this, males may be less likely to enter the sick role as they are traditionally the “</w:t>
      </w:r>
      <w:r w:rsidDel="00000000" w:rsidR="00000000" w:rsidRPr="00000000">
        <w:rPr>
          <w:i w:val="1"/>
          <w:sz w:val="22"/>
          <w:szCs w:val="22"/>
          <w:rtl w:val="0"/>
        </w:rPr>
        <w:t xml:space="preserve">breadwinner</w:t>
      </w:r>
      <w:r w:rsidDel="00000000" w:rsidR="00000000" w:rsidRPr="00000000">
        <w:rPr>
          <w:sz w:val="22"/>
          <w:szCs w:val="22"/>
          <w:rtl w:val="0"/>
        </w:rPr>
        <w:t xml:space="preserve">” of the household and may have concerns that household may face economic uncertainty if their work is disrupted (Liverpool School of Tropical Medicine Gender and Health Group, Undated, p.10). Due to these societal norms, women are more likely to be considered deviant as opposed to legitimately unwell (Sanders 2018, p.144). </w:t>
      </w:r>
    </w:p>
    <w:p w:rsidR="00000000" w:rsidDel="00000000" w:rsidP="00000000" w:rsidRDefault="00000000" w:rsidRPr="00000000" w14:paraId="00000251">
      <w:pPr>
        <w:spacing w:line="480" w:lineRule="auto"/>
        <w:jc w:val="both"/>
        <w:rPr>
          <w:sz w:val="22"/>
          <w:szCs w:val="22"/>
        </w:rPr>
      </w:pPr>
      <w:r w:rsidDel="00000000" w:rsidR="00000000" w:rsidRPr="00000000">
        <w:rPr>
          <w:rtl w:val="0"/>
        </w:rPr>
      </w:r>
    </w:p>
    <w:p w:rsidR="00000000" w:rsidDel="00000000" w:rsidP="00000000" w:rsidRDefault="00000000" w:rsidRPr="00000000" w14:paraId="00000252">
      <w:pPr>
        <w:spacing w:line="480" w:lineRule="auto"/>
        <w:jc w:val="both"/>
        <w:rPr>
          <w:sz w:val="22"/>
          <w:szCs w:val="22"/>
        </w:rPr>
      </w:pPr>
      <w:r w:rsidDel="00000000" w:rsidR="00000000" w:rsidRPr="00000000">
        <w:rPr>
          <w:sz w:val="22"/>
          <w:szCs w:val="22"/>
          <w:rtl w:val="0"/>
        </w:rPr>
        <w:t xml:space="preserve">When taking into consideration the key relationship between the sick role and the study of alcoholism, women can appear to deviate from gender norms when experiencing alcoholism. This can lead to stigmatisation and internalisation of shame (Sanders 2018, p.128) – concepts explored further in the next section of this chapter. Historically, medical professionals did not recognise alcoholism as a condition in which women experience, resulting in an overdiagnosis of “</w:t>
      </w:r>
      <w:r w:rsidDel="00000000" w:rsidR="00000000" w:rsidRPr="00000000">
        <w:rPr>
          <w:i w:val="1"/>
          <w:sz w:val="22"/>
          <w:szCs w:val="22"/>
          <w:rtl w:val="0"/>
        </w:rPr>
        <w:t xml:space="preserve">bad</w:t>
      </w:r>
      <w:r w:rsidDel="00000000" w:rsidR="00000000" w:rsidRPr="00000000">
        <w:rPr>
          <w:sz w:val="22"/>
          <w:szCs w:val="22"/>
          <w:rtl w:val="0"/>
        </w:rPr>
        <w:t xml:space="preserve"> </w:t>
      </w:r>
      <w:r w:rsidDel="00000000" w:rsidR="00000000" w:rsidRPr="00000000">
        <w:rPr>
          <w:i w:val="1"/>
          <w:sz w:val="22"/>
          <w:szCs w:val="22"/>
          <w:rtl w:val="0"/>
        </w:rPr>
        <w:t xml:space="preserve">nerves</w:t>
      </w:r>
      <w:r w:rsidDel="00000000" w:rsidR="00000000" w:rsidRPr="00000000">
        <w:rPr>
          <w:sz w:val="22"/>
          <w:szCs w:val="22"/>
          <w:rtl w:val="0"/>
        </w:rPr>
        <w:t xml:space="preserve">” (Sanders 2018 p.132, Wilsnack and Wilsnack 2014, Wilsnack et al 1994). This resulted in a high rate of sedative prescribing amongst this patient group, resulting in polydrug dependence (Sanders 2018, p.136). Furthermore, Ehrenreich and English (1978) argued that medicalisation of health and illness took away the traditional role of a female dominated area and replaced this with a male dominated medical model. This resulted in women’s health issues being defined and managed differently to that of men (Ehrenreich and English 1978). The idea of “</w:t>
      </w:r>
      <w:r w:rsidDel="00000000" w:rsidR="00000000" w:rsidRPr="00000000">
        <w:rPr>
          <w:i w:val="1"/>
          <w:sz w:val="22"/>
          <w:szCs w:val="22"/>
          <w:rtl w:val="0"/>
        </w:rPr>
        <w:t xml:space="preserve">medical gaslighting</w:t>
      </w:r>
      <w:r w:rsidDel="00000000" w:rsidR="00000000" w:rsidRPr="00000000">
        <w:rPr>
          <w:sz w:val="22"/>
          <w:szCs w:val="22"/>
          <w:rtl w:val="0"/>
        </w:rPr>
        <w:t xml:space="preserve">” is more commonly experienced by female patients, whereby “</w:t>
      </w:r>
      <w:r w:rsidDel="00000000" w:rsidR="00000000" w:rsidRPr="00000000">
        <w:rPr>
          <w:i w:val="1"/>
          <w:sz w:val="22"/>
          <w:szCs w:val="22"/>
          <w:rtl w:val="0"/>
        </w:rPr>
        <w:t xml:space="preserve">doctors, government and insurance agencies appear to patients to be unable to hear their claims, denying them a sick role and just rendering them ‘plain crazy’</w:t>
      </w:r>
      <w:r w:rsidDel="00000000" w:rsidR="00000000" w:rsidRPr="00000000">
        <w:rPr>
          <w:sz w:val="22"/>
          <w:szCs w:val="22"/>
          <w:rtl w:val="0"/>
        </w:rPr>
        <w:t xml:space="preserve">” (Dumit 2006 p.577, Sebring 2021). This has been described as a way to maintain gender roles and norms, maintaining male dominance over women (Connell and Messerschmidt 2005).</w:t>
      </w:r>
    </w:p>
    <w:p w:rsidR="00000000" w:rsidDel="00000000" w:rsidP="00000000" w:rsidRDefault="00000000" w:rsidRPr="00000000" w14:paraId="00000253">
      <w:pPr>
        <w:spacing w:line="480" w:lineRule="auto"/>
        <w:jc w:val="both"/>
        <w:rPr>
          <w:sz w:val="22"/>
          <w:szCs w:val="22"/>
        </w:rPr>
      </w:pPr>
      <w:r w:rsidDel="00000000" w:rsidR="00000000" w:rsidRPr="00000000">
        <w:rPr>
          <w:rtl w:val="0"/>
        </w:rPr>
      </w:r>
    </w:p>
    <w:p w:rsidR="00000000" w:rsidDel="00000000" w:rsidP="00000000" w:rsidRDefault="00000000" w:rsidRPr="00000000" w14:paraId="00000254">
      <w:pPr>
        <w:spacing w:line="480" w:lineRule="auto"/>
        <w:jc w:val="both"/>
        <w:rPr>
          <w:sz w:val="22"/>
          <w:szCs w:val="22"/>
        </w:rPr>
      </w:pPr>
      <w:r w:rsidDel="00000000" w:rsidR="00000000" w:rsidRPr="00000000">
        <w:rPr>
          <w:sz w:val="22"/>
          <w:szCs w:val="22"/>
          <w:rtl w:val="0"/>
        </w:rPr>
        <w:t xml:space="preserve">Further challenging the sick role, neoliberalism emphasises the individual responsibility when managing or maintaining their health (Vassilev et al 2017, Hallowell et al 2015). Entering the sick role Has inherently removed agency and autonomy from patients, as patients enter an “</w:t>
      </w:r>
      <w:r w:rsidDel="00000000" w:rsidR="00000000" w:rsidRPr="00000000">
        <w:rPr>
          <w:i w:val="1"/>
          <w:sz w:val="22"/>
          <w:szCs w:val="22"/>
          <w:rtl w:val="0"/>
        </w:rPr>
        <w:t xml:space="preserve">unwritten agreement</w:t>
      </w:r>
      <w:r w:rsidDel="00000000" w:rsidR="00000000" w:rsidRPr="00000000">
        <w:rPr>
          <w:sz w:val="22"/>
          <w:szCs w:val="22"/>
          <w:rtl w:val="0"/>
        </w:rPr>
        <w:t xml:space="preserve">” between them and society (Burnham 2013). Although later challenged by Parsons (1975, p.257), his earlier work suggests that for medical practice to be effective, the patient should be “</w:t>
      </w:r>
      <w:r w:rsidDel="00000000" w:rsidR="00000000" w:rsidRPr="00000000">
        <w:rPr>
          <w:i w:val="1"/>
          <w:sz w:val="22"/>
          <w:szCs w:val="22"/>
          <w:rtl w:val="0"/>
        </w:rPr>
        <w:t xml:space="preserve">passive</w:t>
      </w:r>
      <w:r w:rsidDel="00000000" w:rsidR="00000000" w:rsidRPr="00000000">
        <w:rPr>
          <w:sz w:val="22"/>
          <w:szCs w:val="22"/>
          <w:rtl w:val="0"/>
        </w:rPr>
        <w:t xml:space="preserve">” and exhibit “</w:t>
      </w:r>
      <w:r w:rsidDel="00000000" w:rsidR="00000000" w:rsidRPr="00000000">
        <w:rPr>
          <w:i w:val="1"/>
          <w:sz w:val="22"/>
          <w:szCs w:val="22"/>
          <w:rtl w:val="0"/>
        </w:rPr>
        <w:t xml:space="preserve">willing compliance</w:t>
      </w:r>
      <w:r w:rsidDel="00000000" w:rsidR="00000000" w:rsidRPr="00000000">
        <w:rPr>
          <w:sz w:val="22"/>
          <w:szCs w:val="22"/>
          <w:rtl w:val="0"/>
        </w:rPr>
        <w:t xml:space="preserve">” (Parsons 1951). This rejects the patient’s autonomy. </w:t>
      </w:r>
    </w:p>
    <w:p w:rsidR="00000000" w:rsidDel="00000000" w:rsidP="00000000" w:rsidRDefault="00000000" w:rsidRPr="00000000" w14:paraId="00000255">
      <w:pPr>
        <w:spacing w:line="480" w:lineRule="auto"/>
        <w:jc w:val="both"/>
        <w:rPr>
          <w:sz w:val="22"/>
          <w:szCs w:val="22"/>
        </w:rPr>
      </w:pPr>
      <w:r w:rsidDel="00000000" w:rsidR="00000000" w:rsidRPr="00000000">
        <w:rPr>
          <w:rtl w:val="0"/>
        </w:rPr>
      </w:r>
    </w:p>
    <w:p w:rsidR="00000000" w:rsidDel="00000000" w:rsidP="00000000" w:rsidRDefault="00000000" w:rsidRPr="00000000" w14:paraId="00000256">
      <w:pPr>
        <w:spacing w:line="480" w:lineRule="auto"/>
        <w:jc w:val="both"/>
        <w:rPr>
          <w:sz w:val="22"/>
          <w:szCs w:val="22"/>
        </w:rPr>
      </w:pPr>
      <w:r w:rsidDel="00000000" w:rsidR="00000000" w:rsidRPr="00000000">
        <w:rPr>
          <w:sz w:val="22"/>
          <w:szCs w:val="22"/>
          <w:rtl w:val="0"/>
        </w:rPr>
        <w:t xml:space="preserve">The medical dominance outlined by Friedson (1970), suggests that medical care has moved on from the altruistic expectations outlined in the sick role. There is an overemphasis of the competency and training of the practitioner, with some suggesting they saw these positions as “</w:t>
      </w:r>
      <w:r w:rsidDel="00000000" w:rsidR="00000000" w:rsidRPr="00000000">
        <w:rPr>
          <w:i w:val="1"/>
          <w:sz w:val="22"/>
          <w:szCs w:val="22"/>
          <w:rtl w:val="0"/>
        </w:rPr>
        <w:t xml:space="preserve">social closure</w:t>
      </w:r>
      <w:r w:rsidDel="00000000" w:rsidR="00000000" w:rsidRPr="00000000">
        <w:rPr>
          <w:sz w:val="22"/>
          <w:szCs w:val="22"/>
          <w:rtl w:val="0"/>
        </w:rPr>
        <w:t xml:space="preserve">” in which practitioners used to “</w:t>
      </w:r>
      <w:r w:rsidDel="00000000" w:rsidR="00000000" w:rsidRPr="00000000">
        <w:rPr>
          <w:i w:val="1"/>
          <w:sz w:val="22"/>
          <w:szCs w:val="22"/>
          <w:rtl w:val="0"/>
        </w:rPr>
        <w:t xml:space="preserve">maintain their privileged social position</w:t>
      </w:r>
      <w:r w:rsidDel="00000000" w:rsidR="00000000" w:rsidRPr="00000000">
        <w:rPr>
          <w:sz w:val="22"/>
          <w:szCs w:val="22"/>
          <w:rtl w:val="0"/>
        </w:rPr>
        <w:t xml:space="preserve">” (Higgins et al 2014, p.53, Johnson 1972, Parry and Parry 1976). Friedson (1970) found when people become unwell, an individual seeks advice and opinions from an average of a dozen friends and family members prior to approaching a medical professional, labelled “</w:t>
      </w:r>
      <w:r w:rsidDel="00000000" w:rsidR="00000000" w:rsidRPr="00000000">
        <w:rPr>
          <w:i w:val="1"/>
          <w:sz w:val="22"/>
          <w:szCs w:val="22"/>
          <w:rtl w:val="0"/>
        </w:rPr>
        <w:t xml:space="preserve">lay referrals</w:t>
      </w:r>
      <w:r w:rsidDel="00000000" w:rsidR="00000000" w:rsidRPr="00000000">
        <w:rPr>
          <w:sz w:val="22"/>
          <w:szCs w:val="22"/>
          <w:rtl w:val="0"/>
        </w:rPr>
        <w:t xml:space="preserve">”. These lay referrals were found to be legitimising to the individual, suggesting the sick role is not only legitimised by those with authority (Friedson 1970). When people become unwell, they seek advice and opinions from an average of a dozen friends and family members prior to approaching a medical professional, labelled “</w:t>
      </w:r>
      <w:r w:rsidDel="00000000" w:rsidR="00000000" w:rsidRPr="00000000">
        <w:rPr>
          <w:i w:val="1"/>
          <w:sz w:val="22"/>
          <w:szCs w:val="22"/>
          <w:rtl w:val="0"/>
        </w:rPr>
        <w:t xml:space="preserve">lay referrals</w:t>
      </w:r>
      <w:r w:rsidDel="00000000" w:rsidR="00000000" w:rsidRPr="00000000">
        <w:rPr>
          <w:sz w:val="22"/>
          <w:szCs w:val="22"/>
          <w:rtl w:val="0"/>
        </w:rPr>
        <w:t xml:space="preserve">” (Friedson 1970). They are described as legitimising to the individual, supporting the notion that the sick role is not only legitimised by those with authority (Friedson 1970). </w:t>
      </w:r>
    </w:p>
    <w:p w:rsidR="00000000" w:rsidDel="00000000" w:rsidP="00000000" w:rsidRDefault="00000000" w:rsidRPr="00000000" w14:paraId="00000257">
      <w:pPr>
        <w:spacing w:line="480" w:lineRule="auto"/>
        <w:jc w:val="both"/>
        <w:rPr>
          <w:sz w:val="22"/>
          <w:szCs w:val="22"/>
        </w:rPr>
      </w:pPr>
      <w:r w:rsidDel="00000000" w:rsidR="00000000" w:rsidRPr="00000000">
        <w:rPr>
          <w:rtl w:val="0"/>
        </w:rPr>
      </w:r>
    </w:p>
    <w:p w:rsidR="00000000" w:rsidDel="00000000" w:rsidP="00000000" w:rsidRDefault="00000000" w:rsidRPr="00000000" w14:paraId="00000258">
      <w:pPr>
        <w:spacing w:line="480" w:lineRule="auto"/>
        <w:jc w:val="both"/>
        <w:rPr>
          <w:sz w:val="22"/>
          <w:szCs w:val="22"/>
        </w:rPr>
      </w:pPr>
      <w:r w:rsidDel="00000000" w:rsidR="00000000" w:rsidRPr="00000000">
        <w:rPr>
          <w:sz w:val="22"/>
          <w:szCs w:val="22"/>
          <w:rtl w:val="0"/>
        </w:rPr>
        <w:t xml:space="preserve">In practice, individuals in the United Kingdom can “</w:t>
      </w:r>
      <w:r w:rsidDel="00000000" w:rsidR="00000000" w:rsidRPr="00000000">
        <w:rPr>
          <w:i w:val="1"/>
          <w:sz w:val="22"/>
          <w:szCs w:val="22"/>
          <w:rtl w:val="0"/>
        </w:rPr>
        <w:t xml:space="preserve">self-certify</w:t>
      </w:r>
      <w:r w:rsidDel="00000000" w:rsidR="00000000" w:rsidRPr="00000000">
        <w:rPr>
          <w:sz w:val="22"/>
          <w:szCs w:val="22"/>
          <w:rtl w:val="0"/>
        </w:rPr>
        <w:t xml:space="preserve">” as unwell for up to seven days without consulting a healthcare professional, or the requirement for medical legitimisation (Higgins et al 2014, p.53). Long term illness, however, does require this medical legitimisation and evidence to preserve job security and receive health related benefits (Higgins et al 2014, p.53). When considering the social model of health and illness, many factors contributing to illness are within the control of the patient (Wade and Halligan 2007, p.295). William Bechtel (1985, p.131) suggests that due to cultural changes in western society, there is a “</w:t>
      </w:r>
      <w:r w:rsidDel="00000000" w:rsidR="00000000" w:rsidRPr="00000000">
        <w:rPr>
          <w:i w:val="1"/>
          <w:sz w:val="22"/>
          <w:szCs w:val="22"/>
          <w:rtl w:val="0"/>
        </w:rPr>
        <w:t xml:space="preserve">growing sentiment that in many cases the individual is responsible for being sick</w:t>
      </w:r>
      <w:r w:rsidDel="00000000" w:rsidR="00000000" w:rsidRPr="00000000">
        <w:rPr>
          <w:sz w:val="22"/>
          <w:szCs w:val="22"/>
          <w:rtl w:val="0"/>
        </w:rPr>
        <w:t xml:space="preserve">”, for example medical consultations regarding lifestyle issues such as weight loss or smoking cessation (Webb 2009, Pilnick and Coleman 2003).  </w:t>
      </w:r>
    </w:p>
    <w:p w:rsidR="00000000" w:rsidDel="00000000" w:rsidP="00000000" w:rsidRDefault="00000000" w:rsidRPr="00000000" w14:paraId="00000259">
      <w:pPr>
        <w:spacing w:line="480" w:lineRule="auto"/>
        <w:jc w:val="both"/>
        <w:rPr>
          <w:sz w:val="22"/>
          <w:szCs w:val="22"/>
        </w:rPr>
      </w:pPr>
      <w:r w:rsidDel="00000000" w:rsidR="00000000" w:rsidRPr="00000000">
        <w:rPr>
          <w:rtl w:val="0"/>
        </w:rPr>
      </w:r>
    </w:p>
    <w:p w:rsidR="00000000" w:rsidDel="00000000" w:rsidP="00000000" w:rsidRDefault="00000000" w:rsidRPr="00000000" w14:paraId="0000025A">
      <w:pPr>
        <w:spacing w:line="480" w:lineRule="auto"/>
        <w:jc w:val="both"/>
        <w:rPr>
          <w:sz w:val="22"/>
          <w:szCs w:val="22"/>
        </w:rPr>
      </w:pPr>
      <w:r w:rsidDel="00000000" w:rsidR="00000000" w:rsidRPr="00000000">
        <w:rPr>
          <w:sz w:val="22"/>
          <w:szCs w:val="22"/>
          <w:rtl w:val="0"/>
        </w:rPr>
        <w:t xml:space="preserve">Despite these criticisms, the sick role remains useful throughout the debates of health and illness in sociology. Although it is important to acknowledge the limitations of the sick role, it is important not to “</w:t>
      </w:r>
      <w:r w:rsidDel="00000000" w:rsidR="00000000" w:rsidRPr="00000000">
        <w:rPr>
          <w:i w:val="1"/>
          <w:sz w:val="22"/>
          <w:szCs w:val="22"/>
          <w:rtl w:val="0"/>
        </w:rPr>
        <w:t xml:space="preserve">throw the baby out with the bathwater</w:t>
      </w:r>
      <w:r w:rsidDel="00000000" w:rsidR="00000000" w:rsidRPr="00000000">
        <w:rPr>
          <w:sz w:val="22"/>
          <w:szCs w:val="22"/>
          <w:rtl w:val="0"/>
        </w:rPr>
        <w:t xml:space="preserve">”, with the dismissal of this theory can overlook aspects that are critical today (Hallowell et al 2014 p.4, Varul 2010, Williams 2005). </w:t>
      </w:r>
    </w:p>
    <w:p w:rsidR="00000000" w:rsidDel="00000000" w:rsidP="00000000" w:rsidRDefault="00000000" w:rsidRPr="00000000" w14:paraId="0000025B">
      <w:pPr>
        <w:spacing w:line="480" w:lineRule="auto"/>
        <w:jc w:val="both"/>
        <w:rPr>
          <w:sz w:val="22"/>
          <w:szCs w:val="22"/>
        </w:rPr>
      </w:pPr>
      <w:r w:rsidDel="00000000" w:rsidR="00000000" w:rsidRPr="00000000">
        <w:rPr>
          <w:rtl w:val="0"/>
        </w:rPr>
      </w:r>
    </w:p>
    <w:p w:rsidR="00000000" w:rsidDel="00000000" w:rsidP="00000000" w:rsidRDefault="00000000" w:rsidRPr="00000000" w14:paraId="0000025C">
      <w:pPr>
        <w:pStyle w:val="Heading2"/>
        <w:numPr>
          <w:ilvl w:val="1"/>
          <w:numId w:val="8"/>
        </w:numPr>
        <w:spacing w:line="480" w:lineRule="auto"/>
        <w:ind w:left="720" w:hanging="720"/>
        <w:jc w:val="both"/>
        <w:rPr>
          <w:rFonts w:ascii="Aptos" w:cs="Aptos" w:eastAsia="Aptos" w:hAnsi="Aptos"/>
        </w:rPr>
      </w:pPr>
      <w:bookmarkStart w:colFirst="0" w:colLast="0" w:name="_heading=h.3as4poj" w:id="28"/>
      <w:bookmarkEnd w:id="28"/>
      <w:r w:rsidDel="00000000" w:rsidR="00000000" w:rsidRPr="00000000">
        <w:rPr>
          <w:rFonts w:ascii="Aptos" w:cs="Aptos" w:eastAsia="Aptos" w:hAnsi="Aptos"/>
          <w:rtl w:val="0"/>
        </w:rPr>
        <w:t xml:space="preserve">Stigma</w:t>
      </w:r>
    </w:p>
    <w:p w:rsidR="00000000" w:rsidDel="00000000" w:rsidP="00000000" w:rsidRDefault="00000000" w:rsidRPr="00000000" w14:paraId="0000025D">
      <w:pPr>
        <w:spacing w:line="480" w:lineRule="auto"/>
        <w:jc w:val="both"/>
        <w:rPr>
          <w:sz w:val="22"/>
          <w:szCs w:val="22"/>
        </w:rPr>
      </w:pPr>
      <w:r w:rsidDel="00000000" w:rsidR="00000000" w:rsidRPr="00000000">
        <w:rPr>
          <w:sz w:val="22"/>
          <w:szCs w:val="22"/>
          <w:rtl w:val="0"/>
        </w:rPr>
        <w:t xml:space="preserve">As noted, this research will be informed by two key medical sociological theories and as well as the sick role, the significance of stigma in relation to dependence to medicines is considered to be important. Stigma has been defined as an:</w:t>
      </w:r>
    </w:p>
    <w:p w:rsidR="00000000" w:rsidDel="00000000" w:rsidP="00000000" w:rsidRDefault="00000000" w:rsidRPr="00000000" w14:paraId="0000025E">
      <w:pPr>
        <w:spacing w:line="480" w:lineRule="auto"/>
        <w:jc w:val="both"/>
        <w:rPr>
          <w:sz w:val="22"/>
          <w:szCs w:val="22"/>
        </w:rPr>
      </w:pPr>
      <w:r w:rsidDel="00000000" w:rsidR="00000000" w:rsidRPr="00000000">
        <w:rPr>
          <w:rtl w:val="0"/>
        </w:rPr>
      </w:r>
    </w:p>
    <w:p w:rsidR="00000000" w:rsidDel="00000000" w:rsidP="00000000" w:rsidRDefault="00000000" w:rsidRPr="00000000" w14:paraId="0000025F">
      <w:pPr>
        <w:spacing w:line="480" w:lineRule="auto"/>
        <w:ind w:left="709" w:firstLine="0"/>
        <w:jc w:val="both"/>
        <w:rPr>
          <w:sz w:val="22"/>
          <w:szCs w:val="22"/>
        </w:rPr>
      </w:pPr>
      <w:r w:rsidDel="00000000" w:rsidR="00000000" w:rsidRPr="00000000">
        <w:rPr>
          <w:sz w:val="22"/>
          <w:szCs w:val="22"/>
          <w:rtl w:val="0"/>
        </w:rPr>
        <w:t xml:space="preserve"> “</w:t>
      </w:r>
      <w:r w:rsidDel="00000000" w:rsidR="00000000" w:rsidRPr="00000000">
        <w:rPr>
          <w:i w:val="1"/>
          <w:sz w:val="22"/>
          <w:szCs w:val="22"/>
          <w:rtl w:val="0"/>
        </w:rPr>
        <w:t xml:space="preserve">Extreme disapproval of an individual based on social characteristics that are perceived to distinguish them from other members of a society.</w:t>
      </w:r>
      <w:r w:rsidDel="00000000" w:rsidR="00000000" w:rsidRPr="00000000">
        <w:rPr>
          <w:sz w:val="22"/>
          <w:szCs w:val="22"/>
          <w:rtl w:val="0"/>
        </w:rPr>
        <w:t xml:space="preserve">” </w:t>
      </w:r>
    </w:p>
    <w:p w:rsidR="00000000" w:rsidDel="00000000" w:rsidP="00000000" w:rsidRDefault="00000000" w:rsidRPr="00000000" w14:paraId="00000260">
      <w:pPr>
        <w:spacing w:line="480" w:lineRule="auto"/>
        <w:jc w:val="right"/>
        <w:rPr>
          <w:sz w:val="22"/>
          <w:szCs w:val="22"/>
        </w:rPr>
      </w:pPr>
      <w:r w:rsidDel="00000000" w:rsidR="00000000" w:rsidRPr="00000000">
        <w:rPr>
          <w:sz w:val="22"/>
          <w:szCs w:val="22"/>
          <w:rtl w:val="0"/>
        </w:rPr>
        <w:t xml:space="preserve">(Durkheim 1892)</w:t>
      </w:r>
    </w:p>
    <w:p w:rsidR="00000000" w:rsidDel="00000000" w:rsidP="00000000" w:rsidRDefault="00000000" w:rsidRPr="00000000" w14:paraId="00000261">
      <w:pPr>
        <w:spacing w:line="480" w:lineRule="auto"/>
        <w:jc w:val="right"/>
        <w:rPr>
          <w:sz w:val="22"/>
          <w:szCs w:val="22"/>
        </w:rPr>
      </w:pPr>
      <w:r w:rsidDel="00000000" w:rsidR="00000000" w:rsidRPr="00000000">
        <w:rPr>
          <w:rtl w:val="0"/>
        </w:rPr>
      </w:r>
    </w:p>
    <w:p w:rsidR="00000000" w:rsidDel="00000000" w:rsidP="00000000" w:rsidRDefault="00000000" w:rsidRPr="00000000" w14:paraId="00000262">
      <w:pPr>
        <w:spacing w:line="480" w:lineRule="auto"/>
        <w:jc w:val="both"/>
        <w:rPr>
          <w:sz w:val="22"/>
          <w:szCs w:val="22"/>
        </w:rPr>
      </w:pPr>
      <w:r w:rsidDel="00000000" w:rsidR="00000000" w:rsidRPr="00000000">
        <w:rPr>
          <w:sz w:val="22"/>
          <w:szCs w:val="22"/>
          <w:rtl w:val="0"/>
        </w:rPr>
        <w:t xml:space="preserve">This often stems from the lack of understanding or awareness of a concept, for example, mental health (American Psychiatric Association 2023, Goffman 1963). It is a complex process of “</w:t>
      </w:r>
      <w:r w:rsidDel="00000000" w:rsidR="00000000" w:rsidRPr="00000000">
        <w:rPr>
          <w:i w:val="1"/>
          <w:sz w:val="22"/>
          <w:szCs w:val="22"/>
          <w:rtl w:val="0"/>
        </w:rPr>
        <w:t xml:space="preserve">labelling, othering, devaluation and discrimination involving an interconnection of cognitive, emotional and behavioural components</w:t>
      </w:r>
      <w:r w:rsidDel="00000000" w:rsidR="00000000" w:rsidRPr="00000000">
        <w:rPr>
          <w:sz w:val="22"/>
          <w:szCs w:val="22"/>
          <w:rtl w:val="0"/>
        </w:rPr>
        <w:t xml:space="preserve">” from powerful groups (Knaak et al 2017, Link and Phelan 2001, Corrigan et al 2014). There is a well-documented literature base suggesting stigma in mental health care can create barriers to accessing support and delaying help seeking. It can also result in poor treatment outcomes, non-adherence to treatment and can act as a complete barrier to help seeking (Knaak et al 2017, Phelan et al 2023). This section will now go on to provide an overview of stigma, considering how it may arise, its different manifestations and also crucially the implications of stigma for individuals, and particularly in terms of identify and illness experience. Whereas the previously described sick role was argued by Parson’s (and others) to be a positive construct as originally understood at least, stigma will be shown to be a much more negative concept with healthcare. The section will end with a consideration of why stigma is particularly important for this research and dependence to medicines.</w:t>
      </w:r>
    </w:p>
    <w:p w:rsidR="00000000" w:rsidDel="00000000" w:rsidP="00000000" w:rsidRDefault="00000000" w:rsidRPr="00000000" w14:paraId="00000263">
      <w:pPr>
        <w:spacing w:line="480" w:lineRule="auto"/>
        <w:jc w:val="both"/>
        <w:rPr>
          <w:sz w:val="22"/>
          <w:szCs w:val="22"/>
        </w:rPr>
      </w:pPr>
      <w:r w:rsidDel="00000000" w:rsidR="00000000" w:rsidRPr="00000000">
        <w:rPr>
          <w:rtl w:val="0"/>
        </w:rPr>
      </w:r>
    </w:p>
    <w:p w:rsidR="00000000" w:rsidDel="00000000" w:rsidP="00000000" w:rsidRDefault="00000000" w:rsidRPr="00000000" w14:paraId="00000264">
      <w:pPr>
        <w:spacing w:line="480" w:lineRule="auto"/>
        <w:jc w:val="both"/>
        <w:rPr>
          <w:sz w:val="22"/>
          <w:szCs w:val="22"/>
        </w:rPr>
      </w:pPr>
      <w:r w:rsidDel="00000000" w:rsidR="00000000" w:rsidRPr="00000000">
        <w:rPr>
          <w:sz w:val="22"/>
          <w:szCs w:val="22"/>
          <w:rtl w:val="0"/>
        </w:rPr>
        <w:t xml:space="preserve">Historically, those who presented with a mental health condition were labelled as “</w:t>
      </w:r>
      <w:r w:rsidDel="00000000" w:rsidR="00000000" w:rsidRPr="00000000">
        <w:rPr>
          <w:i w:val="1"/>
          <w:sz w:val="22"/>
          <w:szCs w:val="22"/>
          <w:rtl w:val="0"/>
        </w:rPr>
        <w:t xml:space="preserve">dangerous, volatile, weak, frail and unintelligent or lacking in self-control</w:t>
      </w:r>
      <w:r w:rsidDel="00000000" w:rsidR="00000000" w:rsidRPr="00000000">
        <w:rPr>
          <w:sz w:val="22"/>
          <w:szCs w:val="22"/>
          <w:rtl w:val="0"/>
        </w:rPr>
        <w:t xml:space="preserve">” (Sadler et al 2012). There is a general “</w:t>
      </w:r>
      <w:r w:rsidDel="00000000" w:rsidR="00000000" w:rsidRPr="00000000">
        <w:rPr>
          <w:i w:val="1"/>
          <w:sz w:val="22"/>
          <w:szCs w:val="22"/>
          <w:rtl w:val="0"/>
        </w:rPr>
        <w:t xml:space="preserve">pervasive and persistent</w:t>
      </w:r>
      <w:r w:rsidDel="00000000" w:rsidR="00000000" w:rsidRPr="00000000">
        <w:rPr>
          <w:sz w:val="22"/>
          <w:szCs w:val="22"/>
          <w:rtl w:val="0"/>
        </w:rPr>
        <w:t xml:space="preserve">” negative perception of those who have a mental health difficulty (Pescosolido et al 2010), and these negative attitudes are perpetuated when the individual is also dependent on a substance (Barry et al 2014, p.2). These attitudes shift towards a more positive one when the individual is engaging in treatment for their mental health and substance use difficulties particularly if they are successfully recovering (Roberts 2009). The notion of a pervasive attitude is mirrored in the historical perceptions of those with substance use disorders, labelled as someone who has a “</w:t>
      </w:r>
      <w:r w:rsidDel="00000000" w:rsidR="00000000" w:rsidRPr="00000000">
        <w:rPr>
          <w:i w:val="1"/>
          <w:sz w:val="22"/>
          <w:szCs w:val="22"/>
          <w:rtl w:val="0"/>
        </w:rPr>
        <w:t xml:space="preserve">moral failing</w:t>
      </w:r>
      <w:r w:rsidDel="00000000" w:rsidR="00000000" w:rsidRPr="00000000">
        <w:rPr>
          <w:sz w:val="22"/>
          <w:szCs w:val="22"/>
          <w:rtl w:val="0"/>
        </w:rPr>
        <w:t xml:space="preserve">”, a perception in which some still hold (Heather 2017). This supports Parsons, who suggested those who condone and attempt to move away from the deviant behaviour that is ill health, are afforded the exemptions associated with the sick role (Parsons 1951). </w:t>
      </w:r>
    </w:p>
    <w:p w:rsidR="00000000" w:rsidDel="00000000" w:rsidP="00000000" w:rsidRDefault="00000000" w:rsidRPr="00000000" w14:paraId="00000265">
      <w:pPr>
        <w:spacing w:line="480" w:lineRule="auto"/>
        <w:jc w:val="both"/>
        <w:rPr>
          <w:sz w:val="22"/>
          <w:szCs w:val="22"/>
        </w:rPr>
      </w:pPr>
      <w:r w:rsidDel="00000000" w:rsidR="00000000" w:rsidRPr="00000000">
        <w:rPr>
          <w:rtl w:val="0"/>
        </w:rPr>
      </w:r>
    </w:p>
    <w:p w:rsidR="00000000" w:rsidDel="00000000" w:rsidP="00000000" w:rsidRDefault="00000000" w:rsidRPr="00000000" w14:paraId="00000266">
      <w:pPr>
        <w:spacing w:line="480" w:lineRule="auto"/>
        <w:jc w:val="both"/>
        <w:rPr>
          <w:sz w:val="22"/>
          <w:szCs w:val="22"/>
        </w:rPr>
      </w:pPr>
      <w:r w:rsidDel="00000000" w:rsidR="00000000" w:rsidRPr="00000000">
        <w:rPr>
          <w:sz w:val="22"/>
          <w:szCs w:val="22"/>
          <w:rtl w:val="0"/>
        </w:rPr>
        <w:t xml:space="preserve">Defined by Sanford et al (2000), “</w:t>
      </w:r>
      <w:r w:rsidDel="00000000" w:rsidR="00000000" w:rsidRPr="00000000">
        <w:rPr>
          <w:i w:val="1"/>
          <w:sz w:val="22"/>
          <w:szCs w:val="22"/>
          <w:rtl w:val="0"/>
        </w:rPr>
        <w:t xml:space="preserve">disease mongering</w:t>
      </w:r>
      <w:r w:rsidDel="00000000" w:rsidR="00000000" w:rsidRPr="00000000">
        <w:rPr>
          <w:sz w:val="22"/>
          <w:szCs w:val="22"/>
          <w:rtl w:val="0"/>
        </w:rPr>
        <w:t xml:space="preserve">” is the “</w:t>
      </w:r>
      <w:r w:rsidDel="00000000" w:rsidR="00000000" w:rsidRPr="00000000">
        <w:rPr>
          <w:i w:val="1"/>
          <w:sz w:val="22"/>
          <w:szCs w:val="22"/>
          <w:rtl w:val="0"/>
        </w:rPr>
        <w:t xml:space="preserve">widening the boundaries of treatable illness in order to expand markets for those who sell and deliver treatments</w:t>
      </w:r>
      <w:r w:rsidDel="00000000" w:rsidR="00000000" w:rsidRPr="00000000">
        <w:rPr>
          <w:sz w:val="22"/>
          <w:szCs w:val="22"/>
          <w:rtl w:val="0"/>
        </w:rPr>
        <w:t xml:space="preserve">”. It has been described as a “</w:t>
      </w:r>
      <w:r w:rsidDel="00000000" w:rsidR="00000000" w:rsidRPr="00000000">
        <w:rPr>
          <w:i w:val="1"/>
          <w:sz w:val="22"/>
          <w:szCs w:val="22"/>
          <w:rtl w:val="0"/>
        </w:rPr>
        <w:t xml:space="preserve">persistent and troubling issue</w:t>
      </w:r>
      <w:r w:rsidDel="00000000" w:rsidR="00000000" w:rsidRPr="00000000">
        <w:rPr>
          <w:sz w:val="22"/>
          <w:szCs w:val="22"/>
          <w:rtl w:val="0"/>
        </w:rPr>
        <w:t xml:space="preserve">” (PLOS Medicine Editors 2013, p.1). Although over-diagnosis and treatment expands across all aspects of healthcare, it is particularly prevalent in psychiatry (PLOS Medicine Editors 2013, p.1). As explored earlier within this chapter, the medicalisation and Brain Disease Model (BDMA) of addiction and mental health can go some way in reducing the stigma associated with mental health difficulties, as the patients’ symptoms can be attributed to a physiological cause (Kvaale et al 2013, Phelan et al 2023). In practice, however, this can contribute to an increased stigma associated with being diagnosed with a disease, a reduction in self-efficacy, and the removal of agency in their condition or recovery (Hammer et al 2013 p.4, Hall et al 2017, Hall et al 2015, Hammer et al 2013). Individuals who are dependent on prescribed medicines experience may less stigma from others compared to illicit drug users, but internalise the stigma, and “</w:t>
      </w:r>
      <w:r w:rsidDel="00000000" w:rsidR="00000000" w:rsidRPr="00000000">
        <w:rPr>
          <w:i w:val="1"/>
          <w:sz w:val="22"/>
          <w:szCs w:val="22"/>
          <w:rtl w:val="0"/>
        </w:rPr>
        <w:t xml:space="preserve">self-stigmatise</w:t>
      </w:r>
      <w:r w:rsidDel="00000000" w:rsidR="00000000" w:rsidRPr="00000000">
        <w:rPr>
          <w:sz w:val="22"/>
          <w:szCs w:val="22"/>
          <w:rtl w:val="0"/>
        </w:rPr>
        <w:t xml:space="preserve">” (Fixsen 2015). When discussing the concept of Stigmatisation in the context of mental health and wellbeing, it is important to consider intersectionality. This is defined as:</w:t>
      </w:r>
    </w:p>
    <w:p w:rsidR="00000000" w:rsidDel="00000000" w:rsidP="00000000" w:rsidRDefault="00000000" w:rsidRPr="00000000" w14:paraId="00000267">
      <w:pPr>
        <w:spacing w:line="480" w:lineRule="auto"/>
        <w:jc w:val="both"/>
        <w:rPr>
          <w:sz w:val="22"/>
          <w:szCs w:val="22"/>
        </w:rPr>
      </w:pPr>
      <w:r w:rsidDel="00000000" w:rsidR="00000000" w:rsidRPr="00000000">
        <w:rPr>
          <w:rtl w:val="0"/>
        </w:rPr>
      </w:r>
    </w:p>
    <w:p w:rsidR="00000000" w:rsidDel="00000000" w:rsidP="00000000" w:rsidRDefault="00000000" w:rsidRPr="00000000" w14:paraId="0000026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ways that multiple forms of inequality or disadvantage sometimes compound themselves and create obstacles that often are not understood among conventional ways of thinking.</w:t>
      </w:r>
      <w:r w:rsidDel="00000000" w:rsidR="00000000" w:rsidRPr="00000000">
        <w:rPr>
          <w:sz w:val="22"/>
          <w:szCs w:val="22"/>
          <w:rtl w:val="0"/>
        </w:rPr>
        <w:t xml:space="preserve">”</w:t>
      </w:r>
    </w:p>
    <w:p w:rsidR="00000000" w:rsidDel="00000000" w:rsidP="00000000" w:rsidRDefault="00000000" w:rsidRPr="00000000" w14:paraId="00000269">
      <w:pPr>
        <w:spacing w:line="480" w:lineRule="auto"/>
        <w:ind w:left="709" w:firstLine="0"/>
        <w:jc w:val="right"/>
        <w:rPr>
          <w:sz w:val="22"/>
          <w:szCs w:val="22"/>
        </w:rPr>
      </w:pPr>
      <w:r w:rsidDel="00000000" w:rsidR="00000000" w:rsidRPr="00000000">
        <w:rPr>
          <w:sz w:val="22"/>
          <w:szCs w:val="22"/>
          <w:rtl w:val="0"/>
        </w:rPr>
        <w:t xml:space="preserve">(Crenshaw 1989, p.149)</w:t>
      </w:r>
    </w:p>
    <w:p w:rsidR="00000000" w:rsidDel="00000000" w:rsidP="00000000" w:rsidRDefault="00000000" w:rsidRPr="00000000" w14:paraId="0000026A">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26B">
      <w:pPr>
        <w:spacing w:line="480" w:lineRule="auto"/>
        <w:jc w:val="both"/>
        <w:rPr>
          <w:sz w:val="22"/>
          <w:szCs w:val="22"/>
        </w:rPr>
      </w:pPr>
      <w:r w:rsidDel="00000000" w:rsidR="00000000" w:rsidRPr="00000000">
        <w:rPr>
          <w:sz w:val="22"/>
          <w:szCs w:val="22"/>
          <w:rtl w:val="0"/>
        </w:rPr>
        <w:t xml:space="preserve">This definition arose from the Black Feminist activism and originally referred to the “</w:t>
      </w:r>
      <w:r w:rsidDel="00000000" w:rsidR="00000000" w:rsidRPr="00000000">
        <w:rPr>
          <w:i w:val="1"/>
          <w:sz w:val="22"/>
          <w:szCs w:val="22"/>
          <w:rtl w:val="0"/>
        </w:rPr>
        <w:t xml:space="preserve">double discrimination faced by Black women</w:t>
      </w:r>
      <w:r w:rsidDel="00000000" w:rsidR="00000000" w:rsidRPr="00000000">
        <w:rPr>
          <w:sz w:val="22"/>
          <w:szCs w:val="22"/>
          <w:rtl w:val="0"/>
        </w:rPr>
        <w:t xml:space="preserve">” (Crenshaw 1989, p.149). Whilst Crenshaw was the first to use the term intersectionality, it is now used to refer to interactions between the protected characteristics defined in the Equality Act (2010), in addition to “</w:t>
      </w:r>
      <w:r w:rsidDel="00000000" w:rsidR="00000000" w:rsidRPr="00000000">
        <w:rPr>
          <w:i w:val="1"/>
          <w:sz w:val="22"/>
          <w:szCs w:val="22"/>
          <w:rtl w:val="0"/>
        </w:rPr>
        <w:t xml:space="preserve">wider characteristics that shape lived experiences of discrimination, inequality and privilege</w:t>
      </w:r>
      <w:r w:rsidDel="00000000" w:rsidR="00000000" w:rsidRPr="00000000">
        <w:rPr>
          <w:sz w:val="22"/>
          <w:szCs w:val="22"/>
          <w:rtl w:val="0"/>
        </w:rPr>
        <w:t xml:space="preserve">” (Scottish Government, 2022).</w:t>
      </w:r>
    </w:p>
    <w:p w:rsidR="00000000" w:rsidDel="00000000" w:rsidP="00000000" w:rsidRDefault="00000000" w:rsidRPr="00000000" w14:paraId="0000026C">
      <w:pPr>
        <w:spacing w:line="480" w:lineRule="auto"/>
        <w:jc w:val="both"/>
        <w:rPr>
          <w:sz w:val="22"/>
          <w:szCs w:val="22"/>
        </w:rPr>
      </w:pPr>
      <w:r w:rsidDel="00000000" w:rsidR="00000000" w:rsidRPr="00000000">
        <w:rPr>
          <w:rtl w:val="0"/>
        </w:rPr>
      </w:r>
    </w:p>
    <w:p w:rsidR="00000000" w:rsidDel="00000000" w:rsidP="00000000" w:rsidRDefault="00000000" w:rsidRPr="00000000" w14:paraId="0000026D">
      <w:pPr>
        <w:spacing w:line="480" w:lineRule="auto"/>
        <w:jc w:val="both"/>
        <w:rPr/>
      </w:pPr>
      <w:r w:rsidDel="00000000" w:rsidR="00000000" w:rsidRPr="00000000">
        <w:rPr>
          <w:sz w:val="22"/>
          <w:szCs w:val="22"/>
          <w:rtl w:val="0"/>
        </w:rPr>
        <w:t xml:space="preserve">In the context of intersectionality, Black men have reportedly lower levels of mental ill health than their White counterparts (Mind 2020, p.15). Historically, quality data exploring Black Asian Minority Ethnic (BAME) male mental health has been lacking, despite understanding these individuals are likely to experience poor mental health (Mind 2020, p.15). Systematic and institutional racism and discrimination have been identified as a significant factor in why Black males can experience poor mental health and does not occur in countries with a predominantly Black population (Mind 2020 p.15, Centre for Mental Health 2017). This has led to a three-fold increased risk of suicidality, Post Traumatic Stress Disorder and inevitably poorer mental health outcomes (Mind 2020 p.16, McManus et al 2016).</w:t>
      </w:r>
      <w:r w:rsidDel="00000000" w:rsidR="00000000" w:rsidRPr="00000000">
        <w:rPr>
          <w:rtl w:val="0"/>
        </w:rPr>
      </w:r>
    </w:p>
    <w:p w:rsidR="00000000" w:rsidDel="00000000" w:rsidP="00000000" w:rsidRDefault="00000000" w:rsidRPr="00000000" w14:paraId="0000026E">
      <w:pPr>
        <w:spacing w:line="480" w:lineRule="auto"/>
        <w:jc w:val="both"/>
        <w:rPr>
          <w:sz w:val="22"/>
          <w:szCs w:val="22"/>
        </w:rPr>
      </w:pPr>
      <w:r w:rsidDel="00000000" w:rsidR="00000000" w:rsidRPr="00000000">
        <w:rPr>
          <w:rtl w:val="0"/>
        </w:rPr>
      </w:r>
    </w:p>
    <w:p w:rsidR="00000000" w:rsidDel="00000000" w:rsidP="00000000" w:rsidRDefault="00000000" w:rsidRPr="00000000" w14:paraId="0000026F">
      <w:pPr>
        <w:spacing w:line="480" w:lineRule="auto"/>
        <w:jc w:val="both"/>
        <w:rPr>
          <w:sz w:val="22"/>
          <w:szCs w:val="22"/>
        </w:rPr>
      </w:pPr>
      <w:r w:rsidDel="00000000" w:rsidR="00000000" w:rsidRPr="00000000">
        <w:rPr>
          <w:sz w:val="22"/>
          <w:szCs w:val="22"/>
          <w:rtl w:val="0"/>
        </w:rPr>
        <w:t xml:space="preserve">Again, when discussing gender, boys and girls are socialised from a young age to correspond to gender norms Samulowitz et al (2018, p.1). In relation to societal expectations, boys and men are to be tough whilst girls and women are expected to be sensitive and careful (Myers et al 2003). Further literature suggests men are socialised to be “</w:t>
      </w:r>
      <w:r w:rsidDel="00000000" w:rsidR="00000000" w:rsidRPr="00000000">
        <w:rPr>
          <w:i w:val="1"/>
          <w:sz w:val="22"/>
          <w:szCs w:val="22"/>
          <w:rtl w:val="0"/>
        </w:rPr>
        <w:t xml:space="preserve">stoic, in control and avoiding seeking healthcare</w:t>
      </w:r>
      <w:r w:rsidDel="00000000" w:rsidR="00000000" w:rsidRPr="00000000">
        <w:rPr>
          <w:sz w:val="22"/>
          <w:szCs w:val="22"/>
          <w:rtl w:val="0"/>
        </w:rPr>
        <w:t xml:space="preserve">”, whereas women are presented as being more “</w:t>
      </w:r>
      <w:r w:rsidDel="00000000" w:rsidR="00000000" w:rsidRPr="00000000">
        <w:rPr>
          <w:i w:val="1"/>
          <w:sz w:val="22"/>
          <w:szCs w:val="22"/>
          <w:rtl w:val="0"/>
        </w:rPr>
        <w:t xml:space="preserve">sensitive to pain and more willing to show and to report pain</w:t>
      </w:r>
      <w:r w:rsidDel="00000000" w:rsidR="00000000" w:rsidRPr="00000000">
        <w:rPr>
          <w:sz w:val="22"/>
          <w:szCs w:val="22"/>
          <w:rtl w:val="0"/>
        </w:rPr>
        <w:t xml:space="preserve">” (O’Brien et al 2005, Ahlsen et al 2012). The stigma associated with male mental health can prevent formal support, with 40% of men reporting to have never discussed their mental health with anybody due to the associated stigma (Hill and Donatelle 2005, The Priory Group 2022). Following this, there is evidence to suggest female caregivers are fearful of repercussions such as social care involvement if they enter the sick role by accessing formal healthcare services for their mental health (Moore et al 2016, Oakley 1974).</w:t>
      </w:r>
    </w:p>
    <w:p w:rsidR="00000000" w:rsidDel="00000000" w:rsidP="00000000" w:rsidRDefault="00000000" w:rsidRPr="00000000" w14:paraId="00000270">
      <w:pPr>
        <w:spacing w:line="480" w:lineRule="auto"/>
        <w:jc w:val="both"/>
        <w:rPr>
          <w:sz w:val="22"/>
          <w:szCs w:val="22"/>
        </w:rPr>
      </w:pPr>
      <w:r w:rsidDel="00000000" w:rsidR="00000000" w:rsidRPr="00000000">
        <w:rPr>
          <w:rtl w:val="0"/>
        </w:rPr>
      </w:r>
    </w:p>
    <w:p w:rsidR="00000000" w:rsidDel="00000000" w:rsidP="00000000" w:rsidRDefault="00000000" w:rsidRPr="00000000" w14:paraId="00000271">
      <w:pPr>
        <w:pStyle w:val="Heading2"/>
        <w:numPr>
          <w:ilvl w:val="1"/>
          <w:numId w:val="8"/>
        </w:numPr>
        <w:spacing w:line="480" w:lineRule="auto"/>
        <w:ind w:left="720" w:hanging="720"/>
        <w:jc w:val="both"/>
        <w:rPr>
          <w:rFonts w:ascii="Aptos" w:cs="Aptos" w:eastAsia="Aptos" w:hAnsi="Aptos"/>
        </w:rPr>
      </w:pPr>
      <w:bookmarkStart w:colFirst="0" w:colLast="0" w:name="_heading=h.1pxezwc" w:id="29"/>
      <w:bookmarkEnd w:id="29"/>
      <w:r w:rsidDel="00000000" w:rsidR="00000000" w:rsidRPr="00000000">
        <w:rPr>
          <w:rFonts w:ascii="Aptos" w:cs="Aptos" w:eastAsia="Aptos" w:hAnsi="Aptos"/>
          <w:rtl w:val="0"/>
        </w:rPr>
        <w:t xml:space="preserve">Implications for this Research</w:t>
      </w:r>
    </w:p>
    <w:p w:rsidR="00000000" w:rsidDel="00000000" w:rsidP="00000000" w:rsidRDefault="00000000" w:rsidRPr="00000000" w14:paraId="00000272">
      <w:pPr>
        <w:spacing w:line="480" w:lineRule="auto"/>
        <w:jc w:val="both"/>
        <w:rPr>
          <w:sz w:val="22"/>
          <w:szCs w:val="22"/>
        </w:rPr>
      </w:pPr>
      <w:r w:rsidDel="00000000" w:rsidR="00000000" w:rsidRPr="00000000">
        <w:rPr>
          <w:sz w:val="22"/>
          <w:szCs w:val="22"/>
          <w:rtl w:val="0"/>
        </w:rPr>
        <w:t xml:space="preserve">Contemporary debates in addiction research suggest the influence of social, psychological, and behavioural components of addiction (Skewes and Gonzales 2013, p.61). Deacon (2013, p.847) suggests there is no credible evidence identifying chemical imbalances or biomarkers for illness, with widely accepted theories around mental health being debunked (Moncrieff et al 2021). Hogan (2019, p.16) criticises the BDMA and the biomedical approach, suggesting addiction as the “</w:t>
      </w:r>
      <w:r w:rsidDel="00000000" w:rsidR="00000000" w:rsidRPr="00000000">
        <w:rPr>
          <w:i w:val="1"/>
          <w:sz w:val="22"/>
          <w:szCs w:val="22"/>
          <w:rtl w:val="0"/>
        </w:rPr>
        <w:t xml:space="preserve">product of an unaccommodating and oppressive society, rather than an individual and medical problem</w:t>
      </w:r>
      <w:r w:rsidDel="00000000" w:rsidR="00000000" w:rsidRPr="00000000">
        <w:rPr>
          <w:sz w:val="22"/>
          <w:szCs w:val="22"/>
          <w:rtl w:val="0"/>
        </w:rPr>
        <w:t xml:space="preserve">” (Hogan 2019, p.16). This supports Pickard and Pearce’s argument that addiction is not a direct medical issue, and there is a combination of factors contributing to this phenomenon (Pickard and Pearce 2013). </w:t>
      </w:r>
    </w:p>
    <w:p w:rsidR="00000000" w:rsidDel="00000000" w:rsidP="00000000" w:rsidRDefault="00000000" w:rsidRPr="00000000" w14:paraId="00000273">
      <w:pPr>
        <w:spacing w:line="480" w:lineRule="auto"/>
        <w:jc w:val="both"/>
        <w:rPr>
          <w:sz w:val="22"/>
          <w:szCs w:val="22"/>
        </w:rPr>
      </w:pPr>
      <w:r w:rsidDel="00000000" w:rsidR="00000000" w:rsidRPr="00000000">
        <w:rPr>
          <w:rtl w:val="0"/>
        </w:rPr>
      </w:r>
    </w:p>
    <w:p w:rsidR="00000000" w:rsidDel="00000000" w:rsidP="00000000" w:rsidRDefault="00000000" w:rsidRPr="00000000" w14:paraId="00000274">
      <w:pPr>
        <w:spacing w:line="480" w:lineRule="auto"/>
        <w:jc w:val="both"/>
        <w:rPr>
          <w:sz w:val="22"/>
          <w:szCs w:val="22"/>
        </w:rPr>
      </w:pPr>
      <w:r w:rsidDel="00000000" w:rsidR="00000000" w:rsidRPr="00000000">
        <w:rPr>
          <w:sz w:val="22"/>
          <w:szCs w:val="22"/>
          <w:rtl w:val="0"/>
        </w:rPr>
        <w:t xml:space="preserve">When discussing prescribed medicines, and the subsequent dependence on these drugs, however, it is important to note the dominance of the biological approach. Medicines are a direct and “</w:t>
      </w:r>
      <w:r w:rsidDel="00000000" w:rsidR="00000000" w:rsidRPr="00000000">
        <w:rPr>
          <w:i w:val="1"/>
          <w:sz w:val="22"/>
          <w:szCs w:val="22"/>
          <w:rtl w:val="0"/>
        </w:rPr>
        <w:t xml:space="preserve">logical</w:t>
      </w:r>
      <w:r w:rsidDel="00000000" w:rsidR="00000000" w:rsidRPr="00000000">
        <w:rPr>
          <w:sz w:val="22"/>
          <w:szCs w:val="22"/>
          <w:rtl w:val="0"/>
        </w:rPr>
        <w:t xml:space="preserve">” outcome of the Brain Disease Model of Addiction (BMDA) and associated research Kushner 2010, Hammer et al 2013, p.5). The dependence on prescribed medicines, and therefore the associated withdrawal symptoms, can be due to the physical characteristics of these drugs. It can, however, also be the result of a psychological association between feelings of being well, or feeling better, and the use of these medicines as advanced in learning theories. </w:t>
      </w:r>
    </w:p>
    <w:p w:rsidR="00000000" w:rsidDel="00000000" w:rsidP="00000000" w:rsidRDefault="00000000" w:rsidRPr="00000000" w14:paraId="00000275">
      <w:pPr>
        <w:spacing w:line="480" w:lineRule="auto"/>
        <w:jc w:val="both"/>
        <w:rPr>
          <w:sz w:val="22"/>
          <w:szCs w:val="22"/>
        </w:rPr>
      </w:pPr>
      <w:r w:rsidDel="00000000" w:rsidR="00000000" w:rsidRPr="00000000">
        <w:rPr>
          <w:rtl w:val="0"/>
        </w:rPr>
      </w:r>
    </w:p>
    <w:p w:rsidR="00000000" w:rsidDel="00000000" w:rsidP="00000000" w:rsidRDefault="00000000" w:rsidRPr="00000000" w14:paraId="00000276">
      <w:pPr>
        <w:spacing w:line="480" w:lineRule="auto"/>
        <w:jc w:val="both"/>
        <w:rPr>
          <w:sz w:val="22"/>
          <w:szCs w:val="22"/>
        </w:rPr>
      </w:pPr>
      <w:r w:rsidDel="00000000" w:rsidR="00000000" w:rsidRPr="00000000">
        <w:rPr>
          <w:rFonts w:ascii="Aptos" w:cs="Aptos" w:eastAsia="Aptos" w:hAnsi="Aptos"/>
          <w:sz w:val="22"/>
          <w:szCs w:val="22"/>
          <w:rtl w:val="0"/>
        </w:rPr>
        <w:t xml:space="preserve">Although competing theories conceptualise common mental health disorders being the result of “</w:t>
      </w:r>
      <w:r w:rsidDel="00000000" w:rsidR="00000000" w:rsidRPr="00000000">
        <w:rPr>
          <w:rFonts w:ascii="Aptos" w:cs="Aptos" w:eastAsia="Aptos" w:hAnsi="Aptos"/>
          <w:i w:val="1"/>
          <w:sz w:val="22"/>
          <w:szCs w:val="22"/>
          <w:rtl w:val="0"/>
        </w:rPr>
        <w:t xml:space="preserve">problems of external origin</w:t>
      </w:r>
      <w:r w:rsidDel="00000000" w:rsidR="00000000" w:rsidRPr="00000000">
        <w:rPr>
          <w:rFonts w:ascii="Aptos" w:cs="Aptos" w:eastAsia="Aptos" w:hAnsi="Aptos"/>
          <w:sz w:val="22"/>
          <w:szCs w:val="22"/>
          <w:rtl w:val="0"/>
        </w:rPr>
        <w:t xml:space="preserve">”, the dominant explanation remains biological (Karasz et al 2022, p.1) and has been “w</w:t>
      </w:r>
      <w:r w:rsidDel="00000000" w:rsidR="00000000" w:rsidRPr="00000000">
        <w:rPr>
          <w:rFonts w:ascii="Aptos" w:cs="Aptos" w:eastAsia="Aptos" w:hAnsi="Aptos"/>
          <w:i w:val="1"/>
          <w:sz w:val="22"/>
          <w:szCs w:val="22"/>
          <w:rtl w:val="0"/>
        </w:rPr>
        <w:t xml:space="preserve">idely embraced by members of the public</w:t>
      </w:r>
      <w:r w:rsidDel="00000000" w:rsidR="00000000" w:rsidRPr="00000000">
        <w:rPr>
          <w:rFonts w:ascii="Aptos" w:cs="Aptos" w:eastAsia="Aptos" w:hAnsi="Aptos"/>
          <w:sz w:val="22"/>
          <w:szCs w:val="22"/>
          <w:rtl w:val="0"/>
        </w:rPr>
        <w:t xml:space="preserve">” (Pescosolido et al 2010, Schomerus et al 2012). As outlined earlier in this chapter, the Brain Disease Model of Addiction (BDMA) suggests addiction is due to a “</w:t>
      </w:r>
      <w:r w:rsidDel="00000000" w:rsidR="00000000" w:rsidRPr="00000000">
        <w:rPr>
          <w:i w:val="1"/>
          <w:sz w:val="22"/>
          <w:szCs w:val="22"/>
          <w:rtl w:val="0"/>
        </w:rPr>
        <w:t xml:space="preserve">dysfunction of brain systems involved in reward and pleasure seeking</w:t>
      </w:r>
      <w:r w:rsidDel="00000000" w:rsidR="00000000" w:rsidRPr="00000000">
        <w:rPr>
          <w:sz w:val="22"/>
          <w:szCs w:val="22"/>
          <w:rtl w:val="0"/>
        </w:rPr>
        <w:t xml:space="preserve">” (Leshner 1997). It is considered a mental health disorder by the American Psychiatric Association with a biomedical underpinning, and therefore can be treated (Volkow and Li 2005, Racine et al 2017, p.1, American Psychiatric Association 2013, Deacon 2013, p.847, Andreason 1985). The development of the BDMA model and disease model of mental ill health has allowed advancements in research and development into the diagnosis, treatments, and cures for illness (Hammer et al 2013, p.5, Deacon 2013, p.847). </w:t>
      </w:r>
    </w:p>
    <w:p w:rsidR="00000000" w:rsidDel="00000000" w:rsidP="00000000" w:rsidRDefault="00000000" w:rsidRPr="00000000" w14:paraId="00000277">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78">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There is a strong public perception that depression is in part caused by a chemical imbalance caused by a lower serotonin concentration, first suggested in by Coppen (1967). A significant systematic umbrella review suggests there is “</w:t>
      </w:r>
      <w:r w:rsidDel="00000000" w:rsidR="00000000" w:rsidRPr="00000000">
        <w:rPr>
          <w:rFonts w:ascii="Aptos" w:cs="Aptos" w:eastAsia="Aptos" w:hAnsi="Aptos"/>
          <w:i w:val="1"/>
          <w:sz w:val="22"/>
          <w:szCs w:val="22"/>
          <w:rtl w:val="0"/>
        </w:rPr>
        <w:t xml:space="preserve">no convincing evidence that depression is associated with, or caused by, lower serotonin concentrations or activity</w:t>
      </w:r>
      <w:r w:rsidDel="00000000" w:rsidR="00000000" w:rsidRPr="00000000">
        <w:rPr>
          <w:rFonts w:ascii="Aptos" w:cs="Aptos" w:eastAsia="Aptos" w:hAnsi="Aptos"/>
          <w:sz w:val="22"/>
          <w:szCs w:val="22"/>
          <w:rtl w:val="0"/>
        </w:rPr>
        <w:t xml:space="preserve">”, and this theory widely considered “</w:t>
      </w:r>
      <w:r w:rsidDel="00000000" w:rsidR="00000000" w:rsidRPr="00000000">
        <w:rPr>
          <w:rFonts w:ascii="Aptos" w:cs="Aptos" w:eastAsia="Aptos" w:hAnsi="Aptos"/>
          <w:i w:val="1"/>
          <w:sz w:val="22"/>
          <w:szCs w:val="22"/>
          <w:rtl w:val="0"/>
        </w:rPr>
        <w:t xml:space="preserve">debunked</w:t>
      </w:r>
      <w:r w:rsidDel="00000000" w:rsidR="00000000" w:rsidRPr="00000000">
        <w:rPr>
          <w:rFonts w:ascii="Aptos" w:cs="Aptos" w:eastAsia="Aptos" w:hAnsi="Aptos"/>
          <w:sz w:val="22"/>
          <w:szCs w:val="22"/>
          <w:rtl w:val="0"/>
        </w:rPr>
        <w:t xml:space="preserve">” (Moncreiff et al 2022). This novel evidence, however, will naturally take time to trickle down and influence the public opinion which is a widely embedded and influential theory (Moncrieff et al 2022).  The widespread promotion of this theory has led to the general perception supporting a concrete biological cause of depression, and as a result popularised the notion the patient is not at fault for their diagnosis (Lacasse and Leo 2005). As a result, patients are more likely to present for treatment for their depression, or seek a prescription for antidepressants, therefore entering the sick role. Regardless of the individual beliefs surrounding the cause of an illness, simply accessing support for their health complaint allows the individual to enter the sick role. The expertise and autonomy afforded to medical professionals allows the practitioner to treat the individual as they see fit (Parsons 1951). </w:t>
      </w:r>
    </w:p>
    <w:p w:rsidR="00000000" w:rsidDel="00000000" w:rsidP="00000000" w:rsidRDefault="00000000" w:rsidRPr="00000000" w14:paraId="00000279">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7A">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As previously explored, prescribing rates have increased by 42.6% between 2004 and 2019 (Naser et al 2022, p.3). The National Health Service expenditure on prescribing increasing from £6.7billion to £9.1billion between 2018 and 2022 (Angelis et al 2023). Recent estimates suggest that at least 10% of prescriptions are unnecessary (Department of Health and Social Care 2021, p.7). Continuous inappropriate and over prescribing can result in the formation of a dependence (Roughead et al 2019, Zin et al 2014, Marsden et al 2019). Considering two of the obligations of the patient is to seek appropriate medical advice in a timely manner, and to comply with their advice, is either the formation of a dependence, or the other concerns outlined, the responsibility or fault of the patient? The sick role would suggest, that considering the individual is upholding their obligation to comply with medical advice, they are not responsible for their dependency and are permitted to remain in the sick role until their health improves. </w:t>
      </w:r>
    </w:p>
    <w:p w:rsidR="00000000" w:rsidDel="00000000" w:rsidP="00000000" w:rsidRDefault="00000000" w:rsidRPr="00000000" w14:paraId="0000027B">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7C">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If one views mental health through a sociological lens, poor mental health and wellbeing is due to these “</w:t>
      </w:r>
      <w:r w:rsidDel="00000000" w:rsidR="00000000" w:rsidRPr="00000000">
        <w:rPr>
          <w:rFonts w:ascii="Aptos" w:cs="Aptos" w:eastAsia="Aptos" w:hAnsi="Aptos"/>
          <w:i w:val="1"/>
          <w:sz w:val="22"/>
          <w:szCs w:val="22"/>
          <w:rtl w:val="0"/>
        </w:rPr>
        <w:t xml:space="preserve">problems of external origin</w:t>
      </w:r>
      <w:r w:rsidDel="00000000" w:rsidR="00000000" w:rsidRPr="00000000">
        <w:rPr>
          <w:rFonts w:ascii="Aptos" w:cs="Aptos" w:eastAsia="Aptos" w:hAnsi="Aptos"/>
          <w:sz w:val="22"/>
          <w:szCs w:val="22"/>
          <w:rtl w:val="0"/>
        </w:rPr>
        <w:t xml:space="preserve">”, such as life events, inequity, or violence (Karasz et al 2022, p.1, 3). Social inequities such as gender or sex, ethnicity, and social status are emphasized in the quality of health and healthcare provision (Weitz 2013). Mechanisms in which medical systems are run are by those with money and power (Weitz 2013), power being “</w:t>
      </w:r>
      <w:r w:rsidDel="00000000" w:rsidR="00000000" w:rsidRPr="00000000">
        <w:rPr>
          <w:rFonts w:ascii="Aptos" w:cs="Aptos" w:eastAsia="Aptos" w:hAnsi="Aptos"/>
          <w:i w:val="1"/>
          <w:sz w:val="22"/>
          <w:szCs w:val="22"/>
          <w:rtl w:val="0"/>
        </w:rPr>
        <w:t xml:space="preserve">Legitimate</w:t>
      </w:r>
      <w:r w:rsidDel="00000000" w:rsidR="00000000" w:rsidRPr="00000000">
        <w:rPr>
          <w:rFonts w:ascii="Aptos" w:cs="Aptos" w:eastAsia="Aptos" w:hAnsi="Aptos"/>
          <w:sz w:val="22"/>
          <w:szCs w:val="22"/>
          <w:rtl w:val="0"/>
        </w:rPr>
        <w:t xml:space="preserve"> </w:t>
      </w:r>
      <w:r w:rsidDel="00000000" w:rsidR="00000000" w:rsidRPr="00000000">
        <w:rPr>
          <w:rFonts w:ascii="Aptos" w:cs="Aptos" w:eastAsia="Aptos" w:hAnsi="Aptos"/>
          <w:i w:val="1"/>
          <w:sz w:val="22"/>
          <w:szCs w:val="22"/>
          <w:rtl w:val="0"/>
        </w:rPr>
        <w:t xml:space="preserve">Power</w:t>
      </w:r>
      <w:r w:rsidDel="00000000" w:rsidR="00000000" w:rsidRPr="00000000">
        <w:rPr>
          <w:rFonts w:ascii="Aptos" w:cs="Aptos" w:eastAsia="Aptos" w:hAnsi="Aptos"/>
          <w:sz w:val="22"/>
          <w:szCs w:val="22"/>
          <w:rtl w:val="0"/>
        </w:rPr>
        <w:t xml:space="preserve">”, such as Governments, or “</w:t>
      </w:r>
      <w:r w:rsidDel="00000000" w:rsidR="00000000" w:rsidRPr="00000000">
        <w:rPr>
          <w:rFonts w:ascii="Aptos" w:cs="Aptos" w:eastAsia="Aptos" w:hAnsi="Aptos"/>
          <w:i w:val="1"/>
          <w:sz w:val="22"/>
          <w:szCs w:val="22"/>
          <w:rtl w:val="0"/>
        </w:rPr>
        <w:t xml:space="preserve">Expert Power</w:t>
      </w:r>
      <w:r w:rsidDel="00000000" w:rsidR="00000000" w:rsidRPr="00000000">
        <w:rPr>
          <w:rFonts w:ascii="Aptos" w:cs="Aptos" w:eastAsia="Aptos" w:hAnsi="Aptos"/>
          <w:sz w:val="22"/>
          <w:szCs w:val="22"/>
          <w:rtl w:val="0"/>
        </w:rPr>
        <w:t xml:space="preserve">”, power gained through possessing specialist knowledge such as medical professionals (French and Raven 1999). </w:t>
      </w:r>
    </w:p>
    <w:p w:rsidR="00000000" w:rsidDel="00000000" w:rsidP="00000000" w:rsidRDefault="00000000" w:rsidRPr="00000000" w14:paraId="0000027D">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7E">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Although it could be argued that all patients who are engaging in a clinical encounter could be considered vulnerable, due to the power dynamic between the “</w:t>
      </w:r>
      <w:r w:rsidDel="00000000" w:rsidR="00000000" w:rsidRPr="00000000">
        <w:rPr>
          <w:rFonts w:ascii="Aptos" w:cs="Aptos" w:eastAsia="Aptos" w:hAnsi="Aptos"/>
          <w:i w:val="1"/>
          <w:sz w:val="22"/>
          <w:szCs w:val="22"/>
          <w:rtl w:val="0"/>
        </w:rPr>
        <w:t xml:space="preserve">expert power</w:t>
      </w:r>
      <w:r w:rsidDel="00000000" w:rsidR="00000000" w:rsidRPr="00000000">
        <w:rPr>
          <w:rFonts w:ascii="Aptos" w:cs="Aptos" w:eastAsia="Aptos" w:hAnsi="Aptos"/>
          <w:sz w:val="22"/>
          <w:szCs w:val="22"/>
          <w:rtl w:val="0"/>
        </w:rPr>
        <w:t xml:space="preserve">” and patient (Boldt 2019), Roque and Leanza (2015) found the dominance of the biomedical culture was one of four main contributing factors to patient vulnerability. Roque and Leanza (2015) suggest practitioners fail to consider, and even dismiss, the psychosocial aspects of the patient’s condition, focussing on the biological and physical symptomology. As a result, patients may feel unable to discuss these aspects of their condition therefore practitioners cannot obtain a “</w:t>
      </w:r>
      <w:r w:rsidDel="00000000" w:rsidR="00000000" w:rsidRPr="00000000">
        <w:rPr>
          <w:rFonts w:ascii="Aptos" w:cs="Aptos" w:eastAsia="Aptos" w:hAnsi="Aptos"/>
          <w:i w:val="1"/>
          <w:sz w:val="22"/>
          <w:szCs w:val="22"/>
          <w:rtl w:val="0"/>
        </w:rPr>
        <w:t xml:space="preserve">global understanding</w:t>
      </w:r>
      <w:r w:rsidDel="00000000" w:rsidR="00000000" w:rsidRPr="00000000">
        <w:rPr>
          <w:rFonts w:ascii="Aptos" w:cs="Aptos" w:eastAsia="Aptos" w:hAnsi="Aptos"/>
          <w:sz w:val="22"/>
          <w:szCs w:val="22"/>
          <w:rtl w:val="0"/>
        </w:rPr>
        <w:t xml:space="preserve">” of the patient, essential for successful treatment outcomes (Roque and Leanza 2015, Croft et al 2015, Murugesu et al 2022). </w:t>
      </w:r>
    </w:p>
    <w:p w:rsidR="00000000" w:rsidDel="00000000" w:rsidP="00000000" w:rsidRDefault="00000000" w:rsidRPr="00000000" w14:paraId="0000027F">
      <w:pPr>
        <w:spacing w:line="480" w:lineRule="auto"/>
        <w:jc w:val="both"/>
        <w:rPr>
          <w:sz w:val="22"/>
          <w:szCs w:val="22"/>
        </w:rPr>
      </w:pPr>
      <w:r w:rsidDel="00000000" w:rsidR="00000000" w:rsidRPr="00000000">
        <w:rPr>
          <w:rtl w:val="0"/>
        </w:rPr>
      </w:r>
    </w:p>
    <w:p w:rsidR="00000000" w:rsidDel="00000000" w:rsidP="00000000" w:rsidRDefault="00000000" w:rsidRPr="00000000" w14:paraId="00000280">
      <w:pPr>
        <w:spacing w:line="480" w:lineRule="auto"/>
        <w:jc w:val="both"/>
        <w:rPr>
          <w:rFonts w:ascii="Aptos" w:cs="Aptos" w:eastAsia="Aptos" w:hAnsi="Aptos"/>
          <w:sz w:val="22"/>
          <w:szCs w:val="22"/>
        </w:rPr>
      </w:pPr>
      <w:r w:rsidDel="00000000" w:rsidR="00000000" w:rsidRPr="00000000">
        <w:rPr>
          <w:sz w:val="22"/>
          <w:szCs w:val="22"/>
          <w:rtl w:val="0"/>
        </w:rPr>
        <w:t xml:space="preserve">Per Hogan (2019, p.16), mental ill health and substance use can be considered a “</w:t>
      </w:r>
      <w:r w:rsidDel="00000000" w:rsidR="00000000" w:rsidRPr="00000000">
        <w:rPr>
          <w:i w:val="1"/>
          <w:sz w:val="22"/>
          <w:szCs w:val="22"/>
          <w:rtl w:val="0"/>
        </w:rPr>
        <w:t xml:space="preserve">product of an unaccommodating and oppressive society, rather than an individual and medical problem</w:t>
      </w:r>
      <w:r w:rsidDel="00000000" w:rsidR="00000000" w:rsidRPr="00000000">
        <w:rPr>
          <w:sz w:val="22"/>
          <w:szCs w:val="22"/>
          <w:rtl w:val="0"/>
        </w:rPr>
        <w:t xml:space="preserve">”. </w:t>
      </w:r>
      <w:r w:rsidDel="00000000" w:rsidR="00000000" w:rsidRPr="00000000">
        <w:rPr>
          <w:rFonts w:ascii="Aptos" w:cs="Aptos" w:eastAsia="Aptos" w:hAnsi="Aptos"/>
          <w:sz w:val="22"/>
          <w:szCs w:val="22"/>
          <w:rtl w:val="0"/>
        </w:rPr>
        <w:t xml:space="preserve">As early as 1972, there has been an association between income and its positive impact on health status (Grossman 1972). Poverty does not just encapsulate the lack of resources, typically money, but lower levels of education, unemployment, low paid or insecure employment, gender, race or ethnicity and a disadvantaged community (The European Anti-Poverty Network 2024). These experiences limit the accessibility of education, housing, social support, and equitable healthcare, increasing the risk of stressful life events and subsequent poor mental health (Kirkbridge et al 2024, p.76). Poverty leads to poor health, which in turn, can lead to lesser participation in the labour market, leading an individual into further poverty (Habibov et al 2019, p.9). The wealthy and powerful often report to have better mental health and lower incidences of mental health diagnoses than those who are less wealthy and powerful and is associated with the availability of resources (Horowitz 2013, p.97). </w:t>
      </w:r>
    </w:p>
    <w:p w:rsidR="00000000" w:rsidDel="00000000" w:rsidP="00000000" w:rsidRDefault="00000000" w:rsidRPr="00000000" w14:paraId="00000281">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2">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There is a “</w:t>
      </w:r>
      <w:r w:rsidDel="00000000" w:rsidR="00000000" w:rsidRPr="00000000">
        <w:rPr>
          <w:rFonts w:ascii="Aptos" w:cs="Aptos" w:eastAsia="Aptos" w:hAnsi="Aptos"/>
          <w:i w:val="1"/>
          <w:sz w:val="22"/>
          <w:szCs w:val="22"/>
          <w:rtl w:val="0"/>
        </w:rPr>
        <w:t xml:space="preserve">marked and persistent health inequalities</w:t>
      </w:r>
      <w:r w:rsidDel="00000000" w:rsidR="00000000" w:rsidRPr="00000000">
        <w:rPr>
          <w:rFonts w:ascii="Aptos" w:cs="Aptos" w:eastAsia="Aptos" w:hAnsi="Aptos"/>
          <w:sz w:val="22"/>
          <w:szCs w:val="22"/>
          <w:rtl w:val="0"/>
        </w:rPr>
        <w:t xml:space="preserve">” within the United Kingdom in the health and lifespan between men and women (Allen and Sesti 2018, p.1). Although gender identity may change throughout an individual’s life, for example identifying as transgender or nonbinary, the roles and norms society place on individuals can have an impact on health disparities (National Institute of Health Office of Research on Women’s Health 2024). Women have a higher rate of depression than men (UCL Institute of Health Equity, 2016) and are twice as likely to experience poor mental health compared to their male counterparts, particularly in areas with greater gender inequality (Weissman and Olfson 1995, Desai and Jann 1999, World Health Organisation Department of Mental Health and Substance Dependence 2013, Yu 2018 p.6). Although not an exhaustive list, Yu (2018, p.6) outlined characteristics that can contribute towards gender-based health inequalities: </w:t>
      </w:r>
    </w:p>
    <w:p w:rsidR="00000000" w:rsidDel="00000000" w:rsidP="00000000" w:rsidRDefault="00000000" w:rsidRPr="00000000" w14:paraId="00000283">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Increased risk of domestic violence</w:t>
      </w:r>
    </w:p>
    <w:p w:rsidR="00000000" w:rsidDel="00000000" w:rsidP="00000000" w:rsidRDefault="00000000" w:rsidRPr="00000000" w14:paraId="00000285">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Sexual abuse</w:t>
      </w:r>
    </w:p>
    <w:p w:rsidR="00000000" w:rsidDel="00000000" w:rsidP="00000000" w:rsidRDefault="00000000" w:rsidRPr="00000000" w14:paraId="0000028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Unpaid and longer work hours</w:t>
      </w:r>
    </w:p>
    <w:p w:rsidR="00000000" w:rsidDel="00000000" w:rsidP="00000000" w:rsidRDefault="00000000" w:rsidRPr="00000000" w14:paraId="00000287">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Inaccessibility of reproductive healthcare</w:t>
      </w:r>
    </w:p>
    <w:p w:rsidR="00000000" w:rsidDel="00000000" w:rsidP="00000000" w:rsidRDefault="00000000" w:rsidRPr="00000000" w14:paraId="00000288">
      <w:pPr>
        <w:spacing w:line="480" w:lineRule="auto"/>
        <w:ind w:left="360" w:firstLine="0"/>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9">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Furthermore, women and girls have limited access to healthcare due to societal gender norms, typically being unable to enter the sick role as readily than men (Heise et al 2019, Oakley 1974). Poverty is not a choice, nor is sex or gender, and with the inequity these communities face are in part structural, and policy driven by those in “</w:t>
      </w:r>
      <w:r w:rsidDel="00000000" w:rsidR="00000000" w:rsidRPr="00000000">
        <w:rPr>
          <w:rFonts w:ascii="Aptos" w:cs="Aptos" w:eastAsia="Aptos" w:hAnsi="Aptos"/>
          <w:i w:val="1"/>
          <w:sz w:val="22"/>
          <w:szCs w:val="22"/>
          <w:rtl w:val="0"/>
        </w:rPr>
        <w:t xml:space="preserve">legitimate power</w:t>
      </w:r>
      <w:r w:rsidDel="00000000" w:rsidR="00000000" w:rsidRPr="00000000">
        <w:rPr>
          <w:rFonts w:ascii="Aptos" w:cs="Aptos" w:eastAsia="Aptos" w:hAnsi="Aptos"/>
          <w:sz w:val="22"/>
          <w:szCs w:val="22"/>
          <w:rtl w:val="0"/>
        </w:rPr>
        <w:t xml:space="preserve">”, disadvantaging the marginalised and minorities (Assari 2017, French and Raven 1999, Kirkbridge et al 2024, p.76, Adams 2024). When considering the structural, policy and systemic issues that are out of control of the individual, and are extremely and growing ever more difficult to move away from, are the unwell wholly responsible for their ill health? Similarly, gender disparities in healthcare is not the fault of the individual sexes, but again, driven by policy and structural issues. </w:t>
      </w:r>
    </w:p>
    <w:p w:rsidR="00000000" w:rsidDel="00000000" w:rsidP="00000000" w:rsidRDefault="00000000" w:rsidRPr="00000000" w14:paraId="0000028A">
      <w:pPr>
        <w:pStyle w:val="Heading2"/>
        <w:numPr>
          <w:ilvl w:val="1"/>
          <w:numId w:val="8"/>
        </w:numPr>
        <w:spacing w:line="480" w:lineRule="auto"/>
        <w:ind w:left="720" w:hanging="720"/>
        <w:rPr>
          <w:rFonts w:ascii="Aptos" w:cs="Aptos" w:eastAsia="Aptos" w:hAnsi="Aptos"/>
        </w:rPr>
      </w:pPr>
      <w:bookmarkStart w:colFirst="0" w:colLast="0" w:name="_heading=h.49x2ik5" w:id="30"/>
      <w:bookmarkEnd w:id="30"/>
      <w:r w:rsidDel="00000000" w:rsidR="00000000" w:rsidRPr="00000000">
        <w:rPr>
          <w:rtl w:val="0"/>
        </w:rPr>
        <w:t xml:space="preserve">Summary</w:t>
      </w:r>
      <w:r w:rsidDel="00000000" w:rsidR="00000000" w:rsidRPr="00000000">
        <w:rPr>
          <w:rtl w:val="0"/>
        </w:rPr>
      </w:r>
    </w:p>
    <w:p w:rsidR="00000000" w:rsidDel="00000000" w:rsidP="00000000" w:rsidRDefault="00000000" w:rsidRPr="00000000" w14:paraId="0000028B">
      <w:pPr>
        <w:spacing w:line="480" w:lineRule="auto"/>
        <w:jc w:val="both"/>
        <w:rPr>
          <w:rFonts w:ascii="Aptos" w:cs="Aptos" w:eastAsia="Aptos" w:hAnsi="Aptos"/>
          <w:sz w:val="22"/>
          <w:szCs w:val="22"/>
        </w:rPr>
      </w:pPr>
      <w:r w:rsidDel="00000000" w:rsidR="00000000" w:rsidRPr="00000000">
        <w:rPr>
          <w:sz w:val="22"/>
          <w:szCs w:val="22"/>
          <w:rtl w:val="0"/>
        </w:rPr>
        <w:t xml:space="preserve">Although the medicalisation of mental health and addiction has been contested and criticised by sociologists, healthcare professionals are not the drivers of this process and act as gatekeepers (van Dijk et al 2016, p.619). Medical treatment it is being actively sought by some patients (Gray et al 2016, p.9). Advocates for the BDMA suggest the model provides medical legitimisation for those accessing psychiatric or drug treatment, as this patient group are perceived as “</w:t>
      </w:r>
      <w:r w:rsidDel="00000000" w:rsidR="00000000" w:rsidRPr="00000000">
        <w:rPr>
          <w:i w:val="1"/>
          <w:sz w:val="22"/>
          <w:szCs w:val="22"/>
          <w:rtl w:val="0"/>
        </w:rPr>
        <w:t xml:space="preserve">victims of their brains</w:t>
      </w:r>
      <w:r w:rsidDel="00000000" w:rsidR="00000000" w:rsidRPr="00000000">
        <w:rPr>
          <w:sz w:val="22"/>
          <w:szCs w:val="22"/>
          <w:rtl w:val="0"/>
        </w:rPr>
        <w:t xml:space="preserve">” as opposed to being “</w:t>
      </w:r>
      <w:r w:rsidDel="00000000" w:rsidR="00000000" w:rsidRPr="00000000">
        <w:rPr>
          <w:i w:val="1"/>
          <w:sz w:val="22"/>
          <w:szCs w:val="22"/>
          <w:rtl w:val="0"/>
        </w:rPr>
        <w:t xml:space="preserve">morally</w:t>
      </w:r>
      <w:r w:rsidDel="00000000" w:rsidR="00000000" w:rsidRPr="00000000">
        <w:rPr>
          <w:sz w:val="22"/>
          <w:szCs w:val="22"/>
          <w:rtl w:val="0"/>
        </w:rPr>
        <w:t xml:space="preserve"> </w:t>
      </w:r>
      <w:r w:rsidDel="00000000" w:rsidR="00000000" w:rsidRPr="00000000">
        <w:rPr>
          <w:i w:val="1"/>
          <w:sz w:val="22"/>
          <w:szCs w:val="22"/>
          <w:rtl w:val="0"/>
        </w:rPr>
        <w:t xml:space="preserve">flawed</w:t>
      </w:r>
      <w:r w:rsidDel="00000000" w:rsidR="00000000" w:rsidRPr="00000000">
        <w:rPr>
          <w:sz w:val="22"/>
          <w:szCs w:val="22"/>
          <w:rtl w:val="0"/>
        </w:rPr>
        <w:t xml:space="preserve">” or “</w:t>
      </w:r>
      <w:r w:rsidDel="00000000" w:rsidR="00000000" w:rsidRPr="00000000">
        <w:rPr>
          <w:i w:val="1"/>
          <w:sz w:val="22"/>
          <w:szCs w:val="22"/>
          <w:rtl w:val="0"/>
        </w:rPr>
        <w:t xml:space="preserve">choosing to become addicted</w:t>
      </w:r>
      <w:r w:rsidDel="00000000" w:rsidR="00000000" w:rsidRPr="00000000">
        <w:rPr>
          <w:sz w:val="22"/>
          <w:szCs w:val="22"/>
          <w:rtl w:val="0"/>
        </w:rPr>
        <w:t xml:space="preserve">” (Wilbanks 1989, Afzal 2020 p.7). </w:t>
      </w:r>
      <w:r w:rsidDel="00000000" w:rsidR="00000000" w:rsidRPr="00000000">
        <w:rPr>
          <w:rFonts w:ascii="Aptos" w:cs="Aptos" w:eastAsia="Aptos" w:hAnsi="Aptos"/>
          <w:sz w:val="22"/>
          <w:szCs w:val="22"/>
          <w:rtl w:val="0"/>
        </w:rPr>
        <w:t xml:space="preserve">Karaz et al (2022, p.8) found those who attribute their psychiatric symptoms to a physical cause moved “</w:t>
      </w:r>
      <w:r w:rsidDel="00000000" w:rsidR="00000000" w:rsidRPr="00000000">
        <w:rPr>
          <w:rFonts w:ascii="Aptos" w:cs="Aptos" w:eastAsia="Aptos" w:hAnsi="Aptos"/>
          <w:i w:val="1"/>
          <w:sz w:val="22"/>
          <w:szCs w:val="22"/>
          <w:rtl w:val="0"/>
        </w:rPr>
        <w:t xml:space="preserve">blame</w:t>
      </w:r>
      <w:r w:rsidDel="00000000" w:rsidR="00000000" w:rsidRPr="00000000">
        <w:rPr>
          <w:rFonts w:ascii="Aptos" w:cs="Aptos" w:eastAsia="Aptos" w:hAnsi="Aptos"/>
          <w:sz w:val="22"/>
          <w:szCs w:val="22"/>
          <w:rtl w:val="0"/>
        </w:rPr>
        <w:t xml:space="preserve">” to the body, and as a result more likely to seek treatment. Supporters of the BDMA arguing the model </w:t>
      </w:r>
      <w:r w:rsidDel="00000000" w:rsidR="00000000" w:rsidRPr="00000000">
        <w:rPr>
          <w:sz w:val="22"/>
          <w:szCs w:val="22"/>
          <w:rtl w:val="0"/>
        </w:rPr>
        <w:t xml:space="preserve">supports and improves treatment access, works towards reducing self-stigma and receive social support whilst in treatment (Afzal 2020 p.7). Accessing treatment from a medical professional such as a psychiatrist, provides this medical legitimisation, </w:t>
      </w:r>
      <w:r w:rsidDel="00000000" w:rsidR="00000000" w:rsidRPr="00000000">
        <w:rPr>
          <w:rFonts w:ascii="Aptos" w:cs="Aptos" w:eastAsia="Aptos" w:hAnsi="Aptos"/>
          <w:sz w:val="22"/>
          <w:szCs w:val="22"/>
          <w:rtl w:val="0"/>
        </w:rPr>
        <w:t xml:space="preserve">therefore fulfilling their obligations as a sick person (Parsons 1951). </w:t>
      </w:r>
    </w:p>
    <w:p w:rsidR="00000000" w:rsidDel="00000000" w:rsidP="00000000" w:rsidRDefault="00000000" w:rsidRPr="00000000" w14:paraId="0000028C">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D">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E">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8F">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0">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1">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2">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3">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4">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5">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6">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297">
      <w:pPr>
        <w:pStyle w:val="Heading1"/>
        <w:spacing w:line="480" w:lineRule="auto"/>
        <w:jc w:val="both"/>
        <w:rPr/>
      </w:pPr>
      <w:bookmarkStart w:colFirst="0" w:colLast="0" w:name="_heading=h.2p2csry" w:id="31"/>
      <w:bookmarkEnd w:id="31"/>
      <w:r w:rsidDel="00000000" w:rsidR="00000000" w:rsidRPr="00000000">
        <w:rPr>
          <w:rtl w:val="0"/>
        </w:rPr>
        <w:t xml:space="preserve">Chapter Three – Literature Review</w:t>
      </w:r>
    </w:p>
    <w:p w:rsidR="00000000" w:rsidDel="00000000" w:rsidP="00000000" w:rsidRDefault="00000000" w:rsidRPr="00000000" w14:paraId="00000298">
      <w:pPr>
        <w:spacing w:line="480" w:lineRule="auto"/>
        <w:jc w:val="both"/>
        <w:rPr>
          <w:sz w:val="22"/>
          <w:szCs w:val="22"/>
        </w:rPr>
      </w:pPr>
      <w:r w:rsidDel="00000000" w:rsidR="00000000" w:rsidRPr="00000000">
        <w:rPr>
          <w:sz w:val="22"/>
          <w:szCs w:val="22"/>
          <w:rtl w:val="0"/>
        </w:rPr>
        <w:t xml:space="preserve">This chapter provides a detailed and comprehensive account of the existing empirical literature relating to prescribed drug dependence and withdrawal; it also provides a critical perspective and will highlight concerns that are argued to arise in the literature in relation to dominant methods, assumptions and sampling issues in particular. Building on the introduction, this literature aims to address the following research question:</w:t>
      </w:r>
    </w:p>
    <w:p w:rsidR="00000000" w:rsidDel="00000000" w:rsidP="00000000" w:rsidRDefault="00000000" w:rsidRPr="00000000" w14:paraId="00000299">
      <w:pPr>
        <w:spacing w:line="480" w:lineRule="auto"/>
        <w:rPr>
          <w:sz w:val="22"/>
          <w:szCs w:val="22"/>
        </w:rPr>
      </w:pPr>
      <w:r w:rsidDel="00000000" w:rsidR="00000000" w:rsidRPr="00000000">
        <w:rPr>
          <w:rtl w:val="0"/>
        </w:rPr>
      </w:r>
    </w:p>
    <w:p w:rsidR="00000000" w:rsidDel="00000000" w:rsidP="00000000" w:rsidRDefault="00000000" w:rsidRPr="00000000" w14:paraId="0000029A">
      <w:pPr>
        <w:spacing w:line="480" w:lineRule="auto"/>
        <w:ind w:left="709" w:firstLine="0"/>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What are the Patients’ Experiences of Prescribed Drug Dependence and Withdrawal?</w:t>
      </w:r>
      <w:r w:rsidDel="00000000" w:rsidR="00000000" w:rsidRPr="00000000">
        <w:rPr>
          <w:sz w:val="22"/>
          <w:szCs w:val="22"/>
          <w:rtl w:val="0"/>
        </w:rPr>
        <w:t xml:space="preserve">”</w:t>
      </w:r>
    </w:p>
    <w:p w:rsidR="00000000" w:rsidDel="00000000" w:rsidP="00000000" w:rsidRDefault="00000000" w:rsidRPr="00000000" w14:paraId="0000029B">
      <w:pPr>
        <w:spacing w:line="480" w:lineRule="auto"/>
        <w:rPr>
          <w:i w:val="1"/>
          <w:sz w:val="22"/>
          <w:szCs w:val="22"/>
        </w:rPr>
      </w:pPr>
      <w:r w:rsidDel="00000000" w:rsidR="00000000" w:rsidRPr="00000000">
        <w:rPr>
          <w:rtl w:val="0"/>
        </w:rPr>
      </w:r>
    </w:p>
    <w:p w:rsidR="00000000" w:rsidDel="00000000" w:rsidP="00000000" w:rsidRDefault="00000000" w:rsidRPr="00000000" w14:paraId="0000029C">
      <w:pPr>
        <w:spacing w:line="480" w:lineRule="auto"/>
        <w:jc w:val="both"/>
        <w:rPr>
          <w:sz w:val="22"/>
          <w:szCs w:val="22"/>
        </w:rPr>
      </w:pPr>
      <w:r w:rsidDel="00000000" w:rsidR="00000000" w:rsidRPr="00000000">
        <w:rPr>
          <w:sz w:val="22"/>
          <w:szCs w:val="22"/>
          <w:rtl w:val="0"/>
        </w:rPr>
        <w:t xml:space="preserve">The aim of this literature review is to identify and describe evidence from existing research relating to the experiences of this patient group. This chapter will then describe the data sources used, and the inclusion and exclusion criteria. It will then present each theme in turn, contextualising each with the research aim and objectives. Firstly, the methodology of this review is described, with the chapter then organised into the four themes identified from the literature, which are as follows:</w:t>
      </w:r>
    </w:p>
    <w:p w:rsidR="00000000" w:rsidDel="00000000" w:rsidP="00000000" w:rsidRDefault="00000000" w:rsidRPr="00000000" w14:paraId="0000029D">
      <w:pPr>
        <w:spacing w:line="480" w:lineRule="auto"/>
        <w:jc w:val="both"/>
        <w:rPr>
          <w:sz w:val="22"/>
          <w:szCs w:val="22"/>
        </w:rPr>
      </w:pPr>
      <w:r w:rsidDel="00000000" w:rsidR="00000000" w:rsidRPr="00000000">
        <w:rPr>
          <w:rtl w:val="0"/>
        </w:rPr>
      </w:r>
    </w:p>
    <w:p w:rsidR="00000000" w:rsidDel="00000000" w:rsidP="00000000" w:rsidRDefault="00000000" w:rsidRPr="00000000" w14:paraId="0000029E">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Balancing the Risk versus Benefits of Prescribed Medicines</w:t>
      </w:r>
    </w:p>
    <w:p w:rsidR="00000000" w:rsidDel="00000000" w:rsidP="00000000" w:rsidRDefault="00000000" w:rsidRPr="00000000" w14:paraId="0000029F">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Experiences of Withdrawal</w:t>
      </w:r>
    </w:p>
    <w:p w:rsidR="00000000" w:rsidDel="00000000" w:rsidP="00000000" w:rsidRDefault="00000000" w:rsidRPr="00000000" w14:paraId="000002A0">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What are the Barriers, Facilitators and Methods of Deprescribing?</w:t>
      </w:r>
    </w:p>
    <w:p w:rsidR="00000000" w:rsidDel="00000000" w:rsidP="00000000" w:rsidRDefault="00000000" w:rsidRPr="00000000" w14:paraId="000002A1">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 Impact of the Practitioner Relationship</w:t>
      </w:r>
    </w:p>
    <w:p w:rsidR="00000000" w:rsidDel="00000000" w:rsidP="00000000" w:rsidRDefault="00000000" w:rsidRPr="00000000" w14:paraId="000002A2">
      <w:pPr>
        <w:spacing w:line="480" w:lineRule="auto"/>
        <w:jc w:val="both"/>
        <w:rPr>
          <w:sz w:val="22"/>
          <w:szCs w:val="22"/>
        </w:rPr>
      </w:pPr>
      <w:r w:rsidDel="00000000" w:rsidR="00000000" w:rsidRPr="00000000">
        <w:rPr>
          <w:rtl w:val="0"/>
        </w:rPr>
      </w:r>
    </w:p>
    <w:p w:rsidR="00000000" w:rsidDel="00000000" w:rsidP="00000000" w:rsidRDefault="00000000" w:rsidRPr="00000000" w14:paraId="000002A3">
      <w:pPr>
        <w:pStyle w:val="Heading2"/>
        <w:numPr>
          <w:ilvl w:val="1"/>
          <w:numId w:val="10"/>
        </w:numPr>
        <w:spacing w:line="480" w:lineRule="auto"/>
        <w:ind w:left="720" w:hanging="720"/>
        <w:rPr/>
      </w:pPr>
      <w:bookmarkStart w:colFirst="0" w:colLast="0" w:name="_heading=h.147n2zr" w:id="32"/>
      <w:bookmarkEnd w:id="32"/>
      <w:r w:rsidDel="00000000" w:rsidR="00000000" w:rsidRPr="00000000">
        <w:rPr>
          <w:rtl w:val="0"/>
        </w:rPr>
        <w:t xml:space="preserve">Methods</w:t>
      </w:r>
    </w:p>
    <w:p w:rsidR="00000000" w:rsidDel="00000000" w:rsidP="00000000" w:rsidRDefault="00000000" w:rsidRPr="00000000" w14:paraId="000002A4">
      <w:pPr>
        <w:spacing w:line="480" w:lineRule="auto"/>
        <w:jc w:val="both"/>
        <w:rPr>
          <w:sz w:val="22"/>
          <w:szCs w:val="22"/>
        </w:rPr>
      </w:pPr>
      <w:r w:rsidDel="00000000" w:rsidR="00000000" w:rsidRPr="00000000">
        <w:rPr>
          <w:sz w:val="22"/>
          <w:szCs w:val="22"/>
          <w:rtl w:val="0"/>
        </w:rPr>
        <w:t xml:space="preserve">This literature review utilises a narrative approach. Narrative reviews are common in the medical literature and are a useful methodology to summarise and provide assessment of the current and recent literature (Baethge et al 2019 p.1, Grant and Booth 2009, p.94). Their flexibility allows for a range of evidence to be collected to produce a balanced review of the literature (Green et al 2006).</w:t>
      </w:r>
    </w:p>
    <w:p w:rsidR="00000000" w:rsidDel="00000000" w:rsidP="00000000" w:rsidRDefault="00000000" w:rsidRPr="00000000" w14:paraId="000002A5">
      <w:pPr>
        <w:spacing w:line="480" w:lineRule="auto"/>
        <w:jc w:val="both"/>
        <w:rPr>
          <w:sz w:val="22"/>
          <w:szCs w:val="22"/>
        </w:rPr>
      </w:pPr>
      <w:r w:rsidDel="00000000" w:rsidR="00000000" w:rsidRPr="00000000">
        <w:rPr>
          <w:rtl w:val="0"/>
        </w:rPr>
      </w:r>
    </w:p>
    <w:p w:rsidR="00000000" w:rsidDel="00000000" w:rsidP="00000000" w:rsidRDefault="00000000" w:rsidRPr="00000000" w14:paraId="000002A6">
      <w:pPr>
        <w:spacing w:line="480" w:lineRule="auto"/>
        <w:jc w:val="both"/>
        <w:rPr>
          <w:sz w:val="22"/>
          <w:szCs w:val="22"/>
        </w:rPr>
      </w:pPr>
      <w:r w:rsidDel="00000000" w:rsidR="00000000" w:rsidRPr="00000000">
        <w:rPr>
          <w:sz w:val="22"/>
          <w:szCs w:val="22"/>
          <w:rtl w:val="0"/>
        </w:rPr>
        <w:t xml:space="preserve">Narrative reviews have been associated with several limitations, such as concerns regarding interpretive bias, and criticised as lacking empirical evidence (Bushman and Wells 2001). To minimise the risk of bias, the “</w:t>
      </w:r>
      <w:r w:rsidDel="00000000" w:rsidR="00000000" w:rsidRPr="00000000">
        <w:rPr>
          <w:i w:val="1"/>
          <w:color w:val="000000"/>
          <w:sz w:val="22"/>
          <w:szCs w:val="22"/>
          <w:rtl w:val="0"/>
        </w:rPr>
        <w:t xml:space="preserve">Preferred Reporting Item for Systematic Reviews and Meta-Analysis (PRISMA-ScR) Statement</w:t>
      </w:r>
      <w:r w:rsidDel="00000000" w:rsidR="00000000" w:rsidRPr="00000000">
        <w:rPr>
          <w:color w:val="000000"/>
          <w:sz w:val="22"/>
          <w:szCs w:val="22"/>
          <w:rtl w:val="0"/>
        </w:rPr>
        <w:t xml:space="preserve">”</w:t>
      </w:r>
      <w:r w:rsidDel="00000000" w:rsidR="00000000" w:rsidRPr="00000000">
        <w:rPr>
          <w:sz w:val="22"/>
          <w:szCs w:val="22"/>
          <w:rtl w:val="0"/>
        </w:rPr>
        <w:t xml:space="preserve"> guidelines were used. This was an attempt to create replicability in the data searches, reduce reviewer biases, and limiting redundancy by prescribing a time frame in which literature was published (Moher et al 2009, Collins and Fauser 2005, p.103, Grant and Booth 2009, p.97, Misra and Agarwal 2018).</w:t>
      </w:r>
    </w:p>
    <w:p w:rsidR="00000000" w:rsidDel="00000000" w:rsidP="00000000" w:rsidRDefault="00000000" w:rsidRPr="00000000" w14:paraId="000002A7">
      <w:pPr>
        <w:spacing w:line="480" w:lineRule="auto"/>
        <w:jc w:val="both"/>
        <w:rPr>
          <w:sz w:val="22"/>
          <w:szCs w:val="22"/>
        </w:rPr>
      </w:pPr>
      <w:r w:rsidDel="00000000" w:rsidR="00000000" w:rsidRPr="00000000">
        <w:rPr>
          <w:rtl w:val="0"/>
        </w:rPr>
      </w:r>
    </w:p>
    <w:p w:rsidR="00000000" w:rsidDel="00000000" w:rsidP="00000000" w:rsidRDefault="00000000" w:rsidRPr="00000000" w14:paraId="000002A8">
      <w:pPr>
        <w:pStyle w:val="Heading2"/>
        <w:numPr>
          <w:ilvl w:val="1"/>
          <w:numId w:val="10"/>
        </w:numPr>
        <w:spacing w:line="480" w:lineRule="auto"/>
        <w:ind w:left="720" w:hanging="720"/>
        <w:rPr/>
      </w:pPr>
      <w:bookmarkStart w:colFirst="0" w:colLast="0" w:name="_heading=h.3o7alnk" w:id="33"/>
      <w:bookmarkEnd w:id="33"/>
      <w:r w:rsidDel="00000000" w:rsidR="00000000" w:rsidRPr="00000000">
        <w:rPr>
          <w:rtl w:val="0"/>
        </w:rPr>
        <w:t xml:space="preserve">Data Sources and Search Terms</w:t>
      </w:r>
    </w:p>
    <w:p w:rsidR="00000000" w:rsidDel="00000000" w:rsidP="00000000" w:rsidRDefault="00000000" w:rsidRPr="00000000" w14:paraId="000002A9">
      <w:pPr>
        <w:spacing w:line="480" w:lineRule="auto"/>
        <w:jc w:val="both"/>
        <w:rPr>
          <w:sz w:val="22"/>
          <w:szCs w:val="22"/>
        </w:rPr>
      </w:pPr>
      <w:r w:rsidDel="00000000" w:rsidR="00000000" w:rsidRPr="00000000">
        <w:rPr>
          <w:sz w:val="22"/>
          <w:szCs w:val="22"/>
          <w:rtl w:val="0"/>
        </w:rPr>
        <w:t xml:space="preserve">When searching for literature, Medline, PsycInfo (via OvidSP) were used, accessed using StarPlus, the University of Sheffield library’s online search engine. The literature searches were conducted between October 2020 and February 2021, and further reviewed in 2024. The included papers are attached in </w:t>
      </w:r>
      <w:hyperlink w:anchor="_heading=h.3z7bk57">
        <w:r w:rsidDel="00000000" w:rsidR="00000000" w:rsidRPr="00000000">
          <w:rPr>
            <w:color w:val="467886"/>
            <w:sz w:val="22"/>
            <w:szCs w:val="22"/>
            <w:u w:val="single"/>
            <w:rtl w:val="0"/>
          </w:rPr>
          <w:t xml:space="preserve">Appendix One</w:t>
        </w:r>
      </w:hyperlink>
      <w:r w:rsidDel="00000000" w:rsidR="00000000" w:rsidRPr="00000000">
        <w:rPr>
          <w:sz w:val="22"/>
          <w:szCs w:val="22"/>
          <w:rtl w:val="0"/>
        </w:rPr>
        <w:t xml:space="preserve"> (p. 319). </w:t>
      </w:r>
    </w:p>
    <w:p w:rsidR="00000000" w:rsidDel="00000000" w:rsidP="00000000" w:rsidRDefault="00000000" w:rsidRPr="00000000" w14:paraId="000002AA">
      <w:pPr>
        <w:spacing w:line="480" w:lineRule="auto"/>
        <w:jc w:val="both"/>
        <w:rPr>
          <w:sz w:val="22"/>
          <w:szCs w:val="22"/>
        </w:rPr>
      </w:pPr>
      <w:r w:rsidDel="00000000" w:rsidR="00000000" w:rsidRPr="00000000">
        <w:rPr>
          <w:rtl w:val="0"/>
        </w:rPr>
      </w:r>
    </w:p>
    <w:p w:rsidR="00000000" w:rsidDel="00000000" w:rsidP="00000000" w:rsidRDefault="00000000" w:rsidRPr="00000000" w14:paraId="000002AB">
      <w:pPr>
        <w:spacing w:line="480" w:lineRule="auto"/>
        <w:jc w:val="both"/>
        <w:rPr>
          <w:sz w:val="22"/>
          <w:szCs w:val="22"/>
        </w:rPr>
      </w:pPr>
      <w:r w:rsidDel="00000000" w:rsidR="00000000" w:rsidRPr="00000000">
        <w:rPr>
          <w:sz w:val="22"/>
          <w:szCs w:val="22"/>
          <w:rtl w:val="0"/>
        </w:rPr>
        <w:t xml:space="preserve">Firstly, the term “</w:t>
      </w:r>
      <w:r w:rsidDel="00000000" w:rsidR="00000000" w:rsidRPr="00000000">
        <w:rPr>
          <w:i w:val="1"/>
          <w:sz w:val="22"/>
          <w:szCs w:val="22"/>
          <w:rtl w:val="0"/>
        </w:rPr>
        <w:t xml:space="preserve">prescription drugs</w:t>
      </w:r>
      <w:r w:rsidDel="00000000" w:rsidR="00000000" w:rsidRPr="00000000">
        <w:rPr>
          <w:sz w:val="22"/>
          <w:szCs w:val="22"/>
          <w:rtl w:val="0"/>
        </w:rPr>
        <w:t xml:space="preserve">” was searched, and then specified by adding specific therapeutic groups (e.g. Antidepressant). Where possible, specific medicines were selected, for example codeine, pregabalin or gabapentin. To further specify the search, the term </w:t>
      </w:r>
      <w:r w:rsidDel="00000000" w:rsidR="00000000" w:rsidRPr="00000000">
        <w:rPr>
          <w:i w:val="1"/>
          <w:sz w:val="22"/>
          <w:szCs w:val="22"/>
          <w:rtl w:val="0"/>
        </w:rPr>
        <w:t xml:space="preserve">Dependen*</w:t>
      </w:r>
      <w:r w:rsidDel="00000000" w:rsidR="00000000" w:rsidRPr="00000000">
        <w:rPr>
          <w:sz w:val="22"/>
          <w:szCs w:val="22"/>
          <w:rtl w:val="0"/>
        </w:rPr>
        <w:t xml:space="preserve"> and </w:t>
      </w:r>
      <w:r w:rsidDel="00000000" w:rsidR="00000000" w:rsidRPr="00000000">
        <w:rPr>
          <w:i w:val="1"/>
          <w:sz w:val="22"/>
          <w:szCs w:val="22"/>
          <w:rtl w:val="0"/>
        </w:rPr>
        <w:t xml:space="preserve">Withdraw*</w:t>
      </w:r>
      <w:r w:rsidDel="00000000" w:rsidR="00000000" w:rsidRPr="00000000">
        <w:rPr>
          <w:sz w:val="22"/>
          <w:szCs w:val="22"/>
          <w:rtl w:val="0"/>
        </w:rPr>
        <w:t xml:space="preserve"> was added, with truncation. Truncation involves attaching an asterix to the word, allowing singular, plural and alternative spellings of the same term to be identified in the searches. Examples used in this review include: </w:t>
      </w:r>
    </w:p>
    <w:p w:rsidR="00000000" w:rsidDel="00000000" w:rsidP="00000000" w:rsidRDefault="00000000" w:rsidRPr="00000000" w14:paraId="000002AC">
      <w:pPr>
        <w:spacing w:line="480" w:lineRule="auto"/>
        <w:jc w:val="both"/>
        <w:rPr>
          <w:sz w:val="22"/>
          <w:szCs w:val="22"/>
        </w:rPr>
      </w:pPr>
      <w:r w:rsidDel="00000000" w:rsidR="00000000" w:rsidRPr="00000000">
        <w:rPr>
          <w:rtl w:val="0"/>
        </w:rPr>
      </w:r>
    </w:p>
    <w:p w:rsidR="00000000" w:rsidDel="00000000" w:rsidP="00000000" w:rsidRDefault="00000000" w:rsidRPr="00000000" w14:paraId="000002A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Dependence, dependent: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Dependen*</w:t>
      </w:r>
    </w:p>
    <w:p w:rsidR="00000000" w:rsidDel="00000000" w:rsidP="00000000" w:rsidRDefault="00000000" w:rsidRPr="00000000" w14:paraId="000002A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Withdrawal, withdrawing, withdraw: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Withdraw*</w:t>
      </w:r>
    </w:p>
    <w:p w:rsidR="00000000" w:rsidDel="00000000" w:rsidP="00000000" w:rsidRDefault="00000000" w:rsidRPr="00000000" w14:paraId="000002A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Prescribing, prescribed, prescription: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Prescri*</w:t>
      </w:r>
    </w:p>
    <w:p w:rsidR="00000000" w:rsidDel="00000000" w:rsidP="00000000" w:rsidRDefault="00000000" w:rsidRPr="00000000" w14:paraId="000002B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Experience, experienced, experiences: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Experience*</w:t>
      </w:r>
    </w:p>
    <w:p w:rsidR="00000000" w:rsidDel="00000000" w:rsidP="00000000" w:rsidRDefault="00000000" w:rsidRPr="00000000" w14:paraId="000002B1">
      <w:pPr>
        <w:spacing w:line="480" w:lineRule="auto"/>
        <w:jc w:val="both"/>
        <w:rPr>
          <w:sz w:val="22"/>
          <w:szCs w:val="22"/>
        </w:rPr>
      </w:pPr>
      <w:r w:rsidDel="00000000" w:rsidR="00000000" w:rsidRPr="00000000">
        <w:rPr>
          <w:rtl w:val="0"/>
        </w:rPr>
      </w:r>
    </w:p>
    <w:p w:rsidR="00000000" w:rsidDel="00000000" w:rsidP="00000000" w:rsidRDefault="00000000" w:rsidRPr="00000000" w14:paraId="000002B2">
      <w:pPr>
        <w:pStyle w:val="Heading3"/>
        <w:spacing w:line="480" w:lineRule="auto"/>
        <w:rPr/>
      </w:pPr>
      <w:bookmarkStart w:colFirst="0" w:colLast="0" w:name="_heading=h.23ckvvd" w:id="34"/>
      <w:bookmarkEnd w:id="34"/>
      <w:r w:rsidDel="00000000" w:rsidR="00000000" w:rsidRPr="00000000">
        <w:rPr>
          <w:rtl w:val="0"/>
        </w:rPr>
        <w:t xml:space="preserve">Inclusion and Exclusion Criteria</w:t>
      </w:r>
    </w:p>
    <w:p w:rsidR="00000000" w:rsidDel="00000000" w:rsidP="00000000" w:rsidRDefault="00000000" w:rsidRPr="00000000" w14:paraId="000002B3">
      <w:pPr>
        <w:spacing w:line="480" w:lineRule="auto"/>
        <w:jc w:val="both"/>
        <w:rPr>
          <w:sz w:val="22"/>
          <w:szCs w:val="22"/>
        </w:rPr>
      </w:pPr>
      <w:r w:rsidDel="00000000" w:rsidR="00000000" w:rsidRPr="00000000">
        <w:rPr>
          <w:sz w:val="22"/>
          <w:szCs w:val="22"/>
          <w:rtl w:val="0"/>
        </w:rPr>
        <w:t xml:space="preserve">To ensure searches were conducted systematically, the “</w:t>
      </w:r>
      <w:r w:rsidDel="00000000" w:rsidR="00000000" w:rsidRPr="00000000">
        <w:rPr>
          <w:i w:val="1"/>
          <w:sz w:val="22"/>
          <w:szCs w:val="22"/>
          <w:rtl w:val="0"/>
        </w:rPr>
        <w:t xml:space="preserve">Population, Exposure, Comparison Outcome</w:t>
      </w:r>
      <w:r w:rsidDel="00000000" w:rsidR="00000000" w:rsidRPr="00000000">
        <w:rPr>
          <w:sz w:val="22"/>
          <w:szCs w:val="22"/>
          <w:rtl w:val="0"/>
        </w:rPr>
        <w:t xml:space="preserve">” (PECO) framework was utilised and presented in Table Two (Morgan et al 2018). The study population consisted of adults (over the age of eighteen), who are considered patients who have been exposed to the five therapeutic groups of medicines: antidepressants, benzodiazepines, gabapentinoids, opioids (for non-cancer pain) and z-drugs. They must have either experienced side effects, dependence, or associated withdrawal symptoms. Those who engaged in a reduction or tapering regime were also included. </w:t>
      </w:r>
    </w:p>
    <w:p w:rsidR="00000000" w:rsidDel="00000000" w:rsidP="00000000" w:rsidRDefault="00000000" w:rsidRPr="00000000" w14:paraId="000002B4">
      <w:pPr>
        <w:spacing w:line="480" w:lineRule="auto"/>
        <w:jc w:val="both"/>
        <w:rPr>
          <w:sz w:val="22"/>
          <w:szCs w:val="22"/>
        </w:rPr>
      </w:pPr>
      <w:r w:rsidDel="00000000" w:rsidR="00000000" w:rsidRPr="00000000">
        <w:rPr>
          <w:rtl w:val="0"/>
        </w:rPr>
      </w:r>
    </w:p>
    <w:p w:rsidR="00000000" w:rsidDel="00000000" w:rsidP="00000000" w:rsidRDefault="00000000" w:rsidRPr="00000000" w14:paraId="000002B5">
      <w:pPr>
        <w:spacing w:line="480" w:lineRule="auto"/>
        <w:jc w:val="both"/>
        <w:rPr>
          <w:sz w:val="22"/>
          <w:szCs w:val="22"/>
        </w:rPr>
      </w:pPr>
      <w:r w:rsidDel="00000000" w:rsidR="00000000" w:rsidRPr="00000000">
        <w:rPr>
          <w:color w:val="000000"/>
          <w:sz w:val="22"/>
          <w:szCs w:val="22"/>
          <w:rtl w:val="0"/>
        </w:rPr>
        <w:t xml:space="preserve">When searching for literature pertaining to opioids, the searches yielded a vast literature base discussing </w:t>
      </w:r>
      <w:r w:rsidDel="00000000" w:rsidR="00000000" w:rsidRPr="00000000">
        <w:rPr>
          <w:sz w:val="22"/>
          <w:szCs w:val="22"/>
          <w:rtl w:val="0"/>
        </w:rPr>
        <w:t xml:space="preserve">Opioid Substitution Therapy (OST), and Opioid Antagonist Therapy (OAT). These are both interventions for those using illicit opioids, such as heroin. Furthermore, harm reduction, overdose prevention and overdose outcomes were a common theme within the literature. These and were also excluded, especially if they were discussing illicit substances or those who use them. The choice to exclude </w:t>
      </w:r>
      <w:r w:rsidDel="00000000" w:rsidR="00000000" w:rsidRPr="00000000">
        <w:rPr>
          <w:color w:val="000000"/>
          <w:sz w:val="22"/>
          <w:szCs w:val="22"/>
          <w:rtl w:val="0"/>
        </w:rPr>
        <w:t xml:space="preserve">papers exploring the non-medical use of prescribed medicines, illicit substances, and medicines used to manage illicit drug use (e.g. methadone and buprenorphine), was reflective of the inclusion criteria within the Public Health England report (Public Health England 2019, p. 45). This report considered only medicines that were prescribed by medical professionals, and only the five therapeutic groups discussed earlier. </w:t>
      </w:r>
      <w:r w:rsidDel="00000000" w:rsidR="00000000" w:rsidRPr="00000000">
        <w:rPr>
          <w:sz w:val="22"/>
          <w:szCs w:val="22"/>
          <w:rtl w:val="0"/>
        </w:rPr>
        <w:t xml:space="preserve">As this research aims to explore the prescribed drug dependence only, papers discussing these issues were excluded.</w:t>
      </w:r>
    </w:p>
    <w:p w:rsidR="00000000" w:rsidDel="00000000" w:rsidP="00000000" w:rsidRDefault="00000000" w:rsidRPr="00000000" w14:paraId="000002B6">
      <w:pPr>
        <w:spacing w:line="480" w:lineRule="auto"/>
        <w:jc w:val="both"/>
        <w:rPr>
          <w:sz w:val="22"/>
          <w:szCs w:val="22"/>
        </w:rPr>
      </w:pPr>
      <w:r w:rsidDel="00000000" w:rsidR="00000000" w:rsidRPr="00000000">
        <w:rPr>
          <w:rtl w:val="0"/>
        </w:rPr>
      </w:r>
    </w:p>
    <w:tbl>
      <w:tblPr>
        <w:tblStyle w:val="Table3"/>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1422"/>
        <w:gridCol w:w="2831"/>
        <w:gridCol w:w="4773"/>
        <w:tblGridChange w:id="0">
          <w:tblGrid>
            <w:gridCol w:w="1422"/>
            <w:gridCol w:w="2831"/>
            <w:gridCol w:w="4773"/>
          </w:tblGrid>
        </w:tblGridChange>
      </w:tblGrid>
      <w:tr>
        <w:trPr>
          <w:cantSplit w:val="0"/>
          <w:tblHeader w:val="0"/>
        </w:trPr>
        <w:tc>
          <w:tcPr>
            <w:vAlign w:val="center"/>
          </w:tcPr>
          <w:p w:rsidR="00000000" w:rsidDel="00000000" w:rsidP="00000000" w:rsidRDefault="00000000" w:rsidRPr="00000000" w14:paraId="000002B7">
            <w:pPr>
              <w:rPr>
                <w:sz w:val="22"/>
                <w:szCs w:val="22"/>
              </w:rPr>
            </w:pPr>
            <w:r w:rsidDel="00000000" w:rsidR="00000000" w:rsidRPr="00000000">
              <w:rPr>
                <w:sz w:val="22"/>
                <w:szCs w:val="22"/>
                <w:rtl w:val="0"/>
              </w:rPr>
              <w:t xml:space="preserve">FACET</w:t>
            </w:r>
          </w:p>
        </w:tc>
        <w:tc>
          <w:tcPr>
            <w:vAlign w:val="center"/>
          </w:tcPr>
          <w:p w:rsidR="00000000" w:rsidDel="00000000" w:rsidP="00000000" w:rsidRDefault="00000000" w:rsidRPr="00000000" w14:paraId="000002B8">
            <w:pPr>
              <w:rPr>
                <w:sz w:val="22"/>
                <w:szCs w:val="22"/>
              </w:rPr>
            </w:pPr>
            <w:r w:rsidDel="00000000" w:rsidR="00000000" w:rsidRPr="00000000">
              <w:rPr>
                <w:sz w:val="22"/>
                <w:szCs w:val="22"/>
                <w:rtl w:val="0"/>
              </w:rPr>
              <w:t xml:space="preserve">INCLUDED</w:t>
            </w:r>
          </w:p>
        </w:tc>
        <w:tc>
          <w:tcPr>
            <w:vAlign w:val="center"/>
          </w:tcPr>
          <w:p w:rsidR="00000000" w:rsidDel="00000000" w:rsidP="00000000" w:rsidRDefault="00000000" w:rsidRPr="00000000" w14:paraId="000002B9">
            <w:pPr>
              <w:rPr>
                <w:sz w:val="22"/>
                <w:szCs w:val="22"/>
              </w:rPr>
            </w:pPr>
            <w:r w:rsidDel="00000000" w:rsidR="00000000" w:rsidRPr="00000000">
              <w:rPr>
                <w:sz w:val="22"/>
                <w:szCs w:val="22"/>
                <w:rtl w:val="0"/>
              </w:rPr>
              <w:t xml:space="preserve">EXCLUDED</w:t>
            </w:r>
          </w:p>
        </w:tc>
      </w:tr>
      <w:tr>
        <w:trPr>
          <w:cantSplit w:val="0"/>
          <w:tblHeader w:val="0"/>
        </w:trPr>
        <w:tc>
          <w:tcPr>
            <w:vAlign w:val="center"/>
          </w:tcPr>
          <w:p w:rsidR="00000000" w:rsidDel="00000000" w:rsidP="00000000" w:rsidRDefault="00000000" w:rsidRPr="00000000" w14:paraId="000002BA">
            <w:pPr>
              <w:rPr>
                <w:sz w:val="22"/>
                <w:szCs w:val="22"/>
              </w:rPr>
            </w:pPr>
            <w:r w:rsidDel="00000000" w:rsidR="00000000" w:rsidRPr="00000000">
              <w:rPr>
                <w:sz w:val="22"/>
                <w:szCs w:val="22"/>
                <w:rtl w:val="0"/>
              </w:rPr>
              <w:t xml:space="preserve">Population</w:t>
            </w:r>
          </w:p>
        </w:tc>
        <w:tc>
          <w:tcPr>
            <w:vAlign w:val="center"/>
          </w:tcPr>
          <w:p w:rsidR="00000000" w:rsidDel="00000000" w:rsidP="00000000" w:rsidRDefault="00000000" w:rsidRPr="00000000" w14:paraId="000002BB">
            <w:pPr>
              <w:rPr>
                <w:sz w:val="22"/>
                <w:szCs w:val="22"/>
              </w:rPr>
            </w:pPr>
            <w:r w:rsidDel="00000000" w:rsidR="00000000" w:rsidRPr="00000000">
              <w:rPr>
                <w:sz w:val="22"/>
                <w:szCs w:val="22"/>
                <w:rtl w:val="0"/>
              </w:rPr>
              <w:t xml:space="preserve">Adults (aged 18 and over)</w:t>
            </w:r>
          </w:p>
          <w:p w:rsidR="00000000" w:rsidDel="00000000" w:rsidP="00000000" w:rsidRDefault="00000000" w:rsidRPr="00000000" w14:paraId="000002BC">
            <w:pPr>
              <w:rPr>
                <w:sz w:val="22"/>
                <w:szCs w:val="22"/>
              </w:rPr>
            </w:pPr>
            <w:r w:rsidDel="00000000" w:rsidR="00000000" w:rsidRPr="00000000">
              <w:rPr>
                <w:sz w:val="22"/>
                <w:szCs w:val="22"/>
                <w:rtl w:val="0"/>
              </w:rPr>
              <w:t xml:space="preserve">Patients</w:t>
            </w:r>
          </w:p>
        </w:tc>
        <w:tc>
          <w:tcPr>
            <w:vAlign w:val="center"/>
          </w:tcPr>
          <w:p w:rsidR="00000000" w:rsidDel="00000000" w:rsidP="00000000" w:rsidRDefault="00000000" w:rsidRPr="00000000" w14:paraId="000002BD">
            <w:pPr>
              <w:rPr>
                <w:sz w:val="22"/>
                <w:szCs w:val="22"/>
              </w:rPr>
            </w:pPr>
            <w:r w:rsidDel="00000000" w:rsidR="00000000" w:rsidRPr="00000000">
              <w:rPr>
                <w:sz w:val="22"/>
                <w:szCs w:val="22"/>
                <w:rtl w:val="0"/>
              </w:rPr>
              <w:t xml:space="preserve">Children or Adolescents (age under 18)</w:t>
            </w:r>
          </w:p>
          <w:p w:rsidR="00000000" w:rsidDel="00000000" w:rsidP="00000000" w:rsidRDefault="00000000" w:rsidRPr="00000000" w14:paraId="000002BE">
            <w:pPr>
              <w:rPr>
                <w:sz w:val="22"/>
                <w:szCs w:val="22"/>
              </w:rPr>
            </w:pPr>
            <w:r w:rsidDel="00000000" w:rsidR="00000000" w:rsidRPr="00000000">
              <w:rPr>
                <w:sz w:val="22"/>
                <w:szCs w:val="22"/>
                <w:rtl w:val="0"/>
              </w:rPr>
              <w:t xml:space="preserve">Animal studies</w:t>
            </w:r>
          </w:p>
        </w:tc>
      </w:tr>
      <w:tr>
        <w:trPr>
          <w:cantSplit w:val="0"/>
          <w:tblHeader w:val="0"/>
        </w:trPr>
        <w:tc>
          <w:tcPr>
            <w:vAlign w:val="center"/>
          </w:tcPr>
          <w:p w:rsidR="00000000" w:rsidDel="00000000" w:rsidP="00000000" w:rsidRDefault="00000000" w:rsidRPr="00000000" w14:paraId="000002BF">
            <w:pPr>
              <w:rPr>
                <w:sz w:val="22"/>
                <w:szCs w:val="22"/>
              </w:rPr>
            </w:pPr>
            <w:r w:rsidDel="00000000" w:rsidR="00000000" w:rsidRPr="00000000">
              <w:rPr>
                <w:sz w:val="22"/>
                <w:szCs w:val="22"/>
                <w:rtl w:val="0"/>
              </w:rPr>
              <w:t xml:space="preserve">Exposure</w:t>
            </w:r>
          </w:p>
        </w:tc>
        <w:tc>
          <w:tcPr>
            <w:vAlign w:val="center"/>
          </w:tcPr>
          <w:p w:rsidR="00000000" w:rsidDel="00000000" w:rsidP="00000000" w:rsidRDefault="00000000" w:rsidRPr="00000000" w14:paraId="000002C0">
            <w:pPr>
              <w:rPr>
                <w:sz w:val="22"/>
                <w:szCs w:val="22"/>
              </w:rPr>
            </w:pPr>
            <w:r w:rsidDel="00000000" w:rsidR="00000000" w:rsidRPr="00000000">
              <w:rPr>
                <w:sz w:val="22"/>
                <w:szCs w:val="22"/>
                <w:rtl w:val="0"/>
              </w:rPr>
              <w:t xml:space="preserve">Prescribing</w:t>
            </w:r>
          </w:p>
          <w:p w:rsidR="00000000" w:rsidDel="00000000" w:rsidP="00000000" w:rsidRDefault="00000000" w:rsidRPr="00000000" w14:paraId="000002C1">
            <w:pPr>
              <w:rPr>
                <w:sz w:val="22"/>
                <w:szCs w:val="22"/>
              </w:rPr>
            </w:pPr>
            <w:r w:rsidDel="00000000" w:rsidR="00000000" w:rsidRPr="00000000">
              <w:rPr>
                <w:sz w:val="22"/>
                <w:szCs w:val="22"/>
                <w:rtl w:val="0"/>
              </w:rPr>
              <w:t xml:space="preserve">Antidepressants</w:t>
            </w:r>
          </w:p>
          <w:p w:rsidR="00000000" w:rsidDel="00000000" w:rsidP="00000000" w:rsidRDefault="00000000" w:rsidRPr="00000000" w14:paraId="000002C2">
            <w:pPr>
              <w:rPr>
                <w:sz w:val="22"/>
                <w:szCs w:val="22"/>
              </w:rPr>
            </w:pPr>
            <w:r w:rsidDel="00000000" w:rsidR="00000000" w:rsidRPr="00000000">
              <w:rPr>
                <w:sz w:val="22"/>
                <w:szCs w:val="22"/>
                <w:rtl w:val="0"/>
              </w:rPr>
              <w:t xml:space="preserve">Benzodiazepines</w:t>
            </w:r>
          </w:p>
          <w:p w:rsidR="00000000" w:rsidDel="00000000" w:rsidP="00000000" w:rsidRDefault="00000000" w:rsidRPr="00000000" w14:paraId="000002C3">
            <w:pPr>
              <w:rPr>
                <w:sz w:val="22"/>
                <w:szCs w:val="22"/>
              </w:rPr>
            </w:pPr>
            <w:r w:rsidDel="00000000" w:rsidR="00000000" w:rsidRPr="00000000">
              <w:rPr>
                <w:sz w:val="22"/>
                <w:szCs w:val="22"/>
                <w:rtl w:val="0"/>
              </w:rPr>
              <w:t xml:space="preserve">Gabapentinoids</w:t>
            </w:r>
          </w:p>
          <w:p w:rsidR="00000000" w:rsidDel="00000000" w:rsidP="00000000" w:rsidRDefault="00000000" w:rsidRPr="00000000" w14:paraId="000002C4">
            <w:pPr>
              <w:rPr>
                <w:sz w:val="22"/>
                <w:szCs w:val="22"/>
              </w:rPr>
            </w:pPr>
            <w:r w:rsidDel="00000000" w:rsidR="00000000" w:rsidRPr="00000000">
              <w:rPr>
                <w:sz w:val="22"/>
                <w:szCs w:val="22"/>
                <w:rtl w:val="0"/>
              </w:rPr>
              <w:t xml:space="preserve">Opioids</w:t>
            </w:r>
          </w:p>
          <w:p w:rsidR="00000000" w:rsidDel="00000000" w:rsidP="00000000" w:rsidRDefault="00000000" w:rsidRPr="00000000" w14:paraId="000002C5">
            <w:pPr>
              <w:rPr>
                <w:sz w:val="22"/>
                <w:szCs w:val="22"/>
              </w:rPr>
            </w:pPr>
            <w:r w:rsidDel="00000000" w:rsidR="00000000" w:rsidRPr="00000000">
              <w:rPr>
                <w:sz w:val="22"/>
                <w:szCs w:val="22"/>
                <w:rtl w:val="0"/>
              </w:rPr>
              <w:t xml:space="preserve">Z-Drugs</w:t>
            </w:r>
          </w:p>
          <w:p w:rsidR="00000000" w:rsidDel="00000000" w:rsidP="00000000" w:rsidRDefault="00000000" w:rsidRPr="00000000" w14:paraId="000002C6">
            <w:pPr>
              <w:rPr>
                <w:sz w:val="22"/>
                <w:szCs w:val="22"/>
              </w:rPr>
            </w:pPr>
            <w:r w:rsidDel="00000000" w:rsidR="00000000" w:rsidRPr="00000000">
              <w:rPr>
                <w:sz w:val="22"/>
                <w:szCs w:val="22"/>
                <w:rtl w:val="0"/>
              </w:rPr>
              <w:t xml:space="preserve">Dependence</w:t>
            </w:r>
          </w:p>
          <w:p w:rsidR="00000000" w:rsidDel="00000000" w:rsidP="00000000" w:rsidRDefault="00000000" w:rsidRPr="00000000" w14:paraId="000002C7">
            <w:pPr>
              <w:rPr>
                <w:sz w:val="22"/>
                <w:szCs w:val="22"/>
              </w:rPr>
            </w:pPr>
            <w:r w:rsidDel="00000000" w:rsidR="00000000" w:rsidRPr="00000000">
              <w:rPr>
                <w:sz w:val="22"/>
                <w:szCs w:val="22"/>
                <w:rtl w:val="0"/>
              </w:rPr>
              <w:t xml:space="preserve">Withdrawal</w:t>
            </w:r>
          </w:p>
          <w:p w:rsidR="00000000" w:rsidDel="00000000" w:rsidP="00000000" w:rsidRDefault="00000000" w:rsidRPr="00000000" w14:paraId="000002C8">
            <w:pPr>
              <w:rPr>
                <w:sz w:val="22"/>
                <w:szCs w:val="22"/>
              </w:rPr>
            </w:pPr>
            <w:r w:rsidDel="00000000" w:rsidR="00000000" w:rsidRPr="00000000">
              <w:rPr>
                <w:sz w:val="22"/>
                <w:szCs w:val="22"/>
                <w:rtl w:val="0"/>
              </w:rPr>
              <w:t xml:space="preserve">Side effects</w:t>
            </w:r>
          </w:p>
          <w:p w:rsidR="00000000" w:rsidDel="00000000" w:rsidP="00000000" w:rsidRDefault="00000000" w:rsidRPr="00000000" w14:paraId="000002C9">
            <w:pPr>
              <w:rPr>
                <w:sz w:val="22"/>
                <w:szCs w:val="22"/>
              </w:rPr>
            </w:pPr>
            <w:r w:rsidDel="00000000" w:rsidR="00000000" w:rsidRPr="00000000">
              <w:rPr>
                <w:sz w:val="22"/>
                <w:szCs w:val="22"/>
                <w:rtl w:val="0"/>
              </w:rPr>
              <w:t xml:space="preserve">Tapering </w:t>
            </w:r>
          </w:p>
          <w:p w:rsidR="00000000" w:rsidDel="00000000" w:rsidP="00000000" w:rsidRDefault="00000000" w:rsidRPr="00000000" w14:paraId="000002CA">
            <w:pPr>
              <w:rPr>
                <w:sz w:val="22"/>
                <w:szCs w:val="22"/>
              </w:rPr>
            </w:pPr>
            <w:r w:rsidDel="00000000" w:rsidR="00000000" w:rsidRPr="00000000">
              <w:rPr>
                <w:sz w:val="22"/>
                <w:szCs w:val="22"/>
                <w:rtl w:val="0"/>
              </w:rPr>
              <w:t xml:space="preserve">Service engagement</w:t>
            </w:r>
          </w:p>
        </w:tc>
        <w:tc>
          <w:tcPr>
            <w:vAlign w:val="center"/>
          </w:tcPr>
          <w:p w:rsidR="00000000" w:rsidDel="00000000" w:rsidP="00000000" w:rsidRDefault="00000000" w:rsidRPr="00000000" w14:paraId="000002CB">
            <w:pPr>
              <w:rPr>
                <w:sz w:val="22"/>
                <w:szCs w:val="22"/>
              </w:rPr>
            </w:pPr>
            <w:r w:rsidDel="00000000" w:rsidR="00000000" w:rsidRPr="00000000">
              <w:rPr>
                <w:sz w:val="22"/>
                <w:szCs w:val="22"/>
                <w:rtl w:val="0"/>
              </w:rPr>
              <w:t xml:space="preserve">Opioid Substitution/Antagonist Therapy (OST/OAT)</w:t>
            </w:r>
          </w:p>
          <w:p w:rsidR="00000000" w:rsidDel="00000000" w:rsidP="00000000" w:rsidRDefault="00000000" w:rsidRPr="00000000" w14:paraId="000002CC">
            <w:pPr>
              <w:rPr>
                <w:sz w:val="22"/>
                <w:szCs w:val="22"/>
              </w:rPr>
            </w:pPr>
            <w:r w:rsidDel="00000000" w:rsidR="00000000" w:rsidRPr="00000000">
              <w:rPr>
                <w:sz w:val="22"/>
                <w:szCs w:val="22"/>
                <w:rtl w:val="0"/>
              </w:rPr>
              <w:t xml:space="preserve">Over the counter (OTC) medication</w:t>
            </w:r>
          </w:p>
          <w:p w:rsidR="00000000" w:rsidDel="00000000" w:rsidP="00000000" w:rsidRDefault="00000000" w:rsidRPr="00000000" w14:paraId="000002CD">
            <w:pPr>
              <w:rPr>
                <w:sz w:val="22"/>
                <w:szCs w:val="22"/>
              </w:rPr>
            </w:pPr>
            <w:r w:rsidDel="00000000" w:rsidR="00000000" w:rsidRPr="00000000">
              <w:rPr>
                <w:sz w:val="22"/>
                <w:szCs w:val="22"/>
                <w:rtl w:val="0"/>
              </w:rPr>
              <w:t xml:space="preserve">Illicit drugs e.g. heroin</w:t>
            </w:r>
          </w:p>
          <w:p w:rsidR="00000000" w:rsidDel="00000000" w:rsidP="00000000" w:rsidRDefault="00000000" w:rsidRPr="00000000" w14:paraId="000002CE">
            <w:pPr>
              <w:rPr>
                <w:sz w:val="22"/>
                <w:szCs w:val="22"/>
              </w:rPr>
            </w:pPr>
            <w:r w:rsidDel="00000000" w:rsidR="00000000" w:rsidRPr="00000000">
              <w:rPr>
                <w:sz w:val="22"/>
                <w:szCs w:val="22"/>
                <w:rtl w:val="0"/>
              </w:rPr>
              <w:t xml:space="preserve">Non-medical use of prescription drugs</w:t>
            </w:r>
          </w:p>
          <w:p w:rsidR="00000000" w:rsidDel="00000000" w:rsidP="00000000" w:rsidRDefault="00000000" w:rsidRPr="00000000" w14:paraId="000002CF">
            <w:pPr>
              <w:rPr>
                <w:sz w:val="22"/>
                <w:szCs w:val="22"/>
              </w:rPr>
            </w:pPr>
            <w:r w:rsidDel="00000000" w:rsidR="00000000" w:rsidRPr="00000000">
              <w:rPr>
                <w:sz w:val="22"/>
                <w:szCs w:val="22"/>
                <w:rtl w:val="0"/>
              </w:rPr>
              <w:t xml:space="preserve">End of life care</w:t>
            </w:r>
          </w:p>
          <w:p w:rsidR="00000000" w:rsidDel="00000000" w:rsidP="00000000" w:rsidRDefault="00000000" w:rsidRPr="00000000" w14:paraId="000002D0">
            <w:pPr>
              <w:rPr>
                <w:sz w:val="22"/>
                <w:szCs w:val="22"/>
              </w:rPr>
            </w:pPr>
            <w:r w:rsidDel="00000000" w:rsidR="00000000" w:rsidRPr="00000000">
              <w:rPr>
                <w:sz w:val="22"/>
                <w:szCs w:val="22"/>
                <w:rtl w:val="0"/>
              </w:rPr>
              <w:t xml:space="preserve">Cancer-related pain</w:t>
            </w:r>
          </w:p>
          <w:p w:rsidR="00000000" w:rsidDel="00000000" w:rsidP="00000000" w:rsidRDefault="00000000" w:rsidRPr="00000000" w14:paraId="000002D1">
            <w:pPr>
              <w:rPr>
                <w:sz w:val="22"/>
                <w:szCs w:val="22"/>
              </w:rPr>
            </w:pPr>
            <w:r w:rsidDel="00000000" w:rsidR="00000000" w:rsidRPr="00000000">
              <w:rPr>
                <w:sz w:val="22"/>
                <w:szCs w:val="22"/>
                <w:rtl w:val="0"/>
              </w:rPr>
              <w:t xml:space="preserve">Naloxone or other harm reduction interventions</w:t>
            </w:r>
          </w:p>
          <w:p w:rsidR="00000000" w:rsidDel="00000000" w:rsidP="00000000" w:rsidRDefault="00000000" w:rsidRPr="00000000" w14:paraId="000002D2">
            <w:pPr>
              <w:rPr>
                <w:sz w:val="22"/>
                <w:szCs w:val="22"/>
              </w:rPr>
            </w:pPr>
            <w:r w:rsidDel="00000000" w:rsidR="00000000" w:rsidRPr="00000000">
              <w:rPr>
                <w:sz w:val="22"/>
                <w:szCs w:val="22"/>
                <w:rtl w:val="0"/>
              </w:rPr>
              <w:t xml:space="preserve">Smoking interventions</w:t>
            </w:r>
          </w:p>
          <w:p w:rsidR="00000000" w:rsidDel="00000000" w:rsidP="00000000" w:rsidRDefault="00000000" w:rsidRPr="00000000" w14:paraId="000002D3">
            <w:pPr>
              <w:rPr>
                <w:sz w:val="22"/>
                <w:szCs w:val="22"/>
              </w:rPr>
            </w:pPr>
            <w:r w:rsidDel="00000000" w:rsidR="00000000" w:rsidRPr="00000000">
              <w:rPr>
                <w:sz w:val="22"/>
                <w:szCs w:val="22"/>
                <w:rtl w:val="0"/>
              </w:rPr>
              <w:t xml:space="preserve">Alcohol</w:t>
            </w:r>
          </w:p>
        </w:tc>
      </w:tr>
      <w:tr>
        <w:trPr>
          <w:cantSplit w:val="0"/>
          <w:tblHeader w:val="0"/>
        </w:trPr>
        <w:tc>
          <w:tcPr>
            <w:vAlign w:val="center"/>
          </w:tcPr>
          <w:p w:rsidR="00000000" w:rsidDel="00000000" w:rsidP="00000000" w:rsidRDefault="00000000" w:rsidRPr="00000000" w14:paraId="000002D4">
            <w:pPr>
              <w:rPr>
                <w:sz w:val="22"/>
                <w:szCs w:val="22"/>
              </w:rPr>
            </w:pPr>
            <w:r w:rsidDel="00000000" w:rsidR="00000000" w:rsidRPr="00000000">
              <w:rPr>
                <w:sz w:val="22"/>
                <w:szCs w:val="22"/>
                <w:rtl w:val="0"/>
              </w:rPr>
              <w:t xml:space="preserve">Comparator</w:t>
            </w:r>
          </w:p>
        </w:tc>
        <w:tc>
          <w:tcPr>
            <w:vAlign w:val="center"/>
          </w:tcPr>
          <w:p w:rsidR="00000000" w:rsidDel="00000000" w:rsidP="00000000" w:rsidRDefault="00000000" w:rsidRPr="00000000" w14:paraId="000002D5">
            <w:pPr>
              <w:rPr>
                <w:sz w:val="22"/>
                <w:szCs w:val="22"/>
              </w:rPr>
            </w:pPr>
            <w:r w:rsidDel="00000000" w:rsidR="00000000" w:rsidRPr="00000000">
              <w:rPr>
                <w:sz w:val="22"/>
                <w:szCs w:val="22"/>
                <w:rtl w:val="0"/>
              </w:rPr>
              <w:t xml:space="preserve">N/A</w:t>
            </w:r>
          </w:p>
        </w:tc>
        <w:tc>
          <w:tcPr>
            <w:vAlign w:val="center"/>
          </w:tcPr>
          <w:p w:rsidR="00000000" w:rsidDel="00000000" w:rsidP="00000000" w:rsidRDefault="00000000" w:rsidRPr="00000000" w14:paraId="000002D6">
            <w:pPr>
              <w:rPr>
                <w:sz w:val="22"/>
                <w:szCs w:val="22"/>
              </w:rPr>
            </w:pPr>
            <w:r w:rsidDel="00000000" w:rsidR="00000000" w:rsidRPr="00000000">
              <w:rPr>
                <w:sz w:val="22"/>
                <w:szCs w:val="22"/>
                <w:rtl w:val="0"/>
              </w:rPr>
              <w:t xml:space="preserve">N/A</w:t>
            </w:r>
          </w:p>
        </w:tc>
      </w:tr>
      <w:tr>
        <w:trPr>
          <w:cantSplit w:val="0"/>
          <w:tblHeader w:val="0"/>
        </w:trPr>
        <w:tc>
          <w:tcPr>
            <w:vAlign w:val="center"/>
          </w:tcPr>
          <w:p w:rsidR="00000000" w:rsidDel="00000000" w:rsidP="00000000" w:rsidRDefault="00000000" w:rsidRPr="00000000" w14:paraId="000002D7">
            <w:pPr>
              <w:rPr>
                <w:sz w:val="22"/>
                <w:szCs w:val="22"/>
              </w:rPr>
            </w:pPr>
            <w:r w:rsidDel="00000000" w:rsidR="00000000" w:rsidRPr="00000000">
              <w:rPr>
                <w:sz w:val="22"/>
                <w:szCs w:val="22"/>
                <w:rtl w:val="0"/>
              </w:rPr>
              <w:t xml:space="preserve">Outcome</w:t>
            </w:r>
          </w:p>
        </w:tc>
        <w:tc>
          <w:tcPr>
            <w:vAlign w:val="center"/>
          </w:tcPr>
          <w:p w:rsidR="00000000" w:rsidDel="00000000" w:rsidP="00000000" w:rsidRDefault="00000000" w:rsidRPr="00000000" w14:paraId="000002D8">
            <w:pPr>
              <w:rPr>
                <w:sz w:val="22"/>
                <w:szCs w:val="22"/>
              </w:rPr>
            </w:pPr>
            <w:r w:rsidDel="00000000" w:rsidR="00000000" w:rsidRPr="00000000">
              <w:rPr>
                <w:sz w:val="22"/>
                <w:szCs w:val="22"/>
                <w:rtl w:val="0"/>
              </w:rPr>
              <w:t xml:space="preserve">Dependence</w:t>
            </w:r>
          </w:p>
          <w:p w:rsidR="00000000" w:rsidDel="00000000" w:rsidP="00000000" w:rsidRDefault="00000000" w:rsidRPr="00000000" w14:paraId="000002D9">
            <w:pPr>
              <w:rPr>
                <w:sz w:val="22"/>
                <w:szCs w:val="22"/>
              </w:rPr>
            </w:pPr>
            <w:r w:rsidDel="00000000" w:rsidR="00000000" w:rsidRPr="00000000">
              <w:rPr>
                <w:sz w:val="22"/>
                <w:szCs w:val="22"/>
                <w:rtl w:val="0"/>
              </w:rPr>
              <w:t xml:space="preserve">Addiction</w:t>
            </w:r>
          </w:p>
          <w:p w:rsidR="00000000" w:rsidDel="00000000" w:rsidP="00000000" w:rsidRDefault="00000000" w:rsidRPr="00000000" w14:paraId="000002DA">
            <w:pPr>
              <w:rPr>
                <w:sz w:val="22"/>
                <w:szCs w:val="22"/>
              </w:rPr>
            </w:pPr>
            <w:r w:rsidDel="00000000" w:rsidR="00000000" w:rsidRPr="00000000">
              <w:rPr>
                <w:sz w:val="22"/>
                <w:szCs w:val="22"/>
                <w:rtl w:val="0"/>
              </w:rPr>
              <w:t xml:space="preserve">Withdrawal</w:t>
              <w:br w:type="textWrapping"/>
              <w:t xml:space="preserve">Side effects</w:t>
            </w:r>
          </w:p>
          <w:p w:rsidR="00000000" w:rsidDel="00000000" w:rsidP="00000000" w:rsidRDefault="00000000" w:rsidRPr="00000000" w14:paraId="000002DB">
            <w:pPr>
              <w:rPr>
                <w:sz w:val="22"/>
                <w:szCs w:val="22"/>
              </w:rPr>
            </w:pPr>
            <w:r w:rsidDel="00000000" w:rsidR="00000000" w:rsidRPr="00000000">
              <w:rPr>
                <w:sz w:val="22"/>
                <w:szCs w:val="22"/>
                <w:rtl w:val="0"/>
              </w:rPr>
              <w:t xml:space="preserve">Tapering</w:t>
            </w:r>
          </w:p>
          <w:p w:rsidR="00000000" w:rsidDel="00000000" w:rsidP="00000000" w:rsidRDefault="00000000" w:rsidRPr="00000000" w14:paraId="000002DC">
            <w:pPr>
              <w:rPr>
                <w:sz w:val="22"/>
                <w:szCs w:val="22"/>
              </w:rPr>
            </w:pPr>
            <w:r w:rsidDel="00000000" w:rsidR="00000000" w:rsidRPr="00000000">
              <w:rPr>
                <w:sz w:val="22"/>
                <w:szCs w:val="22"/>
                <w:rtl w:val="0"/>
              </w:rPr>
              <w:t xml:space="preserve">Reduction</w:t>
            </w:r>
          </w:p>
          <w:p w:rsidR="00000000" w:rsidDel="00000000" w:rsidP="00000000" w:rsidRDefault="00000000" w:rsidRPr="00000000" w14:paraId="000002DD">
            <w:pPr>
              <w:rPr>
                <w:sz w:val="22"/>
                <w:szCs w:val="22"/>
              </w:rPr>
            </w:pPr>
            <w:r w:rsidDel="00000000" w:rsidR="00000000" w:rsidRPr="00000000">
              <w:rPr>
                <w:sz w:val="22"/>
                <w:szCs w:val="22"/>
                <w:rtl w:val="0"/>
              </w:rPr>
              <w:t xml:space="preserve">No change</w:t>
            </w:r>
          </w:p>
        </w:tc>
        <w:tc>
          <w:tcPr>
            <w:vAlign w:val="center"/>
          </w:tcPr>
          <w:p w:rsidR="00000000" w:rsidDel="00000000" w:rsidP="00000000" w:rsidRDefault="00000000" w:rsidRPr="00000000" w14:paraId="000002DE">
            <w:pPr>
              <w:rPr>
                <w:sz w:val="22"/>
                <w:szCs w:val="22"/>
              </w:rPr>
            </w:pPr>
            <w:r w:rsidDel="00000000" w:rsidR="00000000" w:rsidRPr="00000000">
              <w:rPr>
                <w:sz w:val="22"/>
                <w:szCs w:val="22"/>
                <w:rtl w:val="0"/>
              </w:rPr>
              <w:t xml:space="preserve">Papers that do not measure outcomes</w:t>
            </w:r>
          </w:p>
          <w:p w:rsidR="00000000" w:rsidDel="00000000" w:rsidP="00000000" w:rsidRDefault="00000000" w:rsidRPr="00000000" w14:paraId="000002DF">
            <w:pPr>
              <w:rPr>
                <w:sz w:val="22"/>
                <w:szCs w:val="22"/>
              </w:rPr>
            </w:pPr>
            <w:r w:rsidDel="00000000" w:rsidR="00000000" w:rsidRPr="00000000">
              <w:rPr>
                <w:sz w:val="22"/>
                <w:szCs w:val="22"/>
                <w:rtl w:val="0"/>
              </w:rPr>
              <w:t xml:space="preserve">Harm reduction</w:t>
            </w:r>
          </w:p>
          <w:p w:rsidR="00000000" w:rsidDel="00000000" w:rsidP="00000000" w:rsidRDefault="00000000" w:rsidRPr="00000000" w14:paraId="000002E0">
            <w:pPr>
              <w:rPr>
                <w:sz w:val="22"/>
                <w:szCs w:val="22"/>
              </w:rPr>
            </w:pPr>
            <w:r w:rsidDel="00000000" w:rsidR="00000000" w:rsidRPr="00000000">
              <w:rPr>
                <w:sz w:val="22"/>
                <w:szCs w:val="22"/>
                <w:rtl w:val="0"/>
              </w:rPr>
              <w:t xml:space="preserve">Overdose</w:t>
            </w:r>
          </w:p>
          <w:p w:rsidR="00000000" w:rsidDel="00000000" w:rsidP="00000000" w:rsidRDefault="00000000" w:rsidRPr="00000000" w14:paraId="000002E1">
            <w:pPr>
              <w:rPr>
                <w:sz w:val="22"/>
                <w:szCs w:val="22"/>
              </w:rPr>
            </w:pPr>
            <w:r w:rsidDel="00000000" w:rsidR="00000000" w:rsidRPr="00000000">
              <w:rPr>
                <w:sz w:val="22"/>
                <w:szCs w:val="22"/>
                <w:rtl w:val="0"/>
              </w:rPr>
              <w:t xml:space="preserve">Blood borne viruses</w:t>
            </w:r>
          </w:p>
          <w:p w:rsidR="00000000" w:rsidDel="00000000" w:rsidP="00000000" w:rsidRDefault="00000000" w:rsidRPr="00000000" w14:paraId="000002E2">
            <w:pPr>
              <w:rPr>
                <w:sz w:val="22"/>
                <w:szCs w:val="22"/>
              </w:rPr>
            </w:pPr>
            <w:r w:rsidDel="00000000" w:rsidR="00000000" w:rsidRPr="00000000">
              <w:rPr>
                <w:sz w:val="22"/>
                <w:szCs w:val="22"/>
                <w:rtl w:val="0"/>
              </w:rPr>
              <w:t xml:space="preserve">Substance misuse treatment</w:t>
            </w:r>
          </w:p>
          <w:p w:rsidR="00000000" w:rsidDel="00000000" w:rsidP="00000000" w:rsidRDefault="00000000" w:rsidRPr="00000000" w14:paraId="000002E3">
            <w:pPr>
              <w:rPr>
                <w:sz w:val="22"/>
                <w:szCs w:val="22"/>
              </w:rPr>
            </w:pPr>
            <w:r w:rsidDel="00000000" w:rsidR="00000000" w:rsidRPr="00000000">
              <w:rPr>
                <w:sz w:val="22"/>
                <w:szCs w:val="22"/>
                <w:rtl w:val="0"/>
              </w:rPr>
              <w:t xml:space="preserve">Criminal justice</w:t>
            </w:r>
          </w:p>
        </w:tc>
      </w:tr>
      <w:tr>
        <w:trPr>
          <w:cantSplit w:val="0"/>
          <w:tblHeader w:val="0"/>
        </w:trPr>
        <w:tc>
          <w:tcPr>
            <w:vAlign w:val="center"/>
          </w:tcPr>
          <w:p w:rsidR="00000000" w:rsidDel="00000000" w:rsidP="00000000" w:rsidRDefault="00000000" w:rsidRPr="00000000" w14:paraId="000002E4">
            <w:pPr>
              <w:rPr>
                <w:sz w:val="22"/>
                <w:szCs w:val="22"/>
              </w:rPr>
            </w:pPr>
            <w:r w:rsidDel="00000000" w:rsidR="00000000" w:rsidRPr="00000000">
              <w:rPr>
                <w:sz w:val="22"/>
                <w:szCs w:val="22"/>
                <w:rtl w:val="0"/>
              </w:rPr>
              <w:t xml:space="preserve">Other</w:t>
            </w:r>
          </w:p>
        </w:tc>
        <w:tc>
          <w:tcPr>
            <w:vAlign w:val="center"/>
          </w:tcPr>
          <w:p w:rsidR="00000000" w:rsidDel="00000000" w:rsidP="00000000" w:rsidRDefault="00000000" w:rsidRPr="00000000" w14:paraId="000002E5">
            <w:pPr>
              <w:rPr>
                <w:sz w:val="22"/>
                <w:szCs w:val="22"/>
              </w:rPr>
            </w:pPr>
            <w:r w:rsidDel="00000000" w:rsidR="00000000" w:rsidRPr="00000000">
              <w:rPr>
                <w:sz w:val="22"/>
                <w:szCs w:val="22"/>
                <w:rtl w:val="0"/>
              </w:rPr>
              <w:t xml:space="preserve">English language only</w:t>
            </w:r>
          </w:p>
          <w:p w:rsidR="00000000" w:rsidDel="00000000" w:rsidP="00000000" w:rsidRDefault="00000000" w:rsidRPr="00000000" w14:paraId="000002E6">
            <w:pPr>
              <w:rPr>
                <w:sz w:val="22"/>
                <w:szCs w:val="22"/>
              </w:rPr>
            </w:pPr>
            <w:r w:rsidDel="00000000" w:rsidR="00000000" w:rsidRPr="00000000">
              <w:rPr>
                <w:sz w:val="22"/>
                <w:szCs w:val="22"/>
                <w:rtl w:val="0"/>
              </w:rPr>
              <w:t xml:space="preserve">Original research</w:t>
            </w:r>
          </w:p>
        </w:tc>
        <w:tc>
          <w:tcPr>
            <w:vAlign w:val="center"/>
          </w:tcPr>
          <w:p w:rsidR="00000000" w:rsidDel="00000000" w:rsidP="00000000" w:rsidRDefault="00000000" w:rsidRPr="00000000" w14:paraId="000002E7">
            <w:pPr>
              <w:rPr>
                <w:sz w:val="22"/>
                <w:szCs w:val="22"/>
              </w:rPr>
            </w:pPr>
            <w:r w:rsidDel="00000000" w:rsidR="00000000" w:rsidRPr="00000000">
              <w:rPr>
                <w:sz w:val="22"/>
                <w:szCs w:val="22"/>
                <w:rtl w:val="0"/>
              </w:rPr>
              <w:t xml:space="preserve">Papers containing only an abstract</w:t>
            </w:r>
          </w:p>
          <w:p w:rsidR="00000000" w:rsidDel="00000000" w:rsidP="00000000" w:rsidRDefault="00000000" w:rsidRPr="00000000" w14:paraId="000002E8">
            <w:pPr>
              <w:keepNext w:val="1"/>
              <w:rPr>
                <w:sz w:val="22"/>
                <w:szCs w:val="22"/>
              </w:rPr>
            </w:pPr>
            <w:r w:rsidDel="00000000" w:rsidR="00000000" w:rsidRPr="00000000">
              <w:rPr>
                <w:sz w:val="22"/>
                <w:szCs w:val="22"/>
                <w:rtl w:val="0"/>
              </w:rPr>
              <w:t xml:space="preserve">Clinical trials</w:t>
            </w:r>
          </w:p>
          <w:p w:rsidR="00000000" w:rsidDel="00000000" w:rsidP="00000000" w:rsidRDefault="00000000" w:rsidRPr="00000000" w14:paraId="000002E9">
            <w:pPr>
              <w:keepNext w:val="1"/>
              <w:rPr>
                <w:sz w:val="22"/>
                <w:szCs w:val="22"/>
              </w:rPr>
            </w:pPr>
            <w:r w:rsidDel="00000000" w:rsidR="00000000" w:rsidRPr="00000000">
              <w:rPr>
                <w:sz w:val="22"/>
                <w:szCs w:val="22"/>
                <w:rtl w:val="0"/>
              </w:rPr>
              <w:t xml:space="preserve">Over ten years old (Cronin et al 2008)</w:t>
            </w:r>
          </w:p>
        </w:tc>
      </w:tr>
    </w:tbl>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ihv636" w:id="35"/>
      <w:bookmarkEnd w:id="35"/>
      <w:r w:rsidDel="00000000" w:rsidR="00000000" w:rsidRPr="00000000">
        <w:rPr>
          <w:rtl w:val="0"/>
        </w:rPr>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2: Literature search inclusion and exclusion criteria</w:t>
      </w:r>
    </w:p>
    <w:p w:rsidR="00000000" w:rsidDel="00000000" w:rsidP="00000000" w:rsidRDefault="00000000" w:rsidRPr="00000000" w14:paraId="000002EC">
      <w:pPr>
        <w:spacing w:line="480" w:lineRule="auto"/>
        <w:jc w:val="both"/>
        <w:rPr>
          <w:color w:val="000000"/>
          <w:sz w:val="22"/>
          <w:szCs w:val="22"/>
        </w:rPr>
      </w:pPr>
      <w:r w:rsidDel="00000000" w:rsidR="00000000" w:rsidRPr="00000000">
        <w:rPr>
          <w:rtl w:val="0"/>
        </w:rPr>
      </w:r>
    </w:p>
    <w:p w:rsidR="00000000" w:rsidDel="00000000" w:rsidP="00000000" w:rsidRDefault="00000000" w:rsidRPr="00000000" w14:paraId="000002E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480" w:lineRule="auto"/>
        <w:jc w:val="both"/>
        <w:rPr>
          <w:sz w:val="22"/>
          <w:szCs w:val="22"/>
        </w:rPr>
      </w:pPr>
      <w:r w:rsidDel="00000000" w:rsidR="00000000" w:rsidRPr="00000000">
        <w:rPr>
          <w:color w:val="000000"/>
          <w:sz w:val="22"/>
          <w:szCs w:val="22"/>
          <w:rtl w:val="0"/>
        </w:rPr>
        <w:t xml:space="preserve">Similarly, papers investigating the experiences of those under the age of eighteen were excluded.  Their experiences of medicines can differ to that of adults, </w:t>
      </w:r>
      <w:r w:rsidDel="00000000" w:rsidR="00000000" w:rsidRPr="00000000">
        <w:rPr>
          <w:sz w:val="22"/>
          <w:szCs w:val="22"/>
          <w:rtl w:val="0"/>
        </w:rPr>
        <w:t xml:space="preserve">for example, children (aged six to twelve) and adolescents (thirteen to eighteen) may respond differently to some medicines, such as antidepressants, and therefore have limited comparability and nuanced results “</w:t>
      </w:r>
      <w:r w:rsidDel="00000000" w:rsidR="00000000" w:rsidRPr="00000000">
        <w:rPr>
          <w:i w:val="1"/>
          <w:sz w:val="22"/>
          <w:szCs w:val="22"/>
          <w:rtl w:val="0"/>
        </w:rPr>
        <w:t xml:space="preserve">based on extrapolation of adult data</w:t>
      </w:r>
      <w:r w:rsidDel="00000000" w:rsidR="00000000" w:rsidRPr="00000000">
        <w:rPr>
          <w:sz w:val="22"/>
          <w:szCs w:val="22"/>
          <w:rtl w:val="0"/>
        </w:rPr>
        <w:t xml:space="preserve">” (Hetrick et al 2012, Burjek et al 2023 p.2). There was no comparison group, and outcomes were defined as the development of a dependence, side effects and withdrawal symptoms.</w:t>
      </w:r>
    </w:p>
    <w:p w:rsidR="00000000" w:rsidDel="00000000" w:rsidP="00000000" w:rsidRDefault="00000000" w:rsidRPr="00000000" w14:paraId="000002E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480" w:lineRule="auto"/>
        <w:jc w:val="both"/>
        <w:rPr>
          <w:sz w:val="22"/>
          <w:szCs w:val="22"/>
        </w:rPr>
      </w:pPr>
      <w:r w:rsidDel="00000000" w:rsidR="00000000" w:rsidRPr="00000000">
        <w:rPr>
          <w:rtl w:val="0"/>
        </w:rPr>
      </w:r>
    </w:p>
    <w:p w:rsidR="00000000" w:rsidDel="00000000" w:rsidP="00000000" w:rsidRDefault="00000000" w:rsidRPr="00000000" w14:paraId="000002EF">
      <w:pPr>
        <w:pStyle w:val="Heading2"/>
        <w:numPr>
          <w:ilvl w:val="1"/>
          <w:numId w:val="10"/>
        </w:numPr>
        <w:spacing w:line="480" w:lineRule="auto"/>
        <w:ind w:left="720" w:hanging="720"/>
        <w:rPr/>
      </w:pPr>
      <w:bookmarkStart w:colFirst="0" w:colLast="0" w:name="_heading=h.32hioqz" w:id="36"/>
      <w:bookmarkEnd w:id="36"/>
      <w:r w:rsidDel="00000000" w:rsidR="00000000" w:rsidRPr="00000000">
        <w:rPr>
          <w:rtl w:val="0"/>
        </w:rPr>
        <w:t xml:space="preserve">Analysis and Synthesis of the Literature</w:t>
      </w:r>
    </w:p>
    <w:p w:rsidR="00000000" w:rsidDel="00000000" w:rsidP="00000000" w:rsidRDefault="00000000" w:rsidRPr="00000000" w14:paraId="000002F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480" w:lineRule="auto"/>
        <w:jc w:val="both"/>
        <w:rPr>
          <w:color w:val="000000"/>
          <w:sz w:val="22"/>
          <w:szCs w:val="22"/>
        </w:rPr>
      </w:pPr>
      <w:r w:rsidDel="00000000" w:rsidR="00000000" w:rsidRPr="00000000">
        <w:rPr>
          <w:color w:val="000000"/>
          <w:sz w:val="22"/>
          <w:szCs w:val="22"/>
          <w:rtl w:val="0"/>
        </w:rPr>
        <w:t xml:space="preserve">Titles and abstracts of all articles identified were screened according to the eligibility criteria (Table Two), then articles that were considered irrelevant were removed. A full text copy of all relevant articles were screened, with further irrelevant articles removed.  Articles were placed into Mendeley referencing manager, and all duplicates were removed. </w:t>
      </w:r>
      <w:r w:rsidDel="00000000" w:rsidR="00000000" w:rsidRPr="00000000">
        <w:rPr>
          <w:sz w:val="22"/>
          <w:szCs w:val="22"/>
          <w:rtl w:val="0"/>
        </w:rPr>
        <w:t xml:space="preserve">Once the inclusion and exclusion criterion were identified and applied, the remaining papers were analysed using Thematic Analysis. Although the </w:t>
      </w:r>
      <w:r w:rsidDel="00000000" w:rsidR="00000000" w:rsidRPr="00000000">
        <w:rPr>
          <w:i w:val="1"/>
          <w:sz w:val="22"/>
          <w:szCs w:val="22"/>
          <w:rtl w:val="0"/>
        </w:rPr>
        <w:t xml:space="preserve">PECO</w:t>
      </w:r>
      <w:r w:rsidDel="00000000" w:rsidR="00000000" w:rsidRPr="00000000">
        <w:rPr>
          <w:sz w:val="22"/>
          <w:szCs w:val="22"/>
          <w:rtl w:val="0"/>
        </w:rPr>
        <w:t xml:space="preserve"> framework was used to support the search strategy, thematic analysis was used to generate themes to ensure a more inductive approach. Each article was assessed to ensure the authors had presented the key findings, conclusions, and their limitations. </w:t>
      </w:r>
      <w:r w:rsidDel="00000000" w:rsidR="00000000" w:rsidRPr="00000000">
        <w:rPr>
          <w:rtl w:val="0"/>
        </w:rPr>
      </w:r>
    </w:p>
    <w:p w:rsidR="00000000" w:rsidDel="00000000" w:rsidP="00000000" w:rsidRDefault="00000000" w:rsidRPr="00000000" w14:paraId="000002F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480" w:lineRule="auto"/>
        <w:jc w:val="both"/>
        <w:rPr>
          <w:color w:val="000000"/>
          <w:sz w:val="22"/>
          <w:szCs w:val="22"/>
        </w:rPr>
      </w:pPr>
      <w:r w:rsidDel="00000000" w:rsidR="00000000" w:rsidRPr="00000000">
        <w:rPr>
          <w:rtl w:val="0"/>
        </w:rPr>
      </w:r>
    </w:p>
    <w:p w:rsidR="00000000" w:rsidDel="00000000" w:rsidP="00000000" w:rsidRDefault="00000000" w:rsidRPr="00000000" w14:paraId="000002F2">
      <w:pPr>
        <w:pStyle w:val="Heading2"/>
        <w:numPr>
          <w:ilvl w:val="1"/>
          <w:numId w:val="10"/>
        </w:numPr>
        <w:spacing w:line="480" w:lineRule="auto"/>
        <w:ind w:left="720" w:hanging="720"/>
        <w:rPr/>
      </w:pPr>
      <w:bookmarkStart w:colFirst="0" w:colLast="0" w:name="_heading=h.1hmsyys" w:id="37"/>
      <w:bookmarkEnd w:id="37"/>
      <w:r w:rsidDel="00000000" w:rsidR="00000000" w:rsidRPr="00000000">
        <w:rPr>
          <w:rtl w:val="0"/>
        </w:rPr>
        <w:t xml:space="preserve">Overview and Characteristics of the Included Studies</w:t>
      </w:r>
    </w:p>
    <w:p w:rsidR="00000000" w:rsidDel="00000000" w:rsidP="00000000" w:rsidRDefault="00000000" w:rsidRPr="00000000" w14:paraId="000002F3">
      <w:pPr>
        <w:spacing w:line="480" w:lineRule="auto"/>
        <w:jc w:val="both"/>
        <w:rPr>
          <w:sz w:val="22"/>
          <w:szCs w:val="22"/>
        </w:rPr>
      </w:pPr>
      <w:r w:rsidDel="00000000" w:rsidR="00000000" w:rsidRPr="00000000">
        <w:rPr>
          <w:sz w:val="22"/>
          <w:szCs w:val="22"/>
          <w:rtl w:val="0"/>
        </w:rPr>
        <w:t xml:space="preserve">The literature search yielded a total of 1253 articles, with an additional 41 papers from other sources. These articles were initially screened for relevance by reading their title and abstracts. This resulted in 367 studies meeting the eligibility criteria (Table Two). These were then collated, duplicate studies removed leaving 339 papers for full text analysis. The remaining literature was examined against the inclusion and exclusion criteria. This process is presented in Figure Seven, a PRISMA flow chart. Through this process, a total of 69 papers were analysed.</w:t>
      </w:r>
    </w:p>
    <w:p w:rsidR="00000000" w:rsidDel="00000000" w:rsidP="00000000" w:rsidRDefault="00000000" w:rsidRPr="00000000" w14:paraId="000002F4">
      <w:pPr>
        <w:spacing w:line="480" w:lineRule="auto"/>
        <w:jc w:val="both"/>
        <w:rPr>
          <w:sz w:val="22"/>
          <w:szCs w:val="22"/>
        </w:rPr>
      </w:pPr>
      <w:r w:rsidDel="00000000" w:rsidR="00000000" w:rsidRPr="00000000">
        <w:rPr>
          <w:rtl w:val="0"/>
        </w:rPr>
      </w:r>
    </w:p>
    <w:p w:rsidR="00000000" w:rsidDel="00000000" w:rsidP="00000000" w:rsidRDefault="00000000" w:rsidRPr="00000000" w14:paraId="000002F5">
      <w:pPr>
        <w:spacing w:line="480" w:lineRule="auto"/>
        <w:jc w:val="both"/>
        <w:rPr>
          <w:sz w:val="22"/>
          <w:szCs w:val="22"/>
        </w:rPr>
      </w:pPr>
      <w:r w:rsidDel="00000000" w:rsidR="00000000" w:rsidRPr="00000000">
        <w:rPr>
          <w:sz w:val="22"/>
          <w:szCs w:val="22"/>
          <w:rtl w:val="0"/>
        </w:rPr>
        <w:t xml:space="preserve">The studies included represented all five therapeutic groups (antidepressants, benzodiazepines, gabapentinoids, opioids for non-cancer pain, and z-drugs), whilst also yielding research that explored general perceptions of prescribed drug dependence and withdrawal, alongside evaluations of services that manage these patients (Table Three). Sixteen countries were represented, with eight quantitative studies collecting data internationally. Most studies were qualitative in nature, with 42 of the 69 studies adopting qualitative methodologies. Although there was only a single service evaluation, there were seven studies that assessed the patient experiences of those accessing these services.</w:t>
      </w:r>
    </w:p>
    <w:p w:rsidR="00000000" w:rsidDel="00000000" w:rsidP="00000000" w:rsidRDefault="00000000" w:rsidRPr="00000000" w14:paraId="000002F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rPr>
          <w:rFonts w:ascii="Helvetica Neue" w:cs="Helvetica Neue" w:eastAsia="Helvetica Neue" w:hAnsi="Helvetica Neue"/>
          <w:color w:val="000000"/>
          <w:sz w:val="26"/>
          <w:szCs w:val="26"/>
        </w:rPr>
      </w:pPr>
      <w:r w:rsidDel="00000000" w:rsidR="00000000" w:rsidRPr="00000000">
        <w:rPr>
          <w:sz w:val="18"/>
          <w:szCs w:val="18"/>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align>top</wp:align>
                </wp:positionV>
                <wp:extent cx="5254625" cy="8229600"/>
                <wp:effectExtent b="0" l="0" r="0" t="0"/>
                <wp:wrapSquare wrapText="bothSides" distB="0" distT="0" distL="114300" distR="114300"/>
                <wp:docPr id="2142794184" name=""/>
                <a:graphic>
                  <a:graphicData uri="http://schemas.microsoft.com/office/word/2010/wordprocessingGroup">
                    <wpg:wgp>
                      <wpg:cNvGrpSpPr/>
                      <wpg:grpSpPr>
                        <a:xfrm>
                          <a:off x="2712325" y="0"/>
                          <a:ext cx="5254625" cy="8229600"/>
                          <a:chOff x="2712325" y="0"/>
                          <a:chExt cx="5267350" cy="7560000"/>
                        </a:xfrm>
                      </wpg:grpSpPr>
                      <wpg:grpSp>
                        <wpg:cNvGrpSpPr/>
                        <wpg:grpSpPr>
                          <a:xfrm>
                            <a:off x="2718688" y="0"/>
                            <a:ext cx="5254625" cy="7560000"/>
                            <a:chOff x="0" y="0"/>
                            <a:chExt cx="5143864" cy="7077601"/>
                          </a:xfrm>
                        </wpg:grpSpPr>
                        <wps:wsp>
                          <wps:cNvSpPr/>
                          <wps:cNvPr id="6" name="Shape 6"/>
                          <wps:spPr>
                            <a:xfrm>
                              <a:off x="0" y="0"/>
                              <a:ext cx="5143850" cy="7077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686676" y="0"/>
                              <a:ext cx="2058629" cy="1257300"/>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Records Identified through database searching: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1253)</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Medline via Ovid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992)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PsycInfo via Ovid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261)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txbxContent>
                          </wps:txbx>
                          <wps:bodyPr anchorCtr="0" anchor="ctr" bIns="45700" lIns="91425" spcFirstLastPara="1" rIns="91425" wrap="square" tIns="45700">
                            <a:noAutofit/>
                          </wps:bodyPr>
                        </wps:wsp>
                        <wps:wsp>
                          <wps:cNvSpPr/>
                          <wps:cNvPr id="8" name="Shape 8"/>
                          <wps:spPr>
                            <a:xfrm>
                              <a:off x="3083034" y="0"/>
                              <a:ext cx="2060739" cy="1257300"/>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Additional records identified through other sources: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41)</w:t>
                                </w:r>
                              </w:p>
                            </w:txbxContent>
                          </wps:txbx>
                          <wps:bodyPr anchorCtr="0" anchor="ctr" bIns="45700" lIns="91425" spcFirstLastPara="1" rIns="91425" wrap="square" tIns="45700">
                            <a:noAutofit/>
                          </wps:bodyPr>
                        </wps:wsp>
                        <wps:wsp>
                          <wps:cNvSpPr/>
                          <wps:cNvPr id="9" name="Shape 9"/>
                          <wps:spPr>
                            <a:xfrm>
                              <a:off x="686676" y="1478455"/>
                              <a:ext cx="4457188" cy="690245"/>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Records after duplicates removed: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384)</w:t>
                                </w:r>
                              </w:p>
                            </w:txbxContent>
                          </wps:txbx>
                          <wps:bodyPr anchorCtr="0" anchor="ctr" bIns="45700" lIns="91425" spcFirstLastPara="1" rIns="91425" wrap="square" tIns="45700">
                            <a:noAutofit/>
                          </wps:bodyPr>
                        </wps:wsp>
                        <wps:wsp>
                          <wps:cNvSpPr/>
                          <wps:cNvPr id="10" name="Shape 10"/>
                          <wps:spPr>
                            <a:xfrm rot="-5400000">
                              <a:off x="-457200" y="457200"/>
                              <a:ext cx="1257300" cy="342900"/>
                            </a:xfrm>
                            <a:prstGeom prst="rect">
                              <a:avLst/>
                            </a:prstGeom>
                            <a:solidFill>
                              <a:srgbClr val="A3C5ED"/>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IDENTIFICATION</w:t>
                                </w:r>
                              </w:p>
                            </w:txbxContent>
                          </wps:txbx>
                          <wps:bodyPr anchorCtr="0" anchor="ctr" bIns="45700" lIns="91425" spcFirstLastPara="1" rIns="91425" wrap="square" tIns="45700">
                            <a:noAutofit/>
                          </wps:bodyPr>
                        </wps:wsp>
                        <wps:wsp>
                          <wps:cNvSpPr/>
                          <wps:cNvPr id="11" name="Shape 11"/>
                          <wps:spPr>
                            <a:xfrm>
                              <a:off x="686676" y="2399862"/>
                              <a:ext cx="2063545" cy="680085"/>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Records screened: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384)</w:t>
                                </w:r>
                              </w:p>
                            </w:txbxContent>
                          </wps:txbx>
                          <wps:bodyPr anchorCtr="0" anchor="ctr" bIns="45700" lIns="91425" spcFirstLastPara="1" rIns="91425" wrap="square" tIns="45700">
                            <a:noAutofit/>
                          </wps:bodyPr>
                        </wps:wsp>
                        <wps:wsp>
                          <wps:cNvSpPr/>
                          <wps:cNvPr id="12" name="Shape 12"/>
                          <wps:spPr>
                            <a:xfrm>
                              <a:off x="3076028" y="2399862"/>
                              <a:ext cx="2066003" cy="681355"/>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Records excluded: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45)</w:t>
                                </w:r>
                              </w:p>
                            </w:txbxContent>
                          </wps:txbx>
                          <wps:bodyPr anchorCtr="0" anchor="ctr" bIns="45700" lIns="91425" spcFirstLastPara="1" rIns="91425" wrap="square" tIns="45700">
                            <a:noAutofit/>
                          </wps:bodyPr>
                        </wps:wsp>
                        <wps:wsp>
                          <wps:cNvSpPr/>
                          <wps:cNvPr id="13" name="Shape 13"/>
                          <wps:spPr>
                            <a:xfrm>
                              <a:off x="686676" y="3307255"/>
                              <a:ext cx="2063545" cy="920115"/>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Full text articles assessed for eligibility: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339)</w:t>
                                </w:r>
                              </w:p>
                            </w:txbxContent>
                          </wps:txbx>
                          <wps:bodyPr anchorCtr="0" anchor="ctr" bIns="45700" lIns="91425" spcFirstLastPara="1" rIns="91425" wrap="square" tIns="45700">
                            <a:noAutofit/>
                          </wps:bodyPr>
                        </wps:wsp>
                        <wps:wsp>
                          <wps:cNvSpPr/>
                          <wps:cNvPr id="14" name="Shape 14"/>
                          <wps:spPr>
                            <a:xfrm>
                              <a:off x="686676" y="4464028"/>
                              <a:ext cx="2056171" cy="1599565"/>
                            </a:xfrm>
                            <a:prstGeom prst="rect">
                              <a:avLst/>
                            </a:prstGeom>
                            <a:solidFill>
                              <a:schemeClr val="lt1"/>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Studies included in analysis: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69)</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Qualitative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42)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Quantitative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20)</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Literature review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5)</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Report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Service Evaluation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w:t>
                                </w:r>
                              </w:p>
                            </w:txbxContent>
                          </wps:txbx>
                          <wps:bodyPr anchorCtr="0" anchor="ctr" bIns="45700" lIns="91425" spcFirstLastPara="1" rIns="91425" wrap="square" tIns="45700">
                            <a:noAutofit/>
                          </wps:bodyPr>
                        </wps:wsp>
                        <wps:wsp>
                          <wps:cNvSpPr/>
                          <wps:cNvPr id="15" name="Shape 15"/>
                          <wps:spPr>
                            <a:xfrm>
                              <a:off x="3083034" y="3307255"/>
                              <a:ext cx="2060739" cy="3767455"/>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Full text articles excluded, with reasons: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267)</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Not patient experience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88), Opioid Substitution Therapy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37), specific sample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31), abuse or misuse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19), children or adolescents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10), illicit drug users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8), illicit drug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7), substance misuse treatment (</w:t>
                                </w:r>
                                <w:r w:rsidDel="00000000" w:rsidR="00000000" w:rsidRPr="00000000">
                                  <w:rPr>
                                    <w:rFonts w:ascii="Aptos" w:cs="Aptos" w:eastAsia="Aptos" w:hAnsi="Aptos"/>
                                    <w:b w:val="0"/>
                                    <w:i w:val="1"/>
                                    <w:smallCaps w:val="0"/>
                                    <w:strike w:val="0"/>
                                    <w:color w:val="000000"/>
                                    <w:sz w:val="18"/>
                                    <w:vertAlign w:val="baseline"/>
                                  </w:rPr>
                                  <w:t xml:space="preserve">n= </w:t>
                                </w:r>
                                <w:r w:rsidDel="00000000" w:rsidR="00000000" w:rsidRPr="00000000">
                                  <w:rPr>
                                    <w:rFonts w:ascii="Aptos" w:cs="Aptos" w:eastAsia="Aptos" w:hAnsi="Aptos"/>
                                    <w:b w:val="0"/>
                                    <w:i w:val="0"/>
                                    <w:smallCaps w:val="0"/>
                                    <w:strike w:val="0"/>
                                    <w:color w:val="000000"/>
                                    <w:sz w:val="18"/>
                                    <w:vertAlign w:val="baseline"/>
                                  </w:rPr>
                                  <w:t xml:space="preserve">6), cancer related pain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5), overdose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5), illicit use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4), not medication of interest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 case study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 end of life care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 not in English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3), not dependence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 over the counter medication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 naloxone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 harm reduction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 prevalence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2), non-medical use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inaccessible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blood borne viruses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report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animal studies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legal concerns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duplicate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 suicide (</w:t>
                                </w:r>
                                <w:r w:rsidDel="00000000" w:rsidR="00000000" w:rsidRPr="00000000">
                                  <w:rPr>
                                    <w:rFonts w:ascii="Aptos" w:cs="Aptos" w:eastAsia="Aptos" w:hAnsi="Aptos"/>
                                    <w:b w:val="0"/>
                                    <w:i w:val="1"/>
                                    <w:smallCaps w:val="0"/>
                                    <w:strike w:val="0"/>
                                    <w:color w:val="000000"/>
                                    <w:sz w:val="18"/>
                                    <w:vertAlign w:val="baseline"/>
                                  </w:rPr>
                                  <w:t xml:space="preserve">n=</w:t>
                                </w:r>
                                <w:r w:rsidDel="00000000" w:rsidR="00000000" w:rsidRPr="00000000">
                                  <w:rPr>
                                    <w:rFonts w:ascii="Aptos" w:cs="Aptos" w:eastAsia="Aptos" w:hAnsi="Aptos"/>
                                    <w:b w:val="0"/>
                                    <w:i w:val="0"/>
                                    <w:smallCaps w:val="0"/>
                                    <w:strike w:val="0"/>
                                    <w:color w:val="000000"/>
                                    <w:sz w:val="18"/>
                                    <w:vertAlign w:val="baseline"/>
                                  </w:rPr>
                                  <w:t xml:space="preserve"> 1</w:t>
                                </w:r>
                              </w:p>
                            </w:txbxContent>
                          </wps:txbx>
                          <wps:bodyPr anchorCtr="0" anchor="ctr" bIns="45700" lIns="91425" spcFirstLastPara="1" rIns="91425" wrap="square" tIns="45700">
                            <a:noAutofit/>
                          </wps:bodyPr>
                        </wps:wsp>
                        <wps:wsp>
                          <wps:cNvSpPr/>
                          <wps:cNvPr id="16" name="Shape 16"/>
                          <wps:spPr>
                            <a:xfrm rot="-5400000">
                              <a:off x="-629785" y="2111745"/>
                              <a:ext cx="1602471" cy="342900"/>
                            </a:xfrm>
                            <a:prstGeom prst="rect">
                              <a:avLst/>
                            </a:prstGeom>
                            <a:solidFill>
                              <a:srgbClr val="A3C5ED"/>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SCREENING</w:t>
                                </w:r>
                              </w:p>
                            </w:txbxContent>
                          </wps:txbx>
                          <wps:bodyPr anchorCtr="0" anchor="ctr" bIns="45700" lIns="91425" spcFirstLastPara="1" rIns="91425" wrap="square" tIns="45700">
                            <a:noAutofit/>
                          </wps:bodyPr>
                        </wps:wsp>
                        <wps:wsp>
                          <wps:cNvSpPr/>
                          <wps:cNvPr id="17" name="Shape 17"/>
                          <wps:spPr>
                            <a:xfrm rot="-5400000">
                              <a:off x="-248672" y="3517389"/>
                              <a:ext cx="840244" cy="342900"/>
                            </a:xfrm>
                            <a:prstGeom prst="rect">
                              <a:avLst/>
                            </a:prstGeom>
                            <a:solidFill>
                              <a:srgbClr val="A3C5ED"/>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ELIGIBILITY</w:t>
                                </w:r>
                              </w:p>
                            </w:txbxContent>
                          </wps:txbx>
                          <wps:bodyPr anchorCtr="0" anchor="ctr" bIns="45700" lIns="91425" spcFirstLastPara="1" rIns="91425" wrap="square" tIns="45700">
                            <a:noAutofit/>
                          </wps:bodyPr>
                        </wps:wsp>
                        <wps:wsp>
                          <wps:cNvSpPr/>
                          <wps:cNvPr id="18" name="Shape 18"/>
                          <wps:spPr>
                            <a:xfrm rot="-5400000">
                              <a:off x="-1200467" y="5534234"/>
                              <a:ext cx="2743835" cy="342900"/>
                            </a:xfrm>
                            <a:prstGeom prst="rect">
                              <a:avLst/>
                            </a:prstGeom>
                            <a:solidFill>
                              <a:srgbClr val="A3C5ED"/>
                            </a:solidFill>
                            <a:ln cap="flat" cmpd="sng" w="12700">
                              <a:solidFill>
                                <a:schemeClr val="dk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18"/>
                                    <w:vertAlign w:val="baseline"/>
                                  </w:rPr>
                                  <w:t xml:space="preserve">INCLUDED</w:t>
                                </w:r>
                              </w:p>
                            </w:txbxContent>
                          </wps:txbx>
                          <wps:bodyPr anchorCtr="0" anchor="ctr" bIns="45700" lIns="91425" spcFirstLastPara="1" rIns="91425" wrap="square" tIns="45700">
                            <a:noAutofit/>
                          </wps:bodyPr>
                        </wps:wsp>
                        <wps:wsp>
                          <wps:cNvCnPr/>
                          <wps:spPr>
                            <a:xfrm>
                              <a:off x="1713624" y="1250731"/>
                              <a:ext cx="0" cy="22860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4113486" y="1250731"/>
                              <a:ext cx="0" cy="22860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13624" y="2168634"/>
                              <a:ext cx="0" cy="22860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17128" y="3079531"/>
                              <a:ext cx="0" cy="22860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13624" y="4225159"/>
                              <a:ext cx="0" cy="22860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2746703" y="2743638"/>
                              <a:ext cx="340743" cy="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2746703" y="3773652"/>
                              <a:ext cx="340743" cy="0"/>
                            </a:xfrm>
                            <a:prstGeom prst="straightConnector1">
                              <a:avLst/>
                            </a:prstGeom>
                            <a:noFill/>
                            <a:ln cap="flat" cmpd="sng" w="12700">
                              <a:solidFill>
                                <a:schemeClr val="dk2"/>
                              </a:solidFill>
                              <a:prstDash val="solid"/>
                              <a:miter lim="800000"/>
                              <a:headEnd len="sm" w="sm"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align>top</wp:align>
                </wp:positionV>
                <wp:extent cx="5254625" cy="8229600"/>
                <wp:effectExtent b="0" l="0" r="0" t="0"/>
                <wp:wrapSquare wrapText="bothSides" distB="0" distT="0" distL="114300" distR="114300"/>
                <wp:docPr id="2142794184"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5254625" cy="8229600"/>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8445500</wp:posOffset>
                </wp:positionV>
                <wp:extent cx="5264150" cy="338455"/>
                <wp:effectExtent b="0" l="0" r="0" t="0"/>
                <wp:wrapSquare wrapText="bothSides" distB="0" distT="0" distL="114300" distR="114300"/>
                <wp:docPr id="2142794183" name=""/>
                <a:graphic>
                  <a:graphicData uri="http://schemas.microsoft.com/office/word/2010/wordprocessingShape">
                    <wps:wsp>
                      <wps:cNvSpPr/>
                      <wps:cNvPr id="4" name="Shape 4"/>
                      <wps:spPr>
                        <a:xfrm>
                          <a:off x="2718688" y="3615535"/>
                          <a:ext cx="5254625" cy="32893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w:cs="Arial" w:eastAsia="Arial" w:hAnsi="Arial"/>
                                <w:b w:val="0"/>
                                <w:i w:val="1"/>
                                <w:smallCaps w:val="0"/>
                                <w:strike w:val="0"/>
                                <w:color w:val="0e2841"/>
                                <w:sz w:val="18"/>
                                <w:vertAlign w:val="baseline"/>
                              </w:rPr>
                              <w:t xml:space="preserve">Figure : A PRISMA Flowchart depicting the literature review process.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8445500</wp:posOffset>
                </wp:positionV>
                <wp:extent cx="5264150" cy="338455"/>
                <wp:effectExtent b="0" l="0" r="0" t="0"/>
                <wp:wrapSquare wrapText="bothSides" distB="0" distT="0" distL="114300" distR="114300"/>
                <wp:docPr id="2142794183"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5264150" cy="338455"/>
                        </a:xfrm>
                        <a:prstGeom prst="rect"/>
                        <a:ln/>
                      </pic:spPr>
                    </pic:pic>
                  </a:graphicData>
                </a:graphic>
              </wp:anchor>
            </w:drawing>
          </mc:Fallback>
        </mc:AlternateContent>
      </w:r>
    </w:p>
    <w:tbl>
      <w:tblPr>
        <w:tblStyle w:val="Table4"/>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491"/>
        <w:gridCol w:w="2584"/>
        <w:gridCol w:w="850"/>
        <w:gridCol w:w="5101"/>
        <w:tblGridChange w:id="0">
          <w:tblGrid>
            <w:gridCol w:w="491"/>
            <w:gridCol w:w="2584"/>
            <w:gridCol w:w="850"/>
            <w:gridCol w:w="5101"/>
          </w:tblGrid>
        </w:tblGridChange>
      </w:tblGrid>
      <w:tr>
        <w:trPr>
          <w:cantSplit w:val="0"/>
          <w:trHeight w:val="135" w:hRule="atLeast"/>
          <w:tblHeader w:val="0"/>
        </w:trPr>
        <w:tc>
          <w:tcPr/>
          <w:p w:rsidR="00000000" w:rsidDel="00000000" w:rsidP="00000000" w:rsidRDefault="00000000" w:rsidRPr="00000000" w14:paraId="000002F7">
            <w:pPr>
              <w:rPr>
                <w:b w:val="0"/>
                <w:color w:val="000000"/>
                <w:sz w:val="22"/>
                <w:szCs w:val="22"/>
              </w:rPr>
            </w:pPr>
            <w:r w:rsidDel="00000000" w:rsidR="00000000" w:rsidRPr="00000000">
              <w:rPr>
                <w:rtl w:val="0"/>
              </w:rPr>
            </w:r>
          </w:p>
        </w:tc>
        <w:tc>
          <w:tcPr/>
          <w:p w:rsidR="00000000" w:rsidDel="00000000" w:rsidP="00000000" w:rsidRDefault="00000000" w:rsidRPr="00000000" w14:paraId="000002F8">
            <w:pPr>
              <w:rPr>
                <w:color w:val="000000"/>
                <w:sz w:val="22"/>
                <w:szCs w:val="22"/>
              </w:rPr>
            </w:pPr>
            <w:r w:rsidDel="00000000" w:rsidR="00000000" w:rsidRPr="00000000">
              <w:rPr>
                <w:rtl w:val="0"/>
              </w:rPr>
            </w:r>
          </w:p>
        </w:tc>
        <w:tc>
          <w:tcPr/>
          <w:p w:rsidR="00000000" w:rsidDel="00000000" w:rsidP="00000000" w:rsidRDefault="00000000" w:rsidRPr="00000000" w14:paraId="000002F9">
            <w:pPr>
              <w:jc w:val="center"/>
              <w:rPr>
                <w:color w:val="000000"/>
                <w:sz w:val="22"/>
                <w:szCs w:val="22"/>
              </w:rPr>
            </w:pPr>
            <w:r w:rsidDel="00000000" w:rsidR="00000000" w:rsidRPr="00000000">
              <w:rPr>
                <w:color w:val="000000"/>
                <w:sz w:val="22"/>
                <w:szCs w:val="22"/>
                <w:rtl w:val="0"/>
              </w:rPr>
              <w:t xml:space="preserve">TOTAL</w:t>
            </w:r>
          </w:p>
        </w:tc>
        <w:tc>
          <w:tcPr/>
          <w:p w:rsidR="00000000" w:rsidDel="00000000" w:rsidP="00000000" w:rsidRDefault="00000000" w:rsidRPr="00000000" w14:paraId="000002FA">
            <w:pPr>
              <w:jc w:val="center"/>
              <w:rPr>
                <w:color w:val="000000"/>
                <w:sz w:val="22"/>
                <w:szCs w:val="22"/>
              </w:rPr>
            </w:pPr>
            <w:r w:rsidDel="00000000" w:rsidR="00000000" w:rsidRPr="00000000">
              <w:rPr>
                <w:color w:val="000000"/>
                <w:sz w:val="22"/>
                <w:szCs w:val="22"/>
                <w:rtl w:val="0"/>
              </w:rPr>
              <w:t xml:space="preserve">STUDY NUMBER</w:t>
            </w:r>
          </w:p>
        </w:tc>
      </w:tr>
      <w:tr>
        <w:trPr>
          <w:cantSplit w:val="0"/>
          <w:trHeight w:val="79" w:hRule="atLeast"/>
          <w:tblHeader w:val="0"/>
        </w:trPr>
        <w:tc>
          <w:tcPr>
            <w:vMerge w:val="restart"/>
          </w:tcPr>
          <w:p w:rsidR="00000000" w:rsidDel="00000000" w:rsidP="00000000" w:rsidRDefault="00000000" w:rsidRPr="00000000" w14:paraId="000002FB">
            <w:pPr>
              <w:ind w:left="113" w:right="113" w:firstLine="0"/>
              <w:jc w:val="center"/>
              <w:rPr>
                <w:b w:val="0"/>
                <w:color w:val="000000"/>
                <w:sz w:val="22"/>
                <w:szCs w:val="22"/>
              </w:rPr>
            </w:pPr>
            <w:r w:rsidDel="00000000" w:rsidR="00000000" w:rsidRPr="00000000">
              <w:rPr>
                <w:color w:val="000000"/>
                <w:sz w:val="22"/>
                <w:szCs w:val="22"/>
                <w:rtl w:val="0"/>
              </w:rPr>
              <w:t xml:space="preserve">COUNTRY OF ORIGIN</w:t>
            </w:r>
            <w:r w:rsidDel="00000000" w:rsidR="00000000" w:rsidRPr="00000000">
              <w:rPr>
                <w:rtl w:val="0"/>
              </w:rPr>
            </w:r>
          </w:p>
        </w:tc>
        <w:tc>
          <w:tcPr>
            <w:vAlign w:val="center"/>
          </w:tcPr>
          <w:p w:rsidR="00000000" w:rsidDel="00000000" w:rsidP="00000000" w:rsidRDefault="00000000" w:rsidRPr="00000000" w14:paraId="000002FC">
            <w:pPr>
              <w:rPr>
                <w:b w:val="1"/>
                <w:color w:val="000000"/>
                <w:sz w:val="22"/>
                <w:szCs w:val="22"/>
              </w:rPr>
            </w:pPr>
            <w:r w:rsidDel="00000000" w:rsidR="00000000" w:rsidRPr="00000000">
              <w:rPr>
                <w:b w:val="1"/>
                <w:color w:val="000000"/>
                <w:sz w:val="22"/>
                <w:szCs w:val="22"/>
                <w:rtl w:val="0"/>
              </w:rPr>
              <w:t xml:space="preserve">United Kingdom</w:t>
            </w:r>
          </w:p>
        </w:tc>
        <w:tc>
          <w:tcPr>
            <w:vAlign w:val="center"/>
          </w:tcPr>
          <w:p w:rsidR="00000000" w:rsidDel="00000000" w:rsidP="00000000" w:rsidRDefault="00000000" w:rsidRPr="00000000" w14:paraId="000002FD">
            <w:pPr>
              <w:jc w:val="center"/>
              <w:rPr>
                <w:color w:val="000000"/>
                <w:sz w:val="22"/>
                <w:szCs w:val="22"/>
              </w:rPr>
            </w:pPr>
            <w:r w:rsidDel="00000000" w:rsidR="00000000" w:rsidRPr="00000000">
              <w:rPr>
                <w:color w:val="000000"/>
                <w:sz w:val="22"/>
                <w:szCs w:val="22"/>
                <w:rtl w:val="0"/>
              </w:rPr>
              <w:t xml:space="preserve">15</w:t>
            </w:r>
          </w:p>
        </w:tc>
        <w:tc>
          <w:tcPr/>
          <w:p w:rsidR="00000000" w:rsidDel="00000000" w:rsidP="00000000" w:rsidRDefault="00000000" w:rsidRPr="00000000" w14:paraId="000002FE">
            <w:pPr>
              <w:jc w:val="right"/>
              <w:rPr>
                <w:color w:val="000000"/>
                <w:sz w:val="22"/>
                <w:szCs w:val="22"/>
              </w:rPr>
            </w:pPr>
            <w:r w:rsidDel="00000000" w:rsidR="00000000" w:rsidRPr="00000000">
              <w:rPr>
                <w:color w:val="000000"/>
                <w:sz w:val="22"/>
                <w:szCs w:val="22"/>
                <w:rtl w:val="0"/>
              </w:rPr>
              <w:t xml:space="preserve">2, 7, 8, 10, 12, 26, 31, 36, 38, 40, 43, 57, 62, 63, 69</w:t>
            </w:r>
          </w:p>
        </w:tc>
      </w:tr>
      <w:tr>
        <w:trPr>
          <w:cantSplit w:val="0"/>
          <w:trHeight w:val="79" w:hRule="atLeast"/>
          <w:tblHeader w:val="0"/>
        </w:trPr>
        <w:tc>
          <w:tcPr>
            <w:vMerge w:val="continue"/>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00">
            <w:pPr>
              <w:rPr>
                <w:b w:val="1"/>
                <w:color w:val="000000"/>
                <w:sz w:val="22"/>
                <w:szCs w:val="22"/>
              </w:rPr>
            </w:pPr>
            <w:r w:rsidDel="00000000" w:rsidR="00000000" w:rsidRPr="00000000">
              <w:rPr>
                <w:b w:val="1"/>
                <w:color w:val="000000"/>
                <w:sz w:val="22"/>
                <w:szCs w:val="22"/>
                <w:rtl w:val="0"/>
              </w:rPr>
              <w:t xml:space="preserve">United States</w:t>
            </w:r>
          </w:p>
        </w:tc>
        <w:tc>
          <w:tcPr>
            <w:vAlign w:val="center"/>
          </w:tcPr>
          <w:p w:rsidR="00000000" w:rsidDel="00000000" w:rsidP="00000000" w:rsidRDefault="00000000" w:rsidRPr="00000000" w14:paraId="00000301">
            <w:pPr>
              <w:jc w:val="center"/>
              <w:rPr>
                <w:color w:val="000000"/>
                <w:sz w:val="22"/>
                <w:szCs w:val="22"/>
              </w:rPr>
            </w:pPr>
            <w:r w:rsidDel="00000000" w:rsidR="00000000" w:rsidRPr="00000000">
              <w:rPr>
                <w:color w:val="000000"/>
                <w:sz w:val="22"/>
                <w:szCs w:val="22"/>
                <w:rtl w:val="0"/>
              </w:rPr>
              <w:t xml:space="preserve">13</w:t>
            </w:r>
          </w:p>
        </w:tc>
        <w:tc>
          <w:tcPr/>
          <w:p w:rsidR="00000000" w:rsidDel="00000000" w:rsidP="00000000" w:rsidRDefault="00000000" w:rsidRPr="00000000" w14:paraId="00000302">
            <w:pPr>
              <w:jc w:val="right"/>
              <w:rPr>
                <w:color w:val="000000"/>
                <w:sz w:val="22"/>
                <w:szCs w:val="22"/>
              </w:rPr>
            </w:pPr>
            <w:r w:rsidDel="00000000" w:rsidR="00000000" w:rsidRPr="00000000">
              <w:rPr>
                <w:color w:val="000000"/>
                <w:sz w:val="22"/>
                <w:szCs w:val="22"/>
                <w:rtl w:val="0"/>
              </w:rPr>
              <w:t xml:space="preserve">3, 14, 23, 27, 34, 44, 45, 47, 53, 54, 64, 66, 68</w:t>
            </w:r>
          </w:p>
        </w:tc>
      </w:tr>
      <w:tr>
        <w:trPr>
          <w:cantSplit w:val="0"/>
          <w:trHeight w:val="79" w:hRule="atLeast"/>
          <w:tblHeader w:val="0"/>
        </w:trPr>
        <w:tc>
          <w:tcPr>
            <w:vMerge w:val="continue"/>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04">
            <w:pPr>
              <w:rPr>
                <w:b w:val="1"/>
                <w:color w:val="000000"/>
                <w:sz w:val="22"/>
                <w:szCs w:val="22"/>
              </w:rPr>
            </w:pPr>
            <w:r w:rsidDel="00000000" w:rsidR="00000000" w:rsidRPr="00000000">
              <w:rPr>
                <w:b w:val="1"/>
                <w:color w:val="000000"/>
                <w:sz w:val="22"/>
                <w:szCs w:val="22"/>
                <w:rtl w:val="0"/>
              </w:rPr>
              <w:t xml:space="preserve">International</w:t>
            </w:r>
          </w:p>
        </w:tc>
        <w:tc>
          <w:tcPr>
            <w:vAlign w:val="center"/>
          </w:tcPr>
          <w:p w:rsidR="00000000" w:rsidDel="00000000" w:rsidP="00000000" w:rsidRDefault="00000000" w:rsidRPr="00000000" w14:paraId="00000305">
            <w:pPr>
              <w:jc w:val="center"/>
              <w:rPr>
                <w:color w:val="000000"/>
                <w:sz w:val="22"/>
                <w:szCs w:val="22"/>
              </w:rPr>
            </w:pPr>
            <w:r w:rsidDel="00000000" w:rsidR="00000000" w:rsidRPr="00000000">
              <w:rPr>
                <w:color w:val="000000"/>
                <w:sz w:val="22"/>
                <w:szCs w:val="22"/>
                <w:rtl w:val="0"/>
              </w:rPr>
              <w:t xml:space="preserve">8</w:t>
            </w:r>
          </w:p>
        </w:tc>
        <w:tc>
          <w:tcPr/>
          <w:p w:rsidR="00000000" w:rsidDel="00000000" w:rsidP="00000000" w:rsidRDefault="00000000" w:rsidRPr="00000000" w14:paraId="00000306">
            <w:pPr>
              <w:jc w:val="right"/>
              <w:rPr>
                <w:color w:val="000000"/>
                <w:sz w:val="22"/>
                <w:szCs w:val="22"/>
              </w:rPr>
            </w:pPr>
            <w:r w:rsidDel="00000000" w:rsidR="00000000" w:rsidRPr="00000000">
              <w:rPr>
                <w:color w:val="000000"/>
                <w:sz w:val="22"/>
                <w:szCs w:val="22"/>
                <w:rtl w:val="0"/>
              </w:rPr>
              <w:t xml:space="preserve">13, 15, 18, 21, 41, 49, 55, 58</w:t>
            </w:r>
          </w:p>
        </w:tc>
      </w:tr>
      <w:tr>
        <w:trPr>
          <w:cantSplit w:val="0"/>
          <w:trHeight w:val="79" w:hRule="atLeast"/>
          <w:tblHeader w:val="0"/>
        </w:trPr>
        <w:tc>
          <w:tcPr>
            <w:vMerge w:val="continue"/>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08">
            <w:pPr>
              <w:rPr>
                <w:b w:val="1"/>
                <w:color w:val="000000"/>
                <w:sz w:val="22"/>
                <w:szCs w:val="22"/>
              </w:rPr>
            </w:pPr>
            <w:r w:rsidDel="00000000" w:rsidR="00000000" w:rsidRPr="00000000">
              <w:rPr>
                <w:b w:val="1"/>
                <w:color w:val="000000"/>
                <w:sz w:val="22"/>
                <w:szCs w:val="22"/>
                <w:rtl w:val="0"/>
              </w:rPr>
              <w:t xml:space="preserve">Australia</w:t>
            </w:r>
          </w:p>
        </w:tc>
        <w:tc>
          <w:tcPr>
            <w:vAlign w:val="center"/>
          </w:tcPr>
          <w:p w:rsidR="00000000" w:rsidDel="00000000" w:rsidP="00000000" w:rsidRDefault="00000000" w:rsidRPr="00000000" w14:paraId="00000309">
            <w:pPr>
              <w:jc w:val="center"/>
              <w:rPr>
                <w:color w:val="000000"/>
                <w:sz w:val="22"/>
                <w:szCs w:val="22"/>
              </w:rPr>
            </w:pPr>
            <w:r w:rsidDel="00000000" w:rsidR="00000000" w:rsidRPr="00000000">
              <w:rPr>
                <w:color w:val="000000"/>
                <w:sz w:val="22"/>
                <w:szCs w:val="22"/>
                <w:rtl w:val="0"/>
              </w:rPr>
              <w:t xml:space="preserve">8</w:t>
            </w:r>
          </w:p>
        </w:tc>
        <w:tc>
          <w:tcPr/>
          <w:p w:rsidR="00000000" w:rsidDel="00000000" w:rsidP="00000000" w:rsidRDefault="00000000" w:rsidRPr="00000000" w14:paraId="0000030A">
            <w:pPr>
              <w:jc w:val="right"/>
              <w:rPr>
                <w:color w:val="000000"/>
                <w:sz w:val="22"/>
                <w:szCs w:val="22"/>
              </w:rPr>
            </w:pPr>
            <w:r w:rsidDel="00000000" w:rsidR="00000000" w:rsidRPr="00000000">
              <w:rPr>
                <w:color w:val="000000"/>
                <w:sz w:val="22"/>
                <w:szCs w:val="22"/>
                <w:rtl w:val="0"/>
              </w:rPr>
              <w:t xml:space="preserve">1, 11, 46, 48, 52, 56, 60, 65</w:t>
            </w:r>
          </w:p>
        </w:tc>
      </w:tr>
      <w:tr>
        <w:trPr>
          <w:cantSplit w:val="0"/>
          <w:trHeight w:val="79" w:hRule="atLeast"/>
          <w:tblHeader w:val="0"/>
        </w:trPr>
        <w:tc>
          <w:tcPr>
            <w:vMerge w:val="continue"/>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0C">
            <w:pPr>
              <w:rPr>
                <w:b w:val="1"/>
                <w:color w:val="000000"/>
                <w:sz w:val="22"/>
                <w:szCs w:val="22"/>
              </w:rPr>
            </w:pPr>
            <w:r w:rsidDel="00000000" w:rsidR="00000000" w:rsidRPr="00000000">
              <w:rPr>
                <w:b w:val="1"/>
                <w:color w:val="000000"/>
                <w:sz w:val="22"/>
                <w:szCs w:val="22"/>
                <w:rtl w:val="0"/>
              </w:rPr>
              <w:t xml:space="preserve">New Zealand</w:t>
            </w:r>
          </w:p>
        </w:tc>
        <w:tc>
          <w:tcPr>
            <w:vAlign w:val="center"/>
          </w:tcPr>
          <w:p w:rsidR="00000000" w:rsidDel="00000000" w:rsidP="00000000" w:rsidRDefault="00000000" w:rsidRPr="00000000" w14:paraId="0000030D">
            <w:pPr>
              <w:jc w:val="center"/>
              <w:rPr>
                <w:color w:val="000000"/>
                <w:sz w:val="22"/>
                <w:szCs w:val="22"/>
              </w:rPr>
            </w:pPr>
            <w:r w:rsidDel="00000000" w:rsidR="00000000" w:rsidRPr="00000000">
              <w:rPr>
                <w:color w:val="000000"/>
                <w:sz w:val="22"/>
                <w:szCs w:val="22"/>
                <w:rtl w:val="0"/>
              </w:rPr>
              <w:t xml:space="preserve">5</w:t>
            </w:r>
          </w:p>
        </w:tc>
        <w:tc>
          <w:tcPr/>
          <w:p w:rsidR="00000000" w:rsidDel="00000000" w:rsidP="00000000" w:rsidRDefault="00000000" w:rsidRPr="00000000" w14:paraId="0000030E">
            <w:pPr>
              <w:jc w:val="right"/>
              <w:rPr>
                <w:color w:val="000000"/>
                <w:sz w:val="22"/>
                <w:szCs w:val="22"/>
              </w:rPr>
            </w:pPr>
            <w:r w:rsidDel="00000000" w:rsidR="00000000" w:rsidRPr="00000000">
              <w:rPr>
                <w:color w:val="000000"/>
                <w:sz w:val="22"/>
                <w:szCs w:val="22"/>
                <w:rtl w:val="0"/>
              </w:rPr>
              <w:t xml:space="preserve">6, 9, 19, 28, 30</w:t>
            </w:r>
          </w:p>
        </w:tc>
      </w:tr>
      <w:tr>
        <w:trPr>
          <w:cantSplit w:val="0"/>
          <w:trHeight w:val="79" w:hRule="atLeast"/>
          <w:tblHeader w:val="0"/>
        </w:trPr>
        <w:tc>
          <w:tcPr>
            <w:vMerge w:val="continue"/>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10">
            <w:pPr>
              <w:rPr>
                <w:b w:val="1"/>
                <w:color w:val="000000"/>
                <w:sz w:val="22"/>
                <w:szCs w:val="22"/>
              </w:rPr>
            </w:pPr>
            <w:r w:rsidDel="00000000" w:rsidR="00000000" w:rsidRPr="00000000">
              <w:rPr>
                <w:b w:val="1"/>
                <w:color w:val="000000"/>
                <w:sz w:val="22"/>
                <w:szCs w:val="22"/>
                <w:rtl w:val="0"/>
              </w:rPr>
              <w:t xml:space="preserve">Netherlands</w:t>
            </w:r>
          </w:p>
        </w:tc>
        <w:tc>
          <w:tcPr>
            <w:vAlign w:val="center"/>
          </w:tcPr>
          <w:p w:rsidR="00000000" w:rsidDel="00000000" w:rsidP="00000000" w:rsidRDefault="00000000" w:rsidRPr="00000000" w14:paraId="00000311">
            <w:pPr>
              <w:jc w:val="center"/>
              <w:rPr>
                <w:color w:val="000000"/>
                <w:sz w:val="22"/>
                <w:szCs w:val="22"/>
              </w:rPr>
            </w:pPr>
            <w:r w:rsidDel="00000000" w:rsidR="00000000" w:rsidRPr="00000000">
              <w:rPr>
                <w:color w:val="000000"/>
                <w:sz w:val="22"/>
                <w:szCs w:val="22"/>
                <w:rtl w:val="0"/>
              </w:rPr>
              <w:t xml:space="preserve">4</w:t>
            </w:r>
          </w:p>
        </w:tc>
        <w:tc>
          <w:tcPr/>
          <w:p w:rsidR="00000000" w:rsidDel="00000000" w:rsidP="00000000" w:rsidRDefault="00000000" w:rsidRPr="00000000" w14:paraId="00000312">
            <w:pPr>
              <w:jc w:val="right"/>
              <w:rPr>
                <w:color w:val="000000"/>
                <w:sz w:val="22"/>
                <w:szCs w:val="22"/>
              </w:rPr>
            </w:pPr>
            <w:r w:rsidDel="00000000" w:rsidR="00000000" w:rsidRPr="00000000">
              <w:rPr>
                <w:color w:val="000000"/>
                <w:sz w:val="22"/>
                <w:szCs w:val="22"/>
                <w:rtl w:val="0"/>
              </w:rPr>
              <w:t xml:space="preserve">4, 32, 37, 61 </w:t>
            </w:r>
          </w:p>
        </w:tc>
      </w:tr>
      <w:tr>
        <w:trPr>
          <w:cantSplit w:val="0"/>
          <w:trHeight w:val="79" w:hRule="atLeast"/>
          <w:tblHeader w:val="0"/>
        </w:trPr>
        <w:tc>
          <w:tcPr>
            <w:vMerge w:val="continue"/>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14">
            <w:pPr>
              <w:rPr>
                <w:b w:val="1"/>
                <w:color w:val="000000"/>
                <w:sz w:val="22"/>
                <w:szCs w:val="22"/>
              </w:rPr>
            </w:pPr>
            <w:r w:rsidDel="00000000" w:rsidR="00000000" w:rsidRPr="00000000">
              <w:rPr>
                <w:b w:val="1"/>
                <w:color w:val="000000"/>
                <w:sz w:val="22"/>
                <w:szCs w:val="22"/>
                <w:rtl w:val="0"/>
              </w:rPr>
              <w:t xml:space="preserve">Spain</w:t>
            </w:r>
          </w:p>
        </w:tc>
        <w:tc>
          <w:tcPr>
            <w:vAlign w:val="center"/>
          </w:tcPr>
          <w:p w:rsidR="00000000" w:rsidDel="00000000" w:rsidP="00000000" w:rsidRDefault="00000000" w:rsidRPr="00000000" w14:paraId="00000315">
            <w:pPr>
              <w:jc w:val="center"/>
              <w:rPr>
                <w:color w:val="000000"/>
                <w:sz w:val="22"/>
                <w:szCs w:val="22"/>
              </w:rPr>
            </w:pPr>
            <w:r w:rsidDel="00000000" w:rsidR="00000000" w:rsidRPr="00000000">
              <w:rPr>
                <w:color w:val="000000"/>
                <w:sz w:val="22"/>
                <w:szCs w:val="22"/>
                <w:rtl w:val="0"/>
              </w:rPr>
              <w:t xml:space="preserve">3</w:t>
            </w:r>
          </w:p>
        </w:tc>
        <w:tc>
          <w:tcPr/>
          <w:p w:rsidR="00000000" w:rsidDel="00000000" w:rsidP="00000000" w:rsidRDefault="00000000" w:rsidRPr="00000000" w14:paraId="00000316">
            <w:pPr>
              <w:jc w:val="right"/>
              <w:rPr>
                <w:color w:val="000000"/>
                <w:sz w:val="22"/>
                <w:szCs w:val="22"/>
              </w:rPr>
            </w:pPr>
            <w:r w:rsidDel="00000000" w:rsidR="00000000" w:rsidRPr="00000000">
              <w:rPr>
                <w:color w:val="000000"/>
                <w:sz w:val="22"/>
                <w:szCs w:val="22"/>
                <w:rtl w:val="0"/>
              </w:rPr>
              <w:t xml:space="preserve">24, 35, 50</w:t>
            </w:r>
          </w:p>
        </w:tc>
      </w:tr>
      <w:tr>
        <w:trPr>
          <w:cantSplit w:val="0"/>
          <w:trHeight w:val="79" w:hRule="atLeast"/>
          <w:tblHeader w:val="0"/>
        </w:trPr>
        <w:tc>
          <w:tcPr>
            <w:vMerge w:val="continue"/>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18">
            <w:pPr>
              <w:rPr>
                <w:b w:val="1"/>
                <w:color w:val="000000"/>
                <w:sz w:val="22"/>
                <w:szCs w:val="22"/>
              </w:rPr>
            </w:pPr>
            <w:r w:rsidDel="00000000" w:rsidR="00000000" w:rsidRPr="00000000">
              <w:rPr>
                <w:b w:val="1"/>
                <w:color w:val="000000"/>
                <w:sz w:val="22"/>
                <w:szCs w:val="22"/>
                <w:rtl w:val="0"/>
              </w:rPr>
              <w:t xml:space="preserve">Canada</w:t>
            </w:r>
          </w:p>
        </w:tc>
        <w:tc>
          <w:tcPr>
            <w:vAlign w:val="center"/>
          </w:tcPr>
          <w:p w:rsidR="00000000" w:rsidDel="00000000" w:rsidP="00000000" w:rsidRDefault="00000000" w:rsidRPr="00000000" w14:paraId="00000319">
            <w:pPr>
              <w:jc w:val="center"/>
              <w:rPr>
                <w:color w:val="000000"/>
                <w:sz w:val="22"/>
                <w:szCs w:val="22"/>
              </w:rPr>
            </w:pPr>
            <w:r w:rsidDel="00000000" w:rsidR="00000000" w:rsidRPr="00000000">
              <w:rPr>
                <w:color w:val="000000"/>
                <w:sz w:val="22"/>
                <w:szCs w:val="22"/>
                <w:rtl w:val="0"/>
              </w:rPr>
              <w:t xml:space="preserve">2</w:t>
            </w:r>
          </w:p>
        </w:tc>
        <w:tc>
          <w:tcPr/>
          <w:p w:rsidR="00000000" w:rsidDel="00000000" w:rsidP="00000000" w:rsidRDefault="00000000" w:rsidRPr="00000000" w14:paraId="0000031A">
            <w:pPr>
              <w:jc w:val="right"/>
              <w:rPr>
                <w:color w:val="000000"/>
                <w:sz w:val="22"/>
                <w:szCs w:val="22"/>
              </w:rPr>
            </w:pPr>
            <w:r w:rsidDel="00000000" w:rsidR="00000000" w:rsidRPr="00000000">
              <w:rPr>
                <w:color w:val="000000"/>
                <w:sz w:val="22"/>
                <w:szCs w:val="22"/>
                <w:rtl w:val="0"/>
              </w:rPr>
              <w:t xml:space="preserve">20, 59</w:t>
            </w:r>
          </w:p>
        </w:tc>
      </w:tr>
      <w:tr>
        <w:trPr>
          <w:cantSplit w:val="0"/>
          <w:trHeight w:val="79" w:hRule="atLeast"/>
          <w:tblHeader w:val="0"/>
        </w:trPr>
        <w:tc>
          <w:tcPr>
            <w:vMerge w:val="continue"/>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1C">
            <w:pPr>
              <w:rPr>
                <w:b w:val="1"/>
                <w:color w:val="000000"/>
                <w:sz w:val="22"/>
                <w:szCs w:val="22"/>
              </w:rPr>
            </w:pPr>
            <w:r w:rsidDel="00000000" w:rsidR="00000000" w:rsidRPr="00000000">
              <w:rPr>
                <w:b w:val="1"/>
                <w:color w:val="000000"/>
                <w:sz w:val="22"/>
                <w:szCs w:val="22"/>
                <w:rtl w:val="0"/>
              </w:rPr>
              <w:t xml:space="preserve">South Korea</w:t>
            </w:r>
          </w:p>
        </w:tc>
        <w:tc>
          <w:tcPr>
            <w:vAlign w:val="center"/>
          </w:tcPr>
          <w:p w:rsidR="00000000" w:rsidDel="00000000" w:rsidP="00000000" w:rsidRDefault="00000000" w:rsidRPr="00000000" w14:paraId="0000031D">
            <w:pPr>
              <w:jc w:val="center"/>
              <w:rPr>
                <w:color w:val="000000"/>
                <w:sz w:val="22"/>
                <w:szCs w:val="22"/>
              </w:rPr>
            </w:pPr>
            <w:r w:rsidDel="00000000" w:rsidR="00000000" w:rsidRPr="00000000">
              <w:rPr>
                <w:color w:val="000000"/>
                <w:sz w:val="22"/>
                <w:szCs w:val="22"/>
                <w:rtl w:val="0"/>
              </w:rPr>
              <w:t xml:space="preserve">2</w:t>
            </w:r>
          </w:p>
        </w:tc>
        <w:tc>
          <w:tcPr/>
          <w:p w:rsidR="00000000" w:rsidDel="00000000" w:rsidP="00000000" w:rsidRDefault="00000000" w:rsidRPr="00000000" w14:paraId="0000031E">
            <w:pPr>
              <w:jc w:val="right"/>
              <w:rPr>
                <w:color w:val="000000"/>
                <w:sz w:val="22"/>
                <w:szCs w:val="22"/>
              </w:rPr>
            </w:pPr>
            <w:r w:rsidDel="00000000" w:rsidR="00000000" w:rsidRPr="00000000">
              <w:rPr>
                <w:color w:val="000000"/>
                <w:sz w:val="22"/>
                <w:szCs w:val="22"/>
                <w:rtl w:val="0"/>
              </w:rPr>
              <w:t xml:space="preserve">33, 67</w:t>
            </w:r>
          </w:p>
        </w:tc>
      </w:tr>
      <w:tr>
        <w:trPr>
          <w:cantSplit w:val="0"/>
          <w:trHeight w:val="79" w:hRule="atLeast"/>
          <w:tblHeader w:val="0"/>
        </w:trPr>
        <w:tc>
          <w:tcPr>
            <w:vMerge w:val="continue"/>
          </w:tcPr>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20">
            <w:pPr>
              <w:rPr>
                <w:b w:val="1"/>
                <w:color w:val="000000"/>
                <w:sz w:val="22"/>
                <w:szCs w:val="22"/>
              </w:rPr>
            </w:pPr>
            <w:r w:rsidDel="00000000" w:rsidR="00000000" w:rsidRPr="00000000">
              <w:rPr>
                <w:b w:val="1"/>
                <w:color w:val="000000"/>
                <w:sz w:val="22"/>
                <w:szCs w:val="22"/>
                <w:rtl w:val="0"/>
              </w:rPr>
              <w:t xml:space="preserve">Germany</w:t>
            </w:r>
          </w:p>
        </w:tc>
        <w:tc>
          <w:tcPr>
            <w:vAlign w:val="center"/>
          </w:tcPr>
          <w:p w:rsidR="00000000" w:rsidDel="00000000" w:rsidP="00000000" w:rsidRDefault="00000000" w:rsidRPr="00000000" w14:paraId="00000321">
            <w:pPr>
              <w:jc w:val="center"/>
              <w:rPr>
                <w:color w:val="000000"/>
                <w:sz w:val="22"/>
                <w:szCs w:val="22"/>
              </w:rPr>
            </w:pPr>
            <w:r w:rsidDel="00000000" w:rsidR="00000000" w:rsidRPr="00000000">
              <w:rPr>
                <w:color w:val="000000"/>
                <w:sz w:val="22"/>
                <w:szCs w:val="22"/>
                <w:rtl w:val="0"/>
              </w:rPr>
              <w:t xml:space="preserve">2</w:t>
            </w:r>
          </w:p>
        </w:tc>
        <w:tc>
          <w:tcPr/>
          <w:p w:rsidR="00000000" w:rsidDel="00000000" w:rsidP="00000000" w:rsidRDefault="00000000" w:rsidRPr="00000000" w14:paraId="00000322">
            <w:pPr>
              <w:jc w:val="right"/>
              <w:rPr>
                <w:color w:val="000000"/>
                <w:sz w:val="22"/>
                <w:szCs w:val="22"/>
              </w:rPr>
            </w:pPr>
            <w:r w:rsidDel="00000000" w:rsidR="00000000" w:rsidRPr="00000000">
              <w:rPr>
                <w:color w:val="000000"/>
                <w:sz w:val="22"/>
                <w:szCs w:val="22"/>
                <w:rtl w:val="0"/>
              </w:rPr>
              <w:t xml:space="preserve">17, 25</w:t>
            </w:r>
          </w:p>
        </w:tc>
      </w:tr>
      <w:tr>
        <w:trPr>
          <w:cantSplit w:val="0"/>
          <w:trHeight w:val="79" w:hRule="atLeast"/>
          <w:tblHeader w:val="0"/>
        </w:trPr>
        <w:tc>
          <w:tcPr>
            <w:vMerge w:val="continue"/>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24">
            <w:pPr>
              <w:rPr>
                <w:b w:val="1"/>
                <w:color w:val="000000"/>
                <w:sz w:val="22"/>
                <w:szCs w:val="22"/>
              </w:rPr>
            </w:pPr>
            <w:r w:rsidDel="00000000" w:rsidR="00000000" w:rsidRPr="00000000">
              <w:rPr>
                <w:b w:val="1"/>
                <w:color w:val="000000"/>
                <w:sz w:val="22"/>
                <w:szCs w:val="22"/>
                <w:rtl w:val="0"/>
              </w:rPr>
              <w:t xml:space="preserve">Japan</w:t>
            </w:r>
          </w:p>
        </w:tc>
        <w:tc>
          <w:tcPr>
            <w:vAlign w:val="center"/>
          </w:tcPr>
          <w:p w:rsidR="00000000" w:rsidDel="00000000" w:rsidP="00000000" w:rsidRDefault="00000000" w:rsidRPr="00000000" w14:paraId="00000325">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26">
            <w:pPr>
              <w:jc w:val="right"/>
              <w:rPr>
                <w:color w:val="000000"/>
                <w:sz w:val="22"/>
                <w:szCs w:val="22"/>
              </w:rPr>
            </w:pPr>
            <w:r w:rsidDel="00000000" w:rsidR="00000000" w:rsidRPr="00000000">
              <w:rPr>
                <w:color w:val="000000"/>
                <w:sz w:val="22"/>
                <w:szCs w:val="22"/>
                <w:rtl w:val="0"/>
              </w:rPr>
              <w:t xml:space="preserve">51</w:t>
            </w:r>
          </w:p>
        </w:tc>
      </w:tr>
      <w:tr>
        <w:trPr>
          <w:cantSplit w:val="0"/>
          <w:trHeight w:val="79" w:hRule="atLeast"/>
          <w:tblHeader w:val="0"/>
        </w:trPr>
        <w:tc>
          <w:tcPr>
            <w:vMerge w:val="continue"/>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28">
            <w:pPr>
              <w:rPr>
                <w:b w:val="1"/>
                <w:color w:val="000000"/>
                <w:sz w:val="22"/>
                <w:szCs w:val="22"/>
              </w:rPr>
            </w:pPr>
            <w:r w:rsidDel="00000000" w:rsidR="00000000" w:rsidRPr="00000000">
              <w:rPr>
                <w:b w:val="1"/>
                <w:color w:val="000000"/>
                <w:sz w:val="22"/>
                <w:szCs w:val="22"/>
                <w:rtl w:val="0"/>
              </w:rPr>
              <w:t xml:space="preserve">France</w:t>
            </w:r>
          </w:p>
        </w:tc>
        <w:tc>
          <w:tcPr>
            <w:vAlign w:val="center"/>
          </w:tcPr>
          <w:p w:rsidR="00000000" w:rsidDel="00000000" w:rsidP="00000000" w:rsidRDefault="00000000" w:rsidRPr="00000000" w14:paraId="00000329">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2A">
            <w:pPr>
              <w:jc w:val="right"/>
              <w:rPr>
                <w:color w:val="000000"/>
                <w:sz w:val="22"/>
                <w:szCs w:val="22"/>
              </w:rPr>
            </w:pPr>
            <w:r w:rsidDel="00000000" w:rsidR="00000000" w:rsidRPr="00000000">
              <w:rPr>
                <w:color w:val="000000"/>
                <w:sz w:val="22"/>
                <w:szCs w:val="22"/>
                <w:rtl w:val="0"/>
              </w:rPr>
              <w:t xml:space="preserve">42</w:t>
            </w:r>
          </w:p>
        </w:tc>
      </w:tr>
      <w:tr>
        <w:trPr>
          <w:cantSplit w:val="0"/>
          <w:trHeight w:val="79" w:hRule="atLeast"/>
          <w:tblHeader w:val="0"/>
        </w:trPr>
        <w:tc>
          <w:tcPr>
            <w:vMerge w:val="continue"/>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2C">
            <w:pPr>
              <w:rPr>
                <w:b w:val="1"/>
                <w:color w:val="000000"/>
                <w:sz w:val="22"/>
                <w:szCs w:val="22"/>
              </w:rPr>
            </w:pPr>
            <w:r w:rsidDel="00000000" w:rsidR="00000000" w:rsidRPr="00000000">
              <w:rPr>
                <w:b w:val="1"/>
                <w:color w:val="000000"/>
                <w:sz w:val="22"/>
                <w:szCs w:val="22"/>
                <w:rtl w:val="0"/>
              </w:rPr>
              <w:t xml:space="preserve">Taiwan</w:t>
            </w:r>
          </w:p>
        </w:tc>
        <w:tc>
          <w:tcPr>
            <w:vAlign w:val="center"/>
          </w:tcPr>
          <w:p w:rsidR="00000000" w:rsidDel="00000000" w:rsidP="00000000" w:rsidRDefault="00000000" w:rsidRPr="00000000" w14:paraId="0000032D">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2E">
            <w:pPr>
              <w:jc w:val="right"/>
              <w:rPr>
                <w:color w:val="000000"/>
                <w:sz w:val="22"/>
                <w:szCs w:val="22"/>
              </w:rPr>
            </w:pPr>
            <w:r w:rsidDel="00000000" w:rsidR="00000000" w:rsidRPr="00000000">
              <w:rPr>
                <w:color w:val="000000"/>
                <w:sz w:val="22"/>
                <w:szCs w:val="22"/>
                <w:rtl w:val="0"/>
              </w:rPr>
              <w:t xml:space="preserve">5</w:t>
            </w:r>
          </w:p>
        </w:tc>
      </w:tr>
      <w:tr>
        <w:trPr>
          <w:cantSplit w:val="0"/>
          <w:trHeight w:val="79" w:hRule="atLeast"/>
          <w:tblHeader w:val="0"/>
        </w:trPr>
        <w:tc>
          <w:tcPr>
            <w:vMerge w:val="continue"/>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30">
            <w:pPr>
              <w:rPr>
                <w:b w:val="1"/>
                <w:color w:val="000000"/>
                <w:sz w:val="22"/>
                <w:szCs w:val="22"/>
              </w:rPr>
            </w:pPr>
            <w:r w:rsidDel="00000000" w:rsidR="00000000" w:rsidRPr="00000000">
              <w:rPr>
                <w:b w:val="1"/>
                <w:color w:val="000000"/>
                <w:sz w:val="22"/>
                <w:szCs w:val="22"/>
                <w:rtl w:val="0"/>
              </w:rPr>
              <w:t xml:space="preserve">Finland</w:t>
            </w:r>
          </w:p>
        </w:tc>
        <w:tc>
          <w:tcPr>
            <w:vAlign w:val="center"/>
          </w:tcPr>
          <w:p w:rsidR="00000000" w:rsidDel="00000000" w:rsidP="00000000" w:rsidRDefault="00000000" w:rsidRPr="00000000" w14:paraId="00000331">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32">
            <w:pPr>
              <w:jc w:val="right"/>
              <w:rPr>
                <w:color w:val="000000"/>
                <w:sz w:val="22"/>
                <w:szCs w:val="22"/>
              </w:rPr>
            </w:pPr>
            <w:r w:rsidDel="00000000" w:rsidR="00000000" w:rsidRPr="00000000">
              <w:rPr>
                <w:color w:val="000000"/>
                <w:sz w:val="22"/>
                <w:szCs w:val="22"/>
                <w:rtl w:val="0"/>
              </w:rPr>
              <w:t xml:space="preserve">16</w:t>
            </w:r>
          </w:p>
        </w:tc>
      </w:tr>
      <w:tr>
        <w:trPr>
          <w:cantSplit w:val="0"/>
          <w:trHeight w:val="79" w:hRule="atLeast"/>
          <w:tblHeader w:val="0"/>
        </w:trPr>
        <w:tc>
          <w:tcPr>
            <w:vMerge w:val="continue"/>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34">
            <w:pPr>
              <w:rPr>
                <w:b w:val="1"/>
                <w:color w:val="000000"/>
                <w:sz w:val="22"/>
                <w:szCs w:val="22"/>
              </w:rPr>
            </w:pPr>
            <w:r w:rsidDel="00000000" w:rsidR="00000000" w:rsidRPr="00000000">
              <w:rPr>
                <w:b w:val="1"/>
                <w:color w:val="000000"/>
                <w:sz w:val="22"/>
                <w:szCs w:val="22"/>
                <w:rtl w:val="0"/>
              </w:rPr>
              <w:t xml:space="preserve">Sweden</w:t>
            </w:r>
          </w:p>
        </w:tc>
        <w:tc>
          <w:tcPr>
            <w:vAlign w:val="center"/>
          </w:tcPr>
          <w:p w:rsidR="00000000" w:rsidDel="00000000" w:rsidP="00000000" w:rsidRDefault="00000000" w:rsidRPr="00000000" w14:paraId="00000335">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36">
            <w:pPr>
              <w:jc w:val="right"/>
              <w:rPr>
                <w:color w:val="000000"/>
                <w:sz w:val="22"/>
                <w:szCs w:val="22"/>
              </w:rPr>
            </w:pPr>
            <w:r w:rsidDel="00000000" w:rsidR="00000000" w:rsidRPr="00000000">
              <w:rPr>
                <w:color w:val="000000"/>
                <w:sz w:val="22"/>
                <w:szCs w:val="22"/>
                <w:rtl w:val="0"/>
              </w:rPr>
              <w:t xml:space="preserve">39</w:t>
            </w:r>
          </w:p>
        </w:tc>
      </w:tr>
      <w:tr>
        <w:trPr>
          <w:cantSplit w:val="0"/>
          <w:trHeight w:val="79" w:hRule="atLeast"/>
          <w:tblHeader w:val="0"/>
        </w:trPr>
        <w:tc>
          <w:tcPr>
            <w:vMerge w:val="continue"/>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38">
            <w:pPr>
              <w:rPr>
                <w:b w:val="1"/>
                <w:color w:val="000000"/>
                <w:sz w:val="22"/>
                <w:szCs w:val="22"/>
              </w:rPr>
            </w:pPr>
            <w:r w:rsidDel="00000000" w:rsidR="00000000" w:rsidRPr="00000000">
              <w:rPr>
                <w:b w:val="1"/>
                <w:color w:val="000000"/>
                <w:sz w:val="22"/>
                <w:szCs w:val="22"/>
                <w:rtl w:val="0"/>
              </w:rPr>
              <w:t xml:space="preserve">Switzerland</w:t>
            </w:r>
          </w:p>
        </w:tc>
        <w:tc>
          <w:tcPr>
            <w:vAlign w:val="center"/>
          </w:tcPr>
          <w:p w:rsidR="00000000" w:rsidDel="00000000" w:rsidP="00000000" w:rsidRDefault="00000000" w:rsidRPr="00000000" w14:paraId="00000339">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3A">
            <w:pPr>
              <w:jc w:val="right"/>
              <w:rPr>
                <w:color w:val="000000"/>
                <w:sz w:val="22"/>
                <w:szCs w:val="22"/>
              </w:rPr>
            </w:pPr>
            <w:r w:rsidDel="00000000" w:rsidR="00000000" w:rsidRPr="00000000">
              <w:rPr>
                <w:color w:val="000000"/>
                <w:sz w:val="22"/>
                <w:szCs w:val="22"/>
                <w:rtl w:val="0"/>
              </w:rPr>
              <w:t xml:space="preserve">22</w:t>
            </w:r>
          </w:p>
        </w:tc>
      </w:tr>
      <w:tr>
        <w:trPr>
          <w:cantSplit w:val="0"/>
          <w:trHeight w:val="79" w:hRule="atLeast"/>
          <w:tblHeader w:val="0"/>
        </w:trPr>
        <w:tc>
          <w:tcPr>
            <w:vMerge w:val="continue"/>
          </w:tcPr>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3C">
            <w:pPr>
              <w:rPr>
                <w:b w:val="1"/>
                <w:color w:val="000000"/>
                <w:sz w:val="22"/>
                <w:szCs w:val="22"/>
              </w:rPr>
            </w:pPr>
            <w:r w:rsidDel="00000000" w:rsidR="00000000" w:rsidRPr="00000000">
              <w:rPr>
                <w:b w:val="1"/>
                <w:color w:val="000000"/>
                <w:sz w:val="22"/>
                <w:szCs w:val="22"/>
                <w:rtl w:val="0"/>
              </w:rPr>
              <w:t xml:space="preserve">Italy</w:t>
            </w:r>
          </w:p>
        </w:tc>
        <w:tc>
          <w:tcPr>
            <w:vAlign w:val="center"/>
          </w:tcPr>
          <w:p w:rsidR="00000000" w:rsidDel="00000000" w:rsidP="00000000" w:rsidRDefault="00000000" w:rsidRPr="00000000" w14:paraId="0000033D">
            <w:pPr>
              <w:jc w:val="center"/>
              <w:rPr>
                <w:color w:val="000000"/>
                <w:sz w:val="22"/>
                <w:szCs w:val="22"/>
              </w:rPr>
            </w:pPr>
            <w:r w:rsidDel="00000000" w:rsidR="00000000" w:rsidRPr="00000000">
              <w:rPr>
                <w:color w:val="000000"/>
                <w:sz w:val="22"/>
                <w:szCs w:val="22"/>
                <w:rtl w:val="0"/>
              </w:rPr>
              <w:t xml:space="preserve">1</w:t>
            </w:r>
          </w:p>
        </w:tc>
        <w:tc>
          <w:tcPr/>
          <w:p w:rsidR="00000000" w:rsidDel="00000000" w:rsidP="00000000" w:rsidRDefault="00000000" w:rsidRPr="00000000" w14:paraId="0000033E">
            <w:pPr>
              <w:jc w:val="right"/>
              <w:rPr>
                <w:color w:val="000000"/>
                <w:sz w:val="22"/>
                <w:szCs w:val="22"/>
              </w:rPr>
            </w:pPr>
            <w:r w:rsidDel="00000000" w:rsidR="00000000" w:rsidRPr="00000000">
              <w:rPr>
                <w:color w:val="000000"/>
                <w:sz w:val="22"/>
                <w:szCs w:val="22"/>
                <w:rtl w:val="0"/>
              </w:rPr>
              <w:t xml:space="preserve">29</w:t>
            </w:r>
          </w:p>
        </w:tc>
      </w:tr>
      <w:tr>
        <w:trPr>
          <w:cantSplit w:val="0"/>
          <w:trHeight w:val="135" w:hRule="atLeast"/>
          <w:tblHeader w:val="0"/>
        </w:trPr>
        <w:tc>
          <w:tcPr>
            <w:vMerge w:val="restart"/>
          </w:tcPr>
          <w:p w:rsidR="00000000" w:rsidDel="00000000" w:rsidP="00000000" w:rsidRDefault="00000000" w:rsidRPr="00000000" w14:paraId="0000033F">
            <w:pPr>
              <w:ind w:left="113" w:right="113" w:firstLine="0"/>
              <w:jc w:val="center"/>
              <w:rPr>
                <w:color w:val="000000"/>
                <w:sz w:val="22"/>
                <w:szCs w:val="22"/>
              </w:rPr>
            </w:pPr>
            <w:r w:rsidDel="00000000" w:rsidR="00000000" w:rsidRPr="00000000">
              <w:rPr>
                <w:color w:val="000000"/>
                <w:sz w:val="22"/>
                <w:szCs w:val="22"/>
                <w:rtl w:val="0"/>
              </w:rPr>
              <w:t xml:space="preserve">METHODOLOGY</w:t>
            </w:r>
          </w:p>
        </w:tc>
        <w:tc>
          <w:tcPr>
            <w:vAlign w:val="center"/>
          </w:tcPr>
          <w:p w:rsidR="00000000" w:rsidDel="00000000" w:rsidP="00000000" w:rsidRDefault="00000000" w:rsidRPr="00000000" w14:paraId="00000340">
            <w:pPr>
              <w:rPr>
                <w:b w:val="1"/>
                <w:color w:val="000000"/>
                <w:sz w:val="22"/>
                <w:szCs w:val="22"/>
              </w:rPr>
            </w:pPr>
            <w:r w:rsidDel="00000000" w:rsidR="00000000" w:rsidRPr="00000000">
              <w:rPr>
                <w:b w:val="1"/>
                <w:color w:val="000000"/>
                <w:sz w:val="22"/>
                <w:szCs w:val="22"/>
                <w:rtl w:val="0"/>
              </w:rPr>
              <w:t xml:space="preserve">Qualitative</w:t>
            </w:r>
          </w:p>
        </w:tc>
        <w:tc>
          <w:tcPr>
            <w:vAlign w:val="center"/>
          </w:tcPr>
          <w:p w:rsidR="00000000" w:rsidDel="00000000" w:rsidP="00000000" w:rsidRDefault="00000000" w:rsidRPr="00000000" w14:paraId="00000341">
            <w:pPr>
              <w:jc w:val="center"/>
              <w:rPr>
                <w:color w:val="000000"/>
                <w:sz w:val="22"/>
                <w:szCs w:val="22"/>
              </w:rPr>
            </w:pPr>
            <w:r w:rsidDel="00000000" w:rsidR="00000000" w:rsidRPr="00000000">
              <w:rPr>
                <w:b w:val="1"/>
                <w:color w:val="000000"/>
                <w:sz w:val="22"/>
                <w:szCs w:val="22"/>
                <w:rtl w:val="0"/>
              </w:rPr>
              <w:t xml:space="preserve">42</w:t>
            </w:r>
            <w:r w:rsidDel="00000000" w:rsidR="00000000" w:rsidRPr="00000000">
              <w:rPr>
                <w:rtl w:val="0"/>
              </w:rPr>
            </w:r>
          </w:p>
        </w:tc>
        <w:tc>
          <w:tcPr/>
          <w:p w:rsidR="00000000" w:rsidDel="00000000" w:rsidP="00000000" w:rsidRDefault="00000000" w:rsidRPr="00000000" w14:paraId="00000342">
            <w:pPr>
              <w:rPr>
                <w:color w:val="000000"/>
                <w:sz w:val="22"/>
                <w:szCs w:val="22"/>
              </w:rPr>
            </w:pPr>
            <w:r w:rsidDel="00000000" w:rsidR="00000000" w:rsidRPr="00000000">
              <w:rPr>
                <w:rtl w:val="0"/>
              </w:rPr>
            </w:r>
          </w:p>
        </w:tc>
      </w:tr>
      <w:tr>
        <w:trPr>
          <w:cantSplit w:val="0"/>
          <w:trHeight w:val="135" w:hRule="atLeast"/>
          <w:tblHeader w:val="0"/>
        </w:trPr>
        <w:tc>
          <w:tcPr>
            <w:vMerge w:val="continue"/>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44">
            <w:pPr>
              <w:rPr>
                <w:i w:val="1"/>
                <w:color w:val="000000"/>
                <w:sz w:val="22"/>
                <w:szCs w:val="22"/>
              </w:rPr>
            </w:pPr>
            <w:r w:rsidDel="00000000" w:rsidR="00000000" w:rsidRPr="00000000">
              <w:rPr>
                <w:i w:val="1"/>
                <w:color w:val="000000"/>
                <w:sz w:val="22"/>
                <w:szCs w:val="22"/>
                <w:rtl w:val="0"/>
              </w:rPr>
              <w:t xml:space="preserve">Interviews</w:t>
            </w:r>
          </w:p>
        </w:tc>
        <w:tc>
          <w:tcPr>
            <w:vAlign w:val="center"/>
          </w:tcPr>
          <w:p w:rsidR="00000000" w:rsidDel="00000000" w:rsidP="00000000" w:rsidRDefault="00000000" w:rsidRPr="00000000" w14:paraId="00000345">
            <w:pPr>
              <w:jc w:val="center"/>
              <w:rPr>
                <w:i w:val="1"/>
                <w:color w:val="000000"/>
                <w:sz w:val="22"/>
                <w:szCs w:val="22"/>
              </w:rPr>
            </w:pPr>
            <w:r w:rsidDel="00000000" w:rsidR="00000000" w:rsidRPr="00000000">
              <w:rPr>
                <w:i w:val="1"/>
                <w:color w:val="000000"/>
                <w:sz w:val="22"/>
                <w:szCs w:val="22"/>
                <w:rtl w:val="0"/>
              </w:rPr>
              <w:t xml:space="preserve">34</w:t>
            </w:r>
          </w:p>
        </w:tc>
        <w:tc>
          <w:tcPr/>
          <w:p w:rsidR="00000000" w:rsidDel="00000000" w:rsidP="00000000" w:rsidRDefault="00000000" w:rsidRPr="00000000" w14:paraId="00000346">
            <w:pPr>
              <w:jc w:val="right"/>
              <w:rPr>
                <w:i w:val="1"/>
                <w:color w:val="000000"/>
                <w:sz w:val="22"/>
                <w:szCs w:val="22"/>
              </w:rPr>
            </w:pPr>
            <w:r w:rsidDel="00000000" w:rsidR="00000000" w:rsidRPr="00000000">
              <w:rPr>
                <w:i w:val="1"/>
                <w:color w:val="000000"/>
                <w:sz w:val="22"/>
                <w:szCs w:val="22"/>
                <w:rtl w:val="0"/>
              </w:rPr>
              <w:t xml:space="preserve">1, 3, 4, 5, 6, 7, 8, 9, 11, 14, 25, 27, 31, 34, 35, 36, 37, 39, 45, 46, 47, 48, 52, 53, 54, 55, 60, 61, 63, 64, 65, 66, 68, 69</w:t>
            </w:r>
          </w:p>
        </w:tc>
      </w:tr>
      <w:tr>
        <w:trPr>
          <w:cantSplit w:val="0"/>
          <w:trHeight w:val="135" w:hRule="atLeast"/>
          <w:tblHeader w:val="0"/>
        </w:trPr>
        <w:tc>
          <w:tcPr>
            <w:vMerge w:val="continue"/>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48">
            <w:pPr>
              <w:rPr>
                <w:i w:val="1"/>
                <w:color w:val="000000"/>
                <w:sz w:val="22"/>
                <w:szCs w:val="22"/>
              </w:rPr>
            </w:pPr>
            <w:r w:rsidDel="00000000" w:rsidR="00000000" w:rsidRPr="00000000">
              <w:rPr>
                <w:i w:val="1"/>
                <w:color w:val="000000"/>
                <w:sz w:val="22"/>
                <w:szCs w:val="22"/>
                <w:rtl w:val="0"/>
              </w:rPr>
              <w:t xml:space="preserve">Autoethnography</w:t>
            </w:r>
          </w:p>
        </w:tc>
        <w:tc>
          <w:tcPr>
            <w:vAlign w:val="center"/>
          </w:tcPr>
          <w:p w:rsidR="00000000" w:rsidDel="00000000" w:rsidP="00000000" w:rsidRDefault="00000000" w:rsidRPr="00000000" w14:paraId="00000349">
            <w:pPr>
              <w:jc w:val="center"/>
              <w:rPr>
                <w:i w:val="1"/>
                <w:color w:val="000000"/>
                <w:sz w:val="22"/>
                <w:szCs w:val="22"/>
              </w:rPr>
            </w:pPr>
            <w:r w:rsidDel="00000000" w:rsidR="00000000" w:rsidRPr="00000000">
              <w:rPr>
                <w:i w:val="1"/>
                <w:color w:val="000000"/>
                <w:sz w:val="22"/>
                <w:szCs w:val="22"/>
                <w:rtl w:val="0"/>
              </w:rPr>
              <w:t xml:space="preserve">1</w:t>
            </w:r>
          </w:p>
        </w:tc>
        <w:tc>
          <w:tcPr/>
          <w:p w:rsidR="00000000" w:rsidDel="00000000" w:rsidP="00000000" w:rsidRDefault="00000000" w:rsidRPr="00000000" w14:paraId="0000034A">
            <w:pPr>
              <w:jc w:val="right"/>
              <w:rPr>
                <w:i w:val="1"/>
                <w:color w:val="000000"/>
                <w:sz w:val="22"/>
                <w:szCs w:val="22"/>
              </w:rPr>
            </w:pPr>
            <w:r w:rsidDel="00000000" w:rsidR="00000000" w:rsidRPr="00000000">
              <w:rPr>
                <w:i w:val="1"/>
                <w:color w:val="000000"/>
                <w:sz w:val="22"/>
                <w:szCs w:val="22"/>
                <w:rtl w:val="0"/>
              </w:rPr>
              <w:t xml:space="preserve">2</w:t>
            </w:r>
          </w:p>
        </w:tc>
      </w:tr>
      <w:tr>
        <w:trPr>
          <w:cantSplit w:val="0"/>
          <w:trHeight w:val="135" w:hRule="atLeast"/>
          <w:tblHeader w:val="0"/>
        </w:trPr>
        <w:tc>
          <w:tcPr>
            <w:vMerge w:val="continue"/>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4C">
            <w:pPr>
              <w:rPr>
                <w:i w:val="1"/>
                <w:color w:val="000000"/>
                <w:sz w:val="22"/>
                <w:szCs w:val="22"/>
              </w:rPr>
            </w:pPr>
            <w:r w:rsidDel="00000000" w:rsidR="00000000" w:rsidRPr="00000000">
              <w:rPr>
                <w:i w:val="1"/>
                <w:color w:val="000000"/>
                <w:sz w:val="22"/>
                <w:szCs w:val="22"/>
                <w:rtl w:val="0"/>
              </w:rPr>
              <w:t xml:space="preserve">Ethnography</w:t>
            </w:r>
          </w:p>
        </w:tc>
        <w:tc>
          <w:tcPr>
            <w:vAlign w:val="center"/>
          </w:tcPr>
          <w:p w:rsidR="00000000" w:rsidDel="00000000" w:rsidP="00000000" w:rsidRDefault="00000000" w:rsidRPr="00000000" w14:paraId="0000034D">
            <w:pPr>
              <w:jc w:val="center"/>
              <w:rPr>
                <w:i w:val="1"/>
                <w:color w:val="000000"/>
                <w:sz w:val="22"/>
                <w:szCs w:val="22"/>
              </w:rPr>
            </w:pPr>
            <w:r w:rsidDel="00000000" w:rsidR="00000000" w:rsidRPr="00000000">
              <w:rPr>
                <w:i w:val="1"/>
                <w:color w:val="000000"/>
                <w:sz w:val="22"/>
                <w:szCs w:val="22"/>
                <w:rtl w:val="0"/>
              </w:rPr>
              <w:t xml:space="preserve">1</w:t>
            </w:r>
          </w:p>
        </w:tc>
        <w:tc>
          <w:tcPr/>
          <w:p w:rsidR="00000000" w:rsidDel="00000000" w:rsidP="00000000" w:rsidRDefault="00000000" w:rsidRPr="00000000" w14:paraId="0000034E">
            <w:pPr>
              <w:jc w:val="right"/>
              <w:rPr>
                <w:i w:val="1"/>
                <w:color w:val="000000"/>
                <w:sz w:val="22"/>
                <w:szCs w:val="22"/>
              </w:rPr>
            </w:pPr>
            <w:r w:rsidDel="00000000" w:rsidR="00000000" w:rsidRPr="00000000">
              <w:rPr>
                <w:i w:val="1"/>
                <w:color w:val="000000"/>
                <w:sz w:val="22"/>
                <w:szCs w:val="22"/>
                <w:rtl w:val="0"/>
              </w:rPr>
              <w:t xml:space="preserve">38</w:t>
            </w:r>
          </w:p>
        </w:tc>
      </w:tr>
      <w:tr>
        <w:trPr>
          <w:cantSplit w:val="0"/>
          <w:trHeight w:val="135" w:hRule="atLeast"/>
          <w:tblHeader w:val="0"/>
        </w:trPr>
        <w:tc>
          <w:tcPr>
            <w:vMerge w:val="continue"/>
          </w:tcPr>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50">
            <w:pPr>
              <w:rPr>
                <w:i w:val="1"/>
                <w:color w:val="000000"/>
                <w:sz w:val="22"/>
                <w:szCs w:val="22"/>
              </w:rPr>
            </w:pPr>
            <w:r w:rsidDel="00000000" w:rsidR="00000000" w:rsidRPr="00000000">
              <w:rPr>
                <w:i w:val="1"/>
                <w:color w:val="000000"/>
                <w:sz w:val="22"/>
                <w:szCs w:val="22"/>
                <w:rtl w:val="0"/>
              </w:rPr>
              <w:t xml:space="preserve">Concept Analysis</w:t>
            </w:r>
          </w:p>
        </w:tc>
        <w:tc>
          <w:tcPr>
            <w:vAlign w:val="center"/>
          </w:tcPr>
          <w:p w:rsidR="00000000" w:rsidDel="00000000" w:rsidP="00000000" w:rsidRDefault="00000000" w:rsidRPr="00000000" w14:paraId="00000351">
            <w:pPr>
              <w:jc w:val="center"/>
              <w:rPr>
                <w:i w:val="1"/>
                <w:color w:val="000000"/>
                <w:sz w:val="22"/>
                <w:szCs w:val="22"/>
              </w:rPr>
            </w:pPr>
            <w:r w:rsidDel="00000000" w:rsidR="00000000" w:rsidRPr="00000000">
              <w:rPr>
                <w:i w:val="1"/>
                <w:color w:val="000000"/>
                <w:sz w:val="22"/>
                <w:szCs w:val="22"/>
                <w:rtl w:val="0"/>
              </w:rPr>
              <w:t xml:space="preserve">1</w:t>
            </w:r>
          </w:p>
        </w:tc>
        <w:tc>
          <w:tcPr/>
          <w:p w:rsidR="00000000" w:rsidDel="00000000" w:rsidP="00000000" w:rsidRDefault="00000000" w:rsidRPr="00000000" w14:paraId="00000352">
            <w:pPr>
              <w:jc w:val="right"/>
              <w:rPr>
                <w:i w:val="1"/>
                <w:color w:val="000000"/>
                <w:sz w:val="22"/>
                <w:szCs w:val="22"/>
              </w:rPr>
            </w:pPr>
            <w:r w:rsidDel="00000000" w:rsidR="00000000" w:rsidRPr="00000000">
              <w:rPr>
                <w:i w:val="1"/>
                <w:color w:val="000000"/>
                <w:sz w:val="22"/>
                <w:szCs w:val="22"/>
                <w:rtl w:val="0"/>
              </w:rPr>
              <w:t xml:space="preserve">23</w:t>
            </w:r>
          </w:p>
        </w:tc>
      </w:tr>
      <w:tr>
        <w:trPr>
          <w:cantSplit w:val="0"/>
          <w:trHeight w:val="135" w:hRule="atLeast"/>
          <w:tblHeader w:val="0"/>
        </w:trPr>
        <w:tc>
          <w:tcPr>
            <w:vMerge w:val="continue"/>
          </w:tcPr>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54">
            <w:pPr>
              <w:rPr>
                <w:i w:val="1"/>
                <w:color w:val="000000"/>
                <w:sz w:val="22"/>
                <w:szCs w:val="22"/>
              </w:rPr>
            </w:pPr>
            <w:r w:rsidDel="00000000" w:rsidR="00000000" w:rsidRPr="00000000">
              <w:rPr>
                <w:i w:val="1"/>
                <w:color w:val="000000"/>
                <w:sz w:val="22"/>
                <w:szCs w:val="22"/>
                <w:rtl w:val="0"/>
              </w:rPr>
              <w:t xml:space="preserve">Secondary Data Analysis</w:t>
            </w:r>
          </w:p>
        </w:tc>
        <w:tc>
          <w:tcPr>
            <w:vAlign w:val="center"/>
          </w:tcPr>
          <w:p w:rsidR="00000000" w:rsidDel="00000000" w:rsidP="00000000" w:rsidRDefault="00000000" w:rsidRPr="00000000" w14:paraId="00000355">
            <w:pPr>
              <w:jc w:val="center"/>
              <w:rPr>
                <w:i w:val="1"/>
                <w:color w:val="000000"/>
                <w:sz w:val="22"/>
                <w:szCs w:val="22"/>
              </w:rPr>
            </w:pPr>
            <w:r w:rsidDel="00000000" w:rsidR="00000000" w:rsidRPr="00000000">
              <w:rPr>
                <w:i w:val="1"/>
                <w:color w:val="000000"/>
                <w:sz w:val="22"/>
                <w:szCs w:val="22"/>
                <w:rtl w:val="0"/>
              </w:rPr>
              <w:t xml:space="preserve">5</w:t>
            </w:r>
          </w:p>
        </w:tc>
        <w:tc>
          <w:tcPr/>
          <w:p w:rsidR="00000000" w:rsidDel="00000000" w:rsidP="00000000" w:rsidRDefault="00000000" w:rsidRPr="00000000" w14:paraId="00000356">
            <w:pPr>
              <w:jc w:val="right"/>
              <w:rPr>
                <w:i w:val="1"/>
                <w:color w:val="000000"/>
                <w:sz w:val="22"/>
                <w:szCs w:val="22"/>
              </w:rPr>
            </w:pPr>
            <w:r w:rsidDel="00000000" w:rsidR="00000000" w:rsidRPr="00000000">
              <w:rPr>
                <w:i w:val="1"/>
                <w:color w:val="000000"/>
                <w:sz w:val="22"/>
                <w:szCs w:val="22"/>
                <w:rtl w:val="0"/>
              </w:rPr>
              <w:t xml:space="preserve">12, 13, 21, 22, 67</w:t>
            </w:r>
          </w:p>
        </w:tc>
      </w:tr>
      <w:tr>
        <w:trPr>
          <w:cantSplit w:val="0"/>
          <w:trHeight w:val="135" w:hRule="atLeast"/>
          <w:tblHeader w:val="0"/>
        </w:trPr>
        <w:tc>
          <w:tcPr>
            <w:vMerge w:val="continue"/>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58">
            <w:pPr>
              <w:rPr>
                <w:b w:val="1"/>
                <w:color w:val="000000"/>
                <w:sz w:val="22"/>
                <w:szCs w:val="22"/>
              </w:rPr>
            </w:pPr>
            <w:r w:rsidDel="00000000" w:rsidR="00000000" w:rsidRPr="00000000">
              <w:rPr>
                <w:b w:val="1"/>
                <w:color w:val="000000"/>
                <w:sz w:val="22"/>
                <w:szCs w:val="22"/>
                <w:rtl w:val="0"/>
              </w:rPr>
              <w:t xml:space="preserve">Quantitative</w:t>
            </w:r>
          </w:p>
        </w:tc>
        <w:tc>
          <w:tcPr>
            <w:vAlign w:val="center"/>
          </w:tcPr>
          <w:p w:rsidR="00000000" w:rsidDel="00000000" w:rsidP="00000000" w:rsidRDefault="00000000" w:rsidRPr="00000000" w14:paraId="00000359">
            <w:pPr>
              <w:jc w:val="center"/>
              <w:rPr>
                <w:b w:val="1"/>
                <w:color w:val="000000"/>
                <w:sz w:val="22"/>
                <w:szCs w:val="22"/>
              </w:rPr>
            </w:pPr>
            <w:r w:rsidDel="00000000" w:rsidR="00000000" w:rsidRPr="00000000">
              <w:rPr>
                <w:b w:val="1"/>
                <w:color w:val="000000"/>
                <w:sz w:val="22"/>
                <w:szCs w:val="22"/>
                <w:rtl w:val="0"/>
              </w:rPr>
              <w:t xml:space="preserve">20</w:t>
            </w:r>
          </w:p>
        </w:tc>
        <w:tc>
          <w:tcPr/>
          <w:p w:rsidR="00000000" w:rsidDel="00000000" w:rsidP="00000000" w:rsidRDefault="00000000" w:rsidRPr="00000000" w14:paraId="0000035A">
            <w:pPr>
              <w:jc w:val="right"/>
              <w:rPr>
                <w:color w:val="000000"/>
                <w:sz w:val="22"/>
                <w:szCs w:val="22"/>
              </w:rPr>
            </w:pPr>
            <w:r w:rsidDel="00000000" w:rsidR="00000000" w:rsidRPr="00000000">
              <w:rPr>
                <w:rtl w:val="0"/>
              </w:rPr>
            </w:r>
          </w:p>
        </w:tc>
      </w:tr>
      <w:tr>
        <w:trPr>
          <w:cantSplit w:val="0"/>
          <w:trHeight w:val="135" w:hRule="atLeast"/>
          <w:tblHeader w:val="0"/>
        </w:trPr>
        <w:tc>
          <w:tcPr>
            <w:vMerge w:val="continue"/>
          </w:tcPr>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5C">
            <w:pPr>
              <w:rPr>
                <w:i w:val="1"/>
                <w:color w:val="000000"/>
                <w:sz w:val="22"/>
                <w:szCs w:val="22"/>
              </w:rPr>
            </w:pPr>
            <w:r w:rsidDel="00000000" w:rsidR="00000000" w:rsidRPr="00000000">
              <w:rPr>
                <w:i w:val="1"/>
                <w:color w:val="000000"/>
                <w:sz w:val="22"/>
                <w:szCs w:val="22"/>
                <w:rtl w:val="0"/>
              </w:rPr>
              <w:t xml:space="preserve">Surveys</w:t>
            </w:r>
          </w:p>
        </w:tc>
        <w:tc>
          <w:tcPr>
            <w:vAlign w:val="center"/>
          </w:tcPr>
          <w:p w:rsidR="00000000" w:rsidDel="00000000" w:rsidP="00000000" w:rsidRDefault="00000000" w:rsidRPr="00000000" w14:paraId="0000035D">
            <w:pPr>
              <w:jc w:val="center"/>
              <w:rPr>
                <w:i w:val="1"/>
                <w:color w:val="000000"/>
                <w:sz w:val="22"/>
                <w:szCs w:val="22"/>
              </w:rPr>
            </w:pPr>
            <w:r w:rsidDel="00000000" w:rsidR="00000000" w:rsidRPr="00000000">
              <w:rPr>
                <w:i w:val="1"/>
                <w:color w:val="000000"/>
                <w:sz w:val="22"/>
                <w:szCs w:val="22"/>
                <w:rtl w:val="0"/>
              </w:rPr>
              <w:t xml:space="preserve">18</w:t>
            </w:r>
          </w:p>
        </w:tc>
        <w:tc>
          <w:tcPr/>
          <w:p w:rsidR="00000000" w:rsidDel="00000000" w:rsidP="00000000" w:rsidRDefault="00000000" w:rsidRPr="00000000" w14:paraId="0000035E">
            <w:pPr>
              <w:jc w:val="right"/>
              <w:rPr>
                <w:i w:val="1"/>
                <w:color w:val="000000"/>
                <w:sz w:val="22"/>
                <w:szCs w:val="22"/>
              </w:rPr>
            </w:pPr>
            <w:r w:rsidDel="00000000" w:rsidR="00000000" w:rsidRPr="00000000">
              <w:rPr>
                <w:i w:val="1"/>
                <w:color w:val="000000"/>
                <w:sz w:val="22"/>
                <w:szCs w:val="22"/>
                <w:rtl w:val="0"/>
              </w:rPr>
              <w:t xml:space="preserve">16, 18, 19, 24, 26, 28, 30, 32, 33, 41, 43, 49, 50, 51, 56, 57, 58, 59</w:t>
            </w:r>
          </w:p>
        </w:tc>
      </w:tr>
      <w:tr>
        <w:trPr>
          <w:cantSplit w:val="0"/>
          <w:trHeight w:val="135" w:hRule="atLeast"/>
          <w:tblHeader w:val="0"/>
        </w:trPr>
        <w:tc>
          <w:tcPr>
            <w:vMerge w:val="continue"/>
          </w:tcPr>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60">
            <w:pPr>
              <w:rPr>
                <w:i w:val="1"/>
                <w:color w:val="000000"/>
                <w:sz w:val="22"/>
                <w:szCs w:val="22"/>
              </w:rPr>
            </w:pPr>
            <w:r w:rsidDel="00000000" w:rsidR="00000000" w:rsidRPr="00000000">
              <w:rPr>
                <w:i w:val="1"/>
                <w:color w:val="000000"/>
                <w:sz w:val="22"/>
                <w:szCs w:val="22"/>
                <w:rtl w:val="0"/>
              </w:rPr>
              <w:t xml:space="preserve">Observational Study</w:t>
            </w:r>
          </w:p>
        </w:tc>
        <w:tc>
          <w:tcPr>
            <w:vAlign w:val="center"/>
          </w:tcPr>
          <w:p w:rsidR="00000000" w:rsidDel="00000000" w:rsidP="00000000" w:rsidRDefault="00000000" w:rsidRPr="00000000" w14:paraId="00000361">
            <w:pPr>
              <w:jc w:val="center"/>
              <w:rPr>
                <w:i w:val="1"/>
                <w:color w:val="000000"/>
                <w:sz w:val="22"/>
                <w:szCs w:val="22"/>
              </w:rPr>
            </w:pPr>
            <w:r w:rsidDel="00000000" w:rsidR="00000000" w:rsidRPr="00000000">
              <w:rPr>
                <w:i w:val="1"/>
                <w:color w:val="000000"/>
                <w:sz w:val="22"/>
                <w:szCs w:val="22"/>
                <w:rtl w:val="0"/>
              </w:rPr>
              <w:t xml:space="preserve">2</w:t>
            </w:r>
          </w:p>
        </w:tc>
        <w:tc>
          <w:tcPr/>
          <w:p w:rsidR="00000000" w:rsidDel="00000000" w:rsidP="00000000" w:rsidRDefault="00000000" w:rsidRPr="00000000" w14:paraId="00000362">
            <w:pPr>
              <w:jc w:val="right"/>
              <w:rPr>
                <w:i w:val="1"/>
                <w:color w:val="000000"/>
                <w:sz w:val="22"/>
                <w:szCs w:val="22"/>
              </w:rPr>
            </w:pPr>
            <w:r w:rsidDel="00000000" w:rsidR="00000000" w:rsidRPr="00000000">
              <w:rPr>
                <w:i w:val="1"/>
                <w:color w:val="000000"/>
                <w:sz w:val="22"/>
                <w:szCs w:val="22"/>
                <w:rtl w:val="0"/>
              </w:rPr>
              <w:t xml:space="preserve">42, 44</w:t>
            </w:r>
          </w:p>
        </w:tc>
      </w:tr>
      <w:tr>
        <w:trPr>
          <w:cantSplit w:val="0"/>
          <w:trHeight w:val="135" w:hRule="atLeast"/>
          <w:tblHeader w:val="0"/>
        </w:trPr>
        <w:tc>
          <w:tcPr>
            <w:vMerge w:val="continue"/>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2"/>
                <w:szCs w:val="22"/>
              </w:rPr>
            </w:pPr>
            <w:r w:rsidDel="00000000" w:rsidR="00000000" w:rsidRPr="00000000">
              <w:rPr>
                <w:rtl w:val="0"/>
              </w:rPr>
            </w:r>
          </w:p>
        </w:tc>
        <w:tc>
          <w:tcPr>
            <w:vAlign w:val="center"/>
          </w:tcPr>
          <w:p w:rsidR="00000000" w:rsidDel="00000000" w:rsidP="00000000" w:rsidRDefault="00000000" w:rsidRPr="00000000" w14:paraId="00000364">
            <w:pPr>
              <w:rPr>
                <w:b w:val="1"/>
                <w:color w:val="000000"/>
                <w:sz w:val="22"/>
                <w:szCs w:val="22"/>
              </w:rPr>
            </w:pPr>
            <w:r w:rsidDel="00000000" w:rsidR="00000000" w:rsidRPr="00000000">
              <w:rPr>
                <w:b w:val="1"/>
                <w:color w:val="000000"/>
                <w:sz w:val="22"/>
                <w:szCs w:val="22"/>
                <w:rtl w:val="0"/>
              </w:rPr>
              <w:t xml:space="preserve">Literature Review</w:t>
            </w:r>
          </w:p>
        </w:tc>
        <w:tc>
          <w:tcPr>
            <w:vAlign w:val="center"/>
          </w:tcPr>
          <w:p w:rsidR="00000000" w:rsidDel="00000000" w:rsidP="00000000" w:rsidRDefault="00000000" w:rsidRPr="00000000" w14:paraId="00000365">
            <w:pPr>
              <w:jc w:val="center"/>
              <w:rPr>
                <w:b w:val="1"/>
                <w:color w:val="000000"/>
                <w:sz w:val="22"/>
                <w:szCs w:val="22"/>
              </w:rPr>
            </w:pPr>
            <w:r w:rsidDel="00000000" w:rsidR="00000000" w:rsidRPr="00000000">
              <w:rPr>
                <w:b w:val="1"/>
                <w:color w:val="000000"/>
                <w:sz w:val="22"/>
                <w:szCs w:val="22"/>
                <w:rtl w:val="0"/>
              </w:rPr>
              <w:t xml:space="preserve">5</w:t>
            </w:r>
          </w:p>
        </w:tc>
        <w:tc>
          <w:tcPr/>
          <w:p w:rsidR="00000000" w:rsidDel="00000000" w:rsidP="00000000" w:rsidRDefault="00000000" w:rsidRPr="00000000" w14:paraId="00000366">
            <w:pPr>
              <w:jc w:val="right"/>
              <w:rPr>
                <w:color w:val="000000"/>
                <w:sz w:val="22"/>
                <w:szCs w:val="22"/>
              </w:rPr>
            </w:pPr>
            <w:r w:rsidDel="00000000" w:rsidR="00000000" w:rsidRPr="00000000">
              <w:rPr>
                <w:color w:val="000000"/>
                <w:sz w:val="22"/>
                <w:szCs w:val="22"/>
                <w:rtl w:val="0"/>
              </w:rPr>
              <w:t xml:space="preserve">15, 17, 20, 29, 40, </w:t>
            </w:r>
          </w:p>
        </w:tc>
      </w:tr>
      <w:tr>
        <w:trPr>
          <w:cantSplit w:val="0"/>
          <w:trHeight w:val="135" w:hRule="atLeast"/>
          <w:tblHeader w:val="0"/>
        </w:trPr>
        <w:tc>
          <w:tcPr>
            <w:vMerge w:val="continue"/>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68">
            <w:pPr>
              <w:rPr>
                <w:b w:val="1"/>
                <w:color w:val="000000"/>
                <w:sz w:val="22"/>
                <w:szCs w:val="22"/>
              </w:rPr>
            </w:pPr>
            <w:r w:rsidDel="00000000" w:rsidR="00000000" w:rsidRPr="00000000">
              <w:rPr>
                <w:b w:val="1"/>
                <w:color w:val="000000"/>
                <w:sz w:val="22"/>
                <w:szCs w:val="22"/>
                <w:rtl w:val="0"/>
              </w:rPr>
              <w:t xml:space="preserve">Report</w:t>
            </w:r>
          </w:p>
        </w:tc>
        <w:tc>
          <w:tcPr>
            <w:vAlign w:val="center"/>
          </w:tcPr>
          <w:p w:rsidR="00000000" w:rsidDel="00000000" w:rsidP="00000000" w:rsidRDefault="00000000" w:rsidRPr="00000000" w14:paraId="00000369">
            <w:pPr>
              <w:jc w:val="center"/>
              <w:rPr>
                <w:b w:val="1"/>
                <w:color w:val="000000"/>
                <w:sz w:val="22"/>
                <w:szCs w:val="22"/>
              </w:rPr>
            </w:pPr>
            <w:r w:rsidDel="00000000" w:rsidR="00000000" w:rsidRPr="00000000">
              <w:rPr>
                <w:b w:val="1"/>
                <w:color w:val="000000"/>
                <w:sz w:val="22"/>
                <w:szCs w:val="22"/>
                <w:rtl w:val="0"/>
              </w:rPr>
              <w:t xml:space="preserve">1</w:t>
            </w:r>
          </w:p>
        </w:tc>
        <w:tc>
          <w:tcPr/>
          <w:p w:rsidR="00000000" w:rsidDel="00000000" w:rsidP="00000000" w:rsidRDefault="00000000" w:rsidRPr="00000000" w14:paraId="0000036A">
            <w:pPr>
              <w:jc w:val="right"/>
              <w:rPr>
                <w:color w:val="000000"/>
                <w:sz w:val="22"/>
                <w:szCs w:val="22"/>
              </w:rPr>
            </w:pPr>
            <w:r w:rsidDel="00000000" w:rsidR="00000000" w:rsidRPr="00000000">
              <w:rPr>
                <w:color w:val="000000"/>
                <w:sz w:val="22"/>
                <w:szCs w:val="22"/>
                <w:rtl w:val="0"/>
              </w:rPr>
              <w:t xml:space="preserve">10</w:t>
            </w:r>
          </w:p>
        </w:tc>
      </w:tr>
      <w:tr>
        <w:trPr>
          <w:cantSplit w:val="0"/>
          <w:trHeight w:val="135" w:hRule="atLeast"/>
          <w:tblHeader w:val="0"/>
        </w:trPr>
        <w:tc>
          <w:tcPr>
            <w:vMerge w:val="continue"/>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6C">
            <w:pPr>
              <w:rPr>
                <w:b w:val="1"/>
                <w:color w:val="000000"/>
                <w:sz w:val="22"/>
                <w:szCs w:val="22"/>
              </w:rPr>
            </w:pPr>
            <w:r w:rsidDel="00000000" w:rsidR="00000000" w:rsidRPr="00000000">
              <w:rPr>
                <w:b w:val="1"/>
                <w:color w:val="000000"/>
                <w:sz w:val="22"/>
                <w:szCs w:val="22"/>
                <w:rtl w:val="0"/>
              </w:rPr>
              <w:t xml:space="preserve">Service Evaluation</w:t>
            </w:r>
          </w:p>
        </w:tc>
        <w:tc>
          <w:tcPr>
            <w:vAlign w:val="center"/>
          </w:tcPr>
          <w:p w:rsidR="00000000" w:rsidDel="00000000" w:rsidP="00000000" w:rsidRDefault="00000000" w:rsidRPr="00000000" w14:paraId="0000036D">
            <w:pPr>
              <w:jc w:val="center"/>
              <w:rPr>
                <w:b w:val="1"/>
                <w:color w:val="000000"/>
                <w:sz w:val="22"/>
                <w:szCs w:val="22"/>
              </w:rPr>
            </w:pPr>
            <w:r w:rsidDel="00000000" w:rsidR="00000000" w:rsidRPr="00000000">
              <w:rPr>
                <w:b w:val="1"/>
                <w:color w:val="000000"/>
                <w:sz w:val="22"/>
                <w:szCs w:val="22"/>
                <w:rtl w:val="0"/>
              </w:rPr>
              <w:t xml:space="preserve">1</w:t>
            </w:r>
          </w:p>
        </w:tc>
        <w:tc>
          <w:tcPr/>
          <w:p w:rsidR="00000000" w:rsidDel="00000000" w:rsidP="00000000" w:rsidRDefault="00000000" w:rsidRPr="00000000" w14:paraId="0000036E">
            <w:pPr>
              <w:jc w:val="right"/>
              <w:rPr>
                <w:color w:val="000000"/>
                <w:sz w:val="22"/>
                <w:szCs w:val="22"/>
              </w:rPr>
            </w:pPr>
            <w:r w:rsidDel="00000000" w:rsidR="00000000" w:rsidRPr="00000000">
              <w:rPr>
                <w:color w:val="000000"/>
                <w:sz w:val="22"/>
                <w:szCs w:val="22"/>
                <w:rtl w:val="0"/>
              </w:rPr>
              <w:t xml:space="preserve">62</w:t>
            </w:r>
          </w:p>
        </w:tc>
      </w:tr>
      <w:tr>
        <w:trPr>
          <w:cantSplit w:val="0"/>
          <w:trHeight w:val="135" w:hRule="atLeast"/>
          <w:tblHeader w:val="0"/>
        </w:trPr>
        <w:tc>
          <w:tcPr>
            <w:vMerge w:val="restart"/>
          </w:tcPr>
          <w:p w:rsidR="00000000" w:rsidDel="00000000" w:rsidP="00000000" w:rsidRDefault="00000000" w:rsidRPr="00000000" w14:paraId="0000036F">
            <w:pPr>
              <w:ind w:left="113" w:right="113" w:firstLine="0"/>
              <w:jc w:val="center"/>
              <w:rPr>
                <w:color w:val="000000"/>
                <w:sz w:val="22"/>
                <w:szCs w:val="22"/>
              </w:rPr>
            </w:pPr>
            <w:r w:rsidDel="00000000" w:rsidR="00000000" w:rsidRPr="00000000">
              <w:rPr>
                <w:color w:val="000000"/>
                <w:sz w:val="22"/>
                <w:szCs w:val="22"/>
                <w:rtl w:val="0"/>
              </w:rPr>
              <w:t xml:space="preserve">THERAPEUTIC GROUP</w:t>
            </w:r>
          </w:p>
        </w:tc>
        <w:tc>
          <w:tcPr>
            <w:vAlign w:val="center"/>
          </w:tcPr>
          <w:p w:rsidR="00000000" w:rsidDel="00000000" w:rsidP="00000000" w:rsidRDefault="00000000" w:rsidRPr="00000000" w14:paraId="00000370">
            <w:pPr>
              <w:rPr>
                <w:b w:val="1"/>
                <w:color w:val="000000"/>
                <w:sz w:val="22"/>
                <w:szCs w:val="22"/>
              </w:rPr>
            </w:pPr>
            <w:r w:rsidDel="00000000" w:rsidR="00000000" w:rsidRPr="00000000">
              <w:rPr>
                <w:b w:val="1"/>
                <w:color w:val="000000"/>
                <w:sz w:val="22"/>
                <w:szCs w:val="22"/>
                <w:rtl w:val="0"/>
              </w:rPr>
              <w:t xml:space="preserve">Antidepressants</w:t>
            </w:r>
          </w:p>
        </w:tc>
        <w:tc>
          <w:tcPr>
            <w:vAlign w:val="center"/>
          </w:tcPr>
          <w:p w:rsidR="00000000" w:rsidDel="00000000" w:rsidP="00000000" w:rsidRDefault="00000000" w:rsidRPr="00000000" w14:paraId="00000371">
            <w:pPr>
              <w:jc w:val="center"/>
              <w:rPr>
                <w:color w:val="000000"/>
                <w:sz w:val="22"/>
                <w:szCs w:val="22"/>
              </w:rPr>
            </w:pPr>
            <w:r w:rsidDel="00000000" w:rsidR="00000000" w:rsidRPr="00000000">
              <w:rPr>
                <w:color w:val="000000"/>
                <w:sz w:val="22"/>
                <w:szCs w:val="22"/>
                <w:rtl w:val="0"/>
              </w:rPr>
              <w:t xml:space="preserve">20</w:t>
            </w:r>
          </w:p>
        </w:tc>
        <w:tc>
          <w:tcPr/>
          <w:p w:rsidR="00000000" w:rsidDel="00000000" w:rsidP="00000000" w:rsidRDefault="00000000" w:rsidRPr="00000000" w14:paraId="00000372">
            <w:pPr>
              <w:jc w:val="right"/>
              <w:rPr>
                <w:color w:val="000000"/>
                <w:sz w:val="22"/>
                <w:szCs w:val="22"/>
              </w:rPr>
            </w:pPr>
            <w:r w:rsidDel="00000000" w:rsidR="00000000" w:rsidRPr="00000000">
              <w:rPr>
                <w:color w:val="000000"/>
                <w:sz w:val="22"/>
                <w:szCs w:val="22"/>
                <w:rtl w:val="0"/>
              </w:rPr>
              <w:t xml:space="preserve">4, 6, 7, 8, 9, 13,18, 19, 21, 22, 28, 30, 31, 32, 40, 41, 56, 57, 58, 65</w:t>
            </w:r>
          </w:p>
        </w:tc>
      </w:tr>
      <w:tr>
        <w:trPr>
          <w:cantSplit w:val="0"/>
          <w:trHeight w:val="135" w:hRule="atLeast"/>
          <w:tblHeader w:val="0"/>
        </w:trPr>
        <w:tc>
          <w:tcPr>
            <w:vMerge w:val="continue"/>
          </w:tcPr>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74">
            <w:pPr>
              <w:rPr>
                <w:b w:val="1"/>
                <w:color w:val="000000"/>
                <w:sz w:val="22"/>
                <w:szCs w:val="22"/>
              </w:rPr>
            </w:pPr>
            <w:r w:rsidDel="00000000" w:rsidR="00000000" w:rsidRPr="00000000">
              <w:rPr>
                <w:b w:val="1"/>
                <w:color w:val="000000"/>
                <w:sz w:val="22"/>
                <w:szCs w:val="22"/>
                <w:rtl w:val="0"/>
              </w:rPr>
              <w:t xml:space="preserve">Benzodiazepines</w:t>
            </w:r>
          </w:p>
        </w:tc>
        <w:tc>
          <w:tcPr>
            <w:vAlign w:val="center"/>
          </w:tcPr>
          <w:p w:rsidR="00000000" w:rsidDel="00000000" w:rsidP="00000000" w:rsidRDefault="00000000" w:rsidRPr="00000000" w14:paraId="00000375">
            <w:pPr>
              <w:jc w:val="center"/>
              <w:rPr>
                <w:color w:val="000000"/>
                <w:sz w:val="22"/>
                <w:szCs w:val="22"/>
              </w:rPr>
            </w:pPr>
            <w:r w:rsidDel="00000000" w:rsidR="00000000" w:rsidRPr="00000000">
              <w:rPr>
                <w:color w:val="000000"/>
                <w:sz w:val="22"/>
                <w:szCs w:val="22"/>
                <w:rtl w:val="0"/>
              </w:rPr>
              <w:t xml:space="preserve">13</w:t>
            </w:r>
          </w:p>
        </w:tc>
        <w:tc>
          <w:tcPr/>
          <w:p w:rsidR="00000000" w:rsidDel="00000000" w:rsidP="00000000" w:rsidRDefault="00000000" w:rsidRPr="00000000" w14:paraId="00000376">
            <w:pPr>
              <w:jc w:val="right"/>
              <w:rPr>
                <w:color w:val="000000"/>
                <w:sz w:val="22"/>
                <w:szCs w:val="22"/>
              </w:rPr>
            </w:pPr>
            <w:r w:rsidDel="00000000" w:rsidR="00000000" w:rsidRPr="00000000">
              <w:rPr>
                <w:color w:val="000000"/>
                <w:sz w:val="22"/>
                <w:szCs w:val="22"/>
                <w:rtl w:val="0"/>
              </w:rPr>
              <w:t xml:space="preserve">1, 2, 3, 10, 12, 15, 17, 25, 42, 49, 51, 59, 66</w:t>
            </w:r>
          </w:p>
        </w:tc>
      </w:tr>
      <w:tr>
        <w:trPr>
          <w:cantSplit w:val="0"/>
          <w:trHeight w:val="135" w:hRule="atLeast"/>
          <w:tblHeader w:val="0"/>
        </w:trPr>
        <w:tc>
          <w:tcPr>
            <w:vMerge w:val="continue"/>
          </w:tcPr>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78">
            <w:pPr>
              <w:rPr>
                <w:b w:val="1"/>
                <w:color w:val="000000"/>
                <w:sz w:val="22"/>
                <w:szCs w:val="22"/>
              </w:rPr>
            </w:pPr>
            <w:r w:rsidDel="00000000" w:rsidR="00000000" w:rsidRPr="00000000">
              <w:rPr>
                <w:b w:val="1"/>
                <w:color w:val="000000"/>
                <w:sz w:val="22"/>
                <w:szCs w:val="22"/>
                <w:rtl w:val="0"/>
              </w:rPr>
              <w:t xml:space="preserve">Gabapentinoids</w:t>
            </w:r>
          </w:p>
        </w:tc>
        <w:tc>
          <w:tcPr>
            <w:vAlign w:val="center"/>
          </w:tcPr>
          <w:p w:rsidR="00000000" w:rsidDel="00000000" w:rsidP="00000000" w:rsidRDefault="00000000" w:rsidRPr="00000000" w14:paraId="00000379">
            <w:pPr>
              <w:jc w:val="center"/>
              <w:rPr>
                <w:color w:val="000000"/>
                <w:sz w:val="22"/>
                <w:szCs w:val="22"/>
              </w:rPr>
            </w:pPr>
            <w:r w:rsidDel="00000000" w:rsidR="00000000" w:rsidRPr="00000000">
              <w:rPr>
                <w:color w:val="000000"/>
                <w:sz w:val="22"/>
                <w:szCs w:val="22"/>
                <w:rtl w:val="0"/>
              </w:rPr>
              <w:t xml:space="preserve">2</w:t>
            </w:r>
          </w:p>
        </w:tc>
        <w:tc>
          <w:tcPr/>
          <w:p w:rsidR="00000000" w:rsidDel="00000000" w:rsidP="00000000" w:rsidRDefault="00000000" w:rsidRPr="00000000" w14:paraId="0000037A">
            <w:pPr>
              <w:jc w:val="right"/>
              <w:rPr>
                <w:color w:val="000000"/>
                <w:sz w:val="22"/>
                <w:szCs w:val="22"/>
              </w:rPr>
            </w:pPr>
            <w:r w:rsidDel="00000000" w:rsidR="00000000" w:rsidRPr="00000000">
              <w:rPr>
                <w:color w:val="000000"/>
                <w:sz w:val="22"/>
                <w:szCs w:val="22"/>
                <w:rtl w:val="0"/>
              </w:rPr>
              <w:t xml:space="preserve">60, 67</w:t>
            </w:r>
          </w:p>
        </w:tc>
      </w:tr>
      <w:tr>
        <w:trPr>
          <w:cantSplit w:val="0"/>
          <w:trHeight w:val="135" w:hRule="atLeast"/>
          <w:tblHeader w:val="0"/>
        </w:trPr>
        <w:tc>
          <w:tcPr>
            <w:vMerge w:val="continue"/>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7C">
            <w:pPr>
              <w:rPr>
                <w:b w:val="1"/>
                <w:color w:val="000000"/>
                <w:sz w:val="22"/>
                <w:szCs w:val="22"/>
              </w:rPr>
            </w:pPr>
            <w:r w:rsidDel="00000000" w:rsidR="00000000" w:rsidRPr="00000000">
              <w:rPr>
                <w:b w:val="1"/>
                <w:color w:val="000000"/>
                <w:sz w:val="22"/>
                <w:szCs w:val="22"/>
                <w:rtl w:val="0"/>
              </w:rPr>
              <w:t xml:space="preserve">Opioids</w:t>
            </w:r>
          </w:p>
        </w:tc>
        <w:tc>
          <w:tcPr>
            <w:vAlign w:val="center"/>
          </w:tcPr>
          <w:p w:rsidR="00000000" w:rsidDel="00000000" w:rsidP="00000000" w:rsidRDefault="00000000" w:rsidRPr="00000000" w14:paraId="0000037D">
            <w:pPr>
              <w:jc w:val="center"/>
              <w:rPr>
                <w:color w:val="000000"/>
                <w:sz w:val="22"/>
                <w:szCs w:val="22"/>
              </w:rPr>
            </w:pPr>
            <w:r w:rsidDel="00000000" w:rsidR="00000000" w:rsidRPr="00000000">
              <w:rPr>
                <w:color w:val="000000"/>
                <w:sz w:val="22"/>
                <w:szCs w:val="22"/>
                <w:rtl w:val="0"/>
              </w:rPr>
              <w:t xml:space="preserve">28</w:t>
            </w:r>
          </w:p>
        </w:tc>
        <w:tc>
          <w:tcPr/>
          <w:p w:rsidR="00000000" w:rsidDel="00000000" w:rsidP="00000000" w:rsidRDefault="00000000" w:rsidRPr="00000000" w14:paraId="0000037E">
            <w:pPr>
              <w:jc w:val="right"/>
              <w:rPr>
                <w:color w:val="000000"/>
                <w:sz w:val="22"/>
                <w:szCs w:val="22"/>
              </w:rPr>
            </w:pPr>
            <w:r w:rsidDel="00000000" w:rsidR="00000000" w:rsidRPr="00000000">
              <w:rPr>
                <w:color w:val="000000"/>
                <w:sz w:val="22"/>
                <w:szCs w:val="22"/>
                <w:rtl w:val="0"/>
              </w:rPr>
              <w:t xml:space="preserve">11, 14, 20, 24, 26, 27, 33, 34, 35, 37, 38, 39, 43, 44, 45, 46, 47, 48, 50, 52, 53, 54, 55, 61, 63, 64, 67, 68</w:t>
            </w:r>
          </w:p>
        </w:tc>
      </w:tr>
      <w:tr>
        <w:trPr>
          <w:cantSplit w:val="0"/>
          <w:trHeight w:val="135" w:hRule="atLeast"/>
          <w:tblHeader w:val="0"/>
        </w:trPr>
        <w:tc>
          <w:tcPr>
            <w:vMerge w:val="continue"/>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80">
            <w:pPr>
              <w:rPr>
                <w:b w:val="1"/>
                <w:color w:val="000000"/>
                <w:sz w:val="22"/>
                <w:szCs w:val="22"/>
              </w:rPr>
            </w:pPr>
            <w:r w:rsidDel="00000000" w:rsidR="00000000" w:rsidRPr="00000000">
              <w:rPr>
                <w:b w:val="1"/>
                <w:color w:val="000000"/>
                <w:sz w:val="22"/>
                <w:szCs w:val="22"/>
                <w:rtl w:val="0"/>
              </w:rPr>
              <w:t xml:space="preserve">Z-Drugs</w:t>
            </w:r>
          </w:p>
        </w:tc>
        <w:tc>
          <w:tcPr>
            <w:vAlign w:val="center"/>
          </w:tcPr>
          <w:p w:rsidR="00000000" w:rsidDel="00000000" w:rsidP="00000000" w:rsidRDefault="00000000" w:rsidRPr="00000000" w14:paraId="00000381">
            <w:pPr>
              <w:jc w:val="center"/>
              <w:rPr>
                <w:color w:val="000000"/>
                <w:sz w:val="22"/>
                <w:szCs w:val="22"/>
              </w:rPr>
            </w:pPr>
            <w:r w:rsidDel="00000000" w:rsidR="00000000" w:rsidRPr="00000000">
              <w:rPr>
                <w:color w:val="000000"/>
                <w:sz w:val="22"/>
                <w:szCs w:val="22"/>
                <w:rtl w:val="0"/>
              </w:rPr>
              <w:t xml:space="preserve">6</w:t>
            </w:r>
          </w:p>
        </w:tc>
        <w:tc>
          <w:tcPr/>
          <w:p w:rsidR="00000000" w:rsidDel="00000000" w:rsidP="00000000" w:rsidRDefault="00000000" w:rsidRPr="00000000" w14:paraId="00000382">
            <w:pPr>
              <w:jc w:val="right"/>
              <w:rPr>
                <w:color w:val="000000"/>
                <w:sz w:val="22"/>
                <w:szCs w:val="22"/>
              </w:rPr>
            </w:pPr>
            <w:r w:rsidDel="00000000" w:rsidR="00000000" w:rsidRPr="00000000">
              <w:rPr>
                <w:color w:val="000000"/>
                <w:sz w:val="22"/>
                <w:szCs w:val="22"/>
                <w:rtl w:val="0"/>
              </w:rPr>
              <w:t xml:space="preserve">1, 5, 15, 16, 17, 25</w:t>
            </w:r>
          </w:p>
        </w:tc>
      </w:tr>
      <w:tr>
        <w:trPr>
          <w:cantSplit w:val="0"/>
          <w:trHeight w:val="135" w:hRule="atLeast"/>
          <w:tblHeader w:val="0"/>
        </w:trPr>
        <w:tc>
          <w:tcPr>
            <w:vMerge w:val="continue"/>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84">
            <w:pPr>
              <w:rPr>
                <w:b w:val="1"/>
                <w:color w:val="000000"/>
                <w:sz w:val="22"/>
                <w:szCs w:val="22"/>
              </w:rPr>
            </w:pPr>
            <w:r w:rsidDel="00000000" w:rsidR="00000000" w:rsidRPr="00000000">
              <w:rPr>
                <w:b w:val="1"/>
                <w:color w:val="000000"/>
                <w:sz w:val="22"/>
                <w:szCs w:val="22"/>
                <w:rtl w:val="0"/>
              </w:rPr>
              <w:t xml:space="preserve">General</w:t>
            </w:r>
          </w:p>
        </w:tc>
        <w:tc>
          <w:tcPr>
            <w:vAlign w:val="center"/>
          </w:tcPr>
          <w:p w:rsidR="00000000" w:rsidDel="00000000" w:rsidP="00000000" w:rsidRDefault="00000000" w:rsidRPr="00000000" w14:paraId="00000385">
            <w:pPr>
              <w:jc w:val="center"/>
              <w:rPr>
                <w:color w:val="000000"/>
                <w:sz w:val="22"/>
                <w:szCs w:val="22"/>
              </w:rPr>
            </w:pPr>
            <w:r w:rsidDel="00000000" w:rsidR="00000000" w:rsidRPr="00000000">
              <w:rPr>
                <w:color w:val="000000"/>
                <w:sz w:val="22"/>
                <w:szCs w:val="22"/>
                <w:rtl w:val="0"/>
              </w:rPr>
              <w:t xml:space="preserve">4</w:t>
            </w:r>
          </w:p>
        </w:tc>
        <w:tc>
          <w:tcPr/>
          <w:p w:rsidR="00000000" w:rsidDel="00000000" w:rsidP="00000000" w:rsidRDefault="00000000" w:rsidRPr="00000000" w14:paraId="00000386">
            <w:pPr>
              <w:jc w:val="right"/>
              <w:rPr>
                <w:color w:val="000000"/>
                <w:sz w:val="22"/>
                <w:szCs w:val="22"/>
              </w:rPr>
            </w:pPr>
            <w:r w:rsidDel="00000000" w:rsidR="00000000" w:rsidRPr="00000000">
              <w:rPr>
                <w:color w:val="000000"/>
                <w:sz w:val="22"/>
                <w:szCs w:val="22"/>
                <w:rtl w:val="0"/>
              </w:rPr>
              <w:t xml:space="preserve">23, 29, 36, 69</w:t>
            </w:r>
          </w:p>
        </w:tc>
      </w:tr>
      <w:tr>
        <w:trPr>
          <w:cantSplit w:val="0"/>
          <w:trHeight w:val="135" w:hRule="atLeast"/>
          <w:tblHeader w:val="0"/>
        </w:trPr>
        <w:tc>
          <w:tcPr>
            <w:vMerge w:val="continue"/>
          </w:tcPr>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88">
            <w:pPr>
              <w:rPr>
                <w:b w:val="1"/>
                <w:color w:val="000000"/>
                <w:sz w:val="22"/>
                <w:szCs w:val="22"/>
              </w:rPr>
            </w:pPr>
            <w:r w:rsidDel="00000000" w:rsidR="00000000" w:rsidRPr="00000000">
              <w:rPr>
                <w:b w:val="1"/>
                <w:color w:val="000000"/>
                <w:sz w:val="22"/>
                <w:szCs w:val="22"/>
                <w:rtl w:val="0"/>
              </w:rPr>
              <w:t xml:space="preserve">Service Evaluation</w:t>
            </w:r>
          </w:p>
        </w:tc>
        <w:tc>
          <w:tcPr>
            <w:vAlign w:val="center"/>
          </w:tcPr>
          <w:p w:rsidR="00000000" w:rsidDel="00000000" w:rsidP="00000000" w:rsidRDefault="00000000" w:rsidRPr="00000000" w14:paraId="00000389">
            <w:pPr>
              <w:jc w:val="center"/>
              <w:rPr>
                <w:color w:val="000000"/>
                <w:sz w:val="22"/>
                <w:szCs w:val="22"/>
              </w:rPr>
            </w:pPr>
            <w:r w:rsidDel="00000000" w:rsidR="00000000" w:rsidRPr="00000000">
              <w:rPr>
                <w:color w:val="000000"/>
                <w:sz w:val="22"/>
                <w:szCs w:val="22"/>
                <w:rtl w:val="0"/>
              </w:rPr>
              <w:t xml:space="preserve">2</w:t>
            </w:r>
          </w:p>
        </w:tc>
        <w:tc>
          <w:tcPr/>
          <w:p w:rsidR="00000000" w:rsidDel="00000000" w:rsidP="00000000" w:rsidRDefault="00000000" w:rsidRPr="00000000" w14:paraId="0000038A">
            <w:pPr>
              <w:keepNext w:val="1"/>
              <w:jc w:val="right"/>
              <w:rPr>
                <w:color w:val="000000"/>
                <w:sz w:val="22"/>
                <w:szCs w:val="22"/>
              </w:rPr>
            </w:pPr>
            <w:r w:rsidDel="00000000" w:rsidR="00000000" w:rsidRPr="00000000">
              <w:rPr>
                <w:color w:val="000000"/>
                <w:sz w:val="22"/>
                <w:szCs w:val="22"/>
                <w:rtl w:val="0"/>
              </w:rPr>
              <w:t xml:space="preserve">36, 62</w:t>
            </w:r>
          </w:p>
        </w:tc>
      </w:tr>
    </w:tbl>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41mghml" w:id="38"/>
      <w:bookmarkEnd w:id="38"/>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3: A table outlining the study characteristics. Note: study 1, 15, 17 and 25 investigate both benzodiazepines and z-drugs, resulting in duplication within this table.</w:t>
      </w:r>
    </w:p>
    <w:p w:rsidR="00000000" w:rsidDel="00000000" w:rsidP="00000000" w:rsidRDefault="00000000" w:rsidRPr="00000000" w14:paraId="0000038D">
      <w:pPr>
        <w:rPr/>
      </w:pPr>
      <w:r w:rsidDel="00000000" w:rsidR="00000000" w:rsidRPr="00000000">
        <w:rPr>
          <w:rtl w:val="0"/>
        </w:rPr>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spacing w:line="480" w:lineRule="auto"/>
        <w:jc w:val="both"/>
        <w:rPr>
          <w:sz w:val="22"/>
          <w:szCs w:val="22"/>
        </w:rPr>
      </w:pPr>
      <w:r w:rsidDel="00000000" w:rsidR="00000000" w:rsidRPr="00000000">
        <w:rPr>
          <w:sz w:val="22"/>
          <w:szCs w:val="22"/>
          <w:rtl w:val="0"/>
        </w:rPr>
        <w:t xml:space="preserve">Four key themes were identified in the literature and subsequent analysis, using Thematic Analysis (Braun and Clarke 2006):</w:t>
      </w:r>
    </w:p>
    <w:p w:rsidR="00000000" w:rsidDel="00000000" w:rsidP="00000000" w:rsidRDefault="00000000" w:rsidRPr="00000000" w14:paraId="00000390">
      <w:pPr>
        <w:spacing w:line="480" w:lineRule="auto"/>
        <w:jc w:val="both"/>
        <w:rPr>
          <w:sz w:val="22"/>
          <w:szCs w:val="22"/>
        </w:rPr>
      </w:pPr>
      <w:r w:rsidDel="00000000" w:rsidR="00000000" w:rsidRPr="00000000">
        <w:rPr>
          <w:rtl w:val="0"/>
        </w:rPr>
      </w:r>
    </w:p>
    <w:p w:rsidR="00000000" w:rsidDel="00000000" w:rsidP="00000000" w:rsidRDefault="00000000" w:rsidRPr="00000000" w14:paraId="00000391">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Balancing the Risk versus Benefits of Prescribed Medicines</w:t>
      </w:r>
    </w:p>
    <w:p w:rsidR="00000000" w:rsidDel="00000000" w:rsidP="00000000" w:rsidRDefault="00000000" w:rsidRPr="00000000" w14:paraId="0000039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Experiences of Withdrawal</w:t>
      </w:r>
    </w:p>
    <w:p w:rsidR="00000000" w:rsidDel="00000000" w:rsidP="00000000" w:rsidRDefault="00000000" w:rsidRPr="00000000" w14:paraId="00000393">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What are the Methods of Deprescribing?</w:t>
      </w:r>
    </w:p>
    <w:p w:rsidR="00000000" w:rsidDel="00000000" w:rsidP="00000000" w:rsidRDefault="00000000" w:rsidRPr="00000000" w14:paraId="00000394">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480" w:lineRule="auto"/>
        <w:ind w:left="1209" w:right="0" w:hanging="50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 Impact of the Practitioner Relationship</w:t>
      </w:r>
    </w:p>
    <w:p w:rsidR="00000000" w:rsidDel="00000000" w:rsidP="00000000" w:rsidRDefault="00000000" w:rsidRPr="00000000" w14:paraId="00000395">
      <w:pPr>
        <w:spacing w:line="480" w:lineRule="auto"/>
        <w:jc w:val="both"/>
        <w:rPr>
          <w:sz w:val="22"/>
          <w:szCs w:val="22"/>
        </w:rPr>
      </w:pPr>
      <w:r w:rsidDel="00000000" w:rsidR="00000000" w:rsidRPr="00000000">
        <w:rPr>
          <w:rtl w:val="0"/>
        </w:rPr>
      </w:r>
    </w:p>
    <w:p w:rsidR="00000000" w:rsidDel="00000000" w:rsidP="00000000" w:rsidRDefault="00000000" w:rsidRPr="00000000" w14:paraId="00000396">
      <w:pPr>
        <w:spacing w:line="480" w:lineRule="auto"/>
        <w:jc w:val="both"/>
        <w:rPr>
          <w:sz w:val="22"/>
          <w:szCs w:val="22"/>
        </w:rPr>
      </w:pPr>
      <w:r w:rsidDel="00000000" w:rsidR="00000000" w:rsidRPr="00000000">
        <w:rPr>
          <w:sz w:val="22"/>
          <w:szCs w:val="22"/>
          <w:rtl w:val="0"/>
        </w:rPr>
        <w:t xml:space="preserve">This narrative review will highlight the complexity in the relationship between patients and their healthcare professional. Patients assess and balance the risks and benefits of their medication. This depends on factors such as efficacy, side effects and medication beliefs. Stigma can arise from both medical and societal sources and can lead to negative consequences for treatment outcomes. While there are barriers that can hinder the process, facilitators such as social support and appropriate interventions can help patients successfully reduce or discontinue medications. Deprescribing services can play a valuable role in addressing barriers, providing information, and offering alternative interventions. Collaborative approaches, effective communication, and a patient-centred focus are essential for successful outcomes. These will now be presented in turn.</w:t>
      </w:r>
    </w:p>
    <w:p w:rsidR="00000000" w:rsidDel="00000000" w:rsidP="00000000" w:rsidRDefault="00000000" w:rsidRPr="00000000" w14:paraId="00000397">
      <w:pPr>
        <w:spacing w:line="480" w:lineRule="auto"/>
        <w:jc w:val="both"/>
        <w:rPr>
          <w:sz w:val="22"/>
          <w:szCs w:val="22"/>
        </w:rPr>
      </w:pPr>
      <w:r w:rsidDel="00000000" w:rsidR="00000000" w:rsidRPr="00000000">
        <w:rPr>
          <w:rtl w:val="0"/>
        </w:rPr>
      </w:r>
    </w:p>
    <w:p w:rsidR="00000000" w:rsidDel="00000000" w:rsidP="00000000" w:rsidRDefault="00000000" w:rsidRPr="00000000" w14:paraId="00000398">
      <w:pPr>
        <w:pStyle w:val="Heading2"/>
        <w:numPr>
          <w:ilvl w:val="1"/>
          <w:numId w:val="10"/>
        </w:numPr>
        <w:spacing w:line="480" w:lineRule="auto"/>
        <w:ind w:left="720" w:hanging="720"/>
        <w:rPr/>
      </w:pPr>
      <w:bookmarkStart w:colFirst="0" w:colLast="0" w:name="_heading=h.2grqrue" w:id="39"/>
      <w:bookmarkEnd w:id="39"/>
      <w:r w:rsidDel="00000000" w:rsidR="00000000" w:rsidRPr="00000000">
        <w:rPr>
          <w:rtl w:val="0"/>
        </w:rPr>
        <w:t xml:space="preserve">Balancing the Risk versus Benefits of Prescribed Medicines</w:t>
      </w:r>
    </w:p>
    <w:p w:rsidR="00000000" w:rsidDel="00000000" w:rsidP="00000000" w:rsidRDefault="00000000" w:rsidRPr="00000000" w14:paraId="00000399">
      <w:pPr>
        <w:spacing w:line="480" w:lineRule="auto"/>
        <w:jc w:val="both"/>
        <w:rPr>
          <w:sz w:val="22"/>
          <w:szCs w:val="22"/>
        </w:rPr>
      </w:pPr>
      <w:r w:rsidDel="00000000" w:rsidR="00000000" w:rsidRPr="00000000">
        <w:rPr>
          <w:sz w:val="22"/>
          <w:szCs w:val="22"/>
          <w:rtl w:val="0"/>
        </w:rPr>
        <w:t xml:space="preserve">There appeared to be a “</w:t>
      </w:r>
      <w:r w:rsidDel="00000000" w:rsidR="00000000" w:rsidRPr="00000000">
        <w:rPr>
          <w:i w:val="1"/>
          <w:sz w:val="22"/>
          <w:szCs w:val="22"/>
          <w:rtl w:val="0"/>
        </w:rPr>
        <w:t xml:space="preserve">risk versus benefits</w:t>
      </w:r>
      <w:r w:rsidDel="00000000" w:rsidR="00000000" w:rsidRPr="00000000">
        <w:rPr>
          <w:sz w:val="22"/>
          <w:szCs w:val="22"/>
          <w:rtl w:val="0"/>
        </w:rPr>
        <w:t xml:space="preserve">” approach to medication use. The literature suggests patients explore these key issues in the context of their perceived efficacy, whether they experience the intended therapeutic benefits, whilst risks include side effects and their perceived safety. Balancing these risks and benefits in the context of their medical necessity is also presented.   </w:t>
      </w:r>
    </w:p>
    <w:p w:rsidR="00000000" w:rsidDel="00000000" w:rsidP="00000000" w:rsidRDefault="00000000" w:rsidRPr="00000000" w14:paraId="0000039A">
      <w:pPr>
        <w:spacing w:line="480" w:lineRule="auto"/>
        <w:jc w:val="both"/>
        <w:rPr>
          <w:sz w:val="22"/>
          <w:szCs w:val="22"/>
        </w:rPr>
      </w:pPr>
      <w:r w:rsidDel="00000000" w:rsidR="00000000" w:rsidRPr="00000000">
        <w:rPr>
          <w:sz w:val="22"/>
          <w:szCs w:val="22"/>
          <w:rtl w:val="0"/>
        </w:rPr>
        <w:t xml:space="preserve">In regard to medication beliefs, Hillman et al (2021, p.7) found a “</w:t>
      </w:r>
      <w:r w:rsidDel="00000000" w:rsidR="00000000" w:rsidRPr="00000000">
        <w:rPr>
          <w:i w:val="1"/>
          <w:sz w:val="22"/>
          <w:szCs w:val="22"/>
          <w:rtl w:val="0"/>
        </w:rPr>
        <w:t xml:space="preserve">simultaneous and contradictory attitude towards medication</w:t>
      </w:r>
      <w:r w:rsidDel="00000000" w:rsidR="00000000" w:rsidRPr="00000000">
        <w:rPr>
          <w:sz w:val="22"/>
          <w:szCs w:val="22"/>
          <w:rtl w:val="0"/>
        </w:rPr>
        <w:t xml:space="preserve">”. Although medicines are considered beneficial and essential, there are concerns regarding risks and side effects (Hillman et al 2021 p.7, Anderson et al 2015 p.4, Hamilton et al 2022 p.4085). The decision to accept a prescription is not considered a “</w:t>
      </w:r>
      <w:r w:rsidDel="00000000" w:rsidR="00000000" w:rsidRPr="00000000">
        <w:rPr>
          <w:i w:val="1"/>
          <w:sz w:val="22"/>
          <w:szCs w:val="22"/>
          <w:rtl w:val="0"/>
        </w:rPr>
        <w:t xml:space="preserve">black and white decision</w:t>
      </w:r>
      <w:r w:rsidDel="00000000" w:rsidR="00000000" w:rsidRPr="00000000">
        <w:rPr>
          <w:sz w:val="22"/>
          <w:szCs w:val="22"/>
          <w:rtl w:val="0"/>
        </w:rPr>
        <w:t xml:space="preserve">” (McNeilage et al 2023 p.4), and there is a perceived balancing act between the risks and benefits of prescribed medicines (Sirdifield et al 2017 p.7, Cheung et al 2015 p.941, Bayliss and Hottum 2015 p.941, Gibson et al 2016 p.6, De Sola et al 2020 p.1123, Cho et al 2021 p.3). </w:t>
      </w:r>
    </w:p>
    <w:p w:rsidR="00000000" w:rsidDel="00000000" w:rsidP="00000000" w:rsidRDefault="00000000" w:rsidRPr="00000000" w14:paraId="0000039B">
      <w:pPr>
        <w:spacing w:line="480" w:lineRule="auto"/>
        <w:jc w:val="both"/>
        <w:rPr>
          <w:sz w:val="22"/>
          <w:szCs w:val="22"/>
        </w:rPr>
      </w:pPr>
      <w:r w:rsidDel="00000000" w:rsidR="00000000" w:rsidRPr="00000000">
        <w:rPr>
          <w:rtl w:val="0"/>
        </w:rPr>
      </w:r>
    </w:p>
    <w:p w:rsidR="00000000" w:rsidDel="00000000" w:rsidP="00000000" w:rsidRDefault="00000000" w:rsidRPr="00000000" w14:paraId="0000039C">
      <w:pPr>
        <w:spacing w:line="480" w:lineRule="auto"/>
        <w:jc w:val="both"/>
        <w:rPr>
          <w:sz w:val="22"/>
          <w:szCs w:val="22"/>
        </w:rPr>
      </w:pPr>
      <w:r w:rsidDel="00000000" w:rsidR="00000000" w:rsidRPr="00000000">
        <w:rPr>
          <w:sz w:val="22"/>
          <w:szCs w:val="22"/>
          <w:rtl w:val="0"/>
        </w:rPr>
        <w:t xml:space="preserve">Medicines are described as a “</w:t>
      </w:r>
      <w:r w:rsidDel="00000000" w:rsidR="00000000" w:rsidRPr="00000000">
        <w:rPr>
          <w:i w:val="1"/>
          <w:sz w:val="22"/>
          <w:szCs w:val="22"/>
          <w:rtl w:val="0"/>
        </w:rPr>
        <w:t xml:space="preserve">life saver</w:t>
      </w:r>
      <w:r w:rsidDel="00000000" w:rsidR="00000000" w:rsidRPr="00000000">
        <w:rPr>
          <w:sz w:val="22"/>
          <w:szCs w:val="22"/>
          <w:rtl w:val="0"/>
        </w:rPr>
        <w:t xml:space="preserve">”, a “</w:t>
      </w:r>
      <w:r w:rsidDel="00000000" w:rsidR="00000000" w:rsidRPr="00000000">
        <w:rPr>
          <w:i w:val="1"/>
          <w:sz w:val="22"/>
          <w:szCs w:val="22"/>
          <w:rtl w:val="0"/>
        </w:rPr>
        <w:t xml:space="preserve">means to an end</w:t>
      </w:r>
      <w:r w:rsidDel="00000000" w:rsidR="00000000" w:rsidRPr="00000000">
        <w:rPr>
          <w:sz w:val="22"/>
          <w:szCs w:val="22"/>
          <w:rtl w:val="0"/>
        </w:rPr>
        <w:t xml:space="preserve">”, and an “</w:t>
      </w:r>
      <w:r w:rsidDel="00000000" w:rsidR="00000000" w:rsidRPr="00000000">
        <w:rPr>
          <w:i w:val="1"/>
          <w:sz w:val="22"/>
          <w:szCs w:val="22"/>
          <w:rtl w:val="0"/>
        </w:rPr>
        <w:t xml:space="preserve">aid to surviving a crisis</w:t>
      </w:r>
      <w:r w:rsidDel="00000000" w:rsidR="00000000" w:rsidRPr="00000000">
        <w:rPr>
          <w:sz w:val="22"/>
          <w:szCs w:val="22"/>
          <w:rtl w:val="0"/>
        </w:rPr>
        <w:t xml:space="preserve">”, with one participant in Anderson et al’s interview describing their antidepressant use as “no different to taking insulin for diabetes” (Gibson et al 2016 p.4, Anderson et al 2015 p.3). Prescribed medicines are perceived as more effective than over the counter medicines, as they are prescribed by a qualified medical professional (Cheung et al 2015 p.938, Sirdifield et al 2017 p.8, Hamilton et al 2022 p.4089). There may be an expectation of a prescription and a disappointment in the alternatives offered by professionals; however, this can act as a barrier to reduction (Sirdifield et al 2017 p.10, Bayliss and Holttum 2015 p.318).</w:t>
      </w:r>
    </w:p>
    <w:p w:rsidR="00000000" w:rsidDel="00000000" w:rsidP="00000000" w:rsidRDefault="00000000" w:rsidRPr="00000000" w14:paraId="0000039D">
      <w:pPr>
        <w:spacing w:line="480" w:lineRule="auto"/>
        <w:jc w:val="both"/>
        <w:rPr>
          <w:sz w:val="22"/>
          <w:szCs w:val="22"/>
        </w:rPr>
      </w:pPr>
      <w:r w:rsidDel="00000000" w:rsidR="00000000" w:rsidRPr="00000000">
        <w:rPr>
          <w:rtl w:val="0"/>
        </w:rPr>
      </w:r>
    </w:p>
    <w:p w:rsidR="00000000" w:rsidDel="00000000" w:rsidP="00000000" w:rsidRDefault="00000000" w:rsidRPr="00000000" w14:paraId="0000039E">
      <w:pPr>
        <w:spacing w:line="480" w:lineRule="auto"/>
        <w:jc w:val="both"/>
        <w:rPr>
          <w:sz w:val="22"/>
          <w:szCs w:val="22"/>
        </w:rPr>
      </w:pPr>
      <w:r w:rsidDel="00000000" w:rsidR="00000000" w:rsidRPr="00000000">
        <w:rPr>
          <w:sz w:val="22"/>
          <w:szCs w:val="22"/>
          <w:rtl w:val="0"/>
        </w:rPr>
        <w:t xml:space="preserve">Efficacy and a positive experience with medicines are associated with an improvement in mood, alleviation of symptoms, and an improved quality of life (Read et al 2020, McNeilage et al 2023, Kim et al 2020). Of 342 survey respondents, 86.9% found their antidepressants “</w:t>
      </w:r>
      <w:r w:rsidDel="00000000" w:rsidR="00000000" w:rsidRPr="00000000">
        <w:rPr>
          <w:i w:val="1"/>
          <w:sz w:val="22"/>
          <w:szCs w:val="22"/>
          <w:rtl w:val="0"/>
        </w:rPr>
        <w:t xml:space="preserve">fairly effective</w:t>
      </w:r>
      <w:r w:rsidDel="00000000" w:rsidR="00000000" w:rsidRPr="00000000">
        <w:rPr>
          <w:sz w:val="22"/>
          <w:szCs w:val="22"/>
          <w:rtl w:val="0"/>
        </w:rPr>
        <w:t xml:space="preserve">”, a further 35.2% of respondents reporting their antidepressants as “</w:t>
      </w:r>
      <w:r w:rsidDel="00000000" w:rsidR="00000000" w:rsidRPr="00000000">
        <w:rPr>
          <w:i w:val="1"/>
          <w:sz w:val="22"/>
          <w:szCs w:val="22"/>
          <w:rtl w:val="0"/>
        </w:rPr>
        <w:t xml:space="preserve">very effective</w:t>
      </w:r>
      <w:r w:rsidDel="00000000" w:rsidR="00000000" w:rsidRPr="00000000">
        <w:rPr>
          <w:sz w:val="22"/>
          <w:szCs w:val="22"/>
          <w:rtl w:val="0"/>
        </w:rPr>
        <w:t xml:space="preserve">” and 5.3% perceiving antidepressants as “</w:t>
      </w:r>
      <w:r w:rsidDel="00000000" w:rsidR="00000000" w:rsidRPr="00000000">
        <w:rPr>
          <w:i w:val="1"/>
          <w:sz w:val="22"/>
          <w:szCs w:val="22"/>
          <w:rtl w:val="0"/>
        </w:rPr>
        <w:t xml:space="preserve">completely effective</w:t>
      </w:r>
      <w:r w:rsidDel="00000000" w:rsidR="00000000" w:rsidRPr="00000000">
        <w:rPr>
          <w:sz w:val="22"/>
          <w:szCs w:val="22"/>
          <w:rtl w:val="0"/>
        </w:rPr>
        <w:t xml:space="preserve">” (Read et al 2020, p.745). This was a result of the alleviation of depressive symptoms and an improved quality of life (Read et al 2020, p.745). </w:t>
      </w:r>
    </w:p>
    <w:p w:rsidR="00000000" w:rsidDel="00000000" w:rsidP="00000000" w:rsidRDefault="00000000" w:rsidRPr="00000000" w14:paraId="0000039F">
      <w:pPr>
        <w:spacing w:line="480" w:lineRule="auto"/>
        <w:jc w:val="both"/>
        <w:rPr>
          <w:sz w:val="22"/>
          <w:szCs w:val="22"/>
        </w:rPr>
      </w:pPr>
      <w:r w:rsidDel="00000000" w:rsidR="00000000" w:rsidRPr="00000000">
        <w:rPr>
          <w:rtl w:val="0"/>
        </w:rPr>
      </w:r>
    </w:p>
    <w:p w:rsidR="00000000" w:rsidDel="00000000" w:rsidP="00000000" w:rsidRDefault="00000000" w:rsidRPr="00000000" w14:paraId="000003A0">
      <w:pPr>
        <w:spacing w:line="480" w:lineRule="auto"/>
        <w:jc w:val="both"/>
        <w:rPr>
          <w:sz w:val="22"/>
          <w:szCs w:val="22"/>
        </w:rPr>
      </w:pPr>
      <w:r w:rsidDel="00000000" w:rsidR="00000000" w:rsidRPr="00000000">
        <w:rPr>
          <w:sz w:val="22"/>
          <w:szCs w:val="22"/>
          <w:rtl w:val="0"/>
        </w:rPr>
        <w:t xml:space="preserve">This is reflected in other therapeutic groups, where a reduction in pain and pain intensity was reported as the greatest indicator of gabapentinoid efficacy (McNeilage et al 2023, p.5). Similarly, a reduction in pain was indicative of a positive experience with opioid medicines, with 21.9% and 50.7% reporting a “</w:t>
      </w:r>
      <w:r w:rsidDel="00000000" w:rsidR="00000000" w:rsidRPr="00000000">
        <w:rPr>
          <w:i w:val="1"/>
          <w:sz w:val="22"/>
          <w:szCs w:val="22"/>
          <w:rtl w:val="0"/>
        </w:rPr>
        <w:t xml:space="preserve">very positive</w:t>
      </w:r>
      <w:r w:rsidDel="00000000" w:rsidR="00000000" w:rsidRPr="00000000">
        <w:rPr>
          <w:sz w:val="22"/>
          <w:szCs w:val="22"/>
          <w:rtl w:val="0"/>
        </w:rPr>
        <w:t xml:space="preserve">” and “</w:t>
      </w:r>
      <w:r w:rsidDel="00000000" w:rsidR="00000000" w:rsidRPr="00000000">
        <w:rPr>
          <w:i w:val="1"/>
          <w:sz w:val="22"/>
          <w:szCs w:val="22"/>
          <w:rtl w:val="0"/>
        </w:rPr>
        <w:t xml:space="preserve">positive</w:t>
      </w:r>
      <w:r w:rsidDel="00000000" w:rsidR="00000000" w:rsidRPr="00000000">
        <w:rPr>
          <w:sz w:val="22"/>
          <w:szCs w:val="22"/>
          <w:rtl w:val="0"/>
        </w:rPr>
        <w:t xml:space="preserve">” perception of opioids respectively (Kim et al 2020, p.336). Those who experience a poor relationship with their prescriber, withdrawal symptoms or side effects are, however, likely to report a negative experience with their prescribed medicines (Kim et al 2020 p.336, Read et al 2020 p.751). </w:t>
      </w:r>
    </w:p>
    <w:p w:rsidR="00000000" w:rsidDel="00000000" w:rsidP="00000000" w:rsidRDefault="00000000" w:rsidRPr="00000000" w14:paraId="000003A1">
      <w:pPr>
        <w:spacing w:line="480" w:lineRule="auto"/>
        <w:jc w:val="both"/>
        <w:rPr>
          <w:sz w:val="22"/>
          <w:szCs w:val="22"/>
        </w:rPr>
      </w:pPr>
      <w:r w:rsidDel="00000000" w:rsidR="00000000" w:rsidRPr="00000000">
        <w:rPr>
          <w:rtl w:val="0"/>
        </w:rPr>
      </w:r>
    </w:p>
    <w:p w:rsidR="00000000" w:rsidDel="00000000" w:rsidP="00000000" w:rsidRDefault="00000000" w:rsidRPr="00000000" w14:paraId="000003A2">
      <w:pPr>
        <w:spacing w:line="480" w:lineRule="auto"/>
        <w:jc w:val="both"/>
        <w:rPr>
          <w:sz w:val="22"/>
          <w:szCs w:val="22"/>
        </w:rPr>
      </w:pPr>
      <w:r w:rsidDel="00000000" w:rsidR="00000000" w:rsidRPr="00000000">
        <w:rPr>
          <w:sz w:val="22"/>
          <w:szCs w:val="22"/>
          <w:rtl w:val="0"/>
        </w:rPr>
        <w:t xml:space="preserve">The implications of the patient’s health concerns has been found to be a motivating factor towards help seeking (Sirdifield et al 2017 p.7, De Sola et al 2020 p.1121, Dekker et al 2020 p.186, Ljungvall et al 2020 p.8, Hamilton et al 2022 p.4088). For example, insomnia and its association with other health conditions has a “</w:t>
      </w:r>
      <w:r w:rsidDel="00000000" w:rsidR="00000000" w:rsidRPr="00000000">
        <w:rPr>
          <w:i w:val="1"/>
          <w:sz w:val="22"/>
          <w:szCs w:val="22"/>
          <w:rtl w:val="0"/>
        </w:rPr>
        <w:t xml:space="preserve">wide reaching</w:t>
      </w:r>
      <w:r w:rsidDel="00000000" w:rsidR="00000000" w:rsidRPr="00000000">
        <w:rPr>
          <w:sz w:val="22"/>
          <w:szCs w:val="22"/>
          <w:rtl w:val="0"/>
        </w:rPr>
        <w:t xml:space="preserve">” impact on the patient’s quality of life, and prescribed sedatives can support an individual in the short term (Sirdifield et al 2017, p.7). Chronic pain is invisible, associated with a loss of agency, described by participants as “</w:t>
      </w:r>
      <w:r w:rsidDel="00000000" w:rsidR="00000000" w:rsidRPr="00000000">
        <w:rPr>
          <w:i w:val="1"/>
          <w:sz w:val="22"/>
          <w:szCs w:val="22"/>
          <w:rtl w:val="0"/>
        </w:rPr>
        <w:t xml:space="preserve">uncontrollable</w:t>
      </w:r>
      <w:r w:rsidDel="00000000" w:rsidR="00000000" w:rsidRPr="00000000">
        <w:rPr>
          <w:sz w:val="22"/>
          <w:szCs w:val="22"/>
          <w:rtl w:val="0"/>
        </w:rPr>
        <w:t xml:space="preserve">” and “</w:t>
      </w:r>
      <w:r w:rsidDel="00000000" w:rsidR="00000000" w:rsidRPr="00000000">
        <w:rPr>
          <w:i w:val="1"/>
          <w:sz w:val="22"/>
          <w:szCs w:val="22"/>
          <w:rtl w:val="0"/>
        </w:rPr>
        <w:t xml:space="preserve">unpredictable</w:t>
      </w:r>
      <w:r w:rsidDel="00000000" w:rsidR="00000000" w:rsidRPr="00000000">
        <w:rPr>
          <w:sz w:val="22"/>
          <w:szCs w:val="22"/>
          <w:rtl w:val="0"/>
        </w:rPr>
        <w:t xml:space="preserve">” (Ljungvall et al 2020, p.6). The indirect consequences of pain such as the lack of sleep, inability to participate in daily activities such as work and comorbid mental health difficulties (Hamilton et al 2022, p.4085). </w:t>
      </w:r>
    </w:p>
    <w:p w:rsidR="00000000" w:rsidDel="00000000" w:rsidP="00000000" w:rsidRDefault="00000000" w:rsidRPr="00000000" w14:paraId="000003A3">
      <w:pPr>
        <w:spacing w:line="480" w:lineRule="auto"/>
        <w:jc w:val="both"/>
        <w:rPr>
          <w:sz w:val="22"/>
          <w:szCs w:val="22"/>
        </w:rPr>
      </w:pPr>
      <w:r w:rsidDel="00000000" w:rsidR="00000000" w:rsidRPr="00000000">
        <w:rPr>
          <w:rtl w:val="0"/>
        </w:rPr>
      </w:r>
    </w:p>
    <w:p w:rsidR="00000000" w:rsidDel="00000000" w:rsidP="00000000" w:rsidRDefault="00000000" w:rsidRPr="00000000" w14:paraId="000003A4">
      <w:pPr>
        <w:spacing w:line="480" w:lineRule="auto"/>
        <w:jc w:val="both"/>
        <w:rPr>
          <w:sz w:val="22"/>
          <w:szCs w:val="22"/>
        </w:rPr>
      </w:pPr>
      <w:r w:rsidDel="00000000" w:rsidR="00000000" w:rsidRPr="00000000">
        <w:rPr>
          <w:sz w:val="22"/>
          <w:szCs w:val="22"/>
          <w:rtl w:val="0"/>
        </w:rPr>
        <w:t xml:space="preserve">The use of opioids are associated with an improvement in the user’s quality of life, whilst validating their suffering (Ljungvall et al 2020 p.6, Hamilton et al 2022 p. 4088). Although it is understood medications often do not address underlying causes of pathology; however, the medical validation prescriptions offered is considered important (Gabe et al 2016 p.633, Ljungvall et al 2020 p.8). Those who experience health or social concerns and approach a medical professional for support are described as “</w:t>
      </w:r>
      <w:r w:rsidDel="00000000" w:rsidR="00000000" w:rsidRPr="00000000">
        <w:rPr>
          <w:i w:val="1"/>
          <w:sz w:val="22"/>
          <w:szCs w:val="22"/>
          <w:rtl w:val="0"/>
        </w:rPr>
        <w:t xml:space="preserve">deserving patients</w:t>
      </w:r>
      <w:r w:rsidDel="00000000" w:rsidR="00000000" w:rsidRPr="00000000">
        <w:rPr>
          <w:sz w:val="22"/>
          <w:szCs w:val="22"/>
          <w:rtl w:val="0"/>
        </w:rPr>
        <w:t xml:space="preserve">” by those interviewed by Gabe et al (2016, p.632). This patient group felt “</w:t>
      </w:r>
      <w:r w:rsidDel="00000000" w:rsidR="00000000" w:rsidRPr="00000000">
        <w:rPr>
          <w:i w:val="1"/>
          <w:sz w:val="22"/>
          <w:szCs w:val="22"/>
          <w:rtl w:val="0"/>
        </w:rPr>
        <w:t xml:space="preserve">deserving</w:t>
      </w:r>
      <w:r w:rsidDel="00000000" w:rsidR="00000000" w:rsidRPr="00000000">
        <w:rPr>
          <w:sz w:val="22"/>
          <w:szCs w:val="22"/>
          <w:rtl w:val="0"/>
        </w:rPr>
        <w:t xml:space="preserve">” of their prescription due to this professional medical validation. However, they did not identify with and were highly critical of being considered “</w:t>
      </w:r>
      <w:r w:rsidDel="00000000" w:rsidR="00000000" w:rsidRPr="00000000">
        <w:rPr>
          <w:i w:val="1"/>
          <w:sz w:val="22"/>
          <w:szCs w:val="22"/>
          <w:rtl w:val="0"/>
        </w:rPr>
        <w:t xml:space="preserve">addicts</w:t>
      </w:r>
      <w:r w:rsidDel="00000000" w:rsidR="00000000" w:rsidRPr="00000000">
        <w:rPr>
          <w:sz w:val="22"/>
          <w:szCs w:val="22"/>
          <w:rtl w:val="0"/>
        </w:rPr>
        <w:t xml:space="preserve">” as their medication use was a medical necessity as opposed to a choice (Gabe et al 2016, p.636). </w:t>
      </w:r>
    </w:p>
    <w:p w:rsidR="00000000" w:rsidDel="00000000" w:rsidP="00000000" w:rsidRDefault="00000000" w:rsidRPr="00000000" w14:paraId="000003A5">
      <w:pPr>
        <w:spacing w:line="480" w:lineRule="auto"/>
        <w:jc w:val="both"/>
        <w:rPr>
          <w:sz w:val="22"/>
          <w:szCs w:val="22"/>
        </w:rPr>
      </w:pPr>
      <w:r w:rsidDel="00000000" w:rsidR="00000000" w:rsidRPr="00000000">
        <w:rPr>
          <w:rtl w:val="0"/>
        </w:rPr>
      </w:r>
    </w:p>
    <w:p w:rsidR="00000000" w:rsidDel="00000000" w:rsidP="00000000" w:rsidRDefault="00000000" w:rsidRPr="00000000" w14:paraId="000003A6">
      <w:pPr>
        <w:spacing w:line="480" w:lineRule="auto"/>
        <w:jc w:val="both"/>
        <w:rPr>
          <w:sz w:val="22"/>
          <w:szCs w:val="22"/>
        </w:rPr>
      </w:pPr>
      <w:r w:rsidDel="00000000" w:rsidR="00000000" w:rsidRPr="00000000">
        <w:rPr>
          <w:sz w:val="22"/>
          <w:szCs w:val="22"/>
          <w:rtl w:val="0"/>
        </w:rPr>
        <w:t xml:space="preserve">Treatments for non-specific illnesses such as insomnia often come with the vague instruction of using sedatives “</w:t>
      </w:r>
      <w:r w:rsidDel="00000000" w:rsidR="00000000" w:rsidRPr="00000000">
        <w:rPr>
          <w:i w:val="1"/>
          <w:sz w:val="22"/>
          <w:szCs w:val="22"/>
          <w:rtl w:val="0"/>
        </w:rPr>
        <w:t xml:space="preserve">when required</w:t>
      </w:r>
      <w:r w:rsidDel="00000000" w:rsidR="00000000" w:rsidRPr="00000000">
        <w:rPr>
          <w:sz w:val="22"/>
          <w:szCs w:val="22"/>
          <w:rtl w:val="0"/>
        </w:rPr>
        <w:t xml:space="preserve">”. This has led some participants struggling to find a balance between the dosage and frequency of their use, and minimising side effects (Cheung et al 2015, p.941). When discussing antidepressants, Gibson et al (2016, p.6) describe these medicines as a “</w:t>
      </w:r>
      <w:r w:rsidDel="00000000" w:rsidR="00000000" w:rsidRPr="00000000">
        <w:rPr>
          <w:i w:val="1"/>
          <w:sz w:val="22"/>
          <w:szCs w:val="22"/>
          <w:rtl w:val="0"/>
        </w:rPr>
        <w:t xml:space="preserve">necessary evil</w:t>
      </w:r>
      <w:r w:rsidDel="00000000" w:rsidR="00000000" w:rsidRPr="00000000">
        <w:rPr>
          <w:sz w:val="22"/>
          <w:szCs w:val="22"/>
          <w:rtl w:val="0"/>
        </w:rPr>
        <w:t xml:space="preserve">”, as their respondents report having to balance perceived benefits with the negative side effects they also experience. Although participants report feeling “</w:t>
      </w:r>
      <w:r w:rsidDel="00000000" w:rsidR="00000000" w:rsidRPr="00000000">
        <w:rPr>
          <w:i w:val="1"/>
          <w:sz w:val="22"/>
          <w:szCs w:val="22"/>
          <w:rtl w:val="0"/>
        </w:rPr>
        <w:t xml:space="preserve">calmer</w:t>
      </w:r>
      <w:r w:rsidDel="00000000" w:rsidR="00000000" w:rsidRPr="00000000">
        <w:rPr>
          <w:sz w:val="22"/>
          <w:szCs w:val="22"/>
          <w:rtl w:val="0"/>
        </w:rPr>
        <w:t xml:space="preserve">” and improvement in their mood, a small number associated antidepressant use with a lack of control and a sign of personal weakness (Gibson et al 2016, p. 4). </w:t>
      </w:r>
    </w:p>
    <w:p w:rsidR="00000000" w:rsidDel="00000000" w:rsidP="00000000" w:rsidRDefault="00000000" w:rsidRPr="00000000" w14:paraId="000003A7">
      <w:pPr>
        <w:spacing w:line="480" w:lineRule="auto"/>
        <w:jc w:val="both"/>
        <w:rPr>
          <w:sz w:val="22"/>
          <w:szCs w:val="22"/>
        </w:rPr>
      </w:pPr>
      <w:r w:rsidDel="00000000" w:rsidR="00000000" w:rsidRPr="00000000">
        <w:rPr>
          <w:rtl w:val="0"/>
        </w:rPr>
      </w:r>
    </w:p>
    <w:p w:rsidR="00000000" w:rsidDel="00000000" w:rsidP="00000000" w:rsidRDefault="00000000" w:rsidRPr="00000000" w14:paraId="000003A8">
      <w:pPr>
        <w:spacing w:line="480" w:lineRule="auto"/>
        <w:jc w:val="both"/>
        <w:rPr>
          <w:sz w:val="22"/>
          <w:szCs w:val="22"/>
        </w:rPr>
      </w:pPr>
      <w:r w:rsidDel="00000000" w:rsidR="00000000" w:rsidRPr="00000000">
        <w:rPr>
          <w:sz w:val="22"/>
          <w:szCs w:val="22"/>
          <w:rtl w:val="0"/>
        </w:rPr>
        <w:t xml:space="preserve">Those who do experience an improvement in mood describe an unwilling resistance to stopping their use due to fears of their depression returning, and the risk of withdrawal symptoms, feeling “</w:t>
      </w:r>
      <w:r w:rsidDel="00000000" w:rsidR="00000000" w:rsidRPr="00000000">
        <w:rPr>
          <w:i w:val="1"/>
          <w:sz w:val="22"/>
          <w:szCs w:val="22"/>
          <w:rtl w:val="0"/>
        </w:rPr>
        <w:t xml:space="preserve">stuck</w:t>
      </w:r>
      <w:r w:rsidDel="00000000" w:rsidR="00000000" w:rsidRPr="00000000">
        <w:rPr>
          <w:sz w:val="22"/>
          <w:szCs w:val="22"/>
          <w:rtl w:val="0"/>
        </w:rPr>
        <w:t xml:space="preserve">” on antidepressants (Gibson et al 2016, p.6). Bayliss and Holttum (2015, p.324) note the concept of being stuck in a “</w:t>
      </w:r>
      <w:r w:rsidDel="00000000" w:rsidR="00000000" w:rsidRPr="00000000">
        <w:rPr>
          <w:i w:val="1"/>
          <w:sz w:val="22"/>
          <w:szCs w:val="22"/>
          <w:rtl w:val="0"/>
        </w:rPr>
        <w:t xml:space="preserve">drug loop</w:t>
      </w:r>
      <w:r w:rsidDel="00000000" w:rsidR="00000000" w:rsidRPr="00000000">
        <w:rPr>
          <w:sz w:val="22"/>
          <w:szCs w:val="22"/>
          <w:rtl w:val="0"/>
        </w:rPr>
        <w:t xml:space="preserve">”. This has been described as a “</w:t>
      </w:r>
      <w:r w:rsidDel="00000000" w:rsidR="00000000" w:rsidRPr="00000000">
        <w:rPr>
          <w:i w:val="1"/>
          <w:sz w:val="22"/>
          <w:szCs w:val="22"/>
          <w:rtl w:val="0"/>
        </w:rPr>
        <w:t xml:space="preserve">trial and </w:t>
      </w:r>
      <w:r w:rsidDel="00000000" w:rsidR="00000000" w:rsidRPr="00000000">
        <w:rPr>
          <w:sz w:val="22"/>
          <w:szCs w:val="22"/>
          <w:rtl w:val="0"/>
        </w:rPr>
        <w:t xml:space="preserve">error” approach to finding the correct antidepressant medication and/or dose. This method motivated 50% of their participants to seek psychological interventions such as Cognitive Behavioural Therapy (CBT).  </w:t>
      </w:r>
    </w:p>
    <w:p w:rsidR="00000000" w:rsidDel="00000000" w:rsidP="00000000" w:rsidRDefault="00000000" w:rsidRPr="00000000" w14:paraId="000003A9">
      <w:pPr>
        <w:spacing w:line="480" w:lineRule="auto"/>
        <w:jc w:val="both"/>
        <w:rPr>
          <w:sz w:val="22"/>
          <w:szCs w:val="22"/>
        </w:rPr>
      </w:pPr>
      <w:r w:rsidDel="00000000" w:rsidR="00000000" w:rsidRPr="00000000">
        <w:rPr>
          <w:rtl w:val="0"/>
        </w:rPr>
      </w:r>
    </w:p>
    <w:p w:rsidR="00000000" w:rsidDel="00000000" w:rsidP="00000000" w:rsidRDefault="00000000" w:rsidRPr="00000000" w14:paraId="000003AA">
      <w:pPr>
        <w:spacing w:line="480" w:lineRule="auto"/>
        <w:jc w:val="both"/>
        <w:rPr>
          <w:sz w:val="22"/>
          <w:szCs w:val="22"/>
        </w:rPr>
      </w:pPr>
      <w:r w:rsidDel="00000000" w:rsidR="00000000" w:rsidRPr="00000000">
        <w:rPr>
          <w:sz w:val="22"/>
          <w:szCs w:val="22"/>
          <w:rtl w:val="0"/>
        </w:rPr>
        <w:t xml:space="preserve">A higher pain Intensity Is associated with dependence formation, with 26.6% of opiate users classed as having a “</w:t>
      </w:r>
      <w:r w:rsidDel="00000000" w:rsidR="00000000" w:rsidRPr="00000000">
        <w:rPr>
          <w:i w:val="1"/>
          <w:sz w:val="22"/>
          <w:szCs w:val="22"/>
          <w:rtl w:val="0"/>
        </w:rPr>
        <w:t xml:space="preserve">moderate to severe opioid use disorder</w:t>
      </w:r>
      <w:r w:rsidDel="00000000" w:rsidR="00000000" w:rsidRPr="00000000">
        <w:rPr>
          <w:sz w:val="22"/>
          <w:szCs w:val="22"/>
          <w:rtl w:val="0"/>
        </w:rPr>
        <w:t xml:space="preserve">” (Coloma-Carmona et al 2018, p. 28). Whilst there can be an ambivalence towards this risk, opioid users are proactive in achieving “</w:t>
      </w:r>
      <w:r w:rsidDel="00000000" w:rsidR="00000000" w:rsidRPr="00000000">
        <w:rPr>
          <w:i w:val="1"/>
          <w:sz w:val="22"/>
          <w:szCs w:val="22"/>
          <w:rtl w:val="0"/>
        </w:rPr>
        <w:t xml:space="preserve">adequate pain control</w:t>
      </w:r>
      <w:r w:rsidDel="00000000" w:rsidR="00000000" w:rsidRPr="00000000">
        <w:rPr>
          <w:sz w:val="22"/>
          <w:szCs w:val="22"/>
          <w:rtl w:val="0"/>
        </w:rPr>
        <w:t xml:space="preserve">” whilst minimising the risk of dependence (Cho et al 2021 p.3, De Sola et al 2020 p.1123). Despite understanding the risks associated with opioids, eight participants in De Sola et al’s interviews acknowledged their dependency provides them with the autonomy they lost whilst experiencing chronic pain (De Sola et al 2020 p.1123). This ambivalence towards the risk or development of a dependency, and the acceptance their medication use is for life, is indicative of Gabe et al’s “</w:t>
      </w:r>
      <w:r w:rsidDel="00000000" w:rsidR="00000000" w:rsidRPr="00000000">
        <w:rPr>
          <w:i w:val="1"/>
          <w:sz w:val="22"/>
          <w:szCs w:val="22"/>
          <w:rtl w:val="0"/>
        </w:rPr>
        <w:t xml:space="preserve">compliant patient</w:t>
      </w:r>
      <w:r w:rsidDel="00000000" w:rsidR="00000000" w:rsidRPr="00000000">
        <w:rPr>
          <w:sz w:val="22"/>
          <w:szCs w:val="22"/>
          <w:rtl w:val="0"/>
        </w:rPr>
        <w:t xml:space="preserve">” (Gabe et al 2016, p.636).</w:t>
      </w:r>
    </w:p>
    <w:p w:rsidR="00000000" w:rsidDel="00000000" w:rsidP="00000000" w:rsidRDefault="00000000" w:rsidRPr="00000000" w14:paraId="000003AB">
      <w:pPr>
        <w:spacing w:line="480" w:lineRule="auto"/>
        <w:jc w:val="both"/>
        <w:rPr>
          <w:sz w:val="22"/>
          <w:szCs w:val="22"/>
        </w:rPr>
      </w:pPr>
      <w:r w:rsidDel="00000000" w:rsidR="00000000" w:rsidRPr="00000000">
        <w:rPr>
          <w:rtl w:val="0"/>
        </w:rPr>
      </w:r>
    </w:p>
    <w:p w:rsidR="00000000" w:rsidDel="00000000" w:rsidP="00000000" w:rsidRDefault="00000000" w:rsidRPr="00000000" w14:paraId="000003AC">
      <w:pPr>
        <w:spacing w:line="480" w:lineRule="auto"/>
        <w:jc w:val="both"/>
        <w:rPr>
          <w:sz w:val="22"/>
          <w:szCs w:val="22"/>
        </w:rPr>
      </w:pPr>
      <w:r w:rsidDel="00000000" w:rsidR="00000000" w:rsidRPr="00000000">
        <w:rPr>
          <w:sz w:val="22"/>
          <w:szCs w:val="22"/>
          <w:rtl w:val="0"/>
        </w:rPr>
        <w:t xml:space="preserve">There is a vulnerability when taking prescribed mediation, due to the risk of side effects and the potential to cause harm (Hillman et al 2021, p.7). Prescribed medicines are considered safer than illicit drugs, as they are prescribed by medical professionals (Cheung et al 2015 p.939, McNeilage et al 2023 p.4). The risk of dependence and adverse reactions have been found to be a factor influencing patient decision making (Sirdifield et al 2017 p.10, De Sola et al 2020 p.1123). Although dependence was of lower importance compared to other side effects, it typically led patients to use medication as prescribed (Goshua et al 2018 p.2474, Sirdifield et al 2017 p.10). </w:t>
      </w:r>
    </w:p>
    <w:p w:rsidR="00000000" w:rsidDel="00000000" w:rsidP="00000000" w:rsidRDefault="00000000" w:rsidRPr="00000000" w14:paraId="000003AD">
      <w:pPr>
        <w:spacing w:line="480" w:lineRule="auto"/>
        <w:jc w:val="both"/>
        <w:rPr>
          <w:sz w:val="22"/>
          <w:szCs w:val="22"/>
        </w:rPr>
      </w:pPr>
      <w:r w:rsidDel="00000000" w:rsidR="00000000" w:rsidRPr="00000000">
        <w:rPr>
          <w:rtl w:val="0"/>
        </w:rPr>
      </w:r>
    </w:p>
    <w:p w:rsidR="00000000" w:rsidDel="00000000" w:rsidP="00000000" w:rsidRDefault="00000000" w:rsidRPr="00000000" w14:paraId="000003AE">
      <w:pPr>
        <w:spacing w:line="480" w:lineRule="auto"/>
        <w:jc w:val="both"/>
        <w:rPr>
          <w:sz w:val="22"/>
          <w:szCs w:val="22"/>
        </w:rPr>
      </w:pPr>
      <w:r w:rsidDel="00000000" w:rsidR="00000000" w:rsidRPr="00000000">
        <w:rPr>
          <w:sz w:val="22"/>
          <w:szCs w:val="22"/>
          <w:rtl w:val="0"/>
        </w:rPr>
        <w:t xml:space="preserve">Knowledge and understanding of these risks can prove a motivating factor towards trying alternative treatments. Those who experienced adverse reactions or side effects may also take a proactive role to seek out alternatives (De Sola et al, p.1121). These alternatives may include mindfulness, lifestyle changes, herbal remedies and over the counter drugs, despite their perceived inefficacy in comparison to prescription medicines (Cho et al 2021 p.5, Sirdifield et al 2017 p.8, Cheung et al 2015 p.939). Medication is not a universal approach, and whilst some are not concerned about dependence, other patients may wish to try these alternative approaches prior to using prescribed medicines to avoid risk (Sirdifield et al 2017, p.13). </w:t>
      </w:r>
    </w:p>
    <w:p w:rsidR="00000000" w:rsidDel="00000000" w:rsidP="00000000" w:rsidRDefault="00000000" w:rsidRPr="00000000" w14:paraId="000003AF">
      <w:pPr>
        <w:spacing w:line="480" w:lineRule="auto"/>
        <w:jc w:val="both"/>
        <w:rPr>
          <w:sz w:val="22"/>
          <w:szCs w:val="22"/>
        </w:rPr>
      </w:pPr>
      <w:r w:rsidDel="00000000" w:rsidR="00000000" w:rsidRPr="00000000">
        <w:rPr>
          <w:rtl w:val="0"/>
        </w:rPr>
      </w:r>
    </w:p>
    <w:p w:rsidR="00000000" w:rsidDel="00000000" w:rsidP="00000000" w:rsidRDefault="00000000" w:rsidRPr="00000000" w14:paraId="000003B0">
      <w:pPr>
        <w:spacing w:line="480" w:lineRule="auto"/>
        <w:jc w:val="both"/>
        <w:rPr>
          <w:sz w:val="22"/>
          <w:szCs w:val="22"/>
        </w:rPr>
      </w:pPr>
      <w:r w:rsidDel="00000000" w:rsidR="00000000" w:rsidRPr="00000000">
        <w:rPr>
          <w:sz w:val="22"/>
          <w:szCs w:val="22"/>
          <w:rtl w:val="0"/>
        </w:rPr>
        <w:t xml:space="preserve">There is a desire to be a “</w:t>
      </w:r>
      <w:r w:rsidDel="00000000" w:rsidR="00000000" w:rsidRPr="00000000">
        <w:rPr>
          <w:i w:val="1"/>
          <w:sz w:val="22"/>
          <w:szCs w:val="22"/>
          <w:rtl w:val="0"/>
        </w:rPr>
        <w:t xml:space="preserve">good patient</w:t>
      </w:r>
      <w:r w:rsidDel="00000000" w:rsidR="00000000" w:rsidRPr="00000000">
        <w:rPr>
          <w:sz w:val="22"/>
          <w:szCs w:val="22"/>
          <w:rtl w:val="0"/>
        </w:rPr>
        <w:t xml:space="preserve">”. For example, Gabe et al (2016, p.634) identified the “</w:t>
      </w:r>
      <w:r w:rsidDel="00000000" w:rsidR="00000000" w:rsidRPr="00000000">
        <w:rPr>
          <w:i w:val="1"/>
          <w:sz w:val="22"/>
          <w:szCs w:val="22"/>
          <w:rtl w:val="0"/>
        </w:rPr>
        <w:t xml:space="preserve">compliant user</w:t>
      </w:r>
      <w:r w:rsidDel="00000000" w:rsidR="00000000" w:rsidRPr="00000000">
        <w:rPr>
          <w:sz w:val="22"/>
          <w:szCs w:val="22"/>
          <w:rtl w:val="0"/>
        </w:rPr>
        <w:t xml:space="preserve">”. Such individuals are characterised by the understanding of risks and side effects, and therefore acknowledged they need to reduce their usage. The “</w:t>
      </w:r>
      <w:r w:rsidDel="00000000" w:rsidR="00000000" w:rsidRPr="00000000">
        <w:rPr>
          <w:i w:val="1"/>
          <w:sz w:val="22"/>
          <w:szCs w:val="22"/>
          <w:rtl w:val="0"/>
        </w:rPr>
        <w:t xml:space="preserve">responsible user</w:t>
      </w:r>
      <w:r w:rsidDel="00000000" w:rsidR="00000000" w:rsidRPr="00000000">
        <w:rPr>
          <w:sz w:val="22"/>
          <w:szCs w:val="22"/>
          <w:rtl w:val="0"/>
        </w:rPr>
        <w:t xml:space="preserve">” understood and had active concerns regarding the risk of dependence and took steps to minimise this risk. An example would be requesting a reduction in dosage in the event they felt reliant on their medication (Gabe et al 2016, p.634). The perception medication is harmful has been found to be a motivating factor for discontinuation, as are the associated side effects and risk of dependence (Bayliss and Holttum 2015, Liebrenz et al 2015, Bosman et al 2015, Gabe et al 2016, Uhrbrand et al 2020). This will be discussed later in Section 3.6, “</w:t>
      </w:r>
      <w:hyperlink w:anchor="_heading=h.37m2jsg">
        <w:r w:rsidDel="00000000" w:rsidR="00000000" w:rsidRPr="00000000">
          <w:rPr>
            <w:i w:val="1"/>
            <w:color w:val="467886"/>
            <w:sz w:val="22"/>
            <w:szCs w:val="22"/>
            <w:u w:val="single"/>
            <w:rtl w:val="0"/>
          </w:rPr>
          <w:t xml:space="preserve">What are the Barriers, Facilitators and Methods of Deprescribing?</w:t>
        </w:r>
      </w:hyperlink>
      <w:r w:rsidDel="00000000" w:rsidR="00000000" w:rsidRPr="00000000">
        <w:rPr>
          <w:sz w:val="22"/>
          <w:szCs w:val="22"/>
          <w:rtl w:val="0"/>
        </w:rPr>
        <w:t xml:space="preserve">” (p. 78).</w:t>
      </w:r>
    </w:p>
    <w:p w:rsidR="00000000" w:rsidDel="00000000" w:rsidP="00000000" w:rsidRDefault="00000000" w:rsidRPr="00000000" w14:paraId="000003B1">
      <w:pPr>
        <w:spacing w:line="480" w:lineRule="auto"/>
        <w:jc w:val="both"/>
        <w:rPr>
          <w:sz w:val="22"/>
          <w:szCs w:val="22"/>
        </w:rPr>
      </w:pPr>
      <w:r w:rsidDel="00000000" w:rsidR="00000000" w:rsidRPr="00000000">
        <w:rPr>
          <w:rtl w:val="0"/>
        </w:rPr>
      </w:r>
    </w:p>
    <w:p w:rsidR="00000000" w:rsidDel="00000000" w:rsidP="00000000" w:rsidRDefault="00000000" w:rsidRPr="00000000" w14:paraId="000003B2">
      <w:pPr>
        <w:pStyle w:val="Heading3"/>
        <w:spacing w:line="480" w:lineRule="auto"/>
        <w:rPr/>
      </w:pPr>
      <w:bookmarkStart w:colFirst="0" w:colLast="0" w:name="_heading=h.vx1227" w:id="40"/>
      <w:bookmarkEnd w:id="40"/>
      <w:r w:rsidDel="00000000" w:rsidR="00000000" w:rsidRPr="00000000">
        <w:rPr>
          <w:rtl w:val="0"/>
        </w:rPr>
        <w:t xml:space="preserve">Stigma</w:t>
      </w:r>
    </w:p>
    <w:p w:rsidR="00000000" w:rsidDel="00000000" w:rsidP="00000000" w:rsidRDefault="00000000" w:rsidRPr="00000000" w14:paraId="000003B3">
      <w:pPr>
        <w:spacing w:line="480" w:lineRule="auto"/>
        <w:jc w:val="both"/>
        <w:rPr>
          <w:sz w:val="22"/>
          <w:szCs w:val="22"/>
        </w:rPr>
      </w:pPr>
      <w:r w:rsidDel="00000000" w:rsidR="00000000" w:rsidRPr="00000000">
        <w:rPr>
          <w:sz w:val="22"/>
          <w:szCs w:val="22"/>
          <w:rtl w:val="0"/>
        </w:rPr>
        <w:t xml:space="preserve">Particular diagnoses such as chronic pain and depression are often stigmatised (Dekker et al 2020 p.186, Benintendi et al 2021 p.7, Hamilton et al 2022 p.4089). This stigmatisation of patients is associated with poor mental health, social isolation, and can act as a barrier to help seeking (Dekker et al 2020 p.186, Uhrbrand et al 2020 p.559). The dominant cultural norms are reported to devalue those with chronic pain, devaluing and invalidating the patient experience (Bentendi et al 2021, p.7).</w:t>
      </w:r>
    </w:p>
    <w:p w:rsidR="00000000" w:rsidDel="00000000" w:rsidP="00000000" w:rsidRDefault="00000000" w:rsidRPr="00000000" w14:paraId="000003B4">
      <w:pPr>
        <w:spacing w:line="480" w:lineRule="auto"/>
        <w:jc w:val="both"/>
        <w:rPr>
          <w:sz w:val="22"/>
          <w:szCs w:val="22"/>
        </w:rPr>
      </w:pPr>
      <w:r w:rsidDel="00000000" w:rsidR="00000000" w:rsidRPr="00000000">
        <w:rPr>
          <w:rtl w:val="0"/>
        </w:rPr>
      </w:r>
    </w:p>
    <w:p w:rsidR="00000000" w:rsidDel="00000000" w:rsidP="00000000" w:rsidRDefault="00000000" w:rsidRPr="00000000" w14:paraId="000003B5">
      <w:pPr>
        <w:spacing w:line="480" w:lineRule="auto"/>
        <w:jc w:val="both"/>
        <w:rPr>
          <w:sz w:val="22"/>
          <w:szCs w:val="22"/>
        </w:rPr>
      </w:pPr>
      <w:r w:rsidDel="00000000" w:rsidR="00000000" w:rsidRPr="00000000">
        <w:rPr>
          <w:sz w:val="22"/>
          <w:szCs w:val="22"/>
          <w:rtl w:val="0"/>
        </w:rPr>
        <w:t xml:space="preserve">There is a stigma associated with prescribed opioids in particular (Langford et al 2021, Kosakowski et al 2022 p.1724, Davies et al 2023 p.5). Opioids are considered “</w:t>
      </w:r>
      <w:r w:rsidDel="00000000" w:rsidR="00000000" w:rsidRPr="00000000">
        <w:rPr>
          <w:i w:val="1"/>
          <w:sz w:val="22"/>
          <w:szCs w:val="22"/>
          <w:rtl w:val="0"/>
        </w:rPr>
        <w:t xml:space="preserve">unhealthy</w:t>
      </w:r>
      <w:r w:rsidDel="00000000" w:rsidR="00000000" w:rsidRPr="00000000">
        <w:rPr>
          <w:sz w:val="22"/>
          <w:szCs w:val="22"/>
          <w:rtl w:val="0"/>
        </w:rPr>
        <w:t xml:space="preserve">” and a “</w:t>
      </w:r>
      <w:r w:rsidDel="00000000" w:rsidR="00000000" w:rsidRPr="00000000">
        <w:rPr>
          <w:i w:val="1"/>
          <w:sz w:val="22"/>
          <w:szCs w:val="22"/>
          <w:rtl w:val="0"/>
        </w:rPr>
        <w:t xml:space="preserve">serious prescription</w:t>
      </w:r>
      <w:r w:rsidDel="00000000" w:rsidR="00000000" w:rsidRPr="00000000">
        <w:rPr>
          <w:sz w:val="22"/>
          <w:szCs w:val="22"/>
          <w:rtl w:val="0"/>
        </w:rPr>
        <w:t xml:space="preserve">”, often due to the association between this therapeutic group and dependence (Uhrbrand et al 2020 p.560, De Sola et al 2020 p.1124, Nichols et al 2020 p.11, Ljungvall et al 2020 p.8, Cho et al 2021 p.3, Hamilton et al 2022 p.4084, Davies et al 2023 p.4). The media representation of stigma and dependence and the narrative that “</w:t>
      </w:r>
      <w:r w:rsidDel="00000000" w:rsidR="00000000" w:rsidRPr="00000000">
        <w:rPr>
          <w:i w:val="1"/>
          <w:sz w:val="22"/>
          <w:szCs w:val="22"/>
          <w:rtl w:val="0"/>
        </w:rPr>
        <w:t xml:space="preserve">opioid addiction is wrong</w:t>
      </w:r>
      <w:r w:rsidDel="00000000" w:rsidR="00000000" w:rsidRPr="00000000">
        <w:rPr>
          <w:sz w:val="22"/>
          <w:szCs w:val="22"/>
          <w:rtl w:val="0"/>
        </w:rPr>
        <w:t xml:space="preserve">” has been found to influence some to decide against accepting a prescription of opioid medication (Cho et al 2021, p.5). There is an understanding, however, that opioid dependence is a “</w:t>
      </w:r>
      <w:r w:rsidDel="00000000" w:rsidR="00000000" w:rsidRPr="00000000">
        <w:rPr>
          <w:i w:val="1"/>
          <w:sz w:val="22"/>
          <w:szCs w:val="22"/>
          <w:rtl w:val="0"/>
        </w:rPr>
        <w:t xml:space="preserve">systemic social problem</w:t>
      </w:r>
      <w:r w:rsidDel="00000000" w:rsidR="00000000" w:rsidRPr="00000000">
        <w:rPr>
          <w:sz w:val="22"/>
          <w:szCs w:val="22"/>
          <w:rtl w:val="0"/>
        </w:rPr>
        <w:t xml:space="preserve">”. It is posited that those who have witnessed opioid addiction have made a conscious choice to “</w:t>
      </w:r>
      <w:r w:rsidDel="00000000" w:rsidR="00000000" w:rsidRPr="00000000">
        <w:rPr>
          <w:i w:val="1"/>
          <w:sz w:val="22"/>
          <w:szCs w:val="22"/>
          <w:rtl w:val="0"/>
        </w:rPr>
        <w:t xml:space="preserve">avoid things that are addictive</w:t>
      </w:r>
      <w:r w:rsidDel="00000000" w:rsidR="00000000" w:rsidRPr="00000000">
        <w:rPr>
          <w:sz w:val="22"/>
          <w:szCs w:val="22"/>
          <w:rtl w:val="0"/>
        </w:rPr>
        <w:t xml:space="preserve">”. This tendency often results in a direct aversion to these medicines and a separation of self from “</w:t>
      </w:r>
      <w:r w:rsidDel="00000000" w:rsidR="00000000" w:rsidRPr="00000000">
        <w:rPr>
          <w:i w:val="1"/>
          <w:sz w:val="22"/>
          <w:szCs w:val="22"/>
          <w:rtl w:val="0"/>
        </w:rPr>
        <w:t xml:space="preserve">others</w:t>
      </w:r>
      <w:r w:rsidDel="00000000" w:rsidR="00000000" w:rsidRPr="00000000">
        <w:rPr>
          <w:sz w:val="22"/>
          <w:szCs w:val="22"/>
          <w:rtl w:val="0"/>
        </w:rPr>
        <w:t xml:space="preserve">” who use illicit opioids (Cho et al 2021, p.5). </w:t>
      </w:r>
    </w:p>
    <w:p w:rsidR="00000000" w:rsidDel="00000000" w:rsidP="00000000" w:rsidRDefault="00000000" w:rsidRPr="00000000" w14:paraId="000003B6">
      <w:pPr>
        <w:spacing w:line="480" w:lineRule="auto"/>
        <w:jc w:val="both"/>
        <w:rPr>
          <w:sz w:val="22"/>
          <w:szCs w:val="22"/>
        </w:rPr>
      </w:pPr>
      <w:r w:rsidDel="00000000" w:rsidR="00000000" w:rsidRPr="00000000">
        <w:rPr>
          <w:sz w:val="22"/>
          <w:szCs w:val="22"/>
          <w:rtl w:val="0"/>
        </w:rPr>
        <w:t xml:space="preserve">Those who did accept a prescription expressed a desire to be a “</w:t>
      </w:r>
      <w:r w:rsidDel="00000000" w:rsidR="00000000" w:rsidRPr="00000000">
        <w:rPr>
          <w:i w:val="1"/>
          <w:sz w:val="22"/>
          <w:szCs w:val="22"/>
          <w:rtl w:val="0"/>
        </w:rPr>
        <w:t xml:space="preserve">good citizen</w:t>
      </w:r>
      <w:r w:rsidDel="00000000" w:rsidR="00000000" w:rsidRPr="00000000">
        <w:rPr>
          <w:sz w:val="22"/>
          <w:szCs w:val="22"/>
          <w:rtl w:val="0"/>
        </w:rPr>
        <w:t xml:space="preserve">”, and a “</w:t>
      </w:r>
      <w:r w:rsidDel="00000000" w:rsidR="00000000" w:rsidRPr="00000000">
        <w:rPr>
          <w:i w:val="1"/>
          <w:sz w:val="22"/>
          <w:szCs w:val="22"/>
          <w:rtl w:val="0"/>
        </w:rPr>
        <w:t xml:space="preserve">good patient</w:t>
      </w:r>
      <w:r w:rsidDel="00000000" w:rsidR="00000000" w:rsidRPr="00000000">
        <w:rPr>
          <w:sz w:val="22"/>
          <w:szCs w:val="22"/>
          <w:rtl w:val="0"/>
        </w:rPr>
        <w:t xml:space="preserve">”, following rules set by prescribers (Cho et al 2021, p5). These medicines are used in accordance with medical advice and the “</w:t>
      </w:r>
      <w:r w:rsidDel="00000000" w:rsidR="00000000" w:rsidRPr="00000000">
        <w:rPr>
          <w:i w:val="1"/>
          <w:sz w:val="22"/>
          <w:szCs w:val="22"/>
          <w:rtl w:val="0"/>
        </w:rPr>
        <w:t xml:space="preserve">societal code of ethics</w:t>
      </w:r>
      <w:r w:rsidDel="00000000" w:rsidR="00000000" w:rsidRPr="00000000">
        <w:rPr>
          <w:sz w:val="22"/>
          <w:szCs w:val="22"/>
          <w:rtl w:val="0"/>
        </w:rPr>
        <w:t xml:space="preserve">” (Cho et al 2021 p.5, Montag Schafer et al 2022 p.2407). This is evidenced by Reid-Finlayson et al’s survey responses (n= 1207), with 68.4% state they “</w:t>
      </w:r>
      <w:r w:rsidDel="00000000" w:rsidR="00000000" w:rsidRPr="00000000">
        <w:rPr>
          <w:i w:val="1"/>
          <w:sz w:val="22"/>
          <w:szCs w:val="22"/>
          <w:rtl w:val="0"/>
        </w:rPr>
        <w:t xml:space="preserve">definitely</w:t>
      </w:r>
      <w:r w:rsidDel="00000000" w:rsidR="00000000" w:rsidRPr="00000000">
        <w:rPr>
          <w:sz w:val="22"/>
          <w:szCs w:val="22"/>
          <w:rtl w:val="0"/>
        </w:rPr>
        <w:t xml:space="preserve">” take their benzodiazepine as prescribed, supporting the notion of a responsible patient (Reid-Finlayson et al 2022, p.3). This moral dichotomy between prescribed and illicit substances is reflected in Takamine et al (2024, p.251), whereby two (n= 21) participants felt like “</w:t>
      </w:r>
      <w:r w:rsidDel="00000000" w:rsidR="00000000" w:rsidRPr="00000000">
        <w:rPr>
          <w:i w:val="1"/>
          <w:sz w:val="22"/>
          <w:szCs w:val="22"/>
          <w:rtl w:val="0"/>
        </w:rPr>
        <w:t xml:space="preserve">addicts</w:t>
      </w:r>
      <w:r w:rsidDel="00000000" w:rsidR="00000000" w:rsidRPr="00000000">
        <w:rPr>
          <w:sz w:val="22"/>
          <w:szCs w:val="22"/>
          <w:rtl w:val="0"/>
        </w:rPr>
        <w:t xml:space="preserve">”, prompting a medically supervised reduction. This lived experience and not having “</w:t>
      </w:r>
      <w:r w:rsidDel="00000000" w:rsidR="00000000" w:rsidRPr="00000000">
        <w:rPr>
          <w:i w:val="1"/>
          <w:sz w:val="22"/>
          <w:szCs w:val="22"/>
          <w:rtl w:val="0"/>
        </w:rPr>
        <w:t xml:space="preserve">an addictive personality</w:t>
      </w:r>
      <w:r w:rsidDel="00000000" w:rsidR="00000000" w:rsidRPr="00000000">
        <w:rPr>
          <w:sz w:val="22"/>
          <w:szCs w:val="22"/>
          <w:rtl w:val="0"/>
        </w:rPr>
        <w:t xml:space="preserve">” has been found to be a protective factor against opioid dependence, therefore, this patient group felt safe to use these medicines (Cho et al 2021, p.6). </w:t>
      </w:r>
    </w:p>
    <w:p w:rsidR="00000000" w:rsidDel="00000000" w:rsidP="00000000" w:rsidRDefault="00000000" w:rsidRPr="00000000" w14:paraId="000003B7">
      <w:pPr>
        <w:spacing w:line="480" w:lineRule="auto"/>
        <w:jc w:val="both"/>
        <w:rPr>
          <w:sz w:val="22"/>
          <w:szCs w:val="22"/>
        </w:rPr>
      </w:pPr>
      <w:r w:rsidDel="00000000" w:rsidR="00000000" w:rsidRPr="00000000">
        <w:rPr>
          <w:rtl w:val="0"/>
        </w:rPr>
      </w:r>
    </w:p>
    <w:p w:rsidR="00000000" w:rsidDel="00000000" w:rsidP="00000000" w:rsidRDefault="00000000" w:rsidRPr="00000000" w14:paraId="000003B8">
      <w:pPr>
        <w:spacing w:line="480" w:lineRule="auto"/>
        <w:jc w:val="both"/>
        <w:rPr>
          <w:sz w:val="22"/>
          <w:szCs w:val="22"/>
        </w:rPr>
      </w:pPr>
      <w:r w:rsidDel="00000000" w:rsidR="00000000" w:rsidRPr="00000000">
        <w:rPr>
          <w:sz w:val="22"/>
          <w:szCs w:val="22"/>
          <w:rtl w:val="0"/>
        </w:rPr>
        <w:t xml:space="preserve">Stigma that arises from medical professionals has been found to negatively impact patient care (Nichols et al 2020 p.11, Uhrbrand et al 2020 p.559, Benintendi et al 2021 p.7, Davies et al 2023 p.5), with some choosing not to share their use with family or friends (Nichols et al 2020 p.11, Uhrbrand et al 2020 p.559, Davies et al 2023 p.5). Participants in Benintendi et al’s interviews report feeling as they were perceived as a “</w:t>
      </w:r>
      <w:r w:rsidDel="00000000" w:rsidR="00000000" w:rsidRPr="00000000">
        <w:rPr>
          <w:i w:val="1"/>
          <w:sz w:val="22"/>
          <w:szCs w:val="22"/>
          <w:rtl w:val="0"/>
        </w:rPr>
        <w:t xml:space="preserve">junkie</w:t>
      </w:r>
      <w:r w:rsidDel="00000000" w:rsidR="00000000" w:rsidRPr="00000000">
        <w:rPr>
          <w:sz w:val="22"/>
          <w:szCs w:val="22"/>
          <w:rtl w:val="0"/>
        </w:rPr>
        <w:t xml:space="preserve">” by medical professionals and altered their presentation in order to reduce perceived stigma (Benintendi et al 2021, p.7). However, this stigmatisation can arise from prescribed opioid users themselves. </w:t>
      </w:r>
    </w:p>
    <w:p w:rsidR="00000000" w:rsidDel="00000000" w:rsidP="00000000" w:rsidRDefault="00000000" w:rsidRPr="00000000" w14:paraId="000003B9">
      <w:pPr>
        <w:spacing w:line="480" w:lineRule="auto"/>
        <w:jc w:val="both"/>
        <w:rPr>
          <w:sz w:val="22"/>
          <w:szCs w:val="22"/>
        </w:rPr>
      </w:pPr>
      <w:r w:rsidDel="00000000" w:rsidR="00000000" w:rsidRPr="00000000">
        <w:rPr>
          <w:rtl w:val="0"/>
        </w:rPr>
      </w:r>
    </w:p>
    <w:p w:rsidR="00000000" w:rsidDel="00000000" w:rsidP="00000000" w:rsidRDefault="00000000" w:rsidRPr="00000000" w14:paraId="000003BA">
      <w:pPr>
        <w:spacing w:line="480" w:lineRule="auto"/>
        <w:jc w:val="both"/>
        <w:rPr>
          <w:sz w:val="22"/>
          <w:szCs w:val="22"/>
        </w:rPr>
      </w:pPr>
      <w:r w:rsidDel="00000000" w:rsidR="00000000" w:rsidRPr="00000000">
        <w:rPr>
          <w:sz w:val="22"/>
          <w:szCs w:val="22"/>
          <w:rtl w:val="0"/>
        </w:rPr>
        <w:t xml:space="preserve">Participants who were referred to substance misuse services to manage their opioid withdrawal were sometimes referred to an inpatient detoxification service. These participants report being unhappy they were patients alongside those who use illicit substances, resulting in early discharge against medical advice (Davies et al 2023 p.5).</w:t>
      </w:r>
    </w:p>
    <w:p w:rsidR="00000000" w:rsidDel="00000000" w:rsidP="00000000" w:rsidRDefault="00000000" w:rsidRPr="00000000" w14:paraId="000003BB">
      <w:pPr>
        <w:pStyle w:val="Heading2"/>
        <w:numPr>
          <w:ilvl w:val="1"/>
          <w:numId w:val="10"/>
        </w:numPr>
        <w:spacing w:line="480" w:lineRule="auto"/>
        <w:ind w:left="720" w:hanging="720"/>
        <w:rPr/>
      </w:pPr>
      <w:bookmarkStart w:colFirst="0" w:colLast="0" w:name="_heading=h.3fwokq0" w:id="41"/>
      <w:bookmarkEnd w:id="41"/>
      <w:r w:rsidDel="00000000" w:rsidR="00000000" w:rsidRPr="00000000">
        <w:rPr>
          <w:rtl w:val="0"/>
        </w:rPr>
        <w:t xml:space="preserve">Experiences of Withdrawal </w:t>
      </w:r>
    </w:p>
    <w:p w:rsidR="00000000" w:rsidDel="00000000" w:rsidP="00000000" w:rsidRDefault="00000000" w:rsidRPr="00000000" w14:paraId="000003BC">
      <w:pPr>
        <w:spacing w:line="480" w:lineRule="auto"/>
        <w:jc w:val="both"/>
        <w:rPr>
          <w:sz w:val="22"/>
          <w:szCs w:val="22"/>
        </w:rPr>
      </w:pPr>
      <w:r w:rsidDel="00000000" w:rsidR="00000000" w:rsidRPr="00000000">
        <w:rPr>
          <w:sz w:val="22"/>
          <w:szCs w:val="22"/>
          <w:rtl w:val="0"/>
        </w:rPr>
        <w:t xml:space="preserve">Withdrawal symptoms are evident in across all therapeutic groups, with 21 studies exploring these symptoms. Each therapeutic group will be discussed in turn, with benzodiazepines and z-drugs being presented together as these are commonly grouped in the literature. This theme will describe differing symptoms, their prevenance within the data, and the accounts of patients who experience them. </w:t>
      </w:r>
    </w:p>
    <w:p w:rsidR="00000000" w:rsidDel="00000000" w:rsidP="00000000" w:rsidRDefault="00000000" w:rsidRPr="00000000" w14:paraId="000003BD">
      <w:pPr>
        <w:spacing w:line="480" w:lineRule="auto"/>
        <w:jc w:val="both"/>
        <w:rPr>
          <w:sz w:val="22"/>
          <w:szCs w:val="22"/>
        </w:rPr>
      </w:pPr>
      <w:r w:rsidDel="00000000" w:rsidR="00000000" w:rsidRPr="00000000">
        <w:rPr>
          <w:rtl w:val="0"/>
        </w:rPr>
      </w:r>
    </w:p>
    <w:p w:rsidR="00000000" w:rsidDel="00000000" w:rsidP="00000000" w:rsidRDefault="00000000" w:rsidRPr="00000000" w14:paraId="000003BE">
      <w:pPr>
        <w:spacing w:line="480" w:lineRule="auto"/>
        <w:jc w:val="both"/>
        <w:rPr>
          <w:sz w:val="22"/>
          <w:szCs w:val="22"/>
        </w:rPr>
      </w:pPr>
      <w:r w:rsidDel="00000000" w:rsidR="00000000" w:rsidRPr="00000000">
        <w:rPr>
          <w:sz w:val="22"/>
          <w:szCs w:val="22"/>
          <w:rtl w:val="0"/>
        </w:rPr>
        <w:t xml:space="preserve">The most common therapeutic group discussed are antidepressants (</w:t>
      </w:r>
      <w:r w:rsidDel="00000000" w:rsidR="00000000" w:rsidRPr="00000000">
        <w:rPr>
          <w:i w:val="1"/>
          <w:sz w:val="22"/>
          <w:szCs w:val="22"/>
          <w:rtl w:val="0"/>
        </w:rPr>
        <w:t xml:space="preserve">n=</w:t>
      </w:r>
      <w:r w:rsidDel="00000000" w:rsidR="00000000" w:rsidRPr="00000000">
        <w:rPr>
          <w:sz w:val="22"/>
          <w:szCs w:val="22"/>
          <w:rtl w:val="0"/>
        </w:rPr>
        <w:t xml:space="preserve"> 10). Table Four presents the withdrawal symptoms associated with each therapeutic group, collated from the literature assessed. Note, benzodiazepines and z-drugs have been merged, as two papers exploring withdrawal symptoms associated with these medicines were discussing both groups (Lahteenmaki et al 2018, Sirdifield et al 2017). The severity of withdrawal symptoms has been defined by Rodrigues-Espinosa et al (2021), categorising the process as “</w:t>
      </w:r>
      <w:r w:rsidDel="00000000" w:rsidR="00000000" w:rsidRPr="00000000">
        <w:rPr>
          <w:i w:val="1"/>
          <w:sz w:val="22"/>
          <w:szCs w:val="22"/>
          <w:rtl w:val="0"/>
        </w:rPr>
        <w:t xml:space="preserve">mild</w:t>
      </w:r>
      <w:r w:rsidDel="00000000" w:rsidR="00000000" w:rsidRPr="00000000">
        <w:rPr>
          <w:sz w:val="22"/>
          <w:szCs w:val="22"/>
          <w:rtl w:val="0"/>
        </w:rPr>
        <w:t xml:space="preserve">”, whereby minimal symptoms are present, “</w:t>
      </w:r>
      <w:r w:rsidDel="00000000" w:rsidR="00000000" w:rsidRPr="00000000">
        <w:rPr>
          <w:i w:val="1"/>
          <w:sz w:val="22"/>
          <w:szCs w:val="22"/>
          <w:rtl w:val="0"/>
        </w:rPr>
        <w:t xml:space="preserve">moderate</w:t>
      </w:r>
      <w:r w:rsidDel="00000000" w:rsidR="00000000" w:rsidRPr="00000000">
        <w:rPr>
          <w:sz w:val="22"/>
          <w:szCs w:val="22"/>
          <w:rtl w:val="0"/>
        </w:rPr>
        <w:t xml:space="preserve">” when psychological symptoms arise, and “</w:t>
      </w:r>
      <w:r w:rsidDel="00000000" w:rsidR="00000000" w:rsidRPr="00000000">
        <w:rPr>
          <w:i w:val="1"/>
          <w:sz w:val="22"/>
          <w:szCs w:val="22"/>
          <w:rtl w:val="0"/>
        </w:rPr>
        <w:t xml:space="preserve">severe</w:t>
      </w:r>
      <w:r w:rsidDel="00000000" w:rsidR="00000000" w:rsidRPr="00000000">
        <w:rPr>
          <w:sz w:val="22"/>
          <w:szCs w:val="22"/>
          <w:rtl w:val="0"/>
        </w:rPr>
        <w:t xml:space="preserve">”, occurring when both physical and psychological symptoms are present. Each therapeutic group will be discussed in turn, again, combining benzodiazepines and z-drugs.</w:t>
      </w:r>
    </w:p>
    <w:p w:rsidR="00000000" w:rsidDel="00000000" w:rsidP="00000000" w:rsidRDefault="00000000" w:rsidRPr="00000000" w14:paraId="000003BF">
      <w:pPr>
        <w:spacing w:line="480" w:lineRule="auto"/>
        <w:jc w:val="both"/>
        <w:rPr>
          <w:sz w:val="22"/>
          <w:szCs w:val="22"/>
        </w:rPr>
      </w:pPr>
      <w:r w:rsidDel="00000000" w:rsidR="00000000" w:rsidRPr="00000000">
        <w:rPr>
          <w:rtl w:val="0"/>
        </w:rPr>
      </w:r>
    </w:p>
    <w:p w:rsidR="00000000" w:rsidDel="00000000" w:rsidP="00000000" w:rsidRDefault="00000000" w:rsidRPr="00000000" w14:paraId="000003C0">
      <w:pPr>
        <w:spacing w:line="480" w:lineRule="auto"/>
        <w:jc w:val="both"/>
        <w:rPr>
          <w:sz w:val="22"/>
          <w:szCs w:val="22"/>
        </w:rPr>
      </w:pPr>
      <w:r w:rsidDel="00000000" w:rsidR="00000000" w:rsidRPr="00000000">
        <w:rPr>
          <w:rtl w:val="0"/>
        </w:rPr>
      </w:r>
    </w:p>
    <w:p w:rsidR="00000000" w:rsidDel="00000000" w:rsidP="00000000" w:rsidRDefault="00000000" w:rsidRPr="00000000" w14:paraId="000003C1">
      <w:pPr>
        <w:spacing w:line="480" w:lineRule="auto"/>
        <w:jc w:val="both"/>
        <w:rPr>
          <w:sz w:val="22"/>
          <w:szCs w:val="22"/>
        </w:rPr>
      </w:pPr>
      <w:r w:rsidDel="00000000" w:rsidR="00000000" w:rsidRPr="00000000">
        <w:rPr>
          <w:rtl w:val="0"/>
        </w:rPr>
      </w:r>
    </w:p>
    <w:p w:rsidR="00000000" w:rsidDel="00000000" w:rsidP="00000000" w:rsidRDefault="00000000" w:rsidRPr="00000000" w14:paraId="000003C2">
      <w:pPr>
        <w:spacing w:line="480" w:lineRule="auto"/>
        <w:jc w:val="both"/>
        <w:rPr>
          <w:sz w:val="22"/>
          <w:szCs w:val="22"/>
        </w:rPr>
      </w:pPr>
      <w:r w:rsidDel="00000000" w:rsidR="00000000" w:rsidRPr="00000000">
        <w:rPr>
          <w:rtl w:val="0"/>
        </w:rPr>
      </w:r>
    </w:p>
    <w:p w:rsidR="00000000" w:rsidDel="00000000" w:rsidP="00000000" w:rsidRDefault="00000000" w:rsidRPr="00000000" w14:paraId="000003C3">
      <w:pPr>
        <w:spacing w:line="480" w:lineRule="auto"/>
        <w:jc w:val="both"/>
        <w:rPr>
          <w:sz w:val="22"/>
          <w:szCs w:val="22"/>
        </w:rPr>
      </w:pPr>
      <w:r w:rsidDel="00000000" w:rsidR="00000000" w:rsidRPr="00000000">
        <w:rPr>
          <w:rtl w:val="0"/>
        </w:rPr>
      </w:r>
    </w:p>
    <w:p w:rsidR="00000000" w:rsidDel="00000000" w:rsidP="00000000" w:rsidRDefault="00000000" w:rsidRPr="00000000" w14:paraId="000003C4">
      <w:pPr>
        <w:spacing w:line="480" w:lineRule="auto"/>
        <w:jc w:val="both"/>
        <w:rPr>
          <w:sz w:val="22"/>
          <w:szCs w:val="22"/>
        </w:rPr>
      </w:pPr>
      <w:r w:rsidDel="00000000" w:rsidR="00000000" w:rsidRPr="00000000">
        <w:rPr>
          <w:rtl w:val="0"/>
        </w:rPr>
      </w:r>
    </w:p>
    <w:p w:rsidR="00000000" w:rsidDel="00000000" w:rsidP="00000000" w:rsidRDefault="00000000" w:rsidRPr="00000000" w14:paraId="000003C5">
      <w:pPr>
        <w:spacing w:line="480" w:lineRule="auto"/>
        <w:jc w:val="both"/>
        <w:rPr>
          <w:sz w:val="22"/>
          <w:szCs w:val="22"/>
        </w:rPr>
      </w:pPr>
      <w:r w:rsidDel="00000000" w:rsidR="00000000" w:rsidRPr="00000000">
        <w:rPr>
          <w:rtl w:val="0"/>
        </w:rPr>
      </w:r>
    </w:p>
    <w:p w:rsidR="00000000" w:rsidDel="00000000" w:rsidP="00000000" w:rsidRDefault="00000000" w:rsidRPr="00000000" w14:paraId="000003C6">
      <w:pPr>
        <w:spacing w:line="480" w:lineRule="auto"/>
        <w:jc w:val="both"/>
        <w:rPr>
          <w:sz w:val="22"/>
          <w:szCs w:val="22"/>
        </w:rPr>
      </w:pPr>
      <w:r w:rsidDel="00000000" w:rsidR="00000000" w:rsidRPr="00000000">
        <w:rPr>
          <w:rtl w:val="0"/>
        </w:rPr>
      </w:r>
    </w:p>
    <w:p w:rsidR="00000000" w:rsidDel="00000000" w:rsidP="00000000" w:rsidRDefault="00000000" w:rsidRPr="00000000" w14:paraId="000003C7">
      <w:pPr>
        <w:spacing w:line="480" w:lineRule="auto"/>
        <w:jc w:val="both"/>
        <w:rPr>
          <w:sz w:val="22"/>
          <w:szCs w:val="22"/>
        </w:rPr>
      </w:pPr>
      <w:r w:rsidDel="00000000" w:rsidR="00000000" w:rsidRPr="00000000">
        <w:rPr>
          <w:rtl w:val="0"/>
        </w:rPr>
      </w:r>
    </w:p>
    <w:tbl>
      <w:tblPr>
        <w:tblStyle w:val="Table5"/>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1908"/>
        <w:gridCol w:w="3559"/>
        <w:gridCol w:w="3559"/>
        <w:tblGridChange w:id="0">
          <w:tblGrid>
            <w:gridCol w:w="1908"/>
            <w:gridCol w:w="3559"/>
            <w:gridCol w:w="3559"/>
          </w:tblGrid>
        </w:tblGridChange>
      </w:tblGrid>
      <w:tr>
        <w:trPr>
          <w:cantSplit w:val="0"/>
          <w:tblHeader w:val="0"/>
        </w:trPr>
        <w:tc>
          <w:tcPr>
            <w:vAlign w:val="center"/>
          </w:tcPr>
          <w:p w:rsidR="00000000" w:rsidDel="00000000" w:rsidP="00000000" w:rsidRDefault="00000000" w:rsidRPr="00000000" w14:paraId="000003C8">
            <w:pPr>
              <w:jc w:val="center"/>
              <w:rPr>
                <w:sz w:val="22"/>
                <w:szCs w:val="22"/>
              </w:rPr>
            </w:pPr>
            <w:r w:rsidDel="00000000" w:rsidR="00000000" w:rsidRPr="00000000">
              <w:rPr>
                <w:sz w:val="22"/>
                <w:szCs w:val="22"/>
                <w:rtl w:val="0"/>
              </w:rPr>
              <w:t xml:space="preserve">Therapeutic Group</w:t>
            </w:r>
          </w:p>
        </w:tc>
        <w:tc>
          <w:tcPr>
            <w:vAlign w:val="center"/>
          </w:tcPr>
          <w:p w:rsidR="00000000" w:rsidDel="00000000" w:rsidP="00000000" w:rsidRDefault="00000000" w:rsidRPr="00000000" w14:paraId="000003C9">
            <w:pPr>
              <w:jc w:val="center"/>
              <w:rPr>
                <w:sz w:val="22"/>
                <w:szCs w:val="22"/>
              </w:rPr>
            </w:pPr>
            <w:r w:rsidDel="00000000" w:rsidR="00000000" w:rsidRPr="00000000">
              <w:rPr>
                <w:sz w:val="22"/>
                <w:szCs w:val="22"/>
                <w:rtl w:val="0"/>
              </w:rPr>
              <w:t xml:space="preserve">Physical Withdrawal Symptoms</w:t>
            </w:r>
          </w:p>
        </w:tc>
        <w:tc>
          <w:tcPr>
            <w:vAlign w:val="center"/>
          </w:tcPr>
          <w:p w:rsidR="00000000" w:rsidDel="00000000" w:rsidP="00000000" w:rsidRDefault="00000000" w:rsidRPr="00000000" w14:paraId="000003CA">
            <w:pPr>
              <w:jc w:val="center"/>
              <w:rPr>
                <w:sz w:val="22"/>
                <w:szCs w:val="22"/>
              </w:rPr>
            </w:pPr>
            <w:r w:rsidDel="00000000" w:rsidR="00000000" w:rsidRPr="00000000">
              <w:rPr>
                <w:sz w:val="22"/>
                <w:szCs w:val="22"/>
                <w:rtl w:val="0"/>
              </w:rPr>
              <w:t xml:space="preserve">Psychological Withdrawal Symptoms</w:t>
            </w:r>
          </w:p>
        </w:tc>
      </w:tr>
      <w:tr>
        <w:trPr>
          <w:cantSplit w:val="0"/>
          <w:tblHeader w:val="0"/>
        </w:trPr>
        <w:tc>
          <w:tcPr>
            <w:vAlign w:val="center"/>
          </w:tcPr>
          <w:p w:rsidR="00000000" w:rsidDel="00000000" w:rsidP="00000000" w:rsidRDefault="00000000" w:rsidRPr="00000000" w14:paraId="000003CB">
            <w:pPr>
              <w:rPr>
                <w:sz w:val="22"/>
                <w:szCs w:val="22"/>
              </w:rPr>
            </w:pPr>
            <w:r w:rsidDel="00000000" w:rsidR="00000000" w:rsidRPr="00000000">
              <w:rPr>
                <w:sz w:val="22"/>
                <w:szCs w:val="22"/>
                <w:rtl w:val="0"/>
              </w:rPr>
              <w:t xml:space="preserve">Antidepressants</w:t>
            </w:r>
          </w:p>
        </w:tc>
        <w:tc>
          <w:tcPr>
            <w:vAlign w:val="center"/>
          </w:tcPr>
          <w:p w:rsidR="00000000" w:rsidDel="00000000" w:rsidP="00000000" w:rsidRDefault="00000000" w:rsidRPr="00000000" w14:paraId="000003CC">
            <w:pPr>
              <w:jc w:val="center"/>
              <w:rPr>
                <w:sz w:val="22"/>
                <w:szCs w:val="22"/>
              </w:rPr>
            </w:pPr>
            <w:r w:rsidDel="00000000" w:rsidR="00000000" w:rsidRPr="00000000">
              <w:rPr>
                <w:sz w:val="22"/>
                <w:szCs w:val="22"/>
                <w:rtl w:val="0"/>
              </w:rPr>
              <w:t xml:space="preserve">Dizziness</w:t>
            </w:r>
          </w:p>
          <w:p w:rsidR="00000000" w:rsidDel="00000000" w:rsidP="00000000" w:rsidRDefault="00000000" w:rsidRPr="00000000" w14:paraId="000003CD">
            <w:pPr>
              <w:jc w:val="center"/>
              <w:rPr>
                <w:sz w:val="22"/>
                <w:szCs w:val="22"/>
              </w:rPr>
            </w:pPr>
            <w:r w:rsidDel="00000000" w:rsidR="00000000" w:rsidRPr="00000000">
              <w:rPr>
                <w:sz w:val="22"/>
                <w:szCs w:val="22"/>
                <w:rtl w:val="0"/>
              </w:rPr>
              <w:t xml:space="preserve">Headaches</w:t>
            </w:r>
          </w:p>
          <w:p w:rsidR="00000000" w:rsidDel="00000000" w:rsidP="00000000" w:rsidRDefault="00000000" w:rsidRPr="00000000" w14:paraId="000003CE">
            <w:pPr>
              <w:jc w:val="center"/>
              <w:rPr>
                <w:sz w:val="22"/>
                <w:szCs w:val="22"/>
              </w:rPr>
            </w:pPr>
            <w:r w:rsidDel="00000000" w:rsidR="00000000" w:rsidRPr="00000000">
              <w:rPr>
                <w:sz w:val="22"/>
                <w:szCs w:val="22"/>
                <w:rtl w:val="0"/>
              </w:rPr>
              <w:t xml:space="preserve">“Brain Zaps”</w:t>
            </w:r>
          </w:p>
          <w:p w:rsidR="00000000" w:rsidDel="00000000" w:rsidP="00000000" w:rsidRDefault="00000000" w:rsidRPr="00000000" w14:paraId="000003CF">
            <w:pPr>
              <w:jc w:val="center"/>
              <w:rPr>
                <w:sz w:val="22"/>
                <w:szCs w:val="22"/>
              </w:rPr>
            </w:pPr>
            <w:r w:rsidDel="00000000" w:rsidR="00000000" w:rsidRPr="00000000">
              <w:rPr>
                <w:sz w:val="22"/>
                <w:szCs w:val="22"/>
                <w:rtl w:val="0"/>
              </w:rPr>
              <w:t xml:space="preserve">Nausea</w:t>
            </w:r>
          </w:p>
          <w:p w:rsidR="00000000" w:rsidDel="00000000" w:rsidP="00000000" w:rsidRDefault="00000000" w:rsidRPr="00000000" w14:paraId="000003D0">
            <w:pPr>
              <w:jc w:val="center"/>
              <w:rPr>
                <w:sz w:val="22"/>
                <w:szCs w:val="22"/>
              </w:rPr>
            </w:pPr>
            <w:r w:rsidDel="00000000" w:rsidR="00000000" w:rsidRPr="00000000">
              <w:rPr>
                <w:sz w:val="22"/>
                <w:szCs w:val="22"/>
                <w:rtl w:val="0"/>
              </w:rPr>
              <w:t xml:space="preserve">Aches</w:t>
            </w:r>
          </w:p>
          <w:p w:rsidR="00000000" w:rsidDel="00000000" w:rsidP="00000000" w:rsidRDefault="00000000" w:rsidRPr="00000000" w14:paraId="000003D1">
            <w:pPr>
              <w:jc w:val="center"/>
              <w:rPr>
                <w:sz w:val="22"/>
                <w:szCs w:val="22"/>
              </w:rPr>
            </w:pPr>
            <w:r w:rsidDel="00000000" w:rsidR="00000000" w:rsidRPr="00000000">
              <w:rPr>
                <w:sz w:val="22"/>
                <w:szCs w:val="22"/>
                <w:rtl w:val="0"/>
              </w:rPr>
              <w:t xml:space="preserve">Sensory Disturbances</w:t>
            </w:r>
          </w:p>
          <w:p w:rsidR="00000000" w:rsidDel="00000000" w:rsidP="00000000" w:rsidRDefault="00000000" w:rsidRPr="00000000" w14:paraId="000003D2">
            <w:pPr>
              <w:jc w:val="center"/>
              <w:rPr>
                <w:sz w:val="22"/>
                <w:szCs w:val="22"/>
              </w:rPr>
            </w:pPr>
            <w:r w:rsidDel="00000000" w:rsidR="00000000" w:rsidRPr="00000000">
              <w:rPr>
                <w:sz w:val="22"/>
                <w:szCs w:val="22"/>
                <w:rtl w:val="0"/>
              </w:rPr>
              <w:t xml:space="preserve">Diarrhoea</w:t>
            </w:r>
          </w:p>
          <w:p w:rsidR="00000000" w:rsidDel="00000000" w:rsidP="00000000" w:rsidRDefault="00000000" w:rsidRPr="00000000" w14:paraId="000003D3">
            <w:pPr>
              <w:jc w:val="center"/>
              <w:rPr>
                <w:sz w:val="22"/>
                <w:szCs w:val="22"/>
              </w:rPr>
            </w:pPr>
            <w:r w:rsidDel="00000000" w:rsidR="00000000" w:rsidRPr="00000000">
              <w:rPr>
                <w:sz w:val="22"/>
                <w:szCs w:val="22"/>
                <w:rtl w:val="0"/>
              </w:rPr>
              <w:t xml:space="preserve">Fatigue</w:t>
            </w:r>
          </w:p>
          <w:p w:rsidR="00000000" w:rsidDel="00000000" w:rsidP="00000000" w:rsidRDefault="00000000" w:rsidRPr="00000000" w14:paraId="000003D4">
            <w:pPr>
              <w:tabs>
                <w:tab w:val="left" w:leader="none" w:pos="1527"/>
              </w:tabs>
              <w:jc w:val="center"/>
              <w:rPr>
                <w:sz w:val="22"/>
                <w:szCs w:val="22"/>
              </w:rPr>
            </w:pPr>
            <w:r w:rsidDel="00000000" w:rsidR="00000000" w:rsidRPr="00000000">
              <w:rPr>
                <w:sz w:val="22"/>
                <w:szCs w:val="22"/>
                <w:rtl w:val="0"/>
              </w:rPr>
              <w:t xml:space="preserve">Tremors</w:t>
            </w:r>
          </w:p>
          <w:p w:rsidR="00000000" w:rsidDel="00000000" w:rsidP="00000000" w:rsidRDefault="00000000" w:rsidRPr="00000000" w14:paraId="000003D5">
            <w:pPr>
              <w:tabs>
                <w:tab w:val="left" w:leader="none" w:pos="1527"/>
              </w:tabs>
              <w:jc w:val="center"/>
              <w:rPr>
                <w:sz w:val="22"/>
                <w:szCs w:val="22"/>
              </w:rPr>
            </w:pPr>
            <w:r w:rsidDel="00000000" w:rsidR="00000000" w:rsidRPr="00000000">
              <w:rPr>
                <w:sz w:val="22"/>
                <w:szCs w:val="22"/>
                <w:rtl w:val="0"/>
              </w:rPr>
              <w:t xml:space="preserve">Balance Issues</w:t>
            </w:r>
          </w:p>
          <w:p w:rsidR="00000000" w:rsidDel="00000000" w:rsidP="00000000" w:rsidRDefault="00000000" w:rsidRPr="00000000" w14:paraId="000003D6">
            <w:pPr>
              <w:tabs>
                <w:tab w:val="left" w:leader="none" w:pos="1527"/>
              </w:tabs>
              <w:jc w:val="center"/>
              <w:rPr>
                <w:sz w:val="22"/>
                <w:szCs w:val="22"/>
              </w:rPr>
            </w:pPr>
            <w:r w:rsidDel="00000000" w:rsidR="00000000" w:rsidRPr="00000000">
              <w:rPr>
                <w:sz w:val="22"/>
                <w:szCs w:val="22"/>
                <w:rtl w:val="0"/>
              </w:rPr>
              <w:t xml:space="preserve">Visual Symptoms</w:t>
            </w:r>
          </w:p>
          <w:p w:rsidR="00000000" w:rsidDel="00000000" w:rsidP="00000000" w:rsidRDefault="00000000" w:rsidRPr="00000000" w14:paraId="000003D7">
            <w:pPr>
              <w:tabs>
                <w:tab w:val="left" w:leader="none" w:pos="1527"/>
              </w:tabs>
              <w:jc w:val="center"/>
              <w:rPr>
                <w:sz w:val="22"/>
                <w:szCs w:val="22"/>
              </w:rPr>
            </w:pPr>
            <w:r w:rsidDel="00000000" w:rsidR="00000000" w:rsidRPr="00000000">
              <w:rPr>
                <w:sz w:val="22"/>
                <w:szCs w:val="22"/>
                <w:rtl w:val="0"/>
              </w:rPr>
              <w:t xml:space="preserve">Sexual Issues</w:t>
            </w:r>
          </w:p>
          <w:p w:rsidR="00000000" w:rsidDel="00000000" w:rsidP="00000000" w:rsidRDefault="00000000" w:rsidRPr="00000000" w14:paraId="000003D8">
            <w:pPr>
              <w:tabs>
                <w:tab w:val="left" w:leader="none" w:pos="1527"/>
              </w:tabs>
              <w:jc w:val="center"/>
              <w:rPr>
                <w:sz w:val="22"/>
                <w:szCs w:val="22"/>
              </w:rPr>
            </w:pPr>
            <w:r w:rsidDel="00000000" w:rsidR="00000000" w:rsidRPr="00000000">
              <w:rPr>
                <w:sz w:val="22"/>
                <w:szCs w:val="22"/>
                <w:rtl w:val="0"/>
              </w:rPr>
              <w:t xml:space="preserve">Vomiting</w:t>
            </w:r>
          </w:p>
        </w:tc>
        <w:tc>
          <w:tcPr>
            <w:vAlign w:val="center"/>
          </w:tcPr>
          <w:p w:rsidR="00000000" w:rsidDel="00000000" w:rsidP="00000000" w:rsidRDefault="00000000" w:rsidRPr="00000000" w14:paraId="000003D9">
            <w:pPr>
              <w:jc w:val="center"/>
              <w:rPr>
                <w:sz w:val="22"/>
                <w:szCs w:val="22"/>
              </w:rPr>
            </w:pPr>
            <w:r w:rsidDel="00000000" w:rsidR="00000000" w:rsidRPr="00000000">
              <w:rPr>
                <w:sz w:val="22"/>
                <w:szCs w:val="22"/>
                <w:rtl w:val="0"/>
              </w:rPr>
              <w:t xml:space="preserve">Decreased Concentration</w:t>
            </w:r>
          </w:p>
          <w:p w:rsidR="00000000" w:rsidDel="00000000" w:rsidP="00000000" w:rsidRDefault="00000000" w:rsidRPr="00000000" w14:paraId="000003DA">
            <w:pPr>
              <w:jc w:val="center"/>
              <w:rPr>
                <w:sz w:val="22"/>
                <w:szCs w:val="22"/>
              </w:rPr>
            </w:pPr>
            <w:r w:rsidDel="00000000" w:rsidR="00000000" w:rsidRPr="00000000">
              <w:rPr>
                <w:sz w:val="22"/>
                <w:szCs w:val="22"/>
                <w:rtl w:val="0"/>
              </w:rPr>
              <w:t xml:space="preserve">Anxiety</w:t>
              <w:br w:type="textWrapping"/>
              <w:t xml:space="preserve">Panic</w:t>
            </w:r>
          </w:p>
          <w:p w:rsidR="00000000" w:rsidDel="00000000" w:rsidP="00000000" w:rsidRDefault="00000000" w:rsidRPr="00000000" w14:paraId="000003DB">
            <w:pPr>
              <w:jc w:val="center"/>
              <w:rPr>
                <w:sz w:val="22"/>
                <w:szCs w:val="22"/>
              </w:rPr>
            </w:pPr>
            <w:r w:rsidDel="00000000" w:rsidR="00000000" w:rsidRPr="00000000">
              <w:rPr>
                <w:sz w:val="22"/>
                <w:szCs w:val="22"/>
                <w:rtl w:val="0"/>
              </w:rPr>
              <w:t xml:space="preserve">Depression</w:t>
            </w:r>
          </w:p>
          <w:p w:rsidR="00000000" w:rsidDel="00000000" w:rsidP="00000000" w:rsidRDefault="00000000" w:rsidRPr="00000000" w14:paraId="000003DC">
            <w:pPr>
              <w:jc w:val="center"/>
              <w:rPr>
                <w:sz w:val="22"/>
                <w:szCs w:val="22"/>
              </w:rPr>
            </w:pPr>
            <w:r w:rsidDel="00000000" w:rsidR="00000000" w:rsidRPr="00000000">
              <w:rPr>
                <w:sz w:val="22"/>
                <w:szCs w:val="22"/>
                <w:rtl w:val="0"/>
              </w:rPr>
              <w:t xml:space="preserve">Suicidality</w:t>
            </w:r>
          </w:p>
          <w:p w:rsidR="00000000" w:rsidDel="00000000" w:rsidP="00000000" w:rsidRDefault="00000000" w:rsidRPr="00000000" w14:paraId="000003DD">
            <w:pPr>
              <w:jc w:val="center"/>
              <w:rPr>
                <w:sz w:val="22"/>
                <w:szCs w:val="22"/>
              </w:rPr>
            </w:pPr>
            <w:r w:rsidDel="00000000" w:rsidR="00000000" w:rsidRPr="00000000">
              <w:rPr>
                <w:sz w:val="22"/>
                <w:szCs w:val="22"/>
                <w:rtl w:val="0"/>
              </w:rPr>
              <w:t xml:space="preserve">Hallucinations</w:t>
            </w:r>
          </w:p>
          <w:p w:rsidR="00000000" w:rsidDel="00000000" w:rsidP="00000000" w:rsidRDefault="00000000" w:rsidRPr="00000000" w14:paraId="000003DE">
            <w:pPr>
              <w:jc w:val="center"/>
              <w:rPr>
                <w:sz w:val="22"/>
                <w:szCs w:val="22"/>
              </w:rPr>
            </w:pPr>
            <w:r w:rsidDel="00000000" w:rsidR="00000000" w:rsidRPr="00000000">
              <w:rPr>
                <w:sz w:val="22"/>
                <w:szCs w:val="22"/>
                <w:rtl w:val="0"/>
              </w:rPr>
              <w:t xml:space="preserve">Irritability</w:t>
            </w:r>
          </w:p>
          <w:p w:rsidR="00000000" w:rsidDel="00000000" w:rsidP="00000000" w:rsidRDefault="00000000" w:rsidRPr="00000000" w14:paraId="000003DF">
            <w:pPr>
              <w:jc w:val="center"/>
              <w:rPr>
                <w:sz w:val="22"/>
                <w:szCs w:val="22"/>
              </w:rPr>
            </w:pPr>
            <w:r w:rsidDel="00000000" w:rsidR="00000000" w:rsidRPr="00000000">
              <w:rPr>
                <w:sz w:val="22"/>
                <w:szCs w:val="22"/>
                <w:rtl w:val="0"/>
              </w:rPr>
              <w:t xml:space="preserve">Nightmares</w:t>
            </w:r>
          </w:p>
        </w:tc>
      </w:tr>
      <w:tr>
        <w:trPr>
          <w:cantSplit w:val="0"/>
          <w:tblHeader w:val="0"/>
        </w:trPr>
        <w:tc>
          <w:tcPr>
            <w:vAlign w:val="center"/>
          </w:tcPr>
          <w:p w:rsidR="00000000" w:rsidDel="00000000" w:rsidP="00000000" w:rsidRDefault="00000000" w:rsidRPr="00000000" w14:paraId="000003E0">
            <w:pPr>
              <w:rPr>
                <w:sz w:val="22"/>
                <w:szCs w:val="22"/>
              </w:rPr>
            </w:pPr>
            <w:r w:rsidDel="00000000" w:rsidR="00000000" w:rsidRPr="00000000">
              <w:rPr>
                <w:sz w:val="22"/>
                <w:szCs w:val="22"/>
                <w:rtl w:val="0"/>
              </w:rPr>
              <w:t xml:space="preserve">Benzodiazepines and Z-Drugs</w:t>
            </w:r>
          </w:p>
        </w:tc>
        <w:tc>
          <w:tcPr>
            <w:vAlign w:val="center"/>
          </w:tcPr>
          <w:p w:rsidR="00000000" w:rsidDel="00000000" w:rsidP="00000000" w:rsidRDefault="00000000" w:rsidRPr="00000000" w14:paraId="000003E1">
            <w:pPr>
              <w:jc w:val="center"/>
              <w:rPr>
                <w:sz w:val="22"/>
                <w:szCs w:val="22"/>
              </w:rPr>
            </w:pPr>
            <w:r w:rsidDel="00000000" w:rsidR="00000000" w:rsidRPr="00000000">
              <w:rPr>
                <w:sz w:val="22"/>
                <w:szCs w:val="22"/>
                <w:rtl w:val="0"/>
              </w:rPr>
              <w:t xml:space="preserve">Weakness</w:t>
            </w:r>
          </w:p>
          <w:p w:rsidR="00000000" w:rsidDel="00000000" w:rsidP="00000000" w:rsidRDefault="00000000" w:rsidRPr="00000000" w14:paraId="000003E2">
            <w:pPr>
              <w:jc w:val="center"/>
              <w:rPr>
                <w:sz w:val="22"/>
                <w:szCs w:val="22"/>
              </w:rPr>
            </w:pPr>
            <w:r w:rsidDel="00000000" w:rsidR="00000000" w:rsidRPr="00000000">
              <w:rPr>
                <w:sz w:val="22"/>
                <w:szCs w:val="22"/>
                <w:rtl w:val="0"/>
              </w:rPr>
              <w:t xml:space="preserve">Chills</w:t>
            </w:r>
          </w:p>
          <w:p w:rsidR="00000000" w:rsidDel="00000000" w:rsidP="00000000" w:rsidRDefault="00000000" w:rsidRPr="00000000" w14:paraId="000003E3">
            <w:pPr>
              <w:jc w:val="center"/>
              <w:rPr>
                <w:sz w:val="22"/>
                <w:szCs w:val="22"/>
              </w:rPr>
            </w:pPr>
            <w:r w:rsidDel="00000000" w:rsidR="00000000" w:rsidRPr="00000000">
              <w:rPr>
                <w:sz w:val="22"/>
                <w:szCs w:val="22"/>
                <w:rtl w:val="0"/>
              </w:rPr>
              <w:t xml:space="preserve">Sweats</w:t>
            </w:r>
          </w:p>
          <w:p w:rsidR="00000000" w:rsidDel="00000000" w:rsidP="00000000" w:rsidRDefault="00000000" w:rsidRPr="00000000" w14:paraId="000003E4">
            <w:pPr>
              <w:jc w:val="center"/>
              <w:rPr>
                <w:sz w:val="22"/>
                <w:szCs w:val="22"/>
              </w:rPr>
            </w:pPr>
            <w:r w:rsidDel="00000000" w:rsidR="00000000" w:rsidRPr="00000000">
              <w:rPr>
                <w:sz w:val="22"/>
                <w:szCs w:val="22"/>
                <w:rtl w:val="0"/>
              </w:rPr>
              <w:t xml:space="preserve">Pain</w:t>
            </w:r>
          </w:p>
          <w:p w:rsidR="00000000" w:rsidDel="00000000" w:rsidP="00000000" w:rsidRDefault="00000000" w:rsidRPr="00000000" w14:paraId="000003E5">
            <w:pPr>
              <w:jc w:val="center"/>
              <w:rPr>
                <w:sz w:val="22"/>
                <w:szCs w:val="22"/>
              </w:rPr>
            </w:pPr>
            <w:r w:rsidDel="00000000" w:rsidR="00000000" w:rsidRPr="00000000">
              <w:rPr>
                <w:sz w:val="22"/>
                <w:szCs w:val="22"/>
                <w:rtl w:val="0"/>
              </w:rPr>
              <w:t xml:space="preserve">Diarrhoea</w:t>
            </w:r>
          </w:p>
          <w:p w:rsidR="00000000" w:rsidDel="00000000" w:rsidP="00000000" w:rsidRDefault="00000000" w:rsidRPr="00000000" w14:paraId="000003E6">
            <w:pPr>
              <w:jc w:val="center"/>
              <w:rPr>
                <w:sz w:val="22"/>
                <w:szCs w:val="22"/>
              </w:rPr>
            </w:pPr>
            <w:r w:rsidDel="00000000" w:rsidR="00000000" w:rsidRPr="00000000">
              <w:rPr>
                <w:sz w:val="22"/>
                <w:szCs w:val="22"/>
                <w:rtl w:val="0"/>
              </w:rPr>
              <w:t xml:space="preserve">Hypersensitivity</w:t>
            </w:r>
          </w:p>
          <w:p w:rsidR="00000000" w:rsidDel="00000000" w:rsidP="00000000" w:rsidRDefault="00000000" w:rsidRPr="00000000" w14:paraId="000003E7">
            <w:pPr>
              <w:jc w:val="center"/>
              <w:rPr>
                <w:sz w:val="22"/>
                <w:szCs w:val="22"/>
              </w:rPr>
            </w:pPr>
            <w:r w:rsidDel="00000000" w:rsidR="00000000" w:rsidRPr="00000000">
              <w:rPr>
                <w:sz w:val="22"/>
                <w:szCs w:val="22"/>
                <w:rtl w:val="0"/>
              </w:rPr>
              <w:t xml:space="preserve">Exhaustion</w:t>
            </w:r>
          </w:p>
          <w:p w:rsidR="00000000" w:rsidDel="00000000" w:rsidP="00000000" w:rsidRDefault="00000000" w:rsidRPr="00000000" w14:paraId="000003E8">
            <w:pPr>
              <w:jc w:val="center"/>
              <w:rPr>
                <w:sz w:val="22"/>
                <w:szCs w:val="22"/>
              </w:rPr>
            </w:pPr>
            <w:r w:rsidDel="00000000" w:rsidR="00000000" w:rsidRPr="00000000">
              <w:rPr>
                <w:sz w:val="22"/>
                <w:szCs w:val="22"/>
                <w:rtl w:val="0"/>
              </w:rPr>
              <w:t xml:space="preserve">Insomnia</w:t>
            </w:r>
          </w:p>
          <w:p w:rsidR="00000000" w:rsidDel="00000000" w:rsidP="00000000" w:rsidRDefault="00000000" w:rsidRPr="00000000" w14:paraId="000003E9">
            <w:pPr>
              <w:jc w:val="center"/>
              <w:rPr>
                <w:sz w:val="22"/>
                <w:szCs w:val="22"/>
              </w:rPr>
            </w:pPr>
            <w:r w:rsidDel="00000000" w:rsidR="00000000" w:rsidRPr="00000000">
              <w:rPr>
                <w:sz w:val="22"/>
                <w:szCs w:val="22"/>
                <w:rtl w:val="0"/>
              </w:rPr>
              <w:t xml:space="preserve">Muscle Spasms</w:t>
            </w:r>
          </w:p>
          <w:p w:rsidR="00000000" w:rsidDel="00000000" w:rsidP="00000000" w:rsidRDefault="00000000" w:rsidRPr="00000000" w14:paraId="000003EA">
            <w:pPr>
              <w:jc w:val="center"/>
              <w:rPr>
                <w:sz w:val="22"/>
                <w:szCs w:val="22"/>
              </w:rPr>
            </w:pPr>
            <w:r w:rsidDel="00000000" w:rsidR="00000000" w:rsidRPr="00000000">
              <w:rPr>
                <w:sz w:val="22"/>
                <w:szCs w:val="22"/>
                <w:rtl w:val="0"/>
              </w:rPr>
              <w:t xml:space="preserve">Heart Palpitations</w:t>
            </w:r>
          </w:p>
          <w:p w:rsidR="00000000" w:rsidDel="00000000" w:rsidP="00000000" w:rsidRDefault="00000000" w:rsidRPr="00000000" w14:paraId="000003EB">
            <w:pPr>
              <w:jc w:val="center"/>
              <w:rPr>
                <w:sz w:val="22"/>
                <w:szCs w:val="22"/>
              </w:rPr>
            </w:pPr>
            <w:r w:rsidDel="00000000" w:rsidR="00000000" w:rsidRPr="00000000">
              <w:rPr>
                <w:sz w:val="22"/>
                <w:szCs w:val="22"/>
                <w:rtl w:val="0"/>
              </w:rPr>
              <w:t xml:space="preserve">Weigh loss</w:t>
            </w:r>
          </w:p>
        </w:tc>
        <w:tc>
          <w:tcPr>
            <w:vAlign w:val="center"/>
          </w:tcPr>
          <w:p w:rsidR="00000000" w:rsidDel="00000000" w:rsidP="00000000" w:rsidRDefault="00000000" w:rsidRPr="00000000" w14:paraId="000003EC">
            <w:pPr>
              <w:jc w:val="center"/>
              <w:rPr>
                <w:sz w:val="22"/>
                <w:szCs w:val="22"/>
              </w:rPr>
            </w:pPr>
            <w:r w:rsidDel="00000000" w:rsidR="00000000" w:rsidRPr="00000000">
              <w:rPr>
                <w:sz w:val="22"/>
                <w:szCs w:val="22"/>
                <w:rtl w:val="0"/>
              </w:rPr>
              <w:t xml:space="preserve">Isolation</w:t>
            </w:r>
          </w:p>
          <w:p w:rsidR="00000000" w:rsidDel="00000000" w:rsidP="00000000" w:rsidRDefault="00000000" w:rsidRPr="00000000" w14:paraId="000003ED">
            <w:pPr>
              <w:jc w:val="center"/>
              <w:rPr>
                <w:sz w:val="22"/>
                <w:szCs w:val="22"/>
              </w:rPr>
            </w:pPr>
            <w:r w:rsidDel="00000000" w:rsidR="00000000" w:rsidRPr="00000000">
              <w:rPr>
                <w:sz w:val="22"/>
                <w:szCs w:val="22"/>
                <w:rtl w:val="0"/>
              </w:rPr>
              <w:t xml:space="preserve">Loss of identity</w:t>
            </w:r>
          </w:p>
          <w:p w:rsidR="00000000" w:rsidDel="00000000" w:rsidP="00000000" w:rsidRDefault="00000000" w:rsidRPr="00000000" w14:paraId="000003EE">
            <w:pPr>
              <w:jc w:val="center"/>
              <w:rPr>
                <w:sz w:val="22"/>
                <w:szCs w:val="22"/>
              </w:rPr>
            </w:pPr>
            <w:r w:rsidDel="00000000" w:rsidR="00000000" w:rsidRPr="00000000">
              <w:rPr>
                <w:sz w:val="22"/>
                <w:szCs w:val="22"/>
                <w:rtl w:val="0"/>
              </w:rPr>
              <w:t xml:space="preserve">“Urge to self-destruct”</w:t>
            </w:r>
          </w:p>
          <w:p w:rsidR="00000000" w:rsidDel="00000000" w:rsidP="00000000" w:rsidRDefault="00000000" w:rsidRPr="00000000" w14:paraId="000003EF">
            <w:pPr>
              <w:jc w:val="center"/>
              <w:rPr>
                <w:sz w:val="22"/>
                <w:szCs w:val="22"/>
              </w:rPr>
            </w:pPr>
            <w:r w:rsidDel="00000000" w:rsidR="00000000" w:rsidRPr="00000000">
              <w:rPr>
                <w:sz w:val="22"/>
                <w:szCs w:val="22"/>
                <w:rtl w:val="0"/>
              </w:rPr>
              <w:t xml:space="preserve">Anger</w:t>
            </w:r>
          </w:p>
          <w:p w:rsidR="00000000" w:rsidDel="00000000" w:rsidP="00000000" w:rsidRDefault="00000000" w:rsidRPr="00000000" w14:paraId="000003F0">
            <w:pPr>
              <w:jc w:val="center"/>
              <w:rPr>
                <w:sz w:val="22"/>
                <w:szCs w:val="22"/>
              </w:rPr>
            </w:pPr>
            <w:r w:rsidDel="00000000" w:rsidR="00000000" w:rsidRPr="00000000">
              <w:rPr>
                <w:sz w:val="22"/>
                <w:szCs w:val="22"/>
                <w:rtl w:val="0"/>
              </w:rPr>
              <w:t xml:space="preserve">Suicidal Ideation</w:t>
            </w:r>
          </w:p>
          <w:p w:rsidR="00000000" w:rsidDel="00000000" w:rsidP="00000000" w:rsidRDefault="00000000" w:rsidRPr="00000000" w14:paraId="000003F1">
            <w:pPr>
              <w:jc w:val="center"/>
              <w:rPr>
                <w:sz w:val="22"/>
                <w:szCs w:val="22"/>
              </w:rPr>
            </w:pPr>
            <w:r w:rsidDel="00000000" w:rsidR="00000000" w:rsidRPr="00000000">
              <w:rPr>
                <w:sz w:val="22"/>
                <w:szCs w:val="22"/>
                <w:rtl w:val="0"/>
              </w:rPr>
              <w:t xml:space="preserve">Anxiety</w:t>
            </w:r>
          </w:p>
          <w:p w:rsidR="00000000" w:rsidDel="00000000" w:rsidP="00000000" w:rsidRDefault="00000000" w:rsidRPr="00000000" w14:paraId="000003F2">
            <w:pPr>
              <w:jc w:val="center"/>
              <w:rPr>
                <w:sz w:val="22"/>
                <w:szCs w:val="22"/>
              </w:rPr>
            </w:pPr>
            <w:r w:rsidDel="00000000" w:rsidR="00000000" w:rsidRPr="00000000">
              <w:rPr>
                <w:sz w:val="22"/>
                <w:szCs w:val="22"/>
                <w:rtl w:val="0"/>
              </w:rPr>
              <w:t xml:space="preserve">Irritability</w:t>
            </w:r>
          </w:p>
          <w:p w:rsidR="00000000" w:rsidDel="00000000" w:rsidP="00000000" w:rsidRDefault="00000000" w:rsidRPr="00000000" w14:paraId="000003F3">
            <w:pPr>
              <w:jc w:val="center"/>
              <w:rPr>
                <w:sz w:val="22"/>
                <w:szCs w:val="22"/>
              </w:rPr>
            </w:pPr>
            <w:r w:rsidDel="00000000" w:rsidR="00000000" w:rsidRPr="00000000">
              <w:rPr>
                <w:sz w:val="22"/>
                <w:szCs w:val="22"/>
                <w:rtl w:val="0"/>
              </w:rPr>
              <w:t xml:space="preserve">Agitation</w:t>
            </w:r>
          </w:p>
          <w:p w:rsidR="00000000" w:rsidDel="00000000" w:rsidP="00000000" w:rsidRDefault="00000000" w:rsidRPr="00000000" w14:paraId="000003F4">
            <w:pPr>
              <w:jc w:val="center"/>
              <w:rPr>
                <w:sz w:val="22"/>
                <w:szCs w:val="22"/>
              </w:rPr>
            </w:pPr>
            <w:r w:rsidDel="00000000" w:rsidR="00000000" w:rsidRPr="00000000">
              <w:rPr>
                <w:sz w:val="22"/>
                <w:szCs w:val="22"/>
                <w:rtl w:val="0"/>
              </w:rPr>
              <w:t xml:space="preserve">Nightmares</w:t>
            </w:r>
          </w:p>
          <w:p w:rsidR="00000000" w:rsidDel="00000000" w:rsidP="00000000" w:rsidRDefault="00000000" w:rsidRPr="00000000" w14:paraId="000003F5">
            <w:pPr>
              <w:jc w:val="center"/>
              <w:rPr>
                <w:sz w:val="22"/>
                <w:szCs w:val="22"/>
              </w:rPr>
            </w:pPr>
            <w:r w:rsidDel="00000000" w:rsidR="00000000" w:rsidRPr="00000000">
              <w:rPr>
                <w:sz w:val="22"/>
                <w:szCs w:val="22"/>
                <w:rtl w:val="0"/>
              </w:rPr>
              <w:t xml:space="preserve">Stress</w:t>
            </w:r>
          </w:p>
          <w:p w:rsidR="00000000" w:rsidDel="00000000" w:rsidP="00000000" w:rsidRDefault="00000000" w:rsidRPr="00000000" w14:paraId="000003F6">
            <w:pPr>
              <w:jc w:val="center"/>
              <w:rPr>
                <w:sz w:val="22"/>
                <w:szCs w:val="22"/>
              </w:rPr>
            </w:pPr>
            <w:r w:rsidDel="00000000" w:rsidR="00000000" w:rsidRPr="00000000">
              <w:rPr>
                <w:sz w:val="22"/>
                <w:szCs w:val="22"/>
                <w:rtl w:val="0"/>
              </w:rPr>
              <w:t xml:space="preserve">Confusion</w:t>
            </w:r>
          </w:p>
        </w:tc>
      </w:tr>
      <w:tr>
        <w:trPr>
          <w:cantSplit w:val="0"/>
          <w:tblHeader w:val="0"/>
        </w:trPr>
        <w:tc>
          <w:tcPr>
            <w:vAlign w:val="center"/>
          </w:tcPr>
          <w:p w:rsidR="00000000" w:rsidDel="00000000" w:rsidP="00000000" w:rsidRDefault="00000000" w:rsidRPr="00000000" w14:paraId="000003F7">
            <w:pPr>
              <w:rPr>
                <w:sz w:val="22"/>
                <w:szCs w:val="22"/>
              </w:rPr>
            </w:pPr>
            <w:r w:rsidDel="00000000" w:rsidR="00000000" w:rsidRPr="00000000">
              <w:rPr>
                <w:sz w:val="22"/>
                <w:szCs w:val="22"/>
                <w:rtl w:val="0"/>
              </w:rPr>
              <w:t xml:space="preserve">Gabapentinoids</w:t>
            </w:r>
          </w:p>
        </w:tc>
        <w:tc>
          <w:tcPr>
            <w:vAlign w:val="center"/>
          </w:tcPr>
          <w:p w:rsidR="00000000" w:rsidDel="00000000" w:rsidP="00000000" w:rsidRDefault="00000000" w:rsidRPr="00000000" w14:paraId="000003F8">
            <w:pPr>
              <w:jc w:val="center"/>
              <w:rPr>
                <w:sz w:val="22"/>
                <w:szCs w:val="22"/>
              </w:rPr>
            </w:pPr>
            <w:r w:rsidDel="00000000" w:rsidR="00000000" w:rsidRPr="00000000">
              <w:rPr>
                <w:sz w:val="22"/>
                <w:szCs w:val="22"/>
                <w:rtl w:val="0"/>
              </w:rPr>
              <w:t xml:space="preserve">Diarrhoea</w:t>
            </w:r>
          </w:p>
          <w:p w:rsidR="00000000" w:rsidDel="00000000" w:rsidP="00000000" w:rsidRDefault="00000000" w:rsidRPr="00000000" w14:paraId="000003F9">
            <w:pPr>
              <w:jc w:val="center"/>
              <w:rPr>
                <w:sz w:val="22"/>
                <w:szCs w:val="22"/>
              </w:rPr>
            </w:pPr>
            <w:r w:rsidDel="00000000" w:rsidR="00000000" w:rsidRPr="00000000">
              <w:rPr>
                <w:sz w:val="22"/>
                <w:szCs w:val="22"/>
                <w:rtl w:val="0"/>
              </w:rPr>
              <w:t xml:space="preserve">Headache</w:t>
            </w:r>
          </w:p>
          <w:p w:rsidR="00000000" w:rsidDel="00000000" w:rsidP="00000000" w:rsidRDefault="00000000" w:rsidRPr="00000000" w14:paraId="000003FA">
            <w:pPr>
              <w:jc w:val="center"/>
              <w:rPr>
                <w:sz w:val="22"/>
                <w:szCs w:val="22"/>
              </w:rPr>
            </w:pPr>
            <w:r w:rsidDel="00000000" w:rsidR="00000000" w:rsidRPr="00000000">
              <w:rPr>
                <w:sz w:val="22"/>
                <w:szCs w:val="22"/>
                <w:rtl w:val="0"/>
              </w:rPr>
              <w:t xml:space="preserve">Loss of Appetite</w:t>
            </w:r>
          </w:p>
          <w:p w:rsidR="00000000" w:rsidDel="00000000" w:rsidP="00000000" w:rsidRDefault="00000000" w:rsidRPr="00000000" w14:paraId="000003FB">
            <w:pPr>
              <w:jc w:val="center"/>
              <w:rPr>
                <w:sz w:val="22"/>
                <w:szCs w:val="22"/>
              </w:rPr>
            </w:pPr>
            <w:r w:rsidDel="00000000" w:rsidR="00000000" w:rsidRPr="00000000">
              <w:rPr>
                <w:sz w:val="22"/>
                <w:szCs w:val="22"/>
                <w:rtl w:val="0"/>
              </w:rPr>
              <w:t xml:space="preserve">Nausea</w:t>
            </w:r>
          </w:p>
          <w:p w:rsidR="00000000" w:rsidDel="00000000" w:rsidP="00000000" w:rsidRDefault="00000000" w:rsidRPr="00000000" w14:paraId="000003FC">
            <w:pPr>
              <w:jc w:val="center"/>
              <w:rPr>
                <w:sz w:val="22"/>
                <w:szCs w:val="22"/>
              </w:rPr>
            </w:pPr>
            <w:r w:rsidDel="00000000" w:rsidR="00000000" w:rsidRPr="00000000">
              <w:rPr>
                <w:sz w:val="22"/>
                <w:szCs w:val="22"/>
                <w:rtl w:val="0"/>
              </w:rPr>
              <w:t xml:space="preserve">Sweating</w:t>
            </w:r>
          </w:p>
          <w:p w:rsidR="00000000" w:rsidDel="00000000" w:rsidP="00000000" w:rsidRDefault="00000000" w:rsidRPr="00000000" w14:paraId="000003FD">
            <w:pPr>
              <w:jc w:val="center"/>
              <w:rPr>
                <w:sz w:val="22"/>
                <w:szCs w:val="22"/>
              </w:rPr>
            </w:pPr>
            <w:r w:rsidDel="00000000" w:rsidR="00000000" w:rsidRPr="00000000">
              <w:rPr>
                <w:sz w:val="22"/>
                <w:szCs w:val="22"/>
                <w:rtl w:val="0"/>
              </w:rPr>
              <w:t xml:space="preserve">Trembling</w:t>
            </w:r>
          </w:p>
          <w:p w:rsidR="00000000" w:rsidDel="00000000" w:rsidP="00000000" w:rsidRDefault="00000000" w:rsidRPr="00000000" w14:paraId="000003FE">
            <w:pPr>
              <w:jc w:val="center"/>
              <w:rPr>
                <w:sz w:val="22"/>
                <w:szCs w:val="22"/>
              </w:rPr>
            </w:pPr>
            <w:r w:rsidDel="00000000" w:rsidR="00000000" w:rsidRPr="00000000">
              <w:rPr>
                <w:sz w:val="22"/>
                <w:szCs w:val="22"/>
                <w:rtl w:val="0"/>
              </w:rPr>
              <w:t xml:space="preserve">Vomiting</w:t>
            </w:r>
          </w:p>
        </w:tc>
        <w:tc>
          <w:tcPr>
            <w:vAlign w:val="center"/>
          </w:tcPr>
          <w:p w:rsidR="00000000" w:rsidDel="00000000" w:rsidP="00000000" w:rsidRDefault="00000000" w:rsidRPr="00000000" w14:paraId="000003FF">
            <w:pPr>
              <w:jc w:val="center"/>
              <w:rPr>
                <w:sz w:val="22"/>
                <w:szCs w:val="22"/>
              </w:rPr>
            </w:pPr>
            <w:r w:rsidDel="00000000" w:rsidR="00000000" w:rsidRPr="00000000">
              <w:rPr>
                <w:sz w:val="22"/>
                <w:szCs w:val="22"/>
                <w:rtl w:val="0"/>
              </w:rPr>
              <w:t xml:space="preserve">Anxiety</w:t>
            </w:r>
          </w:p>
          <w:p w:rsidR="00000000" w:rsidDel="00000000" w:rsidP="00000000" w:rsidRDefault="00000000" w:rsidRPr="00000000" w14:paraId="00000400">
            <w:pPr>
              <w:jc w:val="center"/>
              <w:rPr>
                <w:sz w:val="22"/>
                <w:szCs w:val="22"/>
              </w:rPr>
            </w:pPr>
            <w:r w:rsidDel="00000000" w:rsidR="00000000" w:rsidRPr="00000000">
              <w:rPr>
                <w:sz w:val="22"/>
                <w:szCs w:val="22"/>
                <w:rtl w:val="0"/>
              </w:rPr>
              <w:t xml:space="preserve">Depression</w:t>
            </w:r>
          </w:p>
          <w:p w:rsidR="00000000" w:rsidDel="00000000" w:rsidP="00000000" w:rsidRDefault="00000000" w:rsidRPr="00000000" w14:paraId="00000401">
            <w:pPr>
              <w:jc w:val="center"/>
              <w:rPr>
                <w:sz w:val="22"/>
                <w:szCs w:val="22"/>
              </w:rPr>
            </w:pPr>
            <w:r w:rsidDel="00000000" w:rsidR="00000000" w:rsidRPr="00000000">
              <w:rPr>
                <w:sz w:val="22"/>
                <w:szCs w:val="22"/>
                <w:rtl w:val="0"/>
              </w:rPr>
              <w:t xml:space="preserve">Paranoia</w:t>
            </w:r>
          </w:p>
          <w:p w:rsidR="00000000" w:rsidDel="00000000" w:rsidP="00000000" w:rsidRDefault="00000000" w:rsidRPr="00000000" w14:paraId="00000402">
            <w:pPr>
              <w:jc w:val="center"/>
              <w:rPr>
                <w:sz w:val="22"/>
                <w:szCs w:val="22"/>
              </w:rPr>
            </w:pPr>
            <w:r w:rsidDel="00000000" w:rsidR="00000000" w:rsidRPr="00000000">
              <w:rPr>
                <w:sz w:val="22"/>
                <w:szCs w:val="22"/>
                <w:rtl w:val="0"/>
              </w:rPr>
              <w:t xml:space="preserve">Psychosis</w:t>
            </w:r>
          </w:p>
          <w:p w:rsidR="00000000" w:rsidDel="00000000" w:rsidP="00000000" w:rsidRDefault="00000000" w:rsidRPr="00000000" w14:paraId="00000403">
            <w:pPr>
              <w:jc w:val="center"/>
              <w:rPr>
                <w:sz w:val="22"/>
                <w:szCs w:val="22"/>
              </w:rPr>
            </w:pPr>
            <w:r w:rsidDel="00000000" w:rsidR="00000000" w:rsidRPr="00000000">
              <w:rPr>
                <w:sz w:val="22"/>
                <w:szCs w:val="22"/>
                <w:rtl w:val="0"/>
              </w:rPr>
              <w:t xml:space="preserve">Suicidal Ideation</w:t>
            </w:r>
          </w:p>
        </w:tc>
      </w:tr>
      <w:tr>
        <w:trPr>
          <w:cantSplit w:val="0"/>
          <w:tblHeader w:val="0"/>
        </w:trPr>
        <w:tc>
          <w:tcPr>
            <w:vAlign w:val="center"/>
          </w:tcPr>
          <w:p w:rsidR="00000000" w:rsidDel="00000000" w:rsidP="00000000" w:rsidRDefault="00000000" w:rsidRPr="00000000" w14:paraId="00000404">
            <w:pPr>
              <w:rPr>
                <w:sz w:val="22"/>
                <w:szCs w:val="22"/>
              </w:rPr>
            </w:pPr>
            <w:r w:rsidDel="00000000" w:rsidR="00000000" w:rsidRPr="00000000">
              <w:rPr>
                <w:sz w:val="22"/>
                <w:szCs w:val="22"/>
                <w:rtl w:val="0"/>
              </w:rPr>
              <w:t xml:space="preserve">Opioids</w:t>
            </w:r>
          </w:p>
        </w:tc>
        <w:tc>
          <w:tcPr>
            <w:vAlign w:val="center"/>
          </w:tcPr>
          <w:p w:rsidR="00000000" w:rsidDel="00000000" w:rsidP="00000000" w:rsidRDefault="00000000" w:rsidRPr="00000000" w14:paraId="00000405">
            <w:pPr>
              <w:jc w:val="center"/>
              <w:rPr>
                <w:sz w:val="22"/>
                <w:szCs w:val="22"/>
              </w:rPr>
            </w:pPr>
            <w:r w:rsidDel="00000000" w:rsidR="00000000" w:rsidRPr="00000000">
              <w:rPr>
                <w:sz w:val="22"/>
                <w:szCs w:val="22"/>
                <w:rtl w:val="0"/>
              </w:rPr>
              <w:t xml:space="preserve">Nausea</w:t>
            </w:r>
          </w:p>
          <w:p w:rsidR="00000000" w:rsidDel="00000000" w:rsidP="00000000" w:rsidRDefault="00000000" w:rsidRPr="00000000" w14:paraId="00000406">
            <w:pPr>
              <w:jc w:val="center"/>
              <w:rPr>
                <w:sz w:val="22"/>
                <w:szCs w:val="22"/>
              </w:rPr>
            </w:pPr>
            <w:r w:rsidDel="00000000" w:rsidR="00000000" w:rsidRPr="00000000">
              <w:rPr>
                <w:sz w:val="22"/>
                <w:szCs w:val="22"/>
                <w:rtl w:val="0"/>
              </w:rPr>
              <w:t xml:space="preserve">Vomiting</w:t>
            </w:r>
          </w:p>
          <w:p w:rsidR="00000000" w:rsidDel="00000000" w:rsidP="00000000" w:rsidRDefault="00000000" w:rsidRPr="00000000" w14:paraId="00000407">
            <w:pPr>
              <w:jc w:val="center"/>
              <w:rPr>
                <w:sz w:val="22"/>
                <w:szCs w:val="22"/>
              </w:rPr>
            </w:pPr>
            <w:r w:rsidDel="00000000" w:rsidR="00000000" w:rsidRPr="00000000">
              <w:rPr>
                <w:sz w:val="22"/>
                <w:szCs w:val="22"/>
                <w:rtl w:val="0"/>
              </w:rPr>
              <w:t xml:space="preserve">Diarrhoea</w:t>
            </w:r>
          </w:p>
          <w:p w:rsidR="00000000" w:rsidDel="00000000" w:rsidP="00000000" w:rsidRDefault="00000000" w:rsidRPr="00000000" w14:paraId="00000408">
            <w:pPr>
              <w:jc w:val="center"/>
              <w:rPr>
                <w:sz w:val="22"/>
                <w:szCs w:val="22"/>
              </w:rPr>
            </w:pPr>
            <w:r w:rsidDel="00000000" w:rsidR="00000000" w:rsidRPr="00000000">
              <w:rPr>
                <w:sz w:val="22"/>
                <w:szCs w:val="22"/>
                <w:rtl w:val="0"/>
              </w:rPr>
              <w:t xml:space="preserve">Sweating</w:t>
            </w:r>
          </w:p>
          <w:p w:rsidR="00000000" w:rsidDel="00000000" w:rsidP="00000000" w:rsidRDefault="00000000" w:rsidRPr="00000000" w14:paraId="00000409">
            <w:pPr>
              <w:jc w:val="center"/>
              <w:rPr>
                <w:sz w:val="22"/>
                <w:szCs w:val="22"/>
              </w:rPr>
            </w:pPr>
            <w:r w:rsidDel="00000000" w:rsidR="00000000" w:rsidRPr="00000000">
              <w:rPr>
                <w:sz w:val="22"/>
                <w:szCs w:val="22"/>
                <w:rtl w:val="0"/>
              </w:rPr>
              <w:t xml:space="preserve">Reduced Appetite</w:t>
            </w:r>
          </w:p>
          <w:p w:rsidR="00000000" w:rsidDel="00000000" w:rsidP="00000000" w:rsidRDefault="00000000" w:rsidRPr="00000000" w14:paraId="0000040A">
            <w:pPr>
              <w:jc w:val="center"/>
              <w:rPr>
                <w:sz w:val="22"/>
                <w:szCs w:val="22"/>
              </w:rPr>
            </w:pPr>
            <w:r w:rsidDel="00000000" w:rsidR="00000000" w:rsidRPr="00000000">
              <w:rPr>
                <w:sz w:val="22"/>
                <w:szCs w:val="22"/>
                <w:rtl w:val="0"/>
              </w:rPr>
              <w:t xml:space="preserve">Weight gain</w:t>
            </w:r>
          </w:p>
          <w:p w:rsidR="00000000" w:rsidDel="00000000" w:rsidP="00000000" w:rsidRDefault="00000000" w:rsidRPr="00000000" w14:paraId="0000040B">
            <w:pPr>
              <w:jc w:val="center"/>
              <w:rPr>
                <w:sz w:val="22"/>
                <w:szCs w:val="22"/>
              </w:rPr>
            </w:pPr>
            <w:r w:rsidDel="00000000" w:rsidR="00000000" w:rsidRPr="00000000">
              <w:rPr>
                <w:sz w:val="22"/>
                <w:szCs w:val="22"/>
                <w:rtl w:val="0"/>
              </w:rPr>
              <w:t xml:space="preserve">Heightened Immobility</w:t>
            </w:r>
          </w:p>
          <w:p w:rsidR="00000000" w:rsidDel="00000000" w:rsidP="00000000" w:rsidRDefault="00000000" w:rsidRPr="00000000" w14:paraId="0000040C">
            <w:pPr>
              <w:jc w:val="center"/>
              <w:rPr>
                <w:sz w:val="22"/>
                <w:szCs w:val="22"/>
              </w:rPr>
            </w:pPr>
            <w:r w:rsidDel="00000000" w:rsidR="00000000" w:rsidRPr="00000000">
              <w:rPr>
                <w:sz w:val="22"/>
                <w:szCs w:val="22"/>
                <w:rtl w:val="0"/>
              </w:rPr>
              <w:t xml:space="preserve">Increased Pain</w:t>
            </w:r>
          </w:p>
          <w:p w:rsidR="00000000" w:rsidDel="00000000" w:rsidP="00000000" w:rsidRDefault="00000000" w:rsidRPr="00000000" w14:paraId="0000040D">
            <w:pPr>
              <w:jc w:val="center"/>
              <w:rPr>
                <w:sz w:val="22"/>
                <w:szCs w:val="22"/>
              </w:rPr>
            </w:pPr>
            <w:r w:rsidDel="00000000" w:rsidR="00000000" w:rsidRPr="00000000">
              <w:rPr>
                <w:sz w:val="22"/>
                <w:szCs w:val="22"/>
                <w:rtl w:val="0"/>
              </w:rPr>
              <w:t xml:space="preserve">Insomnia</w:t>
            </w:r>
          </w:p>
        </w:tc>
        <w:tc>
          <w:tcPr>
            <w:vAlign w:val="center"/>
          </w:tcPr>
          <w:p w:rsidR="00000000" w:rsidDel="00000000" w:rsidP="00000000" w:rsidRDefault="00000000" w:rsidRPr="00000000" w14:paraId="0000040E">
            <w:pPr>
              <w:jc w:val="center"/>
              <w:rPr>
                <w:sz w:val="22"/>
                <w:szCs w:val="22"/>
              </w:rPr>
            </w:pPr>
            <w:r w:rsidDel="00000000" w:rsidR="00000000" w:rsidRPr="00000000">
              <w:rPr>
                <w:sz w:val="22"/>
                <w:szCs w:val="22"/>
                <w:rtl w:val="0"/>
              </w:rPr>
              <w:t xml:space="preserve">Anxiety</w:t>
            </w:r>
          </w:p>
          <w:p w:rsidR="00000000" w:rsidDel="00000000" w:rsidP="00000000" w:rsidRDefault="00000000" w:rsidRPr="00000000" w14:paraId="0000040F">
            <w:pPr>
              <w:jc w:val="center"/>
              <w:rPr>
                <w:sz w:val="22"/>
                <w:szCs w:val="22"/>
              </w:rPr>
            </w:pPr>
            <w:r w:rsidDel="00000000" w:rsidR="00000000" w:rsidRPr="00000000">
              <w:rPr>
                <w:sz w:val="22"/>
                <w:szCs w:val="22"/>
                <w:rtl w:val="0"/>
              </w:rPr>
              <w:t xml:space="preserve">Suicidal Ideation</w:t>
            </w:r>
          </w:p>
          <w:p w:rsidR="00000000" w:rsidDel="00000000" w:rsidP="00000000" w:rsidRDefault="00000000" w:rsidRPr="00000000" w14:paraId="00000410">
            <w:pPr>
              <w:jc w:val="center"/>
              <w:rPr>
                <w:sz w:val="22"/>
                <w:szCs w:val="22"/>
              </w:rPr>
            </w:pPr>
            <w:r w:rsidDel="00000000" w:rsidR="00000000" w:rsidRPr="00000000">
              <w:rPr>
                <w:sz w:val="22"/>
                <w:szCs w:val="22"/>
                <w:rtl w:val="0"/>
              </w:rPr>
              <w:t xml:space="preserve">Crying</w:t>
            </w:r>
          </w:p>
          <w:p w:rsidR="00000000" w:rsidDel="00000000" w:rsidP="00000000" w:rsidRDefault="00000000" w:rsidRPr="00000000" w14:paraId="00000411">
            <w:pPr>
              <w:keepNext w:val="1"/>
              <w:jc w:val="center"/>
              <w:rPr>
                <w:sz w:val="22"/>
                <w:szCs w:val="22"/>
              </w:rPr>
            </w:pPr>
            <w:r w:rsidDel="00000000" w:rsidR="00000000" w:rsidRPr="00000000">
              <w:rPr>
                <w:sz w:val="22"/>
                <w:szCs w:val="22"/>
                <w:rtl w:val="0"/>
              </w:rPr>
              <w:t xml:space="preserve">Panic Attacks</w:t>
            </w:r>
          </w:p>
        </w:tc>
      </w:tr>
    </w:tbl>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1v1yuxt" w:id="42"/>
      <w:bookmarkEnd w:id="42"/>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4: A table outlining the withdrawal symptoms associated with each therapeutic group. Note, benzodiazepines and z-drugs have been presented together.</w:t>
      </w:r>
    </w:p>
    <w:p w:rsidR="00000000" w:rsidDel="00000000" w:rsidP="00000000" w:rsidRDefault="00000000" w:rsidRPr="00000000" w14:paraId="00000414">
      <w:pPr>
        <w:rPr>
          <w:sz w:val="22"/>
          <w:szCs w:val="22"/>
        </w:rPr>
      </w:pPr>
      <w:r w:rsidDel="00000000" w:rsidR="00000000" w:rsidRPr="00000000">
        <w:rPr>
          <w:rtl w:val="0"/>
        </w:rPr>
      </w:r>
    </w:p>
    <w:p w:rsidR="00000000" w:rsidDel="00000000" w:rsidP="00000000" w:rsidRDefault="00000000" w:rsidRPr="00000000" w14:paraId="00000415">
      <w:pPr>
        <w:rPr>
          <w:sz w:val="22"/>
          <w:szCs w:val="22"/>
        </w:rPr>
      </w:pPr>
      <w:r w:rsidDel="00000000" w:rsidR="00000000" w:rsidRPr="00000000">
        <w:rPr>
          <w:rtl w:val="0"/>
        </w:rPr>
      </w:r>
    </w:p>
    <w:p w:rsidR="00000000" w:rsidDel="00000000" w:rsidP="00000000" w:rsidRDefault="00000000" w:rsidRPr="00000000" w14:paraId="00000416">
      <w:pPr>
        <w:pStyle w:val="Heading4"/>
        <w:spacing w:line="480" w:lineRule="auto"/>
        <w:rPr/>
      </w:pPr>
      <w:bookmarkStart w:colFirst="0" w:colLast="0" w:name="_heading=h.4f1mdlm" w:id="43"/>
      <w:bookmarkEnd w:id="43"/>
      <w:r w:rsidDel="00000000" w:rsidR="00000000" w:rsidRPr="00000000">
        <w:rPr>
          <w:rtl w:val="0"/>
        </w:rPr>
        <w:t xml:space="preserve">Antidepressants</w:t>
      </w:r>
    </w:p>
    <w:p w:rsidR="00000000" w:rsidDel="00000000" w:rsidP="00000000" w:rsidRDefault="00000000" w:rsidRPr="00000000" w14:paraId="00000417">
      <w:pPr>
        <w:spacing w:line="480" w:lineRule="auto"/>
        <w:jc w:val="both"/>
        <w:rPr>
          <w:sz w:val="22"/>
          <w:szCs w:val="22"/>
        </w:rPr>
      </w:pPr>
      <w:r w:rsidDel="00000000" w:rsidR="00000000" w:rsidRPr="00000000">
        <w:rPr>
          <w:sz w:val="22"/>
          <w:szCs w:val="22"/>
          <w:rtl w:val="0"/>
        </w:rPr>
        <w:t xml:space="preserve">Antidepressant withdrawal has been described as severe, long lasting and “</w:t>
      </w:r>
      <w:r w:rsidDel="00000000" w:rsidR="00000000" w:rsidRPr="00000000">
        <w:rPr>
          <w:i w:val="1"/>
          <w:sz w:val="22"/>
          <w:szCs w:val="22"/>
          <w:rtl w:val="0"/>
        </w:rPr>
        <w:t xml:space="preserve">clinically heterogeneous</w:t>
      </w:r>
      <w:r w:rsidDel="00000000" w:rsidR="00000000" w:rsidRPr="00000000">
        <w:rPr>
          <w:sz w:val="22"/>
          <w:szCs w:val="22"/>
          <w:rtl w:val="0"/>
        </w:rPr>
        <w:t xml:space="preserve">” (Hengarter et al 2019, p.7), affecting between 50 – 77% of users (Hengarter et al 2019 p.7, Cartwright et al 2016 p.1404, Read and Williams 2018 p. 22, Read et al 2018 p.1808, Davies and Read 2021 p.113, Read 2021 p.3). The severity of these symptoms also vary, with the majority of those who experience withdrawal symptoms describing them as “</w:t>
      </w:r>
      <w:r w:rsidDel="00000000" w:rsidR="00000000" w:rsidRPr="00000000">
        <w:rPr>
          <w:i w:val="1"/>
          <w:sz w:val="22"/>
          <w:szCs w:val="22"/>
          <w:rtl w:val="0"/>
        </w:rPr>
        <w:t xml:space="preserve">severe</w:t>
      </w:r>
      <w:r w:rsidDel="00000000" w:rsidR="00000000" w:rsidRPr="00000000">
        <w:rPr>
          <w:sz w:val="22"/>
          <w:szCs w:val="22"/>
          <w:rtl w:val="0"/>
        </w:rPr>
        <w:t xml:space="preserve">” (Hengarter et al 2019 p.7, Cartwright et al 2016 p.1404, Read et al 2018 p.1808, Davies and Read 2021 p.113, Read 2021 p.3). This is presented in Table Five.</w:t>
      </w:r>
    </w:p>
    <w:p w:rsidR="00000000" w:rsidDel="00000000" w:rsidP="00000000" w:rsidRDefault="00000000" w:rsidRPr="00000000" w14:paraId="00000418">
      <w:pPr>
        <w:spacing w:line="480" w:lineRule="auto"/>
        <w:jc w:val="both"/>
        <w:rPr>
          <w:sz w:val="22"/>
          <w:szCs w:val="22"/>
        </w:rPr>
      </w:pPr>
      <w:r w:rsidDel="00000000" w:rsidR="00000000" w:rsidRPr="00000000">
        <w:rPr>
          <w:rtl w:val="0"/>
        </w:rPr>
      </w:r>
    </w:p>
    <w:tbl>
      <w:tblPr>
        <w:tblStyle w:val="Table6"/>
        <w:tblW w:w="9026.000000000002"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2830"/>
        <w:gridCol w:w="2062"/>
        <w:gridCol w:w="1000"/>
        <w:gridCol w:w="1787"/>
        <w:gridCol w:w="1347"/>
        <w:tblGridChange w:id="0">
          <w:tblGrid>
            <w:gridCol w:w="2830"/>
            <w:gridCol w:w="2062"/>
            <w:gridCol w:w="1000"/>
            <w:gridCol w:w="1787"/>
            <w:gridCol w:w="1347"/>
          </w:tblGrid>
        </w:tblGridChange>
      </w:tblGrid>
      <w:tr>
        <w:trPr>
          <w:cantSplit w:val="0"/>
          <w:tblHeader w:val="0"/>
        </w:trPr>
        <w:tc>
          <w:tcPr/>
          <w:p w:rsidR="00000000" w:rsidDel="00000000" w:rsidP="00000000" w:rsidRDefault="00000000" w:rsidRPr="00000000" w14:paraId="00000419">
            <w:pPr>
              <w:jc w:val="both"/>
              <w:rPr>
                <w:sz w:val="22"/>
                <w:szCs w:val="22"/>
              </w:rPr>
            </w:pPr>
            <w:r w:rsidDel="00000000" w:rsidR="00000000" w:rsidRPr="00000000">
              <w:rPr>
                <w:rtl w:val="0"/>
              </w:rPr>
            </w:r>
          </w:p>
        </w:tc>
        <w:tc>
          <w:tcPr>
            <w:vAlign w:val="center"/>
          </w:tcPr>
          <w:p w:rsidR="00000000" w:rsidDel="00000000" w:rsidP="00000000" w:rsidRDefault="00000000" w:rsidRPr="00000000" w14:paraId="0000041A">
            <w:pPr>
              <w:jc w:val="center"/>
              <w:rPr>
                <w:sz w:val="22"/>
                <w:szCs w:val="22"/>
              </w:rPr>
            </w:pPr>
            <w:r w:rsidDel="00000000" w:rsidR="00000000" w:rsidRPr="00000000">
              <w:rPr>
                <w:sz w:val="22"/>
                <w:szCs w:val="22"/>
                <w:rtl w:val="0"/>
              </w:rPr>
              <w:t xml:space="preserve">PREVALENCE</w:t>
            </w:r>
          </w:p>
        </w:tc>
        <w:tc>
          <w:tcPr>
            <w:vAlign w:val="center"/>
          </w:tcPr>
          <w:p w:rsidR="00000000" w:rsidDel="00000000" w:rsidP="00000000" w:rsidRDefault="00000000" w:rsidRPr="00000000" w14:paraId="0000041B">
            <w:pPr>
              <w:jc w:val="center"/>
              <w:rPr>
                <w:sz w:val="22"/>
                <w:szCs w:val="22"/>
              </w:rPr>
            </w:pPr>
            <w:r w:rsidDel="00000000" w:rsidR="00000000" w:rsidRPr="00000000">
              <w:rPr>
                <w:sz w:val="22"/>
                <w:szCs w:val="22"/>
                <w:rtl w:val="0"/>
              </w:rPr>
              <w:t xml:space="preserve">MILD</w:t>
            </w:r>
          </w:p>
        </w:tc>
        <w:tc>
          <w:tcPr>
            <w:vAlign w:val="center"/>
          </w:tcPr>
          <w:p w:rsidR="00000000" w:rsidDel="00000000" w:rsidP="00000000" w:rsidRDefault="00000000" w:rsidRPr="00000000" w14:paraId="0000041C">
            <w:pPr>
              <w:jc w:val="center"/>
              <w:rPr>
                <w:sz w:val="22"/>
                <w:szCs w:val="22"/>
              </w:rPr>
            </w:pPr>
            <w:r w:rsidDel="00000000" w:rsidR="00000000" w:rsidRPr="00000000">
              <w:rPr>
                <w:sz w:val="22"/>
                <w:szCs w:val="22"/>
                <w:rtl w:val="0"/>
              </w:rPr>
              <w:t xml:space="preserve">MODERATE</w:t>
            </w:r>
          </w:p>
        </w:tc>
        <w:tc>
          <w:tcPr>
            <w:vAlign w:val="center"/>
          </w:tcPr>
          <w:p w:rsidR="00000000" w:rsidDel="00000000" w:rsidP="00000000" w:rsidRDefault="00000000" w:rsidRPr="00000000" w14:paraId="0000041D">
            <w:pPr>
              <w:jc w:val="center"/>
              <w:rPr>
                <w:sz w:val="22"/>
                <w:szCs w:val="22"/>
              </w:rPr>
            </w:pPr>
            <w:r w:rsidDel="00000000" w:rsidR="00000000" w:rsidRPr="00000000">
              <w:rPr>
                <w:sz w:val="22"/>
                <w:szCs w:val="22"/>
                <w:rtl w:val="0"/>
              </w:rPr>
              <w:t xml:space="preserve">SEVERE</w:t>
            </w:r>
          </w:p>
        </w:tc>
      </w:tr>
      <w:tr>
        <w:trPr>
          <w:cantSplit w:val="0"/>
          <w:tblHeader w:val="0"/>
        </w:trPr>
        <w:tc>
          <w:tcPr/>
          <w:p w:rsidR="00000000" w:rsidDel="00000000" w:rsidP="00000000" w:rsidRDefault="00000000" w:rsidRPr="00000000" w14:paraId="0000041E">
            <w:pPr>
              <w:rPr>
                <w:sz w:val="22"/>
                <w:szCs w:val="22"/>
              </w:rPr>
            </w:pPr>
            <w:r w:rsidDel="00000000" w:rsidR="00000000" w:rsidRPr="00000000">
              <w:rPr>
                <w:sz w:val="22"/>
                <w:szCs w:val="22"/>
                <w:rtl w:val="0"/>
              </w:rPr>
              <w:t xml:space="preserve">Cartwright et al (2016, p.1404)</w:t>
            </w:r>
          </w:p>
        </w:tc>
        <w:tc>
          <w:tcPr>
            <w:vAlign w:val="center"/>
          </w:tcPr>
          <w:p w:rsidR="00000000" w:rsidDel="00000000" w:rsidP="00000000" w:rsidRDefault="00000000" w:rsidRPr="00000000" w14:paraId="0000041F">
            <w:pPr>
              <w:jc w:val="center"/>
              <w:rPr>
                <w:sz w:val="22"/>
                <w:szCs w:val="22"/>
              </w:rPr>
            </w:pPr>
            <w:r w:rsidDel="00000000" w:rsidR="00000000" w:rsidRPr="00000000">
              <w:rPr>
                <w:sz w:val="22"/>
                <w:szCs w:val="22"/>
                <w:rtl w:val="0"/>
              </w:rPr>
              <w:t xml:space="preserve">73.5</w:t>
            </w:r>
          </w:p>
        </w:tc>
        <w:tc>
          <w:tcPr>
            <w:vAlign w:val="center"/>
          </w:tcPr>
          <w:p w:rsidR="00000000" w:rsidDel="00000000" w:rsidP="00000000" w:rsidRDefault="00000000" w:rsidRPr="00000000" w14:paraId="00000420">
            <w:pPr>
              <w:jc w:val="center"/>
              <w:rPr>
                <w:sz w:val="22"/>
                <w:szCs w:val="22"/>
              </w:rPr>
            </w:pPr>
            <w:r w:rsidDel="00000000" w:rsidR="00000000" w:rsidRPr="00000000">
              <w:rPr>
                <w:sz w:val="22"/>
                <w:szCs w:val="22"/>
                <w:rtl w:val="0"/>
              </w:rPr>
              <w:t xml:space="preserve">16.8</w:t>
            </w:r>
          </w:p>
        </w:tc>
        <w:tc>
          <w:tcPr>
            <w:vAlign w:val="center"/>
          </w:tcPr>
          <w:p w:rsidR="00000000" w:rsidDel="00000000" w:rsidP="00000000" w:rsidRDefault="00000000" w:rsidRPr="00000000" w14:paraId="00000421">
            <w:pPr>
              <w:jc w:val="center"/>
              <w:rPr>
                <w:sz w:val="22"/>
                <w:szCs w:val="22"/>
              </w:rPr>
            </w:pPr>
            <w:r w:rsidDel="00000000" w:rsidR="00000000" w:rsidRPr="00000000">
              <w:rPr>
                <w:sz w:val="22"/>
                <w:szCs w:val="22"/>
                <w:rtl w:val="0"/>
              </w:rPr>
              <w:t xml:space="preserve">23.2</w:t>
            </w:r>
          </w:p>
        </w:tc>
        <w:tc>
          <w:tcPr>
            <w:vAlign w:val="center"/>
          </w:tcPr>
          <w:p w:rsidR="00000000" w:rsidDel="00000000" w:rsidP="00000000" w:rsidRDefault="00000000" w:rsidRPr="00000000" w14:paraId="00000422">
            <w:pPr>
              <w:jc w:val="center"/>
              <w:rPr>
                <w:sz w:val="22"/>
                <w:szCs w:val="22"/>
              </w:rPr>
            </w:pPr>
            <w:r w:rsidDel="00000000" w:rsidR="00000000" w:rsidRPr="00000000">
              <w:rPr>
                <w:sz w:val="22"/>
                <w:szCs w:val="22"/>
                <w:rtl w:val="0"/>
              </w:rPr>
              <w:t xml:space="preserve">33.5</w:t>
            </w:r>
          </w:p>
        </w:tc>
      </w:tr>
      <w:tr>
        <w:trPr>
          <w:cantSplit w:val="0"/>
          <w:tblHeader w:val="0"/>
        </w:trPr>
        <w:tc>
          <w:tcPr/>
          <w:p w:rsidR="00000000" w:rsidDel="00000000" w:rsidP="00000000" w:rsidRDefault="00000000" w:rsidRPr="00000000" w14:paraId="00000423">
            <w:pPr>
              <w:rPr>
                <w:sz w:val="22"/>
                <w:szCs w:val="22"/>
              </w:rPr>
            </w:pPr>
            <w:r w:rsidDel="00000000" w:rsidR="00000000" w:rsidRPr="00000000">
              <w:rPr>
                <w:sz w:val="22"/>
                <w:szCs w:val="22"/>
                <w:rtl w:val="0"/>
              </w:rPr>
              <w:t xml:space="preserve">Read and Williams (2018, p. 22)</w:t>
            </w:r>
          </w:p>
        </w:tc>
        <w:tc>
          <w:tcPr>
            <w:vAlign w:val="center"/>
          </w:tcPr>
          <w:p w:rsidR="00000000" w:rsidDel="00000000" w:rsidP="00000000" w:rsidRDefault="00000000" w:rsidRPr="00000000" w14:paraId="00000424">
            <w:pPr>
              <w:jc w:val="center"/>
              <w:rPr>
                <w:sz w:val="22"/>
                <w:szCs w:val="22"/>
              </w:rPr>
            </w:pPr>
            <w:r w:rsidDel="00000000" w:rsidR="00000000" w:rsidRPr="00000000">
              <w:rPr>
                <w:sz w:val="22"/>
                <w:szCs w:val="22"/>
                <w:rtl w:val="0"/>
              </w:rPr>
              <w:t xml:space="preserve">55.4</w:t>
            </w:r>
          </w:p>
        </w:tc>
        <w:tc>
          <w:tcPr>
            <w:vAlign w:val="center"/>
          </w:tcPr>
          <w:p w:rsidR="00000000" w:rsidDel="00000000" w:rsidP="00000000" w:rsidRDefault="00000000" w:rsidRPr="00000000" w14:paraId="00000425">
            <w:pPr>
              <w:jc w:val="center"/>
              <w:rPr>
                <w:sz w:val="22"/>
                <w:szCs w:val="22"/>
              </w:rPr>
            </w:pPr>
            <w:r w:rsidDel="00000000" w:rsidR="00000000" w:rsidRPr="00000000">
              <w:rPr>
                <w:rtl w:val="0"/>
              </w:rPr>
            </w:r>
          </w:p>
        </w:tc>
        <w:tc>
          <w:tcPr>
            <w:vAlign w:val="center"/>
          </w:tcPr>
          <w:p w:rsidR="00000000" w:rsidDel="00000000" w:rsidP="00000000" w:rsidRDefault="00000000" w:rsidRPr="00000000" w14:paraId="00000426">
            <w:pPr>
              <w:jc w:val="center"/>
              <w:rPr>
                <w:sz w:val="22"/>
                <w:szCs w:val="22"/>
              </w:rPr>
            </w:pPr>
            <w:r w:rsidDel="00000000" w:rsidR="00000000" w:rsidRPr="00000000">
              <w:rPr>
                <w:rtl w:val="0"/>
              </w:rPr>
            </w:r>
          </w:p>
        </w:tc>
        <w:tc>
          <w:tcPr>
            <w:vAlign w:val="center"/>
          </w:tcPr>
          <w:p w:rsidR="00000000" w:rsidDel="00000000" w:rsidP="00000000" w:rsidRDefault="00000000" w:rsidRPr="00000000" w14:paraId="00000427">
            <w:pPr>
              <w:jc w:val="center"/>
              <w:rPr>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0428">
            <w:pPr>
              <w:rPr>
                <w:sz w:val="22"/>
                <w:szCs w:val="22"/>
              </w:rPr>
            </w:pPr>
            <w:r w:rsidDel="00000000" w:rsidR="00000000" w:rsidRPr="00000000">
              <w:rPr>
                <w:sz w:val="22"/>
                <w:szCs w:val="22"/>
                <w:rtl w:val="0"/>
              </w:rPr>
              <w:t xml:space="preserve">Read et al (2018, p.1808)</w:t>
            </w:r>
          </w:p>
        </w:tc>
        <w:tc>
          <w:tcPr>
            <w:vAlign w:val="center"/>
          </w:tcPr>
          <w:p w:rsidR="00000000" w:rsidDel="00000000" w:rsidP="00000000" w:rsidRDefault="00000000" w:rsidRPr="00000000" w14:paraId="00000429">
            <w:pPr>
              <w:jc w:val="center"/>
              <w:rPr>
                <w:sz w:val="22"/>
                <w:szCs w:val="22"/>
              </w:rPr>
            </w:pPr>
            <w:r w:rsidDel="00000000" w:rsidR="00000000" w:rsidRPr="00000000">
              <w:rPr>
                <w:sz w:val="22"/>
                <w:szCs w:val="22"/>
                <w:rtl w:val="0"/>
              </w:rPr>
              <w:t xml:space="preserve">54.9</w:t>
            </w:r>
          </w:p>
        </w:tc>
        <w:tc>
          <w:tcPr>
            <w:vAlign w:val="center"/>
          </w:tcPr>
          <w:p w:rsidR="00000000" w:rsidDel="00000000" w:rsidP="00000000" w:rsidRDefault="00000000" w:rsidRPr="00000000" w14:paraId="0000042A">
            <w:pPr>
              <w:jc w:val="center"/>
              <w:rPr>
                <w:sz w:val="22"/>
                <w:szCs w:val="22"/>
              </w:rPr>
            </w:pPr>
            <w:r w:rsidDel="00000000" w:rsidR="00000000" w:rsidRPr="00000000">
              <w:rPr>
                <w:sz w:val="22"/>
                <w:szCs w:val="22"/>
                <w:rtl w:val="0"/>
              </w:rPr>
              <w:t xml:space="preserve">12.4</w:t>
            </w:r>
          </w:p>
        </w:tc>
        <w:tc>
          <w:tcPr>
            <w:vAlign w:val="center"/>
          </w:tcPr>
          <w:p w:rsidR="00000000" w:rsidDel="00000000" w:rsidP="00000000" w:rsidRDefault="00000000" w:rsidRPr="00000000" w14:paraId="0000042B">
            <w:pPr>
              <w:jc w:val="center"/>
              <w:rPr>
                <w:sz w:val="22"/>
                <w:szCs w:val="22"/>
              </w:rPr>
            </w:pPr>
            <w:r w:rsidDel="00000000" w:rsidR="00000000" w:rsidRPr="00000000">
              <w:rPr>
                <w:sz w:val="22"/>
                <w:szCs w:val="22"/>
                <w:rtl w:val="0"/>
              </w:rPr>
              <w:t xml:space="preserve">17.4</w:t>
            </w:r>
          </w:p>
        </w:tc>
        <w:tc>
          <w:tcPr>
            <w:vAlign w:val="center"/>
          </w:tcPr>
          <w:p w:rsidR="00000000" w:rsidDel="00000000" w:rsidP="00000000" w:rsidRDefault="00000000" w:rsidRPr="00000000" w14:paraId="0000042C">
            <w:pPr>
              <w:jc w:val="center"/>
              <w:rPr>
                <w:sz w:val="22"/>
                <w:szCs w:val="22"/>
              </w:rPr>
            </w:pPr>
            <w:r w:rsidDel="00000000" w:rsidR="00000000" w:rsidRPr="00000000">
              <w:rPr>
                <w:sz w:val="22"/>
                <w:szCs w:val="22"/>
                <w:rtl w:val="0"/>
              </w:rPr>
              <w:t xml:space="preserve">25.1</w:t>
            </w:r>
          </w:p>
        </w:tc>
      </w:tr>
      <w:tr>
        <w:trPr>
          <w:cantSplit w:val="0"/>
          <w:tblHeader w:val="0"/>
        </w:trPr>
        <w:tc>
          <w:tcPr/>
          <w:p w:rsidR="00000000" w:rsidDel="00000000" w:rsidP="00000000" w:rsidRDefault="00000000" w:rsidRPr="00000000" w14:paraId="0000042D">
            <w:pPr>
              <w:rPr>
                <w:sz w:val="22"/>
                <w:szCs w:val="22"/>
              </w:rPr>
            </w:pPr>
            <w:r w:rsidDel="00000000" w:rsidR="00000000" w:rsidRPr="00000000">
              <w:rPr>
                <w:sz w:val="22"/>
                <w:szCs w:val="22"/>
                <w:rtl w:val="0"/>
              </w:rPr>
              <w:t xml:space="preserve">Davies and Read (2021, p.113)</w:t>
            </w:r>
          </w:p>
        </w:tc>
        <w:tc>
          <w:tcPr>
            <w:vAlign w:val="center"/>
          </w:tcPr>
          <w:p w:rsidR="00000000" w:rsidDel="00000000" w:rsidP="00000000" w:rsidRDefault="00000000" w:rsidRPr="00000000" w14:paraId="0000042E">
            <w:pPr>
              <w:jc w:val="center"/>
              <w:rPr>
                <w:sz w:val="22"/>
                <w:szCs w:val="22"/>
              </w:rPr>
            </w:pPr>
            <w:r w:rsidDel="00000000" w:rsidR="00000000" w:rsidRPr="00000000">
              <w:rPr>
                <w:sz w:val="22"/>
                <w:szCs w:val="22"/>
                <w:rtl w:val="0"/>
              </w:rPr>
              <w:t xml:space="preserve">77</w:t>
            </w:r>
          </w:p>
        </w:tc>
        <w:tc>
          <w:tcPr>
            <w:vAlign w:val="center"/>
          </w:tcPr>
          <w:p w:rsidR="00000000" w:rsidDel="00000000" w:rsidP="00000000" w:rsidRDefault="00000000" w:rsidRPr="00000000" w14:paraId="0000042F">
            <w:pPr>
              <w:jc w:val="center"/>
              <w:rPr>
                <w:sz w:val="22"/>
                <w:szCs w:val="22"/>
              </w:rPr>
            </w:pPr>
            <w:r w:rsidDel="00000000" w:rsidR="00000000" w:rsidRPr="00000000">
              <w:rPr>
                <w:rtl w:val="0"/>
              </w:rPr>
            </w:r>
          </w:p>
        </w:tc>
        <w:tc>
          <w:tcPr>
            <w:vAlign w:val="center"/>
          </w:tcPr>
          <w:p w:rsidR="00000000" w:rsidDel="00000000" w:rsidP="00000000" w:rsidRDefault="00000000" w:rsidRPr="00000000" w14:paraId="00000430">
            <w:pPr>
              <w:jc w:val="center"/>
              <w:rPr>
                <w:sz w:val="22"/>
                <w:szCs w:val="22"/>
              </w:rPr>
            </w:pPr>
            <w:r w:rsidDel="00000000" w:rsidR="00000000" w:rsidRPr="00000000">
              <w:rPr>
                <w:sz w:val="22"/>
                <w:szCs w:val="22"/>
                <w:rtl w:val="0"/>
              </w:rPr>
              <w:t xml:space="preserve">32</w:t>
            </w:r>
          </w:p>
        </w:tc>
        <w:tc>
          <w:tcPr>
            <w:vAlign w:val="center"/>
          </w:tcPr>
          <w:p w:rsidR="00000000" w:rsidDel="00000000" w:rsidP="00000000" w:rsidRDefault="00000000" w:rsidRPr="00000000" w14:paraId="00000431">
            <w:pPr>
              <w:jc w:val="center"/>
              <w:rPr>
                <w:sz w:val="22"/>
                <w:szCs w:val="22"/>
              </w:rPr>
            </w:pPr>
            <w:r w:rsidDel="00000000" w:rsidR="00000000" w:rsidRPr="00000000">
              <w:rPr>
                <w:sz w:val="22"/>
                <w:szCs w:val="22"/>
                <w:rtl w:val="0"/>
              </w:rPr>
              <w:t xml:space="preserve">46</w:t>
            </w:r>
          </w:p>
        </w:tc>
      </w:tr>
      <w:tr>
        <w:trPr>
          <w:cantSplit w:val="0"/>
          <w:tblHeader w:val="0"/>
        </w:trPr>
        <w:tc>
          <w:tcPr/>
          <w:p w:rsidR="00000000" w:rsidDel="00000000" w:rsidP="00000000" w:rsidRDefault="00000000" w:rsidRPr="00000000" w14:paraId="00000432">
            <w:pPr>
              <w:rPr>
                <w:sz w:val="22"/>
                <w:szCs w:val="22"/>
              </w:rPr>
            </w:pPr>
            <w:r w:rsidDel="00000000" w:rsidR="00000000" w:rsidRPr="00000000">
              <w:rPr>
                <w:sz w:val="22"/>
                <w:szCs w:val="22"/>
                <w:rtl w:val="0"/>
              </w:rPr>
              <w:t xml:space="preserve">Read (2021, p.3)</w:t>
            </w:r>
          </w:p>
        </w:tc>
        <w:tc>
          <w:tcPr>
            <w:vAlign w:val="center"/>
          </w:tcPr>
          <w:p w:rsidR="00000000" w:rsidDel="00000000" w:rsidP="00000000" w:rsidRDefault="00000000" w:rsidRPr="00000000" w14:paraId="00000433">
            <w:pPr>
              <w:jc w:val="center"/>
              <w:rPr>
                <w:sz w:val="22"/>
                <w:szCs w:val="22"/>
              </w:rPr>
            </w:pPr>
            <w:r w:rsidDel="00000000" w:rsidR="00000000" w:rsidRPr="00000000">
              <w:rPr>
                <w:sz w:val="22"/>
                <w:szCs w:val="22"/>
                <w:rtl w:val="0"/>
              </w:rPr>
              <w:t xml:space="preserve">61</w:t>
            </w:r>
          </w:p>
        </w:tc>
        <w:tc>
          <w:tcPr>
            <w:vAlign w:val="center"/>
          </w:tcPr>
          <w:p w:rsidR="00000000" w:rsidDel="00000000" w:rsidP="00000000" w:rsidRDefault="00000000" w:rsidRPr="00000000" w14:paraId="00000434">
            <w:pPr>
              <w:jc w:val="center"/>
              <w:rPr>
                <w:sz w:val="22"/>
                <w:szCs w:val="22"/>
              </w:rPr>
            </w:pPr>
            <w:r w:rsidDel="00000000" w:rsidR="00000000" w:rsidRPr="00000000">
              <w:rPr>
                <w:rtl w:val="0"/>
              </w:rPr>
            </w:r>
          </w:p>
        </w:tc>
        <w:tc>
          <w:tcPr>
            <w:vAlign w:val="center"/>
          </w:tcPr>
          <w:p w:rsidR="00000000" w:rsidDel="00000000" w:rsidP="00000000" w:rsidRDefault="00000000" w:rsidRPr="00000000" w14:paraId="00000435">
            <w:pPr>
              <w:jc w:val="center"/>
              <w:rPr>
                <w:sz w:val="22"/>
                <w:szCs w:val="22"/>
              </w:rPr>
            </w:pPr>
            <w:r w:rsidDel="00000000" w:rsidR="00000000" w:rsidRPr="00000000">
              <w:rPr>
                <w:rtl w:val="0"/>
              </w:rPr>
            </w:r>
          </w:p>
        </w:tc>
        <w:tc>
          <w:tcPr>
            <w:vAlign w:val="center"/>
          </w:tcPr>
          <w:p w:rsidR="00000000" w:rsidDel="00000000" w:rsidP="00000000" w:rsidRDefault="00000000" w:rsidRPr="00000000" w14:paraId="00000436">
            <w:pPr>
              <w:keepNext w:val="1"/>
              <w:jc w:val="center"/>
              <w:rPr>
                <w:sz w:val="22"/>
                <w:szCs w:val="22"/>
              </w:rPr>
            </w:pPr>
            <w:r w:rsidDel="00000000" w:rsidR="00000000" w:rsidRPr="00000000">
              <w:rPr>
                <w:sz w:val="22"/>
                <w:szCs w:val="22"/>
                <w:rtl w:val="0"/>
              </w:rPr>
              <w:t xml:space="preserve">44</w:t>
            </w:r>
          </w:p>
        </w:tc>
      </w:tr>
    </w:tbl>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2u6wntf" w:id="44"/>
      <w:bookmarkEnd w:id="44"/>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5: A table presenting the prevalence (%) of antidepressant withdrawal across the five reporting papers.</w:t>
      </w:r>
    </w:p>
    <w:p w:rsidR="00000000" w:rsidDel="00000000" w:rsidP="00000000" w:rsidRDefault="00000000" w:rsidRPr="00000000" w14:paraId="00000439">
      <w:pPr>
        <w:spacing w:line="480" w:lineRule="auto"/>
        <w:rPr>
          <w:sz w:val="22"/>
          <w:szCs w:val="22"/>
        </w:rPr>
      </w:pPr>
      <w:r w:rsidDel="00000000" w:rsidR="00000000" w:rsidRPr="00000000">
        <w:rPr>
          <w:rtl w:val="0"/>
        </w:rPr>
      </w:r>
    </w:p>
    <w:p w:rsidR="00000000" w:rsidDel="00000000" w:rsidP="00000000" w:rsidRDefault="00000000" w:rsidRPr="00000000" w14:paraId="0000043A">
      <w:pPr>
        <w:spacing w:line="480" w:lineRule="auto"/>
        <w:jc w:val="both"/>
        <w:rPr>
          <w:sz w:val="22"/>
          <w:szCs w:val="22"/>
        </w:rPr>
      </w:pPr>
      <w:r w:rsidDel="00000000" w:rsidR="00000000" w:rsidRPr="00000000">
        <w:rPr>
          <w:sz w:val="22"/>
          <w:szCs w:val="22"/>
          <w:rtl w:val="0"/>
        </w:rPr>
        <w:t xml:space="preserve">The duration of withdrawal is varied, and is dependent on the severity of the symptoms, duration of treatment, and individual pharmacology (Davies and Read 2021, p.113). However, these are reported to last between 1 – 52 days (Davies and Read 2021, p.113). Other estimates suggest withdrawal symptoms range between 5 to 166 months in duration (Hengarter et al 2019, p.2). It must be noted that the data extracted in Hengarter et al’s enquiry are from a peer support website, “</w:t>
      </w:r>
      <w:r w:rsidDel="00000000" w:rsidR="00000000" w:rsidRPr="00000000">
        <w:rPr>
          <w:i w:val="1"/>
          <w:sz w:val="22"/>
          <w:szCs w:val="22"/>
          <w:rtl w:val="0"/>
        </w:rPr>
        <w:t xml:space="preserve">Surviving Antidepressants</w:t>
      </w:r>
      <w:r w:rsidDel="00000000" w:rsidR="00000000" w:rsidRPr="00000000">
        <w:rPr>
          <w:sz w:val="22"/>
          <w:szCs w:val="22"/>
          <w:rtl w:val="0"/>
        </w:rPr>
        <w:t xml:space="preserve">”, a site dedicated to the education regarding tapering and withdrawal from psychiatric medication. Those who have negative experiences with psychiatric medication are more likely to access these websites, and as a result, these findings should be generalised with caution due to negativity bias. Papp and Onton (2018, p.5) found those who experience adverse effects, such as dependence and withdrawal symptoms, can develop this “</w:t>
      </w:r>
      <w:r w:rsidDel="00000000" w:rsidR="00000000" w:rsidRPr="00000000">
        <w:rPr>
          <w:i w:val="1"/>
          <w:sz w:val="22"/>
          <w:szCs w:val="22"/>
          <w:rtl w:val="0"/>
        </w:rPr>
        <w:t xml:space="preserve">pharmacophobia</w:t>
      </w:r>
      <w:r w:rsidDel="00000000" w:rsidR="00000000" w:rsidRPr="00000000">
        <w:rPr>
          <w:sz w:val="22"/>
          <w:szCs w:val="22"/>
          <w:rtl w:val="0"/>
        </w:rPr>
        <w:t xml:space="preserve">”, with participants reporting medical mistrust due to their experiences, some even to the extent of wanting to “</w:t>
      </w:r>
      <w:r w:rsidDel="00000000" w:rsidR="00000000" w:rsidRPr="00000000">
        <w:rPr>
          <w:i w:val="1"/>
          <w:sz w:val="22"/>
          <w:szCs w:val="22"/>
          <w:rtl w:val="0"/>
        </w:rPr>
        <w:t xml:space="preserve">sue drug companies</w:t>
      </w:r>
      <w:r w:rsidDel="00000000" w:rsidR="00000000" w:rsidRPr="00000000">
        <w:rPr>
          <w:sz w:val="22"/>
          <w:szCs w:val="22"/>
          <w:rtl w:val="0"/>
        </w:rPr>
        <w:t xml:space="preserve">” (n= 5).</w:t>
      </w:r>
    </w:p>
    <w:p w:rsidR="00000000" w:rsidDel="00000000" w:rsidP="00000000" w:rsidRDefault="00000000" w:rsidRPr="00000000" w14:paraId="0000043B">
      <w:pPr>
        <w:spacing w:line="480" w:lineRule="auto"/>
        <w:jc w:val="both"/>
        <w:rPr>
          <w:sz w:val="22"/>
          <w:szCs w:val="22"/>
        </w:rPr>
      </w:pPr>
      <w:r w:rsidDel="00000000" w:rsidR="00000000" w:rsidRPr="00000000">
        <w:rPr>
          <w:rtl w:val="0"/>
        </w:rPr>
      </w:r>
    </w:p>
    <w:p w:rsidR="00000000" w:rsidDel="00000000" w:rsidP="00000000" w:rsidRDefault="00000000" w:rsidRPr="00000000" w14:paraId="0000043C">
      <w:pPr>
        <w:spacing w:line="480" w:lineRule="auto"/>
        <w:jc w:val="both"/>
        <w:rPr>
          <w:sz w:val="22"/>
          <w:szCs w:val="22"/>
        </w:rPr>
      </w:pPr>
      <w:r w:rsidDel="00000000" w:rsidR="00000000" w:rsidRPr="00000000">
        <w:rPr>
          <w:sz w:val="22"/>
          <w:szCs w:val="22"/>
          <w:rtl w:val="0"/>
        </w:rPr>
        <w:t xml:space="preserve">Individual withdrawal symptoms have been collated from the literature, with Hengarter et al (2019, p.5) providing a comprehensive assessment of prevalence (Table Six). There were two papers noting withdrawal symptoms, however, did not measure the prevalence or expand on individual symptoms (Abbe and Fallissard 2017, Davies and Read 2021 p.113). </w:t>
      </w:r>
    </w:p>
    <w:p w:rsidR="00000000" w:rsidDel="00000000" w:rsidP="00000000" w:rsidRDefault="00000000" w:rsidRPr="00000000" w14:paraId="0000043D">
      <w:pPr>
        <w:spacing w:line="480" w:lineRule="auto"/>
        <w:jc w:val="both"/>
        <w:rPr>
          <w:sz w:val="22"/>
          <w:szCs w:val="22"/>
        </w:rPr>
      </w:pPr>
      <w:r w:rsidDel="00000000" w:rsidR="00000000" w:rsidRPr="00000000">
        <w:rPr>
          <w:rtl w:val="0"/>
        </w:rPr>
      </w:r>
    </w:p>
    <w:tbl>
      <w:tblPr>
        <w:tblStyle w:val="Table7"/>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1986"/>
        <w:gridCol w:w="1760"/>
        <w:gridCol w:w="1760"/>
        <w:gridCol w:w="1760"/>
        <w:gridCol w:w="1760"/>
        <w:tblGridChange w:id="0">
          <w:tblGrid>
            <w:gridCol w:w="1986"/>
            <w:gridCol w:w="1760"/>
            <w:gridCol w:w="1760"/>
            <w:gridCol w:w="1760"/>
            <w:gridCol w:w="1760"/>
          </w:tblGrid>
        </w:tblGridChange>
      </w:tblGrid>
      <w:tr>
        <w:trPr>
          <w:cantSplit w:val="0"/>
          <w:trHeight w:val="54" w:hRule="atLeast"/>
          <w:tblHeader w:val="0"/>
        </w:trPr>
        <w:tc>
          <w:tcPr/>
          <w:p w:rsidR="00000000" w:rsidDel="00000000" w:rsidP="00000000" w:rsidRDefault="00000000" w:rsidRPr="00000000" w14:paraId="0000043E">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 </w:t>
            </w:r>
          </w:p>
        </w:tc>
        <w:tc>
          <w:tcPr>
            <w:vAlign w:val="center"/>
          </w:tcPr>
          <w:p w:rsidR="00000000" w:rsidDel="00000000" w:rsidP="00000000" w:rsidRDefault="00000000" w:rsidRPr="00000000" w14:paraId="0000043F">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Hengarter et al (2019)</w:t>
            </w:r>
          </w:p>
        </w:tc>
        <w:tc>
          <w:tcPr>
            <w:vAlign w:val="center"/>
          </w:tcPr>
          <w:p w:rsidR="00000000" w:rsidDel="00000000" w:rsidP="00000000" w:rsidRDefault="00000000" w:rsidRPr="00000000" w14:paraId="00000440">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Papp and Onton (2018)</w:t>
            </w:r>
          </w:p>
        </w:tc>
        <w:tc>
          <w:tcPr>
            <w:vAlign w:val="center"/>
          </w:tcPr>
          <w:p w:rsidR="00000000" w:rsidDel="00000000" w:rsidP="00000000" w:rsidRDefault="00000000" w:rsidRPr="00000000" w14:paraId="00000441">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Read</w:t>
            </w:r>
          </w:p>
          <w:p w:rsidR="00000000" w:rsidDel="00000000" w:rsidP="00000000" w:rsidRDefault="00000000" w:rsidRPr="00000000" w14:paraId="00000442">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(2021)</w:t>
            </w:r>
          </w:p>
        </w:tc>
        <w:tc>
          <w:tcPr>
            <w:vAlign w:val="center"/>
          </w:tcPr>
          <w:p w:rsidR="00000000" w:rsidDel="00000000" w:rsidP="00000000" w:rsidRDefault="00000000" w:rsidRPr="00000000" w14:paraId="00000443">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Abbe and Fallisard (2017)</w:t>
            </w:r>
          </w:p>
        </w:tc>
      </w:tr>
      <w:tr>
        <w:trPr>
          <w:cantSplit w:val="0"/>
          <w:trHeight w:val="64" w:hRule="atLeast"/>
          <w:tblHeader w:val="0"/>
        </w:trPr>
        <w:tc>
          <w:tcPr/>
          <w:p w:rsidR="00000000" w:rsidDel="00000000" w:rsidP="00000000" w:rsidRDefault="00000000" w:rsidRPr="00000000" w14:paraId="00000444">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Insomnia</w:t>
            </w:r>
          </w:p>
        </w:tc>
        <w:tc>
          <w:tcPr>
            <w:vAlign w:val="center"/>
          </w:tcPr>
          <w:p w:rsidR="00000000" w:rsidDel="00000000" w:rsidP="00000000" w:rsidRDefault="00000000" w:rsidRPr="00000000" w14:paraId="00000445">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83.3</w:t>
            </w:r>
          </w:p>
        </w:tc>
        <w:tc>
          <w:tcPr>
            <w:vAlign w:val="center"/>
          </w:tcPr>
          <w:p w:rsidR="00000000" w:rsidDel="00000000" w:rsidP="00000000" w:rsidRDefault="00000000" w:rsidRPr="00000000" w14:paraId="00000446">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47">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48">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NOTED</w:t>
            </w:r>
          </w:p>
        </w:tc>
      </w:tr>
      <w:tr>
        <w:trPr>
          <w:cantSplit w:val="0"/>
          <w:trHeight w:val="54" w:hRule="atLeast"/>
          <w:tblHeader w:val="0"/>
        </w:trPr>
        <w:tc>
          <w:tcPr/>
          <w:p w:rsidR="00000000" w:rsidDel="00000000" w:rsidP="00000000" w:rsidRDefault="00000000" w:rsidRPr="00000000" w14:paraId="00000449">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Decreased Concentration</w:t>
            </w:r>
          </w:p>
        </w:tc>
        <w:tc>
          <w:tcPr>
            <w:vAlign w:val="center"/>
          </w:tcPr>
          <w:p w:rsidR="00000000" w:rsidDel="00000000" w:rsidP="00000000" w:rsidRDefault="00000000" w:rsidRPr="00000000" w14:paraId="0000044A">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81.1</w:t>
            </w:r>
          </w:p>
        </w:tc>
        <w:tc>
          <w:tcPr>
            <w:vAlign w:val="center"/>
          </w:tcPr>
          <w:p w:rsidR="00000000" w:rsidDel="00000000" w:rsidP="00000000" w:rsidRDefault="00000000" w:rsidRPr="00000000" w14:paraId="0000044B">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4C">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4D">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4E">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Dizziness</w:t>
            </w:r>
          </w:p>
        </w:tc>
        <w:tc>
          <w:tcPr>
            <w:vAlign w:val="center"/>
          </w:tcPr>
          <w:p w:rsidR="00000000" w:rsidDel="00000000" w:rsidP="00000000" w:rsidRDefault="00000000" w:rsidRPr="00000000" w14:paraId="0000044F">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66.7</w:t>
            </w:r>
          </w:p>
        </w:tc>
        <w:tc>
          <w:tcPr>
            <w:vAlign w:val="center"/>
          </w:tcPr>
          <w:p w:rsidR="00000000" w:rsidDel="00000000" w:rsidP="00000000" w:rsidRDefault="00000000" w:rsidRPr="00000000" w14:paraId="00000450">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51">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43.9</w:t>
            </w:r>
          </w:p>
        </w:tc>
        <w:tc>
          <w:tcPr>
            <w:vAlign w:val="center"/>
          </w:tcPr>
          <w:p w:rsidR="00000000" w:rsidDel="00000000" w:rsidP="00000000" w:rsidRDefault="00000000" w:rsidRPr="00000000" w14:paraId="00000452">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NOTED</w:t>
            </w:r>
          </w:p>
        </w:tc>
      </w:tr>
      <w:tr>
        <w:trPr>
          <w:cantSplit w:val="0"/>
          <w:trHeight w:val="64" w:hRule="atLeast"/>
          <w:tblHeader w:val="0"/>
        </w:trPr>
        <w:tc>
          <w:tcPr/>
          <w:p w:rsidR="00000000" w:rsidDel="00000000" w:rsidP="00000000" w:rsidRDefault="00000000" w:rsidRPr="00000000" w14:paraId="00000453">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Anxiety/Panic</w:t>
            </w:r>
          </w:p>
        </w:tc>
        <w:tc>
          <w:tcPr>
            <w:vAlign w:val="center"/>
          </w:tcPr>
          <w:p w:rsidR="00000000" w:rsidDel="00000000" w:rsidP="00000000" w:rsidRDefault="00000000" w:rsidRPr="00000000" w14:paraId="00000454">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64.9</w:t>
            </w:r>
          </w:p>
        </w:tc>
        <w:tc>
          <w:tcPr>
            <w:vAlign w:val="center"/>
          </w:tcPr>
          <w:p w:rsidR="00000000" w:rsidDel="00000000" w:rsidP="00000000" w:rsidRDefault="00000000" w:rsidRPr="00000000" w14:paraId="00000455">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56">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66</w:t>
            </w:r>
          </w:p>
        </w:tc>
        <w:tc>
          <w:tcPr>
            <w:vAlign w:val="center"/>
          </w:tcPr>
          <w:p w:rsidR="00000000" w:rsidDel="00000000" w:rsidP="00000000" w:rsidRDefault="00000000" w:rsidRPr="00000000" w14:paraId="00000457">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58">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Headache</w:t>
            </w:r>
          </w:p>
        </w:tc>
        <w:tc>
          <w:tcPr>
            <w:vAlign w:val="center"/>
          </w:tcPr>
          <w:p w:rsidR="00000000" w:rsidDel="00000000" w:rsidP="00000000" w:rsidRDefault="00000000" w:rsidRPr="00000000" w14:paraId="00000459">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50</w:t>
            </w:r>
          </w:p>
        </w:tc>
        <w:tc>
          <w:tcPr>
            <w:vAlign w:val="center"/>
          </w:tcPr>
          <w:p w:rsidR="00000000" w:rsidDel="00000000" w:rsidP="00000000" w:rsidRDefault="00000000" w:rsidRPr="00000000" w14:paraId="0000045A">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5B">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5C">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NOTED</w:t>
            </w:r>
          </w:p>
        </w:tc>
      </w:tr>
      <w:tr>
        <w:trPr>
          <w:cantSplit w:val="0"/>
          <w:trHeight w:val="64" w:hRule="atLeast"/>
          <w:tblHeader w:val="0"/>
        </w:trPr>
        <w:tc>
          <w:tcPr/>
          <w:p w:rsidR="00000000" w:rsidDel="00000000" w:rsidP="00000000" w:rsidRDefault="00000000" w:rsidRPr="00000000" w14:paraId="0000045D">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Brain Zaps</w:t>
            </w:r>
          </w:p>
        </w:tc>
        <w:tc>
          <w:tcPr>
            <w:vAlign w:val="center"/>
          </w:tcPr>
          <w:p w:rsidR="00000000" w:rsidDel="00000000" w:rsidP="00000000" w:rsidRDefault="00000000" w:rsidRPr="00000000" w14:paraId="0000045E">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50</w:t>
            </w:r>
          </w:p>
        </w:tc>
        <w:tc>
          <w:tcPr>
            <w:vAlign w:val="center"/>
          </w:tcPr>
          <w:p w:rsidR="00000000" w:rsidDel="00000000" w:rsidP="00000000" w:rsidRDefault="00000000" w:rsidRPr="00000000" w14:paraId="0000045F">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77</w:t>
            </w:r>
          </w:p>
        </w:tc>
        <w:tc>
          <w:tcPr>
            <w:vAlign w:val="center"/>
          </w:tcPr>
          <w:p w:rsidR="00000000" w:rsidDel="00000000" w:rsidP="00000000" w:rsidRDefault="00000000" w:rsidRPr="00000000" w14:paraId="00000460">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42.5</w:t>
            </w:r>
          </w:p>
        </w:tc>
        <w:tc>
          <w:tcPr>
            <w:vAlign w:val="center"/>
          </w:tcPr>
          <w:p w:rsidR="00000000" w:rsidDel="00000000" w:rsidP="00000000" w:rsidRDefault="00000000" w:rsidRPr="00000000" w14:paraId="00000461">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62">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Nausea</w:t>
            </w:r>
          </w:p>
        </w:tc>
        <w:tc>
          <w:tcPr>
            <w:vAlign w:val="center"/>
          </w:tcPr>
          <w:p w:rsidR="00000000" w:rsidDel="00000000" w:rsidP="00000000" w:rsidRDefault="00000000" w:rsidRPr="00000000" w14:paraId="00000463">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47.8</w:t>
            </w:r>
          </w:p>
        </w:tc>
        <w:tc>
          <w:tcPr>
            <w:vAlign w:val="center"/>
          </w:tcPr>
          <w:p w:rsidR="00000000" w:rsidDel="00000000" w:rsidP="00000000" w:rsidRDefault="00000000" w:rsidRPr="00000000" w14:paraId="00000464">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65">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34.8</w:t>
            </w:r>
          </w:p>
        </w:tc>
        <w:tc>
          <w:tcPr>
            <w:vAlign w:val="center"/>
          </w:tcPr>
          <w:p w:rsidR="00000000" w:rsidDel="00000000" w:rsidP="00000000" w:rsidRDefault="00000000" w:rsidRPr="00000000" w14:paraId="00000466">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NOTED</w:t>
            </w:r>
          </w:p>
        </w:tc>
      </w:tr>
      <w:tr>
        <w:trPr>
          <w:cantSplit w:val="0"/>
          <w:trHeight w:val="64" w:hRule="atLeast"/>
          <w:tblHeader w:val="0"/>
        </w:trPr>
        <w:tc>
          <w:tcPr/>
          <w:p w:rsidR="00000000" w:rsidDel="00000000" w:rsidP="00000000" w:rsidRDefault="00000000" w:rsidRPr="00000000" w14:paraId="00000467">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Aches</w:t>
            </w:r>
          </w:p>
        </w:tc>
        <w:tc>
          <w:tcPr>
            <w:vAlign w:val="center"/>
          </w:tcPr>
          <w:p w:rsidR="00000000" w:rsidDel="00000000" w:rsidP="00000000" w:rsidRDefault="00000000" w:rsidRPr="00000000" w14:paraId="00000468">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44.4</w:t>
            </w:r>
          </w:p>
        </w:tc>
        <w:tc>
          <w:tcPr>
            <w:vAlign w:val="center"/>
          </w:tcPr>
          <w:p w:rsidR="00000000" w:rsidDel="00000000" w:rsidP="00000000" w:rsidRDefault="00000000" w:rsidRPr="00000000" w14:paraId="00000469">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6A">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6B">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6C">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Depression</w:t>
            </w:r>
          </w:p>
        </w:tc>
        <w:tc>
          <w:tcPr>
            <w:vAlign w:val="center"/>
          </w:tcPr>
          <w:p w:rsidR="00000000" w:rsidDel="00000000" w:rsidP="00000000" w:rsidRDefault="00000000" w:rsidRPr="00000000" w14:paraId="0000046D">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43.9</w:t>
            </w:r>
          </w:p>
        </w:tc>
        <w:tc>
          <w:tcPr>
            <w:vAlign w:val="center"/>
          </w:tcPr>
          <w:p w:rsidR="00000000" w:rsidDel="00000000" w:rsidP="00000000" w:rsidRDefault="00000000" w:rsidRPr="00000000" w14:paraId="0000046E">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6F">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0">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71">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Sensory </w:t>
            </w:r>
          </w:p>
        </w:tc>
        <w:tc>
          <w:tcPr>
            <w:vAlign w:val="center"/>
          </w:tcPr>
          <w:p w:rsidR="00000000" w:rsidDel="00000000" w:rsidP="00000000" w:rsidRDefault="00000000" w:rsidRPr="00000000" w14:paraId="00000472">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43.5</w:t>
            </w:r>
          </w:p>
        </w:tc>
        <w:tc>
          <w:tcPr>
            <w:vAlign w:val="center"/>
          </w:tcPr>
          <w:p w:rsidR="00000000" w:rsidDel="00000000" w:rsidP="00000000" w:rsidRDefault="00000000" w:rsidRPr="00000000" w14:paraId="00000473">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4">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5">
            <w:pPr>
              <w:jc w:val="center"/>
              <w:rPr>
                <w:rFonts w:ascii="Aptos" w:cs="Aptos" w:eastAsia="Aptos" w:hAnsi="Aptos"/>
                <w:color w:val="000000"/>
                <w:sz w:val="22"/>
                <w:szCs w:val="22"/>
              </w:rPr>
            </w:pPr>
            <w:r w:rsidDel="00000000" w:rsidR="00000000" w:rsidRPr="00000000">
              <w:rPr>
                <w:rtl w:val="0"/>
              </w:rPr>
            </w:r>
          </w:p>
        </w:tc>
      </w:tr>
      <w:tr>
        <w:trPr>
          <w:cantSplit w:val="0"/>
          <w:trHeight w:val="40" w:hRule="atLeast"/>
          <w:tblHeader w:val="0"/>
        </w:trPr>
        <w:tc>
          <w:tcPr/>
          <w:p w:rsidR="00000000" w:rsidDel="00000000" w:rsidP="00000000" w:rsidRDefault="00000000" w:rsidRPr="00000000" w14:paraId="00000476">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Diarrhoea</w:t>
            </w:r>
          </w:p>
        </w:tc>
        <w:tc>
          <w:tcPr>
            <w:vAlign w:val="center"/>
          </w:tcPr>
          <w:p w:rsidR="00000000" w:rsidDel="00000000" w:rsidP="00000000" w:rsidRDefault="00000000" w:rsidRPr="00000000" w14:paraId="00000477">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43.5</w:t>
            </w:r>
          </w:p>
        </w:tc>
        <w:tc>
          <w:tcPr>
            <w:vAlign w:val="center"/>
          </w:tcPr>
          <w:p w:rsidR="00000000" w:rsidDel="00000000" w:rsidP="00000000" w:rsidRDefault="00000000" w:rsidRPr="00000000" w14:paraId="00000478">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9">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A">
            <w:pPr>
              <w:jc w:val="center"/>
              <w:rPr>
                <w:rFonts w:ascii="Aptos" w:cs="Aptos" w:eastAsia="Aptos" w:hAnsi="Aptos"/>
                <w:color w:val="000000"/>
                <w:sz w:val="22"/>
                <w:szCs w:val="22"/>
              </w:rPr>
            </w:pPr>
            <w:r w:rsidDel="00000000" w:rsidR="00000000" w:rsidRPr="00000000">
              <w:rPr>
                <w:rtl w:val="0"/>
              </w:rPr>
            </w:r>
          </w:p>
        </w:tc>
      </w:tr>
      <w:tr>
        <w:trPr>
          <w:cantSplit w:val="0"/>
          <w:trHeight w:val="115" w:hRule="atLeast"/>
          <w:tblHeader w:val="0"/>
        </w:trPr>
        <w:tc>
          <w:tcPr/>
          <w:p w:rsidR="00000000" w:rsidDel="00000000" w:rsidP="00000000" w:rsidRDefault="00000000" w:rsidRPr="00000000" w14:paraId="0000047B">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Fatigue</w:t>
            </w:r>
          </w:p>
        </w:tc>
        <w:tc>
          <w:tcPr>
            <w:vAlign w:val="center"/>
          </w:tcPr>
          <w:p w:rsidR="00000000" w:rsidDel="00000000" w:rsidP="00000000" w:rsidRDefault="00000000" w:rsidRPr="00000000" w14:paraId="0000047C">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43.3</w:t>
            </w:r>
          </w:p>
        </w:tc>
        <w:tc>
          <w:tcPr>
            <w:vAlign w:val="center"/>
          </w:tcPr>
          <w:p w:rsidR="00000000" w:rsidDel="00000000" w:rsidP="00000000" w:rsidRDefault="00000000" w:rsidRPr="00000000" w14:paraId="0000047D">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E">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7F">
            <w:pPr>
              <w:jc w:val="center"/>
              <w:rPr>
                <w:rFonts w:ascii="Aptos" w:cs="Aptos" w:eastAsia="Aptos" w:hAnsi="Aptos"/>
                <w:color w:val="000000"/>
                <w:sz w:val="22"/>
                <w:szCs w:val="22"/>
              </w:rPr>
            </w:pPr>
            <w:r w:rsidDel="00000000" w:rsidR="00000000" w:rsidRPr="00000000">
              <w:rPr>
                <w:rtl w:val="0"/>
              </w:rPr>
            </w:r>
          </w:p>
        </w:tc>
      </w:tr>
      <w:tr>
        <w:trPr>
          <w:cantSplit w:val="0"/>
          <w:trHeight w:val="59" w:hRule="atLeast"/>
          <w:tblHeader w:val="0"/>
        </w:trPr>
        <w:tc>
          <w:tcPr/>
          <w:p w:rsidR="00000000" w:rsidDel="00000000" w:rsidP="00000000" w:rsidRDefault="00000000" w:rsidRPr="00000000" w14:paraId="00000480">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Tremors</w:t>
            </w:r>
          </w:p>
        </w:tc>
        <w:tc>
          <w:tcPr>
            <w:vAlign w:val="center"/>
          </w:tcPr>
          <w:p w:rsidR="00000000" w:rsidDel="00000000" w:rsidP="00000000" w:rsidRDefault="00000000" w:rsidRPr="00000000" w14:paraId="00000481">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40.7</w:t>
            </w:r>
          </w:p>
        </w:tc>
        <w:tc>
          <w:tcPr>
            <w:vAlign w:val="center"/>
          </w:tcPr>
          <w:p w:rsidR="00000000" w:rsidDel="00000000" w:rsidP="00000000" w:rsidRDefault="00000000" w:rsidRPr="00000000" w14:paraId="00000482">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3">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4">
            <w:pPr>
              <w:jc w:val="center"/>
              <w:rPr>
                <w:rFonts w:ascii="Aptos" w:cs="Aptos" w:eastAsia="Aptos" w:hAnsi="Aptos"/>
                <w:color w:val="000000"/>
                <w:sz w:val="22"/>
                <w:szCs w:val="22"/>
              </w:rPr>
            </w:pPr>
            <w:r w:rsidDel="00000000" w:rsidR="00000000" w:rsidRPr="00000000">
              <w:rPr>
                <w:rtl w:val="0"/>
              </w:rPr>
            </w:r>
          </w:p>
        </w:tc>
      </w:tr>
      <w:tr>
        <w:trPr>
          <w:cantSplit w:val="0"/>
          <w:trHeight w:val="40" w:hRule="atLeast"/>
          <w:tblHeader w:val="0"/>
        </w:trPr>
        <w:tc>
          <w:tcPr/>
          <w:p w:rsidR="00000000" w:rsidDel="00000000" w:rsidP="00000000" w:rsidRDefault="00000000" w:rsidRPr="00000000" w14:paraId="00000485">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Suicidality</w:t>
            </w:r>
          </w:p>
        </w:tc>
        <w:tc>
          <w:tcPr>
            <w:vAlign w:val="center"/>
          </w:tcPr>
          <w:p w:rsidR="00000000" w:rsidDel="00000000" w:rsidP="00000000" w:rsidRDefault="00000000" w:rsidRPr="00000000" w14:paraId="00000486">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24.6</w:t>
            </w:r>
          </w:p>
        </w:tc>
        <w:tc>
          <w:tcPr>
            <w:vAlign w:val="center"/>
          </w:tcPr>
          <w:p w:rsidR="00000000" w:rsidDel="00000000" w:rsidP="00000000" w:rsidRDefault="00000000" w:rsidRPr="00000000" w14:paraId="00000487">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8">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9">
            <w:pPr>
              <w:jc w:val="center"/>
              <w:rPr>
                <w:rFonts w:ascii="Aptos" w:cs="Aptos" w:eastAsia="Aptos" w:hAnsi="Aptos"/>
                <w:color w:val="000000"/>
                <w:sz w:val="22"/>
                <w:szCs w:val="22"/>
              </w:rPr>
            </w:pPr>
            <w:r w:rsidDel="00000000" w:rsidR="00000000" w:rsidRPr="00000000">
              <w:rPr>
                <w:rtl w:val="0"/>
              </w:rPr>
            </w:r>
          </w:p>
        </w:tc>
      </w:tr>
      <w:tr>
        <w:trPr>
          <w:cantSplit w:val="0"/>
          <w:trHeight w:val="40" w:hRule="atLeast"/>
          <w:tblHeader w:val="0"/>
        </w:trPr>
        <w:tc>
          <w:tcPr/>
          <w:p w:rsidR="00000000" w:rsidDel="00000000" w:rsidP="00000000" w:rsidRDefault="00000000" w:rsidRPr="00000000" w14:paraId="0000048A">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Balance</w:t>
            </w:r>
          </w:p>
        </w:tc>
        <w:tc>
          <w:tcPr>
            <w:vAlign w:val="center"/>
          </w:tcPr>
          <w:p w:rsidR="00000000" w:rsidDel="00000000" w:rsidP="00000000" w:rsidRDefault="00000000" w:rsidRPr="00000000" w14:paraId="0000048B">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17.4</w:t>
            </w:r>
          </w:p>
        </w:tc>
        <w:tc>
          <w:tcPr>
            <w:vAlign w:val="center"/>
          </w:tcPr>
          <w:p w:rsidR="00000000" w:rsidDel="00000000" w:rsidP="00000000" w:rsidRDefault="00000000" w:rsidRPr="00000000" w14:paraId="0000048C">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D">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8E">
            <w:pPr>
              <w:jc w:val="center"/>
              <w:rPr>
                <w:rFonts w:ascii="Aptos" w:cs="Aptos" w:eastAsia="Aptos" w:hAnsi="Aptos"/>
                <w:color w:val="000000"/>
                <w:sz w:val="22"/>
                <w:szCs w:val="22"/>
              </w:rPr>
            </w:pPr>
            <w:r w:rsidDel="00000000" w:rsidR="00000000" w:rsidRPr="00000000">
              <w:rPr>
                <w:rtl w:val="0"/>
              </w:rPr>
            </w:r>
          </w:p>
        </w:tc>
      </w:tr>
      <w:tr>
        <w:trPr>
          <w:cantSplit w:val="0"/>
          <w:trHeight w:val="40" w:hRule="atLeast"/>
          <w:tblHeader w:val="0"/>
        </w:trPr>
        <w:tc>
          <w:tcPr/>
          <w:p w:rsidR="00000000" w:rsidDel="00000000" w:rsidP="00000000" w:rsidRDefault="00000000" w:rsidRPr="00000000" w14:paraId="0000048F">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Visual Symptoms</w:t>
            </w:r>
          </w:p>
        </w:tc>
        <w:tc>
          <w:tcPr>
            <w:vAlign w:val="center"/>
          </w:tcPr>
          <w:p w:rsidR="00000000" w:rsidDel="00000000" w:rsidP="00000000" w:rsidRDefault="00000000" w:rsidRPr="00000000" w14:paraId="00000490">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15.9</w:t>
            </w:r>
          </w:p>
        </w:tc>
        <w:tc>
          <w:tcPr>
            <w:vAlign w:val="center"/>
          </w:tcPr>
          <w:p w:rsidR="00000000" w:rsidDel="00000000" w:rsidP="00000000" w:rsidRDefault="00000000" w:rsidRPr="00000000" w14:paraId="00000491">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2">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3">
            <w:pPr>
              <w:jc w:val="center"/>
              <w:rPr>
                <w:rFonts w:ascii="Aptos" w:cs="Aptos" w:eastAsia="Aptos" w:hAnsi="Aptos"/>
                <w:color w:val="000000"/>
                <w:sz w:val="22"/>
                <w:szCs w:val="22"/>
              </w:rPr>
            </w:pPr>
            <w:r w:rsidDel="00000000" w:rsidR="00000000" w:rsidRPr="00000000">
              <w:rPr>
                <w:rtl w:val="0"/>
              </w:rPr>
            </w:r>
          </w:p>
        </w:tc>
      </w:tr>
      <w:tr>
        <w:trPr>
          <w:cantSplit w:val="0"/>
          <w:trHeight w:val="40" w:hRule="atLeast"/>
          <w:tblHeader w:val="0"/>
        </w:trPr>
        <w:tc>
          <w:tcPr/>
          <w:p w:rsidR="00000000" w:rsidDel="00000000" w:rsidP="00000000" w:rsidRDefault="00000000" w:rsidRPr="00000000" w14:paraId="00000494">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Hallucinations</w:t>
            </w:r>
          </w:p>
        </w:tc>
        <w:tc>
          <w:tcPr>
            <w:vAlign w:val="center"/>
          </w:tcPr>
          <w:p w:rsidR="00000000" w:rsidDel="00000000" w:rsidP="00000000" w:rsidRDefault="00000000" w:rsidRPr="00000000" w14:paraId="00000495">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4.3</w:t>
            </w:r>
          </w:p>
        </w:tc>
        <w:tc>
          <w:tcPr>
            <w:vAlign w:val="center"/>
          </w:tcPr>
          <w:p w:rsidR="00000000" w:rsidDel="00000000" w:rsidP="00000000" w:rsidRDefault="00000000" w:rsidRPr="00000000" w14:paraId="00000496">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7">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8">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99">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Sexual Issues</w:t>
            </w:r>
          </w:p>
        </w:tc>
        <w:tc>
          <w:tcPr>
            <w:vAlign w:val="center"/>
          </w:tcPr>
          <w:p w:rsidR="00000000" w:rsidDel="00000000" w:rsidP="00000000" w:rsidRDefault="00000000" w:rsidRPr="00000000" w14:paraId="0000049A">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2.9</w:t>
            </w:r>
          </w:p>
        </w:tc>
        <w:tc>
          <w:tcPr>
            <w:vAlign w:val="center"/>
          </w:tcPr>
          <w:p w:rsidR="00000000" w:rsidDel="00000000" w:rsidP="00000000" w:rsidRDefault="00000000" w:rsidRPr="00000000" w14:paraId="0000049B">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C">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9D">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9E">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Irritability</w:t>
            </w:r>
          </w:p>
        </w:tc>
        <w:tc>
          <w:tcPr>
            <w:vAlign w:val="center"/>
          </w:tcPr>
          <w:p w:rsidR="00000000" w:rsidDel="00000000" w:rsidP="00000000" w:rsidRDefault="00000000" w:rsidRPr="00000000" w14:paraId="0000049F">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0">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1">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62.5</w:t>
            </w:r>
          </w:p>
        </w:tc>
        <w:tc>
          <w:tcPr>
            <w:vAlign w:val="center"/>
          </w:tcPr>
          <w:p w:rsidR="00000000" w:rsidDel="00000000" w:rsidP="00000000" w:rsidRDefault="00000000" w:rsidRPr="00000000" w14:paraId="000004A2">
            <w:pPr>
              <w:jc w:val="center"/>
              <w:rPr>
                <w:rFonts w:ascii="Aptos" w:cs="Aptos" w:eastAsia="Aptos" w:hAnsi="Aptos"/>
                <w:color w:val="000000"/>
                <w:sz w:val="22"/>
                <w:szCs w:val="22"/>
              </w:rPr>
            </w:pPr>
            <w:r w:rsidDel="00000000" w:rsidR="00000000" w:rsidRPr="00000000">
              <w:rPr>
                <w:rtl w:val="0"/>
              </w:rPr>
            </w:r>
          </w:p>
        </w:tc>
      </w:tr>
      <w:tr>
        <w:trPr>
          <w:cantSplit w:val="0"/>
          <w:trHeight w:val="64" w:hRule="atLeast"/>
          <w:tblHeader w:val="0"/>
        </w:trPr>
        <w:tc>
          <w:tcPr/>
          <w:p w:rsidR="00000000" w:rsidDel="00000000" w:rsidP="00000000" w:rsidRDefault="00000000" w:rsidRPr="00000000" w14:paraId="000004A3">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Nightmares</w:t>
            </w:r>
          </w:p>
        </w:tc>
        <w:tc>
          <w:tcPr>
            <w:vAlign w:val="center"/>
          </w:tcPr>
          <w:p w:rsidR="00000000" w:rsidDel="00000000" w:rsidP="00000000" w:rsidRDefault="00000000" w:rsidRPr="00000000" w14:paraId="000004A4">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5">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6">
            <w:pPr>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36.7</w:t>
            </w:r>
          </w:p>
        </w:tc>
        <w:tc>
          <w:tcPr>
            <w:vAlign w:val="center"/>
          </w:tcPr>
          <w:p w:rsidR="00000000" w:rsidDel="00000000" w:rsidP="00000000" w:rsidRDefault="00000000" w:rsidRPr="00000000" w14:paraId="000004A7">
            <w:pPr>
              <w:jc w:val="center"/>
              <w:rPr>
                <w:rFonts w:ascii="Aptos" w:cs="Aptos" w:eastAsia="Aptos" w:hAnsi="Aptos"/>
                <w:color w:val="000000"/>
                <w:sz w:val="22"/>
                <w:szCs w:val="22"/>
              </w:rPr>
            </w:pPr>
            <w:r w:rsidDel="00000000" w:rsidR="00000000" w:rsidRPr="00000000">
              <w:rPr>
                <w:rtl w:val="0"/>
              </w:rPr>
            </w:r>
          </w:p>
        </w:tc>
      </w:tr>
      <w:tr>
        <w:trPr>
          <w:cantSplit w:val="0"/>
          <w:trHeight w:val="134" w:hRule="atLeast"/>
          <w:tblHeader w:val="0"/>
        </w:trPr>
        <w:tc>
          <w:tcPr/>
          <w:p w:rsidR="00000000" w:rsidDel="00000000" w:rsidP="00000000" w:rsidRDefault="00000000" w:rsidRPr="00000000" w14:paraId="000004A8">
            <w:pPr>
              <w:jc w:val="both"/>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Vomiting</w:t>
            </w:r>
          </w:p>
        </w:tc>
        <w:tc>
          <w:tcPr>
            <w:vAlign w:val="center"/>
          </w:tcPr>
          <w:p w:rsidR="00000000" w:rsidDel="00000000" w:rsidP="00000000" w:rsidRDefault="00000000" w:rsidRPr="00000000" w14:paraId="000004A9">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A">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B">
            <w:pPr>
              <w:jc w:val="center"/>
              <w:rPr>
                <w:rFonts w:ascii="Aptos" w:cs="Aptos" w:eastAsia="Aptos" w:hAnsi="Aptos"/>
                <w:color w:val="000000"/>
                <w:sz w:val="22"/>
                <w:szCs w:val="22"/>
              </w:rPr>
            </w:pPr>
            <w:r w:rsidDel="00000000" w:rsidR="00000000" w:rsidRPr="00000000">
              <w:rPr>
                <w:rtl w:val="0"/>
              </w:rPr>
            </w:r>
          </w:p>
        </w:tc>
        <w:tc>
          <w:tcPr>
            <w:vAlign w:val="center"/>
          </w:tcPr>
          <w:p w:rsidR="00000000" w:rsidDel="00000000" w:rsidP="00000000" w:rsidRDefault="00000000" w:rsidRPr="00000000" w14:paraId="000004AC">
            <w:pPr>
              <w:keepNext w:val="1"/>
              <w:jc w:val="center"/>
              <w:rPr>
                <w:rFonts w:ascii="Aptos" w:cs="Aptos" w:eastAsia="Aptos" w:hAnsi="Aptos"/>
                <w:color w:val="000000"/>
                <w:sz w:val="22"/>
                <w:szCs w:val="22"/>
              </w:rPr>
            </w:pPr>
            <w:r w:rsidDel="00000000" w:rsidR="00000000" w:rsidRPr="00000000">
              <w:rPr>
                <w:rFonts w:ascii="Aptos" w:cs="Aptos" w:eastAsia="Aptos" w:hAnsi="Aptos"/>
                <w:color w:val="000000"/>
                <w:sz w:val="22"/>
                <w:szCs w:val="22"/>
                <w:rtl w:val="0"/>
              </w:rPr>
              <w:t xml:space="preserve">NOTED</w:t>
            </w:r>
          </w:p>
        </w:tc>
      </w:tr>
    </w:tbl>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19c6y18" w:id="45"/>
      <w:bookmarkEnd w:id="45"/>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6: A table outlining the individual withdrawal symptoms and their prevalence (%).</w:t>
      </w:r>
    </w:p>
    <w:p w:rsidR="00000000" w:rsidDel="00000000" w:rsidP="00000000" w:rsidRDefault="00000000" w:rsidRPr="00000000" w14:paraId="000004AF">
      <w:pPr>
        <w:spacing w:line="480" w:lineRule="auto"/>
        <w:rPr>
          <w:sz w:val="22"/>
          <w:szCs w:val="22"/>
        </w:rPr>
      </w:pPr>
      <w:r w:rsidDel="00000000" w:rsidR="00000000" w:rsidRPr="00000000">
        <w:rPr>
          <w:rtl w:val="0"/>
        </w:rPr>
      </w:r>
    </w:p>
    <w:p w:rsidR="00000000" w:rsidDel="00000000" w:rsidP="00000000" w:rsidRDefault="00000000" w:rsidRPr="00000000" w14:paraId="000004B0">
      <w:pPr>
        <w:pStyle w:val="Heading4"/>
        <w:spacing w:line="480" w:lineRule="auto"/>
        <w:rPr/>
      </w:pPr>
      <w:bookmarkStart w:colFirst="0" w:colLast="0" w:name="_heading=h.3tbugp1" w:id="46"/>
      <w:bookmarkEnd w:id="46"/>
      <w:r w:rsidDel="00000000" w:rsidR="00000000" w:rsidRPr="00000000">
        <w:rPr>
          <w:rtl w:val="0"/>
        </w:rPr>
        <w:t xml:space="preserve">Benzodiazepines and Z-Drugs</w:t>
      </w:r>
    </w:p>
    <w:p w:rsidR="00000000" w:rsidDel="00000000" w:rsidP="00000000" w:rsidRDefault="00000000" w:rsidRPr="00000000" w14:paraId="000004B1">
      <w:pPr>
        <w:spacing w:line="480" w:lineRule="auto"/>
        <w:jc w:val="both"/>
        <w:rPr>
          <w:sz w:val="22"/>
          <w:szCs w:val="22"/>
        </w:rPr>
      </w:pPr>
      <w:r w:rsidDel="00000000" w:rsidR="00000000" w:rsidRPr="00000000">
        <w:rPr>
          <w:sz w:val="22"/>
          <w:szCs w:val="22"/>
          <w:rtl w:val="0"/>
        </w:rPr>
        <w:t xml:space="preserve">Discontinuation attempts of benzodiazepines and z-drugs are often “</w:t>
      </w:r>
      <w:r w:rsidDel="00000000" w:rsidR="00000000" w:rsidRPr="00000000">
        <w:rPr>
          <w:i w:val="1"/>
          <w:sz w:val="22"/>
          <w:szCs w:val="22"/>
          <w:rtl w:val="0"/>
        </w:rPr>
        <w:t xml:space="preserve">frequent and unsuccessful</w:t>
      </w:r>
      <w:r w:rsidDel="00000000" w:rsidR="00000000" w:rsidRPr="00000000">
        <w:rPr>
          <w:sz w:val="22"/>
          <w:szCs w:val="22"/>
          <w:rtl w:val="0"/>
        </w:rPr>
        <w:t xml:space="preserve">” (Liebrenz et al 2015, p.5). It is a difficult and unpredictable process, described by Fixsen and Ridge (2017, p.18) as “</w:t>
      </w:r>
      <w:r w:rsidDel="00000000" w:rsidR="00000000" w:rsidRPr="00000000">
        <w:rPr>
          <w:i w:val="1"/>
          <w:sz w:val="22"/>
          <w:szCs w:val="22"/>
          <w:rtl w:val="0"/>
        </w:rPr>
        <w:t xml:space="preserve">Waves and Windows</w:t>
      </w:r>
      <w:r w:rsidDel="00000000" w:rsidR="00000000" w:rsidRPr="00000000">
        <w:rPr>
          <w:sz w:val="22"/>
          <w:szCs w:val="22"/>
          <w:rtl w:val="0"/>
        </w:rPr>
        <w:t xml:space="preserve">”, illustrating the slow and uneven process. A gradual reduction preferred over an abrupt cessation, with 83.8% of 962 participants engaging in a gradual tapering regimen (Takeshima et al 2022, p.4). </w:t>
      </w:r>
    </w:p>
    <w:p w:rsidR="00000000" w:rsidDel="00000000" w:rsidP="00000000" w:rsidRDefault="00000000" w:rsidRPr="00000000" w14:paraId="000004B2">
      <w:pPr>
        <w:spacing w:line="480" w:lineRule="auto"/>
        <w:jc w:val="both"/>
        <w:rPr>
          <w:sz w:val="22"/>
          <w:szCs w:val="22"/>
        </w:rPr>
      </w:pPr>
      <w:r w:rsidDel="00000000" w:rsidR="00000000" w:rsidRPr="00000000">
        <w:rPr>
          <w:rtl w:val="0"/>
        </w:rPr>
      </w:r>
    </w:p>
    <w:p w:rsidR="00000000" w:rsidDel="00000000" w:rsidP="00000000" w:rsidRDefault="00000000" w:rsidRPr="00000000" w14:paraId="000004B3">
      <w:pPr>
        <w:spacing w:line="480" w:lineRule="auto"/>
        <w:jc w:val="both"/>
        <w:rPr>
          <w:sz w:val="22"/>
          <w:szCs w:val="22"/>
        </w:rPr>
      </w:pPr>
      <w:r w:rsidDel="00000000" w:rsidR="00000000" w:rsidRPr="00000000">
        <w:rPr>
          <w:sz w:val="22"/>
          <w:szCs w:val="22"/>
          <w:rtl w:val="0"/>
        </w:rPr>
        <w:t xml:space="preserve">Withdrawal symptoms are common in the literature, with 78% of 697 patient records having experienced one or more symptom (Jobert et al 2021, p.174). Of those, “</w:t>
      </w:r>
      <w:r w:rsidDel="00000000" w:rsidR="00000000" w:rsidRPr="00000000">
        <w:rPr>
          <w:i w:val="1"/>
          <w:sz w:val="22"/>
          <w:szCs w:val="22"/>
          <w:rtl w:val="0"/>
        </w:rPr>
        <w:t xml:space="preserve">psychiatric disorders</w:t>
      </w:r>
      <w:r w:rsidDel="00000000" w:rsidR="00000000" w:rsidRPr="00000000">
        <w:rPr>
          <w:sz w:val="22"/>
          <w:szCs w:val="22"/>
          <w:rtl w:val="0"/>
        </w:rPr>
        <w:t xml:space="preserve">” accounted for 83% of symptoms, which include insomnia (n= 466), anxiety (n= 140), irritability (n= 140) and nightmares (n= 27) (Jobert et al 2021, p.174). “</w:t>
      </w:r>
      <w:r w:rsidDel="00000000" w:rsidR="00000000" w:rsidRPr="00000000">
        <w:rPr>
          <w:i w:val="1"/>
          <w:sz w:val="22"/>
          <w:szCs w:val="22"/>
          <w:rtl w:val="0"/>
        </w:rPr>
        <w:t xml:space="preserve">Nervous system disorders</w:t>
      </w:r>
      <w:r w:rsidDel="00000000" w:rsidR="00000000" w:rsidRPr="00000000">
        <w:rPr>
          <w:sz w:val="22"/>
          <w:szCs w:val="22"/>
          <w:rtl w:val="0"/>
        </w:rPr>
        <w:t xml:space="preserve">” accounted for a further 64 references, including symptoms such as tremors (n= 45) and dizziness (n= 5). A large majority of patients (42%) report these symptoms to appear within a few hours to one day of cessation ((Jobert et al 2021, p.174).</w:t>
      </w:r>
    </w:p>
    <w:p w:rsidR="00000000" w:rsidDel="00000000" w:rsidP="00000000" w:rsidRDefault="00000000" w:rsidRPr="00000000" w14:paraId="000004B4">
      <w:pPr>
        <w:spacing w:line="480" w:lineRule="auto"/>
        <w:jc w:val="both"/>
        <w:rPr>
          <w:sz w:val="22"/>
          <w:szCs w:val="22"/>
        </w:rPr>
      </w:pPr>
      <w:r w:rsidDel="00000000" w:rsidR="00000000" w:rsidRPr="00000000">
        <w:rPr>
          <w:rtl w:val="0"/>
        </w:rPr>
      </w:r>
    </w:p>
    <w:p w:rsidR="00000000" w:rsidDel="00000000" w:rsidP="00000000" w:rsidRDefault="00000000" w:rsidRPr="00000000" w14:paraId="000004B5">
      <w:pPr>
        <w:spacing w:line="480" w:lineRule="auto"/>
        <w:jc w:val="both"/>
        <w:rPr>
          <w:sz w:val="22"/>
          <w:szCs w:val="22"/>
        </w:rPr>
      </w:pPr>
      <w:r w:rsidDel="00000000" w:rsidR="00000000" w:rsidRPr="00000000">
        <w:rPr>
          <w:sz w:val="22"/>
          <w:szCs w:val="22"/>
          <w:rtl w:val="0"/>
        </w:rPr>
        <w:t xml:space="preserve">Autoethnographic papers published by Fixsen (2015) and later Fixsen and Ridge (2017) outline the process of withdrawal from benzodiazepines. The early stages of withdrawal are described as “</w:t>
      </w:r>
      <w:r w:rsidDel="00000000" w:rsidR="00000000" w:rsidRPr="00000000">
        <w:rPr>
          <w:i w:val="1"/>
          <w:sz w:val="22"/>
          <w:szCs w:val="22"/>
          <w:rtl w:val="0"/>
        </w:rPr>
        <w:t xml:space="preserve">tough</w:t>
      </w:r>
      <w:r w:rsidDel="00000000" w:rsidR="00000000" w:rsidRPr="00000000">
        <w:rPr>
          <w:sz w:val="22"/>
          <w:szCs w:val="22"/>
          <w:rtl w:val="0"/>
        </w:rPr>
        <w:t xml:space="preserve">” with feelings of “</w:t>
      </w:r>
      <w:r w:rsidDel="00000000" w:rsidR="00000000" w:rsidRPr="00000000">
        <w:rPr>
          <w:i w:val="1"/>
          <w:sz w:val="22"/>
          <w:szCs w:val="22"/>
          <w:rtl w:val="0"/>
        </w:rPr>
        <w:t xml:space="preserve">isolation and daily despair</w:t>
      </w:r>
      <w:r w:rsidDel="00000000" w:rsidR="00000000" w:rsidRPr="00000000">
        <w:rPr>
          <w:sz w:val="22"/>
          <w:szCs w:val="22"/>
          <w:rtl w:val="0"/>
        </w:rPr>
        <w:t xml:space="preserve">”, explored in the theme “</w:t>
      </w:r>
      <w:r w:rsidDel="00000000" w:rsidR="00000000" w:rsidRPr="00000000">
        <w:rPr>
          <w:i w:val="1"/>
          <w:sz w:val="22"/>
          <w:szCs w:val="22"/>
          <w:rtl w:val="0"/>
        </w:rPr>
        <w:t xml:space="preserve">The Lonely Struggle</w:t>
      </w:r>
      <w:r w:rsidDel="00000000" w:rsidR="00000000" w:rsidRPr="00000000">
        <w:rPr>
          <w:sz w:val="22"/>
          <w:szCs w:val="22"/>
          <w:rtl w:val="0"/>
        </w:rPr>
        <w:t xml:space="preserve">” (Fixsen 2015, p.19). The symptoms described by social media users in Fixsen and Ridge’s 2017 ethnographic study report “</w:t>
      </w:r>
      <w:r w:rsidDel="00000000" w:rsidR="00000000" w:rsidRPr="00000000">
        <w:rPr>
          <w:i w:val="1"/>
          <w:sz w:val="22"/>
          <w:szCs w:val="22"/>
          <w:rtl w:val="0"/>
        </w:rPr>
        <w:t xml:space="preserve">alienation</w:t>
      </w:r>
      <w:r w:rsidDel="00000000" w:rsidR="00000000" w:rsidRPr="00000000">
        <w:rPr>
          <w:sz w:val="22"/>
          <w:szCs w:val="22"/>
          <w:rtl w:val="0"/>
        </w:rPr>
        <w:t xml:space="preserve">”, with one individual posting: </w:t>
      </w:r>
    </w:p>
    <w:p w:rsidR="00000000" w:rsidDel="00000000" w:rsidP="00000000" w:rsidRDefault="00000000" w:rsidRPr="00000000" w14:paraId="000004B6">
      <w:pPr>
        <w:spacing w:line="480" w:lineRule="auto"/>
        <w:jc w:val="both"/>
        <w:rPr>
          <w:sz w:val="22"/>
          <w:szCs w:val="22"/>
        </w:rPr>
      </w:pPr>
      <w:r w:rsidDel="00000000" w:rsidR="00000000" w:rsidRPr="00000000">
        <w:rPr>
          <w:rtl w:val="0"/>
        </w:rPr>
      </w:r>
    </w:p>
    <w:p w:rsidR="00000000" w:rsidDel="00000000" w:rsidP="00000000" w:rsidRDefault="00000000" w:rsidRPr="00000000" w14:paraId="000004B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can see why people kill themselves feeling like this. I’ve only been taking [benzodiazepines] for a few months…. But this is just awful</w:t>
      </w:r>
      <w:r w:rsidDel="00000000" w:rsidR="00000000" w:rsidRPr="00000000">
        <w:rPr>
          <w:sz w:val="22"/>
          <w:szCs w:val="22"/>
          <w:rtl w:val="0"/>
        </w:rPr>
        <w:t xml:space="preserve">”</w:t>
      </w:r>
    </w:p>
    <w:p w:rsidR="00000000" w:rsidDel="00000000" w:rsidP="00000000" w:rsidRDefault="00000000" w:rsidRPr="00000000" w14:paraId="000004B8">
      <w:pPr>
        <w:spacing w:line="480" w:lineRule="auto"/>
        <w:ind w:left="709" w:firstLine="0"/>
        <w:jc w:val="right"/>
        <w:rPr>
          <w:sz w:val="22"/>
          <w:szCs w:val="22"/>
        </w:rPr>
      </w:pPr>
      <w:r w:rsidDel="00000000" w:rsidR="00000000" w:rsidRPr="00000000">
        <w:rPr>
          <w:sz w:val="22"/>
          <w:szCs w:val="22"/>
          <w:rtl w:val="0"/>
        </w:rPr>
        <w:t xml:space="preserve">(Fixsen and Ridge 2017, p.16)</w:t>
      </w:r>
    </w:p>
    <w:p w:rsidR="00000000" w:rsidDel="00000000" w:rsidP="00000000" w:rsidRDefault="00000000" w:rsidRPr="00000000" w14:paraId="000004B9">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4BA">
      <w:pPr>
        <w:spacing w:line="480" w:lineRule="auto"/>
        <w:jc w:val="both"/>
        <w:rPr>
          <w:sz w:val="22"/>
          <w:szCs w:val="22"/>
        </w:rPr>
      </w:pPr>
      <w:r w:rsidDel="00000000" w:rsidR="00000000" w:rsidRPr="00000000">
        <w:rPr>
          <w:sz w:val="22"/>
          <w:szCs w:val="22"/>
          <w:rtl w:val="0"/>
        </w:rPr>
        <w:t xml:space="preserve">The combination of physical and psychological withdrawal symptoms evoke feelings of anger towards prescribers and remorse for using these medicines (Fixsen and Ridge 2017, p.18), and is reflected in Fixsen’s own experiences (Fixsen 2015, p.19). The withdrawal process has been found to cause a preoccupation around their changeable symptoms, increasing feelings of isolation (Fixsen 2015, p.21). </w:t>
      </w:r>
    </w:p>
    <w:p w:rsidR="00000000" w:rsidDel="00000000" w:rsidP="00000000" w:rsidRDefault="00000000" w:rsidRPr="00000000" w14:paraId="000004BB">
      <w:pPr>
        <w:spacing w:line="480" w:lineRule="auto"/>
        <w:jc w:val="both"/>
        <w:rPr>
          <w:sz w:val="22"/>
          <w:szCs w:val="22"/>
        </w:rPr>
      </w:pPr>
      <w:r w:rsidDel="00000000" w:rsidR="00000000" w:rsidRPr="00000000">
        <w:rPr>
          <w:rtl w:val="0"/>
        </w:rPr>
      </w:r>
    </w:p>
    <w:p w:rsidR="00000000" w:rsidDel="00000000" w:rsidP="00000000" w:rsidRDefault="00000000" w:rsidRPr="00000000" w14:paraId="000004BC">
      <w:pPr>
        <w:spacing w:line="480" w:lineRule="auto"/>
        <w:jc w:val="both"/>
        <w:rPr>
          <w:sz w:val="22"/>
          <w:szCs w:val="22"/>
        </w:rPr>
      </w:pPr>
      <w:r w:rsidDel="00000000" w:rsidR="00000000" w:rsidRPr="00000000">
        <w:rPr>
          <w:sz w:val="22"/>
          <w:szCs w:val="22"/>
          <w:rtl w:val="0"/>
        </w:rPr>
        <w:t xml:space="preserve">There is a perceived “</w:t>
      </w:r>
      <w:r w:rsidDel="00000000" w:rsidR="00000000" w:rsidRPr="00000000">
        <w:rPr>
          <w:i w:val="1"/>
          <w:sz w:val="22"/>
          <w:szCs w:val="22"/>
          <w:rtl w:val="0"/>
        </w:rPr>
        <w:t xml:space="preserve">triumph</w:t>
      </w:r>
      <w:r w:rsidDel="00000000" w:rsidR="00000000" w:rsidRPr="00000000">
        <w:rPr>
          <w:sz w:val="22"/>
          <w:szCs w:val="22"/>
          <w:rtl w:val="0"/>
        </w:rPr>
        <w:t xml:space="preserve">” amongst those who have successfully stopped using benzodiazepines, however, and are compelled to share their story in solidarity and support (Fixsen and Ridge 2017, p.20). The ability to initiate sleep, and the quality of sleep improves after six months from the start of benzodiazepine withdrawal (Lahteenmaki et al 2018, p.333). As a result, they experience a significantly greater quality of life at both the one month and six-month review (Lahteenmaki et al 2018, p.333).</w:t>
      </w:r>
    </w:p>
    <w:p w:rsidR="00000000" w:rsidDel="00000000" w:rsidP="00000000" w:rsidRDefault="00000000" w:rsidRPr="00000000" w14:paraId="000004BD">
      <w:pPr>
        <w:spacing w:line="480" w:lineRule="auto"/>
        <w:jc w:val="both"/>
        <w:rPr>
          <w:sz w:val="22"/>
          <w:szCs w:val="22"/>
        </w:rPr>
      </w:pPr>
      <w:r w:rsidDel="00000000" w:rsidR="00000000" w:rsidRPr="00000000">
        <w:rPr>
          <w:rtl w:val="0"/>
        </w:rPr>
      </w:r>
    </w:p>
    <w:p w:rsidR="00000000" w:rsidDel="00000000" w:rsidP="00000000" w:rsidRDefault="00000000" w:rsidRPr="00000000" w14:paraId="000004BE">
      <w:pPr>
        <w:pStyle w:val="Heading4"/>
        <w:spacing w:line="480" w:lineRule="auto"/>
        <w:rPr/>
      </w:pPr>
      <w:bookmarkStart w:colFirst="0" w:colLast="0" w:name="_heading=h.28h4qwu" w:id="47"/>
      <w:bookmarkEnd w:id="47"/>
      <w:r w:rsidDel="00000000" w:rsidR="00000000" w:rsidRPr="00000000">
        <w:rPr>
          <w:rtl w:val="0"/>
        </w:rPr>
        <w:t xml:space="preserve">Gabapentinoids</w:t>
      </w:r>
    </w:p>
    <w:p w:rsidR="00000000" w:rsidDel="00000000" w:rsidP="00000000" w:rsidRDefault="00000000" w:rsidRPr="00000000" w14:paraId="000004BF">
      <w:pPr>
        <w:spacing w:line="480" w:lineRule="auto"/>
        <w:jc w:val="both"/>
        <w:rPr>
          <w:sz w:val="22"/>
          <w:szCs w:val="22"/>
        </w:rPr>
      </w:pPr>
      <w:r w:rsidDel="00000000" w:rsidR="00000000" w:rsidRPr="00000000">
        <w:rPr>
          <w:sz w:val="22"/>
          <w:szCs w:val="22"/>
          <w:rtl w:val="0"/>
        </w:rPr>
        <w:t xml:space="preserve">Only one study assessed the withdrawal symptoms associated with gabapentinoids (McNeilage et al, 2023). Almost all participants described undesirable effects or withdrawal symptoms, noting eleven symptoms associated with gabapentinoid withdrawal (McNeilage et al 2023, p.5).  Of these symptoms, those who experienced psychosis or suicidal ideation perceived these symptoms as more dangerous than others (McNeilage et al 2023, p.5).  </w:t>
      </w:r>
    </w:p>
    <w:p w:rsidR="00000000" w:rsidDel="00000000" w:rsidP="00000000" w:rsidRDefault="00000000" w:rsidRPr="00000000" w14:paraId="000004C0">
      <w:pPr>
        <w:spacing w:line="480" w:lineRule="auto"/>
        <w:jc w:val="both"/>
        <w:rPr>
          <w:sz w:val="22"/>
          <w:szCs w:val="22"/>
        </w:rPr>
      </w:pPr>
      <w:r w:rsidDel="00000000" w:rsidR="00000000" w:rsidRPr="00000000">
        <w:rPr>
          <w:rtl w:val="0"/>
        </w:rPr>
      </w:r>
    </w:p>
    <w:p w:rsidR="00000000" w:rsidDel="00000000" w:rsidP="00000000" w:rsidRDefault="00000000" w:rsidRPr="00000000" w14:paraId="000004C1">
      <w:pPr>
        <w:spacing w:line="480" w:lineRule="auto"/>
        <w:jc w:val="both"/>
        <w:rPr>
          <w:sz w:val="22"/>
          <w:szCs w:val="22"/>
        </w:rPr>
      </w:pPr>
      <w:r w:rsidDel="00000000" w:rsidR="00000000" w:rsidRPr="00000000">
        <w:rPr>
          <w:sz w:val="22"/>
          <w:szCs w:val="22"/>
          <w:rtl w:val="0"/>
        </w:rPr>
        <w:t xml:space="preserve">Reducing gabapentinoids has been described as “</w:t>
      </w:r>
      <w:r w:rsidDel="00000000" w:rsidR="00000000" w:rsidRPr="00000000">
        <w:rPr>
          <w:i w:val="1"/>
          <w:sz w:val="22"/>
          <w:szCs w:val="22"/>
          <w:rtl w:val="0"/>
        </w:rPr>
        <w:t xml:space="preserve">an absolute nightmare</w:t>
      </w:r>
      <w:r w:rsidDel="00000000" w:rsidR="00000000" w:rsidRPr="00000000">
        <w:rPr>
          <w:sz w:val="22"/>
          <w:szCs w:val="22"/>
          <w:rtl w:val="0"/>
        </w:rPr>
        <w:t xml:space="preserve">”, “</w:t>
      </w:r>
      <w:r w:rsidDel="00000000" w:rsidR="00000000" w:rsidRPr="00000000">
        <w:rPr>
          <w:i w:val="1"/>
          <w:sz w:val="22"/>
          <w:szCs w:val="22"/>
          <w:rtl w:val="0"/>
        </w:rPr>
        <w:t xml:space="preserve">torturing</w:t>
      </w:r>
      <w:r w:rsidDel="00000000" w:rsidR="00000000" w:rsidRPr="00000000">
        <w:rPr>
          <w:sz w:val="22"/>
          <w:szCs w:val="22"/>
          <w:rtl w:val="0"/>
        </w:rPr>
        <w:t xml:space="preserve">” and “</w:t>
      </w:r>
      <w:r w:rsidDel="00000000" w:rsidR="00000000" w:rsidRPr="00000000">
        <w:rPr>
          <w:i w:val="1"/>
          <w:sz w:val="22"/>
          <w:szCs w:val="22"/>
          <w:rtl w:val="0"/>
        </w:rPr>
        <w:t xml:space="preserve">horrendous</w:t>
      </w:r>
      <w:r w:rsidDel="00000000" w:rsidR="00000000" w:rsidRPr="00000000">
        <w:rPr>
          <w:sz w:val="22"/>
          <w:szCs w:val="22"/>
          <w:rtl w:val="0"/>
        </w:rPr>
        <w:t xml:space="preserve">” (McNeilage et al 2023, p.5). One participant experienced depression and suicidal ideation whilst tapering, and as a result felt “</w:t>
      </w:r>
      <w:r w:rsidDel="00000000" w:rsidR="00000000" w:rsidRPr="00000000">
        <w:rPr>
          <w:i w:val="1"/>
          <w:sz w:val="22"/>
          <w:szCs w:val="22"/>
          <w:rtl w:val="0"/>
        </w:rPr>
        <w:t xml:space="preserve">trapped</w:t>
      </w:r>
      <w:r w:rsidDel="00000000" w:rsidR="00000000" w:rsidRPr="00000000">
        <w:rPr>
          <w:sz w:val="22"/>
          <w:szCs w:val="22"/>
          <w:rtl w:val="0"/>
        </w:rPr>
        <w:t xml:space="preserve">”, wanting to reduce further due to a dependence however feared these symptoms worsening (McNeilage et al 2023, p.6). However, those who are on lower doses of these medicines do not appear to experience much difficulty, with another participant describing their experience as “</w:t>
      </w:r>
      <w:r w:rsidDel="00000000" w:rsidR="00000000" w:rsidRPr="00000000">
        <w:rPr>
          <w:i w:val="1"/>
          <w:sz w:val="22"/>
          <w:szCs w:val="22"/>
          <w:rtl w:val="0"/>
        </w:rPr>
        <w:t xml:space="preserve">one of the easier withdrawals I’ve ever had</w:t>
      </w:r>
      <w:r w:rsidDel="00000000" w:rsidR="00000000" w:rsidRPr="00000000">
        <w:rPr>
          <w:sz w:val="22"/>
          <w:szCs w:val="22"/>
          <w:rtl w:val="0"/>
        </w:rPr>
        <w:t xml:space="preserve">” (McNeilage et al 2023, p.6).</w:t>
      </w:r>
    </w:p>
    <w:p w:rsidR="00000000" w:rsidDel="00000000" w:rsidP="00000000" w:rsidRDefault="00000000" w:rsidRPr="00000000" w14:paraId="000004C2">
      <w:pPr>
        <w:spacing w:line="480" w:lineRule="auto"/>
        <w:jc w:val="both"/>
        <w:rPr>
          <w:sz w:val="22"/>
          <w:szCs w:val="22"/>
        </w:rPr>
      </w:pPr>
      <w:r w:rsidDel="00000000" w:rsidR="00000000" w:rsidRPr="00000000">
        <w:rPr>
          <w:rtl w:val="0"/>
        </w:rPr>
      </w:r>
    </w:p>
    <w:p w:rsidR="00000000" w:rsidDel="00000000" w:rsidP="00000000" w:rsidRDefault="00000000" w:rsidRPr="00000000" w14:paraId="000004C3">
      <w:pPr>
        <w:pStyle w:val="Heading4"/>
        <w:spacing w:line="480" w:lineRule="auto"/>
        <w:rPr>
          <w:i w:val="0"/>
        </w:rPr>
      </w:pPr>
      <w:bookmarkStart w:colFirst="0" w:colLast="0" w:name="_heading=h.nmf14n" w:id="48"/>
      <w:bookmarkEnd w:id="48"/>
      <w:r w:rsidDel="00000000" w:rsidR="00000000" w:rsidRPr="00000000">
        <w:rPr>
          <w:rtl w:val="0"/>
        </w:rPr>
        <w:t xml:space="preserve">Opioids </w:t>
      </w:r>
      <w:r w:rsidDel="00000000" w:rsidR="00000000" w:rsidRPr="00000000">
        <w:rPr>
          <w:rtl w:val="0"/>
        </w:rPr>
      </w:r>
    </w:p>
    <w:p w:rsidR="00000000" w:rsidDel="00000000" w:rsidP="00000000" w:rsidRDefault="00000000" w:rsidRPr="00000000" w14:paraId="000004C4">
      <w:pPr>
        <w:spacing w:line="480" w:lineRule="auto"/>
        <w:jc w:val="both"/>
        <w:rPr>
          <w:sz w:val="22"/>
          <w:szCs w:val="22"/>
        </w:rPr>
      </w:pPr>
      <w:r w:rsidDel="00000000" w:rsidR="00000000" w:rsidRPr="00000000">
        <w:rPr>
          <w:sz w:val="22"/>
          <w:szCs w:val="22"/>
          <w:rtl w:val="0"/>
        </w:rPr>
        <w:t xml:space="preserve">Opioid withdrawal has been described as “</w:t>
      </w:r>
      <w:r w:rsidDel="00000000" w:rsidR="00000000" w:rsidRPr="00000000">
        <w:rPr>
          <w:i w:val="1"/>
          <w:sz w:val="22"/>
          <w:szCs w:val="22"/>
          <w:rtl w:val="0"/>
        </w:rPr>
        <w:t xml:space="preserve">unpleasant</w:t>
      </w:r>
      <w:r w:rsidDel="00000000" w:rsidR="00000000" w:rsidRPr="00000000">
        <w:rPr>
          <w:sz w:val="22"/>
          <w:szCs w:val="22"/>
          <w:rtl w:val="0"/>
        </w:rPr>
        <w:t xml:space="preserve">”, “</w:t>
      </w:r>
      <w:r w:rsidDel="00000000" w:rsidR="00000000" w:rsidRPr="00000000">
        <w:rPr>
          <w:i w:val="1"/>
          <w:sz w:val="22"/>
          <w:szCs w:val="22"/>
          <w:rtl w:val="0"/>
        </w:rPr>
        <w:t xml:space="preserve">miserable</w:t>
      </w:r>
      <w:r w:rsidDel="00000000" w:rsidR="00000000" w:rsidRPr="00000000">
        <w:rPr>
          <w:sz w:val="22"/>
          <w:szCs w:val="22"/>
          <w:rtl w:val="0"/>
        </w:rPr>
        <w:t xml:space="preserve">” and “</w:t>
      </w:r>
      <w:r w:rsidDel="00000000" w:rsidR="00000000" w:rsidRPr="00000000">
        <w:rPr>
          <w:i w:val="1"/>
          <w:sz w:val="22"/>
          <w:szCs w:val="22"/>
          <w:rtl w:val="0"/>
        </w:rPr>
        <w:t xml:space="preserve">excruciating</w:t>
      </w:r>
      <w:r w:rsidDel="00000000" w:rsidR="00000000" w:rsidRPr="00000000">
        <w:rPr>
          <w:sz w:val="22"/>
          <w:szCs w:val="22"/>
          <w:rtl w:val="0"/>
        </w:rPr>
        <w:t xml:space="preserve">” (Nichols et al 2023 p.7, Kosakowski et al 2022 p.1725). The withdrawal symptoms presented in the literature typically explore the user’s pain level and quality of life (Quinlan et al 2021 p.123, Wu et al 2019 p.795, Kosakowski et al 2022 p.1724).  This is supported in Wu et al’s interviews, with all 38 participants reporting persistent pain and a reduced quality of life (Wu et al 2019, p.795). Of 60 survey respondents, 68% fearing the return of their chronic pain (Quinlan et al 2021, p.123). </w:t>
      </w:r>
    </w:p>
    <w:p w:rsidR="00000000" w:rsidDel="00000000" w:rsidP="00000000" w:rsidRDefault="00000000" w:rsidRPr="00000000" w14:paraId="000004C5">
      <w:pPr>
        <w:spacing w:line="480" w:lineRule="auto"/>
        <w:jc w:val="both"/>
        <w:rPr>
          <w:sz w:val="22"/>
          <w:szCs w:val="22"/>
        </w:rPr>
      </w:pPr>
      <w:r w:rsidDel="00000000" w:rsidR="00000000" w:rsidRPr="00000000">
        <w:rPr>
          <w:rtl w:val="0"/>
        </w:rPr>
      </w:r>
    </w:p>
    <w:p w:rsidR="00000000" w:rsidDel="00000000" w:rsidP="00000000" w:rsidRDefault="00000000" w:rsidRPr="00000000" w14:paraId="000004C6">
      <w:pPr>
        <w:spacing w:line="480" w:lineRule="auto"/>
        <w:jc w:val="both"/>
        <w:rPr>
          <w:sz w:val="22"/>
          <w:szCs w:val="22"/>
        </w:rPr>
      </w:pPr>
      <w:r w:rsidDel="00000000" w:rsidR="00000000" w:rsidRPr="00000000">
        <w:rPr>
          <w:sz w:val="22"/>
          <w:szCs w:val="22"/>
          <w:rtl w:val="0"/>
        </w:rPr>
        <w:t xml:space="preserve">Other withdrawal symptoms associated with these medicines include a decline in the individual’s mental health (Quinlan et al 2021 p.123, Kosakowski et al 2022 p.1724, Yarborough et al 2024). Although anxiety, depression and suicidal ideation were only noted in Kosakowski et al’s findings, Quinlan et al found 80% of participants described significant depression and a further 60% experiencing symptoms of anxiety (Kosakowski et al 2022 p.1724, Quinlan et al 2021 p.123). This is supported by Yarborough et al (2024), whereby 68% of 176 patients report suicidal behaviour during the tapering process. </w:t>
      </w:r>
    </w:p>
    <w:p w:rsidR="00000000" w:rsidDel="00000000" w:rsidP="00000000" w:rsidRDefault="00000000" w:rsidRPr="00000000" w14:paraId="000004C7">
      <w:pPr>
        <w:spacing w:line="480" w:lineRule="auto"/>
        <w:jc w:val="both"/>
        <w:rPr>
          <w:sz w:val="22"/>
          <w:szCs w:val="22"/>
        </w:rPr>
      </w:pPr>
      <w:r w:rsidDel="00000000" w:rsidR="00000000" w:rsidRPr="00000000">
        <w:rPr>
          <w:rtl w:val="0"/>
        </w:rPr>
      </w:r>
    </w:p>
    <w:p w:rsidR="00000000" w:rsidDel="00000000" w:rsidP="00000000" w:rsidRDefault="00000000" w:rsidRPr="00000000" w14:paraId="000004C8">
      <w:pPr>
        <w:pStyle w:val="Heading3"/>
        <w:spacing w:line="480" w:lineRule="auto"/>
        <w:rPr/>
      </w:pPr>
      <w:bookmarkStart w:colFirst="0" w:colLast="0" w:name="_heading=h.37m2jsg" w:id="49"/>
      <w:bookmarkEnd w:id="49"/>
      <w:r w:rsidDel="00000000" w:rsidR="00000000" w:rsidRPr="00000000">
        <w:rPr>
          <w:rtl w:val="0"/>
        </w:rPr>
        <w:t xml:space="preserve">What are the Barriers, Facilitators and Methods of Deprescribing?</w:t>
      </w:r>
    </w:p>
    <w:p w:rsidR="00000000" w:rsidDel="00000000" w:rsidP="00000000" w:rsidRDefault="00000000" w:rsidRPr="00000000" w14:paraId="000004C9">
      <w:pPr>
        <w:spacing w:line="480" w:lineRule="auto"/>
        <w:jc w:val="both"/>
        <w:rPr>
          <w:sz w:val="22"/>
          <w:szCs w:val="22"/>
        </w:rPr>
      </w:pPr>
      <w:r w:rsidDel="00000000" w:rsidR="00000000" w:rsidRPr="00000000">
        <w:rPr>
          <w:sz w:val="22"/>
          <w:szCs w:val="22"/>
          <w:rtl w:val="0"/>
        </w:rPr>
        <w:t xml:space="preserve">The third theme explores the methods of tapering and deprescribing. Deprescribing is defined as “</w:t>
      </w:r>
      <w:r w:rsidDel="00000000" w:rsidR="00000000" w:rsidRPr="00000000">
        <w:rPr>
          <w:i w:val="1"/>
          <w:sz w:val="22"/>
          <w:szCs w:val="22"/>
          <w:rtl w:val="0"/>
        </w:rPr>
        <w:t xml:space="preserve">the systematic process of discontinuing medications when the harms outweigh the benefit</w:t>
      </w:r>
      <w:r w:rsidDel="00000000" w:rsidR="00000000" w:rsidRPr="00000000">
        <w:rPr>
          <w:sz w:val="22"/>
          <w:szCs w:val="22"/>
          <w:rtl w:val="0"/>
        </w:rPr>
        <w:t xml:space="preserve">” (Hamilton et al 2022, p.4083). The barriers and facilitators to deprescribing are also assessed. Thirteen studies identified barriers and facilitators for the withdrawal or managed tapering of prescribed medicines (Liebrenz et al 2015, Fixsen 2015, Lader and Kyriacou 2016, Sirdifield et al 2017, Kinnaird et al 2019, Langford et al 2021, Kosakowski et al 2022, Hamilton et al 2022, Van Leeuwen et al 2022, Takashima et al 2022, Nichols et al 2023, Davies et al 2023, Seddon et al 2024). These will be discussed in turn. </w:t>
      </w:r>
    </w:p>
    <w:p w:rsidR="00000000" w:rsidDel="00000000" w:rsidP="00000000" w:rsidRDefault="00000000" w:rsidRPr="00000000" w14:paraId="000004CA">
      <w:pPr>
        <w:pStyle w:val="Heading4"/>
        <w:spacing w:line="480" w:lineRule="auto"/>
        <w:rPr/>
      </w:pPr>
      <w:r w:rsidDel="00000000" w:rsidR="00000000" w:rsidRPr="00000000">
        <w:rPr>
          <w:rtl w:val="0"/>
        </w:rPr>
        <w:t xml:space="preserve">Barriers to Withdrawal</w:t>
      </w:r>
    </w:p>
    <w:p w:rsidR="00000000" w:rsidDel="00000000" w:rsidP="00000000" w:rsidRDefault="00000000" w:rsidRPr="00000000" w14:paraId="000004CB">
      <w:pPr>
        <w:spacing w:line="480" w:lineRule="auto"/>
        <w:jc w:val="both"/>
        <w:rPr>
          <w:sz w:val="22"/>
          <w:szCs w:val="22"/>
        </w:rPr>
      </w:pPr>
      <w:r w:rsidDel="00000000" w:rsidR="00000000" w:rsidRPr="00000000">
        <w:rPr>
          <w:sz w:val="22"/>
          <w:szCs w:val="22"/>
          <w:rtl w:val="0"/>
        </w:rPr>
        <w:t xml:space="preserve">Concerns surrounding relapse, for example increased pain levels or return of depressive symptoms are well noted in the literature (Uhrbrand et al 2020 p.559, Langford et al 2021, Davies et al 2023 p.3, Nichols et al 2023 p.7, Van Leeuwen et al 2022 p.963). This extends to implications for their overall quality of life, whereby continued use can support the ability to fulfil their social obligations without pain or discomfort, and the concerns increased pain may have on the individual’s social life (Uhrbrand et al 2020, p.559). The loss and absence of pain management, and perceived lack of alternatives were noted in five studies (Dekker et al 2020 p.186, Sirdifield et al 2017, Uhrbrand et al 2020, Langford et al 2021, Davies et al 2023, Seddon et al 2024 p.3). This group are likely to identify as dependent on their medication (Uhrband et al 2020 p. 560, Sirdifield et al 2017 p.10).</w:t>
      </w:r>
    </w:p>
    <w:p w:rsidR="00000000" w:rsidDel="00000000" w:rsidP="00000000" w:rsidRDefault="00000000" w:rsidRPr="00000000" w14:paraId="000004CC">
      <w:pPr>
        <w:spacing w:line="480" w:lineRule="auto"/>
        <w:jc w:val="both"/>
        <w:rPr>
          <w:sz w:val="22"/>
          <w:szCs w:val="22"/>
        </w:rPr>
      </w:pPr>
      <w:r w:rsidDel="00000000" w:rsidR="00000000" w:rsidRPr="00000000">
        <w:rPr>
          <w:rtl w:val="0"/>
        </w:rPr>
      </w:r>
    </w:p>
    <w:p w:rsidR="00000000" w:rsidDel="00000000" w:rsidP="00000000" w:rsidRDefault="00000000" w:rsidRPr="00000000" w14:paraId="000004CD">
      <w:pPr>
        <w:spacing w:line="480" w:lineRule="auto"/>
        <w:jc w:val="both"/>
        <w:rPr>
          <w:sz w:val="22"/>
          <w:szCs w:val="22"/>
        </w:rPr>
      </w:pPr>
      <w:r w:rsidDel="00000000" w:rsidR="00000000" w:rsidRPr="00000000">
        <w:rPr>
          <w:sz w:val="22"/>
          <w:szCs w:val="22"/>
          <w:rtl w:val="0"/>
        </w:rPr>
        <w:t xml:space="preserve">The identification of a dependence and fear of experiencing withdrawal symptoms were also noted. Those who have previously attempted to taper and experienced these symptoms are particularly resistant to tapering and withdrawal (Sirdifield et al 2017 p.11, Uhrbrand et al 2020 p.560, Davies et al 2023 p.4, Van Leeuwen et al 2022 p.964, Takashima et al 2022 p.4). The severity of withdrawal symptoms experienced by this patient group has impacted their perceived ability to cope with a reduction, resulting in a fear of doing so (Van Leeuwen et al 2022 p.966, Sirdifield et al 2017 p.10). It is important to note some have no intention to taper. Those who are experiencing social problems such as ongoing health concerns, relational issues, social isolation, and financial concerns can also be resistant to tapering (Nichols et al 2023 p.7, Davies et al 2023 p.4, Hamilton et al 2022 p.4086, Sirdifield et al 2017 p.12). </w:t>
      </w:r>
    </w:p>
    <w:p w:rsidR="00000000" w:rsidDel="00000000" w:rsidP="00000000" w:rsidRDefault="00000000" w:rsidRPr="00000000" w14:paraId="000004CE">
      <w:pPr>
        <w:spacing w:line="480" w:lineRule="auto"/>
        <w:jc w:val="both"/>
        <w:rPr>
          <w:sz w:val="22"/>
          <w:szCs w:val="22"/>
        </w:rPr>
      </w:pPr>
      <w:r w:rsidDel="00000000" w:rsidR="00000000" w:rsidRPr="00000000">
        <w:rPr>
          <w:rtl w:val="0"/>
        </w:rPr>
      </w:r>
    </w:p>
    <w:p w:rsidR="00000000" w:rsidDel="00000000" w:rsidP="00000000" w:rsidRDefault="00000000" w:rsidRPr="00000000" w14:paraId="000004CF">
      <w:pPr>
        <w:spacing w:line="480" w:lineRule="auto"/>
        <w:jc w:val="both"/>
        <w:rPr>
          <w:sz w:val="22"/>
          <w:szCs w:val="22"/>
        </w:rPr>
      </w:pPr>
      <w:r w:rsidDel="00000000" w:rsidR="00000000" w:rsidRPr="00000000">
        <w:rPr>
          <w:sz w:val="22"/>
          <w:szCs w:val="22"/>
          <w:rtl w:val="0"/>
        </w:rPr>
        <w:t xml:space="preserve">Perceived limitations and inaccessibility of healthcare provision was noted in seven papers (Sirdifield et al 2017, Kinnaird et al 2019, Langford et al 2021, Uhrbrand et al 2020, Hamilton et al 2022, Nichols et al 2023, Davies et al 2023). There is an emphasis on the consultation experience when discussing tapering. Consultation times were described as “</w:t>
      </w:r>
      <w:r w:rsidDel="00000000" w:rsidR="00000000" w:rsidRPr="00000000">
        <w:rPr>
          <w:i w:val="1"/>
          <w:sz w:val="22"/>
          <w:szCs w:val="22"/>
          <w:rtl w:val="0"/>
        </w:rPr>
        <w:t xml:space="preserve">short</w:t>
      </w:r>
      <w:r w:rsidDel="00000000" w:rsidR="00000000" w:rsidRPr="00000000">
        <w:rPr>
          <w:sz w:val="22"/>
          <w:szCs w:val="22"/>
          <w:rtl w:val="0"/>
        </w:rPr>
        <w:t xml:space="preserve">” and “</w:t>
      </w:r>
      <w:r w:rsidDel="00000000" w:rsidR="00000000" w:rsidRPr="00000000">
        <w:rPr>
          <w:i w:val="1"/>
          <w:sz w:val="22"/>
          <w:szCs w:val="22"/>
          <w:rtl w:val="0"/>
        </w:rPr>
        <w:t xml:space="preserve">limited</w:t>
      </w:r>
      <w:r w:rsidDel="00000000" w:rsidR="00000000" w:rsidRPr="00000000">
        <w:rPr>
          <w:sz w:val="22"/>
          <w:szCs w:val="22"/>
          <w:rtl w:val="0"/>
        </w:rPr>
        <w:t xml:space="preserve">”, resulting in a perceived lack of information sharing from practitioners regarding the deprescribing process (Hamilton et al 2022 p.4089, Kinnaird et al 2019 p.9, Davies et al 2023 p.3). Short consultation times limits the effectiveness of communication, resulting in poor patient education and interpersonal communication (Kinnaird et al 2019 p.9, Hamilton et al 2022 p.4088, Kosakoswski et al 2022). </w:t>
      </w:r>
    </w:p>
    <w:p w:rsidR="00000000" w:rsidDel="00000000" w:rsidP="00000000" w:rsidRDefault="00000000" w:rsidRPr="00000000" w14:paraId="000004D0">
      <w:pPr>
        <w:spacing w:line="480" w:lineRule="auto"/>
        <w:jc w:val="both"/>
        <w:rPr>
          <w:sz w:val="22"/>
          <w:szCs w:val="22"/>
        </w:rPr>
      </w:pPr>
      <w:r w:rsidDel="00000000" w:rsidR="00000000" w:rsidRPr="00000000">
        <w:rPr>
          <w:rtl w:val="0"/>
        </w:rPr>
      </w:r>
    </w:p>
    <w:p w:rsidR="00000000" w:rsidDel="00000000" w:rsidP="00000000" w:rsidRDefault="00000000" w:rsidRPr="00000000" w14:paraId="000004D1">
      <w:pPr>
        <w:spacing w:line="480" w:lineRule="auto"/>
        <w:jc w:val="both"/>
        <w:rPr>
          <w:sz w:val="22"/>
          <w:szCs w:val="22"/>
        </w:rPr>
      </w:pPr>
      <w:r w:rsidDel="00000000" w:rsidR="00000000" w:rsidRPr="00000000">
        <w:rPr>
          <w:sz w:val="22"/>
          <w:szCs w:val="22"/>
          <w:rtl w:val="0"/>
        </w:rPr>
        <w:t xml:space="preserve">As a result, Kinnaird et al (2019, p.8) found lay information is sought online about risks associated with codeine medicine and are motivated towards risk avoidance.  This lack of support can reinforce perceived weakness in the individual coping mechanisms and self-efficacy (Van Leeuwen et al 2022, p.967). Time constraints have also led to the negative perception of healthcare professionals, with one participant in Davies et al’s interviews describing their practitioner as unhelpful and unsupportive (Davies et al 2023, p. 3). Patients who perceive their healthcare practitioners in this way can result in feeing stigmatised, placing further barriers to tapering (Davies et al 2023, p.3). This stigmatisation was reflected in Langford et al’s 2021 enquiry, and has led to disengagement from health services, medical mistrust, and isolation (Kinnaird et al 2019, p.6).</w:t>
      </w:r>
    </w:p>
    <w:p w:rsidR="00000000" w:rsidDel="00000000" w:rsidP="00000000" w:rsidRDefault="00000000" w:rsidRPr="00000000" w14:paraId="000004D2">
      <w:pPr>
        <w:spacing w:line="480" w:lineRule="auto"/>
        <w:jc w:val="both"/>
        <w:rPr>
          <w:sz w:val="22"/>
          <w:szCs w:val="22"/>
        </w:rPr>
      </w:pPr>
      <w:r w:rsidDel="00000000" w:rsidR="00000000" w:rsidRPr="00000000">
        <w:rPr>
          <w:rtl w:val="0"/>
        </w:rPr>
      </w:r>
    </w:p>
    <w:p w:rsidR="00000000" w:rsidDel="00000000" w:rsidP="00000000" w:rsidRDefault="00000000" w:rsidRPr="00000000" w14:paraId="000004D3">
      <w:pPr>
        <w:spacing w:line="480" w:lineRule="auto"/>
        <w:jc w:val="both"/>
        <w:rPr>
          <w:sz w:val="22"/>
          <w:szCs w:val="22"/>
        </w:rPr>
      </w:pPr>
      <w:r w:rsidDel="00000000" w:rsidR="00000000" w:rsidRPr="00000000">
        <w:rPr>
          <w:sz w:val="22"/>
          <w:szCs w:val="22"/>
          <w:rtl w:val="0"/>
        </w:rPr>
        <w:t xml:space="preserve">The perceived lack of alternatives were also highlighted. As discussed earlier, prescribed medicines are considered more effective than other interventions (Sirdifield et al 2017 p.11, Hamilton et al 2022 p.4085). This perceived lack of alternatives encourages some to continue using their medications (Nichols et al 2023 p.7, Hamilton et al 2022 p.4085, Davies et al 2023 p.3). If there are alternative interventions, they can be difficult to access. Difficulties accessing services such as physiotherapy or psychological services were noted by Hamilton et al (2022, p.4088), either due to ineligibility or the financial constraints of private options. Some participants were referred to inappropriate services, such as substance misuse clinics with no taper plan and a long waiting list for inpatient detox (Davies et al 2023, p.5).</w:t>
      </w:r>
    </w:p>
    <w:p w:rsidR="00000000" w:rsidDel="00000000" w:rsidP="00000000" w:rsidRDefault="00000000" w:rsidRPr="00000000" w14:paraId="000004D4">
      <w:pPr>
        <w:spacing w:line="480" w:lineRule="auto"/>
        <w:jc w:val="both"/>
        <w:rPr>
          <w:sz w:val="22"/>
          <w:szCs w:val="22"/>
        </w:rPr>
      </w:pPr>
      <w:r w:rsidDel="00000000" w:rsidR="00000000" w:rsidRPr="00000000">
        <w:rPr>
          <w:sz w:val="22"/>
          <w:szCs w:val="22"/>
          <w:rtl w:val="0"/>
        </w:rPr>
        <w:t xml:space="preserve"> </w:t>
      </w:r>
    </w:p>
    <w:p w:rsidR="00000000" w:rsidDel="00000000" w:rsidP="00000000" w:rsidRDefault="00000000" w:rsidRPr="00000000" w14:paraId="000004D5">
      <w:pPr>
        <w:pStyle w:val="Heading4"/>
        <w:spacing w:line="480" w:lineRule="auto"/>
        <w:rPr/>
      </w:pPr>
      <w:r w:rsidDel="00000000" w:rsidR="00000000" w:rsidRPr="00000000">
        <w:rPr>
          <w:rtl w:val="0"/>
        </w:rPr>
        <w:t xml:space="preserve">Facilitators to Withdrawal</w:t>
      </w:r>
    </w:p>
    <w:p w:rsidR="00000000" w:rsidDel="00000000" w:rsidP="00000000" w:rsidRDefault="00000000" w:rsidRPr="00000000" w14:paraId="000004D6">
      <w:pPr>
        <w:spacing w:line="480" w:lineRule="auto"/>
        <w:jc w:val="both"/>
        <w:rPr>
          <w:sz w:val="22"/>
          <w:szCs w:val="22"/>
        </w:rPr>
      </w:pPr>
      <w:r w:rsidDel="00000000" w:rsidR="00000000" w:rsidRPr="00000000">
        <w:rPr>
          <w:sz w:val="22"/>
          <w:szCs w:val="22"/>
          <w:rtl w:val="0"/>
        </w:rPr>
        <w:t xml:space="preserve">The perceived inefficacy and the understanding medicines do not address underlying causes of issues, such as pain or insomnia is often identified as a contributing factor towards reduction (Takamine et al 2024, p.250). This perception of medicines, alongside the association of side effects and the risk of dependence, are noted as motivating factors towards tapering (Uhrbrand et al 2020 p.560, Nichols et al 2023 p.8, Davies et al 2023 p.4). Furthermore, general patient readiness, motivation, and willingness to engage in the tapering process is an essential component of tapering (Davies et al 2023 p.5, Davies et al 2024 p.6, Takamine et al 2024 p.250). </w:t>
      </w:r>
    </w:p>
    <w:p w:rsidR="00000000" w:rsidDel="00000000" w:rsidP="00000000" w:rsidRDefault="00000000" w:rsidRPr="00000000" w14:paraId="000004D7">
      <w:pPr>
        <w:spacing w:line="480" w:lineRule="auto"/>
        <w:jc w:val="both"/>
        <w:rPr>
          <w:sz w:val="22"/>
          <w:szCs w:val="22"/>
        </w:rPr>
      </w:pPr>
      <w:r w:rsidDel="00000000" w:rsidR="00000000" w:rsidRPr="00000000">
        <w:rPr>
          <w:rtl w:val="0"/>
        </w:rPr>
      </w:r>
    </w:p>
    <w:p w:rsidR="00000000" w:rsidDel="00000000" w:rsidP="00000000" w:rsidRDefault="00000000" w:rsidRPr="00000000" w14:paraId="000004D8">
      <w:pPr>
        <w:spacing w:line="480" w:lineRule="auto"/>
        <w:jc w:val="both"/>
        <w:rPr>
          <w:sz w:val="22"/>
          <w:szCs w:val="22"/>
        </w:rPr>
      </w:pPr>
      <w:r w:rsidDel="00000000" w:rsidR="00000000" w:rsidRPr="00000000">
        <w:rPr>
          <w:sz w:val="22"/>
          <w:szCs w:val="22"/>
          <w:rtl w:val="0"/>
        </w:rPr>
        <w:t xml:space="preserve">Those who have a history of drug dependency are often wary of forming a dependence to prescription medicines and has resulted in a reduction in their dose (Hamilton et al 2022 p.4089, Nichols et al 2023 p.8, Takamine et al 2024 p.251). Stigmatisation associated with drug dependence has a negative impact on the patient’s mental health, which has motivated one participant in Hamiton et al’s study to reduce their opioid use (Hamilton et al 2022, p.4089). Other personal goals, such as the desire to start a family, socialise more or start work are also motivators to deprescribing (Hamilton et al 2022, p.4089). </w:t>
      </w:r>
    </w:p>
    <w:p w:rsidR="00000000" w:rsidDel="00000000" w:rsidP="00000000" w:rsidRDefault="00000000" w:rsidRPr="00000000" w14:paraId="000004D9">
      <w:pPr>
        <w:spacing w:line="480" w:lineRule="auto"/>
        <w:jc w:val="both"/>
        <w:rPr>
          <w:sz w:val="22"/>
          <w:szCs w:val="22"/>
        </w:rPr>
      </w:pPr>
      <w:r w:rsidDel="00000000" w:rsidR="00000000" w:rsidRPr="00000000">
        <w:rPr>
          <w:rtl w:val="0"/>
        </w:rPr>
      </w:r>
    </w:p>
    <w:p w:rsidR="00000000" w:rsidDel="00000000" w:rsidP="00000000" w:rsidRDefault="00000000" w:rsidRPr="00000000" w14:paraId="000004DA">
      <w:pPr>
        <w:spacing w:line="480" w:lineRule="auto"/>
        <w:jc w:val="both"/>
        <w:rPr>
          <w:sz w:val="22"/>
          <w:szCs w:val="22"/>
        </w:rPr>
      </w:pPr>
      <w:r w:rsidDel="00000000" w:rsidR="00000000" w:rsidRPr="00000000">
        <w:rPr>
          <w:sz w:val="22"/>
          <w:szCs w:val="22"/>
          <w:rtl w:val="0"/>
        </w:rPr>
        <w:t xml:space="preserve">Supportive peers, family members and practitioners are considered important, and can foster  positive experiences during deprescribing whilst improving patient outcomes (Kosakowski et al 2022, Uhrbrand et al 2020 p.560, Davies et al 2023 p.5, Davies et al 2024 p.6, Takamine et al 2024 p.250, Kinnaird et al 2019, Kosakowski et al 2022, Van Leeuwen et al 2022 p.966, Nichols et al 2023 p.7, Davies et al 2024 p.4, Takamine et al 2024 p.251). Social support is vital in the deprescribing process (Van Leeuwen et al 2022 p.966, Hamilton et al 2022 p.4088, Takamine et al 2024 p.252). Those who experience positive support are more likely to request and work towards a reduction in their medication use and is considered particularly important in the process (Uhrbrand et al 2020 p.560, Davies et al 2023 p.5, Davies et al 2024 p.6, Takamine et al 2024 p.250). This support has been described as a “</w:t>
      </w:r>
      <w:r w:rsidDel="00000000" w:rsidR="00000000" w:rsidRPr="00000000">
        <w:rPr>
          <w:i w:val="1"/>
          <w:sz w:val="22"/>
          <w:szCs w:val="22"/>
          <w:rtl w:val="0"/>
        </w:rPr>
        <w:t xml:space="preserve">safety net</w:t>
      </w:r>
      <w:r w:rsidDel="00000000" w:rsidR="00000000" w:rsidRPr="00000000">
        <w:rPr>
          <w:sz w:val="22"/>
          <w:szCs w:val="22"/>
          <w:rtl w:val="0"/>
        </w:rPr>
        <w:t xml:space="preserve">” protecting against relapse (Van Leeuwen et al 2022, p.967), and not only physically supports the tapering process, but also the mental health challenges associated with it (Hamilton et al 2022, p.4088). Takamine et al (2024, p.251) found one participant sought support from their Church and engaged in spiritual practices. </w:t>
      </w:r>
    </w:p>
    <w:p w:rsidR="00000000" w:rsidDel="00000000" w:rsidP="00000000" w:rsidRDefault="00000000" w:rsidRPr="00000000" w14:paraId="000004DB">
      <w:pPr>
        <w:spacing w:line="480" w:lineRule="auto"/>
        <w:jc w:val="both"/>
        <w:rPr>
          <w:sz w:val="22"/>
          <w:szCs w:val="22"/>
        </w:rPr>
      </w:pPr>
      <w:r w:rsidDel="00000000" w:rsidR="00000000" w:rsidRPr="00000000">
        <w:rPr>
          <w:rtl w:val="0"/>
        </w:rPr>
      </w:r>
    </w:p>
    <w:p w:rsidR="00000000" w:rsidDel="00000000" w:rsidP="00000000" w:rsidRDefault="00000000" w:rsidRPr="00000000" w14:paraId="000004DC">
      <w:pPr>
        <w:spacing w:line="480" w:lineRule="auto"/>
        <w:jc w:val="both"/>
        <w:rPr>
          <w:sz w:val="22"/>
          <w:szCs w:val="22"/>
        </w:rPr>
      </w:pPr>
      <w:r w:rsidDel="00000000" w:rsidR="00000000" w:rsidRPr="00000000">
        <w:rPr>
          <w:sz w:val="22"/>
          <w:szCs w:val="22"/>
          <w:rtl w:val="0"/>
        </w:rPr>
        <w:t xml:space="preserve">Although initially identified as a barrier to deprescribing, the offer of a medically assisted inpatient detox can increase commitment to opioid tapering (Davies et al 2024, p.5). This is due to the perceived knowledge of the staff, alongside the social support from others within the unit (Davies et al 2023, p.6). Referral to a deprescribing service also encourages a reduction (Cooper et al 2023, Kesten et al 2020). </w:t>
      </w:r>
    </w:p>
    <w:p w:rsidR="00000000" w:rsidDel="00000000" w:rsidP="00000000" w:rsidRDefault="00000000" w:rsidRPr="00000000" w14:paraId="000004DD">
      <w:pPr>
        <w:spacing w:line="480" w:lineRule="auto"/>
        <w:jc w:val="both"/>
        <w:rPr>
          <w:sz w:val="22"/>
          <w:szCs w:val="22"/>
        </w:rPr>
      </w:pPr>
      <w:r w:rsidDel="00000000" w:rsidR="00000000" w:rsidRPr="00000000">
        <w:rPr>
          <w:rtl w:val="0"/>
        </w:rPr>
      </w:r>
    </w:p>
    <w:p w:rsidR="00000000" w:rsidDel="00000000" w:rsidP="00000000" w:rsidRDefault="00000000" w:rsidRPr="00000000" w14:paraId="000004DE">
      <w:pPr>
        <w:pStyle w:val="Heading3"/>
        <w:spacing w:line="480" w:lineRule="auto"/>
        <w:rPr/>
      </w:pPr>
      <w:bookmarkStart w:colFirst="0" w:colLast="0" w:name="_heading=h.1mrcu09" w:id="50"/>
      <w:bookmarkEnd w:id="50"/>
      <w:r w:rsidDel="00000000" w:rsidR="00000000" w:rsidRPr="00000000">
        <w:rPr>
          <w:rtl w:val="0"/>
        </w:rPr>
        <w:t xml:space="preserve">Methods of Deprescribing</w:t>
      </w:r>
    </w:p>
    <w:p w:rsidR="00000000" w:rsidDel="00000000" w:rsidP="00000000" w:rsidRDefault="00000000" w:rsidRPr="00000000" w14:paraId="000004DF">
      <w:pPr>
        <w:spacing w:line="480" w:lineRule="auto"/>
        <w:jc w:val="both"/>
        <w:rPr>
          <w:sz w:val="21"/>
          <w:szCs w:val="21"/>
        </w:rPr>
      </w:pPr>
      <w:r w:rsidDel="00000000" w:rsidR="00000000" w:rsidRPr="00000000">
        <w:rPr>
          <w:sz w:val="22"/>
          <w:szCs w:val="22"/>
          <w:rtl w:val="0"/>
        </w:rPr>
        <w:t xml:space="preserve">Methods of deprescribing include deprescribing services, which were identified in two studies (</w:t>
      </w:r>
      <w:r w:rsidDel="00000000" w:rsidR="00000000" w:rsidRPr="00000000">
        <w:rPr>
          <w:sz w:val="21"/>
          <w:szCs w:val="21"/>
          <w:rtl w:val="0"/>
        </w:rPr>
        <w:t xml:space="preserve">Kesten et al 2020, Cooper et al 2023). Other methods include education programmes, “</w:t>
      </w:r>
      <w:r w:rsidDel="00000000" w:rsidR="00000000" w:rsidRPr="00000000">
        <w:rPr>
          <w:i w:val="1"/>
          <w:sz w:val="21"/>
          <w:szCs w:val="21"/>
          <w:rtl w:val="0"/>
        </w:rPr>
        <w:t xml:space="preserve">descripting</w:t>
      </w:r>
      <w:r w:rsidDel="00000000" w:rsidR="00000000" w:rsidRPr="00000000">
        <w:rPr>
          <w:sz w:val="21"/>
          <w:szCs w:val="21"/>
          <w:rtl w:val="0"/>
        </w:rPr>
        <w:t xml:space="preserve">” and psychosocial interventions such as Cognitive Behavioural Therapy (CBT). </w:t>
      </w:r>
    </w:p>
    <w:p w:rsidR="00000000" w:rsidDel="00000000" w:rsidP="00000000" w:rsidRDefault="00000000" w:rsidRPr="00000000" w14:paraId="000004E0">
      <w:pPr>
        <w:spacing w:line="480" w:lineRule="auto"/>
        <w:jc w:val="both"/>
        <w:rPr>
          <w:sz w:val="21"/>
          <w:szCs w:val="21"/>
        </w:rPr>
      </w:pPr>
      <w:r w:rsidDel="00000000" w:rsidR="00000000" w:rsidRPr="00000000">
        <w:rPr>
          <w:rtl w:val="0"/>
        </w:rPr>
      </w:r>
    </w:p>
    <w:p w:rsidR="00000000" w:rsidDel="00000000" w:rsidP="00000000" w:rsidRDefault="00000000" w:rsidRPr="00000000" w14:paraId="000004E1">
      <w:pPr>
        <w:pStyle w:val="Heading4"/>
        <w:spacing w:line="480" w:lineRule="auto"/>
        <w:rPr/>
      </w:pPr>
      <w:r w:rsidDel="00000000" w:rsidR="00000000" w:rsidRPr="00000000">
        <w:rPr>
          <w:rtl w:val="0"/>
        </w:rPr>
        <w:t xml:space="preserve">Deprescribing and Deprescribing Services</w:t>
      </w:r>
    </w:p>
    <w:p w:rsidR="00000000" w:rsidDel="00000000" w:rsidP="00000000" w:rsidRDefault="00000000" w:rsidRPr="00000000" w14:paraId="000004E2">
      <w:pPr>
        <w:spacing w:line="480" w:lineRule="auto"/>
        <w:jc w:val="both"/>
        <w:rPr>
          <w:sz w:val="22"/>
          <w:szCs w:val="22"/>
        </w:rPr>
      </w:pPr>
      <w:r w:rsidDel="00000000" w:rsidR="00000000" w:rsidRPr="00000000">
        <w:rPr>
          <w:sz w:val="22"/>
          <w:szCs w:val="22"/>
          <w:rtl w:val="0"/>
        </w:rPr>
        <w:t xml:space="preserve">Discontinuation attempts are frequent, often unsuccessful and patients often preferred a slower reduction (Liebrenz et al 2016, p.5). A gradual approach is typically preferred, often a hyperbolic reduction of 10% of the previous dose (Leibrenz et al 2016 p.5, Takeshima et al 2022 p.4, Cooper et al 2023 p.14). Of the 962 survey respondents, 83.3% used a gradual reduction (Takeshima et al 2022, p.4). As previously explored, 62% of deprescribing services evaluated by Kesten et al used a descripting approach (Kesten et al 2020, p.121). Lader and Kyriacou (2016, p.7) found no evidentiary support for an optimal regimen for benzodiazepine withdrawal, therefore state an individualised approach should be used by healthcare practitioners. When discussing antidepressant withdrawal, tapering strips have been found effective (Groot and Van 2020). After four years, 66% of 483 survey respondents had successfully reduced their dose of a range of antidepressants (Groot and Van 2020). Existing deprescribing services were explored by two studies (Kesten et al 2020, Cooper et al 2023. Kesten et al (2020) evaluated a deprescribing service for opioid users. Cooper et al (2023, p.6) evaluated thirteen services managing antidepressants, benzodiazepines, gabapentinoids, opioids, z-drugs, antipsychotics and other psychotropics. </w:t>
      </w:r>
    </w:p>
    <w:p w:rsidR="00000000" w:rsidDel="00000000" w:rsidP="00000000" w:rsidRDefault="00000000" w:rsidRPr="00000000" w14:paraId="000004E3">
      <w:pPr>
        <w:spacing w:line="480" w:lineRule="auto"/>
        <w:jc w:val="both"/>
        <w:rPr>
          <w:sz w:val="22"/>
          <w:szCs w:val="22"/>
        </w:rPr>
      </w:pPr>
      <w:r w:rsidDel="00000000" w:rsidR="00000000" w:rsidRPr="00000000">
        <w:rPr>
          <w:rtl w:val="0"/>
        </w:rPr>
      </w:r>
    </w:p>
    <w:p w:rsidR="00000000" w:rsidDel="00000000" w:rsidP="00000000" w:rsidRDefault="00000000" w:rsidRPr="00000000" w14:paraId="000004E4">
      <w:pPr>
        <w:spacing w:line="480" w:lineRule="auto"/>
        <w:jc w:val="both"/>
        <w:rPr>
          <w:sz w:val="22"/>
          <w:szCs w:val="22"/>
        </w:rPr>
      </w:pPr>
      <w:r w:rsidDel="00000000" w:rsidR="00000000" w:rsidRPr="00000000">
        <w:rPr>
          <w:sz w:val="22"/>
          <w:szCs w:val="22"/>
          <w:rtl w:val="0"/>
        </w:rPr>
        <w:t xml:space="preserve">Deprescribing services are typically established by healthcare professionals who have specialist interest in prescribed drug dependence, due to the absence of specific support (Cooper et al 2023, p.6). Referrals can be made by professionals such as GPs, or specialists from secondary care (Kesten et al 2020 p.112, Cooper et al 2023 p.6). Individuals can also self-refer (Cooper et al 2023, p.6). Initial assessments aim to build a rapport with the patient, enabling project workers to better understand their patient’s concerns (Kesten et al 2020, p.123). In Cooper et al’s evaluations, project workers explore their patient’s current and historic medication use, current psychosocial and medical circumstances, and the motivation for accessing treatment services (Cooper et al 2023, p.5). The importance of building a rapport early in treatment, with patients describing project workers as encouraging, motivating and kind (Kesten et al 2020, p.125).  Appointments were described as flexible and individualised, emphasising shared decision making (Kesten et al 2020 p.121, Cooper et al 2023 p.14). </w:t>
      </w:r>
    </w:p>
    <w:p w:rsidR="00000000" w:rsidDel="00000000" w:rsidP="00000000" w:rsidRDefault="00000000" w:rsidRPr="00000000" w14:paraId="000004E5">
      <w:pPr>
        <w:spacing w:line="480" w:lineRule="auto"/>
        <w:jc w:val="both"/>
        <w:rPr>
          <w:sz w:val="22"/>
          <w:szCs w:val="22"/>
        </w:rPr>
      </w:pPr>
      <w:r w:rsidDel="00000000" w:rsidR="00000000" w:rsidRPr="00000000">
        <w:rPr>
          <w:rtl w:val="0"/>
        </w:rPr>
      </w:r>
    </w:p>
    <w:p w:rsidR="00000000" w:rsidDel="00000000" w:rsidP="00000000" w:rsidRDefault="00000000" w:rsidRPr="00000000" w14:paraId="000004E6">
      <w:pPr>
        <w:spacing w:line="480" w:lineRule="auto"/>
        <w:jc w:val="both"/>
        <w:rPr>
          <w:sz w:val="22"/>
          <w:szCs w:val="22"/>
        </w:rPr>
      </w:pPr>
      <w:r w:rsidDel="00000000" w:rsidR="00000000" w:rsidRPr="00000000">
        <w:rPr>
          <w:sz w:val="22"/>
          <w:szCs w:val="22"/>
          <w:rtl w:val="0"/>
        </w:rPr>
        <w:t xml:space="preserve">Descripting was used in 62% of services (Kesten et al 2020, p.121). These tailored tapering plans included dose reductions, allowing for stabilisation between doses, with regular monitoring appointments. This choice motivated by emerging side effects and withdrawal symptoms (Cooper et al 2023 p.6 – 16, Kesten et al 2020 p.124). Due to the lack of official guidance, deprescribing was practiced with caution, and tolerability of each reduction was assessed individually (Cooper et al 2023, p.15). </w:t>
      </w:r>
    </w:p>
    <w:p w:rsidR="00000000" w:rsidDel="00000000" w:rsidP="00000000" w:rsidRDefault="00000000" w:rsidRPr="00000000" w14:paraId="000004E7">
      <w:pPr>
        <w:spacing w:line="480" w:lineRule="auto"/>
        <w:jc w:val="both"/>
        <w:rPr>
          <w:sz w:val="22"/>
          <w:szCs w:val="22"/>
        </w:rPr>
      </w:pPr>
      <w:r w:rsidDel="00000000" w:rsidR="00000000" w:rsidRPr="00000000">
        <w:rPr>
          <w:rtl w:val="0"/>
        </w:rPr>
      </w:r>
    </w:p>
    <w:p w:rsidR="00000000" w:rsidDel="00000000" w:rsidP="00000000" w:rsidRDefault="00000000" w:rsidRPr="00000000" w14:paraId="000004E8">
      <w:pPr>
        <w:spacing w:line="480" w:lineRule="auto"/>
        <w:jc w:val="both"/>
        <w:rPr>
          <w:sz w:val="22"/>
          <w:szCs w:val="22"/>
        </w:rPr>
      </w:pPr>
      <w:r w:rsidDel="00000000" w:rsidR="00000000" w:rsidRPr="00000000">
        <w:rPr>
          <w:sz w:val="22"/>
          <w:szCs w:val="22"/>
          <w:rtl w:val="0"/>
        </w:rPr>
        <w:t xml:space="preserve">Cooper et al (2023, p.17) note the importance of lived experience, not only to provide peer support, but to support practitioners on tapering and withdrawal symptoms due to the lack of specific guidance. Information sharing was considered an important aspect of deprescribing, where medication beliefs can be challenged, for example beliefs about side effects (Cooper et al 2023, p.14). These concerns and misinformation are addressed, using Motivational Interviewing techniques (Cooper et al 2023, p.12-14). </w:t>
      </w:r>
    </w:p>
    <w:p w:rsidR="00000000" w:rsidDel="00000000" w:rsidP="00000000" w:rsidRDefault="00000000" w:rsidRPr="00000000" w14:paraId="000004E9">
      <w:pPr>
        <w:spacing w:line="480" w:lineRule="auto"/>
        <w:jc w:val="both"/>
        <w:rPr>
          <w:sz w:val="22"/>
          <w:szCs w:val="22"/>
        </w:rPr>
      </w:pPr>
      <w:r w:rsidDel="00000000" w:rsidR="00000000" w:rsidRPr="00000000">
        <w:rPr>
          <w:rtl w:val="0"/>
        </w:rPr>
      </w:r>
    </w:p>
    <w:p w:rsidR="00000000" w:rsidDel="00000000" w:rsidP="00000000" w:rsidRDefault="00000000" w:rsidRPr="00000000" w14:paraId="000004EA">
      <w:pPr>
        <w:spacing w:line="480" w:lineRule="auto"/>
        <w:jc w:val="both"/>
        <w:rPr>
          <w:sz w:val="22"/>
          <w:szCs w:val="22"/>
        </w:rPr>
      </w:pPr>
      <w:r w:rsidDel="00000000" w:rsidR="00000000" w:rsidRPr="00000000">
        <w:rPr>
          <w:sz w:val="22"/>
          <w:szCs w:val="22"/>
          <w:rtl w:val="0"/>
        </w:rPr>
        <w:t xml:space="preserve">Practical support was also offered (Cooper et al 2023 p.6, Kesten et al 2020 p.123). Pain management workbooks were used by 74% of Kesten et al’s participants and were considered particularly useful (Kesten et al 2020, p.123). Other practical and person centred approached include strengths-based analysis, reassurance around withdrawal symptoms, and their transient nature. Further support in dealing with setbacks and working towards improving self-esteem was also identified as a key methodology (Cooper et al 2023 p.6, Kesten et al 2020 p.124). </w:t>
      </w:r>
    </w:p>
    <w:p w:rsidR="00000000" w:rsidDel="00000000" w:rsidP="00000000" w:rsidRDefault="00000000" w:rsidRPr="00000000" w14:paraId="000004EB">
      <w:pPr>
        <w:spacing w:line="480" w:lineRule="auto"/>
        <w:jc w:val="both"/>
        <w:rPr>
          <w:sz w:val="22"/>
          <w:szCs w:val="22"/>
        </w:rPr>
      </w:pPr>
      <w:r w:rsidDel="00000000" w:rsidR="00000000" w:rsidRPr="00000000">
        <w:rPr>
          <w:rtl w:val="0"/>
        </w:rPr>
      </w:r>
    </w:p>
    <w:p w:rsidR="00000000" w:rsidDel="00000000" w:rsidP="00000000" w:rsidRDefault="00000000" w:rsidRPr="00000000" w14:paraId="000004EC">
      <w:pPr>
        <w:spacing w:line="480" w:lineRule="auto"/>
        <w:jc w:val="both"/>
        <w:rPr>
          <w:sz w:val="22"/>
          <w:szCs w:val="22"/>
        </w:rPr>
      </w:pPr>
      <w:r w:rsidDel="00000000" w:rsidR="00000000" w:rsidRPr="00000000">
        <w:rPr>
          <w:sz w:val="22"/>
          <w:szCs w:val="22"/>
          <w:rtl w:val="0"/>
        </w:rPr>
        <w:t xml:space="preserve">A variety of alternative interventions were utilised. Holistic approaches emphasises the importance of support to manage underlying social concerns (Cooper et al 2023 p.9, Kesten et al 2020 p.124). Project workers engaged patients in mindful movement and physical activity during appointments, for example pacing and relaxation (Kesten et al 2020, p.121). Exercise planning for outside of service was used by 53% of interviewees (Kesten et al 2020, p.123). Both evaluations emphasised sleep hygiene (Kesten et al 2020 p.123, Cooper et al 2024 p.9). </w:t>
      </w:r>
    </w:p>
    <w:p w:rsidR="00000000" w:rsidDel="00000000" w:rsidP="00000000" w:rsidRDefault="00000000" w:rsidRPr="00000000" w14:paraId="000004ED">
      <w:pPr>
        <w:spacing w:line="480" w:lineRule="auto"/>
        <w:jc w:val="both"/>
        <w:rPr>
          <w:sz w:val="22"/>
          <w:szCs w:val="22"/>
        </w:rPr>
      </w:pPr>
      <w:r w:rsidDel="00000000" w:rsidR="00000000" w:rsidRPr="00000000">
        <w:rPr>
          <w:sz w:val="22"/>
          <w:szCs w:val="22"/>
          <w:rtl w:val="0"/>
        </w:rPr>
        <w:t xml:space="preserve">There were both similarities and differences in what was considered a successful outcome. Both evaluations considered a reduction of medication use as a successful outcome, alongside an improved quality of life (Kesten et al 2020 p.121, Cooper et al 2023 p.17). Kesten et al (2020, p.121) also consider an increased awareness and understanding of pain as a successful outcome, with Cooper et al (2023, p.17) suggesting the individual’s ability to manage their life stressors without or a reduced medication use as a success. These “</w:t>
      </w:r>
      <w:r w:rsidDel="00000000" w:rsidR="00000000" w:rsidRPr="00000000">
        <w:rPr>
          <w:i w:val="1"/>
          <w:sz w:val="22"/>
          <w:szCs w:val="22"/>
          <w:rtl w:val="0"/>
        </w:rPr>
        <w:t xml:space="preserve">successful outcomes</w:t>
      </w:r>
      <w:r w:rsidDel="00000000" w:rsidR="00000000" w:rsidRPr="00000000">
        <w:rPr>
          <w:sz w:val="22"/>
          <w:szCs w:val="22"/>
          <w:rtl w:val="0"/>
        </w:rPr>
        <w:t xml:space="preserve">” are individual and subjective to each patient (Cooper et al 2023, p.18). </w:t>
      </w:r>
    </w:p>
    <w:p w:rsidR="00000000" w:rsidDel="00000000" w:rsidP="00000000" w:rsidRDefault="00000000" w:rsidRPr="00000000" w14:paraId="000004EE">
      <w:pPr>
        <w:spacing w:line="480" w:lineRule="auto"/>
        <w:jc w:val="both"/>
        <w:rPr>
          <w:sz w:val="22"/>
          <w:szCs w:val="22"/>
        </w:rPr>
      </w:pPr>
      <w:r w:rsidDel="00000000" w:rsidR="00000000" w:rsidRPr="00000000">
        <w:rPr>
          <w:rtl w:val="0"/>
        </w:rPr>
      </w:r>
    </w:p>
    <w:p w:rsidR="00000000" w:rsidDel="00000000" w:rsidP="00000000" w:rsidRDefault="00000000" w:rsidRPr="00000000" w14:paraId="000004EF">
      <w:pPr>
        <w:spacing w:line="480" w:lineRule="auto"/>
        <w:jc w:val="both"/>
        <w:rPr>
          <w:sz w:val="22"/>
          <w:szCs w:val="22"/>
        </w:rPr>
      </w:pPr>
      <w:r w:rsidDel="00000000" w:rsidR="00000000" w:rsidRPr="00000000">
        <w:rPr>
          <w:sz w:val="22"/>
          <w:szCs w:val="22"/>
          <w:rtl w:val="0"/>
        </w:rPr>
        <w:t xml:space="preserve">Further research has examined the feasibility of deprescribing services (Magee et al 2021, Coe et al 2023, Read et al 2023, McDonald et al 2024). Key ideas within the literature include peer led interventions, counselling and mental health support, and informative literature (Read et al 2023 p.3, Coe et al 2023 p.7, McDonald et al 2024 p.116, Magee et al 2021 p.6). Other approaches to withdrawal management include faith-based practices, nutritional support, and sleep hygiene (Coe et al 2023 p.7, Read et al 2023 p.3). This will be explored in the following section. </w:t>
      </w:r>
    </w:p>
    <w:p w:rsidR="00000000" w:rsidDel="00000000" w:rsidP="00000000" w:rsidRDefault="00000000" w:rsidRPr="00000000" w14:paraId="000004F0">
      <w:pPr>
        <w:spacing w:line="480" w:lineRule="auto"/>
        <w:jc w:val="both"/>
        <w:rPr>
          <w:sz w:val="22"/>
          <w:szCs w:val="22"/>
        </w:rPr>
      </w:pPr>
      <w:r w:rsidDel="00000000" w:rsidR="00000000" w:rsidRPr="00000000">
        <w:rPr>
          <w:rtl w:val="0"/>
        </w:rPr>
      </w:r>
    </w:p>
    <w:p w:rsidR="00000000" w:rsidDel="00000000" w:rsidP="00000000" w:rsidRDefault="00000000" w:rsidRPr="00000000" w14:paraId="000004F1">
      <w:pPr>
        <w:pStyle w:val="Heading4"/>
        <w:spacing w:line="480" w:lineRule="auto"/>
        <w:rPr/>
      </w:pPr>
      <w:r w:rsidDel="00000000" w:rsidR="00000000" w:rsidRPr="00000000">
        <w:rPr>
          <w:rtl w:val="0"/>
        </w:rPr>
        <w:t xml:space="preserve">Education</w:t>
      </w:r>
    </w:p>
    <w:p w:rsidR="00000000" w:rsidDel="00000000" w:rsidP="00000000" w:rsidRDefault="00000000" w:rsidRPr="00000000" w14:paraId="000004F2">
      <w:pPr>
        <w:spacing w:line="480" w:lineRule="auto"/>
        <w:jc w:val="both"/>
        <w:rPr>
          <w:sz w:val="22"/>
          <w:szCs w:val="22"/>
        </w:rPr>
      </w:pPr>
      <w:r w:rsidDel="00000000" w:rsidR="00000000" w:rsidRPr="00000000">
        <w:rPr>
          <w:sz w:val="22"/>
          <w:szCs w:val="22"/>
          <w:rtl w:val="0"/>
        </w:rPr>
        <w:t xml:space="preserve">Information sharing is imperative (Matthias et al 2017, p.4). Patients must understand the justification and reason for deprescribing, having their care plan explained effectively, if not created collaboratively (Matthias et al 2017, p.4-7). Knowledgeable staff are a common component across all papers assessing deprescribing service feasibility (Magee et al 2021 p.6, Coe et al 2023 p.6, Read et al 2023 p.3, McDonald et al 2023 p.116, Cooper et al 2023 p.6, Kesten et al 2020 p.112). The requirement for practitioner knowledge has been emphasised, with 49.2% of survey respondents stipulating this for potential deprescribing services (Read et al 2023 p.3). Although there is a preference for evidence based, clinician-led service there is scope for peer-led support (Read et al 2023 p.3, Magee et al 2021 p.6).</w:t>
      </w:r>
    </w:p>
    <w:p w:rsidR="00000000" w:rsidDel="00000000" w:rsidP="00000000" w:rsidRDefault="00000000" w:rsidRPr="00000000" w14:paraId="000004F3">
      <w:pPr>
        <w:spacing w:line="480" w:lineRule="auto"/>
        <w:jc w:val="both"/>
        <w:rPr>
          <w:sz w:val="22"/>
          <w:szCs w:val="22"/>
        </w:rPr>
      </w:pPr>
      <w:r w:rsidDel="00000000" w:rsidR="00000000" w:rsidRPr="00000000">
        <w:rPr>
          <w:rtl w:val="0"/>
        </w:rPr>
      </w:r>
    </w:p>
    <w:p w:rsidR="00000000" w:rsidDel="00000000" w:rsidP="00000000" w:rsidRDefault="00000000" w:rsidRPr="00000000" w14:paraId="000004F4">
      <w:pPr>
        <w:spacing w:line="480" w:lineRule="auto"/>
        <w:jc w:val="both"/>
        <w:rPr>
          <w:sz w:val="22"/>
          <w:szCs w:val="22"/>
        </w:rPr>
      </w:pPr>
      <w:r w:rsidDel="00000000" w:rsidR="00000000" w:rsidRPr="00000000">
        <w:rPr>
          <w:sz w:val="22"/>
          <w:szCs w:val="22"/>
          <w:rtl w:val="0"/>
        </w:rPr>
        <w:t xml:space="preserve">Improving patient knowledge is not a novel concept, as empowering literature explaining harms associated with benzodiazepines were introduced by Tannenbaum et al (2014), noted in Mokhar et al’s 2018 literature review. Self-help interventions dating back to 1994 were identified by Mokhar et al (2018), which led to a reduction in both prescribing and doses (Mokhar et al 2018, Bashir et al 1994, Cormack et al 1994). This has been supported in more contemporary literature, with 74% of deprescribing services using pain management workbooks, (Kesten et al 2020 p.123, Takeshima et al 2022 p.6).Understanding of risks, and experiencing side effects, have been found to motivate patients to reduce their dose, or completely withdraw from their use (Hamiton et al 2022 p.4088, Takamine et al 2024 p.251, Coe et al 2023 p.5, McDonald et al 2024 p.116). </w:t>
      </w:r>
    </w:p>
    <w:p w:rsidR="00000000" w:rsidDel="00000000" w:rsidP="00000000" w:rsidRDefault="00000000" w:rsidRPr="00000000" w14:paraId="000004F5">
      <w:pPr>
        <w:spacing w:line="480" w:lineRule="auto"/>
        <w:jc w:val="both"/>
        <w:rPr>
          <w:sz w:val="22"/>
          <w:szCs w:val="22"/>
        </w:rPr>
      </w:pPr>
      <w:r w:rsidDel="00000000" w:rsidR="00000000" w:rsidRPr="00000000">
        <w:rPr>
          <w:rtl w:val="0"/>
        </w:rPr>
      </w:r>
    </w:p>
    <w:p w:rsidR="00000000" w:rsidDel="00000000" w:rsidP="00000000" w:rsidRDefault="00000000" w:rsidRPr="00000000" w14:paraId="000004F6">
      <w:pPr>
        <w:spacing w:line="480" w:lineRule="auto"/>
        <w:jc w:val="both"/>
        <w:rPr>
          <w:sz w:val="22"/>
          <w:szCs w:val="22"/>
        </w:rPr>
      </w:pPr>
      <w:r w:rsidDel="00000000" w:rsidR="00000000" w:rsidRPr="00000000">
        <w:rPr>
          <w:sz w:val="22"/>
          <w:szCs w:val="22"/>
          <w:rtl w:val="0"/>
        </w:rPr>
        <w:t xml:space="preserve">In one study pertaining to antidepressant withdrawal methods, McDonald et al (2024, p.114) provided 23 adults with the “</w:t>
      </w:r>
      <w:r w:rsidDel="00000000" w:rsidR="00000000" w:rsidRPr="00000000">
        <w:rPr>
          <w:i w:val="1"/>
          <w:sz w:val="22"/>
          <w:szCs w:val="22"/>
          <w:rtl w:val="0"/>
        </w:rPr>
        <w:t xml:space="preserve">Redressing Long-Term Antidepressant Drug Dose</w:t>
      </w:r>
      <w:r w:rsidDel="00000000" w:rsidR="00000000" w:rsidRPr="00000000">
        <w:rPr>
          <w:sz w:val="22"/>
          <w:szCs w:val="22"/>
          <w:rtl w:val="0"/>
        </w:rPr>
        <w:t xml:space="preserve">” (</w:t>
      </w:r>
      <w:r w:rsidDel="00000000" w:rsidR="00000000" w:rsidRPr="00000000">
        <w:rPr>
          <w:i w:val="1"/>
          <w:sz w:val="22"/>
          <w:szCs w:val="22"/>
          <w:rtl w:val="0"/>
        </w:rPr>
        <w:t xml:space="preserve">RELEASE</w:t>
      </w:r>
      <w:r w:rsidDel="00000000" w:rsidR="00000000" w:rsidRPr="00000000">
        <w:rPr>
          <w:sz w:val="22"/>
          <w:szCs w:val="22"/>
          <w:rtl w:val="0"/>
        </w:rPr>
        <w:t xml:space="preserve">) resource. This encompassed the latest evidence on antidepressant use, withdrawal symptoms and their management. The </w:t>
      </w:r>
      <w:r w:rsidDel="00000000" w:rsidR="00000000" w:rsidRPr="00000000">
        <w:rPr>
          <w:i w:val="1"/>
          <w:sz w:val="22"/>
          <w:szCs w:val="22"/>
          <w:rtl w:val="0"/>
        </w:rPr>
        <w:t xml:space="preserve">RELEASE</w:t>
      </w:r>
      <w:r w:rsidDel="00000000" w:rsidR="00000000" w:rsidRPr="00000000">
        <w:rPr>
          <w:sz w:val="22"/>
          <w:szCs w:val="22"/>
          <w:rtl w:val="0"/>
        </w:rPr>
        <w:t xml:space="preserve"> resource was designed to support informed decisions around continuing or tapering from antidepressants, offering a “</w:t>
      </w:r>
      <w:r w:rsidDel="00000000" w:rsidR="00000000" w:rsidRPr="00000000">
        <w:rPr>
          <w:i w:val="1"/>
          <w:sz w:val="22"/>
          <w:szCs w:val="22"/>
          <w:rtl w:val="0"/>
        </w:rPr>
        <w:t xml:space="preserve">pro versus con</w:t>
      </w:r>
      <w:r w:rsidDel="00000000" w:rsidR="00000000" w:rsidRPr="00000000">
        <w:rPr>
          <w:sz w:val="22"/>
          <w:szCs w:val="22"/>
          <w:rtl w:val="0"/>
        </w:rPr>
        <w:t xml:space="preserve">” comparison (McDonald et al 2024, p.114). The resource was described as easy to understand, fit for purpose and representative of the user’s reality (McDonald et al 2024, p.115-116). Despite most participants experiencing side effects or withdrawal symptoms, they were unaware of their prevalence (McDonald et al 2024, p.115-116). This patient group were motivated to reflect on their use and either consider or actively pursue a reduction, with the </w:t>
      </w:r>
      <w:r w:rsidDel="00000000" w:rsidR="00000000" w:rsidRPr="00000000">
        <w:rPr>
          <w:i w:val="1"/>
          <w:sz w:val="22"/>
          <w:szCs w:val="22"/>
          <w:rtl w:val="0"/>
        </w:rPr>
        <w:t xml:space="preserve">RELEASE</w:t>
      </w:r>
      <w:r w:rsidDel="00000000" w:rsidR="00000000" w:rsidRPr="00000000">
        <w:rPr>
          <w:sz w:val="22"/>
          <w:szCs w:val="22"/>
          <w:rtl w:val="0"/>
        </w:rPr>
        <w:t xml:space="preserve"> source cited as a reason (McDonald et al 2024, p116). The idea increased knowledge gained from informational resources has been reflected in Coe et al’s findings, whereby coaching from a WiserAD nurse resulted in an open discussion with researchers, and was considered valuable (Coe et al 2023, p.5-6). </w:t>
      </w:r>
    </w:p>
    <w:p w:rsidR="00000000" w:rsidDel="00000000" w:rsidP="00000000" w:rsidRDefault="00000000" w:rsidRPr="00000000" w14:paraId="000004F7">
      <w:pPr>
        <w:spacing w:line="480" w:lineRule="auto"/>
        <w:jc w:val="both"/>
        <w:rPr>
          <w:sz w:val="22"/>
          <w:szCs w:val="22"/>
        </w:rPr>
      </w:pPr>
      <w:r w:rsidDel="00000000" w:rsidR="00000000" w:rsidRPr="00000000">
        <w:rPr>
          <w:rtl w:val="0"/>
        </w:rPr>
      </w:r>
    </w:p>
    <w:p w:rsidR="00000000" w:rsidDel="00000000" w:rsidP="00000000" w:rsidRDefault="00000000" w:rsidRPr="00000000" w14:paraId="000004F8">
      <w:pPr>
        <w:pStyle w:val="Heading4"/>
        <w:spacing w:line="480" w:lineRule="auto"/>
        <w:rPr/>
      </w:pPr>
      <w:r w:rsidDel="00000000" w:rsidR="00000000" w:rsidRPr="00000000">
        <w:rPr>
          <w:rtl w:val="0"/>
        </w:rPr>
        <w:t xml:space="preserve">Other Interventions</w:t>
      </w:r>
    </w:p>
    <w:p w:rsidR="00000000" w:rsidDel="00000000" w:rsidP="00000000" w:rsidRDefault="00000000" w:rsidRPr="00000000" w14:paraId="000004F9">
      <w:pPr>
        <w:spacing w:line="480" w:lineRule="auto"/>
        <w:jc w:val="both"/>
        <w:rPr>
          <w:sz w:val="22"/>
          <w:szCs w:val="22"/>
        </w:rPr>
      </w:pPr>
      <w:r w:rsidDel="00000000" w:rsidR="00000000" w:rsidRPr="00000000">
        <w:rPr>
          <w:sz w:val="22"/>
          <w:szCs w:val="22"/>
          <w:rtl w:val="0"/>
        </w:rPr>
        <w:t xml:space="preserve">Psychological services such as Cognitive Behavioural Therapy (CBT) is valued and can ease the tapering process (Takamine et al 2024 p.251, Davies et al p.6, Hamilton et al 2022 p.4089, Takashima et al 2022 p.5). In their literature review, Lader and Karicou (2016, p.7) report 35% of benzodiazepine users maintained long term abstinence in a fifteen-month period when accessing psychotherapy, compared to 15% of patients who did not. Although there was no advantage over individualised therapy, group therapy could be useful in managing benzodiazepine use due to the peer support element this provides (Lader and Karicou 2016, p.7). This social support can improve resilience in chronic pain patients and contributes to the positive experiences reported by those undergoing inpatient detox (Hamilton et al 2022 p.4088, Davies et al 2024 p.5).</w:t>
      </w:r>
    </w:p>
    <w:p w:rsidR="00000000" w:rsidDel="00000000" w:rsidP="00000000" w:rsidRDefault="00000000" w:rsidRPr="00000000" w14:paraId="000004FA">
      <w:pPr>
        <w:spacing w:line="480" w:lineRule="auto"/>
        <w:jc w:val="both"/>
        <w:rPr>
          <w:sz w:val="22"/>
          <w:szCs w:val="22"/>
        </w:rPr>
      </w:pPr>
      <w:r w:rsidDel="00000000" w:rsidR="00000000" w:rsidRPr="00000000">
        <w:rPr>
          <w:rtl w:val="0"/>
        </w:rPr>
      </w:r>
    </w:p>
    <w:p w:rsidR="00000000" w:rsidDel="00000000" w:rsidP="00000000" w:rsidRDefault="00000000" w:rsidRPr="00000000" w14:paraId="000004FB">
      <w:pPr>
        <w:spacing w:line="480" w:lineRule="auto"/>
        <w:jc w:val="both"/>
        <w:rPr>
          <w:sz w:val="22"/>
          <w:szCs w:val="22"/>
        </w:rPr>
      </w:pPr>
      <w:r w:rsidDel="00000000" w:rsidR="00000000" w:rsidRPr="00000000">
        <w:rPr>
          <w:sz w:val="22"/>
          <w:szCs w:val="22"/>
          <w:rtl w:val="0"/>
        </w:rPr>
        <w:t xml:space="preserve">This provision of alternative treatments, such as counselling or approaches to pain management were useful during the tapering process (Uhrbrand et al 2020 p.560-561, Hamilton et al 2022 p.4068, Takasima et al 2022 p.5). Effective alternatives include holistic treatments such as acupuncture, alternative medicines, massages, and mindfulness (Takamine et al 2024 p.251, Davies et al 2024 p.6, Hamilton et al 2022 p.4089). Other psychosocial interventions such as pain management skills, psychoeducation, and empowering deprescribing information was outlined by participants in Hamilton et al and Davies et al’s enquiries (Hamilton et al 2022 p.4088, Davies et al 2023 p.6). Virtual support has also been explored. Magee et al (2017) assessed the feasibility of text message support for opioid tapering. Of their 21 interviews, 81% were interested in text support, and 71% interested in app-based interventions (Magee et al 2017, p.5). </w:t>
      </w:r>
    </w:p>
    <w:p w:rsidR="00000000" w:rsidDel="00000000" w:rsidP="00000000" w:rsidRDefault="00000000" w:rsidRPr="00000000" w14:paraId="000004FC">
      <w:pPr>
        <w:spacing w:line="480" w:lineRule="auto"/>
        <w:jc w:val="both"/>
        <w:rPr>
          <w:sz w:val="22"/>
          <w:szCs w:val="22"/>
        </w:rPr>
      </w:pPr>
      <w:r w:rsidDel="00000000" w:rsidR="00000000" w:rsidRPr="00000000">
        <w:rPr>
          <w:rtl w:val="0"/>
        </w:rPr>
      </w:r>
    </w:p>
    <w:p w:rsidR="00000000" w:rsidDel="00000000" w:rsidP="00000000" w:rsidRDefault="00000000" w:rsidRPr="00000000" w14:paraId="000004FD">
      <w:pPr>
        <w:spacing w:line="480" w:lineRule="auto"/>
        <w:jc w:val="both"/>
        <w:rPr>
          <w:sz w:val="22"/>
          <w:szCs w:val="22"/>
        </w:rPr>
      </w:pPr>
      <w:r w:rsidDel="00000000" w:rsidR="00000000" w:rsidRPr="00000000">
        <w:rPr>
          <w:sz w:val="22"/>
          <w:szCs w:val="22"/>
          <w:rtl w:val="0"/>
        </w:rPr>
        <w:t xml:space="preserve">Participant recommendations for the content of these apps include information about withdrawal symptoms, self-management techniques, tailored content and health and wellness information (Magee et al 2017, p.5). A caveat to this, however, is the ability to adjust the frequency of these messages and the accessibility of face-to-face support if required (Magee et al 2017, p.6). Information on withdrawal symptoms and withdrawal methods were also recommended by 31.9% and 15% of 708 survey respondents (Read et al 2023, p.3). </w:t>
      </w:r>
    </w:p>
    <w:p w:rsidR="00000000" w:rsidDel="00000000" w:rsidP="00000000" w:rsidRDefault="00000000" w:rsidRPr="00000000" w14:paraId="000004FE">
      <w:pPr>
        <w:spacing w:line="480" w:lineRule="auto"/>
        <w:jc w:val="both"/>
        <w:rPr>
          <w:sz w:val="22"/>
          <w:szCs w:val="22"/>
        </w:rPr>
      </w:pPr>
      <w:r w:rsidDel="00000000" w:rsidR="00000000" w:rsidRPr="00000000">
        <w:rPr>
          <w:rtl w:val="0"/>
        </w:rPr>
      </w:r>
    </w:p>
    <w:p w:rsidR="00000000" w:rsidDel="00000000" w:rsidP="00000000" w:rsidRDefault="00000000" w:rsidRPr="00000000" w14:paraId="000004FF">
      <w:pPr>
        <w:pStyle w:val="Heading2"/>
        <w:numPr>
          <w:ilvl w:val="1"/>
          <w:numId w:val="10"/>
        </w:numPr>
        <w:spacing w:line="480" w:lineRule="auto"/>
        <w:ind w:left="720" w:hanging="720"/>
        <w:rPr/>
      </w:pPr>
      <w:bookmarkStart w:colFirst="0" w:colLast="0" w:name="_heading=h.46r0co2" w:id="51"/>
      <w:bookmarkEnd w:id="51"/>
      <w:r w:rsidDel="00000000" w:rsidR="00000000" w:rsidRPr="00000000">
        <w:rPr>
          <w:rtl w:val="0"/>
        </w:rPr>
        <w:t xml:space="preserve">The Impact of the Practitioner Relationship</w:t>
      </w:r>
    </w:p>
    <w:p w:rsidR="00000000" w:rsidDel="00000000" w:rsidP="00000000" w:rsidRDefault="00000000" w:rsidRPr="00000000" w14:paraId="00000500">
      <w:pPr>
        <w:spacing w:line="480" w:lineRule="auto"/>
        <w:jc w:val="both"/>
        <w:rPr>
          <w:sz w:val="22"/>
          <w:szCs w:val="22"/>
        </w:rPr>
      </w:pPr>
      <w:r w:rsidDel="00000000" w:rsidR="00000000" w:rsidRPr="00000000">
        <w:rPr>
          <w:sz w:val="22"/>
          <w:szCs w:val="22"/>
          <w:rtl w:val="0"/>
        </w:rPr>
        <w:t xml:space="preserve">The role of the practitioner was an important factor in which patients may take into consideration when exploring their experiences of prescribed drug dependence. These characteristics include their specific role in clinical practice, the perceived levels of supportiveness, collaborative approach to care and their level of information sharing. This theme also discusses the clinical factors that can have wide reaching implications for patient care and the management of their dependency. </w:t>
      </w:r>
    </w:p>
    <w:p w:rsidR="00000000" w:rsidDel="00000000" w:rsidP="00000000" w:rsidRDefault="00000000" w:rsidRPr="00000000" w14:paraId="00000501">
      <w:pPr>
        <w:spacing w:line="480" w:lineRule="auto"/>
        <w:jc w:val="both"/>
        <w:rPr>
          <w:sz w:val="22"/>
          <w:szCs w:val="22"/>
        </w:rPr>
      </w:pPr>
      <w:r w:rsidDel="00000000" w:rsidR="00000000" w:rsidRPr="00000000">
        <w:rPr>
          <w:rtl w:val="0"/>
        </w:rPr>
      </w:r>
    </w:p>
    <w:p w:rsidR="00000000" w:rsidDel="00000000" w:rsidP="00000000" w:rsidRDefault="00000000" w:rsidRPr="00000000" w14:paraId="00000502">
      <w:pPr>
        <w:pStyle w:val="Heading3"/>
        <w:spacing w:line="480" w:lineRule="auto"/>
        <w:rPr/>
      </w:pPr>
      <w:bookmarkStart w:colFirst="0" w:colLast="0" w:name="_heading=h.2lwamvv" w:id="52"/>
      <w:bookmarkEnd w:id="52"/>
      <w:r w:rsidDel="00000000" w:rsidR="00000000" w:rsidRPr="00000000">
        <w:rPr>
          <w:rtl w:val="0"/>
        </w:rPr>
        <w:t xml:space="preserve">Practitioner Characteristics</w:t>
      </w:r>
    </w:p>
    <w:p w:rsidR="00000000" w:rsidDel="00000000" w:rsidP="00000000" w:rsidRDefault="00000000" w:rsidRPr="00000000" w14:paraId="00000503">
      <w:pPr>
        <w:spacing w:line="480" w:lineRule="auto"/>
        <w:jc w:val="both"/>
        <w:rPr>
          <w:sz w:val="22"/>
          <w:szCs w:val="22"/>
        </w:rPr>
      </w:pPr>
      <w:r w:rsidDel="00000000" w:rsidR="00000000" w:rsidRPr="00000000">
        <w:rPr>
          <w:sz w:val="22"/>
          <w:szCs w:val="22"/>
          <w:rtl w:val="0"/>
        </w:rPr>
        <w:t xml:space="preserve">The characteristic of the practitioner is important. A supportive and knowledgeable practitioner who utilises a collaborative approach to care is more likely to engage the patient in shared decision-making and improving outcomes. </w:t>
      </w:r>
    </w:p>
    <w:p w:rsidR="00000000" w:rsidDel="00000000" w:rsidP="00000000" w:rsidRDefault="00000000" w:rsidRPr="00000000" w14:paraId="00000504">
      <w:pPr>
        <w:spacing w:line="480" w:lineRule="auto"/>
        <w:jc w:val="both"/>
        <w:rPr>
          <w:sz w:val="22"/>
          <w:szCs w:val="22"/>
        </w:rPr>
      </w:pPr>
      <w:r w:rsidDel="00000000" w:rsidR="00000000" w:rsidRPr="00000000">
        <w:rPr>
          <w:rtl w:val="0"/>
        </w:rPr>
      </w:r>
    </w:p>
    <w:p w:rsidR="00000000" w:rsidDel="00000000" w:rsidP="00000000" w:rsidRDefault="00000000" w:rsidRPr="00000000" w14:paraId="00000505">
      <w:pPr>
        <w:spacing w:line="480" w:lineRule="auto"/>
        <w:jc w:val="both"/>
        <w:rPr>
          <w:sz w:val="22"/>
          <w:szCs w:val="22"/>
        </w:rPr>
      </w:pPr>
      <w:r w:rsidDel="00000000" w:rsidR="00000000" w:rsidRPr="00000000">
        <w:rPr>
          <w:sz w:val="22"/>
          <w:szCs w:val="22"/>
          <w:rtl w:val="0"/>
        </w:rPr>
        <w:t xml:space="preserve">Although Fixsen (2015) felt supported by their practitioner, this is often not the case in the wider literature. It is important to note that Fixen’s paper was an autoethnographic study therefore is an individual account of their benzodiazepine withdrawal process. Read et al (2023, p.300) found 27% of 708 survey respondents felt unsupported by their practitioner, with 71% of respondents reporting advice as being “</w:t>
      </w:r>
      <w:r w:rsidDel="00000000" w:rsidR="00000000" w:rsidRPr="00000000">
        <w:rPr>
          <w:i w:val="1"/>
          <w:sz w:val="22"/>
          <w:szCs w:val="22"/>
          <w:rtl w:val="0"/>
        </w:rPr>
        <w:t xml:space="preserve">unhelpful</w:t>
      </w:r>
      <w:r w:rsidDel="00000000" w:rsidR="00000000" w:rsidRPr="00000000">
        <w:rPr>
          <w:sz w:val="22"/>
          <w:szCs w:val="22"/>
          <w:rtl w:val="0"/>
        </w:rPr>
        <w:t xml:space="preserve">” and 51% “</w:t>
      </w:r>
      <w:r w:rsidDel="00000000" w:rsidR="00000000" w:rsidRPr="00000000">
        <w:rPr>
          <w:i w:val="1"/>
          <w:sz w:val="22"/>
          <w:szCs w:val="22"/>
          <w:rtl w:val="0"/>
        </w:rPr>
        <w:t xml:space="preserve">very unhelpful</w:t>
      </w:r>
      <w:r w:rsidDel="00000000" w:rsidR="00000000" w:rsidRPr="00000000">
        <w:rPr>
          <w:sz w:val="22"/>
          <w:szCs w:val="22"/>
          <w:rtl w:val="0"/>
        </w:rPr>
        <w:t xml:space="preserve">”. A close and trusting relationship with the prescriber is imperative, as this encourages an open dialogue and disclosure of dependency, allowing for an effective treatment plan to be formulated (Matthias et al 2021 p.10, Kinnaird et al 2019 p.7, Van Leeuwen et al 2022 p.966, Hamilton et al 2022 p.4088). This openness provides patient reassurance and allows a discussion about the expectations and process of deprescribing (Hamilton et al 2022, p.4088). One participant interviewed by Takamine et al (2024, p.251) disclosed they came under the care of a new healthcare professional. Their new practitioner identified an alternative approach to benzodiazepine use, in which the participant preferred, motivating the participant to reduce their dose (Takamine et al 2024, p.251). </w:t>
      </w:r>
    </w:p>
    <w:p w:rsidR="00000000" w:rsidDel="00000000" w:rsidP="00000000" w:rsidRDefault="00000000" w:rsidRPr="00000000" w14:paraId="00000506">
      <w:pPr>
        <w:spacing w:line="480" w:lineRule="auto"/>
        <w:jc w:val="both"/>
        <w:rPr>
          <w:sz w:val="22"/>
          <w:szCs w:val="22"/>
        </w:rPr>
      </w:pPr>
      <w:r w:rsidDel="00000000" w:rsidR="00000000" w:rsidRPr="00000000">
        <w:rPr>
          <w:rtl w:val="0"/>
        </w:rPr>
      </w:r>
    </w:p>
    <w:p w:rsidR="00000000" w:rsidDel="00000000" w:rsidP="00000000" w:rsidRDefault="00000000" w:rsidRPr="00000000" w14:paraId="00000507">
      <w:pPr>
        <w:spacing w:line="480" w:lineRule="auto"/>
        <w:jc w:val="both"/>
        <w:rPr>
          <w:sz w:val="22"/>
          <w:szCs w:val="22"/>
        </w:rPr>
      </w:pPr>
      <w:r w:rsidDel="00000000" w:rsidR="00000000" w:rsidRPr="00000000">
        <w:rPr>
          <w:sz w:val="22"/>
          <w:szCs w:val="22"/>
          <w:rtl w:val="0"/>
        </w:rPr>
        <w:t xml:space="preserve">Although there is a lack of official guidance on how to taper a patient, there is poor understanding of how to manage this patient group (Cooper et al 2023 p.15, Bosman et al 2015 p.710, Guy et al 2020 p.2). GPs consider themselves a suitable professional to manage discontinuation of antidepressants, this is contested (Bosman et al 2015, p.710). Patients perceive GPs to have limited knowledge to adequately support them during discontinuation (Bosman et al 2015 p.710) or have limited understanding of side effects associated with medicines (Mokhar et al 2019, p.5). This has led to the routine misdiagnosis of other health complaints or relapse (Guy et al 2020 p.2, Hengarter et al 2020 p.8). To improve practitioner knowledge, educational outreach programmes, interactive lectures and improved communication between prescribers has been found to reduce over-prescribing by 20-27.6% (Mokhar et al 2018, p.20). </w:t>
      </w:r>
    </w:p>
    <w:p w:rsidR="00000000" w:rsidDel="00000000" w:rsidP="00000000" w:rsidRDefault="00000000" w:rsidRPr="00000000" w14:paraId="00000508">
      <w:pPr>
        <w:spacing w:line="480" w:lineRule="auto"/>
        <w:jc w:val="both"/>
        <w:rPr>
          <w:sz w:val="22"/>
          <w:szCs w:val="22"/>
        </w:rPr>
      </w:pPr>
      <w:r w:rsidDel="00000000" w:rsidR="00000000" w:rsidRPr="00000000">
        <w:rPr>
          <w:rtl w:val="0"/>
        </w:rPr>
      </w:r>
    </w:p>
    <w:p w:rsidR="00000000" w:rsidDel="00000000" w:rsidP="00000000" w:rsidRDefault="00000000" w:rsidRPr="00000000" w14:paraId="00000509">
      <w:pPr>
        <w:spacing w:line="480" w:lineRule="auto"/>
        <w:jc w:val="both"/>
        <w:rPr>
          <w:sz w:val="22"/>
          <w:szCs w:val="22"/>
        </w:rPr>
      </w:pPr>
      <w:r w:rsidDel="00000000" w:rsidR="00000000" w:rsidRPr="00000000">
        <w:rPr>
          <w:sz w:val="22"/>
          <w:szCs w:val="22"/>
          <w:rtl w:val="0"/>
        </w:rPr>
        <w:t xml:space="preserve">Trust, collaboration, and shared decision making are considered central roles and valued characteristics of a GP, with positive practitioner relationships improving patient outcomes (Montag Schafer et al 2022 p.2407, Kosakowski et al 2022 p.1727, Nichols et al 2023 p.8, Seddon et al 2024 p.4). However, this is not always present (Anderson et al 2015, p.4). Patient and practitioners are “</w:t>
      </w:r>
      <w:r w:rsidDel="00000000" w:rsidR="00000000" w:rsidRPr="00000000">
        <w:rPr>
          <w:i w:val="1"/>
          <w:sz w:val="22"/>
          <w:szCs w:val="22"/>
          <w:rtl w:val="0"/>
        </w:rPr>
        <w:t xml:space="preserve">not always on the same page</w:t>
      </w:r>
      <w:r w:rsidDel="00000000" w:rsidR="00000000" w:rsidRPr="00000000">
        <w:rPr>
          <w:sz w:val="22"/>
          <w:szCs w:val="22"/>
          <w:rtl w:val="0"/>
        </w:rPr>
        <w:t xml:space="preserve">” when discussing care, with patients reporting a lack of empathy and not feeling listened to (Nichols et al 2020, p.10). There are often communication barriers and interpersonal challenges between patients and practitioners, resulting in a lack of collaborative and shared decision making (Kosakowski et al 2022 p.1721, Hamilton et al 2022 p.4085, Seddon et al 2024 p.4). This compassionate and patient centred approach is exhibited in the deprescribing services explored by Kesten et al (2020) and Cooper et al (2023). Observing the patient as an individual is an important aspect of collaborative care, with individualised explanations of risks and withdrawal symptoms (Matthias et al 2017 p.4, Langford et al 2021, Kosakowski et al 2022 p.1724, Read et al 2023 p.303). This extends to the tapering and deprescribing process (Matthias et al 2017, p.4). </w:t>
      </w:r>
    </w:p>
    <w:p w:rsidR="00000000" w:rsidDel="00000000" w:rsidP="00000000" w:rsidRDefault="00000000" w:rsidRPr="00000000" w14:paraId="0000050A">
      <w:pPr>
        <w:spacing w:line="480" w:lineRule="auto"/>
        <w:jc w:val="both"/>
        <w:rPr>
          <w:sz w:val="22"/>
          <w:szCs w:val="22"/>
        </w:rPr>
      </w:pPr>
      <w:r w:rsidDel="00000000" w:rsidR="00000000" w:rsidRPr="00000000">
        <w:rPr>
          <w:rtl w:val="0"/>
        </w:rPr>
      </w:r>
    </w:p>
    <w:p w:rsidR="00000000" w:rsidDel="00000000" w:rsidP="00000000" w:rsidRDefault="00000000" w:rsidRPr="00000000" w14:paraId="0000050B">
      <w:pPr>
        <w:pStyle w:val="Heading3"/>
        <w:spacing w:line="480" w:lineRule="auto"/>
        <w:rPr/>
      </w:pPr>
      <w:bookmarkStart w:colFirst="0" w:colLast="0" w:name="_heading=h.111kx3o" w:id="53"/>
      <w:bookmarkEnd w:id="53"/>
      <w:r w:rsidDel="00000000" w:rsidR="00000000" w:rsidRPr="00000000">
        <w:rPr>
          <w:rtl w:val="0"/>
        </w:rPr>
        <w:t xml:space="preserve">Information Sharing </w:t>
      </w:r>
    </w:p>
    <w:p w:rsidR="00000000" w:rsidDel="00000000" w:rsidP="00000000" w:rsidRDefault="00000000" w:rsidRPr="00000000" w14:paraId="0000050C">
      <w:pPr>
        <w:spacing w:line="480" w:lineRule="auto"/>
        <w:jc w:val="both"/>
        <w:rPr>
          <w:sz w:val="22"/>
          <w:szCs w:val="22"/>
        </w:rPr>
      </w:pPr>
      <w:r w:rsidDel="00000000" w:rsidR="00000000" w:rsidRPr="00000000">
        <w:rPr>
          <w:sz w:val="22"/>
          <w:szCs w:val="22"/>
          <w:rtl w:val="0"/>
        </w:rPr>
        <w:t xml:space="preserve">Emphasis is placed on information sharing regarding the risk of harm, side effects and the potential for dependence prior to prescribing (Nichols et al 2020 p.8, Chahal et al 2023, p.6). However, this information was not always shared (Anderson et al 2015 p.5, Cartwright et al 2015 p.1405, Kinnaird et al 2019 p.3, Kim et al 2020 p.238, Hamilton et al 2022 p.4089, Chahal et al 2023 p.6, Seddon et al 2024 p.3). There is a discrepancy in the levels of information sharing reported by patients and practitioners. Anderson et al (2015, p.4) suggest clinical factors put limitations on the ability to share information with patients, which has led to patients seeking information outside of mainstream healthcare (Guy et al 2020 p.11, Hamilton et al 2022 p.4088, McNeilage et al 2023 p.6, Seddon et al 2024 p.3). </w:t>
      </w:r>
    </w:p>
    <w:p w:rsidR="00000000" w:rsidDel="00000000" w:rsidP="00000000" w:rsidRDefault="00000000" w:rsidRPr="00000000" w14:paraId="0000050D">
      <w:pPr>
        <w:spacing w:line="480" w:lineRule="auto"/>
        <w:jc w:val="both"/>
        <w:rPr>
          <w:sz w:val="22"/>
          <w:szCs w:val="22"/>
        </w:rPr>
      </w:pPr>
      <w:r w:rsidDel="00000000" w:rsidR="00000000" w:rsidRPr="00000000">
        <w:rPr>
          <w:rtl w:val="0"/>
        </w:rPr>
      </w:r>
    </w:p>
    <w:p w:rsidR="00000000" w:rsidDel="00000000" w:rsidP="00000000" w:rsidRDefault="00000000" w:rsidRPr="00000000" w14:paraId="0000050E">
      <w:pPr>
        <w:spacing w:line="480" w:lineRule="auto"/>
        <w:jc w:val="both"/>
        <w:rPr>
          <w:sz w:val="22"/>
          <w:szCs w:val="22"/>
        </w:rPr>
      </w:pPr>
      <w:r w:rsidDel="00000000" w:rsidR="00000000" w:rsidRPr="00000000">
        <w:rPr>
          <w:sz w:val="22"/>
          <w:szCs w:val="22"/>
          <w:rtl w:val="0"/>
        </w:rPr>
        <w:t xml:space="preserve">When discussing the information shared by practitioners, Reid Finlayson et al (2022, p.3) found 76.2% of 1207 survey respondents indicate their practitioner “</w:t>
      </w:r>
      <w:r w:rsidDel="00000000" w:rsidR="00000000" w:rsidRPr="00000000">
        <w:rPr>
          <w:i w:val="1"/>
          <w:sz w:val="22"/>
          <w:szCs w:val="22"/>
          <w:rtl w:val="0"/>
        </w:rPr>
        <w:t xml:space="preserve">definitely did not</w:t>
      </w:r>
      <w:r w:rsidDel="00000000" w:rsidR="00000000" w:rsidRPr="00000000">
        <w:rPr>
          <w:sz w:val="22"/>
          <w:szCs w:val="22"/>
          <w:rtl w:val="0"/>
        </w:rPr>
        <w:t xml:space="preserve">” inform them of the short-term nature of a benzodiazepine prescription. This is reflected in other papers, whereby participants could not recall information sharing (Mokhar et al 2019, De Sola et al 2020, Nichols et al 2020). It must be noted that these studies are retrospective, therefore may be subject to recall bias. This is further evidenced in Kim et al’s findings, whereby only 49.4% of 368 respondents received information about opioids, with a similar picture is presented by Chahal et al, who found 50% of participants report receiving information about benzodiazepines when initiating the prescription (Kim et al 2020 p.238, Chahal et al 2023 p.11)</w:t>
      </w:r>
    </w:p>
    <w:p w:rsidR="00000000" w:rsidDel="00000000" w:rsidP="00000000" w:rsidRDefault="00000000" w:rsidRPr="00000000" w14:paraId="0000050F">
      <w:pPr>
        <w:spacing w:line="480" w:lineRule="auto"/>
        <w:jc w:val="both"/>
        <w:rPr>
          <w:sz w:val="22"/>
          <w:szCs w:val="22"/>
        </w:rPr>
      </w:pPr>
      <w:r w:rsidDel="00000000" w:rsidR="00000000" w:rsidRPr="00000000">
        <w:rPr>
          <w:rtl w:val="0"/>
        </w:rPr>
      </w:r>
    </w:p>
    <w:p w:rsidR="00000000" w:rsidDel="00000000" w:rsidP="00000000" w:rsidRDefault="00000000" w:rsidRPr="00000000" w14:paraId="00000510">
      <w:pPr>
        <w:spacing w:line="480" w:lineRule="auto"/>
        <w:jc w:val="both"/>
        <w:rPr>
          <w:sz w:val="22"/>
          <w:szCs w:val="22"/>
        </w:rPr>
      </w:pPr>
      <w:r w:rsidDel="00000000" w:rsidR="00000000" w:rsidRPr="00000000">
        <w:rPr>
          <w:sz w:val="22"/>
          <w:szCs w:val="22"/>
          <w:rtl w:val="0"/>
        </w:rPr>
        <w:t xml:space="preserve">Even if information is shared, the quality varies. Healthcare practitioners perceive their information sharing was adequate (Seddon et al 2024, p.3), however patients report no in-depth discussion regarding their medication, risk of side effects, duration of prescription or dosage. Kim et al (2020, p.238) found that despite 161 of 368 participants were informed of side effects associated with opioids, 30 received a “</w:t>
      </w:r>
      <w:r w:rsidDel="00000000" w:rsidR="00000000" w:rsidRPr="00000000">
        <w:rPr>
          <w:i w:val="1"/>
          <w:sz w:val="22"/>
          <w:szCs w:val="22"/>
          <w:rtl w:val="0"/>
        </w:rPr>
        <w:t xml:space="preserve">rough explanation</w:t>
      </w:r>
      <w:r w:rsidDel="00000000" w:rsidR="00000000" w:rsidRPr="00000000">
        <w:rPr>
          <w:sz w:val="22"/>
          <w:szCs w:val="22"/>
          <w:rtl w:val="0"/>
        </w:rPr>
        <w:t xml:space="preserve">” with 15 reporting no explanation at all. Whilst information was provided to participants in Kinnaird et al’s survey, some report not fully understanding risks associated with prescribed codeine prior to use (Kinnaird et al 2019, p.3). This has led to the development of “</w:t>
      </w:r>
      <w:r w:rsidDel="00000000" w:rsidR="00000000" w:rsidRPr="00000000">
        <w:rPr>
          <w:i w:val="1"/>
          <w:sz w:val="22"/>
          <w:szCs w:val="22"/>
          <w:rtl w:val="0"/>
        </w:rPr>
        <w:t xml:space="preserve">pharmacophobia</w:t>
      </w:r>
      <w:r w:rsidDel="00000000" w:rsidR="00000000" w:rsidRPr="00000000">
        <w:rPr>
          <w:sz w:val="22"/>
          <w:szCs w:val="22"/>
          <w:rtl w:val="0"/>
        </w:rPr>
        <w:t xml:space="preserve">” and medical mistrust (Papp and Onton 2018 p.5, Kinnaird et al 2019 p.5). In lieu of formal medical advice, some may find information through other sources (Kinnaird et al 2019 p.7, Chahal et al 2023 p.11, McNeilage et al 2023 p.6). Information is typically found through the internet, other medical professionals such as pharmacists or through conversations with friends and family (Chahal et al 2023 p.11, McNeilage et al 2023 p.6). </w:t>
      </w:r>
    </w:p>
    <w:p w:rsidR="00000000" w:rsidDel="00000000" w:rsidP="00000000" w:rsidRDefault="00000000" w:rsidRPr="00000000" w14:paraId="00000511">
      <w:pPr>
        <w:spacing w:line="480" w:lineRule="auto"/>
        <w:jc w:val="both"/>
        <w:rPr>
          <w:sz w:val="22"/>
          <w:szCs w:val="22"/>
        </w:rPr>
      </w:pPr>
      <w:r w:rsidDel="00000000" w:rsidR="00000000" w:rsidRPr="00000000">
        <w:rPr>
          <w:rtl w:val="0"/>
        </w:rPr>
      </w:r>
    </w:p>
    <w:p w:rsidR="00000000" w:rsidDel="00000000" w:rsidP="00000000" w:rsidRDefault="00000000" w:rsidRPr="00000000" w14:paraId="00000512">
      <w:pPr>
        <w:pStyle w:val="Heading3"/>
        <w:spacing w:line="480" w:lineRule="auto"/>
        <w:rPr/>
      </w:pPr>
      <w:bookmarkStart w:colFirst="0" w:colLast="0" w:name="_heading=h.3l18frh" w:id="54"/>
      <w:bookmarkEnd w:id="54"/>
      <w:r w:rsidDel="00000000" w:rsidR="00000000" w:rsidRPr="00000000">
        <w:rPr>
          <w:rtl w:val="0"/>
        </w:rPr>
        <w:t xml:space="preserve">Practitioner Roles</w:t>
      </w:r>
    </w:p>
    <w:p w:rsidR="00000000" w:rsidDel="00000000" w:rsidP="00000000" w:rsidRDefault="00000000" w:rsidRPr="00000000" w14:paraId="00000513">
      <w:pPr>
        <w:spacing w:line="480" w:lineRule="auto"/>
        <w:jc w:val="both"/>
        <w:rPr>
          <w:sz w:val="22"/>
          <w:szCs w:val="22"/>
        </w:rPr>
      </w:pPr>
      <w:r w:rsidDel="00000000" w:rsidR="00000000" w:rsidRPr="00000000">
        <w:rPr>
          <w:sz w:val="22"/>
          <w:szCs w:val="22"/>
          <w:rtl w:val="0"/>
        </w:rPr>
        <w:t xml:space="preserve">The role of the practitioner has some role to play in the dependence on prescribed medicines. These roles include the specific profession the practitioner has, their prescribing practices, and clinical factors such as time constraints. </w:t>
      </w:r>
    </w:p>
    <w:p w:rsidR="00000000" w:rsidDel="00000000" w:rsidP="00000000" w:rsidRDefault="00000000" w:rsidRPr="00000000" w14:paraId="00000514">
      <w:pPr>
        <w:spacing w:line="480" w:lineRule="auto"/>
        <w:jc w:val="both"/>
        <w:rPr>
          <w:sz w:val="22"/>
          <w:szCs w:val="22"/>
        </w:rPr>
      </w:pPr>
      <w:r w:rsidDel="00000000" w:rsidR="00000000" w:rsidRPr="00000000">
        <w:rPr>
          <w:rtl w:val="0"/>
        </w:rPr>
      </w:r>
    </w:p>
    <w:p w:rsidR="00000000" w:rsidDel="00000000" w:rsidP="00000000" w:rsidRDefault="00000000" w:rsidRPr="00000000" w14:paraId="00000515">
      <w:pPr>
        <w:pStyle w:val="Heading4"/>
        <w:spacing w:line="480" w:lineRule="auto"/>
        <w:jc w:val="both"/>
        <w:rPr/>
      </w:pPr>
      <w:r w:rsidDel="00000000" w:rsidR="00000000" w:rsidRPr="00000000">
        <w:rPr>
          <w:rtl w:val="0"/>
        </w:rPr>
        <w:t xml:space="preserve">Profession</w:t>
      </w:r>
    </w:p>
    <w:p w:rsidR="00000000" w:rsidDel="00000000" w:rsidP="00000000" w:rsidRDefault="00000000" w:rsidRPr="00000000" w14:paraId="00000516">
      <w:pPr>
        <w:spacing w:line="480" w:lineRule="auto"/>
        <w:jc w:val="both"/>
        <w:rPr>
          <w:sz w:val="22"/>
          <w:szCs w:val="22"/>
        </w:rPr>
      </w:pPr>
      <w:r w:rsidDel="00000000" w:rsidR="00000000" w:rsidRPr="00000000">
        <w:rPr>
          <w:sz w:val="22"/>
          <w:szCs w:val="22"/>
          <w:rtl w:val="0"/>
        </w:rPr>
        <w:t xml:space="preserve">Although GPs feel they are adequately equipped to manage this patient group, practice-based pharmacists can support deprescribing and reduce over-prescribing by 19.5%, allowing more time for patient care (Bosman et al 2015 p.710, Mokhar et al 2018 p.21, Seddon et al 2024 p.4). Pharmacists perceive themselves to be less effective at providing information, support, and interventions than a GP (Kinnaird et al 2019, p.6). This ambivalence towards informing patients about the risk of side effects and dependence, as it may contradict the prescriber’s advice. This was thought to put their already vague relationship with the patient at risk (Mokhar et al 2019 p.3, Kinnaird et al 2019 p.6). Interestingly, nurses did not feel it was their responsibility to provide or share this information with patients, as again, fears of contradicting prescribers’ advice (Mokhar et al 2019, p.2). Contradictory information between healthcare professionals has led to uncertainty and confusion in some patients (McNielage et al 2023, p.6). </w:t>
      </w:r>
    </w:p>
    <w:p w:rsidR="00000000" w:rsidDel="00000000" w:rsidP="00000000" w:rsidRDefault="00000000" w:rsidRPr="00000000" w14:paraId="00000517">
      <w:pPr>
        <w:spacing w:line="480" w:lineRule="auto"/>
        <w:jc w:val="both"/>
        <w:rPr>
          <w:sz w:val="22"/>
          <w:szCs w:val="22"/>
        </w:rPr>
      </w:pPr>
      <w:r w:rsidDel="00000000" w:rsidR="00000000" w:rsidRPr="00000000">
        <w:rPr>
          <w:rtl w:val="0"/>
        </w:rPr>
      </w:r>
    </w:p>
    <w:p w:rsidR="00000000" w:rsidDel="00000000" w:rsidP="00000000" w:rsidRDefault="00000000" w:rsidRPr="00000000" w14:paraId="00000518">
      <w:pPr>
        <w:spacing w:line="480" w:lineRule="auto"/>
        <w:jc w:val="both"/>
        <w:rPr>
          <w:sz w:val="22"/>
          <w:szCs w:val="22"/>
        </w:rPr>
      </w:pPr>
      <w:r w:rsidDel="00000000" w:rsidR="00000000" w:rsidRPr="00000000">
        <w:rPr>
          <w:sz w:val="22"/>
          <w:szCs w:val="22"/>
          <w:rtl w:val="0"/>
        </w:rPr>
        <w:t xml:space="preserve">Mental health specialists were also identified as a profession that could support patients undergoing a discontinuation (Bosman et al 2015, p.711). Non mental health professionals are more likely to discontinue patients abruptly compared to psychiatrists, who used slower tapering and engaged the patient in psychological support and education (Takeshima et al 2022, p.4). As previously explored, a slower reduction is preferred by 88% of antidepressant users (Read et al 2023, p.303). </w:t>
      </w:r>
    </w:p>
    <w:p w:rsidR="00000000" w:rsidDel="00000000" w:rsidP="00000000" w:rsidRDefault="00000000" w:rsidRPr="00000000" w14:paraId="00000519">
      <w:pPr>
        <w:spacing w:line="480" w:lineRule="auto"/>
        <w:jc w:val="both"/>
        <w:rPr>
          <w:sz w:val="22"/>
          <w:szCs w:val="22"/>
        </w:rPr>
      </w:pPr>
      <w:r w:rsidDel="00000000" w:rsidR="00000000" w:rsidRPr="00000000">
        <w:rPr>
          <w:rtl w:val="0"/>
        </w:rPr>
      </w:r>
    </w:p>
    <w:p w:rsidR="00000000" w:rsidDel="00000000" w:rsidP="00000000" w:rsidRDefault="00000000" w:rsidRPr="00000000" w14:paraId="0000051A">
      <w:pPr>
        <w:pStyle w:val="Heading4"/>
        <w:spacing w:line="480" w:lineRule="auto"/>
        <w:jc w:val="both"/>
        <w:rPr/>
      </w:pPr>
      <w:r w:rsidDel="00000000" w:rsidR="00000000" w:rsidRPr="00000000">
        <w:rPr>
          <w:rtl w:val="0"/>
        </w:rPr>
        <w:t xml:space="preserve">Prescribing Practices</w:t>
      </w:r>
    </w:p>
    <w:p w:rsidR="00000000" w:rsidDel="00000000" w:rsidP="00000000" w:rsidRDefault="00000000" w:rsidRPr="00000000" w14:paraId="0000051B">
      <w:pPr>
        <w:spacing w:line="480" w:lineRule="auto"/>
        <w:jc w:val="both"/>
        <w:rPr>
          <w:sz w:val="22"/>
          <w:szCs w:val="22"/>
        </w:rPr>
      </w:pPr>
      <w:r w:rsidDel="00000000" w:rsidR="00000000" w:rsidRPr="00000000">
        <w:rPr>
          <w:sz w:val="22"/>
          <w:szCs w:val="22"/>
          <w:rtl w:val="0"/>
        </w:rPr>
        <w:t xml:space="preserve">As a result of limited patient support, there is minimal monitoring of patients and extensive prescribing periods exceeding clinical guidelines (Davies and Read 2019 p.83, Read 2021 p.4).  For example, 59% of 867 patients in Read’s 2021 study found themselves using these medicines for at least three years, and a further 29% for over twenty years (Read 2021, p4.  This lack of supervision extends to medicines that are well associated with dependence, such as codeine (Kinnaird et al 2019, p.6). Both patients and practitioners exhibit resistance in prescribing opioids, due to the stigma associated with these medicines (Paterson et al 2016 p.11, Dekker et al 2020 p.186). Practitioners have difficulty understanding opioid risks, however, resulting in continued and long-term prescribing (Matthias et al 2017 p.5, Kinnaird et al 2019 p.3). This is particularly prevalent in complex patient groups, such as geriatric care (Mokhar et al 2019, p.7). </w:t>
      </w:r>
    </w:p>
    <w:p w:rsidR="00000000" w:rsidDel="00000000" w:rsidP="00000000" w:rsidRDefault="00000000" w:rsidRPr="00000000" w14:paraId="0000051C">
      <w:pPr>
        <w:spacing w:line="480" w:lineRule="auto"/>
        <w:jc w:val="both"/>
        <w:rPr>
          <w:sz w:val="22"/>
          <w:szCs w:val="22"/>
        </w:rPr>
      </w:pPr>
      <w:r w:rsidDel="00000000" w:rsidR="00000000" w:rsidRPr="00000000">
        <w:rPr>
          <w:rtl w:val="0"/>
        </w:rPr>
      </w:r>
    </w:p>
    <w:p w:rsidR="00000000" w:rsidDel="00000000" w:rsidP="00000000" w:rsidRDefault="00000000" w:rsidRPr="00000000" w14:paraId="0000051D">
      <w:pPr>
        <w:spacing w:line="480" w:lineRule="auto"/>
        <w:jc w:val="both"/>
        <w:rPr>
          <w:sz w:val="22"/>
          <w:szCs w:val="22"/>
        </w:rPr>
      </w:pPr>
      <w:r w:rsidDel="00000000" w:rsidR="00000000" w:rsidRPr="00000000">
        <w:rPr>
          <w:sz w:val="22"/>
          <w:szCs w:val="22"/>
          <w:rtl w:val="0"/>
        </w:rPr>
        <w:t xml:space="preserve">Medication reviews of pharmacists assessing the appropriateness of prescribing patterns reduces inappropriate prescribing by 19.5% (Mokhar et al 2018, Bayliss and Holttum 2015 p.8).  They allow patients to meet social obligations, complete daily activities manage difficult situations, to facilitate further support and allows patients to “</w:t>
      </w:r>
      <w:r w:rsidDel="00000000" w:rsidR="00000000" w:rsidRPr="00000000">
        <w:rPr>
          <w:i w:val="1"/>
          <w:sz w:val="22"/>
          <w:szCs w:val="22"/>
          <w:rtl w:val="0"/>
        </w:rPr>
        <w:t xml:space="preserve">take control of their life back</w:t>
      </w:r>
      <w:r w:rsidDel="00000000" w:rsidR="00000000" w:rsidRPr="00000000">
        <w:rPr>
          <w:sz w:val="22"/>
          <w:szCs w:val="22"/>
          <w:rtl w:val="0"/>
        </w:rPr>
        <w:t xml:space="preserve">” (Gibson et al 2016 p.4, Ljungvall et al 2020 p.9, Hamilton et al 2022 p.4085). </w:t>
      </w:r>
    </w:p>
    <w:p w:rsidR="00000000" w:rsidDel="00000000" w:rsidP="00000000" w:rsidRDefault="00000000" w:rsidRPr="00000000" w14:paraId="0000051E">
      <w:pPr>
        <w:spacing w:line="480" w:lineRule="auto"/>
        <w:jc w:val="both"/>
        <w:rPr>
          <w:sz w:val="22"/>
          <w:szCs w:val="22"/>
        </w:rPr>
      </w:pPr>
      <w:r w:rsidDel="00000000" w:rsidR="00000000" w:rsidRPr="00000000">
        <w:rPr>
          <w:rtl w:val="0"/>
        </w:rPr>
      </w:r>
    </w:p>
    <w:p w:rsidR="00000000" w:rsidDel="00000000" w:rsidP="00000000" w:rsidRDefault="00000000" w:rsidRPr="00000000" w14:paraId="0000051F">
      <w:pPr>
        <w:pStyle w:val="Heading4"/>
        <w:spacing w:line="480" w:lineRule="auto"/>
        <w:jc w:val="both"/>
        <w:rPr/>
      </w:pPr>
      <w:r w:rsidDel="00000000" w:rsidR="00000000" w:rsidRPr="00000000">
        <w:rPr>
          <w:rtl w:val="0"/>
        </w:rPr>
        <w:t xml:space="preserve">Clinical Factors</w:t>
      </w:r>
    </w:p>
    <w:p w:rsidR="00000000" w:rsidDel="00000000" w:rsidP="00000000" w:rsidRDefault="00000000" w:rsidRPr="00000000" w14:paraId="00000520">
      <w:pPr>
        <w:spacing w:line="480" w:lineRule="auto"/>
        <w:jc w:val="both"/>
        <w:rPr>
          <w:sz w:val="22"/>
          <w:szCs w:val="22"/>
        </w:rPr>
      </w:pPr>
      <w:r w:rsidDel="00000000" w:rsidR="00000000" w:rsidRPr="00000000">
        <w:rPr>
          <w:sz w:val="22"/>
          <w:szCs w:val="22"/>
          <w:rtl w:val="0"/>
        </w:rPr>
        <w:t xml:space="preserve">Clinical factors are associated with prescribed drug dependence and its management. Time limitations are considered an important barrier to patient care, impacting the practitioner’s ability to share information regarding risks and alternative options (Anderson et al 2015 p.4, Hamilton et al 2022 p.4088, Seddon et al 2024 p.3). </w:t>
      </w:r>
    </w:p>
    <w:p w:rsidR="00000000" w:rsidDel="00000000" w:rsidP="00000000" w:rsidRDefault="00000000" w:rsidRPr="00000000" w14:paraId="00000521">
      <w:pPr>
        <w:spacing w:line="480" w:lineRule="auto"/>
        <w:jc w:val="both"/>
        <w:rPr>
          <w:sz w:val="22"/>
          <w:szCs w:val="22"/>
        </w:rPr>
      </w:pPr>
      <w:r w:rsidDel="00000000" w:rsidR="00000000" w:rsidRPr="00000000">
        <w:rPr>
          <w:rtl w:val="0"/>
        </w:rPr>
      </w:r>
    </w:p>
    <w:p w:rsidR="00000000" w:rsidDel="00000000" w:rsidP="00000000" w:rsidRDefault="00000000" w:rsidRPr="00000000" w14:paraId="00000522">
      <w:pPr>
        <w:spacing w:line="480" w:lineRule="auto"/>
        <w:jc w:val="both"/>
        <w:rPr>
          <w:sz w:val="22"/>
          <w:szCs w:val="22"/>
        </w:rPr>
      </w:pPr>
      <w:r w:rsidDel="00000000" w:rsidR="00000000" w:rsidRPr="00000000">
        <w:rPr>
          <w:sz w:val="22"/>
          <w:szCs w:val="22"/>
          <w:rtl w:val="0"/>
        </w:rPr>
        <w:t xml:space="preserve">There are difficulties in accessing secondary care, and continued prescribing occurs due to the lack of accessible alternatives (Seddon et al 2024, p.4). Further barriers to secondary care include extensive waiting times, and both the practitioner and patients’ perception of their efficacy (Hamilton et al 2022 p.4088, Seddon et al 2024 p.4). </w:t>
      </w:r>
    </w:p>
    <w:p w:rsidR="00000000" w:rsidDel="00000000" w:rsidP="00000000" w:rsidRDefault="00000000" w:rsidRPr="00000000" w14:paraId="00000523">
      <w:pPr>
        <w:spacing w:line="480" w:lineRule="auto"/>
        <w:jc w:val="both"/>
        <w:rPr>
          <w:sz w:val="22"/>
          <w:szCs w:val="22"/>
        </w:rPr>
      </w:pPr>
      <w:r w:rsidDel="00000000" w:rsidR="00000000" w:rsidRPr="00000000">
        <w:rPr>
          <w:rtl w:val="0"/>
        </w:rPr>
      </w:r>
    </w:p>
    <w:p w:rsidR="00000000" w:rsidDel="00000000" w:rsidP="00000000" w:rsidRDefault="00000000" w:rsidRPr="00000000" w14:paraId="00000524">
      <w:pPr>
        <w:spacing w:line="480" w:lineRule="auto"/>
        <w:jc w:val="both"/>
        <w:rPr>
          <w:sz w:val="22"/>
          <w:szCs w:val="22"/>
        </w:rPr>
      </w:pPr>
      <w:r w:rsidDel="00000000" w:rsidR="00000000" w:rsidRPr="00000000">
        <w:rPr>
          <w:sz w:val="22"/>
          <w:szCs w:val="22"/>
          <w:rtl w:val="0"/>
        </w:rPr>
        <w:t xml:space="preserve">Psychological therapy was considered varied in its efficacy, with 14 General Practitioners interviewed by Bosman et al (2015, p.713). They suggested their patients were psychologically dependent on their antidepressants and their mental health was associated with poor weather, suggesting Seasonal Affective Disorder as opposed to classic depression. Although medical professionals offered information about CBT, they acted as “</w:t>
      </w:r>
      <w:r w:rsidDel="00000000" w:rsidR="00000000" w:rsidRPr="00000000">
        <w:rPr>
          <w:i w:val="1"/>
          <w:sz w:val="22"/>
          <w:szCs w:val="22"/>
          <w:rtl w:val="0"/>
        </w:rPr>
        <w:t xml:space="preserve">gatekeepers</w:t>
      </w:r>
      <w:r w:rsidDel="00000000" w:rsidR="00000000" w:rsidRPr="00000000">
        <w:rPr>
          <w:sz w:val="22"/>
          <w:szCs w:val="22"/>
          <w:rtl w:val="0"/>
        </w:rPr>
        <w:t xml:space="preserve">”, and a subsequent negotiation between themselves and the patient (Bayliss and Hottum 2015, p.328). </w:t>
      </w:r>
    </w:p>
    <w:p w:rsidR="00000000" w:rsidDel="00000000" w:rsidP="00000000" w:rsidRDefault="00000000" w:rsidRPr="00000000" w14:paraId="00000525">
      <w:pPr>
        <w:pStyle w:val="Heading2"/>
        <w:numPr>
          <w:ilvl w:val="1"/>
          <w:numId w:val="10"/>
        </w:numPr>
        <w:spacing w:line="480" w:lineRule="auto"/>
        <w:ind w:left="720" w:hanging="720"/>
        <w:rPr/>
      </w:pPr>
      <w:bookmarkStart w:colFirst="0" w:colLast="0" w:name="_heading=h.206ipza" w:id="55"/>
      <w:bookmarkEnd w:id="55"/>
      <w:r w:rsidDel="00000000" w:rsidR="00000000" w:rsidRPr="00000000">
        <w:rPr>
          <w:rtl w:val="0"/>
        </w:rPr>
        <w:t xml:space="preserve">Discussion and Conclusion</w:t>
      </w:r>
    </w:p>
    <w:p w:rsidR="00000000" w:rsidDel="00000000" w:rsidP="00000000" w:rsidRDefault="00000000" w:rsidRPr="00000000" w14:paraId="00000526">
      <w:pPr>
        <w:spacing w:line="480" w:lineRule="auto"/>
        <w:jc w:val="both"/>
        <w:rPr>
          <w:sz w:val="22"/>
          <w:szCs w:val="22"/>
        </w:rPr>
      </w:pPr>
      <w:r w:rsidDel="00000000" w:rsidR="00000000" w:rsidRPr="00000000">
        <w:rPr>
          <w:sz w:val="22"/>
          <w:szCs w:val="22"/>
          <w:rtl w:val="0"/>
        </w:rPr>
        <w:t xml:space="preserve">This chapter has provided a review of the literature exploring prescribed drug dependence, through three themes. Much of the literature discusses antidepressant and opioid medicines. It used a narrative approach, encompassing 69 papers published between 2014 and 2024 per Cronin et al’s suggestion (2010). </w:t>
      </w:r>
    </w:p>
    <w:p w:rsidR="00000000" w:rsidDel="00000000" w:rsidP="00000000" w:rsidRDefault="00000000" w:rsidRPr="00000000" w14:paraId="00000527">
      <w:pPr>
        <w:spacing w:line="480" w:lineRule="auto"/>
        <w:jc w:val="both"/>
        <w:rPr>
          <w:sz w:val="22"/>
          <w:szCs w:val="22"/>
        </w:rPr>
      </w:pPr>
      <w:r w:rsidDel="00000000" w:rsidR="00000000" w:rsidRPr="00000000">
        <w:rPr>
          <w:rtl w:val="0"/>
        </w:rPr>
      </w:r>
    </w:p>
    <w:p w:rsidR="00000000" w:rsidDel="00000000" w:rsidP="00000000" w:rsidRDefault="00000000" w:rsidRPr="00000000" w14:paraId="00000528">
      <w:pPr>
        <w:spacing w:line="480" w:lineRule="auto"/>
        <w:jc w:val="both"/>
        <w:rPr>
          <w:sz w:val="22"/>
          <w:szCs w:val="22"/>
        </w:rPr>
      </w:pPr>
      <w:r w:rsidDel="00000000" w:rsidR="00000000" w:rsidRPr="00000000">
        <w:rPr>
          <w:sz w:val="22"/>
          <w:szCs w:val="22"/>
          <w:rtl w:val="0"/>
        </w:rPr>
        <w:t xml:space="preserve">There was a large proportion of papers discussing the dependence and withdrawal from antidepressants (</w:t>
      </w:r>
      <w:r w:rsidDel="00000000" w:rsidR="00000000" w:rsidRPr="00000000">
        <w:rPr>
          <w:i w:val="1"/>
          <w:sz w:val="22"/>
          <w:szCs w:val="22"/>
          <w:rtl w:val="0"/>
        </w:rPr>
        <w:t xml:space="preserve">n=</w:t>
      </w:r>
      <w:r w:rsidDel="00000000" w:rsidR="00000000" w:rsidRPr="00000000">
        <w:rPr>
          <w:sz w:val="22"/>
          <w:szCs w:val="22"/>
          <w:rtl w:val="0"/>
        </w:rPr>
        <w:t xml:space="preserve"> 20) and opioids (</w:t>
      </w:r>
      <w:r w:rsidDel="00000000" w:rsidR="00000000" w:rsidRPr="00000000">
        <w:rPr>
          <w:i w:val="1"/>
          <w:sz w:val="22"/>
          <w:szCs w:val="22"/>
          <w:rtl w:val="0"/>
        </w:rPr>
        <w:t xml:space="preserve">n=</w:t>
      </w:r>
      <w:r w:rsidDel="00000000" w:rsidR="00000000" w:rsidRPr="00000000">
        <w:rPr>
          <w:sz w:val="22"/>
          <w:szCs w:val="22"/>
          <w:rtl w:val="0"/>
        </w:rPr>
        <w:t xml:space="preserve"> 28) was highlighted. According to the World Health Organisation, the number of individuals experiencing depression is estimated to be 280 million, or 5% of the global population, and is cited as the leading cause of disability globally (World Health Organisation 2023). </w:t>
      </w:r>
    </w:p>
    <w:p w:rsidR="00000000" w:rsidDel="00000000" w:rsidP="00000000" w:rsidRDefault="00000000" w:rsidRPr="00000000" w14:paraId="00000529">
      <w:pPr>
        <w:spacing w:line="480" w:lineRule="auto"/>
        <w:jc w:val="both"/>
        <w:rPr>
          <w:sz w:val="22"/>
          <w:szCs w:val="22"/>
        </w:rPr>
      </w:pPr>
      <w:r w:rsidDel="00000000" w:rsidR="00000000" w:rsidRPr="00000000">
        <w:rPr>
          <w:rtl w:val="0"/>
        </w:rPr>
      </w:r>
    </w:p>
    <w:p w:rsidR="00000000" w:rsidDel="00000000" w:rsidP="00000000" w:rsidRDefault="00000000" w:rsidRPr="00000000" w14:paraId="0000052A">
      <w:pPr>
        <w:spacing w:line="480" w:lineRule="auto"/>
        <w:jc w:val="both"/>
        <w:rPr>
          <w:sz w:val="22"/>
          <w:szCs w:val="22"/>
        </w:rPr>
      </w:pPr>
      <w:r w:rsidDel="00000000" w:rsidR="00000000" w:rsidRPr="00000000">
        <w:rPr>
          <w:sz w:val="22"/>
          <w:szCs w:val="22"/>
          <w:rtl w:val="0"/>
        </w:rPr>
        <w:t xml:space="preserve">There is a global increase in the prescribing of antidepressant medicines, with numerous epidemiological studies assessing the prevalence of depression have showing an increase in antidepressant prescribing in industrialised countries (Lunghi et al 2022). There are concerns this increase in prescribing is indicative of an over-diagnosis of depression, and a subsequent overuse of these medicines (Middleton and Moncrieff 2011, Spence 2016). Prescribing rates may be explained to some extent by the impact of the COVID-19 pandemic, which has shown to have huge implications for the global health burden of depression (Lalji et al 2021, Santomaruo et al 2021). </w:t>
      </w:r>
    </w:p>
    <w:p w:rsidR="00000000" w:rsidDel="00000000" w:rsidP="00000000" w:rsidRDefault="00000000" w:rsidRPr="00000000" w14:paraId="0000052B">
      <w:pPr>
        <w:spacing w:line="480" w:lineRule="auto"/>
        <w:jc w:val="both"/>
        <w:rPr>
          <w:sz w:val="22"/>
          <w:szCs w:val="22"/>
        </w:rPr>
      </w:pPr>
      <w:r w:rsidDel="00000000" w:rsidR="00000000" w:rsidRPr="00000000">
        <w:rPr>
          <w:rtl w:val="0"/>
        </w:rPr>
      </w:r>
    </w:p>
    <w:p w:rsidR="00000000" w:rsidDel="00000000" w:rsidP="00000000" w:rsidRDefault="00000000" w:rsidRPr="00000000" w14:paraId="0000052C">
      <w:pPr>
        <w:spacing w:line="480" w:lineRule="auto"/>
        <w:jc w:val="both"/>
        <w:rPr>
          <w:sz w:val="22"/>
          <w:szCs w:val="22"/>
        </w:rPr>
      </w:pPr>
      <w:r w:rsidDel="00000000" w:rsidR="00000000" w:rsidRPr="00000000">
        <w:rPr>
          <w:sz w:val="22"/>
          <w:szCs w:val="22"/>
          <w:rtl w:val="0"/>
        </w:rPr>
        <w:t xml:space="preserve">Furthermore, 10 studies exploring antidepressants were published by the same group of authors (Cartwright et al 2015, Gibson et al 2016, Read and Williams 2018, Read et al 2018, Read et al 2020, Read et al 2020, Davies and Read 2021, Read 2021, Read et al 2023, Read et al 2023). Two of these studies used the same data set (Read et al 2018, Read et al 2020). Although the aim of the three studies vary, it does mean the respondents from their “</w:t>
      </w:r>
      <w:r w:rsidDel="00000000" w:rsidR="00000000" w:rsidRPr="00000000">
        <w:rPr>
          <w:i w:val="1"/>
          <w:sz w:val="22"/>
          <w:szCs w:val="22"/>
          <w:rtl w:val="0"/>
        </w:rPr>
        <w:t xml:space="preserve">Views and Experiences of Antidepressants</w:t>
      </w:r>
      <w:r w:rsidDel="00000000" w:rsidR="00000000" w:rsidRPr="00000000">
        <w:rPr>
          <w:sz w:val="22"/>
          <w:szCs w:val="22"/>
          <w:rtl w:val="0"/>
        </w:rPr>
        <w:t xml:space="preserve">” questionnaire are the same, and the same experiences are portrayed multiple times. This could have been circumvented by excluding these studies, however since the key findings are different all studies were included. </w:t>
      </w:r>
    </w:p>
    <w:p w:rsidR="00000000" w:rsidDel="00000000" w:rsidP="00000000" w:rsidRDefault="00000000" w:rsidRPr="00000000" w14:paraId="0000052D">
      <w:pPr>
        <w:spacing w:line="480" w:lineRule="auto"/>
        <w:jc w:val="both"/>
        <w:rPr>
          <w:sz w:val="22"/>
          <w:szCs w:val="22"/>
        </w:rPr>
      </w:pPr>
      <w:r w:rsidDel="00000000" w:rsidR="00000000" w:rsidRPr="00000000">
        <w:rPr>
          <w:rtl w:val="0"/>
        </w:rPr>
      </w:r>
    </w:p>
    <w:p w:rsidR="00000000" w:rsidDel="00000000" w:rsidP="00000000" w:rsidRDefault="00000000" w:rsidRPr="00000000" w14:paraId="0000052E">
      <w:pPr>
        <w:spacing w:line="480" w:lineRule="auto"/>
        <w:jc w:val="both"/>
        <w:rPr>
          <w:sz w:val="22"/>
          <w:szCs w:val="22"/>
        </w:rPr>
      </w:pPr>
      <w:r w:rsidDel="00000000" w:rsidR="00000000" w:rsidRPr="00000000">
        <w:rPr>
          <w:sz w:val="22"/>
          <w:szCs w:val="22"/>
          <w:rtl w:val="0"/>
        </w:rPr>
        <w:t xml:space="preserve">The high number of opioid-related papers in this review may be due to the high number of USA-based studies, with the long and well documented Opioid Crisis and high prescribing rates (National Institute on Drug Abuse 2021). Most studies exploring this therapeutic group were published in the United States of America (</w:t>
      </w:r>
      <w:r w:rsidDel="00000000" w:rsidR="00000000" w:rsidRPr="00000000">
        <w:rPr>
          <w:i w:val="1"/>
          <w:sz w:val="22"/>
          <w:szCs w:val="22"/>
          <w:rtl w:val="0"/>
        </w:rPr>
        <w:t xml:space="preserve">n=</w:t>
      </w:r>
      <w:r w:rsidDel="00000000" w:rsidR="00000000" w:rsidRPr="00000000">
        <w:rPr>
          <w:sz w:val="22"/>
          <w:szCs w:val="22"/>
          <w:rtl w:val="0"/>
        </w:rPr>
        <w:t xml:space="preserve"> 10) (Matthias et al 2017, Wu et al 2019, Hillman et al 2019, Nichols et al 2020, Dekker et al 2020, Cho et al 2021, Carey et al 2021, Benintendi et al 2021, Kosakowski et al 2022, Montag Schafer et al 2022, Nichols et al 2023, Schnieder et al 2023, Yarborough et al 2024). The United States has a unique healthcare system, operating on a personal medical insurance basis, with vast differences between the United States healthcare system and that in the United Kingdom (Department for Professional Employees 2016 p.1, Aquino 2020). Other factors include pharmaceutical advertising, which is not permitted in the United Kingdom (Prescription Drug Marketing Act 1987), twice as greater healthcare expenditure per capita in the United States and United Kingdom (OECD 2021), and finally, financial incentives provided to American medical professionals (Clemens and Gottlieb 2014, p.1339). </w:t>
      </w:r>
    </w:p>
    <w:p w:rsidR="00000000" w:rsidDel="00000000" w:rsidP="00000000" w:rsidRDefault="00000000" w:rsidRPr="00000000" w14:paraId="0000052F">
      <w:pPr>
        <w:spacing w:line="480" w:lineRule="auto"/>
        <w:jc w:val="both"/>
        <w:rPr>
          <w:sz w:val="22"/>
          <w:szCs w:val="22"/>
        </w:rPr>
      </w:pPr>
      <w:r w:rsidDel="00000000" w:rsidR="00000000" w:rsidRPr="00000000">
        <w:rPr>
          <w:rtl w:val="0"/>
        </w:rPr>
      </w:r>
    </w:p>
    <w:p w:rsidR="00000000" w:rsidDel="00000000" w:rsidP="00000000" w:rsidRDefault="00000000" w:rsidRPr="00000000" w14:paraId="00000530">
      <w:pPr>
        <w:spacing w:line="480" w:lineRule="auto"/>
        <w:jc w:val="both"/>
        <w:rPr>
          <w:sz w:val="22"/>
          <w:szCs w:val="22"/>
        </w:rPr>
      </w:pPr>
      <w:r w:rsidDel="00000000" w:rsidR="00000000" w:rsidRPr="00000000">
        <w:rPr>
          <w:sz w:val="22"/>
          <w:szCs w:val="22"/>
          <w:rtl w:val="0"/>
        </w:rPr>
        <w:t xml:space="preserve">Four of the six studies exploring more than one therapeutic group involve the polypharmacy of benzodiazepines and z-drugs (Cheung et al 2015, Gabe et al 2016, Sirdifield et al 2017, Lahteenmaki et al 2018, Mokhar et al 2019, Mokhar et al 2019, Cosci and Chouinard 2020). Polypharmacy is defined as the “</w:t>
      </w:r>
      <w:r w:rsidDel="00000000" w:rsidR="00000000" w:rsidRPr="00000000">
        <w:rPr>
          <w:i w:val="1"/>
          <w:sz w:val="22"/>
          <w:szCs w:val="22"/>
          <w:rtl w:val="0"/>
        </w:rPr>
        <w:t xml:space="preserve">multimorbidity and the associated use of multiple medicines</w:t>
      </w:r>
      <w:r w:rsidDel="00000000" w:rsidR="00000000" w:rsidRPr="00000000">
        <w:rPr>
          <w:sz w:val="22"/>
          <w:szCs w:val="22"/>
          <w:rtl w:val="0"/>
        </w:rPr>
        <w:t xml:space="preserve">” (Masnoon et al 2017). As explored in previous chapters, both therapeutic groups are indicated for insomnia (Greater Manchester Medicine Management Group, 2019). Considering the indications and the therapeutic benefits of these medicines, they are often used in conjunction (Mokhar et al 2019). The co-prescribing of benzodiazepines and z-hypnotics remain a challenge in the United Kingdom (Scottish Government 2022). Some reports suggest 6.8% of adults in Scotland, receive both a benzodiazepine and z-drug prescription in 2020/2021 (Scottish Government 2022). </w:t>
      </w:r>
    </w:p>
    <w:p w:rsidR="00000000" w:rsidDel="00000000" w:rsidP="00000000" w:rsidRDefault="00000000" w:rsidRPr="00000000" w14:paraId="00000531">
      <w:pPr>
        <w:spacing w:line="480" w:lineRule="auto"/>
        <w:jc w:val="both"/>
        <w:rPr>
          <w:sz w:val="22"/>
          <w:szCs w:val="22"/>
        </w:rPr>
      </w:pPr>
      <w:r w:rsidDel="00000000" w:rsidR="00000000" w:rsidRPr="00000000">
        <w:rPr>
          <w:rtl w:val="0"/>
        </w:rPr>
      </w:r>
    </w:p>
    <w:p w:rsidR="00000000" w:rsidDel="00000000" w:rsidP="00000000" w:rsidRDefault="00000000" w:rsidRPr="00000000" w14:paraId="00000532">
      <w:pPr>
        <w:spacing w:line="480" w:lineRule="auto"/>
        <w:jc w:val="both"/>
        <w:rPr>
          <w:sz w:val="22"/>
          <w:szCs w:val="22"/>
        </w:rPr>
      </w:pPr>
      <w:r w:rsidDel="00000000" w:rsidR="00000000" w:rsidRPr="00000000">
        <w:rPr>
          <w:sz w:val="22"/>
          <w:szCs w:val="22"/>
          <w:rtl w:val="0"/>
        </w:rPr>
        <w:t xml:space="preserve">In conclusion, the literature highlighted a complex perception of medicines, with patients understanding the medical necessity of their use, however, understand these do not come without risks. Balancing these risks and side effects with the management of the health complaint is influenced by the perceived safety of these medicines, alongside both internalised and externalised stigmatisation. Withdrawal symptoms are prominent across all therapeutic groups and can range in their severity and duration. Deprescribing schemes utilise many approaches, such as “</w:t>
      </w:r>
      <w:r w:rsidDel="00000000" w:rsidR="00000000" w:rsidRPr="00000000">
        <w:rPr>
          <w:i w:val="1"/>
          <w:sz w:val="22"/>
          <w:szCs w:val="22"/>
          <w:rtl w:val="0"/>
        </w:rPr>
        <w:t xml:space="preserve">descripting</w:t>
      </w:r>
      <w:r w:rsidDel="00000000" w:rsidR="00000000" w:rsidRPr="00000000">
        <w:rPr>
          <w:sz w:val="22"/>
          <w:szCs w:val="22"/>
          <w:rtl w:val="0"/>
        </w:rPr>
        <w:t xml:space="preserve">”, education and psychosocial interventions. Two papers evaluated deprescribing services (Kesten et al 2020, Cooper et al 2023), which engaged patients in a combination of all three described. The practitioner has an important role to play in the formation and management of prescribed drug dependence. Initially, information sharing regarding the medication and their risks was considered important, as were individual characteristics of the practitioner. Clinical issues, specific professions and prescribing practices were identified as contributors to the dependence on prescribed medicines, and how these can be managed. </w:t>
      </w:r>
    </w:p>
    <w:p w:rsidR="00000000" w:rsidDel="00000000" w:rsidP="00000000" w:rsidRDefault="00000000" w:rsidRPr="00000000" w14:paraId="00000533">
      <w:pPr>
        <w:rPr/>
      </w:pPr>
      <w:r w:rsidDel="00000000" w:rsidR="00000000" w:rsidRPr="00000000">
        <w:rPr>
          <w:rtl w:val="0"/>
        </w:rPr>
      </w:r>
    </w:p>
    <w:p w:rsidR="00000000" w:rsidDel="00000000" w:rsidP="00000000" w:rsidRDefault="00000000" w:rsidRPr="00000000" w14:paraId="00000534">
      <w:pPr>
        <w:rPr/>
      </w:pPr>
      <w:r w:rsidDel="00000000" w:rsidR="00000000" w:rsidRPr="00000000">
        <w:rPr>
          <w:rtl w:val="0"/>
        </w:rPr>
      </w:r>
    </w:p>
    <w:p w:rsidR="00000000" w:rsidDel="00000000" w:rsidP="00000000" w:rsidRDefault="00000000" w:rsidRPr="00000000" w14:paraId="00000535">
      <w:pPr>
        <w:spacing w:line="480" w:lineRule="auto"/>
        <w:jc w:val="both"/>
        <w:rPr>
          <w:sz w:val="22"/>
          <w:szCs w:val="22"/>
        </w:rPr>
      </w:pPr>
      <w:r w:rsidDel="00000000" w:rsidR="00000000" w:rsidRPr="00000000">
        <w:rPr>
          <w:rtl w:val="0"/>
        </w:rPr>
      </w:r>
    </w:p>
    <w:p w:rsidR="00000000" w:rsidDel="00000000" w:rsidP="00000000" w:rsidRDefault="00000000" w:rsidRPr="00000000" w14:paraId="00000536">
      <w:pPr>
        <w:spacing w:line="480" w:lineRule="auto"/>
        <w:jc w:val="both"/>
        <w:rPr>
          <w:sz w:val="22"/>
          <w:szCs w:val="22"/>
        </w:rPr>
      </w:pPr>
      <w:r w:rsidDel="00000000" w:rsidR="00000000" w:rsidRPr="00000000">
        <w:rPr>
          <w:rtl w:val="0"/>
        </w:rPr>
      </w:r>
    </w:p>
    <w:p w:rsidR="00000000" w:rsidDel="00000000" w:rsidP="00000000" w:rsidRDefault="00000000" w:rsidRPr="00000000" w14:paraId="00000537">
      <w:pPr>
        <w:spacing w:line="480" w:lineRule="auto"/>
        <w:jc w:val="both"/>
        <w:rPr>
          <w:sz w:val="22"/>
          <w:szCs w:val="22"/>
        </w:rPr>
      </w:pPr>
      <w:r w:rsidDel="00000000" w:rsidR="00000000" w:rsidRPr="00000000">
        <w:rPr>
          <w:rtl w:val="0"/>
        </w:rPr>
      </w:r>
    </w:p>
    <w:p w:rsidR="00000000" w:rsidDel="00000000" w:rsidP="00000000" w:rsidRDefault="00000000" w:rsidRPr="00000000" w14:paraId="00000538">
      <w:pPr>
        <w:spacing w:line="480" w:lineRule="auto"/>
        <w:jc w:val="both"/>
        <w:rPr>
          <w:sz w:val="22"/>
          <w:szCs w:val="22"/>
        </w:rPr>
      </w:pPr>
      <w:r w:rsidDel="00000000" w:rsidR="00000000" w:rsidRPr="00000000">
        <w:rPr>
          <w:rtl w:val="0"/>
        </w:rPr>
      </w:r>
    </w:p>
    <w:p w:rsidR="00000000" w:rsidDel="00000000" w:rsidP="00000000" w:rsidRDefault="00000000" w:rsidRPr="00000000" w14:paraId="00000539">
      <w:pPr>
        <w:spacing w:line="480" w:lineRule="auto"/>
        <w:jc w:val="both"/>
        <w:rPr>
          <w:sz w:val="22"/>
          <w:szCs w:val="22"/>
        </w:rPr>
      </w:pPr>
      <w:r w:rsidDel="00000000" w:rsidR="00000000" w:rsidRPr="00000000">
        <w:rPr>
          <w:rtl w:val="0"/>
        </w:rPr>
      </w:r>
    </w:p>
    <w:p w:rsidR="00000000" w:rsidDel="00000000" w:rsidP="00000000" w:rsidRDefault="00000000" w:rsidRPr="00000000" w14:paraId="0000053A">
      <w:pPr>
        <w:spacing w:line="480" w:lineRule="auto"/>
        <w:jc w:val="both"/>
        <w:rPr>
          <w:sz w:val="22"/>
          <w:szCs w:val="22"/>
        </w:rPr>
      </w:pPr>
      <w:r w:rsidDel="00000000" w:rsidR="00000000" w:rsidRPr="00000000">
        <w:rPr>
          <w:rtl w:val="0"/>
        </w:rPr>
      </w:r>
    </w:p>
    <w:p w:rsidR="00000000" w:rsidDel="00000000" w:rsidP="00000000" w:rsidRDefault="00000000" w:rsidRPr="00000000" w14:paraId="0000053B">
      <w:pPr>
        <w:pStyle w:val="Heading1"/>
        <w:spacing w:line="480" w:lineRule="auto"/>
        <w:jc w:val="both"/>
        <w:rPr/>
      </w:pPr>
      <w:bookmarkStart w:colFirst="0" w:colLast="0" w:name="_heading=h.4k668n3" w:id="56"/>
      <w:bookmarkEnd w:id="56"/>
      <w:r w:rsidDel="00000000" w:rsidR="00000000" w:rsidRPr="00000000">
        <w:rPr>
          <w:rtl w:val="0"/>
        </w:rPr>
        <w:t xml:space="preserve">Chapter Four – Methodology </w:t>
      </w:r>
    </w:p>
    <w:p w:rsidR="00000000" w:rsidDel="00000000" w:rsidP="00000000" w:rsidRDefault="00000000" w:rsidRPr="00000000" w14:paraId="0000053C">
      <w:pPr>
        <w:spacing w:line="480" w:lineRule="auto"/>
        <w:jc w:val="both"/>
        <w:rPr>
          <w:sz w:val="22"/>
          <w:szCs w:val="22"/>
        </w:rPr>
      </w:pPr>
      <w:r w:rsidDel="00000000" w:rsidR="00000000" w:rsidRPr="00000000">
        <w:rPr>
          <w:sz w:val="22"/>
          <w:szCs w:val="22"/>
          <w:rtl w:val="0"/>
        </w:rPr>
        <w:t xml:space="preserve">Chapter Four will present the research methodology. This research used a qualitative approach, utilising semi-structured interviews to collect data, and analysed using Braun and Clarke’s Thematic Analysis (2006). Overall, thirteen interviews were conducted with participants who self-identified as having experienced a dependence or associated withdrawal symptoms from prescribed medicines. Participants were recruited opportunistically using social media, posters displayed in medical settings and a university staff and student circular email. Interviews took place between November 2021 and August 2023, ranging between 30 minutes and 7 seconds to 1 hour and 40 minutes in length. </w:t>
      </w:r>
    </w:p>
    <w:p w:rsidR="00000000" w:rsidDel="00000000" w:rsidP="00000000" w:rsidRDefault="00000000" w:rsidRPr="00000000" w14:paraId="0000053D">
      <w:pPr>
        <w:spacing w:line="480" w:lineRule="auto"/>
        <w:jc w:val="both"/>
        <w:rPr>
          <w:sz w:val="22"/>
          <w:szCs w:val="22"/>
        </w:rPr>
      </w:pPr>
      <w:r w:rsidDel="00000000" w:rsidR="00000000" w:rsidRPr="00000000">
        <w:rPr>
          <w:rtl w:val="0"/>
        </w:rPr>
      </w:r>
    </w:p>
    <w:p w:rsidR="00000000" w:rsidDel="00000000" w:rsidP="00000000" w:rsidRDefault="00000000" w:rsidRPr="00000000" w14:paraId="0000053E">
      <w:pPr>
        <w:spacing w:line="480" w:lineRule="auto"/>
        <w:jc w:val="both"/>
        <w:rPr>
          <w:sz w:val="22"/>
          <w:szCs w:val="22"/>
        </w:rPr>
      </w:pPr>
      <w:r w:rsidDel="00000000" w:rsidR="00000000" w:rsidRPr="00000000">
        <w:rPr>
          <w:sz w:val="22"/>
          <w:szCs w:val="22"/>
          <w:rtl w:val="0"/>
        </w:rPr>
        <w:t xml:space="preserve">Alternative methodologies will be presented, before arguing the chosen approach is most appropriate to explore this topic. This chapter will also consider the ethical issues associated with this type of research, as well as providing a detailed description of the sampling, data analysis and collection methods. Lincoln and Guba’s (1985) model of trustworthiness will be used to ensure the credibility, transferability and dependability of this research.</w:t>
      </w:r>
    </w:p>
    <w:p w:rsidR="00000000" w:rsidDel="00000000" w:rsidP="00000000" w:rsidRDefault="00000000" w:rsidRPr="00000000" w14:paraId="0000053F">
      <w:pPr>
        <w:spacing w:line="480" w:lineRule="auto"/>
        <w:jc w:val="both"/>
        <w:rPr>
          <w:sz w:val="22"/>
          <w:szCs w:val="22"/>
        </w:rPr>
      </w:pPr>
      <w:r w:rsidDel="00000000" w:rsidR="00000000" w:rsidRPr="00000000">
        <w:rPr>
          <w:rtl w:val="0"/>
        </w:rPr>
      </w:r>
    </w:p>
    <w:p w:rsidR="00000000" w:rsidDel="00000000" w:rsidP="00000000" w:rsidRDefault="00000000" w:rsidRPr="00000000" w14:paraId="00000540">
      <w:pPr>
        <w:pStyle w:val="Heading2"/>
        <w:numPr>
          <w:ilvl w:val="1"/>
          <w:numId w:val="28"/>
        </w:numPr>
        <w:spacing w:line="480" w:lineRule="auto"/>
        <w:ind w:left="720" w:hanging="720"/>
        <w:rPr/>
      </w:pPr>
      <w:bookmarkStart w:colFirst="0" w:colLast="0" w:name="_heading=h.2zbgiuw" w:id="57"/>
      <w:bookmarkEnd w:id="57"/>
      <w:r w:rsidDel="00000000" w:rsidR="00000000" w:rsidRPr="00000000">
        <w:rPr>
          <w:rtl w:val="0"/>
        </w:rPr>
        <w:t xml:space="preserve">Ontology and Epistemology</w:t>
      </w:r>
    </w:p>
    <w:p w:rsidR="00000000" w:rsidDel="00000000" w:rsidP="00000000" w:rsidRDefault="00000000" w:rsidRPr="00000000" w14:paraId="00000541">
      <w:pPr>
        <w:spacing w:line="480" w:lineRule="auto"/>
        <w:jc w:val="both"/>
        <w:rPr>
          <w:sz w:val="22"/>
          <w:szCs w:val="22"/>
        </w:rPr>
      </w:pPr>
      <w:r w:rsidDel="00000000" w:rsidR="00000000" w:rsidRPr="00000000">
        <w:rPr>
          <w:sz w:val="22"/>
          <w:szCs w:val="22"/>
          <w:rtl w:val="0"/>
        </w:rPr>
        <w:t xml:space="preserve">Ontology studies the “</w:t>
      </w:r>
      <w:r w:rsidDel="00000000" w:rsidR="00000000" w:rsidRPr="00000000">
        <w:rPr>
          <w:i w:val="1"/>
          <w:sz w:val="22"/>
          <w:szCs w:val="22"/>
          <w:rtl w:val="0"/>
        </w:rPr>
        <w:t xml:space="preserve">nature of reality and what there is to know</w:t>
      </w:r>
      <w:r w:rsidDel="00000000" w:rsidR="00000000" w:rsidRPr="00000000">
        <w:rPr>
          <w:sz w:val="22"/>
          <w:szCs w:val="22"/>
          <w:rtl w:val="0"/>
        </w:rPr>
        <w:t xml:space="preserve">”, and “</w:t>
      </w:r>
      <w:r w:rsidDel="00000000" w:rsidR="00000000" w:rsidRPr="00000000">
        <w:rPr>
          <w:i w:val="1"/>
          <w:sz w:val="22"/>
          <w:szCs w:val="22"/>
          <w:rtl w:val="0"/>
        </w:rPr>
        <w:t xml:space="preserve">the differing paradigms in which the world is to be understood</w:t>
      </w:r>
      <w:r w:rsidDel="00000000" w:rsidR="00000000" w:rsidRPr="00000000">
        <w:rPr>
          <w:sz w:val="22"/>
          <w:szCs w:val="22"/>
          <w:rtl w:val="0"/>
        </w:rPr>
        <w:t xml:space="preserve">” (Cohen et al 2018, Thomas 2017, Willig 2013), where epistemology is concerned with how one locates knowledge (Braun and Clarke 2013). This research uses a Constructionist ontology and Interpretivist epistemology.</w:t>
      </w:r>
    </w:p>
    <w:p w:rsidR="00000000" w:rsidDel="00000000" w:rsidP="00000000" w:rsidRDefault="00000000" w:rsidRPr="00000000" w14:paraId="00000542">
      <w:pPr>
        <w:spacing w:line="480" w:lineRule="auto"/>
        <w:jc w:val="both"/>
        <w:rPr>
          <w:sz w:val="22"/>
          <w:szCs w:val="22"/>
        </w:rPr>
      </w:pPr>
      <w:r w:rsidDel="00000000" w:rsidR="00000000" w:rsidRPr="00000000">
        <w:rPr>
          <w:rtl w:val="0"/>
        </w:rPr>
      </w:r>
    </w:p>
    <w:p w:rsidR="00000000" w:rsidDel="00000000" w:rsidP="00000000" w:rsidRDefault="00000000" w:rsidRPr="00000000" w14:paraId="00000543">
      <w:pPr>
        <w:spacing w:line="480" w:lineRule="auto"/>
        <w:jc w:val="both"/>
        <w:rPr>
          <w:sz w:val="22"/>
          <w:szCs w:val="22"/>
        </w:rPr>
      </w:pPr>
      <w:r w:rsidDel="00000000" w:rsidR="00000000" w:rsidRPr="00000000">
        <w:rPr>
          <w:sz w:val="22"/>
          <w:szCs w:val="22"/>
          <w:rtl w:val="0"/>
        </w:rPr>
        <w:t xml:space="preserve">This study adopted an Interpretivist Constructionist approach. The Interpretivist Constructionist approach emphasises the notion knowledge is constructed through social interaction, whilst understanding the meanings attached to their experiences. To explore the experiences of those dependent on, or have experienced withdrawal symptoms associated with, prescribed medicines and their experiences of care and treatment, this research utilised semi-structured interviews. This data was analysed using Thematic Analysis (Braun and Clarke, 2006). </w:t>
      </w:r>
    </w:p>
    <w:p w:rsidR="00000000" w:rsidDel="00000000" w:rsidP="00000000" w:rsidRDefault="00000000" w:rsidRPr="00000000" w14:paraId="00000544">
      <w:pPr>
        <w:spacing w:line="480" w:lineRule="auto"/>
        <w:jc w:val="both"/>
        <w:rPr>
          <w:sz w:val="22"/>
          <w:szCs w:val="22"/>
        </w:rPr>
      </w:pPr>
      <w:r w:rsidDel="00000000" w:rsidR="00000000" w:rsidRPr="00000000">
        <w:rPr>
          <w:rtl w:val="0"/>
        </w:rPr>
      </w:r>
    </w:p>
    <w:p w:rsidR="00000000" w:rsidDel="00000000" w:rsidP="00000000" w:rsidRDefault="00000000" w:rsidRPr="00000000" w14:paraId="00000545">
      <w:pPr>
        <w:spacing w:line="480" w:lineRule="auto"/>
        <w:jc w:val="both"/>
        <w:rPr>
          <w:sz w:val="22"/>
          <w:szCs w:val="22"/>
        </w:rPr>
      </w:pPr>
      <w:r w:rsidDel="00000000" w:rsidR="00000000" w:rsidRPr="00000000">
        <w:rPr>
          <w:sz w:val="22"/>
          <w:szCs w:val="22"/>
          <w:rtl w:val="0"/>
        </w:rPr>
        <w:t xml:space="preserve">An Interpretivist Constructionist approach proposes there is no single reality or truth, with reality created by individuals that requires interpretation (Crotty, 1998).  It is posited reality is dependent on the individual experience and cannot exist without a socially constructed meaning (Chater 2021, p.63), and those who use prescribed medicines have subjective individual experiences of their health condition, medication use, their care that is contextualised in their own worlds (Chater 2021, p.63). Therefore, individual accounts of prescribed medicines, dependence and experiences of care are subjective, and subsequently require an interpretivist approach. </w:t>
      </w:r>
    </w:p>
    <w:p w:rsidR="00000000" w:rsidDel="00000000" w:rsidP="00000000" w:rsidRDefault="00000000" w:rsidRPr="00000000" w14:paraId="00000546">
      <w:pPr>
        <w:spacing w:line="480" w:lineRule="auto"/>
        <w:jc w:val="both"/>
        <w:rPr>
          <w:sz w:val="22"/>
          <w:szCs w:val="22"/>
        </w:rPr>
      </w:pPr>
      <w:r w:rsidDel="00000000" w:rsidR="00000000" w:rsidRPr="00000000">
        <w:rPr>
          <w:rtl w:val="0"/>
        </w:rPr>
      </w:r>
    </w:p>
    <w:p w:rsidR="00000000" w:rsidDel="00000000" w:rsidP="00000000" w:rsidRDefault="00000000" w:rsidRPr="00000000" w14:paraId="00000547">
      <w:pPr>
        <w:spacing w:line="480" w:lineRule="auto"/>
        <w:jc w:val="both"/>
        <w:rPr>
          <w:sz w:val="22"/>
          <w:szCs w:val="22"/>
        </w:rPr>
      </w:pPr>
      <w:r w:rsidDel="00000000" w:rsidR="00000000" w:rsidRPr="00000000">
        <w:rPr>
          <w:sz w:val="22"/>
          <w:szCs w:val="22"/>
          <w:rtl w:val="0"/>
        </w:rPr>
        <w:t xml:space="preserve">It “</w:t>
      </w:r>
      <w:r w:rsidDel="00000000" w:rsidR="00000000" w:rsidRPr="00000000">
        <w:rPr>
          <w:i w:val="1"/>
          <w:sz w:val="22"/>
          <w:szCs w:val="22"/>
          <w:rtl w:val="0"/>
        </w:rPr>
        <w:t xml:space="preserve">takes human interpretation as the starting point for developing knowledge about the social world”</w:t>
      </w:r>
      <w:r w:rsidDel="00000000" w:rsidR="00000000" w:rsidRPr="00000000">
        <w:rPr>
          <w:sz w:val="22"/>
          <w:szCs w:val="22"/>
          <w:rtl w:val="0"/>
        </w:rPr>
        <w:t xml:space="preserve">, with knowledge “</w:t>
      </w:r>
      <w:r w:rsidDel="00000000" w:rsidR="00000000" w:rsidRPr="00000000">
        <w:rPr>
          <w:i w:val="1"/>
          <w:sz w:val="22"/>
          <w:szCs w:val="22"/>
          <w:rtl w:val="0"/>
        </w:rPr>
        <w:t xml:space="preserve">constructed through interactions between people and the world</w:t>
      </w:r>
      <w:r w:rsidDel="00000000" w:rsidR="00000000" w:rsidRPr="00000000">
        <w:rPr>
          <w:sz w:val="22"/>
          <w:szCs w:val="22"/>
          <w:rtl w:val="0"/>
        </w:rPr>
        <w:t xml:space="preserve">” (Prasad 2005 p.13, Burr 2015). The world view is dependent on characteristics of the social actor, such as culture, socioeconomic status, religion, or education that they have gained from their environment (Balbi 2008, Silverman 2011, Denzin and Lincoln 2018). Both researcher and participant have an interchangeable impact on the world, however, producing knowledge based on interactions can result in subjective knowledge (Burr 2015, Silverman 2011, Bryman 2015). Glaser (2005) suggests that there is a possibility of bias and subjectivity within research. This is because the researcher themselves have a complex history, and therefore cannot be considered completely objective Taylor et al, 1999). This can leave the data open to both active and passive influence (Taylor et al, 1999). </w:t>
      </w:r>
    </w:p>
    <w:p w:rsidR="00000000" w:rsidDel="00000000" w:rsidP="00000000" w:rsidRDefault="00000000" w:rsidRPr="00000000" w14:paraId="00000548">
      <w:pPr>
        <w:spacing w:line="480" w:lineRule="auto"/>
        <w:jc w:val="both"/>
        <w:rPr>
          <w:sz w:val="22"/>
          <w:szCs w:val="22"/>
        </w:rPr>
      </w:pPr>
      <w:r w:rsidDel="00000000" w:rsidR="00000000" w:rsidRPr="00000000">
        <w:rPr>
          <w:rtl w:val="0"/>
        </w:rPr>
      </w:r>
    </w:p>
    <w:p w:rsidR="00000000" w:rsidDel="00000000" w:rsidP="00000000" w:rsidRDefault="00000000" w:rsidRPr="00000000" w14:paraId="00000549">
      <w:pPr>
        <w:spacing w:line="480" w:lineRule="auto"/>
        <w:jc w:val="both"/>
        <w:rPr>
          <w:sz w:val="22"/>
          <w:szCs w:val="22"/>
        </w:rPr>
      </w:pPr>
      <w:r w:rsidDel="00000000" w:rsidR="00000000" w:rsidRPr="00000000">
        <w:rPr>
          <w:sz w:val="22"/>
          <w:szCs w:val="22"/>
          <w:rtl w:val="0"/>
        </w:rPr>
        <w:t xml:space="preserve">Addiction research benefits from both qualitative and quantitative methodologies, with both approaches evident in the</w:t>
      </w:r>
      <w:r w:rsidDel="00000000" w:rsidR="00000000" w:rsidRPr="00000000">
        <w:rPr>
          <w:rtl w:val="0"/>
        </w:rPr>
        <w:t xml:space="preserve"> </w:t>
      </w:r>
      <w:hyperlink w:anchor="_heading=h.1hmsyys">
        <w:r w:rsidDel="00000000" w:rsidR="00000000" w:rsidRPr="00000000">
          <w:rPr>
            <w:color w:val="467886"/>
            <w:sz w:val="22"/>
            <w:szCs w:val="22"/>
            <w:u w:val="single"/>
            <w:rtl w:val="0"/>
          </w:rPr>
          <w:t xml:space="preserve">Literature Review</w:t>
        </w:r>
      </w:hyperlink>
      <w:r w:rsidDel="00000000" w:rsidR="00000000" w:rsidRPr="00000000">
        <w:rPr>
          <w:sz w:val="22"/>
          <w:szCs w:val="22"/>
          <w:rtl w:val="0"/>
        </w:rPr>
        <w:t xml:space="preserve"> (p. 64).  (Jarvinen-Tassopoulos 2017, p.199). Across addiction research, however, the field is predominantly positivist in its approach, resulting in qualitative publications underrepresented in the literature (Rhodes and Coomber 2009 p59, Rhodes et al 2010, Nichter et al 2004 p.190</w:t>
      </w:r>
      <w:r w:rsidDel="00000000" w:rsidR="00000000" w:rsidRPr="00000000">
        <w:rPr>
          <w:sz w:val="22"/>
          <w:szCs w:val="22"/>
          <w:highlight w:val="white"/>
          <w:rtl w:val="0"/>
        </w:rPr>
        <w:t xml:space="preserve">8). Positivism is a suitable paradigm when exploring the prevalence of specific experiences or outcomes, for example in Read’s extensive contributions (e.g. Read et al, 2020). This approach, however, can often fail to acknowledge individual realities. </w:t>
      </w:r>
      <w:r w:rsidDel="00000000" w:rsidR="00000000" w:rsidRPr="00000000">
        <w:rPr>
          <w:sz w:val="22"/>
          <w:szCs w:val="22"/>
          <w:rtl w:val="0"/>
        </w:rPr>
        <w:t xml:space="preserve">Interpretivist Constructionism recognises there may be multiple realities and suggests individual understanding and interpretation of the social world is imperative, and knowledge can only be gained from studying the lived experience of an individual, thus rejecting the “</w:t>
      </w:r>
      <w:r w:rsidDel="00000000" w:rsidR="00000000" w:rsidRPr="00000000">
        <w:rPr>
          <w:i w:val="1"/>
          <w:sz w:val="22"/>
          <w:szCs w:val="22"/>
          <w:rtl w:val="0"/>
        </w:rPr>
        <w:t xml:space="preserve">single truth</w:t>
      </w:r>
      <w:r w:rsidDel="00000000" w:rsidR="00000000" w:rsidRPr="00000000">
        <w:rPr>
          <w:sz w:val="22"/>
          <w:szCs w:val="22"/>
          <w:rtl w:val="0"/>
        </w:rPr>
        <w:t xml:space="preserve">” (Balbi 2008, Silverman 2011). </w:t>
      </w:r>
    </w:p>
    <w:p w:rsidR="00000000" w:rsidDel="00000000" w:rsidP="00000000" w:rsidRDefault="00000000" w:rsidRPr="00000000" w14:paraId="0000054A">
      <w:pPr>
        <w:spacing w:line="480" w:lineRule="auto"/>
        <w:jc w:val="both"/>
        <w:rPr>
          <w:sz w:val="22"/>
          <w:szCs w:val="22"/>
        </w:rPr>
      </w:pPr>
      <w:r w:rsidDel="00000000" w:rsidR="00000000" w:rsidRPr="00000000">
        <w:rPr>
          <w:rtl w:val="0"/>
        </w:rPr>
      </w:r>
    </w:p>
    <w:p w:rsidR="00000000" w:rsidDel="00000000" w:rsidP="00000000" w:rsidRDefault="00000000" w:rsidRPr="00000000" w14:paraId="0000054B">
      <w:pPr>
        <w:spacing w:line="480" w:lineRule="auto"/>
        <w:jc w:val="both"/>
        <w:rPr>
          <w:sz w:val="22"/>
          <w:szCs w:val="22"/>
        </w:rPr>
      </w:pPr>
      <w:r w:rsidDel="00000000" w:rsidR="00000000" w:rsidRPr="00000000">
        <w:rPr>
          <w:sz w:val="22"/>
          <w:szCs w:val="22"/>
          <w:rtl w:val="0"/>
        </w:rPr>
        <w:t xml:space="preserve">Qualitative work allows the “</w:t>
      </w:r>
      <w:r w:rsidDel="00000000" w:rsidR="00000000" w:rsidRPr="00000000">
        <w:rPr>
          <w:i w:val="1"/>
          <w:sz w:val="22"/>
          <w:szCs w:val="22"/>
          <w:rtl w:val="0"/>
        </w:rPr>
        <w:t xml:space="preserve">how</w:t>
      </w:r>
      <w:r w:rsidDel="00000000" w:rsidR="00000000" w:rsidRPr="00000000">
        <w:rPr>
          <w:sz w:val="22"/>
          <w:szCs w:val="22"/>
          <w:rtl w:val="0"/>
        </w:rPr>
        <w:t xml:space="preserve">” and “</w:t>
      </w:r>
      <w:r w:rsidDel="00000000" w:rsidR="00000000" w:rsidRPr="00000000">
        <w:rPr>
          <w:i w:val="1"/>
          <w:sz w:val="22"/>
          <w:szCs w:val="22"/>
          <w:rtl w:val="0"/>
        </w:rPr>
        <w:t xml:space="preserve">why</w:t>
      </w:r>
      <w:r w:rsidDel="00000000" w:rsidR="00000000" w:rsidRPr="00000000">
        <w:rPr>
          <w:sz w:val="22"/>
          <w:szCs w:val="22"/>
          <w:rtl w:val="0"/>
        </w:rPr>
        <w:t xml:space="preserve">” of decision making, whilst understanding the richness and complexity of human behaviour (Renjith et al 2021, p.1). This allows researchers to “</w:t>
      </w:r>
      <w:r w:rsidDel="00000000" w:rsidR="00000000" w:rsidRPr="00000000">
        <w:rPr>
          <w:i w:val="1"/>
          <w:sz w:val="22"/>
          <w:szCs w:val="22"/>
          <w:rtl w:val="0"/>
        </w:rPr>
        <w:t xml:space="preserve">capture how drug use and addiction are lived</w:t>
      </w:r>
      <w:r w:rsidDel="00000000" w:rsidR="00000000" w:rsidRPr="00000000">
        <w:rPr>
          <w:sz w:val="22"/>
          <w:szCs w:val="22"/>
          <w:rtl w:val="0"/>
        </w:rPr>
        <w:t xml:space="preserve">”, and how this experience can “</w:t>
      </w:r>
      <w:r w:rsidDel="00000000" w:rsidR="00000000" w:rsidRPr="00000000">
        <w:rPr>
          <w:i w:val="1"/>
          <w:sz w:val="22"/>
          <w:szCs w:val="22"/>
          <w:rtl w:val="0"/>
        </w:rPr>
        <w:t xml:space="preserve">differ according to social context</w:t>
      </w:r>
      <w:r w:rsidDel="00000000" w:rsidR="00000000" w:rsidRPr="00000000">
        <w:rPr>
          <w:sz w:val="22"/>
          <w:szCs w:val="22"/>
          <w:rtl w:val="0"/>
        </w:rPr>
        <w:t xml:space="preserve">” (Rhodes and Coomber 2009, p. 59). In healthcare research, qualitative research is used to understand experiences, patterns and healthcare needs, whilst allowing interventions to be developed (Polit and Beck 2008, Sorrel 2013, Draper 2004, Chapman et al 2015, Renjith et al 2021 p.1). This can be used as an independent methodology as well as a method to support quantitative research, such as clinical trials (Schiestl 2021, p.95).</w:t>
      </w:r>
    </w:p>
    <w:p w:rsidR="00000000" w:rsidDel="00000000" w:rsidP="00000000" w:rsidRDefault="00000000" w:rsidRPr="00000000" w14:paraId="0000054C">
      <w:pPr>
        <w:spacing w:line="480" w:lineRule="auto"/>
        <w:jc w:val="both"/>
        <w:rPr>
          <w:sz w:val="22"/>
          <w:szCs w:val="22"/>
        </w:rPr>
      </w:pPr>
      <w:r w:rsidDel="00000000" w:rsidR="00000000" w:rsidRPr="00000000">
        <w:rPr>
          <w:rtl w:val="0"/>
        </w:rPr>
      </w:r>
    </w:p>
    <w:p w:rsidR="00000000" w:rsidDel="00000000" w:rsidP="00000000" w:rsidRDefault="00000000" w:rsidRPr="00000000" w14:paraId="0000054D">
      <w:pPr>
        <w:spacing w:line="480" w:lineRule="auto"/>
        <w:jc w:val="both"/>
        <w:rPr>
          <w:sz w:val="22"/>
          <w:szCs w:val="22"/>
        </w:rPr>
      </w:pPr>
      <w:r w:rsidDel="00000000" w:rsidR="00000000" w:rsidRPr="00000000">
        <w:rPr>
          <w:sz w:val="22"/>
          <w:szCs w:val="22"/>
          <w:highlight w:val="white"/>
          <w:rtl w:val="0"/>
        </w:rPr>
        <w:t xml:space="preserve">There are many contextual factors that contribute to the dependence on drugs, such as society, family, life experience and diagnosed psychiatric disorders (United Nations Office on Drugs and Crime 2010, p.126)</w:t>
      </w:r>
      <w:r w:rsidDel="00000000" w:rsidR="00000000" w:rsidRPr="00000000">
        <w:rPr>
          <w:sz w:val="22"/>
          <w:szCs w:val="22"/>
          <w:rtl w:val="0"/>
        </w:rPr>
        <w:t xml:space="preserve">. It is important to discuss context, and Hawarth et al (2016) suggest that such factors are most suitably investigated using an Interpretivist Constructivist approach, and therefore qualitative methodologies.</w:t>
      </w:r>
    </w:p>
    <w:p w:rsidR="00000000" w:rsidDel="00000000" w:rsidP="00000000" w:rsidRDefault="00000000" w:rsidRPr="00000000" w14:paraId="0000054E">
      <w:pPr>
        <w:pStyle w:val="Heading2"/>
        <w:numPr>
          <w:ilvl w:val="1"/>
          <w:numId w:val="28"/>
        </w:numPr>
        <w:spacing w:line="480" w:lineRule="auto"/>
        <w:ind w:left="720" w:hanging="720"/>
        <w:rPr/>
      </w:pPr>
      <w:bookmarkStart w:colFirst="0" w:colLast="0" w:name="_heading=h.1egqt2p" w:id="58"/>
      <w:bookmarkEnd w:id="58"/>
      <w:r w:rsidDel="00000000" w:rsidR="00000000" w:rsidRPr="00000000">
        <w:rPr>
          <w:rtl w:val="0"/>
        </w:rPr>
        <w:t xml:space="preserve">Sampling and Recruitment</w:t>
      </w:r>
    </w:p>
    <w:p w:rsidR="00000000" w:rsidDel="00000000" w:rsidP="00000000" w:rsidRDefault="00000000" w:rsidRPr="00000000" w14:paraId="0000054F">
      <w:pPr>
        <w:spacing w:line="480" w:lineRule="auto"/>
        <w:jc w:val="both"/>
        <w:rPr>
          <w:color w:val="7030a0"/>
          <w:sz w:val="22"/>
          <w:szCs w:val="22"/>
          <w:highlight w:val="magenta"/>
        </w:rPr>
      </w:pPr>
      <w:r w:rsidDel="00000000" w:rsidR="00000000" w:rsidRPr="00000000">
        <w:rPr>
          <w:sz w:val="22"/>
          <w:szCs w:val="22"/>
          <w:rtl w:val="0"/>
        </w:rPr>
        <w:t xml:space="preserve">Opportunistic sampling was used. Initially, I planned to recruit both patients and healthcare practitioners concurrently, however due to challenges in sampling, only patients were recruited.  Opportunistic sampling is inexpensive, efficient, and simple to implement (Jager et al 2019, p.3). This sampling approach was considered the most appropriate, since social restrictions associated with the COVID-19 pandemic posed several challenges in my recruitment process. The flexibility opportunistic sampling provides allowed participants to see the study advertisement in several ways, for example, simply walking past the service (if the poster is displayed in the window), or when they access the service. Secondly, due to time constraints associated with PhD study, it was hoped enough individuals would contact me in the timescale outlined in the Gannt Chart (</w:t>
      </w:r>
      <w:hyperlink w:anchor="_heading=h.356xmb2">
        <w:r w:rsidDel="00000000" w:rsidR="00000000" w:rsidRPr="00000000">
          <w:rPr>
            <w:color w:val="467886"/>
            <w:sz w:val="22"/>
            <w:szCs w:val="22"/>
            <w:u w:val="single"/>
            <w:rtl w:val="0"/>
          </w:rPr>
          <w:t xml:space="preserve">Appendix Ten</w:t>
        </w:r>
      </w:hyperlink>
      <w:r w:rsidDel="00000000" w:rsidR="00000000" w:rsidRPr="00000000">
        <w:rPr>
          <w:sz w:val="22"/>
          <w:szCs w:val="22"/>
          <w:rtl w:val="0"/>
        </w:rPr>
        <w:t xml:space="preserve">,  p. 381). </w:t>
      </w:r>
      <w:r w:rsidDel="00000000" w:rsidR="00000000" w:rsidRPr="00000000">
        <w:rPr>
          <w:rtl w:val="0"/>
        </w:rPr>
      </w:r>
    </w:p>
    <w:p w:rsidR="00000000" w:rsidDel="00000000" w:rsidP="00000000" w:rsidRDefault="00000000" w:rsidRPr="00000000" w14:paraId="00000550">
      <w:pPr>
        <w:spacing w:line="480" w:lineRule="auto"/>
        <w:jc w:val="both"/>
        <w:rPr>
          <w:sz w:val="22"/>
          <w:szCs w:val="22"/>
        </w:rPr>
      </w:pPr>
      <w:r w:rsidDel="00000000" w:rsidR="00000000" w:rsidRPr="00000000">
        <w:rPr>
          <w:rtl w:val="0"/>
        </w:rPr>
      </w:r>
    </w:p>
    <w:p w:rsidR="00000000" w:rsidDel="00000000" w:rsidP="00000000" w:rsidRDefault="00000000" w:rsidRPr="00000000" w14:paraId="00000551">
      <w:pPr>
        <w:spacing w:line="480" w:lineRule="auto"/>
        <w:jc w:val="both"/>
        <w:rPr>
          <w:sz w:val="22"/>
          <w:szCs w:val="22"/>
        </w:rPr>
      </w:pPr>
      <w:r w:rsidDel="00000000" w:rsidR="00000000" w:rsidRPr="00000000">
        <w:rPr>
          <w:sz w:val="22"/>
          <w:szCs w:val="22"/>
          <w:rtl w:val="0"/>
        </w:rPr>
        <w:t xml:space="preserve">To identify potential study sites, I searched for pharmacies and local GP surgeries online and compiled a list of services. I then rang each service, to introduce myself. This was over the phone, since at that time there were several social restrictions. Later, when these measures were relaxed, I approached them in person. During these initial conversations, I explained my proposed research and invited questions about the study and the expectations of the service. I reassured the services that there would be no expectation for them to actively recruit participants on my behalf. Services that agreed to advertise my study were provided with my research poster (</w:t>
      </w:r>
      <w:hyperlink w:anchor="_heading=h.qbtyoq">
        <w:r w:rsidDel="00000000" w:rsidR="00000000" w:rsidRPr="00000000">
          <w:rPr>
            <w:color w:val="467886"/>
            <w:sz w:val="22"/>
            <w:szCs w:val="22"/>
            <w:u w:val="single"/>
            <w:rtl w:val="0"/>
          </w:rPr>
          <w:t xml:space="preserve">Appendix Two</w:t>
        </w:r>
      </w:hyperlink>
      <w:r w:rsidDel="00000000" w:rsidR="00000000" w:rsidRPr="00000000">
        <w:rPr>
          <w:sz w:val="22"/>
          <w:szCs w:val="22"/>
          <w:rtl w:val="0"/>
        </w:rPr>
        <w:t xml:space="preserve">, p. 361). </w:t>
      </w:r>
    </w:p>
    <w:p w:rsidR="00000000" w:rsidDel="00000000" w:rsidP="00000000" w:rsidRDefault="00000000" w:rsidRPr="00000000" w14:paraId="00000552">
      <w:pPr>
        <w:spacing w:line="480" w:lineRule="auto"/>
        <w:jc w:val="both"/>
        <w:rPr>
          <w:sz w:val="22"/>
          <w:szCs w:val="22"/>
        </w:rPr>
      </w:pPr>
      <w:r w:rsidDel="00000000" w:rsidR="00000000" w:rsidRPr="00000000">
        <w:rPr>
          <w:rtl w:val="0"/>
        </w:rPr>
      </w:r>
    </w:p>
    <w:p w:rsidR="00000000" w:rsidDel="00000000" w:rsidP="00000000" w:rsidRDefault="00000000" w:rsidRPr="00000000" w14:paraId="00000553">
      <w:pPr>
        <w:spacing w:line="480" w:lineRule="auto"/>
        <w:jc w:val="both"/>
        <w:rPr>
          <w:sz w:val="22"/>
          <w:szCs w:val="22"/>
          <w:highlight w:val="magenta"/>
        </w:rPr>
      </w:pPr>
      <w:r w:rsidDel="00000000" w:rsidR="00000000" w:rsidRPr="00000000">
        <w:rPr>
          <w:sz w:val="22"/>
          <w:szCs w:val="22"/>
          <w:rtl w:val="0"/>
        </w:rPr>
        <w:t xml:space="preserve">Patients who access the research site contacted me directly, using the contact details on the study advertisement. As will be discussed later, there were several challenges in recruitment. This resulted in an amendment to the Health Research Authority to allow recruitment using the University of Sheffield’s Staff and Student Circular (</w:t>
      </w:r>
      <w:hyperlink w:anchor="_heading=h.16x20ju">
        <w:r w:rsidDel="00000000" w:rsidR="00000000" w:rsidRPr="00000000">
          <w:rPr>
            <w:color w:val="467886"/>
            <w:sz w:val="22"/>
            <w:szCs w:val="22"/>
            <w:u w:val="single"/>
            <w:rtl w:val="0"/>
          </w:rPr>
          <w:t xml:space="preserve">Appendix Seven,</w:t>
        </w:r>
      </w:hyperlink>
      <w:r w:rsidDel="00000000" w:rsidR="00000000" w:rsidRPr="00000000">
        <w:rPr>
          <w:sz w:val="22"/>
          <w:szCs w:val="22"/>
          <w:rtl w:val="0"/>
        </w:rPr>
        <w:t xml:space="preserve"> p. 374). A website containing the study information and consent forms were distributed using the University of Sheffield’s staff and student circulars. After contacting me, potential participants were sent the Participant Information Sheet (</w:t>
      </w:r>
      <w:hyperlink w:anchor="_heading=h.3dhjn8m">
        <w:r w:rsidDel="00000000" w:rsidR="00000000" w:rsidRPr="00000000">
          <w:rPr>
            <w:color w:val="467886"/>
            <w:sz w:val="22"/>
            <w:szCs w:val="22"/>
            <w:u w:val="single"/>
            <w:rtl w:val="0"/>
          </w:rPr>
          <w:t xml:space="preserve">Appendix Three</w:t>
        </w:r>
      </w:hyperlink>
      <w:r w:rsidDel="00000000" w:rsidR="00000000" w:rsidRPr="00000000">
        <w:rPr>
          <w:sz w:val="22"/>
          <w:szCs w:val="22"/>
          <w:rtl w:val="0"/>
        </w:rPr>
        <w:t xml:space="preserve">, p. 362),</w:t>
      </w:r>
      <w:r w:rsidDel="00000000" w:rsidR="00000000" w:rsidRPr="00000000">
        <w:rPr>
          <w:color w:val="ff0000"/>
          <w:sz w:val="22"/>
          <w:szCs w:val="22"/>
          <w:rtl w:val="0"/>
        </w:rPr>
        <w:t xml:space="preserve"> </w:t>
      </w:r>
      <w:r w:rsidDel="00000000" w:rsidR="00000000" w:rsidRPr="00000000">
        <w:rPr>
          <w:sz w:val="22"/>
          <w:szCs w:val="22"/>
          <w:rtl w:val="0"/>
        </w:rPr>
        <w:t xml:space="preserve">and a Consent Form (</w:t>
      </w:r>
      <w:hyperlink w:anchor="_heading=h.4cmhg48">
        <w:r w:rsidDel="00000000" w:rsidR="00000000" w:rsidRPr="00000000">
          <w:rPr>
            <w:color w:val="467886"/>
            <w:sz w:val="22"/>
            <w:szCs w:val="22"/>
            <w:u w:val="single"/>
            <w:rtl w:val="0"/>
          </w:rPr>
          <w:t xml:space="preserve">Appendix Five</w:t>
        </w:r>
      </w:hyperlink>
      <w:r w:rsidDel="00000000" w:rsidR="00000000" w:rsidRPr="00000000">
        <w:rPr>
          <w:sz w:val="22"/>
          <w:szCs w:val="22"/>
          <w:rtl w:val="0"/>
        </w:rPr>
        <w:t xml:space="preserve">, p. 368). The participant was then given time to decide if they wished to participate. In total, the sample encompassed thirteen patients – a sample description is provided </w:t>
      </w:r>
      <w:hyperlink w:anchor="_heading=h.sqyw64">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in this chapter (p. 109). </w:t>
      </w:r>
      <w:r w:rsidDel="00000000" w:rsidR="00000000" w:rsidRPr="00000000">
        <w:rPr>
          <w:rtl w:val="0"/>
        </w:rPr>
      </w:r>
    </w:p>
    <w:p w:rsidR="00000000" w:rsidDel="00000000" w:rsidP="00000000" w:rsidRDefault="00000000" w:rsidRPr="00000000" w14:paraId="00000554">
      <w:pPr>
        <w:spacing w:line="480" w:lineRule="auto"/>
        <w:jc w:val="both"/>
        <w:rPr>
          <w:sz w:val="22"/>
          <w:szCs w:val="22"/>
        </w:rPr>
      </w:pPr>
      <w:r w:rsidDel="00000000" w:rsidR="00000000" w:rsidRPr="00000000">
        <w:rPr>
          <w:rtl w:val="0"/>
        </w:rPr>
      </w:r>
    </w:p>
    <w:p w:rsidR="00000000" w:rsidDel="00000000" w:rsidP="00000000" w:rsidRDefault="00000000" w:rsidRPr="00000000" w14:paraId="00000555">
      <w:pPr>
        <w:spacing w:line="480" w:lineRule="auto"/>
        <w:jc w:val="both"/>
        <w:rPr>
          <w:sz w:val="22"/>
          <w:szCs w:val="22"/>
        </w:rPr>
      </w:pPr>
      <w:r w:rsidDel="00000000" w:rsidR="00000000" w:rsidRPr="00000000">
        <w:rPr>
          <w:sz w:val="22"/>
          <w:szCs w:val="22"/>
          <w:rtl w:val="0"/>
        </w:rPr>
        <w:t xml:space="preserve">To participate in this research, the individual must have been over the age of eighteen. They must have been using at least one of the five therapeutic groups and consider themselves to be dependent on or have experienced withdrawal symptoms upon medication cessation. Participants must have had capacity for research engagement and to give informed consent, and those appropriately managing their mental health difficulties were allowed to participate. Those who procured their medication illicitly were also excluded.</w:t>
      </w:r>
    </w:p>
    <w:p w:rsidR="00000000" w:rsidDel="00000000" w:rsidP="00000000" w:rsidRDefault="00000000" w:rsidRPr="00000000" w14:paraId="00000556">
      <w:pPr>
        <w:spacing w:line="480" w:lineRule="auto"/>
        <w:jc w:val="both"/>
        <w:rPr>
          <w:sz w:val="22"/>
          <w:szCs w:val="22"/>
        </w:rPr>
      </w:pPr>
      <w:r w:rsidDel="00000000" w:rsidR="00000000" w:rsidRPr="00000000">
        <w:rPr>
          <w:rtl w:val="0"/>
        </w:rPr>
      </w:r>
    </w:p>
    <w:p w:rsidR="00000000" w:rsidDel="00000000" w:rsidP="00000000" w:rsidRDefault="00000000" w:rsidRPr="00000000" w14:paraId="00000557">
      <w:pPr>
        <w:pStyle w:val="Heading2"/>
        <w:numPr>
          <w:ilvl w:val="1"/>
          <w:numId w:val="28"/>
        </w:numPr>
        <w:spacing w:line="480" w:lineRule="auto"/>
        <w:ind w:left="720" w:hanging="720"/>
        <w:rPr/>
      </w:pPr>
      <w:bookmarkStart w:colFirst="0" w:colLast="0" w:name="_heading=h.3ygebqi" w:id="59"/>
      <w:bookmarkEnd w:id="59"/>
      <w:r w:rsidDel="00000000" w:rsidR="00000000" w:rsidRPr="00000000">
        <w:rPr>
          <w:rtl w:val="0"/>
        </w:rPr>
        <w:t xml:space="preserve">Data Collection</w:t>
      </w:r>
    </w:p>
    <w:p w:rsidR="00000000" w:rsidDel="00000000" w:rsidP="00000000" w:rsidRDefault="00000000" w:rsidRPr="00000000" w14:paraId="00000558">
      <w:pPr>
        <w:spacing w:line="480" w:lineRule="auto"/>
        <w:jc w:val="both"/>
        <w:rPr>
          <w:sz w:val="22"/>
          <w:szCs w:val="22"/>
        </w:rPr>
      </w:pPr>
      <w:r w:rsidDel="00000000" w:rsidR="00000000" w:rsidRPr="00000000">
        <w:rPr>
          <w:sz w:val="22"/>
          <w:szCs w:val="22"/>
          <w:rtl w:val="0"/>
        </w:rPr>
        <w:t xml:space="preserve">Semi-structured interviews were chosen as the most appropriate data collection method. This is a common data collection methodology in social research, and the most common in qualitative healthcare research (DeJonckheere and Vaughn 2019 p.1. Kallio et al 2016). Semi-structured interviews “</w:t>
      </w:r>
      <w:r w:rsidDel="00000000" w:rsidR="00000000" w:rsidRPr="00000000">
        <w:rPr>
          <w:i w:val="1"/>
          <w:sz w:val="22"/>
          <w:szCs w:val="22"/>
          <w:rtl w:val="0"/>
        </w:rPr>
        <w:t xml:space="preserve">attempt to understand the world from the subject’s point of view</w:t>
      </w:r>
      <w:r w:rsidDel="00000000" w:rsidR="00000000" w:rsidRPr="00000000">
        <w:rPr>
          <w:sz w:val="22"/>
          <w:szCs w:val="22"/>
          <w:rtl w:val="0"/>
        </w:rPr>
        <w:t xml:space="preserve">” (Kvale 1996). They allow the participant some level of control and direction of the conversation, therefore what is revealed and discussed, which is impetrative when discussing sensitive topics (Bryman, 2008). </w:t>
      </w:r>
    </w:p>
    <w:p w:rsidR="00000000" w:rsidDel="00000000" w:rsidP="00000000" w:rsidRDefault="00000000" w:rsidRPr="00000000" w14:paraId="00000559">
      <w:pPr>
        <w:spacing w:line="480" w:lineRule="auto"/>
        <w:jc w:val="both"/>
        <w:rPr>
          <w:sz w:val="22"/>
          <w:szCs w:val="22"/>
        </w:rPr>
      </w:pPr>
      <w:r w:rsidDel="00000000" w:rsidR="00000000" w:rsidRPr="00000000">
        <w:rPr>
          <w:rtl w:val="0"/>
        </w:rPr>
      </w:r>
    </w:p>
    <w:p w:rsidR="00000000" w:rsidDel="00000000" w:rsidP="00000000" w:rsidRDefault="00000000" w:rsidRPr="00000000" w14:paraId="0000055A">
      <w:pPr>
        <w:spacing w:line="480" w:lineRule="auto"/>
        <w:jc w:val="both"/>
        <w:rPr>
          <w:sz w:val="22"/>
          <w:szCs w:val="22"/>
        </w:rPr>
      </w:pPr>
      <w:r w:rsidDel="00000000" w:rsidR="00000000" w:rsidRPr="00000000">
        <w:rPr>
          <w:sz w:val="22"/>
          <w:szCs w:val="22"/>
          <w:rtl w:val="0"/>
        </w:rPr>
        <w:t xml:space="preserve">Semi-structured interviews provide the participant with a level of control over conversation direction and over what is revealed and discussed (Bryman, 2008). This is important especially when discussing illicit or sensitive topics, such as addition and health care treatment. The nature of semi-structured interviews “</w:t>
      </w:r>
      <w:r w:rsidDel="00000000" w:rsidR="00000000" w:rsidRPr="00000000">
        <w:rPr>
          <w:i w:val="1"/>
          <w:sz w:val="22"/>
          <w:szCs w:val="22"/>
          <w:rtl w:val="0"/>
        </w:rPr>
        <w:t xml:space="preserve">attempts to understand the world from the subject’s point of view</w:t>
      </w:r>
      <w:r w:rsidDel="00000000" w:rsidR="00000000" w:rsidRPr="00000000">
        <w:rPr>
          <w:sz w:val="22"/>
          <w:szCs w:val="22"/>
          <w:rtl w:val="0"/>
        </w:rPr>
        <w:t xml:space="preserve">”</w:t>
      </w:r>
      <w:r w:rsidDel="00000000" w:rsidR="00000000" w:rsidRPr="00000000">
        <w:rPr>
          <w:i w:val="1"/>
          <w:sz w:val="22"/>
          <w:szCs w:val="22"/>
          <w:rtl w:val="0"/>
        </w:rPr>
        <w:t xml:space="preserve"> </w:t>
      </w:r>
      <w:r w:rsidDel="00000000" w:rsidR="00000000" w:rsidRPr="00000000">
        <w:rPr>
          <w:sz w:val="22"/>
          <w:szCs w:val="22"/>
          <w:rtl w:val="0"/>
        </w:rPr>
        <w:t xml:space="preserve">(Kvale, 1996). Interactions between only the researcher and the participant can allow a deeper exploration of a participant’s views (Bowling, 2014). These interactions can also allow a deeper exploration of participants views (Bowling, 2014). When creating the interview schedule, I used the findings from my literature review, with the included study table attached in </w:t>
      </w:r>
      <w:hyperlink w:anchor="_heading=h.3z7bk57">
        <w:r w:rsidDel="00000000" w:rsidR="00000000" w:rsidRPr="00000000">
          <w:rPr>
            <w:color w:val="467886"/>
            <w:sz w:val="22"/>
            <w:szCs w:val="22"/>
            <w:u w:val="single"/>
            <w:rtl w:val="0"/>
          </w:rPr>
          <w:t xml:space="preserve">Appendix One</w:t>
        </w:r>
      </w:hyperlink>
      <w:r w:rsidDel="00000000" w:rsidR="00000000" w:rsidRPr="00000000">
        <w:rPr>
          <w:sz w:val="22"/>
          <w:szCs w:val="22"/>
          <w:rtl w:val="0"/>
        </w:rPr>
        <w:t xml:space="preserve"> (p. 319). Topics discussed include the perception of the participants medication and their treatment, alongside more sensitive topics such as stigmatisation and accessibility of treatment and alternatives interventions.</w:t>
      </w:r>
    </w:p>
    <w:p w:rsidR="00000000" w:rsidDel="00000000" w:rsidP="00000000" w:rsidRDefault="00000000" w:rsidRPr="00000000" w14:paraId="0000055B">
      <w:pPr>
        <w:spacing w:line="480" w:lineRule="auto"/>
        <w:jc w:val="both"/>
        <w:rPr>
          <w:sz w:val="22"/>
          <w:szCs w:val="22"/>
        </w:rPr>
      </w:pPr>
      <w:r w:rsidDel="00000000" w:rsidR="00000000" w:rsidRPr="00000000">
        <w:rPr>
          <w:rtl w:val="0"/>
        </w:rPr>
      </w:r>
    </w:p>
    <w:p w:rsidR="00000000" w:rsidDel="00000000" w:rsidP="00000000" w:rsidRDefault="00000000" w:rsidRPr="00000000" w14:paraId="0000055C">
      <w:pPr>
        <w:spacing w:line="480" w:lineRule="auto"/>
        <w:jc w:val="both"/>
        <w:rPr>
          <w:sz w:val="22"/>
          <w:szCs w:val="22"/>
        </w:rPr>
      </w:pPr>
      <w:r w:rsidDel="00000000" w:rsidR="00000000" w:rsidRPr="00000000">
        <w:rPr>
          <w:sz w:val="22"/>
          <w:szCs w:val="22"/>
          <w:rtl w:val="0"/>
        </w:rPr>
        <w:t xml:space="preserve">Once participants had been identified, participants were asked to read an information sheet, and if happy to, fill out the consent form. Due to the COVID-19 pandemic, interviews were conducted using the online conferencing platform, GoogleMeet. As participants would be in their own home, the interview would be undertaken at a time that was convenient for the participant. I was flexible in when the interview took place to accommodate participants’ specific requirements. Active listening was used throughout. </w:t>
      </w:r>
    </w:p>
    <w:p w:rsidR="00000000" w:rsidDel="00000000" w:rsidP="00000000" w:rsidRDefault="00000000" w:rsidRPr="00000000" w14:paraId="0000055D">
      <w:pPr>
        <w:spacing w:line="480" w:lineRule="auto"/>
        <w:jc w:val="both"/>
        <w:rPr>
          <w:sz w:val="22"/>
          <w:szCs w:val="22"/>
        </w:rPr>
      </w:pPr>
      <w:r w:rsidDel="00000000" w:rsidR="00000000" w:rsidRPr="00000000">
        <w:rPr>
          <w:rtl w:val="0"/>
        </w:rPr>
      </w:r>
    </w:p>
    <w:p w:rsidR="00000000" w:rsidDel="00000000" w:rsidP="00000000" w:rsidRDefault="00000000" w:rsidRPr="00000000" w14:paraId="0000055E">
      <w:pPr>
        <w:spacing w:line="480" w:lineRule="auto"/>
        <w:jc w:val="both"/>
        <w:rPr>
          <w:sz w:val="22"/>
          <w:szCs w:val="22"/>
        </w:rPr>
      </w:pPr>
      <w:r w:rsidDel="00000000" w:rsidR="00000000" w:rsidRPr="00000000">
        <w:rPr>
          <w:sz w:val="22"/>
          <w:szCs w:val="22"/>
          <w:rtl w:val="0"/>
        </w:rPr>
        <w:t xml:space="preserve">At the start of the interview, I welcomed the participant and gave an opportunity to ask questions relating to the study. Throughout the interview, I reassured participants that there were no “</w:t>
      </w:r>
      <w:r w:rsidDel="00000000" w:rsidR="00000000" w:rsidRPr="00000000">
        <w:rPr>
          <w:i w:val="1"/>
          <w:sz w:val="22"/>
          <w:szCs w:val="22"/>
          <w:rtl w:val="0"/>
        </w:rPr>
        <w:t xml:space="preserve">right or wrong</w:t>
      </w:r>
      <w:r w:rsidDel="00000000" w:rsidR="00000000" w:rsidRPr="00000000">
        <w:rPr>
          <w:sz w:val="22"/>
          <w:szCs w:val="22"/>
          <w:rtl w:val="0"/>
        </w:rPr>
        <w:t xml:space="preserve">” answers, and I allowed the participant to speak freely. Introductory questions that aimed to explore baseline information were devised, such as asking for a background of the participants medication use, before exploring concepts such as the participants perception of their medication use and their care. </w:t>
      </w:r>
    </w:p>
    <w:p w:rsidR="00000000" w:rsidDel="00000000" w:rsidP="00000000" w:rsidRDefault="00000000" w:rsidRPr="00000000" w14:paraId="0000055F">
      <w:pPr>
        <w:spacing w:line="480" w:lineRule="auto"/>
        <w:jc w:val="both"/>
        <w:rPr>
          <w:sz w:val="22"/>
          <w:szCs w:val="22"/>
        </w:rPr>
      </w:pPr>
      <w:r w:rsidDel="00000000" w:rsidR="00000000" w:rsidRPr="00000000">
        <w:rPr>
          <w:rtl w:val="0"/>
        </w:rPr>
      </w:r>
    </w:p>
    <w:p w:rsidR="00000000" w:rsidDel="00000000" w:rsidP="00000000" w:rsidRDefault="00000000" w:rsidRPr="00000000" w14:paraId="00000560">
      <w:pPr>
        <w:spacing w:line="480" w:lineRule="auto"/>
        <w:jc w:val="both"/>
        <w:rPr>
          <w:sz w:val="22"/>
          <w:szCs w:val="22"/>
        </w:rPr>
      </w:pPr>
      <w:r w:rsidDel="00000000" w:rsidR="00000000" w:rsidRPr="00000000">
        <w:rPr>
          <w:sz w:val="22"/>
          <w:szCs w:val="22"/>
          <w:rtl w:val="0"/>
        </w:rPr>
        <w:t xml:space="preserve">Stigmatisation in healthcare was also identified in the literature review, alongside implications of their medication use on their own mental and social wellbeing. Questions were open ended, unless confirmation was needed, allowing flexibility and responsiveness to previous answers. If there was an unclear response, I invited the participant to elaborate, avoiding “</w:t>
      </w:r>
      <w:r w:rsidDel="00000000" w:rsidR="00000000" w:rsidRPr="00000000">
        <w:rPr>
          <w:i w:val="1"/>
          <w:sz w:val="22"/>
          <w:szCs w:val="22"/>
          <w:rtl w:val="0"/>
        </w:rPr>
        <w:t xml:space="preserve">why</w:t>
      </w:r>
      <w:r w:rsidDel="00000000" w:rsidR="00000000" w:rsidRPr="00000000">
        <w:rPr>
          <w:sz w:val="22"/>
          <w:szCs w:val="22"/>
          <w:rtl w:val="0"/>
        </w:rPr>
        <w:t xml:space="preserve">” questions to minimise short answers. With questions that could elicit a vague or short response, such as “</w:t>
      </w:r>
      <w:r w:rsidDel="00000000" w:rsidR="00000000" w:rsidRPr="00000000">
        <w:rPr>
          <w:i w:val="1"/>
          <w:sz w:val="22"/>
          <w:szCs w:val="22"/>
          <w:rtl w:val="0"/>
        </w:rPr>
        <w:t xml:space="preserve">do you think your medication is safe?</w:t>
      </w:r>
      <w:r w:rsidDel="00000000" w:rsidR="00000000" w:rsidRPr="00000000">
        <w:rPr>
          <w:sz w:val="22"/>
          <w:szCs w:val="22"/>
          <w:rtl w:val="0"/>
        </w:rPr>
        <w:t xml:space="preserve">”, I had prepared follow up prompts such as enquiring about their understanding of risks and side effects that were identified in the literature review. </w:t>
      </w:r>
    </w:p>
    <w:p w:rsidR="00000000" w:rsidDel="00000000" w:rsidP="00000000" w:rsidRDefault="00000000" w:rsidRPr="00000000" w14:paraId="00000561">
      <w:pPr>
        <w:spacing w:line="480" w:lineRule="auto"/>
        <w:jc w:val="both"/>
        <w:rPr>
          <w:sz w:val="22"/>
          <w:szCs w:val="22"/>
        </w:rPr>
      </w:pPr>
      <w:r w:rsidDel="00000000" w:rsidR="00000000" w:rsidRPr="00000000">
        <w:rPr>
          <w:rtl w:val="0"/>
        </w:rPr>
      </w:r>
    </w:p>
    <w:p w:rsidR="00000000" w:rsidDel="00000000" w:rsidP="00000000" w:rsidRDefault="00000000" w:rsidRPr="00000000" w14:paraId="00000562">
      <w:pPr>
        <w:spacing w:line="480" w:lineRule="auto"/>
        <w:jc w:val="both"/>
        <w:rPr>
          <w:sz w:val="22"/>
          <w:szCs w:val="22"/>
        </w:rPr>
      </w:pPr>
      <w:r w:rsidDel="00000000" w:rsidR="00000000" w:rsidRPr="00000000">
        <w:rPr>
          <w:sz w:val="22"/>
          <w:szCs w:val="22"/>
          <w:rtl w:val="0"/>
        </w:rPr>
        <w:t xml:space="preserve">The final question aimed to explore the participants’ perception and opinions on how their care could be improved. Initially, I expected this to focus on their care as a patient dependent on prescribed medicines, but in practice this evoked strong opinions on how their care could be improved overall. Once the interview had finished, I offered another opportunity for participants to ask questions, either during the video call or in a follow up email. I later sent a debrief sheet to each participant. All interviews were audio recorded, and I then transcribed each interview myself, verbatim.</w:t>
      </w:r>
    </w:p>
    <w:p w:rsidR="00000000" w:rsidDel="00000000" w:rsidP="00000000" w:rsidRDefault="00000000" w:rsidRPr="00000000" w14:paraId="00000563">
      <w:pPr>
        <w:spacing w:line="480" w:lineRule="auto"/>
        <w:jc w:val="both"/>
        <w:rPr>
          <w:sz w:val="22"/>
          <w:szCs w:val="22"/>
        </w:rPr>
      </w:pPr>
      <w:r w:rsidDel="00000000" w:rsidR="00000000" w:rsidRPr="00000000">
        <w:rPr>
          <w:rtl w:val="0"/>
        </w:rPr>
      </w:r>
    </w:p>
    <w:p w:rsidR="00000000" w:rsidDel="00000000" w:rsidP="00000000" w:rsidRDefault="00000000" w:rsidRPr="00000000" w14:paraId="00000564">
      <w:pPr>
        <w:pStyle w:val="Heading3"/>
        <w:spacing w:line="480" w:lineRule="auto"/>
        <w:rPr/>
      </w:pPr>
      <w:bookmarkStart w:colFirst="0" w:colLast="0" w:name="_heading=h.2dlolyb" w:id="60"/>
      <w:bookmarkEnd w:id="60"/>
      <w:r w:rsidDel="00000000" w:rsidR="00000000" w:rsidRPr="00000000">
        <w:rPr>
          <w:rtl w:val="0"/>
        </w:rPr>
        <w:t xml:space="preserve">Alternative Approaches </w:t>
      </w:r>
    </w:p>
    <w:p w:rsidR="00000000" w:rsidDel="00000000" w:rsidP="00000000" w:rsidRDefault="00000000" w:rsidRPr="00000000" w14:paraId="00000565">
      <w:pPr>
        <w:spacing w:line="480" w:lineRule="auto"/>
        <w:jc w:val="both"/>
        <w:rPr>
          <w:sz w:val="22"/>
          <w:szCs w:val="22"/>
        </w:rPr>
      </w:pPr>
      <w:r w:rsidDel="00000000" w:rsidR="00000000" w:rsidRPr="00000000">
        <w:rPr>
          <w:sz w:val="22"/>
          <w:szCs w:val="22"/>
          <w:rtl w:val="0"/>
        </w:rPr>
        <w:t xml:space="preserve">Firstly, when the initial discussion regarding methodology was had, it was October 2019. The COVID-19 pandemic had not yet started, and the scale of the public health crisis was unforeseen. The governmental restrictions imposed from March 2020 (Johnson, 2020), resulting in health and social care services adopting a remote approach. There was an increase in the use of video conferencing software, and in-person appointments were moved over to phone calls (Public Health England, 2020). This meant data collection methods that required household mixing was not possible. Furthermore, it would not have been possible to observe appointments between patients and healthcare practitioners due to the restrictions on household mixing, and the movement to remote appointments. </w:t>
      </w:r>
    </w:p>
    <w:p w:rsidR="00000000" w:rsidDel="00000000" w:rsidP="00000000" w:rsidRDefault="00000000" w:rsidRPr="00000000" w14:paraId="00000566">
      <w:pPr>
        <w:spacing w:line="480" w:lineRule="auto"/>
        <w:jc w:val="both"/>
        <w:rPr>
          <w:sz w:val="22"/>
          <w:szCs w:val="22"/>
        </w:rPr>
      </w:pPr>
      <w:r w:rsidDel="00000000" w:rsidR="00000000" w:rsidRPr="00000000">
        <w:rPr>
          <w:rtl w:val="0"/>
        </w:rPr>
      </w:r>
    </w:p>
    <w:p w:rsidR="00000000" w:rsidDel="00000000" w:rsidP="00000000" w:rsidRDefault="00000000" w:rsidRPr="00000000" w14:paraId="00000567">
      <w:pPr>
        <w:spacing w:line="480" w:lineRule="auto"/>
        <w:jc w:val="both"/>
        <w:rPr>
          <w:sz w:val="22"/>
          <w:szCs w:val="22"/>
        </w:rPr>
      </w:pPr>
      <w:r w:rsidDel="00000000" w:rsidR="00000000" w:rsidRPr="00000000">
        <w:rPr>
          <w:sz w:val="22"/>
          <w:szCs w:val="22"/>
          <w:rtl w:val="0"/>
        </w:rPr>
        <w:t xml:space="preserve">Focus groups were also discounted. The sensitive nature of drug dependence and medication practices meant that individuals may not feel comfortable participating in a focus group, as this methodology requires participants to speak openly about the subject matter and engage in some degree self-disclosure (Sim and Waterfield 2019, p.3013). This may prove a barrier to participation. This, however, could have been mitigated by using an established recovery group as the focus group. When focus groups were initially proposed as a methodology, COVID-19 had not yet become endemic in the United Kingdom. As the crisis progressed, it became more apparent that social restrictions on household mixing would mean that running a focus group would be impractical and illegal. Although this could have been conducted online, there are limitations associated with remote research, which will be explored </w:t>
      </w:r>
      <w:hyperlink w:anchor="_heading=h.xvir7l">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(p. 115).</w:t>
      </w:r>
    </w:p>
    <w:p w:rsidR="00000000" w:rsidDel="00000000" w:rsidP="00000000" w:rsidRDefault="00000000" w:rsidRPr="00000000" w14:paraId="00000568">
      <w:pPr>
        <w:spacing w:line="480" w:lineRule="auto"/>
        <w:jc w:val="both"/>
        <w:rPr>
          <w:sz w:val="22"/>
          <w:szCs w:val="22"/>
        </w:rPr>
      </w:pPr>
      <w:r w:rsidDel="00000000" w:rsidR="00000000" w:rsidRPr="00000000">
        <w:rPr>
          <w:rtl w:val="0"/>
        </w:rPr>
      </w:r>
    </w:p>
    <w:p w:rsidR="00000000" w:rsidDel="00000000" w:rsidP="00000000" w:rsidRDefault="00000000" w:rsidRPr="00000000" w14:paraId="00000569">
      <w:pPr>
        <w:spacing w:line="480" w:lineRule="auto"/>
        <w:jc w:val="both"/>
        <w:rPr>
          <w:sz w:val="22"/>
          <w:szCs w:val="22"/>
        </w:rPr>
      </w:pPr>
      <w:r w:rsidDel="00000000" w:rsidR="00000000" w:rsidRPr="00000000">
        <w:rPr>
          <w:sz w:val="22"/>
          <w:szCs w:val="22"/>
          <w:rtl w:val="0"/>
        </w:rPr>
        <w:t xml:space="preserve">Expanding on the limitations produced by the COVID-19 pandemic, healthcare practitioners saw their workload increase, with 68% of primary care providers experiencing a “</w:t>
      </w:r>
      <w:r w:rsidDel="00000000" w:rsidR="00000000" w:rsidRPr="00000000">
        <w:rPr>
          <w:i w:val="1"/>
          <w:sz w:val="22"/>
          <w:szCs w:val="22"/>
          <w:rtl w:val="0"/>
        </w:rPr>
        <w:t xml:space="preserve">significant</w:t>
      </w:r>
      <w:r w:rsidDel="00000000" w:rsidR="00000000" w:rsidRPr="00000000">
        <w:rPr>
          <w:sz w:val="22"/>
          <w:szCs w:val="22"/>
          <w:rtl w:val="0"/>
        </w:rPr>
        <w:t xml:space="preserve">” increase in workload (Pulse, 2021). Many services saw staff being redeployed to frontline services, and others “</w:t>
      </w:r>
      <w:r w:rsidDel="00000000" w:rsidR="00000000" w:rsidRPr="00000000">
        <w:rPr>
          <w:i w:val="1"/>
          <w:sz w:val="22"/>
          <w:szCs w:val="22"/>
          <w:rtl w:val="0"/>
        </w:rPr>
        <w:t xml:space="preserve">furloughed</w:t>
      </w:r>
      <w:r w:rsidDel="00000000" w:rsidR="00000000" w:rsidRPr="00000000">
        <w:rPr>
          <w:sz w:val="22"/>
          <w:szCs w:val="22"/>
          <w:rtl w:val="0"/>
        </w:rPr>
        <w:t xml:space="preserve">” (UNISON 2021), therefore there was an anticipation of a reduction in staff available to participate in research. </w:t>
      </w:r>
    </w:p>
    <w:p w:rsidR="00000000" w:rsidDel="00000000" w:rsidP="00000000" w:rsidRDefault="00000000" w:rsidRPr="00000000" w14:paraId="0000056A">
      <w:pPr>
        <w:spacing w:line="480" w:lineRule="auto"/>
        <w:jc w:val="both"/>
        <w:rPr>
          <w:sz w:val="22"/>
          <w:szCs w:val="22"/>
        </w:rPr>
      </w:pPr>
      <w:r w:rsidDel="00000000" w:rsidR="00000000" w:rsidRPr="00000000">
        <w:rPr>
          <w:rtl w:val="0"/>
        </w:rPr>
      </w:r>
    </w:p>
    <w:p w:rsidR="00000000" w:rsidDel="00000000" w:rsidP="00000000" w:rsidRDefault="00000000" w:rsidRPr="00000000" w14:paraId="0000056B">
      <w:pPr>
        <w:spacing w:line="480" w:lineRule="auto"/>
        <w:jc w:val="both"/>
        <w:rPr>
          <w:sz w:val="22"/>
          <w:szCs w:val="22"/>
        </w:rPr>
      </w:pPr>
      <w:r w:rsidDel="00000000" w:rsidR="00000000" w:rsidRPr="00000000">
        <w:rPr>
          <w:sz w:val="22"/>
          <w:szCs w:val="22"/>
          <w:rtl w:val="0"/>
        </w:rPr>
        <w:t xml:space="preserve">I also found that there were several barriers for site participation, such as the lack of time available for healthcare practitioners to support study advertisement. The employment of telephone appointments limited the foot traffic in surgeries and healthcare services. There was also an increase in pharmacies using at home delivery services to ensure patients received their medication in lieu of attending pharmacies. It would be unethical to ask frontline medical professionals and healthcare providers to participate in research during such a crisis. Challenges in sampling will be discussed in the next section. </w:t>
      </w:r>
    </w:p>
    <w:p w:rsidR="00000000" w:rsidDel="00000000" w:rsidP="00000000" w:rsidRDefault="00000000" w:rsidRPr="00000000" w14:paraId="0000056C">
      <w:pPr>
        <w:spacing w:line="480" w:lineRule="auto"/>
        <w:jc w:val="both"/>
        <w:rPr>
          <w:sz w:val="22"/>
          <w:szCs w:val="22"/>
        </w:rPr>
      </w:pPr>
      <w:r w:rsidDel="00000000" w:rsidR="00000000" w:rsidRPr="00000000">
        <w:rPr>
          <w:rtl w:val="0"/>
        </w:rPr>
      </w:r>
    </w:p>
    <w:p w:rsidR="00000000" w:rsidDel="00000000" w:rsidP="00000000" w:rsidRDefault="00000000" w:rsidRPr="00000000" w14:paraId="0000056D">
      <w:pPr>
        <w:pStyle w:val="Heading3"/>
        <w:spacing w:line="480" w:lineRule="auto"/>
        <w:rPr/>
      </w:pPr>
      <w:bookmarkStart w:colFirst="0" w:colLast="0" w:name="_heading=h.sqyw64" w:id="61"/>
      <w:bookmarkEnd w:id="61"/>
      <w:r w:rsidDel="00000000" w:rsidR="00000000" w:rsidRPr="00000000">
        <w:rPr>
          <w:rtl w:val="0"/>
        </w:rPr>
        <w:t xml:space="preserve">Sample Description</w:t>
      </w:r>
    </w:p>
    <w:p w:rsidR="00000000" w:rsidDel="00000000" w:rsidP="00000000" w:rsidRDefault="00000000" w:rsidRPr="00000000" w14:paraId="0000056E">
      <w:pPr>
        <w:spacing w:line="480" w:lineRule="auto"/>
        <w:jc w:val="both"/>
        <w:rPr>
          <w:sz w:val="22"/>
          <w:szCs w:val="22"/>
        </w:rPr>
      </w:pPr>
      <w:r w:rsidDel="00000000" w:rsidR="00000000" w:rsidRPr="00000000">
        <w:rPr>
          <w:sz w:val="22"/>
          <w:szCs w:val="22"/>
          <w:rtl w:val="0"/>
        </w:rPr>
        <w:t xml:space="preserve">Overall, thirteen participant interviews were included (Table Seven) with a further two suspected “</w:t>
      </w:r>
      <w:r w:rsidDel="00000000" w:rsidR="00000000" w:rsidRPr="00000000">
        <w:rPr>
          <w:i w:val="1"/>
          <w:sz w:val="22"/>
          <w:szCs w:val="22"/>
          <w:rtl w:val="0"/>
        </w:rPr>
        <w:t xml:space="preserve">imposter participant</w:t>
      </w:r>
      <w:r w:rsidDel="00000000" w:rsidR="00000000" w:rsidRPr="00000000">
        <w:rPr>
          <w:sz w:val="22"/>
          <w:szCs w:val="22"/>
          <w:rtl w:val="0"/>
        </w:rPr>
        <w:t xml:space="preserve">” interviews. The interviews were conducted over three years due to challenges in recruitment (see following section, “</w:t>
      </w:r>
      <w:hyperlink w:anchor="_heading=h.2iq8gzs">
        <w:r w:rsidDel="00000000" w:rsidR="00000000" w:rsidRPr="00000000">
          <w:rPr>
            <w:i w:val="1"/>
            <w:color w:val="467886"/>
            <w:sz w:val="22"/>
            <w:szCs w:val="22"/>
            <w:u w:val="single"/>
            <w:rtl w:val="0"/>
          </w:rPr>
          <w:t xml:space="preserve">Challenges in Recruitment</w:t>
        </w:r>
      </w:hyperlink>
      <w:r w:rsidDel="00000000" w:rsidR="00000000" w:rsidRPr="00000000">
        <w:rPr>
          <w:i w:val="1"/>
          <w:color w:val="467886"/>
          <w:sz w:val="22"/>
          <w:szCs w:val="22"/>
          <w:u w:val="single"/>
          <w:rtl w:val="0"/>
        </w:rPr>
        <w:t xml:space="preserve"> and Data Collection</w:t>
      </w:r>
      <w:r w:rsidDel="00000000" w:rsidR="00000000" w:rsidRPr="00000000">
        <w:rPr>
          <w:sz w:val="22"/>
          <w:szCs w:val="22"/>
          <w:rtl w:val="0"/>
        </w:rPr>
        <w:t xml:space="preserve">”</w:t>
      </w:r>
      <w:r w:rsidDel="00000000" w:rsidR="00000000" w:rsidRPr="00000000">
        <w:rPr>
          <w:i w:val="1"/>
          <w:sz w:val="22"/>
          <w:szCs w:val="22"/>
          <w:rtl w:val="0"/>
        </w:rPr>
        <w:t xml:space="preserve"> </w:t>
      </w:r>
      <w:r w:rsidDel="00000000" w:rsidR="00000000" w:rsidRPr="00000000">
        <w:rPr>
          <w:sz w:val="22"/>
          <w:szCs w:val="22"/>
          <w:rtl w:val="0"/>
        </w:rPr>
        <w:t xml:space="preserve">(p. 115). The interviews ranged between 30 minutes and 7 seconds to 1 hour and 40 minutes. There was a dominance of antidepressants within the participant pool (</w:t>
      </w:r>
      <w:r w:rsidDel="00000000" w:rsidR="00000000" w:rsidRPr="00000000">
        <w:rPr>
          <w:i w:val="1"/>
          <w:sz w:val="22"/>
          <w:szCs w:val="22"/>
          <w:rtl w:val="0"/>
        </w:rPr>
        <w:t xml:space="preserve">n=</w:t>
      </w:r>
      <w:r w:rsidDel="00000000" w:rsidR="00000000" w:rsidRPr="00000000">
        <w:rPr>
          <w:sz w:val="22"/>
          <w:szCs w:val="22"/>
          <w:rtl w:val="0"/>
        </w:rPr>
        <w:t xml:space="preserve"> 11), with nine participants reporting polypharmacy. To ensure anonymity, each participant has been given a pseudonym. </w:t>
      </w:r>
    </w:p>
    <w:p w:rsidR="00000000" w:rsidDel="00000000" w:rsidP="00000000" w:rsidRDefault="00000000" w:rsidRPr="00000000" w14:paraId="0000056F">
      <w:pPr>
        <w:spacing w:line="480" w:lineRule="auto"/>
        <w:jc w:val="both"/>
        <w:rPr>
          <w:sz w:val="22"/>
          <w:szCs w:val="22"/>
        </w:rPr>
      </w:pPr>
      <w:r w:rsidDel="00000000" w:rsidR="00000000" w:rsidRPr="00000000">
        <w:rPr>
          <w:rtl w:val="0"/>
        </w:rPr>
      </w:r>
    </w:p>
    <w:p w:rsidR="00000000" w:rsidDel="00000000" w:rsidP="00000000" w:rsidRDefault="00000000" w:rsidRPr="00000000" w14:paraId="00000570">
      <w:pPr>
        <w:spacing w:line="480" w:lineRule="auto"/>
        <w:jc w:val="both"/>
        <w:rPr>
          <w:sz w:val="22"/>
          <w:szCs w:val="22"/>
        </w:rPr>
      </w:pPr>
      <w:r w:rsidDel="00000000" w:rsidR="00000000" w:rsidRPr="00000000">
        <w:rPr>
          <w:rtl w:val="0"/>
        </w:rPr>
      </w:r>
    </w:p>
    <w:p w:rsidR="00000000" w:rsidDel="00000000" w:rsidP="00000000" w:rsidRDefault="00000000" w:rsidRPr="00000000" w14:paraId="00000571">
      <w:pPr>
        <w:spacing w:line="480" w:lineRule="auto"/>
        <w:jc w:val="both"/>
        <w:rPr>
          <w:sz w:val="22"/>
          <w:szCs w:val="22"/>
        </w:rPr>
      </w:pPr>
      <w:r w:rsidDel="00000000" w:rsidR="00000000" w:rsidRPr="00000000">
        <w:rPr>
          <w:rtl w:val="0"/>
        </w:rPr>
      </w:r>
    </w:p>
    <w:p w:rsidR="00000000" w:rsidDel="00000000" w:rsidP="00000000" w:rsidRDefault="00000000" w:rsidRPr="00000000" w14:paraId="00000572">
      <w:pPr>
        <w:spacing w:line="480" w:lineRule="auto"/>
        <w:jc w:val="both"/>
        <w:rPr>
          <w:sz w:val="22"/>
          <w:szCs w:val="22"/>
        </w:rPr>
      </w:pPr>
      <w:r w:rsidDel="00000000" w:rsidR="00000000" w:rsidRPr="00000000">
        <w:rPr>
          <w:rtl w:val="0"/>
        </w:rPr>
      </w:r>
    </w:p>
    <w:p w:rsidR="00000000" w:rsidDel="00000000" w:rsidP="00000000" w:rsidRDefault="00000000" w:rsidRPr="00000000" w14:paraId="00000573">
      <w:pPr>
        <w:spacing w:line="480" w:lineRule="auto"/>
        <w:jc w:val="both"/>
        <w:rPr>
          <w:sz w:val="22"/>
          <w:szCs w:val="22"/>
        </w:rPr>
      </w:pPr>
      <w:r w:rsidDel="00000000" w:rsidR="00000000" w:rsidRPr="00000000">
        <w:rPr>
          <w:rtl w:val="0"/>
        </w:rPr>
      </w:r>
    </w:p>
    <w:p w:rsidR="00000000" w:rsidDel="00000000" w:rsidP="00000000" w:rsidRDefault="00000000" w:rsidRPr="00000000" w14:paraId="00000574">
      <w:pPr>
        <w:spacing w:line="480" w:lineRule="auto"/>
        <w:jc w:val="both"/>
        <w:rPr>
          <w:sz w:val="22"/>
          <w:szCs w:val="22"/>
        </w:rPr>
      </w:pPr>
      <w:r w:rsidDel="00000000" w:rsidR="00000000" w:rsidRPr="00000000">
        <w:rPr>
          <w:rtl w:val="0"/>
        </w:rPr>
      </w:r>
    </w:p>
    <w:p w:rsidR="00000000" w:rsidDel="00000000" w:rsidP="00000000" w:rsidRDefault="00000000" w:rsidRPr="00000000" w14:paraId="00000575">
      <w:pPr>
        <w:spacing w:line="480" w:lineRule="auto"/>
        <w:jc w:val="both"/>
        <w:rPr>
          <w:sz w:val="22"/>
          <w:szCs w:val="22"/>
        </w:rPr>
      </w:pPr>
      <w:r w:rsidDel="00000000" w:rsidR="00000000" w:rsidRPr="00000000">
        <w:rPr>
          <w:rtl w:val="0"/>
        </w:rPr>
      </w:r>
    </w:p>
    <w:p w:rsidR="00000000" w:rsidDel="00000000" w:rsidP="00000000" w:rsidRDefault="00000000" w:rsidRPr="00000000" w14:paraId="00000576">
      <w:pPr>
        <w:spacing w:line="480" w:lineRule="auto"/>
        <w:jc w:val="both"/>
        <w:rPr>
          <w:sz w:val="22"/>
          <w:szCs w:val="22"/>
        </w:rPr>
      </w:pPr>
      <w:r w:rsidDel="00000000" w:rsidR="00000000" w:rsidRPr="00000000">
        <w:rPr>
          <w:rtl w:val="0"/>
        </w:rPr>
      </w:r>
    </w:p>
    <w:p w:rsidR="00000000" w:rsidDel="00000000" w:rsidP="00000000" w:rsidRDefault="00000000" w:rsidRPr="00000000" w14:paraId="00000577">
      <w:pPr>
        <w:spacing w:line="480" w:lineRule="auto"/>
        <w:jc w:val="both"/>
        <w:rPr>
          <w:sz w:val="22"/>
          <w:szCs w:val="22"/>
        </w:rPr>
      </w:pPr>
      <w:r w:rsidDel="00000000" w:rsidR="00000000" w:rsidRPr="00000000">
        <w:rPr>
          <w:rtl w:val="0"/>
        </w:rPr>
      </w:r>
    </w:p>
    <w:p w:rsidR="00000000" w:rsidDel="00000000" w:rsidP="00000000" w:rsidRDefault="00000000" w:rsidRPr="00000000" w14:paraId="00000578">
      <w:pPr>
        <w:spacing w:line="480" w:lineRule="auto"/>
        <w:jc w:val="both"/>
        <w:rPr>
          <w:sz w:val="22"/>
          <w:szCs w:val="22"/>
        </w:rPr>
      </w:pPr>
      <w:r w:rsidDel="00000000" w:rsidR="00000000" w:rsidRPr="00000000">
        <w:rPr>
          <w:rtl w:val="0"/>
        </w:rPr>
      </w:r>
    </w:p>
    <w:p w:rsidR="00000000" w:rsidDel="00000000" w:rsidP="00000000" w:rsidRDefault="00000000" w:rsidRPr="00000000" w14:paraId="00000579">
      <w:pPr>
        <w:spacing w:line="480" w:lineRule="auto"/>
        <w:jc w:val="both"/>
        <w:rPr>
          <w:sz w:val="22"/>
          <w:szCs w:val="22"/>
        </w:rPr>
      </w:pPr>
      <w:r w:rsidDel="00000000" w:rsidR="00000000" w:rsidRPr="00000000">
        <w:rPr>
          <w:rtl w:val="0"/>
        </w:rPr>
      </w:r>
    </w:p>
    <w:p w:rsidR="00000000" w:rsidDel="00000000" w:rsidP="00000000" w:rsidRDefault="00000000" w:rsidRPr="00000000" w14:paraId="0000057A">
      <w:pPr>
        <w:spacing w:line="480" w:lineRule="auto"/>
        <w:jc w:val="both"/>
        <w:rPr>
          <w:sz w:val="22"/>
          <w:szCs w:val="22"/>
        </w:rPr>
      </w:pPr>
      <w:r w:rsidDel="00000000" w:rsidR="00000000" w:rsidRPr="00000000">
        <w:rPr>
          <w:rtl w:val="0"/>
        </w:rPr>
      </w:r>
    </w:p>
    <w:p w:rsidR="00000000" w:rsidDel="00000000" w:rsidP="00000000" w:rsidRDefault="00000000" w:rsidRPr="00000000" w14:paraId="0000057B">
      <w:pPr>
        <w:spacing w:line="480" w:lineRule="auto"/>
        <w:jc w:val="both"/>
        <w:rPr>
          <w:sz w:val="22"/>
          <w:szCs w:val="22"/>
        </w:rPr>
      </w:pPr>
      <w:r w:rsidDel="00000000" w:rsidR="00000000" w:rsidRPr="00000000">
        <w:rPr>
          <w:rtl w:val="0"/>
        </w:rPr>
      </w:r>
    </w:p>
    <w:p w:rsidR="00000000" w:rsidDel="00000000" w:rsidP="00000000" w:rsidRDefault="00000000" w:rsidRPr="00000000" w14:paraId="0000057C">
      <w:pPr>
        <w:spacing w:line="480" w:lineRule="auto"/>
        <w:jc w:val="both"/>
        <w:rPr>
          <w:sz w:val="22"/>
          <w:szCs w:val="22"/>
        </w:rPr>
      </w:pPr>
      <w:r w:rsidDel="00000000" w:rsidR="00000000" w:rsidRPr="00000000">
        <w:rPr>
          <w:rtl w:val="0"/>
        </w:rPr>
      </w:r>
    </w:p>
    <w:p w:rsidR="00000000" w:rsidDel="00000000" w:rsidP="00000000" w:rsidRDefault="00000000" w:rsidRPr="00000000" w14:paraId="0000057D">
      <w:pPr>
        <w:spacing w:line="480" w:lineRule="auto"/>
        <w:jc w:val="both"/>
        <w:rPr>
          <w:sz w:val="22"/>
          <w:szCs w:val="22"/>
        </w:rPr>
      </w:pPr>
      <w:r w:rsidDel="00000000" w:rsidR="00000000" w:rsidRPr="00000000">
        <w:rPr>
          <w:rtl w:val="0"/>
        </w:rPr>
      </w:r>
    </w:p>
    <w:p w:rsidR="00000000" w:rsidDel="00000000" w:rsidP="00000000" w:rsidRDefault="00000000" w:rsidRPr="00000000" w14:paraId="0000057E">
      <w:pPr>
        <w:spacing w:line="480" w:lineRule="auto"/>
        <w:jc w:val="both"/>
        <w:rPr>
          <w:sz w:val="22"/>
          <w:szCs w:val="22"/>
        </w:rPr>
      </w:pPr>
      <w:r w:rsidDel="00000000" w:rsidR="00000000" w:rsidRPr="00000000">
        <w:rPr>
          <w:rtl w:val="0"/>
        </w:rPr>
      </w:r>
    </w:p>
    <w:p w:rsidR="00000000" w:rsidDel="00000000" w:rsidP="00000000" w:rsidRDefault="00000000" w:rsidRPr="00000000" w14:paraId="0000057F">
      <w:pPr>
        <w:spacing w:line="480" w:lineRule="auto"/>
        <w:jc w:val="both"/>
        <w:rPr>
          <w:sz w:val="22"/>
          <w:szCs w:val="22"/>
        </w:rPr>
      </w:pPr>
      <w:r w:rsidDel="00000000" w:rsidR="00000000" w:rsidRPr="00000000">
        <w:rPr>
          <w:rtl w:val="0"/>
        </w:rPr>
      </w:r>
    </w:p>
    <w:p w:rsidR="00000000" w:rsidDel="00000000" w:rsidP="00000000" w:rsidRDefault="00000000" w:rsidRPr="00000000" w14:paraId="00000580">
      <w:pPr>
        <w:spacing w:line="480" w:lineRule="auto"/>
        <w:jc w:val="both"/>
        <w:rPr>
          <w:sz w:val="22"/>
          <w:szCs w:val="22"/>
        </w:rPr>
      </w:pPr>
      <w:r w:rsidDel="00000000" w:rsidR="00000000" w:rsidRPr="00000000">
        <w:rPr>
          <w:rtl w:val="0"/>
        </w:rPr>
      </w:r>
    </w:p>
    <w:tbl>
      <w:tblPr>
        <w:tblStyle w:val="Table8"/>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1419"/>
        <w:gridCol w:w="1843"/>
        <w:gridCol w:w="1700"/>
        <w:gridCol w:w="1565"/>
        <w:gridCol w:w="1271"/>
        <w:gridCol w:w="1228"/>
        <w:tblGridChange w:id="0">
          <w:tblGrid>
            <w:gridCol w:w="1419"/>
            <w:gridCol w:w="1843"/>
            <w:gridCol w:w="1700"/>
            <w:gridCol w:w="1565"/>
            <w:gridCol w:w="1271"/>
            <w:gridCol w:w="1228"/>
          </w:tblGrid>
        </w:tblGridChange>
      </w:tblGrid>
      <w:tr>
        <w:trPr>
          <w:cantSplit w:val="0"/>
          <w:trHeight w:val="340" w:hRule="atLeast"/>
          <w:tblHeader w:val="0"/>
        </w:trPr>
        <w:tc>
          <w:tcPr>
            <w:vAlign w:val="center"/>
          </w:tcPr>
          <w:p w:rsidR="00000000" w:rsidDel="00000000" w:rsidP="00000000" w:rsidRDefault="00000000" w:rsidRPr="00000000" w14:paraId="00000581">
            <w:pPr>
              <w:jc w:val="center"/>
              <w:rPr>
                <w:color w:val="000000"/>
                <w:sz w:val="22"/>
                <w:szCs w:val="22"/>
              </w:rPr>
            </w:pPr>
            <w:r w:rsidDel="00000000" w:rsidR="00000000" w:rsidRPr="00000000">
              <w:rPr>
                <w:color w:val="000000"/>
                <w:sz w:val="22"/>
                <w:szCs w:val="22"/>
                <w:rtl w:val="0"/>
              </w:rPr>
              <w:t xml:space="preserve">Pseudonym</w:t>
            </w:r>
          </w:p>
        </w:tc>
        <w:tc>
          <w:tcPr>
            <w:vAlign w:val="center"/>
          </w:tcPr>
          <w:p w:rsidR="00000000" w:rsidDel="00000000" w:rsidP="00000000" w:rsidRDefault="00000000" w:rsidRPr="00000000" w14:paraId="00000582">
            <w:pPr>
              <w:jc w:val="center"/>
              <w:rPr>
                <w:b w:val="0"/>
                <w:color w:val="000000"/>
                <w:sz w:val="22"/>
                <w:szCs w:val="22"/>
              </w:rPr>
            </w:pPr>
            <w:r w:rsidDel="00000000" w:rsidR="00000000" w:rsidRPr="00000000">
              <w:rPr>
                <w:color w:val="000000"/>
                <w:sz w:val="22"/>
                <w:szCs w:val="22"/>
                <w:rtl w:val="0"/>
              </w:rPr>
              <w:t xml:space="preserve">Therapeutic </w:t>
            </w:r>
            <w:r w:rsidDel="00000000" w:rsidR="00000000" w:rsidRPr="00000000">
              <w:rPr>
                <w:rtl w:val="0"/>
              </w:rPr>
            </w:r>
          </w:p>
          <w:p w:rsidR="00000000" w:rsidDel="00000000" w:rsidP="00000000" w:rsidRDefault="00000000" w:rsidRPr="00000000" w14:paraId="00000583">
            <w:pPr>
              <w:jc w:val="center"/>
              <w:rPr>
                <w:color w:val="000000"/>
                <w:sz w:val="22"/>
                <w:szCs w:val="22"/>
              </w:rPr>
            </w:pPr>
            <w:r w:rsidDel="00000000" w:rsidR="00000000" w:rsidRPr="00000000">
              <w:rPr>
                <w:color w:val="000000"/>
                <w:sz w:val="22"/>
                <w:szCs w:val="22"/>
                <w:rtl w:val="0"/>
              </w:rPr>
              <w:t xml:space="preserve">Group</w:t>
            </w:r>
          </w:p>
        </w:tc>
        <w:tc>
          <w:tcPr>
            <w:vAlign w:val="center"/>
          </w:tcPr>
          <w:p w:rsidR="00000000" w:rsidDel="00000000" w:rsidP="00000000" w:rsidRDefault="00000000" w:rsidRPr="00000000" w14:paraId="00000584">
            <w:pPr>
              <w:jc w:val="center"/>
              <w:rPr>
                <w:color w:val="000000"/>
                <w:sz w:val="22"/>
                <w:szCs w:val="22"/>
              </w:rPr>
            </w:pPr>
            <w:r w:rsidDel="00000000" w:rsidR="00000000" w:rsidRPr="00000000">
              <w:rPr>
                <w:color w:val="000000"/>
                <w:sz w:val="22"/>
                <w:szCs w:val="22"/>
                <w:rtl w:val="0"/>
              </w:rPr>
              <w:t xml:space="preserve">Medication</w:t>
            </w:r>
          </w:p>
        </w:tc>
        <w:tc>
          <w:tcPr>
            <w:vAlign w:val="center"/>
          </w:tcPr>
          <w:p w:rsidR="00000000" w:rsidDel="00000000" w:rsidP="00000000" w:rsidRDefault="00000000" w:rsidRPr="00000000" w14:paraId="00000585">
            <w:pPr>
              <w:jc w:val="center"/>
              <w:rPr>
                <w:b w:val="0"/>
                <w:color w:val="000000"/>
                <w:sz w:val="22"/>
                <w:szCs w:val="22"/>
              </w:rPr>
            </w:pPr>
            <w:r w:rsidDel="00000000" w:rsidR="00000000" w:rsidRPr="00000000">
              <w:rPr>
                <w:color w:val="000000"/>
                <w:sz w:val="22"/>
                <w:szCs w:val="22"/>
                <w:rtl w:val="0"/>
              </w:rPr>
              <w:t xml:space="preserve">Duration of</w:t>
            </w:r>
            <w:r w:rsidDel="00000000" w:rsidR="00000000" w:rsidRPr="00000000">
              <w:rPr>
                <w:rtl w:val="0"/>
              </w:rPr>
            </w:r>
          </w:p>
          <w:p w:rsidR="00000000" w:rsidDel="00000000" w:rsidP="00000000" w:rsidRDefault="00000000" w:rsidRPr="00000000" w14:paraId="00000586">
            <w:pPr>
              <w:jc w:val="center"/>
              <w:rPr>
                <w:color w:val="000000"/>
                <w:sz w:val="22"/>
                <w:szCs w:val="22"/>
              </w:rPr>
            </w:pPr>
            <w:r w:rsidDel="00000000" w:rsidR="00000000" w:rsidRPr="00000000">
              <w:rPr>
                <w:color w:val="000000"/>
                <w:sz w:val="22"/>
                <w:szCs w:val="22"/>
                <w:rtl w:val="0"/>
              </w:rPr>
              <w:t xml:space="preserve">Prescription</w:t>
            </w:r>
          </w:p>
        </w:tc>
        <w:tc>
          <w:tcPr>
            <w:vAlign w:val="center"/>
          </w:tcPr>
          <w:p w:rsidR="00000000" w:rsidDel="00000000" w:rsidP="00000000" w:rsidRDefault="00000000" w:rsidRPr="00000000" w14:paraId="00000587">
            <w:pPr>
              <w:jc w:val="center"/>
              <w:rPr>
                <w:b w:val="0"/>
                <w:color w:val="000000"/>
                <w:sz w:val="22"/>
                <w:szCs w:val="22"/>
              </w:rPr>
            </w:pPr>
            <w:r w:rsidDel="00000000" w:rsidR="00000000" w:rsidRPr="00000000">
              <w:rPr>
                <w:color w:val="000000"/>
                <w:sz w:val="22"/>
                <w:szCs w:val="22"/>
                <w:rtl w:val="0"/>
              </w:rPr>
              <w:t xml:space="preserve">Dose</w:t>
            </w:r>
            <w:r w:rsidDel="00000000" w:rsidR="00000000" w:rsidRPr="00000000">
              <w:rPr>
                <w:rtl w:val="0"/>
              </w:rPr>
            </w:r>
          </w:p>
          <w:p w:rsidR="00000000" w:rsidDel="00000000" w:rsidP="00000000" w:rsidRDefault="00000000" w:rsidRPr="00000000" w14:paraId="00000588">
            <w:pPr>
              <w:jc w:val="center"/>
              <w:rPr>
                <w:color w:val="000000"/>
                <w:sz w:val="22"/>
                <w:szCs w:val="22"/>
              </w:rPr>
            </w:pPr>
            <w:r w:rsidDel="00000000" w:rsidR="00000000" w:rsidRPr="00000000">
              <w:rPr>
                <w:color w:val="000000"/>
                <w:sz w:val="22"/>
                <w:szCs w:val="22"/>
                <w:rtl w:val="0"/>
              </w:rPr>
              <w:t xml:space="preserve">(MG)</w:t>
            </w:r>
          </w:p>
        </w:tc>
        <w:tc>
          <w:tcPr>
            <w:vAlign w:val="center"/>
          </w:tcPr>
          <w:p w:rsidR="00000000" w:rsidDel="00000000" w:rsidP="00000000" w:rsidRDefault="00000000" w:rsidRPr="00000000" w14:paraId="00000589">
            <w:pPr>
              <w:jc w:val="center"/>
              <w:rPr>
                <w:color w:val="000000"/>
                <w:sz w:val="22"/>
                <w:szCs w:val="22"/>
              </w:rPr>
            </w:pPr>
            <w:r w:rsidDel="00000000" w:rsidR="00000000" w:rsidRPr="00000000">
              <w:rPr>
                <w:color w:val="000000"/>
                <w:sz w:val="22"/>
                <w:szCs w:val="22"/>
                <w:rtl w:val="0"/>
              </w:rPr>
              <w:t xml:space="preserve">Length Of Interview</w:t>
            </w:r>
          </w:p>
        </w:tc>
      </w:tr>
      <w:tr>
        <w:trPr>
          <w:cantSplit w:val="0"/>
          <w:trHeight w:val="90" w:hRule="atLeast"/>
          <w:tblHeader w:val="0"/>
        </w:trPr>
        <w:tc>
          <w:tcPr>
            <w:vMerge w:val="restart"/>
            <w:vAlign w:val="center"/>
          </w:tcPr>
          <w:p w:rsidR="00000000" w:rsidDel="00000000" w:rsidP="00000000" w:rsidRDefault="00000000" w:rsidRPr="00000000" w14:paraId="0000058A">
            <w:pPr>
              <w:rPr>
                <w:color w:val="000000"/>
                <w:sz w:val="22"/>
                <w:szCs w:val="22"/>
              </w:rPr>
            </w:pPr>
            <w:r w:rsidDel="00000000" w:rsidR="00000000" w:rsidRPr="00000000">
              <w:rPr>
                <w:color w:val="000000"/>
                <w:sz w:val="22"/>
                <w:szCs w:val="22"/>
                <w:rtl w:val="0"/>
              </w:rPr>
              <w:t xml:space="preserve">Alice</w:t>
            </w:r>
          </w:p>
        </w:tc>
        <w:tc>
          <w:tcPr>
            <w:vMerge w:val="restart"/>
            <w:vAlign w:val="center"/>
          </w:tcPr>
          <w:p w:rsidR="00000000" w:rsidDel="00000000" w:rsidP="00000000" w:rsidRDefault="00000000" w:rsidRPr="00000000" w14:paraId="0000058B">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58C">
            <w:pPr>
              <w:jc w:val="center"/>
              <w:rPr>
                <w:color w:val="000000"/>
                <w:sz w:val="22"/>
                <w:szCs w:val="22"/>
              </w:rPr>
            </w:pPr>
            <w:r w:rsidDel="00000000" w:rsidR="00000000" w:rsidRPr="00000000">
              <w:rPr>
                <w:color w:val="000000"/>
                <w:sz w:val="22"/>
                <w:szCs w:val="22"/>
                <w:rtl w:val="0"/>
              </w:rPr>
              <w:t xml:space="preserve">Sertraline</w:t>
            </w:r>
          </w:p>
        </w:tc>
        <w:tc>
          <w:tcPr>
            <w:vMerge w:val="restart"/>
            <w:vAlign w:val="center"/>
          </w:tcPr>
          <w:p w:rsidR="00000000" w:rsidDel="00000000" w:rsidP="00000000" w:rsidRDefault="00000000" w:rsidRPr="00000000" w14:paraId="0000058D">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8E">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8F">
            <w:pPr>
              <w:jc w:val="center"/>
              <w:rPr>
                <w:color w:val="000000"/>
                <w:sz w:val="22"/>
                <w:szCs w:val="22"/>
              </w:rPr>
            </w:pPr>
            <w:r w:rsidDel="00000000" w:rsidR="00000000" w:rsidRPr="00000000">
              <w:rPr>
                <w:color w:val="000000"/>
                <w:sz w:val="22"/>
                <w:szCs w:val="22"/>
                <w:rtl w:val="0"/>
              </w:rPr>
              <w:t xml:space="preserve">00:36:53</w:t>
            </w:r>
          </w:p>
        </w:tc>
      </w:tr>
      <w:tr>
        <w:trPr>
          <w:cantSplit w:val="0"/>
          <w:trHeight w:val="71" w:hRule="atLeast"/>
          <w:tblHeader w:val="0"/>
        </w:trPr>
        <w:tc>
          <w:tcPr>
            <w:vMerge w:val="continue"/>
            <w:vAlign w:val="center"/>
          </w:tcPr>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92">
            <w:pPr>
              <w:jc w:val="center"/>
              <w:rPr>
                <w:color w:val="000000"/>
                <w:sz w:val="22"/>
                <w:szCs w:val="22"/>
              </w:rPr>
            </w:pPr>
            <w:r w:rsidDel="00000000" w:rsidR="00000000" w:rsidRPr="00000000">
              <w:rPr>
                <w:color w:val="000000"/>
                <w:sz w:val="22"/>
                <w:szCs w:val="22"/>
                <w:rtl w:val="0"/>
              </w:rPr>
              <w:t xml:space="preserve">Fluoxetine</w:t>
            </w:r>
          </w:p>
        </w:tc>
        <w:tc>
          <w:tcPr>
            <w:vMerge w:val="continue"/>
            <w:vAlign w:val="center"/>
          </w:tcPr>
          <w:p w:rsidR="00000000" w:rsidDel="00000000" w:rsidP="00000000" w:rsidRDefault="00000000" w:rsidRPr="00000000" w14:paraId="000005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98">
            <w:pPr>
              <w:jc w:val="center"/>
              <w:rPr>
                <w:color w:val="000000"/>
                <w:sz w:val="22"/>
                <w:szCs w:val="22"/>
              </w:rPr>
            </w:pPr>
            <w:r w:rsidDel="00000000" w:rsidR="00000000" w:rsidRPr="00000000">
              <w:rPr>
                <w:color w:val="000000"/>
                <w:sz w:val="22"/>
                <w:szCs w:val="22"/>
                <w:rtl w:val="0"/>
              </w:rPr>
              <w:t xml:space="preserve">Citalopram</w:t>
            </w:r>
          </w:p>
        </w:tc>
        <w:tc>
          <w:tcPr>
            <w:vAlign w:val="center"/>
          </w:tcPr>
          <w:p w:rsidR="00000000" w:rsidDel="00000000" w:rsidP="00000000" w:rsidRDefault="00000000" w:rsidRPr="00000000" w14:paraId="00000599">
            <w:pPr>
              <w:jc w:val="center"/>
              <w:rPr>
                <w:color w:val="000000"/>
                <w:sz w:val="22"/>
                <w:szCs w:val="22"/>
              </w:rPr>
            </w:pPr>
            <w:r w:rsidDel="00000000" w:rsidR="00000000" w:rsidRPr="00000000">
              <w:rPr>
                <w:color w:val="000000"/>
                <w:sz w:val="22"/>
                <w:szCs w:val="22"/>
                <w:rtl w:val="0"/>
              </w:rPr>
              <w:t xml:space="preserve">2 Years</w:t>
            </w:r>
          </w:p>
        </w:tc>
        <w:tc>
          <w:tcPr>
            <w:vAlign w:val="center"/>
          </w:tcPr>
          <w:p w:rsidR="00000000" w:rsidDel="00000000" w:rsidP="00000000" w:rsidRDefault="00000000" w:rsidRPr="00000000" w14:paraId="0000059A">
            <w:pPr>
              <w:jc w:val="center"/>
              <w:rPr>
                <w:color w:val="000000"/>
                <w:sz w:val="22"/>
                <w:szCs w:val="22"/>
              </w:rPr>
            </w:pPr>
            <w:r w:rsidDel="00000000" w:rsidR="00000000" w:rsidRPr="00000000">
              <w:rPr>
                <w:color w:val="000000"/>
                <w:sz w:val="22"/>
                <w:szCs w:val="22"/>
                <w:rtl w:val="0"/>
              </w:rPr>
              <w:t xml:space="preserve">20 – 40</w:t>
            </w:r>
          </w:p>
        </w:tc>
        <w:tc>
          <w:tcPr>
            <w:vMerge w:val="continue"/>
            <w:vAlign w:val="center"/>
          </w:tcPr>
          <w:p w:rsidR="00000000" w:rsidDel="00000000" w:rsidP="00000000" w:rsidRDefault="00000000" w:rsidRPr="00000000" w14:paraId="00000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59C">
            <w:pPr>
              <w:rPr>
                <w:color w:val="000000"/>
                <w:sz w:val="22"/>
                <w:szCs w:val="22"/>
              </w:rPr>
            </w:pPr>
            <w:r w:rsidDel="00000000" w:rsidR="00000000" w:rsidRPr="00000000">
              <w:rPr>
                <w:color w:val="000000"/>
                <w:sz w:val="22"/>
                <w:szCs w:val="22"/>
                <w:rtl w:val="0"/>
              </w:rPr>
              <w:t xml:space="preserve">Brandon</w:t>
            </w:r>
          </w:p>
        </w:tc>
        <w:tc>
          <w:tcPr>
            <w:vAlign w:val="center"/>
          </w:tcPr>
          <w:p w:rsidR="00000000" w:rsidDel="00000000" w:rsidP="00000000" w:rsidRDefault="00000000" w:rsidRPr="00000000" w14:paraId="0000059D">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59E">
            <w:pPr>
              <w:jc w:val="center"/>
              <w:rPr>
                <w:color w:val="000000"/>
                <w:sz w:val="22"/>
                <w:szCs w:val="22"/>
              </w:rPr>
            </w:pPr>
            <w:r w:rsidDel="00000000" w:rsidR="00000000" w:rsidRPr="00000000">
              <w:rPr>
                <w:color w:val="000000"/>
                <w:sz w:val="22"/>
                <w:szCs w:val="22"/>
                <w:rtl w:val="0"/>
              </w:rPr>
              <w:t xml:space="preserve">Duloxetine</w:t>
            </w:r>
          </w:p>
        </w:tc>
        <w:tc>
          <w:tcPr>
            <w:vAlign w:val="center"/>
          </w:tcPr>
          <w:p w:rsidR="00000000" w:rsidDel="00000000" w:rsidP="00000000" w:rsidRDefault="00000000" w:rsidRPr="00000000" w14:paraId="0000059F">
            <w:pPr>
              <w:jc w:val="center"/>
              <w:rPr>
                <w:sz w:val="22"/>
                <w:szCs w:val="22"/>
              </w:rPr>
            </w:pPr>
            <w:r w:rsidDel="00000000" w:rsidR="00000000" w:rsidRPr="00000000">
              <w:rPr>
                <w:color w:val="000000"/>
                <w:sz w:val="22"/>
                <w:szCs w:val="22"/>
                <w:rtl w:val="0"/>
              </w:rPr>
              <w:t xml:space="preserve">Not Discussed</w:t>
            </w:r>
            <w:r w:rsidDel="00000000" w:rsidR="00000000" w:rsidRPr="00000000">
              <w:rPr>
                <w:rtl w:val="0"/>
              </w:rPr>
            </w:r>
          </w:p>
        </w:tc>
        <w:tc>
          <w:tcPr>
            <w:vAlign w:val="center"/>
          </w:tcPr>
          <w:p w:rsidR="00000000" w:rsidDel="00000000" w:rsidP="00000000" w:rsidRDefault="00000000" w:rsidRPr="00000000" w14:paraId="000005A0">
            <w:pPr>
              <w:jc w:val="center"/>
              <w:rPr>
                <w:sz w:val="22"/>
                <w:szCs w:val="22"/>
              </w:rPr>
            </w:pPr>
            <w:r w:rsidDel="00000000" w:rsidR="00000000" w:rsidRPr="00000000">
              <w:rPr>
                <w:rtl w:val="0"/>
              </w:rPr>
            </w:r>
          </w:p>
        </w:tc>
        <w:tc>
          <w:tcPr>
            <w:vMerge w:val="restart"/>
            <w:vAlign w:val="center"/>
          </w:tcPr>
          <w:p w:rsidR="00000000" w:rsidDel="00000000" w:rsidP="00000000" w:rsidRDefault="00000000" w:rsidRPr="00000000" w14:paraId="000005A1">
            <w:pPr>
              <w:jc w:val="center"/>
              <w:rPr>
                <w:color w:val="000000"/>
                <w:sz w:val="22"/>
                <w:szCs w:val="22"/>
              </w:rPr>
            </w:pPr>
            <w:r w:rsidDel="00000000" w:rsidR="00000000" w:rsidRPr="00000000">
              <w:rPr>
                <w:color w:val="000000"/>
                <w:sz w:val="22"/>
                <w:szCs w:val="22"/>
                <w:rtl w:val="0"/>
              </w:rPr>
              <w:t xml:space="preserve">00:30:07</w:t>
            </w:r>
          </w:p>
        </w:tc>
      </w:tr>
      <w:tr>
        <w:trPr>
          <w:cantSplit w:val="0"/>
          <w:trHeight w:val="71" w:hRule="atLeast"/>
          <w:tblHeader w:val="0"/>
        </w:trPr>
        <w:tc>
          <w:tcPr>
            <w:vMerge w:val="continue"/>
            <w:vAlign w:val="center"/>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A3">
            <w:pPr>
              <w:jc w:val="center"/>
              <w:rPr>
                <w:color w:val="000000"/>
                <w:sz w:val="22"/>
                <w:szCs w:val="22"/>
              </w:rPr>
            </w:pPr>
            <w:r w:rsidDel="00000000" w:rsidR="00000000" w:rsidRPr="00000000">
              <w:rPr>
                <w:color w:val="000000"/>
                <w:sz w:val="22"/>
                <w:szCs w:val="22"/>
                <w:rtl w:val="0"/>
              </w:rPr>
              <w:t xml:space="preserve">Gabapentinoid</w:t>
            </w:r>
          </w:p>
        </w:tc>
        <w:tc>
          <w:tcPr>
            <w:vAlign w:val="center"/>
          </w:tcPr>
          <w:p w:rsidR="00000000" w:rsidDel="00000000" w:rsidP="00000000" w:rsidRDefault="00000000" w:rsidRPr="00000000" w14:paraId="000005A4">
            <w:pPr>
              <w:jc w:val="center"/>
              <w:rPr>
                <w:color w:val="000000"/>
                <w:sz w:val="22"/>
                <w:szCs w:val="22"/>
              </w:rPr>
            </w:pPr>
            <w:r w:rsidDel="00000000" w:rsidR="00000000" w:rsidRPr="00000000">
              <w:rPr>
                <w:color w:val="000000"/>
                <w:sz w:val="22"/>
                <w:szCs w:val="22"/>
                <w:rtl w:val="0"/>
              </w:rPr>
              <w:t xml:space="preserve">Pregabalin</w:t>
            </w:r>
          </w:p>
        </w:tc>
        <w:tc>
          <w:tcPr>
            <w:vAlign w:val="center"/>
          </w:tcPr>
          <w:p w:rsidR="00000000" w:rsidDel="00000000" w:rsidP="00000000" w:rsidRDefault="00000000" w:rsidRPr="00000000" w14:paraId="000005A5">
            <w:pPr>
              <w:jc w:val="center"/>
              <w:rPr>
                <w:color w:val="000000"/>
                <w:sz w:val="22"/>
                <w:szCs w:val="22"/>
              </w:rPr>
            </w:pPr>
            <w:r w:rsidDel="00000000" w:rsidR="00000000" w:rsidRPr="00000000">
              <w:rPr>
                <w:color w:val="000000"/>
                <w:sz w:val="22"/>
                <w:szCs w:val="22"/>
                <w:rtl w:val="0"/>
              </w:rPr>
              <w:t xml:space="preserve">3 Years</w:t>
            </w:r>
          </w:p>
        </w:tc>
        <w:tc>
          <w:tcPr>
            <w:vAlign w:val="center"/>
          </w:tcPr>
          <w:p w:rsidR="00000000" w:rsidDel="00000000" w:rsidP="00000000" w:rsidRDefault="00000000" w:rsidRPr="00000000" w14:paraId="000005A6">
            <w:pPr>
              <w:jc w:val="center"/>
              <w:rPr>
                <w:color w:val="000000"/>
                <w:sz w:val="22"/>
                <w:szCs w:val="22"/>
              </w:rPr>
            </w:pPr>
            <w:r w:rsidDel="00000000" w:rsidR="00000000" w:rsidRPr="00000000">
              <w:rPr>
                <w:color w:val="000000"/>
                <w:sz w:val="22"/>
                <w:szCs w:val="22"/>
                <w:rtl w:val="0"/>
              </w:rPr>
              <w:t xml:space="preserve">600</w:t>
            </w:r>
          </w:p>
        </w:tc>
        <w:tc>
          <w:tcPr>
            <w:vMerge w:val="continue"/>
            <w:vAlign w:val="center"/>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A9">
            <w:pPr>
              <w:jc w:val="center"/>
              <w:rPr>
                <w:color w:val="000000"/>
                <w:sz w:val="22"/>
                <w:szCs w:val="22"/>
              </w:rPr>
            </w:pPr>
            <w:r w:rsidDel="00000000" w:rsidR="00000000" w:rsidRPr="00000000">
              <w:rPr>
                <w:color w:val="000000"/>
                <w:sz w:val="22"/>
                <w:szCs w:val="22"/>
                <w:rtl w:val="0"/>
              </w:rPr>
              <w:t xml:space="preserve">Z-Drug</w:t>
            </w:r>
          </w:p>
        </w:tc>
        <w:tc>
          <w:tcPr>
            <w:vAlign w:val="center"/>
          </w:tcPr>
          <w:p w:rsidR="00000000" w:rsidDel="00000000" w:rsidP="00000000" w:rsidRDefault="00000000" w:rsidRPr="00000000" w14:paraId="000005AA">
            <w:pPr>
              <w:jc w:val="center"/>
              <w:rPr>
                <w:color w:val="000000"/>
                <w:sz w:val="22"/>
                <w:szCs w:val="22"/>
              </w:rPr>
            </w:pPr>
            <w:r w:rsidDel="00000000" w:rsidR="00000000" w:rsidRPr="00000000">
              <w:rPr>
                <w:color w:val="000000"/>
                <w:sz w:val="22"/>
                <w:szCs w:val="22"/>
                <w:rtl w:val="0"/>
              </w:rPr>
              <w:t xml:space="preserve">Zopiclone</w:t>
            </w:r>
          </w:p>
        </w:tc>
        <w:tc>
          <w:tcPr>
            <w:vAlign w:val="center"/>
          </w:tcPr>
          <w:p w:rsidR="00000000" w:rsidDel="00000000" w:rsidP="00000000" w:rsidRDefault="00000000" w:rsidRPr="00000000" w14:paraId="000005AB">
            <w:pPr>
              <w:jc w:val="center"/>
              <w:rPr>
                <w:color w:val="000000"/>
                <w:sz w:val="22"/>
                <w:szCs w:val="22"/>
              </w:rPr>
            </w:pPr>
            <w:r w:rsidDel="00000000" w:rsidR="00000000" w:rsidRPr="00000000">
              <w:rPr>
                <w:color w:val="000000"/>
                <w:sz w:val="22"/>
                <w:szCs w:val="22"/>
                <w:rtl w:val="0"/>
              </w:rPr>
              <w:t xml:space="preserve">6 Weeks</w:t>
            </w:r>
          </w:p>
        </w:tc>
        <w:tc>
          <w:tcPr>
            <w:vAlign w:val="center"/>
          </w:tcPr>
          <w:p w:rsidR="00000000" w:rsidDel="00000000" w:rsidP="00000000" w:rsidRDefault="00000000" w:rsidRPr="00000000" w14:paraId="000005AC">
            <w:pPr>
              <w:jc w:val="center"/>
              <w:rPr>
                <w:color w:val="000000"/>
                <w:sz w:val="22"/>
                <w:szCs w:val="22"/>
              </w:rPr>
            </w:pPr>
            <w:r w:rsidDel="00000000" w:rsidR="00000000" w:rsidRPr="00000000">
              <w:rPr>
                <w:color w:val="000000"/>
                <w:sz w:val="22"/>
                <w:szCs w:val="22"/>
                <w:rtl w:val="0"/>
              </w:rPr>
              <w:t xml:space="preserve">7.5</w:t>
            </w:r>
          </w:p>
        </w:tc>
        <w:tc>
          <w:tcPr>
            <w:vMerge w:val="continue"/>
            <w:vAlign w:val="center"/>
          </w:tcPr>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5AE">
            <w:pPr>
              <w:rPr>
                <w:color w:val="000000"/>
                <w:sz w:val="22"/>
                <w:szCs w:val="22"/>
              </w:rPr>
            </w:pPr>
            <w:r w:rsidDel="00000000" w:rsidR="00000000" w:rsidRPr="00000000">
              <w:rPr>
                <w:color w:val="000000"/>
                <w:sz w:val="22"/>
                <w:szCs w:val="22"/>
                <w:rtl w:val="0"/>
              </w:rPr>
              <w:t xml:space="preserve">Charlotte</w:t>
            </w:r>
          </w:p>
        </w:tc>
        <w:tc>
          <w:tcPr>
            <w:vAlign w:val="center"/>
          </w:tcPr>
          <w:p w:rsidR="00000000" w:rsidDel="00000000" w:rsidP="00000000" w:rsidRDefault="00000000" w:rsidRPr="00000000" w14:paraId="000005AF">
            <w:pPr>
              <w:jc w:val="center"/>
              <w:rPr>
                <w:color w:val="000000"/>
                <w:sz w:val="22"/>
                <w:szCs w:val="22"/>
              </w:rPr>
            </w:pPr>
            <w:r w:rsidDel="00000000" w:rsidR="00000000" w:rsidRPr="00000000">
              <w:rPr>
                <w:color w:val="000000"/>
                <w:sz w:val="22"/>
                <w:szCs w:val="22"/>
                <w:rtl w:val="0"/>
              </w:rPr>
              <w:t xml:space="preserve">Benzodiazepine</w:t>
            </w:r>
          </w:p>
        </w:tc>
        <w:tc>
          <w:tcPr>
            <w:vAlign w:val="center"/>
          </w:tcPr>
          <w:p w:rsidR="00000000" w:rsidDel="00000000" w:rsidP="00000000" w:rsidRDefault="00000000" w:rsidRPr="00000000" w14:paraId="000005B0">
            <w:pPr>
              <w:jc w:val="center"/>
              <w:rPr>
                <w:color w:val="000000"/>
                <w:sz w:val="22"/>
                <w:szCs w:val="22"/>
              </w:rPr>
            </w:pPr>
            <w:r w:rsidDel="00000000" w:rsidR="00000000" w:rsidRPr="00000000">
              <w:rPr>
                <w:color w:val="000000"/>
                <w:sz w:val="22"/>
                <w:szCs w:val="22"/>
                <w:rtl w:val="0"/>
              </w:rPr>
              <w:t xml:space="preserve">Diazepam</w:t>
            </w:r>
          </w:p>
        </w:tc>
        <w:tc>
          <w:tcPr>
            <w:vAlign w:val="center"/>
          </w:tcPr>
          <w:p w:rsidR="00000000" w:rsidDel="00000000" w:rsidP="00000000" w:rsidRDefault="00000000" w:rsidRPr="00000000" w14:paraId="000005B1">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B2">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B3">
            <w:pPr>
              <w:jc w:val="center"/>
              <w:rPr>
                <w:color w:val="000000"/>
                <w:sz w:val="22"/>
                <w:szCs w:val="22"/>
              </w:rPr>
            </w:pPr>
            <w:r w:rsidDel="00000000" w:rsidR="00000000" w:rsidRPr="00000000">
              <w:rPr>
                <w:color w:val="000000"/>
                <w:sz w:val="22"/>
                <w:szCs w:val="22"/>
                <w:rtl w:val="0"/>
              </w:rPr>
              <w:t xml:space="preserve">00:59:57</w:t>
            </w:r>
          </w:p>
        </w:tc>
      </w:tr>
      <w:tr>
        <w:trPr>
          <w:cantSplit w:val="0"/>
          <w:trHeight w:val="71" w:hRule="atLeast"/>
          <w:tblHeader w:val="0"/>
        </w:trPr>
        <w:tc>
          <w:tcPr>
            <w:vMerge w:val="continue"/>
            <w:vAlign w:val="center"/>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B5">
            <w:pPr>
              <w:jc w:val="center"/>
              <w:rPr>
                <w:color w:val="000000"/>
                <w:sz w:val="22"/>
                <w:szCs w:val="22"/>
              </w:rPr>
            </w:pPr>
            <w:r w:rsidDel="00000000" w:rsidR="00000000" w:rsidRPr="00000000">
              <w:rPr>
                <w:color w:val="000000"/>
                <w:sz w:val="22"/>
                <w:szCs w:val="22"/>
                <w:rtl w:val="0"/>
              </w:rPr>
              <w:t xml:space="preserve">Opioid</w:t>
            </w:r>
          </w:p>
        </w:tc>
        <w:tc>
          <w:tcPr>
            <w:vAlign w:val="center"/>
          </w:tcPr>
          <w:p w:rsidR="00000000" w:rsidDel="00000000" w:rsidP="00000000" w:rsidRDefault="00000000" w:rsidRPr="00000000" w14:paraId="000005B6">
            <w:pPr>
              <w:jc w:val="center"/>
              <w:rPr>
                <w:color w:val="000000"/>
                <w:sz w:val="22"/>
                <w:szCs w:val="22"/>
              </w:rPr>
            </w:pPr>
            <w:r w:rsidDel="00000000" w:rsidR="00000000" w:rsidRPr="00000000">
              <w:rPr>
                <w:color w:val="000000"/>
                <w:sz w:val="22"/>
                <w:szCs w:val="22"/>
                <w:rtl w:val="0"/>
              </w:rPr>
              <w:t xml:space="preserve">Codeine</w:t>
            </w:r>
          </w:p>
        </w:tc>
        <w:tc>
          <w:tcPr>
            <w:vAlign w:val="center"/>
          </w:tcPr>
          <w:p w:rsidR="00000000" w:rsidDel="00000000" w:rsidP="00000000" w:rsidRDefault="00000000" w:rsidRPr="00000000" w14:paraId="000005B7">
            <w:pPr>
              <w:jc w:val="center"/>
              <w:rPr>
                <w:color w:val="000000"/>
                <w:sz w:val="22"/>
                <w:szCs w:val="22"/>
              </w:rPr>
            </w:pPr>
            <w:r w:rsidDel="00000000" w:rsidR="00000000" w:rsidRPr="00000000">
              <w:rPr>
                <w:color w:val="000000"/>
                <w:sz w:val="22"/>
                <w:szCs w:val="22"/>
                <w:rtl w:val="0"/>
              </w:rPr>
              <w:t xml:space="preserve">4 Months</w:t>
            </w:r>
          </w:p>
        </w:tc>
        <w:tc>
          <w:tcPr>
            <w:vMerge w:val="continue"/>
            <w:vAlign w:val="center"/>
          </w:tcPr>
          <w:p w:rsidR="00000000" w:rsidDel="00000000" w:rsidP="00000000" w:rsidRDefault="00000000" w:rsidRPr="00000000" w14:paraId="00000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BB">
            <w:pPr>
              <w:jc w:val="center"/>
              <w:rPr>
                <w:color w:val="000000"/>
                <w:sz w:val="22"/>
                <w:szCs w:val="22"/>
              </w:rPr>
            </w:pPr>
            <w:r w:rsidDel="00000000" w:rsidR="00000000" w:rsidRPr="00000000">
              <w:rPr>
                <w:color w:val="000000"/>
                <w:sz w:val="22"/>
                <w:szCs w:val="22"/>
                <w:rtl w:val="0"/>
              </w:rPr>
              <w:t xml:space="preserve">Z-Drug</w:t>
            </w:r>
          </w:p>
        </w:tc>
        <w:tc>
          <w:tcPr>
            <w:vAlign w:val="center"/>
          </w:tcPr>
          <w:p w:rsidR="00000000" w:rsidDel="00000000" w:rsidP="00000000" w:rsidRDefault="00000000" w:rsidRPr="00000000" w14:paraId="000005BC">
            <w:pPr>
              <w:jc w:val="center"/>
              <w:rPr>
                <w:color w:val="000000"/>
                <w:sz w:val="22"/>
                <w:szCs w:val="22"/>
              </w:rPr>
            </w:pPr>
            <w:r w:rsidDel="00000000" w:rsidR="00000000" w:rsidRPr="00000000">
              <w:rPr>
                <w:color w:val="000000"/>
                <w:sz w:val="22"/>
                <w:szCs w:val="22"/>
                <w:rtl w:val="0"/>
              </w:rPr>
              <w:t xml:space="preserve">Zopiclone</w:t>
            </w:r>
          </w:p>
        </w:tc>
        <w:tc>
          <w:tcPr>
            <w:vAlign w:val="center"/>
          </w:tcPr>
          <w:p w:rsidR="00000000" w:rsidDel="00000000" w:rsidP="00000000" w:rsidRDefault="00000000" w:rsidRPr="00000000" w14:paraId="000005BD">
            <w:pPr>
              <w:jc w:val="center"/>
              <w:rPr>
                <w:color w:val="000000"/>
                <w:sz w:val="22"/>
                <w:szCs w:val="22"/>
              </w:rPr>
            </w:pPr>
            <w:r w:rsidDel="00000000" w:rsidR="00000000" w:rsidRPr="00000000">
              <w:rPr>
                <w:color w:val="000000"/>
                <w:sz w:val="22"/>
                <w:szCs w:val="22"/>
                <w:rtl w:val="0"/>
              </w:rPr>
              <w:t xml:space="preserve">40 Days</w:t>
            </w:r>
          </w:p>
        </w:tc>
        <w:tc>
          <w:tcPr>
            <w:vMerge w:val="continue"/>
            <w:vAlign w:val="center"/>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5C0">
            <w:pPr>
              <w:rPr>
                <w:color w:val="000000"/>
                <w:sz w:val="22"/>
                <w:szCs w:val="22"/>
              </w:rPr>
            </w:pPr>
            <w:r w:rsidDel="00000000" w:rsidR="00000000" w:rsidRPr="00000000">
              <w:rPr>
                <w:color w:val="000000"/>
                <w:sz w:val="22"/>
                <w:szCs w:val="22"/>
                <w:rtl w:val="0"/>
              </w:rPr>
              <w:t xml:space="preserve">Georgina</w:t>
            </w:r>
          </w:p>
        </w:tc>
        <w:tc>
          <w:tcPr>
            <w:vMerge w:val="restart"/>
            <w:vAlign w:val="center"/>
          </w:tcPr>
          <w:p w:rsidR="00000000" w:rsidDel="00000000" w:rsidP="00000000" w:rsidRDefault="00000000" w:rsidRPr="00000000" w14:paraId="000005C1">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5C2">
            <w:pPr>
              <w:jc w:val="center"/>
              <w:rPr>
                <w:color w:val="000000"/>
                <w:sz w:val="22"/>
                <w:szCs w:val="22"/>
              </w:rPr>
            </w:pPr>
            <w:r w:rsidDel="00000000" w:rsidR="00000000" w:rsidRPr="00000000">
              <w:rPr>
                <w:color w:val="000000"/>
                <w:sz w:val="22"/>
                <w:szCs w:val="22"/>
                <w:rtl w:val="0"/>
              </w:rPr>
              <w:t xml:space="preserve">Amitriptyline</w:t>
            </w:r>
          </w:p>
        </w:tc>
        <w:tc>
          <w:tcPr>
            <w:vMerge w:val="restart"/>
            <w:vAlign w:val="center"/>
          </w:tcPr>
          <w:p w:rsidR="00000000" w:rsidDel="00000000" w:rsidP="00000000" w:rsidRDefault="00000000" w:rsidRPr="00000000" w14:paraId="000005C3">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C4">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C5">
            <w:pPr>
              <w:jc w:val="center"/>
              <w:rPr>
                <w:color w:val="000000"/>
                <w:sz w:val="22"/>
                <w:szCs w:val="22"/>
              </w:rPr>
            </w:pPr>
            <w:r w:rsidDel="00000000" w:rsidR="00000000" w:rsidRPr="00000000">
              <w:rPr>
                <w:color w:val="000000"/>
                <w:sz w:val="22"/>
                <w:szCs w:val="22"/>
                <w:rtl w:val="0"/>
              </w:rPr>
              <w:t xml:space="preserve">01:07:14</w:t>
            </w:r>
          </w:p>
        </w:tc>
      </w:tr>
      <w:tr>
        <w:trPr>
          <w:cantSplit w:val="0"/>
          <w:trHeight w:val="71" w:hRule="atLeast"/>
          <w:tblHeader w:val="0"/>
        </w:trPr>
        <w:tc>
          <w:tcPr>
            <w:vMerge w:val="continue"/>
            <w:vAlign w:val="center"/>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C8">
            <w:pPr>
              <w:jc w:val="center"/>
              <w:rPr>
                <w:color w:val="000000"/>
                <w:sz w:val="22"/>
                <w:szCs w:val="22"/>
              </w:rPr>
            </w:pPr>
            <w:r w:rsidDel="00000000" w:rsidR="00000000" w:rsidRPr="00000000">
              <w:rPr>
                <w:color w:val="000000"/>
                <w:sz w:val="22"/>
                <w:szCs w:val="22"/>
                <w:rtl w:val="0"/>
              </w:rPr>
              <w:t xml:space="preserve">Nortriptyline</w:t>
            </w:r>
          </w:p>
        </w:tc>
        <w:tc>
          <w:tcPr>
            <w:vMerge w:val="continue"/>
            <w:vAlign w:val="center"/>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restart"/>
            <w:vAlign w:val="center"/>
          </w:tcPr>
          <w:p w:rsidR="00000000" w:rsidDel="00000000" w:rsidP="00000000" w:rsidRDefault="00000000" w:rsidRPr="00000000" w14:paraId="000005CD">
            <w:pPr>
              <w:jc w:val="center"/>
              <w:rPr>
                <w:color w:val="000000"/>
                <w:sz w:val="22"/>
                <w:szCs w:val="22"/>
              </w:rPr>
            </w:pPr>
            <w:r w:rsidDel="00000000" w:rsidR="00000000" w:rsidRPr="00000000">
              <w:rPr>
                <w:color w:val="000000"/>
                <w:sz w:val="22"/>
                <w:szCs w:val="22"/>
                <w:rtl w:val="0"/>
              </w:rPr>
              <w:t xml:space="preserve">Opioid</w:t>
            </w:r>
          </w:p>
        </w:tc>
        <w:tc>
          <w:tcPr>
            <w:vAlign w:val="center"/>
          </w:tcPr>
          <w:p w:rsidR="00000000" w:rsidDel="00000000" w:rsidP="00000000" w:rsidRDefault="00000000" w:rsidRPr="00000000" w14:paraId="000005CE">
            <w:pPr>
              <w:jc w:val="center"/>
              <w:rPr>
                <w:color w:val="000000"/>
                <w:sz w:val="22"/>
                <w:szCs w:val="22"/>
              </w:rPr>
            </w:pPr>
            <w:r w:rsidDel="00000000" w:rsidR="00000000" w:rsidRPr="00000000">
              <w:rPr>
                <w:color w:val="000000"/>
                <w:sz w:val="22"/>
                <w:szCs w:val="22"/>
                <w:rtl w:val="0"/>
              </w:rPr>
              <w:t xml:space="preserve">Fentanyl</w:t>
            </w:r>
          </w:p>
        </w:tc>
        <w:tc>
          <w:tcPr>
            <w:vMerge w:val="continue"/>
            <w:vAlign w:val="center"/>
          </w:tcPr>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D0">
            <w:pPr>
              <w:jc w:val="center"/>
              <w:rPr>
                <w:color w:val="000000"/>
                <w:sz w:val="22"/>
                <w:szCs w:val="22"/>
              </w:rPr>
            </w:pPr>
            <w:r w:rsidDel="00000000" w:rsidR="00000000" w:rsidRPr="00000000">
              <w:rPr>
                <w:color w:val="000000"/>
                <w:sz w:val="22"/>
                <w:szCs w:val="22"/>
                <w:rtl w:val="0"/>
              </w:rPr>
              <w:t xml:space="preserve">100</w:t>
            </w:r>
          </w:p>
        </w:tc>
        <w:tc>
          <w:tcPr>
            <w:vMerge w:val="continue"/>
            <w:vAlign w:val="center"/>
          </w:tcPr>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D4">
            <w:pPr>
              <w:jc w:val="center"/>
              <w:rPr>
                <w:color w:val="000000"/>
                <w:sz w:val="22"/>
                <w:szCs w:val="22"/>
              </w:rPr>
            </w:pPr>
            <w:r w:rsidDel="00000000" w:rsidR="00000000" w:rsidRPr="00000000">
              <w:rPr>
                <w:color w:val="000000"/>
                <w:sz w:val="22"/>
                <w:szCs w:val="22"/>
                <w:rtl w:val="0"/>
              </w:rPr>
              <w:t xml:space="preserve">Morphine</w:t>
            </w:r>
          </w:p>
        </w:tc>
        <w:tc>
          <w:tcPr>
            <w:vMerge w:val="continue"/>
            <w:vAlign w:val="center"/>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D6">
            <w:pPr>
              <w:jc w:val="center"/>
              <w:rPr>
                <w:color w:val="000000"/>
                <w:sz w:val="22"/>
                <w:szCs w:val="22"/>
              </w:rPr>
            </w:pPr>
            <w:r w:rsidDel="00000000" w:rsidR="00000000" w:rsidRPr="00000000">
              <w:rPr>
                <w:color w:val="000000"/>
                <w:sz w:val="22"/>
                <w:szCs w:val="22"/>
                <w:rtl w:val="0"/>
              </w:rPr>
              <w:t xml:space="preserve">450 - 500</w:t>
            </w:r>
          </w:p>
        </w:tc>
        <w:tc>
          <w:tcPr>
            <w:vMerge w:val="continue"/>
            <w:vAlign w:val="center"/>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DA">
            <w:pPr>
              <w:jc w:val="center"/>
              <w:rPr>
                <w:color w:val="000000"/>
                <w:sz w:val="22"/>
                <w:szCs w:val="22"/>
              </w:rPr>
            </w:pPr>
            <w:r w:rsidDel="00000000" w:rsidR="00000000" w:rsidRPr="00000000">
              <w:rPr>
                <w:color w:val="000000"/>
                <w:sz w:val="22"/>
                <w:szCs w:val="22"/>
                <w:rtl w:val="0"/>
              </w:rPr>
              <w:t xml:space="preserve">Trimipramine</w:t>
            </w:r>
          </w:p>
        </w:tc>
        <w:tc>
          <w:tcPr>
            <w:vMerge w:val="continue"/>
            <w:vAlign w:val="center"/>
          </w:tcPr>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DC">
            <w:pPr>
              <w:jc w:val="center"/>
              <w:rPr>
                <w:color w:val="000000"/>
                <w:sz w:val="22"/>
                <w:szCs w:val="22"/>
              </w:rPr>
            </w:pPr>
            <w:r w:rsidDel="00000000" w:rsidR="00000000" w:rsidRPr="00000000">
              <w:rPr>
                <w:color w:val="000000"/>
                <w:sz w:val="22"/>
                <w:szCs w:val="22"/>
                <w:rtl w:val="0"/>
              </w:rPr>
              <w:t xml:space="preserve">200</w:t>
            </w:r>
          </w:p>
        </w:tc>
        <w:tc>
          <w:tcPr>
            <w:vMerge w:val="continue"/>
            <w:vAlign w:val="center"/>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5DE">
            <w:pPr>
              <w:rPr>
                <w:color w:val="000000"/>
                <w:sz w:val="22"/>
                <w:szCs w:val="22"/>
              </w:rPr>
            </w:pPr>
            <w:r w:rsidDel="00000000" w:rsidR="00000000" w:rsidRPr="00000000">
              <w:rPr>
                <w:color w:val="000000"/>
                <w:sz w:val="22"/>
                <w:szCs w:val="22"/>
                <w:rtl w:val="0"/>
              </w:rPr>
              <w:t xml:space="preserve">Imogen</w:t>
            </w:r>
          </w:p>
        </w:tc>
        <w:tc>
          <w:tcPr>
            <w:vMerge w:val="restart"/>
            <w:vAlign w:val="center"/>
          </w:tcPr>
          <w:p w:rsidR="00000000" w:rsidDel="00000000" w:rsidP="00000000" w:rsidRDefault="00000000" w:rsidRPr="00000000" w14:paraId="000005DF">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5E0">
            <w:pPr>
              <w:jc w:val="center"/>
              <w:rPr>
                <w:color w:val="000000"/>
                <w:sz w:val="22"/>
                <w:szCs w:val="22"/>
              </w:rPr>
            </w:pPr>
            <w:r w:rsidDel="00000000" w:rsidR="00000000" w:rsidRPr="00000000">
              <w:rPr>
                <w:color w:val="000000"/>
                <w:sz w:val="22"/>
                <w:szCs w:val="22"/>
                <w:rtl w:val="0"/>
              </w:rPr>
              <w:t xml:space="preserve">Sertraline</w:t>
            </w:r>
          </w:p>
        </w:tc>
        <w:tc>
          <w:tcPr>
            <w:vAlign w:val="center"/>
          </w:tcPr>
          <w:p w:rsidR="00000000" w:rsidDel="00000000" w:rsidP="00000000" w:rsidRDefault="00000000" w:rsidRPr="00000000" w14:paraId="000005E1">
            <w:pPr>
              <w:jc w:val="center"/>
              <w:rPr>
                <w:color w:val="000000"/>
                <w:sz w:val="22"/>
                <w:szCs w:val="22"/>
              </w:rPr>
            </w:pPr>
            <w:r w:rsidDel="00000000" w:rsidR="00000000" w:rsidRPr="00000000">
              <w:rPr>
                <w:color w:val="000000"/>
                <w:sz w:val="22"/>
                <w:szCs w:val="22"/>
                <w:rtl w:val="0"/>
              </w:rPr>
              <w:t xml:space="preserve">13 Years</w:t>
            </w:r>
          </w:p>
        </w:tc>
        <w:tc>
          <w:tcPr>
            <w:vMerge w:val="restart"/>
            <w:vAlign w:val="center"/>
          </w:tcPr>
          <w:p w:rsidR="00000000" w:rsidDel="00000000" w:rsidP="00000000" w:rsidRDefault="00000000" w:rsidRPr="00000000" w14:paraId="000005E2">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5E3">
            <w:pPr>
              <w:jc w:val="center"/>
              <w:rPr>
                <w:color w:val="000000"/>
                <w:sz w:val="22"/>
                <w:szCs w:val="22"/>
              </w:rPr>
            </w:pPr>
            <w:r w:rsidDel="00000000" w:rsidR="00000000" w:rsidRPr="00000000">
              <w:rPr>
                <w:color w:val="000000"/>
                <w:sz w:val="22"/>
                <w:szCs w:val="22"/>
                <w:rtl w:val="0"/>
              </w:rPr>
              <w:t xml:space="preserve">01:40:00</w:t>
            </w:r>
          </w:p>
        </w:tc>
      </w:tr>
      <w:tr>
        <w:trPr>
          <w:cantSplit w:val="0"/>
          <w:trHeight w:val="71" w:hRule="atLeast"/>
          <w:tblHeader w:val="0"/>
        </w:trPr>
        <w:tc>
          <w:tcPr>
            <w:vMerge w:val="continue"/>
            <w:vAlign w:val="center"/>
          </w:tcPr>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E6">
            <w:pPr>
              <w:jc w:val="center"/>
              <w:rPr>
                <w:color w:val="000000"/>
                <w:sz w:val="22"/>
                <w:szCs w:val="22"/>
              </w:rPr>
            </w:pPr>
            <w:r w:rsidDel="00000000" w:rsidR="00000000" w:rsidRPr="00000000">
              <w:rPr>
                <w:color w:val="000000"/>
                <w:sz w:val="22"/>
                <w:szCs w:val="22"/>
                <w:rtl w:val="0"/>
              </w:rPr>
              <w:t xml:space="preserve">Amitriptyline</w:t>
            </w:r>
          </w:p>
        </w:tc>
        <w:tc>
          <w:tcPr>
            <w:vAlign w:val="center"/>
          </w:tcPr>
          <w:p w:rsidR="00000000" w:rsidDel="00000000" w:rsidP="00000000" w:rsidRDefault="00000000" w:rsidRPr="00000000" w14:paraId="000005E7">
            <w:pPr>
              <w:jc w:val="center"/>
              <w:rPr>
                <w:color w:val="000000"/>
                <w:sz w:val="22"/>
                <w:szCs w:val="22"/>
              </w:rPr>
            </w:pPr>
            <w:r w:rsidDel="00000000" w:rsidR="00000000" w:rsidRPr="00000000">
              <w:rPr>
                <w:color w:val="000000"/>
                <w:sz w:val="22"/>
                <w:szCs w:val="22"/>
                <w:rtl w:val="0"/>
              </w:rPr>
              <w:t xml:space="preserve">3 Years</w:t>
            </w:r>
          </w:p>
        </w:tc>
        <w:tc>
          <w:tcPr>
            <w:vMerge w:val="continue"/>
            <w:vAlign w:val="center"/>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EB">
            <w:pPr>
              <w:jc w:val="center"/>
              <w:rPr>
                <w:color w:val="000000"/>
                <w:sz w:val="22"/>
                <w:szCs w:val="22"/>
              </w:rPr>
            </w:pPr>
            <w:r w:rsidDel="00000000" w:rsidR="00000000" w:rsidRPr="00000000">
              <w:rPr>
                <w:color w:val="000000"/>
                <w:sz w:val="22"/>
                <w:szCs w:val="22"/>
                <w:rtl w:val="0"/>
              </w:rPr>
              <w:t xml:space="preserve">Opioid</w:t>
            </w:r>
          </w:p>
        </w:tc>
        <w:tc>
          <w:tcPr>
            <w:vAlign w:val="center"/>
          </w:tcPr>
          <w:p w:rsidR="00000000" w:rsidDel="00000000" w:rsidP="00000000" w:rsidRDefault="00000000" w:rsidRPr="00000000" w14:paraId="000005EC">
            <w:pPr>
              <w:jc w:val="center"/>
              <w:rPr>
                <w:color w:val="000000"/>
                <w:sz w:val="22"/>
                <w:szCs w:val="22"/>
              </w:rPr>
            </w:pPr>
            <w:r w:rsidDel="00000000" w:rsidR="00000000" w:rsidRPr="00000000">
              <w:rPr>
                <w:color w:val="000000"/>
                <w:sz w:val="22"/>
                <w:szCs w:val="22"/>
                <w:rtl w:val="0"/>
              </w:rPr>
              <w:t xml:space="preserve">Co-Codamol</w:t>
            </w:r>
          </w:p>
        </w:tc>
        <w:tc>
          <w:tcPr>
            <w:vAlign w:val="center"/>
          </w:tcPr>
          <w:p w:rsidR="00000000" w:rsidDel="00000000" w:rsidP="00000000" w:rsidRDefault="00000000" w:rsidRPr="00000000" w14:paraId="000005ED">
            <w:pPr>
              <w:jc w:val="center"/>
              <w:rPr>
                <w:color w:val="000000"/>
                <w:sz w:val="22"/>
                <w:szCs w:val="22"/>
              </w:rPr>
            </w:pPr>
            <w:r w:rsidDel="00000000" w:rsidR="00000000" w:rsidRPr="00000000">
              <w:rPr>
                <w:color w:val="000000"/>
                <w:sz w:val="22"/>
                <w:szCs w:val="22"/>
                <w:rtl w:val="0"/>
              </w:rPr>
              <w:t xml:space="preserve">3 Years</w:t>
            </w:r>
          </w:p>
        </w:tc>
        <w:tc>
          <w:tcPr>
            <w:vAlign w:val="center"/>
          </w:tcPr>
          <w:p w:rsidR="00000000" w:rsidDel="00000000" w:rsidP="00000000" w:rsidRDefault="00000000" w:rsidRPr="00000000" w14:paraId="000005EE">
            <w:pPr>
              <w:jc w:val="center"/>
              <w:rPr>
                <w:color w:val="000000"/>
                <w:sz w:val="22"/>
                <w:szCs w:val="22"/>
              </w:rPr>
            </w:pPr>
            <w:r w:rsidDel="00000000" w:rsidR="00000000" w:rsidRPr="00000000">
              <w:rPr>
                <w:color w:val="000000"/>
                <w:sz w:val="22"/>
                <w:szCs w:val="22"/>
                <w:rtl w:val="0"/>
              </w:rPr>
              <w:t xml:space="preserve">30/500</w:t>
            </w:r>
          </w:p>
        </w:tc>
        <w:tc>
          <w:tcPr>
            <w:vMerge w:val="continue"/>
            <w:vAlign w:val="center"/>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F1">
            <w:pPr>
              <w:jc w:val="center"/>
              <w:rPr>
                <w:color w:val="000000"/>
                <w:sz w:val="22"/>
                <w:szCs w:val="22"/>
              </w:rPr>
            </w:pPr>
            <w:r w:rsidDel="00000000" w:rsidR="00000000" w:rsidRPr="00000000">
              <w:rPr>
                <w:color w:val="000000"/>
                <w:sz w:val="22"/>
                <w:szCs w:val="22"/>
                <w:rtl w:val="0"/>
              </w:rPr>
              <w:t xml:space="preserve">Gabapentinoid</w:t>
            </w:r>
          </w:p>
        </w:tc>
        <w:tc>
          <w:tcPr>
            <w:vAlign w:val="center"/>
          </w:tcPr>
          <w:p w:rsidR="00000000" w:rsidDel="00000000" w:rsidP="00000000" w:rsidRDefault="00000000" w:rsidRPr="00000000" w14:paraId="000005F2">
            <w:pPr>
              <w:jc w:val="center"/>
              <w:rPr>
                <w:color w:val="000000"/>
                <w:sz w:val="22"/>
                <w:szCs w:val="22"/>
              </w:rPr>
            </w:pPr>
            <w:r w:rsidDel="00000000" w:rsidR="00000000" w:rsidRPr="00000000">
              <w:rPr>
                <w:color w:val="000000"/>
                <w:sz w:val="22"/>
                <w:szCs w:val="22"/>
                <w:rtl w:val="0"/>
              </w:rPr>
              <w:t xml:space="preserve">Pregabalin</w:t>
            </w:r>
          </w:p>
        </w:tc>
        <w:tc>
          <w:tcPr>
            <w:vAlign w:val="center"/>
          </w:tcPr>
          <w:p w:rsidR="00000000" w:rsidDel="00000000" w:rsidP="00000000" w:rsidRDefault="00000000" w:rsidRPr="00000000" w14:paraId="000005F3">
            <w:pPr>
              <w:jc w:val="center"/>
              <w:rPr>
                <w:color w:val="000000"/>
                <w:sz w:val="22"/>
                <w:szCs w:val="22"/>
              </w:rPr>
            </w:pPr>
            <w:r w:rsidDel="00000000" w:rsidR="00000000" w:rsidRPr="00000000">
              <w:rPr>
                <w:color w:val="000000"/>
                <w:sz w:val="22"/>
                <w:szCs w:val="22"/>
                <w:rtl w:val="0"/>
              </w:rPr>
              <w:t xml:space="preserve">3 Years</w:t>
            </w:r>
          </w:p>
        </w:tc>
        <w:tc>
          <w:tcPr>
            <w:vAlign w:val="center"/>
          </w:tcPr>
          <w:p w:rsidR="00000000" w:rsidDel="00000000" w:rsidP="00000000" w:rsidRDefault="00000000" w:rsidRPr="00000000" w14:paraId="000005F4">
            <w:pPr>
              <w:jc w:val="center"/>
              <w:rPr>
                <w:color w:val="000000"/>
                <w:sz w:val="22"/>
                <w:szCs w:val="22"/>
              </w:rPr>
            </w:pPr>
            <w:r w:rsidDel="00000000" w:rsidR="00000000" w:rsidRPr="00000000">
              <w:rPr>
                <w:color w:val="000000"/>
                <w:sz w:val="22"/>
                <w:szCs w:val="22"/>
                <w:rtl w:val="0"/>
              </w:rPr>
              <w:t xml:space="preserve">600</w:t>
            </w:r>
          </w:p>
        </w:tc>
        <w:tc>
          <w:tcPr>
            <w:vMerge w:val="continue"/>
            <w:vAlign w:val="center"/>
          </w:tcPr>
          <w:p w:rsidR="00000000" w:rsidDel="00000000" w:rsidP="00000000" w:rsidRDefault="00000000" w:rsidRPr="00000000" w14:paraId="000005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5F6">
            <w:pPr>
              <w:rPr>
                <w:color w:val="000000"/>
                <w:sz w:val="22"/>
                <w:szCs w:val="22"/>
              </w:rPr>
            </w:pPr>
            <w:r w:rsidDel="00000000" w:rsidR="00000000" w:rsidRPr="00000000">
              <w:rPr>
                <w:color w:val="000000"/>
                <w:sz w:val="22"/>
                <w:szCs w:val="22"/>
                <w:rtl w:val="0"/>
              </w:rPr>
              <w:t xml:space="preserve">Joanna</w:t>
            </w:r>
          </w:p>
        </w:tc>
        <w:tc>
          <w:tcPr>
            <w:vAlign w:val="center"/>
          </w:tcPr>
          <w:p w:rsidR="00000000" w:rsidDel="00000000" w:rsidP="00000000" w:rsidRDefault="00000000" w:rsidRPr="00000000" w14:paraId="000005F7">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5F8">
            <w:pPr>
              <w:jc w:val="center"/>
              <w:rPr>
                <w:color w:val="000000"/>
                <w:sz w:val="22"/>
                <w:szCs w:val="22"/>
              </w:rPr>
            </w:pPr>
            <w:r w:rsidDel="00000000" w:rsidR="00000000" w:rsidRPr="00000000">
              <w:rPr>
                <w:color w:val="000000"/>
                <w:sz w:val="22"/>
                <w:szCs w:val="22"/>
                <w:rtl w:val="0"/>
              </w:rPr>
              <w:t xml:space="preserve">Venlafaxine</w:t>
            </w:r>
          </w:p>
        </w:tc>
        <w:tc>
          <w:tcPr>
            <w:vAlign w:val="center"/>
          </w:tcPr>
          <w:p w:rsidR="00000000" w:rsidDel="00000000" w:rsidP="00000000" w:rsidRDefault="00000000" w:rsidRPr="00000000" w14:paraId="000005F9">
            <w:pPr>
              <w:jc w:val="center"/>
              <w:rPr>
                <w:color w:val="000000"/>
                <w:sz w:val="22"/>
                <w:szCs w:val="22"/>
              </w:rPr>
            </w:pPr>
            <w:r w:rsidDel="00000000" w:rsidR="00000000" w:rsidRPr="00000000">
              <w:rPr>
                <w:color w:val="000000"/>
                <w:sz w:val="22"/>
                <w:szCs w:val="22"/>
                <w:rtl w:val="0"/>
              </w:rPr>
              <w:t xml:space="preserve">10 Years</w:t>
            </w:r>
          </w:p>
        </w:tc>
        <w:tc>
          <w:tcPr>
            <w:vAlign w:val="center"/>
          </w:tcPr>
          <w:p w:rsidR="00000000" w:rsidDel="00000000" w:rsidP="00000000" w:rsidRDefault="00000000" w:rsidRPr="00000000" w14:paraId="000005FA">
            <w:pPr>
              <w:jc w:val="center"/>
              <w:rPr>
                <w:color w:val="000000"/>
                <w:sz w:val="22"/>
                <w:szCs w:val="22"/>
              </w:rPr>
            </w:pPr>
            <w:r w:rsidDel="00000000" w:rsidR="00000000" w:rsidRPr="00000000">
              <w:rPr>
                <w:color w:val="000000"/>
                <w:sz w:val="22"/>
                <w:szCs w:val="22"/>
                <w:rtl w:val="0"/>
              </w:rPr>
              <w:t xml:space="preserve">150</w:t>
            </w:r>
          </w:p>
        </w:tc>
        <w:tc>
          <w:tcPr>
            <w:vMerge w:val="restart"/>
            <w:vAlign w:val="center"/>
          </w:tcPr>
          <w:p w:rsidR="00000000" w:rsidDel="00000000" w:rsidP="00000000" w:rsidRDefault="00000000" w:rsidRPr="00000000" w14:paraId="000005FB">
            <w:pPr>
              <w:jc w:val="center"/>
              <w:rPr>
                <w:color w:val="000000"/>
                <w:sz w:val="22"/>
                <w:szCs w:val="22"/>
              </w:rPr>
            </w:pPr>
            <w:r w:rsidDel="00000000" w:rsidR="00000000" w:rsidRPr="00000000">
              <w:rPr>
                <w:color w:val="000000"/>
                <w:sz w:val="22"/>
                <w:szCs w:val="22"/>
                <w:rtl w:val="0"/>
              </w:rPr>
              <w:t xml:space="preserve">00:44:27</w:t>
            </w:r>
          </w:p>
        </w:tc>
      </w:tr>
      <w:tr>
        <w:trPr>
          <w:cantSplit w:val="0"/>
          <w:trHeight w:val="71" w:hRule="atLeast"/>
          <w:tblHeader w:val="0"/>
        </w:trPr>
        <w:tc>
          <w:tcPr>
            <w:vMerge w:val="continue"/>
            <w:vAlign w:val="center"/>
          </w:tcPr>
          <w:p w:rsidR="00000000" w:rsidDel="00000000" w:rsidP="00000000" w:rsidRDefault="00000000" w:rsidRPr="00000000" w14:paraId="00000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5FD">
            <w:pPr>
              <w:jc w:val="center"/>
              <w:rPr>
                <w:color w:val="ff0000"/>
                <w:sz w:val="22"/>
                <w:szCs w:val="22"/>
              </w:rPr>
            </w:pPr>
            <w:r w:rsidDel="00000000" w:rsidR="00000000" w:rsidRPr="00000000">
              <w:rPr>
                <w:color w:val="ff0000"/>
                <w:sz w:val="22"/>
                <w:szCs w:val="22"/>
                <w:rtl w:val="0"/>
              </w:rPr>
              <w:t xml:space="preserve">Antipsychotic</w:t>
            </w:r>
          </w:p>
        </w:tc>
        <w:tc>
          <w:tcPr>
            <w:vAlign w:val="center"/>
          </w:tcPr>
          <w:p w:rsidR="00000000" w:rsidDel="00000000" w:rsidP="00000000" w:rsidRDefault="00000000" w:rsidRPr="00000000" w14:paraId="000005FE">
            <w:pPr>
              <w:jc w:val="center"/>
              <w:rPr>
                <w:color w:val="ff0000"/>
                <w:sz w:val="22"/>
                <w:szCs w:val="22"/>
              </w:rPr>
            </w:pPr>
            <w:r w:rsidDel="00000000" w:rsidR="00000000" w:rsidRPr="00000000">
              <w:rPr>
                <w:color w:val="ff0000"/>
                <w:sz w:val="22"/>
                <w:szCs w:val="22"/>
                <w:rtl w:val="0"/>
              </w:rPr>
              <w:t xml:space="preserve">Quetiapine</w:t>
            </w:r>
          </w:p>
        </w:tc>
        <w:tc>
          <w:tcPr>
            <w:vAlign w:val="center"/>
          </w:tcPr>
          <w:p w:rsidR="00000000" w:rsidDel="00000000" w:rsidP="00000000" w:rsidRDefault="00000000" w:rsidRPr="00000000" w14:paraId="000005FF">
            <w:pPr>
              <w:jc w:val="center"/>
              <w:rPr>
                <w:color w:val="ff0000"/>
                <w:sz w:val="22"/>
                <w:szCs w:val="22"/>
              </w:rPr>
            </w:pPr>
            <w:r w:rsidDel="00000000" w:rsidR="00000000" w:rsidRPr="00000000">
              <w:rPr>
                <w:color w:val="ff0000"/>
                <w:sz w:val="22"/>
                <w:szCs w:val="22"/>
                <w:rtl w:val="0"/>
              </w:rPr>
              <w:t xml:space="preserve">Not Discussed</w:t>
            </w:r>
          </w:p>
        </w:tc>
        <w:tc>
          <w:tcPr>
            <w:vAlign w:val="center"/>
          </w:tcPr>
          <w:p w:rsidR="00000000" w:rsidDel="00000000" w:rsidP="00000000" w:rsidRDefault="00000000" w:rsidRPr="00000000" w14:paraId="00000600">
            <w:pPr>
              <w:jc w:val="center"/>
              <w:rPr>
                <w:color w:val="ff0000"/>
                <w:sz w:val="22"/>
                <w:szCs w:val="22"/>
              </w:rPr>
            </w:pPr>
            <w:r w:rsidDel="00000000" w:rsidR="00000000" w:rsidRPr="00000000">
              <w:rPr>
                <w:color w:val="ff0000"/>
                <w:sz w:val="22"/>
                <w:szCs w:val="22"/>
                <w:rtl w:val="0"/>
              </w:rPr>
              <w:t xml:space="preserve">Not Discussed</w:t>
            </w:r>
          </w:p>
        </w:tc>
        <w:tc>
          <w:tcPr>
            <w:vMerge w:val="continue"/>
            <w:vAlign w:val="center"/>
          </w:tcPr>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ff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602">
            <w:pPr>
              <w:rPr>
                <w:color w:val="000000"/>
                <w:sz w:val="22"/>
                <w:szCs w:val="22"/>
              </w:rPr>
            </w:pPr>
            <w:r w:rsidDel="00000000" w:rsidR="00000000" w:rsidRPr="00000000">
              <w:rPr>
                <w:color w:val="000000"/>
                <w:sz w:val="22"/>
                <w:szCs w:val="22"/>
                <w:rtl w:val="0"/>
              </w:rPr>
              <w:t xml:space="preserve">Kirsty</w:t>
            </w:r>
          </w:p>
        </w:tc>
        <w:tc>
          <w:tcPr>
            <w:vMerge w:val="restart"/>
            <w:vAlign w:val="center"/>
          </w:tcPr>
          <w:p w:rsidR="00000000" w:rsidDel="00000000" w:rsidP="00000000" w:rsidRDefault="00000000" w:rsidRPr="00000000" w14:paraId="00000603">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604">
            <w:pPr>
              <w:jc w:val="center"/>
              <w:rPr>
                <w:color w:val="000000"/>
                <w:sz w:val="22"/>
                <w:szCs w:val="22"/>
              </w:rPr>
            </w:pPr>
            <w:r w:rsidDel="00000000" w:rsidR="00000000" w:rsidRPr="00000000">
              <w:rPr>
                <w:color w:val="000000"/>
                <w:sz w:val="22"/>
                <w:szCs w:val="22"/>
                <w:rtl w:val="0"/>
              </w:rPr>
              <w:t xml:space="preserve">Duloxetine</w:t>
            </w:r>
          </w:p>
        </w:tc>
        <w:tc>
          <w:tcPr>
            <w:vAlign w:val="center"/>
          </w:tcPr>
          <w:p w:rsidR="00000000" w:rsidDel="00000000" w:rsidP="00000000" w:rsidRDefault="00000000" w:rsidRPr="00000000" w14:paraId="00000605">
            <w:pPr>
              <w:jc w:val="center"/>
              <w:rPr>
                <w:color w:val="000000"/>
                <w:sz w:val="22"/>
                <w:szCs w:val="22"/>
              </w:rPr>
            </w:pPr>
            <w:r w:rsidDel="00000000" w:rsidR="00000000" w:rsidRPr="00000000">
              <w:rPr>
                <w:color w:val="000000"/>
                <w:sz w:val="22"/>
                <w:szCs w:val="22"/>
                <w:rtl w:val="0"/>
              </w:rPr>
              <w:t xml:space="preserve">2 - 3 Years</w:t>
            </w:r>
          </w:p>
        </w:tc>
        <w:tc>
          <w:tcPr>
            <w:vAlign w:val="center"/>
          </w:tcPr>
          <w:p w:rsidR="00000000" w:rsidDel="00000000" w:rsidP="00000000" w:rsidRDefault="00000000" w:rsidRPr="00000000" w14:paraId="00000606">
            <w:pPr>
              <w:jc w:val="center"/>
              <w:rPr>
                <w:color w:val="000000"/>
                <w:sz w:val="22"/>
                <w:szCs w:val="22"/>
              </w:rPr>
            </w:pPr>
            <w:r w:rsidDel="00000000" w:rsidR="00000000" w:rsidRPr="00000000">
              <w:rPr>
                <w:color w:val="000000"/>
                <w:sz w:val="22"/>
                <w:szCs w:val="22"/>
                <w:rtl w:val="0"/>
              </w:rPr>
              <w:t xml:space="preserve">30 – 120</w:t>
            </w:r>
          </w:p>
        </w:tc>
        <w:tc>
          <w:tcPr>
            <w:vMerge w:val="restart"/>
            <w:vAlign w:val="center"/>
          </w:tcPr>
          <w:p w:rsidR="00000000" w:rsidDel="00000000" w:rsidP="00000000" w:rsidRDefault="00000000" w:rsidRPr="00000000" w14:paraId="00000607">
            <w:pPr>
              <w:jc w:val="center"/>
              <w:rPr>
                <w:color w:val="000000"/>
                <w:sz w:val="22"/>
                <w:szCs w:val="22"/>
              </w:rPr>
            </w:pPr>
            <w:r w:rsidDel="00000000" w:rsidR="00000000" w:rsidRPr="00000000">
              <w:rPr>
                <w:color w:val="000000"/>
                <w:sz w:val="22"/>
                <w:szCs w:val="22"/>
                <w:rtl w:val="0"/>
              </w:rPr>
              <w:t xml:space="preserve">00:43:02</w:t>
            </w:r>
          </w:p>
        </w:tc>
      </w:tr>
      <w:tr>
        <w:trPr>
          <w:cantSplit w:val="0"/>
          <w:trHeight w:val="71" w:hRule="atLeast"/>
          <w:tblHeader w:val="0"/>
        </w:trPr>
        <w:tc>
          <w:tcPr>
            <w:vMerge w:val="continue"/>
            <w:vAlign w:val="center"/>
          </w:tcPr>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0A">
            <w:pPr>
              <w:jc w:val="center"/>
              <w:rPr>
                <w:color w:val="000000"/>
                <w:sz w:val="22"/>
                <w:szCs w:val="22"/>
              </w:rPr>
            </w:pPr>
            <w:r w:rsidDel="00000000" w:rsidR="00000000" w:rsidRPr="00000000">
              <w:rPr>
                <w:color w:val="ff0000"/>
                <w:sz w:val="22"/>
                <w:szCs w:val="22"/>
                <w:rtl w:val="0"/>
              </w:rPr>
              <w:t xml:space="preserve">Atomoxetine</w:t>
            </w:r>
            <w:r w:rsidDel="00000000" w:rsidR="00000000" w:rsidRPr="00000000">
              <w:rPr>
                <w:rtl w:val="0"/>
              </w:rPr>
            </w:r>
          </w:p>
        </w:tc>
        <w:tc>
          <w:tcPr>
            <w:vAlign w:val="center"/>
          </w:tcPr>
          <w:p w:rsidR="00000000" w:rsidDel="00000000" w:rsidP="00000000" w:rsidRDefault="00000000" w:rsidRPr="00000000" w14:paraId="0000060B">
            <w:pPr>
              <w:jc w:val="center"/>
              <w:rPr>
                <w:color w:val="000000"/>
                <w:sz w:val="22"/>
                <w:szCs w:val="22"/>
              </w:rPr>
            </w:pPr>
            <w:r w:rsidDel="00000000" w:rsidR="00000000" w:rsidRPr="00000000">
              <w:rPr>
                <w:color w:val="ff0000"/>
                <w:sz w:val="22"/>
                <w:szCs w:val="22"/>
                <w:rtl w:val="0"/>
              </w:rPr>
              <w:t xml:space="preserve">Not Discussed</w:t>
            </w:r>
            <w:r w:rsidDel="00000000" w:rsidR="00000000" w:rsidRPr="00000000">
              <w:rPr>
                <w:rtl w:val="0"/>
              </w:rPr>
            </w:r>
          </w:p>
        </w:tc>
        <w:tc>
          <w:tcPr>
            <w:vAlign w:val="center"/>
          </w:tcPr>
          <w:p w:rsidR="00000000" w:rsidDel="00000000" w:rsidP="00000000" w:rsidRDefault="00000000" w:rsidRPr="00000000" w14:paraId="0000060C">
            <w:pPr>
              <w:jc w:val="center"/>
              <w:rPr>
                <w:color w:val="000000"/>
                <w:sz w:val="22"/>
                <w:szCs w:val="22"/>
              </w:rPr>
            </w:pPr>
            <w:r w:rsidDel="00000000" w:rsidR="00000000" w:rsidRPr="00000000">
              <w:rPr>
                <w:color w:val="ff0000"/>
                <w:sz w:val="22"/>
                <w:szCs w:val="22"/>
                <w:rtl w:val="0"/>
              </w:rPr>
              <w:t xml:space="preserve">Not Discussed</w:t>
            </w:r>
            <w:r w:rsidDel="00000000" w:rsidR="00000000" w:rsidRPr="00000000">
              <w:rPr>
                <w:rtl w:val="0"/>
              </w:rPr>
            </w:r>
          </w:p>
        </w:tc>
        <w:tc>
          <w:tcPr>
            <w:vMerge w:val="continue"/>
            <w:vAlign w:val="center"/>
          </w:tcPr>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0F">
            <w:pPr>
              <w:jc w:val="center"/>
              <w:rPr>
                <w:color w:val="000000"/>
                <w:sz w:val="22"/>
                <w:szCs w:val="22"/>
              </w:rPr>
            </w:pPr>
            <w:r w:rsidDel="00000000" w:rsidR="00000000" w:rsidRPr="00000000">
              <w:rPr>
                <w:color w:val="000000"/>
                <w:sz w:val="22"/>
                <w:szCs w:val="22"/>
                <w:rtl w:val="0"/>
              </w:rPr>
              <w:t xml:space="preserve">Benzodiazepine</w:t>
            </w:r>
          </w:p>
        </w:tc>
        <w:tc>
          <w:tcPr>
            <w:vAlign w:val="center"/>
          </w:tcPr>
          <w:p w:rsidR="00000000" w:rsidDel="00000000" w:rsidP="00000000" w:rsidRDefault="00000000" w:rsidRPr="00000000" w14:paraId="00000610">
            <w:pPr>
              <w:jc w:val="center"/>
              <w:rPr>
                <w:color w:val="000000"/>
                <w:sz w:val="22"/>
                <w:szCs w:val="22"/>
              </w:rPr>
            </w:pPr>
            <w:r w:rsidDel="00000000" w:rsidR="00000000" w:rsidRPr="00000000">
              <w:rPr>
                <w:color w:val="000000"/>
                <w:sz w:val="22"/>
                <w:szCs w:val="22"/>
                <w:rtl w:val="0"/>
              </w:rPr>
              <w:t xml:space="preserve">Clonazepam</w:t>
            </w:r>
          </w:p>
        </w:tc>
        <w:tc>
          <w:tcPr>
            <w:vAlign w:val="center"/>
          </w:tcPr>
          <w:p w:rsidR="00000000" w:rsidDel="00000000" w:rsidP="00000000" w:rsidRDefault="00000000" w:rsidRPr="00000000" w14:paraId="00000611">
            <w:pPr>
              <w:jc w:val="center"/>
              <w:rPr>
                <w:color w:val="000000"/>
                <w:sz w:val="22"/>
                <w:szCs w:val="22"/>
              </w:rPr>
            </w:pPr>
            <w:r w:rsidDel="00000000" w:rsidR="00000000" w:rsidRPr="00000000">
              <w:rPr>
                <w:color w:val="000000"/>
                <w:sz w:val="22"/>
                <w:szCs w:val="22"/>
                <w:rtl w:val="0"/>
              </w:rPr>
              <w:t xml:space="preserve">1 Year</w:t>
            </w:r>
          </w:p>
        </w:tc>
        <w:tc>
          <w:tcPr>
            <w:vAlign w:val="center"/>
          </w:tcPr>
          <w:p w:rsidR="00000000" w:rsidDel="00000000" w:rsidP="00000000" w:rsidRDefault="00000000" w:rsidRPr="00000000" w14:paraId="00000612">
            <w:pPr>
              <w:jc w:val="center"/>
              <w:rPr>
                <w:color w:val="000000"/>
                <w:sz w:val="22"/>
                <w:szCs w:val="22"/>
              </w:rPr>
            </w:pPr>
            <w:r w:rsidDel="00000000" w:rsidR="00000000" w:rsidRPr="00000000">
              <w:rPr>
                <w:color w:val="000000"/>
                <w:sz w:val="22"/>
                <w:szCs w:val="22"/>
                <w:rtl w:val="0"/>
              </w:rPr>
              <w:t xml:space="preserve">60 – 120</w:t>
            </w:r>
          </w:p>
        </w:tc>
        <w:tc>
          <w:tcPr>
            <w:vMerge w:val="continue"/>
            <w:vAlign w:val="center"/>
          </w:tcPr>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15">
            <w:pPr>
              <w:jc w:val="center"/>
              <w:rPr>
                <w:color w:val="000000"/>
                <w:sz w:val="22"/>
                <w:szCs w:val="22"/>
              </w:rPr>
            </w:pPr>
            <w:r w:rsidDel="00000000" w:rsidR="00000000" w:rsidRPr="00000000">
              <w:rPr>
                <w:color w:val="000000"/>
                <w:sz w:val="22"/>
                <w:szCs w:val="22"/>
                <w:rtl w:val="0"/>
              </w:rPr>
              <w:t xml:space="preserve">Gabapentinoid</w:t>
            </w:r>
          </w:p>
        </w:tc>
        <w:tc>
          <w:tcPr>
            <w:vAlign w:val="center"/>
          </w:tcPr>
          <w:p w:rsidR="00000000" w:rsidDel="00000000" w:rsidP="00000000" w:rsidRDefault="00000000" w:rsidRPr="00000000" w14:paraId="00000616">
            <w:pPr>
              <w:jc w:val="center"/>
              <w:rPr>
                <w:color w:val="000000"/>
                <w:sz w:val="22"/>
                <w:szCs w:val="22"/>
              </w:rPr>
            </w:pPr>
            <w:r w:rsidDel="00000000" w:rsidR="00000000" w:rsidRPr="00000000">
              <w:rPr>
                <w:color w:val="000000"/>
                <w:sz w:val="22"/>
                <w:szCs w:val="22"/>
                <w:rtl w:val="0"/>
              </w:rPr>
              <w:t xml:space="preserve">Pregabalin</w:t>
            </w:r>
          </w:p>
        </w:tc>
        <w:tc>
          <w:tcPr>
            <w:vAlign w:val="center"/>
          </w:tcPr>
          <w:p w:rsidR="00000000" w:rsidDel="00000000" w:rsidP="00000000" w:rsidRDefault="00000000" w:rsidRPr="00000000" w14:paraId="00000617">
            <w:pPr>
              <w:jc w:val="center"/>
              <w:rPr>
                <w:color w:val="000000"/>
                <w:sz w:val="22"/>
                <w:szCs w:val="22"/>
              </w:rPr>
            </w:pPr>
            <w:r w:rsidDel="00000000" w:rsidR="00000000" w:rsidRPr="00000000">
              <w:rPr>
                <w:color w:val="000000"/>
                <w:sz w:val="22"/>
                <w:szCs w:val="22"/>
                <w:rtl w:val="0"/>
              </w:rPr>
              <w:t xml:space="preserve">1 Year</w:t>
            </w:r>
          </w:p>
        </w:tc>
        <w:tc>
          <w:tcPr>
            <w:vAlign w:val="center"/>
          </w:tcPr>
          <w:p w:rsidR="00000000" w:rsidDel="00000000" w:rsidP="00000000" w:rsidRDefault="00000000" w:rsidRPr="00000000" w14:paraId="00000618">
            <w:pPr>
              <w:jc w:val="center"/>
              <w:rPr>
                <w:color w:val="000000"/>
                <w:sz w:val="22"/>
                <w:szCs w:val="22"/>
              </w:rPr>
            </w:pPr>
            <w:r w:rsidDel="00000000" w:rsidR="00000000" w:rsidRPr="00000000">
              <w:rPr>
                <w:color w:val="000000"/>
                <w:sz w:val="22"/>
                <w:szCs w:val="22"/>
                <w:rtl w:val="0"/>
              </w:rPr>
              <w:t xml:space="preserve">Not Discussed</w:t>
            </w:r>
          </w:p>
        </w:tc>
        <w:tc>
          <w:tcPr>
            <w:vMerge w:val="continue"/>
            <w:vAlign w:val="center"/>
          </w:tcPr>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1B">
            <w:pPr>
              <w:jc w:val="center"/>
              <w:rPr>
                <w:color w:val="ff0000"/>
                <w:sz w:val="22"/>
                <w:szCs w:val="22"/>
              </w:rPr>
            </w:pPr>
            <w:r w:rsidDel="00000000" w:rsidR="00000000" w:rsidRPr="00000000">
              <w:rPr>
                <w:color w:val="ff0000"/>
                <w:sz w:val="22"/>
                <w:szCs w:val="22"/>
                <w:rtl w:val="0"/>
              </w:rPr>
              <w:t xml:space="preserve">Mood Stabiliser</w:t>
            </w:r>
          </w:p>
        </w:tc>
        <w:tc>
          <w:tcPr>
            <w:vAlign w:val="center"/>
          </w:tcPr>
          <w:p w:rsidR="00000000" w:rsidDel="00000000" w:rsidP="00000000" w:rsidRDefault="00000000" w:rsidRPr="00000000" w14:paraId="0000061C">
            <w:pPr>
              <w:jc w:val="center"/>
              <w:rPr>
                <w:color w:val="ff0000"/>
                <w:sz w:val="22"/>
                <w:szCs w:val="22"/>
              </w:rPr>
            </w:pPr>
            <w:r w:rsidDel="00000000" w:rsidR="00000000" w:rsidRPr="00000000">
              <w:rPr>
                <w:color w:val="ff0000"/>
                <w:sz w:val="22"/>
                <w:szCs w:val="22"/>
                <w:rtl w:val="0"/>
              </w:rPr>
              <w:t xml:space="preserve">Lithium</w:t>
            </w:r>
          </w:p>
        </w:tc>
        <w:tc>
          <w:tcPr>
            <w:vAlign w:val="center"/>
          </w:tcPr>
          <w:p w:rsidR="00000000" w:rsidDel="00000000" w:rsidP="00000000" w:rsidRDefault="00000000" w:rsidRPr="00000000" w14:paraId="0000061D">
            <w:pPr>
              <w:jc w:val="center"/>
              <w:rPr>
                <w:color w:val="ff0000"/>
                <w:sz w:val="22"/>
                <w:szCs w:val="22"/>
              </w:rPr>
            </w:pPr>
            <w:r w:rsidDel="00000000" w:rsidR="00000000" w:rsidRPr="00000000">
              <w:rPr>
                <w:color w:val="ff0000"/>
                <w:sz w:val="22"/>
                <w:szCs w:val="22"/>
                <w:rtl w:val="0"/>
              </w:rPr>
              <w:t xml:space="preserve">Not Discussed</w:t>
            </w:r>
          </w:p>
        </w:tc>
        <w:tc>
          <w:tcPr>
            <w:vAlign w:val="center"/>
          </w:tcPr>
          <w:p w:rsidR="00000000" w:rsidDel="00000000" w:rsidP="00000000" w:rsidRDefault="00000000" w:rsidRPr="00000000" w14:paraId="0000061E">
            <w:pPr>
              <w:jc w:val="center"/>
              <w:rPr>
                <w:color w:val="ff0000"/>
                <w:sz w:val="22"/>
                <w:szCs w:val="22"/>
              </w:rPr>
            </w:pPr>
            <w:r w:rsidDel="00000000" w:rsidR="00000000" w:rsidRPr="00000000">
              <w:rPr>
                <w:color w:val="ff0000"/>
                <w:sz w:val="22"/>
                <w:szCs w:val="22"/>
                <w:rtl w:val="0"/>
              </w:rPr>
              <w:t xml:space="preserve">Not Discussed</w:t>
            </w:r>
          </w:p>
        </w:tc>
        <w:tc>
          <w:tcPr>
            <w:vMerge w:val="continue"/>
            <w:vAlign w:val="center"/>
          </w:tcPr>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ff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620">
            <w:pPr>
              <w:rPr>
                <w:color w:val="000000"/>
                <w:sz w:val="22"/>
                <w:szCs w:val="22"/>
              </w:rPr>
            </w:pPr>
            <w:r w:rsidDel="00000000" w:rsidR="00000000" w:rsidRPr="00000000">
              <w:rPr>
                <w:color w:val="000000"/>
                <w:sz w:val="22"/>
                <w:szCs w:val="22"/>
                <w:rtl w:val="0"/>
              </w:rPr>
              <w:t xml:space="preserve">Maggie</w:t>
            </w:r>
          </w:p>
        </w:tc>
        <w:tc>
          <w:tcPr>
            <w:vAlign w:val="center"/>
          </w:tcPr>
          <w:p w:rsidR="00000000" w:rsidDel="00000000" w:rsidP="00000000" w:rsidRDefault="00000000" w:rsidRPr="00000000" w14:paraId="00000621">
            <w:pPr>
              <w:jc w:val="center"/>
              <w:rPr>
                <w:color w:val="000000"/>
                <w:sz w:val="22"/>
                <w:szCs w:val="22"/>
              </w:rPr>
            </w:pPr>
            <w:r w:rsidDel="00000000" w:rsidR="00000000" w:rsidRPr="00000000">
              <w:rPr>
                <w:color w:val="000000"/>
                <w:sz w:val="22"/>
                <w:szCs w:val="22"/>
                <w:rtl w:val="0"/>
              </w:rPr>
              <w:t xml:space="preserve">Gabapentinoid</w:t>
            </w:r>
          </w:p>
        </w:tc>
        <w:tc>
          <w:tcPr>
            <w:vAlign w:val="center"/>
          </w:tcPr>
          <w:p w:rsidR="00000000" w:rsidDel="00000000" w:rsidP="00000000" w:rsidRDefault="00000000" w:rsidRPr="00000000" w14:paraId="00000622">
            <w:pPr>
              <w:jc w:val="center"/>
              <w:rPr>
                <w:color w:val="000000"/>
                <w:sz w:val="22"/>
                <w:szCs w:val="22"/>
              </w:rPr>
            </w:pPr>
            <w:r w:rsidDel="00000000" w:rsidR="00000000" w:rsidRPr="00000000">
              <w:rPr>
                <w:color w:val="000000"/>
                <w:sz w:val="22"/>
                <w:szCs w:val="22"/>
                <w:rtl w:val="0"/>
              </w:rPr>
              <w:t xml:space="preserve">Pregabalin</w:t>
            </w:r>
          </w:p>
        </w:tc>
        <w:tc>
          <w:tcPr>
            <w:vAlign w:val="center"/>
          </w:tcPr>
          <w:p w:rsidR="00000000" w:rsidDel="00000000" w:rsidP="00000000" w:rsidRDefault="00000000" w:rsidRPr="00000000" w14:paraId="00000623">
            <w:pPr>
              <w:jc w:val="center"/>
              <w:rPr>
                <w:color w:val="000000"/>
                <w:sz w:val="22"/>
                <w:szCs w:val="22"/>
              </w:rPr>
            </w:pPr>
            <w:r w:rsidDel="00000000" w:rsidR="00000000" w:rsidRPr="00000000">
              <w:rPr>
                <w:color w:val="000000"/>
                <w:sz w:val="22"/>
                <w:szCs w:val="22"/>
                <w:rtl w:val="0"/>
              </w:rPr>
              <w:t xml:space="preserve">8 – 10 Years</w:t>
            </w:r>
          </w:p>
        </w:tc>
        <w:tc>
          <w:tcPr>
            <w:vAlign w:val="center"/>
          </w:tcPr>
          <w:p w:rsidR="00000000" w:rsidDel="00000000" w:rsidP="00000000" w:rsidRDefault="00000000" w:rsidRPr="00000000" w14:paraId="00000624">
            <w:pPr>
              <w:jc w:val="center"/>
              <w:rPr>
                <w:color w:val="000000"/>
                <w:sz w:val="22"/>
                <w:szCs w:val="22"/>
              </w:rPr>
            </w:pPr>
            <w:r w:rsidDel="00000000" w:rsidR="00000000" w:rsidRPr="00000000">
              <w:rPr>
                <w:color w:val="000000"/>
                <w:sz w:val="22"/>
                <w:szCs w:val="22"/>
                <w:rtl w:val="0"/>
              </w:rPr>
              <w:t xml:space="preserve">400</w:t>
            </w:r>
          </w:p>
        </w:tc>
        <w:tc>
          <w:tcPr>
            <w:vMerge w:val="restart"/>
            <w:vAlign w:val="center"/>
          </w:tcPr>
          <w:p w:rsidR="00000000" w:rsidDel="00000000" w:rsidP="00000000" w:rsidRDefault="00000000" w:rsidRPr="00000000" w14:paraId="00000625">
            <w:pPr>
              <w:jc w:val="center"/>
              <w:rPr>
                <w:color w:val="000000"/>
                <w:sz w:val="22"/>
                <w:szCs w:val="22"/>
              </w:rPr>
            </w:pPr>
            <w:r w:rsidDel="00000000" w:rsidR="00000000" w:rsidRPr="00000000">
              <w:rPr>
                <w:color w:val="000000"/>
                <w:sz w:val="22"/>
                <w:szCs w:val="22"/>
                <w:rtl w:val="0"/>
              </w:rPr>
              <w:t xml:space="preserve">0:43:19</w:t>
            </w:r>
          </w:p>
        </w:tc>
      </w:tr>
      <w:tr>
        <w:trPr>
          <w:cantSplit w:val="0"/>
          <w:trHeight w:val="84" w:hRule="atLeast"/>
          <w:tblHeader w:val="0"/>
        </w:trPr>
        <w:tc>
          <w:tcPr>
            <w:vMerge w:val="continue"/>
            <w:vAlign w:val="center"/>
          </w:tcPr>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27">
            <w:pPr>
              <w:jc w:val="center"/>
              <w:rPr>
                <w:color w:val="000000"/>
                <w:sz w:val="22"/>
                <w:szCs w:val="22"/>
              </w:rPr>
            </w:pPr>
            <w:r w:rsidDel="00000000" w:rsidR="00000000" w:rsidRPr="00000000">
              <w:rPr>
                <w:color w:val="000000"/>
                <w:sz w:val="22"/>
                <w:szCs w:val="22"/>
                <w:rtl w:val="0"/>
              </w:rPr>
              <w:t xml:space="preserve">Opioid</w:t>
            </w:r>
          </w:p>
        </w:tc>
        <w:tc>
          <w:tcPr>
            <w:vAlign w:val="center"/>
          </w:tcPr>
          <w:p w:rsidR="00000000" w:rsidDel="00000000" w:rsidP="00000000" w:rsidRDefault="00000000" w:rsidRPr="00000000" w14:paraId="00000628">
            <w:pPr>
              <w:jc w:val="center"/>
              <w:rPr>
                <w:color w:val="000000"/>
                <w:sz w:val="22"/>
                <w:szCs w:val="22"/>
              </w:rPr>
            </w:pPr>
            <w:r w:rsidDel="00000000" w:rsidR="00000000" w:rsidRPr="00000000">
              <w:rPr>
                <w:color w:val="000000"/>
                <w:sz w:val="22"/>
                <w:szCs w:val="22"/>
                <w:rtl w:val="0"/>
              </w:rPr>
              <w:t xml:space="preserve">Tramadol</w:t>
            </w:r>
          </w:p>
        </w:tc>
        <w:tc>
          <w:tcPr>
            <w:vAlign w:val="center"/>
          </w:tcPr>
          <w:p w:rsidR="00000000" w:rsidDel="00000000" w:rsidP="00000000" w:rsidRDefault="00000000" w:rsidRPr="00000000" w14:paraId="00000629">
            <w:pPr>
              <w:jc w:val="center"/>
              <w:rPr>
                <w:color w:val="000000"/>
                <w:sz w:val="22"/>
                <w:szCs w:val="22"/>
              </w:rPr>
            </w:pPr>
            <w:r w:rsidDel="00000000" w:rsidR="00000000" w:rsidRPr="00000000">
              <w:rPr>
                <w:color w:val="000000"/>
                <w:sz w:val="22"/>
                <w:szCs w:val="22"/>
                <w:rtl w:val="0"/>
              </w:rPr>
              <w:t xml:space="preserve">Not Discussed</w:t>
            </w:r>
          </w:p>
        </w:tc>
        <w:tc>
          <w:tcPr>
            <w:vAlign w:val="center"/>
          </w:tcPr>
          <w:p w:rsidR="00000000" w:rsidDel="00000000" w:rsidP="00000000" w:rsidRDefault="00000000" w:rsidRPr="00000000" w14:paraId="0000062A">
            <w:pPr>
              <w:jc w:val="center"/>
              <w:rPr>
                <w:color w:val="000000"/>
                <w:sz w:val="22"/>
                <w:szCs w:val="22"/>
              </w:rPr>
            </w:pPr>
            <w:r w:rsidDel="00000000" w:rsidR="00000000" w:rsidRPr="00000000">
              <w:rPr>
                <w:color w:val="000000"/>
                <w:sz w:val="22"/>
                <w:szCs w:val="22"/>
                <w:rtl w:val="0"/>
              </w:rPr>
              <w:t xml:space="preserve">150 – 300</w:t>
            </w:r>
          </w:p>
          <w:p w:rsidR="00000000" w:rsidDel="00000000" w:rsidP="00000000" w:rsidRDefault="00000000" w:rsidRPr="00000000" w14:paraId="0000062B">
            <w:pPr>
              <w:jc w:val="center"/>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Align w:val="center"/>
          </w:tcPr>
          <w:p w:rsidR="00000000" w:rsidDel="00000000" w:rsidP="00000000" w:rsidRDefault="00000000" w:rsidRPr="00000000" w14:paraId="0000062D">
            <w:pPr>
              <w:rPr>
                <w:color w:val="000000"/>
                <w:sz w:val="22"/>
                <w:szCs w:val="22"/>
              </w:rPr>
            </w:pPr>
            <w:r w:rsidDel="00000000" w:rsidR="00000000" w:rsidRPr="00000000">
              <w:rPr>
                <w:color w:val="000000"/>
                <w:sz w:val="22"/>
                <w:szCs w:val="22"/>
                <w:rtl w:val="0"/>
              </w:rPr>
              <w:t xml:space="preserve">Nora</w:t>
            </w:r>
          </w:p>
        </w:tc>
        <w:tc>
          <w:tcPr>
            <w:vAlign w:val="center"/>
          </w:tcPr>
          <w:p w:rsidR="00000000" w:rsidDel="00000000" w:rsidP="00000000" w:rsidRDefault="00000000" w:rsidRPr="00000000" w14:paraId="0000062E">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62F">
            <w:pPr>
              <w:jc w:val="center"/>
              <w:rPr>
                <w:color w:val="000000"/>
                <w:sz w:val="22"/>
                <w:szCs w:val="22"/>
              </w:rPr>
            </w:pPr>
            <w:r w:rsidDel="00000000" w:rsidR="00000000" w:rsidRPr="00000000">
              <w:rPr>
                <w:color w:val="000000"/>
                <w:sz w:val="22"/>
                <w:szCs w:val="22"/>
                <w:rtl w:val="0"/>
              </w:rPr>
              <w:t xml:space="preserve">Sertraline</w:t>
            </w:r>
          </w:p>
        </w:tc>
        <w:tc>
          <w:tcPr>
            <w:vAlign w:val="center"/>
          </w:tcPr>
          <w:p w:rsidR="00000000" w:rsidDel="00000000" w:rsidP="00000000" w:rsidRDefault="00000000" w:rsidRPr="00000000" w14:paraId="00000630">
            <w:pPr>
              <w:jc w:val="center"/>
              <w:rPr>
                <w:color w:val="000000"/>
                <w:sz w:val="22"/>
                <w:szCs w:val="22"/>
              </w:rPr>
            </w:pPr>
            <w:r w:rsidDel="00000000" w:rsidR="00000000" w:rsidRPr="00000000">
              <w:rPr>
                <w:color w:val="000000"/>
                <w:sz w:val="22"/>
                <w:szCs w:val="22"/>
                <w:rtl w:val="0"/>
              </w:rPr>
              <w:t xml:space="preserve">7 – 8 Years</w:t>
            </w:r>
          </w:p>
        </w:tc>
        <w:tc>
          <w:tcPr>
            <w:vAlign w:val="center"/>
          </w:tcPr>
          <w:p w:rsidR="00000000" w:rsidDel="00000000" w:rsidP="00000000" w:rsidRDefault="00000000" w:rsidRPr="00000000" w14:paraId="00000631">
            <w:pPr>
              <w:jc w:val="center"/>
              <w:rPr>
                <w:color w:val="000000"/>
                <w:sz w:val="22"/>
                <w:szCs w:val="22"/>
              </w:rPr>
            </w:pPr>
            <w:r w:rsidDel="00000000" w:rsidR="00000000" w:rsidRPr="00000000">
              <w:rPr>
                <w:color w:val="000000"/>
                <w:sz w:val="22"/>
                <w:szCs w:val="22"/>
                <w:rtl w:val="0"/>
              </w:rPr>
              <w:t xml:space="preserve">100</w:t>
            </w:r>
          </w:p>
        </w:tc>
        <w:tc>
          <w:tcPr>
            <w:vAlign w:val="center"/>
          </w:tcPr>
          <w:p w:rsidR="00000000" w:rsidDel="00000000" w:rsidP="00000000" w:rsidRDefault="00000000" w:rsidRPr="00000000" w14:paraId="00000632">
            <w:pPr>
              <w:keepNext w:val="1"/>
              <w:jc w:val="center"/>
              <w:rPr>
                <w:color w:val="000000"/>
                <w:sz w:val="22"/>
                <w:szCs w:val="22"/>
              </w:rPr>
            </w:pPr>
            <w:r w:rsidDel="00000000" w:rsidR="00000000" w:rsidRPr="00000000">
              <w:rPr>
                <w:color w:val="000000"/>
                <w:sz w:val="22"/>
                <w:szCs w:val="22"/>
                <w:rtl w:val="0"/>
              </w:rPr>
              <w:t xml:space="preserve">00:32:15</w:t>
            </w:r>
          </w:p>
        </w:tc>
      </w:tr>
      <w:tr>
        <w:trPr>
          <w:cantSplit w:val="0"/>
          <w:trHeight w:val="71" w:hRule="atLeast"/>
          <w:tblHeader w:val="0"/>
        </w:trPr>
        <w:tc>
          <w:tcPr>
            <w:vMerge w:val="restart"/>
            <w:shd w:fill="auto" w:val="clear"/>
            <w:vAlign w:val="center"/>
          </w:tcPr>
          <w:p w:rsidR="00000000" w:rsidDel="00000000" w:rsidP="00000000" w:rsidRDefault="00000000" w:rsidRPr="00000000" w14:paraId="00000633">
            <w:pPr>
              <w:rPr>
                <w:color w:val="000000"/>
                <w:sz w:val="22"/>
                <w:szCs w:val="22"/>
              </w:rPr>
            </w:pPr>
            <w:r w:rsidDel="00000000" w:rsidR="00000000" w:rsidRPr="00000000">
              <w:rPr>
                <w:color w:val="000000"/>
                <w:sz w:val="22"/>
                <w:szCs w:val="22"/>
                <w:rtl w:val="0"/>
              </w:rPr>
              <w:t xml:space="preserve">Oscar</w:t>
            </w:r>
          </w:p>
        </w:tc>
        <w:tc>
          <w:tcPr>
            <w:shd w:fill="auto" w:val="clear"/>
            <w:vAlign w:val="center"/>
          </w:tcPr>
          <w:p w:rsidR="00000000" w:rsidDel="00000000" w:rsidP="00000000" w:rsidRDefault="00000000" w:rsidRPr="00000000" w14:paraId="00000634">
            <w:pPr>
              <w:jc w:val="center"/>
              <w:rPr>
                <w:color w:val="000000"/>
                <w:sz w:val="22"/>
                <w:szCs w:val="22"/>
              </w:rPr>
            </w:pPr>
            <w:r w:rsidDel="00000000" w:rsidR="00000000" w:rsidRPr="00000000">
              <w:rPr>
                <w:color w:val="000000"/>
                <w:sz w:val="22"/>
                <w:szCs w:val="22"/>
                <w:rtl w:val="0"/>
              </w:rPr>
              <w:t xml:space="preserve">Antidepressant</w:t>
            </w:r>
          </w:p>
        </w:tc>
        <w:tc>
          <w:tcPr>
            <w:shd w:fill="auto" w:val="clear"/>
            <w:vAlign w:val="center"/>
          </w:tcPr>
          <w:p w:rsidR="00000000" w:rsidDel="00000000" w:rsidP="00000000" w:rsidRDefault="00000000" w:rsidRPr="00000000" w14:paraId="00000635">
            <w:pPr>
              <w:jc w:val="center"/>
              <w:rPr>
                <w:color w:val="000000"/>
                <w:sz w:val="22"/>
                <w:szCs w:val="22"/>
              </w:rPr>
            </w:pPr>
            <w:r w:rsidDel="00000000" w:rsidR="00000000" w:rsidRPr="00000000">
              <w:rPr>
                <w:color w:val="000000"/>
                <w:sz w:val="22"/>
                <w:szCs w:val="22"/>
                <w:rtl w:val="0"/>
              </w:rPr>
              <w:t xml:space="preserve">Fluoxetine</w:t>
            </w:r>
          </w:p>
        </w:tc>
        <w:tc>
          <w:tcPr>
            <w:shd w:fill="auto" w:val="clear"/>
            <w:vAlign w:val="center"/>
          </w:tcPr>
          <w:p w:rsidR="00000000" w:rsidDel="00000000" w:rsidP="00000000" w:rsidRDefault="00000000" w:rsidRPr="00000000" w14:paraId="00000636">
            <w:pPr>
              <w:jc w:val="center"/>
              <w:rPr>
                <w:color w:val="000000"/>
                <w:sz w:val="22"/>
                <w:szCs w:val="22"/>
              </w:rPr>
            </w:pPr>
            <w:r w:rsidDel="00000000" w:rsidR="00000000" w:rsidRPr="00000000">
              <w:rPr>
                <w:color w:val="000000"/>
                <w:sz w:val="22"/>
                <w:szCs w:val="22"/>
                <w:rtl w:val="0"/>
              </w:rPr>
              <w:t xml:space="preserve">25 Years</w:t>
            </w:r>
          </w:p>
        </w:tc>
        <w:tc>
          <w:tcPr>
            <w:shd w:fill="auto" w:val="clear"/>
            <w:vAlign w:val="center"/>
          </w:tcPr>
          <w:p w:rsidR="00000000" w:rsidDel="00000000" w:rsidP="00000000" w:rsidRDefault="00000000" w:rsidRPr="00000000" w14:paraId="00000637">
            <w:pPr>
              <w:jc w:val="center"/>
              <w:rPr>
                <w:color w:val="000000"/>
                <w:sz w:val="22"/>
                <w:szCs w:val="22"/>
              </w:rPr>
            </w:pPr>
            <w:r w:rsidDel="00000000" w:rsidR="00000000" w:rsidRPr="00000000">
              <w:rPr>
                <w:color w:val="000000"/>
                <w:sz w:val="22"/>
                <w:szCs w:val="22"/>
                <w:rtl w:val="0"/>
              </w:rPr>
              <w:t xml:space="preserve">20 – 60</w:t>
            </w:r>
          </w:p>
        </w:tc>
        <w:tc>
          <w:tcPr>
            <w:vMerge w:val="restart"/>
            <w:shd w:fill="auto" w:val="clear"/>
            <w:vAlign w:val="center"/>
          </w:tcPr>
          <w:p w:rsidR="00000000" w:rsidDel="00000000" w:rsidP="00000000" w:rsidRDefault="00000000" w:rsidRPr="00000000" w14:paraId="00000638">
            <w:pPr>
              <w:keepNext w:val="1"/>
              <w:jc w:val="center"/>
              <w:rPr>
                <w:color w:val="000000"/>
                <w:sz w:val="22"/>
                <w:szCs w:val="22"/>
              </w:rPr>
            </w:pPr>
            <w:r w:rsidDel="00000000" w:rsidR="00000000" w:rsidRPr="00000000">
              <w:rPr>
                <w:color w:val="000000"/>
                <w:sz w:val="22"/>
                <w:szCs w:val="22"/>
                <w:rtl w:val="0"/>
              </w:rPr>
              <w:t xml:space="preserve">00:48:30</w:t>
            </w:r>
          </w:p>
        </w:tc>
      </w:tr>
      <w:tr>
        <w:trPr>
          <w:cantSplit w:val="0"/>
          <w:trHeight w:val="71" w:hRule="atLeast"/>
          <w:tblHeader w:val="0"/>
        </w:trPr>
        <w:tc>
          <w:tcPr>
            <w:vMerge w:val="continue"/>
            <w:shd w:fill="auto" w:val="clear"/>
            <w:vAlign w:val="center"/>
          </w:tcPr>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restart"/>
            <w:vAlign w:val="center"/>
          </w:tcPr>
          <w:p w:rsidR="00000000" w:rsidDel="00000000" w:rsidP="00000000" w:rsidRDefault="00000000" w:rsidRPr="00000000" w14:paraId="0000063A">
            <w:pPr>
              <w:jc w:val="center"/>
              <w:rPr>
                <w:color w:val="000000"/>
                <w:sz w:val="22"/>
                <w:szCs w:val="22"/>
              </w:rPr>
            </w:pPr>
            <w:r w:rsidDel="00000000" w:rsidR="00000000" w:rsidRPr="00000000">
              <w:rPr>
                <w:color w:val="000000"/>
                <w:sz w:val="22"/>
                <w:szCs w:val="22"/>
                <w:rtl w:val="0"/>
              </w:rPr>
              <w:t xml:space="preserve">Opioid</w:t>
            </w:r>
          </w:p>
        </w:tc>
        <w:tc>
          <w:tcPr>
            <w:vAlign w:val="center"/>
          </w:tcPr>
          <w:p w:rsidR="00000000" w:rsidDel="00000000" w:rsidP="00000000" w:rsidRDefault="00000000" w:rsidRPr="00000000" w14:paraId="0000063B">
            <w:pPr>
              <w:jc w:val="center"/>
              <w:rPr>
                <w:color w:val="000000"/>
                <w:sz w:val="22"/>
                <w:szCs w:val="22"/>
              </w:rPr>
            </w:pPr>
            <w:r w:rsidDel="00000000" w:rsidR="00000000" w:rsidRPr="00000000">
              <w:rPr>
                <w:color w:val="000000"/>
                <w:sz w:val="22"/>
                <w:szCs w:val="22"/>
                <w:rtl w:val="0"/>
              </w:rPr>
              <w:t xml:space="preserve">Fentanyl</w:t>
            </w:r>
          </w:p>
        </w:tc>
        <w:tc>
          <w:tcPr>
            <w:vMerge w:val="restart"/>
            <w:vAlign w:val="center"/>
          </w:tcPr>
          <w:p w:rsidR="00000000" w:rsidDel="00000000" w:rsidP="00000000" w:rsidRDefault="00000000" w:rsidRPr="00000000" w14:paraId="0000063C">
            <w:pPr>
              <w:jc w:val="center"/>
              <w:rPr>
                <w:color w:val="000000"/>
                <w:sz w:val="22"/>
                <w:szCs w:val="22"/>
                <w:highlight w:val="cyan"/>
              </w:rPr>
            </w:pPr>
            <w:r w:rsidDel="00000000" w:rsidR="00000000" w:rsidRPr="00000000">
              <w:rPr>
                <w:color w:val="000000"/>
                <w:sz w:val="22"/>
                <w:szCs w:val="22"/>
                <w:rtl w:val="0"/>
              </w:rPr>
              <w:t xml:space="preserve">Not Discussed</w:t>
            </w:r>
            <w:r w:rsidDel="00000000" w:rsidR="00000000" w:rsidRPr="00000000">
              <w:rPr>
                <w:rtl w:val="0"/>
              </w:rPr>
            </w:r>
          </w:p>
        </w:tc>
        <w:tc>
          <w:tcPr>
            <w:vMerge w:val="restart"/>
            <w:vAlign w:val="center"/>
          </w:tcPr>
          <w:p w:rsidR="00000000" w:rsidDel="00000000" w:rsidP="00000000" w:rsidRDefault="00000000" w:rsidRPr="00000000" w14:paraId="0000063D">
            <w:pPr>
              <w:jc w:val="center"/>
              <w:rPr>
                <w:color w:val="000000"/>
                <w:sz w:val="22"/>
                <w:szCs w:val="22"/>
                <w:highlight w:val="cyan"/>
              </w:rPr>
            </w:pPr>
            <w:r w:rsidDel="00000000" w:rsidR="00000000" w:rsidRPr="00000000">
              <w:rPr>
                <w:color w:val="000000"/>
                <w:sz w:val="22"/>
                <w:szCs w:val="22"/>
                <w:rtl w:val="0"/>
              </w:rPr>
              <w:t xml:space="preserve">Not Discussed</w:t>
            </w:r>
            <w:r w:rsidDel="00000000" w:rsidR="00000000" w:rsidRPr="00000000">
              <w:rPr>
                <w:rtl w:val="0"/>
              </w:rPr>
            </w:r>
          </w:p>
        </w:tc>
        <w:tc>
          <w:tcPr>
            <w:vMerge w:val="continue"/>
            <w:shd w:fill="auto" w:val="clear"/>
            <w:vAlign w:val="center"/>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highlight w:val="cyan"/>
              </w:rPr>
            </w:pPr>
            <w:r w:rsidDel="00000000" w:rsidR="00000000" w:rsidRPr="00000000">
              <w:rPr>
                <w:rtl w:val="0"/>
              </w:rPr>
            </w:r>
          </w:p>
        </w:tc>
      </w:tr>
      <w:tr>
        <w:trPr>
          <w:cantSplit w:val="0"/>
          <w:trHeight w:val="71" w:hRule="atLeast"/>
          <w:tblHeader w:val="0"/>
        </w:trPr>
        <w:tc>
          <w:tcPr>
            <w:vMerge w:val="continue"/>
            <w:shd w:fill="auto" w:val="clear"/>
            <w:vAlign w:val="center"/>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highlight w:val="cyan"/>
              </w:rPr>
            </w:pPr>
            <w:r w:rsidDel="00000000" w:rsidR="00000000" w:rsidRPr="00000000">
              <w:rPr>
                <w:rtl w:val="0"/>
              </w:rPr>
            </w:r>
          </w:p>
        </w:tc>
        <w:tc>
          <w:tcPr>
            <w:vMerge w:val="continue"/>
            <w:vAlign w:val="center"/>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highlight w:val="cyan"/>
              </w:rPr>
            </w:pPr>
            <w:r w:rsidDel="00000000" w:rsidR="00000000" w:rsidRPr="00000000">
              <w:rPr>
                <w:rtl w:val="0"/>
              </w:rPr>
            </w:r>
          </w:p>
        </w:tc>
        <w:tc>
          <w:tcPr>
            <w:vAlign w:val="center"/>
          </w:tcPr>
          <w:p w:rsidR="00000000" w:rsidDel="00000000" w:rsidP="00000000" w:rsidRDefault="00000000" w:rsidRPr="00000000" w14:paraId="00000641">
            <w:pPr>
              <w:jc w:val="center"/>
              <w:rPr>
                <w:color w:val="000000"/>
                <w:sz w:val="22"/>
                <w:szCs w:val="22"/>
              </w:rPr>
            </w:pPr>
            <w:r w:rsidDel="00000000" w:rsidR="00000000" w:rsidRPr="00000000">
              <w:rPr>
                <w:color w:val="000000"/>
                <w:sz w:val="22"/>
                <w:szCs w:val="22"/>
                <w:rtl w:val="0"/>
              </w:rPr>
              <w:t xml:space="preserve">Morphine</w:t>
            </w:r>
          </w:p>
        </w:tc>
        <w:tc>
          <w:tcPr>
            <w:vMerge w:val="continue"/>
            <w:vAlign w:val="center"/>
          </w:tcPr>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shd w:fill="auto" w:val="clear"/>
            <w:vAlign w:val="center"/>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shd w:fill="auto" w:val="clear"/>
            <w:vAlign w:val="center"/>
          </w:tcPr>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47">
            <w:pPr>
              <w:jc w:val="center"/>
              <w:rPr>
                <w:color w:val="000000"/>
                <w:sz w:val="22"/>
                <w:szCs w:val="22"/>
              </w:rPr>
            </w:pPr>
            <w:r w:rsidDel="00000000" w:rsidR="00000000" w:rsidRPr="00000000">
              <w:rPr>
                <w:color w:val="000000"/>
                <w:sz w:val="22"/>
                <w:szCs w:val="22"/>
                <w:rtl w:val="0"/>
              </w:rPr>
              <w:t xml:space="preserve">Tramadol</w:t>
            </w:r>
          </w:p>
        </w:tc>
        <w:tc>
          <w:tcPr>
            <w:vMerge w:val="continue"/>
            <w:vAlign w:val="center"/>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shd w:fill="auto" w:val="clear"/>
            <w:vAlign w:val="center"/>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64B">
            <w:pPr>
              <w:rPr>
                <w:color w:val="000000"/>
                <w:sz w:val="22"/>
                <w:szCs w:val="22"/>
              </w:rPr>
            </w:pPr>
            <w:r w:rsidDel="00000000" w:rsidR="00000000" w:rsidRPr="00000000">
              <w:rPr>
                <w:color w:val="000000"/>
                <w:sz w:val="22"/>
                <w:szCs w:val="22"/>
                <w:rtl w:val="0"/>
              </w:rPr>
              <w:t xml:space="preserve">Robert</w:t>
            </w:r>
          </w:p>
        </w:tc>
        <w:tc>
          <w:tcPr>
            <w:vMerge w:val="restart"/>
            <w:vAlign w:val="center"/>
          </w:tcPr>
          <w:p w:rsidR="00000000" w:rsidDel="00000000" w:rsidP="00000000" w:rsidRDefault="00000000" w:rsidRPr="00000000" w14:paraId="0000064C">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64D">
            <w:pPr>
              <w:jc w:val="center"/>
              <w:rPr>
                <w:color w:val="000000"/>
                <w:sz w:val="22"/>
                <w:szCs w:val="22"/>
              </w:rPr>
            </w:pPr>
            <w:r w:rsidDel="00000000" w:rsidR="00000000" w:rsidRPr="00000000">
              <w:rPr>
                <w:color w:val="000000"/>
                <w:sz w:val="22"/>
                <w:szCs w:val="22"/>
                <w:rtl w:val="0"/>
              </w:rPr>
              <w:t xml:space="preserve">Duloxetine</w:t>
            </w:r>
          </w:p>
        </w:tc>
        <w:tc>
          <w:tcPr>
            <w:vMerge w:val="restart"/>
            <w:vAlign w:val="center"/>
          </w:tcPr>
          <w:p w:rsidR="00000000" w:rsidDel="00000000" w:rsidP="00000000" w:rsidRDefault="00000000" w:rsidRPr="00000000" w14:paraId="0000064E">
            <w:pPr>
              <w:jc w:val="center"/>
              <w:rPr>
                <w:color w:val="000000"/>
                <w:sz w:val="22"/>
                <w:szCs w:val="22"/>
              </w:rPr>
            </w:pPr>
            <w:r w:rsidDel="00000000" w:rsidR="00000000" w:rsidRPr="00000000">
              <w:rPr>
                <w:color w:val="000000"/>
                <w:sz w:val="22"/>
                <w:szCs w:val="22"/>
                <w:rtl w:val="0"/>
              </w:rPr>
              <w:t xml:space="preserve">Unsure</w:t>
            </w:r>
          </w:p>
        </w:tc>
        <w:tc>
          <w:tcPr>
            <w:vMerge w:val="restart"/>
            <w:vAlign w:val="center"/>
          </w:tcPr>
          <w:p w:rsidR="00000000" w:rsidDel="00000000" w:rsidP="00000000" w:rsidRDefault="00000000" w:rsidRPr="00000000" w14:paraId="0000064F">
            <w:pPr>
              <w:jc w:val="center"/>
              <w:rPr>
                <w:color w:val="000000"/>
                <w:sz w:val="22"/>
                <w:szCs w:val="22"/>
              </w:rPr>
            </w:pPr>
            <w:r w:rsidDel="00000000" w:rsidR="00000000" w:rsidRPr="00000000">
              <w:rPr>
                <w:color w:val="000000"/>
                <w:sz w:val="22"/>
                <w:szCs w:val="22"/>
                <w:rtl w:val="0"/>
              </w:rPr>
              <w:t xml:space="preserve">Unsure</w:t>
            </w:r>
          </w:p>
        </w:tc>
        <w:tc>
          <w:tcPr>
            <w:vMerge w:val="restart"/>
            <w:vAlign w:val="center"/>
          </w:tcPr>
          <w:p w:rsidR="00000000" w:rsidDel="00000000" w:rsidP="00000000" w:rsidRDefault="00000000" w:rsidRPr="00000000" w14:paraId="00000650">
            <w:pPr>
              <w:keepNext w:val="1"/>
              <w:jc w:val="center"/>
              <w:rPr>
                <w:color w:val="000000"/>
                <w:sz w:val="22"/>
                <w:szCs w:val="22"/>
              </w:rPr>
            </w:pPr>
            <w:r w:rsidDel="00000000" w:rsidR="00000000" w:rsidRPr="00000000">
              <w:rPr>
                <w:color w:val="000000"/>
                <w:sz w:val="22"/>
                <w:szCs w:val="22"/>
                <w:rtl w:val="0"/>
              </w:rPr>
              <w:t xml:space="preserve">00:31:32</w:t>
            </w:r>
          </w:p>
        </w:tc>
      </w:tr>
      <w:tr>
        <w:trPr>
          <w:cantSplit w:val="0"/>
          <w:trHeight w:val="71" w:hRule="atLeast"/>
          <w:tblHeader w:val="0"/>
        </w:trPr>
        <w:tc>
          <w:tcPr>
            <w:vMerge w:val="continue"/>
            <w:vAlign w:val="center"/>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53">
            <w:pPr>
              <w:jc w:val="center"/>
              <w:rPr>
                <w:color w:val="000000"/>
                <w:sz w:val="22"/>
                <w:szCs w:val="22"/>
              </w:rPr>
            </w:pPr>
            <w:r w:rsidDel="00000000" w:rsidR="00000000" w:rsidRPr="00000000">
              <w:rPr>
                <w:color w:val="000000"/>
                <w:sz w:val="22"/>
                <w:szCs w:val="22"/>
                <w:rtl w:val="0"/>
              </w:rPr>
              <w:t xml:space="preserve">Sertraline</w:t>
            </w:r>
          </w:p>
        </w:tc>
        <w:tc>
          <w:tcPr>
            <w:vMerge w:val="continue"/>
            <w:vAlign w:val="center"/>
          </w:tcPr>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657">
            <w:pPr>
              <w:rPr>
                <w:color w:val="000000"/>
                <w:sz w:val="22"/>
                <w:szCs w:val="22"/>
              </w:rPr>
            </w:pPr>
            <w:r w:rsidDel="00000000" w:rsidR="00000000" w:rsidRPr="00000000">
              <w:rPr>
                <w:color w:val="000000"/>
                <w:sz w:val="22"/>
                <w:szCs w:val="22"/>
                <w:rtl w:val="0"/>
              </w:rPr>
              <w:t xml:space="preserve">Tia</w:t>
            </w:r>
          </w:p>
        </w:tc>
        <w:tc>
          <w:tcPr>
            <w:vMerge w:val="restart"/>
            <w:vAlign w:val="center"/>
          </w:tcPr>
          <w:p w:rsidR="00000000" w:rsidDel="00000000" w:rsidP="00000000" w:rsidRDefault="00000000" w:rsidRPr="00000000" w14:paraId="00000658">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659">
            <w:pPr>
              <w:jc w:val="center"/>
              <w:rPr>
                <w:color w:val="000000"/>
                <w:sz w:val="22"/>
                <w:szCs w:val="22"/>
              </w:rPr>
            </w:pPr>
            <w:r w:rsidDel="00000000" w:rsidR="00000000" w:rsidRPr="00000000">
              <w:rPr>
                <w:color w:val="000000"/>
                <w:sz w:val="22"/>
                <w:szCs w:val="22"/>
                <w:rtl w:val="0"/>
              </w:rPr>
              <w:t xml:space="preserve">Clomipramine</w:t>
            </w:r>
          </w:p>
        </w:tc>
        <w:tc>
          <w:tcPr>
            <w:vAlign w:val="center"/>
          </w:tcPr>
          <w:p w:rsidR="00000000" w:rsidDel="00000000" w:rsidP="00000000" w:rsidRDefault="00000000" w:rsidRPr="00000000" w14:paraId="0000065A">
            <w:pPr>
              <w:jc w:val="center"/>
              <w:rPr>
                <w:color w:val="000000"/>
                <w:sz w:val="22"/>
                <w:szCs w:val="22"/>
              </w:rPr>
            </w:pPr>
            <w:r w:rsidDel="00000000" w:rsidR="00000000" w:rsidRPr="00000000">
              <w:rPr>
                <w:color w:val="000000"/>
                <w:sz w:val="22"/>
                <w:szCs w:val="22"/>
                <w:rtl w:val="0"/>
              </w:rPr>
              <w:t xml:space="preserve">12 Years</w:t>
            </w:r>
          </w:p>
        </w:tc>
        <w:tc>
          <w:tcPr>
            <w:vMerge w:val="restart"/>
            <w:vAlign w:val="center"/>
          </w:tcPr>
          <w:p w:rsidR="00000000" w:rsidDel="00000000" w:rsidP="00000000" w:rsidRDefault="00000000" w:rsidRPr="00000000" w14:paraId="0000065B">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65C">
            <w:pPr>
              <w:keepNext w:val="1"/>
              <w:jc w:val="center"/>
              <w:rPr>
                <w:color w:val="000000"/>
                <w:sz w:val="22"/>
                <w:szCs w:val="22"/>
              </w:rPr>
            </w:pPr>
            <w:r w:rsidDel="00000000" w:rsidR="00000000" w:rsidRPr="00000000">
              <w:rPr>
                <w:color w:val="000000"/>
                <w:sz w:val="22"/>
                <w:szCs w:val="22"/>
                <w:rtl w:val="0"/>
              </w:rPr>
              <w:t xml:space="preserve">00:48:56</w:t>
            </w:r>
          </w:p>
        </w:tc>
      </w:tr>
      <w:tr>
        <w:trPr>
          <w:cantSplit w:val="0"/>
          <w:trHeight w:val="71" w:hRule="atLeast"/>
          <w:tblHeader w:val="0"/>
        </w:trPr>
        <w:tc>
          <w:tcPr>
            <w:vMerge w:val="continue"/>
            <w:vAlign w:val="center"/>
          </w:tcPr>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5F">
            <w:pPr>
              <w:jc w:val="center"/>
              <w:rPr>
                <w:color w:val="000000"/>
                <w:sz w:val="22"/>
                <w:szCs w:val="22"/>
              </w:rPr>
            </w:pPr>
            <w:r w:rsidDel="00000000" w:rsidR="00000000" w:rsidRPr="00000000">
              <w:rPr>
                <w:color w:val="000000"/>
                <w:sz w:val="22"/>
                <w:szCs w:val="22"/>
                <w:rtl w:val="0"/>
              </w:rPr>
              <w:t xml:space="preserve">Venlafaxine</w:t>
            </w:r>
          </w:p>
        </w:tc>
        <w:tc>
          <w:tcPr>
            <w:vAlign w:val="center"/>
          </w:tcPr>
          <w:p w:rsidR="00000000" w:rsidDel="00000000" w:rsidP="00000000" w:rsidRDefault="00000000" w:rsidRPr="00000000" w14:paraId="00000660">
            <w:pPr>
              <w:jc w:val="center"/>
              <w:rPr>
                <w:color w:val="000000"/>
                <w:sz w:val="22"/>
                <w:szCs w:val="22"/>
              </w:rPr>
            </w:pPr>
            <w:r w:rsidDel="00000000" w:rsidR="00000000" w:rsidRPr="00000000">
              <w:rPr>
                <w:color w:val="000000"/>
                <w:sz w:val="22"/>
                <w:szCs w:val="22"/>
                <w:rtl w:val="0"/>
              </w:rPr>
              <w:t xml:space="preserve">7 – 8 Years</w:t>
            </w:r>
          </w:p>
        </w:tc>
        <w:tc>
          <w:tcPr>
            <w:vMerge w:val="continue"/>
            <w:vAlign w:val="center"/>
          </w:tcPr>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restart"/>
            <w:vAlign w:val="center"/>
          </w:tcPr>
          <w:p w:rsidR="00000000" w:rsidDel="00000000" w:rsidP="00000000" w:rsidRDefault="00000000" w:rsidRPr="00000000" w14:paraId="00000663">
            <w:pPr>
              <w:rPr>
                <w:color w:val="000000"/>
                <w:sz w:val="22"/>
                <w:szCs w:val="22"/>
              </w:rPr>
            </w:pPr>
            <w:r w:rsidDel="00000000" w:rsidR="00000000" w:rsidRPr="00000000">
              <w:rPr>
                <w:color w:val="000000"/>
                <w:sz w:val="22"/>
                <w:szCs w:val="22"/>
                <w:rtl w:val="0"/>
              </w:rPr>
              <w:t xml:space="preserve">William</w:t>
            </w:r>
          </w:p>
        </w:tc>
        <w:tc>
          <w:tcPr>
            <w:vMerge w:val="restart"/>
            <w:vAlign w:val="center"/>
          </w:tcPr>
          <w:p w:rsidR="00000000" w:rsidDel="00000000" w:rsidP="00000000" w:rsidRDefault="00000000" w:rsidRPr="00000000" w14:paraId="00000664">
            <w:pPr>
              <w:jc w:val="center"/>
              <w:rPr>
                <w:color w:val="000000"/>
                <w:sz w:val="22"/>
                <w:szCs w:val="22"/>
              </w:rPr>
            </w:pPr>
            <w:r w:rsidDel="00000000" w:rsidR="00000000" w:rsidRPr="00000000">
              <w:rPr>
                <w:color w:val="000000"/>
                <w:sz w:val="22"/>
                <w:szCs w:val="22"/>
                <w:rtl w:val="0"/>
              </w:rPr>
              <w:t xml:space="preserve">Antidepressant</w:t>
            </w:r>
          </w:p>
        </w:tc>
        <w:tc>
          <w:tcPr>
            <w:vAlign w:val="center"/>
          </w:tcPr>
          <w:p w:rsidR="00000000" w:rsidDel="00000000" w:rsidP="00000000" w:rsidRDefault="00000000" w:rsidRPr="00000000" w14:paraId="00000665">
            <w:pPr>
              <w:jc w:val="center"/>
              <w:rPr>
                <w:color w:val="000000"/>
                <w:sz w:val="22"/>
                <w:szCs w:val="22"/>
              </w:rPr>
            </w:pPr>
            <w:r w:rsidDel="00000000" w:rsidR="00000000" w:rsidRPr="00000000">
              <w:rPr>
                <w:color w:val="000000"/>
                <w:sz w:val="22"/>
                <w:szCs w:val="22"/>
                <w:rtl w:val="0"/>
              </w:rPr>
              <w:t xml:space="preserve">Duloxetine</w:t>
            </w:r>
          </w:p>
        </w:tc>
        <w:tc>
          <w:tcPr>
            <w:vMerge w:val="restart"/>
            <w:vAlign w:val="center"/>
          </w:tcPr>
          <w:p w:rsidR="00000000" w:rsidDel="00000000" w:rsidP="00000000" w:rsidRDefault="00000000" w:rsidRPr="00000000" w14:paraId="00000666">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667">
            <w:pPr>
              <w:jc w:val="center"/>
              <w:rPr>
                <w:color w:val="000000"/>
                <w:sz w:val="22"/>
                <w:szCs w:val="22"/>
              </w:rPr>
            </w:pPr>
            <w:r w:rsidDel="00000000" w:rsidR="00000000" w:rsidRPr="00000000">
              <w:rPr>
                <w:color w:val="000000"/>
                <w:sz w:val="22"/>
                <w:szCs w:val="22"/>
                <w:rtl w:val="0"/>
              </w:rPr>
              <w:t xml:space="preserve">Not Discussed</w:t>
            </w:r>
          </w:p>
        </w:tc>
        <w:tc>
          <w:tcPr>
            <w:vMerge w:val="restart"/>
            <w:vAlign w:val="center"/>
          </w:tcPr>
          <w:p w:rsidR="00000000" w:rsidDel="00000000" w:rsidP="00000000" w:rsidRDefault="00000000" w:rsidRPr="00000000" w14:paraId="00000668">
            <w:pPr>
              <w:keepNext w:val="1"/>
              <w:jc w:val="center"/>
              <w:rPr>
                <w:color w:val="000000"/>
                <w:sz w:val="22"/>
                <w:szCs w:val="22"/>
              </w:rPr>
            </w:pPr>
            <w:r w:rsidDel="00000000" w:rsidR="00000000" w:rsidRPr="00000000">
              <w:rPr>
                <w:color w:val="000000"/>
                <w:sz w:val="22"/>
                <w:szCs w:val="22"/>
                <w:rtl w:val="0"/>
              </w:rPr>
              <w:t xml:space="preserve">00:36:17</w:t>
            </w:r>
          </w:p>
        </w:tc>
      </w:tr>
      <w:tr>
        <w:trPr>
          <w:cantSplit w:val="0"/>
          <w:trHeight w:val="71" w:hRule="atLeast"/>
          <w:tblHeader w:val="0"/>
        </w:trPr>
        <w:tc>
          <w:tcPr>
            <w:vMerge w:val="continue"/>
            <w:vAlign w:val="center"/>
          </w:tcPr>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6B">
            <w:pPr>
              <w:jc w:val="center"/>
              <w:rPr>
                <w:color w:val="000000"/>
                <w:sz w:val="22"/>
                <w:szCs w:val="22"/>
              </w:rPr>
            </w:pPr>
            <w:r w:rsidDel="00000000" w:rsidR="00000000" w:rsidRPr="00000000">
              <w:rPr>
                <w:color w:val="000000"/>
                <w:sz w:val="22"/>
                <w:szCs w:val="22"/>
                <w:rtl w:val="0"/>
              </w:rPr>
              <w:t xml:space="preserve">Mirtazapine</w:t>
            </w:r>
          </w:p>
        </w:tc>
        <w:tc>
          <w:tcPr>
            <w:vMerge w:val="continue"/>
            <w:vAlign w:val="center"/>
          </w:tcPr>
          <w:p w:rsidR="00000000" w:rsidDel="00000000" w:rsidP="00000000" w:rsidRDefault="00000000" w:rsidRPr="00000000" w14:paraId="000006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71" w:hRule="atLeast"/>
          <w:tblHeader w:val="0"/>
        </w:trPr>
        <w:tc>
          <w:tcPr>
            <w:vMerge w:val="continue"/>
            <w:vAlign w:val="center"/>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6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671">
            <w:pPr>
              <w:jc w:val="center"/>
              <w:rPr>
                <w:color w:val="000000"/>
                <w:sz w:val="22"/>
                <w:szCs w:val="22"/>
              </w:rPr>
            </w:pPr>
            <w:r w:rsidDel="00000000" w:rsidR="00000000" w:rsidRPr="00000000">
              <w:rPr>
                <w:color w:val="000000"/>
                <w:sz w:val="22"/>
                <w:szCs w:val="22"/>
                <w:rtl w:val="0"/>
              </w:rPr>
              <w:t xml:space="preserve">Sertraline</w:t>
            </w:r>
          </w:p>
        </w:tc>
        <w:tc>
          <w:tcPr/>
          <w:p w:rsidR="00000000" w:rsidDel="00000000" w:rsidP="00000000" w:rsidRDefault="00000000" w:rsidRPr="00000000" w14:paraId="00000672">
            <w:pPr>
              <w:jc w:val="center"/>
              <w:rPr>
                <w:color w:val="000000"/>
                <w:sz w:val="22"/>
                <w:szCs w:val="22"/>
              </w:rPr>
            </w:pPr>
            <w:r w:rsidDel="00000000" w:rsidR="00000000" w:rsidRPr="00000000">
              <w:rPr>
                <w:color w:val="000000"/>
                <w:sz w:val="22"/>
                <w:szCs w:val="22"/>
                <w:rtl w:val="0"/>
              </w:rPr>
              <w:t xml:space="preserve">2 Years</w:t>
            </w:r>
          </w:p>
        </w:tc>
        <w:tc>
          <w:tcPr/>
          <w:p w:rsidR="00000000" w:rsidDel="00000000" w:rsidP="00000000" w:rsidRDefault="00000000" w:rsidRPr="00000000" w14:paraId="00000673">
            <w:pPr>
              <w:jc w:val="center"/>
              <w:rPr>
                <w:color w:val="000000"/>
                <w:sz w:val="22"/>
                <w:szCs w:val="22"/>
              </w:rPr>
            </w:pPr>
            <w:r w:rsidDel="00000000" w:rsidR="00000000" w:rsidRPr="00000000">
              <w:rPr>
                <w:color w:val="000000"/>
                <w:sz w:val="22"/>
                <w:szCs w:val="22"/>
                <w:rtl w:val="0"/>
              </w:rPr>
              <w:t xml:space="preserve">200</w:t>
            </w:r>
          </w:p>
        </w:tc>
        <w:tc>
          <w:tcPr>
            <w:vMerge w:val="continue"/>
            <w:vAlign w:val="center"/>
          </w:tcPr>
          <w:p w:rsidR="00000000" w:rsidDel="00000000" w:rsidP="00000000" w:rsidRDefault="00000000" w:rsidRPr="00000000" w14:paraId="00000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bl>
    <w:p w:rsidR="00000000" w:rsidDel="00000000" w:rsidP="00000000" w:rsidRDefault="00000000" w:rsidRPr="00000000" w14:paraId="0000067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ptos" w:cs="Aptos" w:eastAsia="Aptos" w:hAnsi="Aptos"/>
          <w:b w:val="0"/>
          <w:i w:val="1"/>
          <w:smallCaps w:val="0"/>
          <w:strike w:val="0"/>
          <w:color w:val="0e2841"/>
          <w:sz w:val="18"/>
          <w:szCs w:val="18"/>
          <w:u w:val="none"/>
          <w:shd w:fill="auto" w:val="clear"/>
          <w:vertAlign w:val="baseline"/>
        </w:rPr>
      </w:pPr>
      <w:bookmarkStart w:colFirst="0" w:colLast="0" w:name="_heading=h.3cqmetx" w:id="62"/>
      <w:bookmarkEnd w:id="62"/>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7: A table presenting a participant sample description. Note: Those highlighted in red are medications used by participants that are not included in this study but are mentioned to highlight those with polypharmacy.</w:t>
      </w:r>
    </w:p>
    <w:p w:rsidR="00000000" w:rsidDel="00000000" w:rsidP="00000000" w:rsidRDefault="00000000" w:rsidRPr="00000000" w14:paraId="00000676">
      <w:pPr>
        <w:pStyle w:val="Heading2"/>
        <w:numPr>
          <w:ilvl w:val="1"/>
          <w:numId w:val="28"/>
        </w:numPr>
        <w:spacing w:line="480" w:lineRule="auto"/>
        <w:ind w:left="720" w:hanging="720"/>
        <w:rPr/>
      </w:pPr>
      <w:bookmarkStart w:colFirst="0" w:colLast="0" w:name="_heading=h.1rvwp1q" w:id="63"/>
      <w:bookmarkEnd w:id="63"/>
      <w:r w:rsidDel="00000000" w:rsidR="00000000" w:rsidRPr="00000000">
        <w:rPr>
          <w:rtl w:val="0"/>
        </w:rPr>
        <w:t xml:space="preserve">Data Analysis</w:t>
      </w:r>
    </w:p>
    <w:p w:rsidR="00000000" w:rsidDel="00000000" w:rsidP="00000000" w:rsidRDefault="00000000" w:rsidRPr="00000000" w14:paraId="00000677">
      <w:pPr>
        <w:spacing w:line="480" w:lineRule="auto"/>
        <w:jc w:val="both"/>
        <w:rPr>
          <w:sz w:val="22"/>
          <w:szCs w:val="22"/>
        </w:rPr>
      </w:pPr>
      <w:r w:rsidDel="00000000" w:rsidR="00000000" w:rsidRPr="00000000">
        <w:rPr>
          <w:sz w:val="22"/>
          <w:szCs w:val="22"/>
          <w:rtl w:val="0"/>
        </w:rPr>
        <w:t xml:space="preserve">This research used Braun and Clarkes Thematic Analysis (2006). There are numerous approaches to analysing qualitative data, with some specifically associated with particular methodologies such as Interpretive Phenomenological Analysis (IPA) and Grounded Theory (Radford 2021, p.61). Thematic Analysis is a commonly used technique enabling the researcher to examine, interpret and evoke themes from several data sources – including interviews (Crowe et al, 2019). It is an inductive approach that will knowledge to be generated from the patients’ experiences, due to the flexible nature of this method (Crowe et al 2019). Thematic Analysis is a systematic approach to synthesising data, with this approach utilising six steps to interpret and analyse the data set. These steps will now be outlined. </w:t>
      </w:r>
    </w:p>
    <w:p w:rsidR="00000000" w:rsidDel="00000000" w:rsidP="00000000" w:rsidRDefault="00000000" w:rsidRPr="00000000" w14:paraId="00000678">
      <w:pPr>
        <w:spacing w:line="480" w:lineRule="auto"/>
        <w:jc w:val="both"/>
        <w:rPr>
          <w:sz w:val="22"/>
          <w:szCs w:val="22"/>
        </w:rPr>
      </w:pPr>
      <w:r w:rsidDel="00000000" w:rsidR="00000000" w:rsidRPr="00000000">
        <w:rPr>
          <w:rtl w:val="0"/>
        </w:rPr>
      </w:r>
    </w:p>
    <w:p w:rsidR="00000000" w:rsidDel="00000000" w:rsidP="00000000" w:rsidRDefault="00000000" w:rsidRPr="00000000" w14:paraId="00000679">
      <w:pPr>
        <w:pStyle w:val="Heading3"/>
        <w:spacing w:line="480" w:lineRule="auto"/>
        <w:rPr/>
      </w:pPr>
      <w:bookmarkStart w:colFirst="0" w:colLast="0" w:name="_heading=h.4bvk7pj" w:id="64"/>
      <w:bookmarkEnd w:id="64"/>
      <w:r w:rsidDel="00000000" w:rsidR="00000000" w:rsidRPr="00000000">
        <w:rPr>
          <w:rtl w:val="0"/>
        </w:rPr>
        <w:t xml:space="preserve">Step One – Becoming Familiar with the Data</w:t>
      </w:r>
    </w:p>
    <w:p w:rsidR="00000000" w:rsidDel="00000000" w:rsidP="00000000" w:rsidRDefault="00000000" w:rsidRPr="00000000" w14:paraId="0000067A">
      <w:pPr>
        <w:spacing w:line="480" w:lineRule="auto"/>
        <w:jc w:val="both"/>
        <w:rPr>
          <w:sz w:val="22"/>
          <w:szCs w:val="22"/>
        </w:rPr>
      </w:pPr>
      <w:r w:rsidDel="00000000" w:rsidR="00000000" w:rsidRPr="00000000">
        <w:rPr>
          <w:sz w:val="22"/>
          <w:szCs w:val="22"/>
          <w:rtl w:val="0"/>
        </w:rPr>
        <w:t xml:space="preserve">This step began almost immediately after each interview was conducted. The data was transcribed verbatim. Each interview was played several times to aid the researcher’s comprehension of what the participant was attempting to say, and for the accuracy of the transcription. Punctuation and vernacular was not changed. The transcript was read, and then re-read, prior to analysis. This allows the researcher to become familiar with the data, supporting the next phase of analysis – generating initial codes. </w:t>
      </w:r>
    </w:p>
    <w:p w:rsidR="00000000" w:rsidDel="00000000" w:rsidP="00000000" w:rsidRDefault="00000000" w:rsidRPr="00000000" w14:paraId="0000067B">
      <w:pPr>
        <w:spacing w:line="480" w:lineRule="auto"/>
        <w:jc w:val="both"/>
        <w:rPr>
          <w:sz w:val="22"/>
          <w:szCs w:val="22"/>
        </w:rPr>
      </w:pPr>
      <w:r w:rsidDel="00000000" w:rsidR="00000000" w:rsidRPr="00000000">
        <w:rPr>
          <w:rtl w:val="0"/>
        </w:rPr>
      </w:r>
    </w:p>
    <w:p w:rsidR="00000000" w:rsidDel="00000000" w:rsidP="00000000" w:rsidRDefault="00000000" w:rsidRPr="00000000" w14:paraId="0000067C">
      <w:pPr>
        <w:pStyle w:val="Heading3"/>
        <w:spacing w:line="480" w:lineRule="auto"/>
        <w:rPr/>
      </w:pPr>
      <w:bookmarkStart w:colFirst="0" w:colLast="0" w:name="_heading=h.2r0uhxc" w:id="65"/>
      <w:bookmarkEnd w:id="65"/>
      <w:r w:rsidDel="00000000" w:rsidR="00000000" w:rsidRPr="00000000">
        <w:rPr>
          <w:rtl w:val="0"/>
        </w:rPr>
        <w:t xml:space="preserve">Step Two – Generate Initial Codes</w:t>
      </w:r>
    </w:p>
    <w:p w:rsidR="00000000" w:rsidDel="00000000" w:rsidP="00000000" w:rsidRDefault="00000000" w:rsidRPr="00000000" w14:paraId="0000067D">
      <w:pPr>
        <w:spacing w:line="480" w:lineRule="auto"/>
        <w:jc w:val="both"/>
        <w:rPr>
          <w:sz w:val="22"/>
          <w:szCs w:val="22"/>
        </w:rPr>
      </w:pPr>
      <w:r w:rsidDel="00000000" w:rsidR="00000000" w:rsidRPr="00000000">
        <w:rPr>
          <w:sz w:val="22"/>
          <w:szCs w:val="22"/>
          <w:rtl w:val="0"/>
        </w:rPr>
        <w:t xml:space="preserve">The data was analysed inductively, using “</w:t>
      </w:r>
      <w:r w:rsidDel="00000000" w:rsidR="00000000" w:rsidRPr="00000000">
        <w:rPr>
          <w:i w:val="1"/>
          <w:sz w:val="22"/>
          <w:szCs w:val="22"/>
          <w:rtl w:val="0"/>
        </w:rPr>
        <w:t xml:space="preserve">line-by-line</w:t>
      </w:r>
      <w:r w:rsidDel="00000000" w:rsidR="00000000" w:rsidRPr="00000000">
        <w:rPr>
          <w:sz w:val="22"/>
          <w:szCs w:val="22"/>
          <w:rtl w:val="0"/>
        </w:rPr>
        <w:t xml:space="preserve">” coding (Maguire and Delahunt 2017, p.3355). This involves reading the transcribed text that appears to be relevant to the research title and generate some initial themes. At this stage, there was no interpretation of the data. When I completed my transcribing, I uploaded the transcripts to the coding software package, NVivo. NVivo was used as this has been proven to be very useful, particularly when working with a large data set (Maguire and Delahunt 2017, p.3356). </w:t>
      </w:r>
    </w:p>
    <w:p w:rsidR="00000000" w:rsidDel="00000000" w:rsidP="00000000" w:rsidRDefault="00000000" w:rsidRPr="00000000" w14:paraId="0000067E">
      <w:pPr>
        <w:spacing w:line="480" w:lineRule="auto"/>
        <w:jc w:val="both"/>
        <w:rPr>
          <w:sz w:val="22"/>
          <w:szCs w:val="22"/>
        </w:rPr>
      </w:pPr>
      <w:r w:rsidDel="00000000" w:rsidR="00000000" w:rsidRPr="00000000">
        <w:rPr>
          <w:rtl w:val="0"/>
        </w:rPr>
      </w:r>
    </w:p>
    <w:p w:rsidR="00000000" w:rsidDel="00000000" w:rsidP="00000000" w:rsidRDefault="00000000" w:rsidRPr="00000000" w14:paraId="0000067F">
      <w:pPr>
        <w:spacing w:line="480" w:lineRule="auto"/>
        <w:jc w:val="both"/>
        <w:rPr>
          <w:sz w:val="22"/>
          <w:szCs w:val="22"/>
        </w:rPr>
      </w:pPr>
      <w:r w:rsidDel="00000000" w:rsidR="00000000" w:rsidRPr="00000000">
        <w:rPr>
          <w:sz w:val="22"/>
          <w:szCs w:val="22"/>
          <w:rtl w:val="0"/>
        </w:rPr>
        <w:t xml:space="preserve">Using this programme, I highlighted single words, sentences or entire statements, and assigned them an individual code. This resulted in a coding index, which was arranged according to associated links, which informed my themes. One example of this was the “</w:t>
      </w:r>
      <w:r w:rsidDel="00000000" w:rsidR="00000000" w:rsidRPr="00000000">
        <w:rPr>
          <w:i w:val="1"/>
          <w:sz w:val="22"/>
          <w:szCs w:val="22"/>
          <w:rtl w:val="0"/>
        </w:rPr>
        <w:t xml:space="preserve">Acceptance and Evaluation of Medicines</w:t>
      </w:r>
      <w:r w:rsidDel="00000000" w:rsidR="00000000" w:rsidRPr="00000000">
        <w:rPr>
          <w:sz w:val="22"/>
          <w:szCs w:val="22"/>
          <w:rtl w:val="0"/>
        </w:rPr>
        <w:t xml:space="preserve">” theme. Information about the participants perceptions of their medicines were grouped. Within this, there were positive and negative perceptions of medicines and the experiences that informed these opinions. This resulted in an initial framework organising key ideas into a set of themed categories. </w:t>
      </w:r>
    </w:p>
    <w:p w:rsidR="00000000" w:rsidDel="00000000" w:rsidP="00000000" w:rsidRDefault="00000000" w:rsidRPr="00000000" w14:paraId="00000680">
      <w:pPr>
        <w:spacing w:line="480" w:lineRule="auto"/>
        <w:jc w:val="both"/>
        <w:rPr>
          <w:sz w:val="22"/>
          <w:szCs w:val="22"/>
        </w:rPr>
      </w:pPr>
      <w:r w:rsidDel="00000000" w:rsidR="00000000" w:rsidRPr="00000000">
        <w:rPr>
          <w:rtl w:val="0"/>
        </w:rPr>
      </w:r>
    </w:p>
    <w:p w:rsidR="00000000" w:rsidDel="00000000" w:rsidP="00000000" w:rsidRDefault="00000000" w:rsidRPr="00000000" w14:paraId="00000681">
      <w:pPr>
        <w:pStyle w:val="Heading3"/>
        <w:spacing w:line="480" w:lineRule="auto"/>
        <w:rPr/>
      </w:pPr>
      <w:bookmarkStart w:colFirst="0" w:colLast="0" w:name="_heading=h.1664s55" w:id="66"/>
      <w:bookmarkEnd w:id="66"/>
      <w:r w:rsidDel="00000000" w:rsidR="00000000" w:rsidRPr="00000000">
        <w:rPr>
          <w:rtl w:val="0"/>
        </w:rPr>
        <w:t xml:space="preserve">Step Three – Search for Themes</w:t>
      </w:r>
    </w:p>
    <w:p w:rsidR="00000000" w:rsidDel="00000000" w:rsidP="00000000" w:rsidRDefault="00000000" w:rsidRPr="00000000" w14:paraId="00000682">
      <w:pPr>
        <w:spacing w:line="480" w:lineRule="auto"/>
        <w:jc w:val="both"/>
        <w:rPr>
          <w:sz w:val="22"/>
          <w:szCs w:val="22"/>
        </w:rPr>
      </w:pPr>
      <w:r w:rsidDel="00000000" w:rsidR="00000000" w:rsidRPr="00000000">
        <w:rPr>
          <w:sz w:val="22"/>
          <w:szCs w:val="22"/>
          <w:rtl w:val="0"/>
        </w:rPr>
        <w:t xml:space="preserve">After the initial coding of the data set, the codes were sorted into patterns of broader data, themes. This involved some level of analysis and interpretation of the data (Braun and Clarke, 2013). Braun and Clarke (2006, p.10) suggest there are no “</w:t>
      </w:r>
      <w:r w:rsidDel="00000000" w:rsidR="00000000" w:rsidRPr="00000000">
        <w:rPr>
          <w:i w:val="1"/>
          <w:sz w:val="22"/>
          <w:szCs w:val="22"/>
          <w:rtl w:val="0"/>
        </w:rPr>
        <w:t xml:space="preserve">hard and fast rules</w:t>
      </w:r>
      <w:r w:rsidDel="00000000" w:rsidR="00000000" w:rsidRPr="00000000">
        <w:rPr>
          <w:sz w:val="22"/>
          <w:szCs w:val="22"/>
          <w:rtl w:val="0"/>
        </w:rPr>
        <w:t xml:space="preserve">” that constitute a theme, as it is characterised by its significance. Themes are generally descriptive, describing patterns in the data (Maguire and Delahunt 2017, p.3356).</w:t>
      </w:r>
    </w:p>
    <w:p w:rsidR="00000000" w:rsidDel="00000000" w:rsidP="00000000" w:rsidRDefault="00000000" w:rsidRPr="00000000" w14:paraId="00000683">
      <w:pPr>
        <w:spacing w:line="480" w:lineRule="auto"/>
        <w:jc w:val="both"/>
        <w:rPr>
          <w:sz w:val="22"/>
          <w:szCs w:val="22"/>
        </w:rPr>
      </w:pPr>
      <w:r w:rsidDel="00000000" w:rsidR="00000000" w:rsidRPr="00000000">
        <w:rPr>
          <w:rtl w:val="0"/>
        </w:rPr>
      </w:r>
    </w:p>
    <w:p w:rsidR="00000000" w:rsidDel="00000000" w:rsidP="00000000" w:rsidRDefault="00000000" w:rsidRPr="00000000" w14:paraId="00000684">
      <w:pPr>
        <w:pStyle w:val="Heading3"/>
        <w:spacing w:line="480" w:lineRule="auto"/>
        <w:rPr/>
      </w:pPr>
      <w:bookmarkStart w:colFirst="0" w:colLast="0" w:name="_heading=h.3q5sasy" w:id="67"/>
      <w:bookmarkEnd w:id="67"/>
      <w:r w:rsidDel="00000000" w:rsidR="00000000" w:rsidRPr="00000000">
        <w:rPr>
          <w:rtl w:val="0"/>
        </w:rPr>
        <w:t xml:space="preserve">Step Four – Review Themes</w:t>
      </w:r>
    </w:p>
    <w:p w:rsidR="00000000" w:rsidDel="00000000" w:rsidP="00000000" w:rsidRDefault="00000000" w:rsidRPr="00000000" w14:paraId="00000685">
      <w:pPr>
        <w:spacing w:line="480" w:lineRule="auto"/>
        <w:jc w:val="both"/>
        <w:rPr>
          <w:sz w:val="22"/>
          <w:szCs w:val="22"/>
        </w:rPr>
      </w:pPr>
      <w:r w:rsidDel="00000000" w:rsidR="00000000" w:rsidRPr="00000000">
        <w:rPr>
          <w:sz w:val="22"/>
          <w:szCs w:val="22"/>
          <w:rtl w:val="0"/>
        </w:rPr>
        <w:t xml:space="preserve">The fourth stage in a Thematic Analysis is a review of the themes arising from the data. Reviewing themes involves checking the themes against the data set, ensuring: </w:t>
      </w:r>
    </w:p>
    <w:p w:rsidR="00000000" w:rsidDel="00000000" w:rsidP="00000000" w:rsidRDefault="00000000" w:rsidRPr="00000000" w14:paraId="00000686">
      <w:pPr>
        <w:spacing w:line="480" w:lineRule="auto"/>
        <w:jc w:val="both"/>
        <w:rPr>
          <w:sz w:val="22"/>
          <w:szCs w:val="22"/>
        </w:rPr>
      </w:pPr>
      <w:r w:rsidDel="00000000" w:rsidR="00000000" w:rsidRPr="00000000">
        <w:rPr>
          <w:rtl w:val="0"/>
        </w:rPr>
      </w:r>
    </w:p>
    <w:p w:rsidR="00000000" w:rsidDel="00000000" w:rsidP="00000000" w:rsidRDefault="00000000" w:rsidRPr="00000000" w14:paraId="0000068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Make sense</w:t>
      </w:r>
    </w:p>
    <w:p w:rsidR="00000000" w:rsidDel="00000000" w:rsidP="00000000" w:rsidRDefault="00000000" w:rsidRPr="00000000" w14:paraId="0000068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Supported by the data</w:t>
      </w:r>
    </w:p>
    <w:p w:rsidR="00000000" w:rsidDel="00000000" w:rsidP="00000000" w:rsidRDefault="00000000" w:rsidRPr="00000000" w14:paraId="0000068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Are succinct (is there too much data within each theme)</w:t>
      </w:r>
    </w:p>
    <w:p w:rsidR="00000000" w:rsidDel="00000000" w:rsidP="00000000" w:rsidRDefault="00000000" w:rsidRPr="00000000" w14:paraId="0000068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Do not overlap considerably</w:t>
      </w:r>
    </w:p>
    <w:p w:rsidR="00000000" w:rsidDel="00000000" w:rsidP="00000000" w:rsidRDefault="00000000" w:rsidRPr="00000000" w14:paraId="0000068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Do not include sub-themes</w:t>
      </w:r>
    </w:p>
    <w:p w:rsidR="00000000" w:rsidDel="00000000" w:rsidP="00000000" w:rsidRDefault="00000000" w:rsidRPr="00000000" w14:paraId="0000068C">
      <w:pPr>
        <w:spacing w:line="480" w:lineRule="auto"/>
        <w:jc w:val="right"/>
        <w:rPr>
          <w:sz w:val="22"/>
          <w:szCs w:val="22"/>
        </w:rPr>
      </w:pPr>
      <w:r w:rsidDel="00000000" w:rsidR="00000000" w:rsidRPr="00000000">
        <w:rPr>
          <w:sz w:val="22"/>
          <w:szCs w:val="22"/>
          <w:rtl w:val="0"/>
        </w:rPr>
        <w:t xml:space="preserve">(Maguire and Delahunt 2017, p.3356)</w:t>
      </w:r>
    </w:p>
    <w:p w:rsidR="00000000" w:rsidDel="00000000" w:rsidP="00000000" w:rsidRDefault="00000000" w:rsidRPr="00000000" w14:paraId="0000068D">
      <w:pPr>
        <w:spacing w:line="480" w:lineRule="auto"/>
        <w:jc w:val="both"/>
        <w:rPr>
          <w:sz w:val="22"/>
          <w:szCs w:val="22"/>
        </w:rPr>
      </w:pPr>
      <w:r w:rsidDel="00000000" w:rsidR="00000000" w:rsidRPr="00000000">
        <w:rPr>
          <w:rtl w:val="0"/>
        </w:rPr>
      </w:r>
    </w:p>
    <w:p w:rsidR="00000000" w:rsidDel="00000000" w:rsidP="00000000" w:rsidRDefault="00000000" w:rsidRPr="00000000" w14:paraId="0000068E">
      <w:pPr>
        <w:spacing w:line="480" w:lineRule="auto"/>
        <w:jc w:val="both"/>
        <w:rPr>
          <w:sz w:val="22"/>
          <w:szCs w:val="22"/>
        </w:rPr>
      </w:pPr>
      <w:r w:rsidDel="00000000" w:rsidR="00000000" w:rsidRPr="00000000">
        <w:rPr>
          <w:sz w:val="22"/>
          <w:szCs w:val="22"/>
          <w:rtl w:val="0"/>
        </w:rPr>
        <w:t xml:space="preserve">The full data set was re-read to ensure no new codes had arisen and the current themes fit the data. This supported the credibility of the data, and ensured findings were correct. </w:t>
      </w:r>
    </w:p>
    <w:p w:rsidR="00000000" w:rsidDel="00000000" w:rsidP="00000000" w:rsidRDefault="00000000" w:rsidRPr="00000000" w14:paraId="0000068F">
      <w:pPr>
        <w:spacing w:line="480" w:lineRule="auto"/>
        <w:jc w:val="both"/>
        <w:rPr>
          <w:sz w:val="22"/>
          <w:szCs w:val="22"/>
        </w:rPr>
      </w:pPr>
      <w:r w:rsidDel="00000000" w:rsidR="00000000" w:rsidRPr="00000000">
        <w:rPr>
          <w:rtl w:val="0"/>
        </w:rPr>
      </w:r>
    </w:p>
    <w:p w:rsidR="00000000" w:rsidDel="00000000" w:rsidP="00000000" w:rsidRDefault="00000000" w:rsidRPr="00000000" w14:paraId="00000690">
      <w:pPr>
        <w:pStyle w:val="Heading3"/>
        <w:spacing w:line="480" w:lineRule="auto"/>
        <w:rPr/>
      </w:pPr>
      <w:bookmarkStart w:colFirst="0" w:colLast="0" w:name="_heading=h.25b2l0r" w:id="68"/>
      <w:bookmarkEnd w:id="68"/>
      <w:r w:rsidDel="00000000" w:rsidR="00000000" w:rsidRPr="00000000">
        <w:rPr>
          <w:rtl w:val="0"/>
        </w:rPr>
        <w:t xml:space="preserve">Step Five – Define themes</w:t>
      </w:r>
    </w:p>
    <w:p w:rsidR="00000000" w:rsidDel="00000000" w:rsidP="00000000" w:rsidRDefault="00000000" w:rsidRPr="00000000" w14:paraId="00000691">
      <w:pPr>
        <w:spacing w:line="480" w:lineRule="auto"/>
        <w:jc w:val="both"/>
        <w:rPr>
          <w:sz w:val="22"/>
          <w:szCs w:val="22"/>
        </w:rPr>
      </w:pPr>
      <w:r w:rsidDel="00000000" w:rsidR="00000000" w:rsidRPr="00000000">
        <w:rPr>
          <w:sz w:val="22"/>
          <w:szCs w:val="22"/>
          <w:rtl w:val="0"/>
        </w:rPr>
        <w:t xml:space="preserve">Step Five is a “</w:t>
      </w:r>
      <w:r w:rsidDel="00000000" w:rsidR="00000000" w:rsidRPr="00000000">
        <w:rPr>
          <w:i w:val="1"/>
          <w:sz w:val="22"/>
          <w:szCs w:val="22"/>
          <w:rtl w:val="0"/>
        </w:rPr>
        <w:t xml:space="preserve">final refinement</w:t>
      </w:r>
      <w:r w:rsidDel="00000000" w:rsidR="00000000" w:rsidRPr="00000000">
        <w:rPr>
          <w:sz w:val="22"/>
          <w:szCs w:val="22"/>
          <w:rtl w:val="0"/>
        </w:rPr>
        <w:t xml:space="preserve">” of themes, with the aim to “</w:t>
      </w:r>
      <w:r w:rsidDel="00000000" w:rsidR="00000000" w:rsidRPr="00000000">
        <w:rPr>
          <w:i w:val="1"/>
          <w:sz w:val="22"/>
          <w:szCs w:val="22"/>
          <w:rtl w:val="0"/>
        </w:rPr>
        <w:t xml:space="preserve">identify the essence of what each theme is about</w:t>
      </w:r>
      <w:r w:rsidDel="00000000" w:rsidR="00000000" w:rsidRPr="00000000">
        <w:rPr>
          <w:sz w:val="22"/>
          <w:szCs w:val="22"/>
          <w:rtl w:val="0"/>
        </w:rPr>
        <w:t xml:space="preserve">” (Braun and Clarke 2006, p.92). A detailed analysis was done to demonstrate how the findings were representative of the participants’ experiences. </w:t>
      </w:r>
    </w:p>
    <w:p w:rsidR="00000000" w:rsidDel="00000000" w:rsidP="00000000" w:rsidRDefault="00000000" w:rsidRPr="00000000" w14:paraId="00000692">
      <w:pPr>
        <w:spacing w:line="480" w:lineRule="auto"/>
        <w:jc w:val="both"/>
        <w:rPr>
          <w:sz w:val="22"/>
          <w:szCs w:val="22"/>
        </w:rPr>
      </w:pPr>
      <w:r w:rsidDel="00000000" w:rsidR="00000000" w:rsidRPr="00000000">
        <w:rPr>
          <w:rtl w:val="0"/>
        </w:rPr>
      </w:r>
    </w:p>
    <w:p w:rsidR="00000000" w:rsidDel="00000000" w:rsidP="00000000" w:rsidRDefault="00000000" w:rsidRPr="00000000" w14:paraId="00000693">
      <w:pPr>
        <w:pStyle w:val="Heading3"/>
        <w:spacing w:line="480" w:lineRule="auto"/>
        <w:rPr/>
      </w:pPr>
      <w:bookmarkStart w:colFirst="0" w:colLast="0" w:name="_heading=h.kgcv8k" w:id="69"/>
      <w:bookmarkEnd w:id="69"/>
      <w:r w:rsidDel="00000000" w:rsidR="00000000" w:rsidRPr="00000000">
        <w:rPr>
          <w:rtl w:val="0"/>
        </w:rPr>
        <w:t xml:space="preserve">Step Six – Produce a report</w:t>
      </w:r>
    </w:p>
    <w:p w:rsidR="00000000" w:rsidDel="00000000" w:rsidP="00000000" w:rsidRDefault="00000000" w:rsidRPr="00000000" w14:paraId="00000694">
      <w:pPr>
        <w:spacing w:line="480" w:lineRule="auto"/>
        <w:jc w:val="both"/>
        <w:rPr>
          <w:sz w:val="22"/>
          <w:szCs w:val="22"/>
        </w:rPr>
      </w:pPr>
      <w:r w:rsidDel="00000000" w:rsidR="00000000" w:rsidRPr="00000000">
        <w:rPr>
          <w:sz w:val="22"/>
          <w:szCs w:val="22"/>
          <w:rtl w:val="0"/>
        </w:rPr>
        <w:t xml:space="preserve">This final stage involves writing up the finalised themes, and a complete analysis of the data pertaining to the research question. Later in the report, existing literature is used to contextualise the data and demonstrate its application to existing knowledge. This process is not linear (Braun and Clarke, 2013), therefore some stages were repeated, for example the reviewing of coding upon re-reading of the transcriptions. </w:t>
      </w:r>
    </w:p>
    <w:p w:rsidR="00000000" w:rsidDel="00000000" w:rsidP="00000000" w:rsidRDefault="00000000" w:rsidRPr="00000000" w14:paraId="00000695">
      <w:pPr>
        <w:spacing w:line="480" w:lineRule="auto"/>
        <w:jc w:val="both"/>
        <w:rPr>
          <w:sz w:val="22"/>
          <w:szCs w:val="22"/>
        </w:rPr>
      </w:pPr>
      <w:r w:rsidDel="00000000" w:rsidR="00000000" w:rsidRPr="00000000">
        <w:rPr>
          <w:rtl w:val="0"/>
        </w:rPr>
      </w:r>
    </w:p>
    <w:p w:rsidR="00000000" w:rsidDel="00000000" w:rsidP="00000000" w:rsidRDefault="00000000" w:rsidRPr="00000000" w14:paraId="00000696">
      <w:pPr>
        <w:pStyle w:val="Heading3"/>
        <w:spacing w:line="480" w:lineRule="auto"/>
        <w:rPr/>
      </w:pPr>
      <w:bookmarkStart w:colFirst="0" w:colLast="0" w:name="_heading=h.34g0dwd" w:id="70"/>
      <w:bookmarkEnd w:id="70"/>
      <w:r w:rsidDel="00000000" w:rsidR="00000000" w:rsidRPr="00000000">
        <w:rPr>
          <w:rtl w:val="0"/>
        </w:rPr>
        <w:t xml:space="preserve">Justification of Thematic Analysis</w:t>
      </w:r>
    </w:p>
    <w:p w:rsidR="00000000" w:rsidDel="00000000" w:rsidP="00000000" w:rsidRDefault="00000000" w:rsidRPr="00000000" w14:paraId="00000697">
      <w:pPr>
        <w:spacing w:line="480" w:lineRule="auto"/>
        <w:jc w:val="both"/>
        <w:rPr>
          <w:sz w:val="22"/>
          <w:szCs w:val="22"/>
        </w:rPr>
      </w:pPr>
      <w:r w:rsidDel="00000000" w:rsidR="00000000" w:rsidRPr="00000000">
        <w:rPr>
          <w:sz w:val="22"/>
          <w:szCs w:val="22"/>
          <w:rtl w:val="0"/>
        </w:rPr>
        <w:t xml:space="preserve">Thematic Analysis is a flexible approach that is widely accessible, easily modifiable to suit the requirements of studies in many fields, requiring little technical knowledge (Braun and Clarke 2006, p. 5).</w:t>
      </w:r>
      <w:r w:rsidDel="00000000" w:rsidR="00000000" w:rsidRPr="00000000">
        <w:rPr>
          <w:b w:val="1"/>
          <w:sz w:val="22"/>
          <w:szCs w:val="22"/>
          <w:rtl w:val="0"/>
        </w:rPr>
        <w:t xml:space="preserve"> </w:t>
      </w:r>
      <w:r w:rsidDel="00000000" w:rsidR="00000000" w:rsidRPr="00000000">
        <w:rPr>
          <w:sz w:val="22"/>
          <w:szCs w:val="22"/>
          <w:rtl w:val="0"/>
        </w:rPr>
        <w:t xml:space="preserve">This methodology also examines multiple perspectives of participants, highlighting the similarities and differences between them and generating “</w:t>
      </w:r>
      <w:r w:rsidDel="00000000" w:rsidR="00000000" w:rsidRPr="00000000">
        <w:rPr>
          <w:i w:val="1"/>
          <w:sz w:val="22"/>
          <w:szCs w:val="22"/>
          <w:rtl w:val="0"/>
        </w:rPr>
        <w:t xml:space="preserve">unanticipated insights</w:t>
      </w:r>
      <w:r w:rsidDel="00000000" w:rsidR="00000000" w:rsidRPr="00000000">
        <w:rPr>
          <w:sz w:val="22"/>
          <w:szCs w:val="22"/>
          <w:rtl w:val="0"/>
        </w:rPr>
        <w:t xml:space="preserve">” (Braun and Clarke 2006 p.36, King 2004). In addition, Thematic Analysis allows the researcher to take a “</w:t>
      </w:r>
      <w:r w:rsidDel="00000000" w:rsidR="00000000" w:rsidRPr="00000000">
        <w:rPr>
          <w:i w:val="1"/>
          <w:sz w:val="22"/>
          <w:szCs w:val="22"/>
          <w:rtl w:val="0"/>
        </w:rPr>
        <w:t xml:space="preserve">well-structured approach to handling data</w:t>
      </w:r>
      <w:r w:rsidDel="00000000" w:rsidR="00000000" w:rsidRPr="00000000">
        <w:rPr>
          <w:sz w:val="22"/>
          <w:szCs w:val="22"/>
          <w:rtl w:val="0"/>
        </w:rPr>
        <w:t xml:space="preserve">”, enabling the researcher to produce a clear and accurate final report (King, 2004). </w:t>
      </w:r>
    </w:p>
    <w:p w:rsidR="00000000" w:rsidDel="00000000" w:rsidP="00000000" w:rsidRDefault="00000000" w:rsidRPr="00000000" w14:paraId="00000698">
      <w:pPr>
        <w:spacing w:line="480" w:lineRule="auto"/>
        <w:jc w:val="both"/>
        <w:rPr>
          <w:sz w:val="22"/>
          <w:szCs w:val="22"/>
        </w:rPr>
      </w:pPr>
      <w:r w:rsidDel="00000000" w:rsidR="00000000" w:rsidRPr="00000000">
        <w:rPr>
          <w:rtl w:val="0"/>
        </w:rPr>
      </w:r>
    </w:p>
    <w:p w:rsidR="00000000" w:rsidDel="00000000" w:rsidP="00000000" w:rsidRDefault="00000000" w:rsidRPr="00000000" w14:paraId="00000699">
      <w:pPr>
        <w:spacing w:line="480" w:lineRule="auto"/>
        <w:jc w:val="both"/>
        <w:rPr>
          <w:sz w:val="22"/>
          <w:szCs w:val="22"/>
        </w:rPr>
      </w:pPr>
      <w:r w:rsidDel="00000000" w:rsidR="00000000" w:rsidRPr="00000000">
        <w:rPr>
          <w:sz w:val="22"/>
          <w:szCs w:val="22"/>
          <w:rtl w:val="0"/>
        </w:rPr>
        <w:t xml:space="preserve">Thematic Analysis is now used across a multitude of disciplines, which often includes a focus on health and wellbeing (Braun and Clarke 2014, p.1). Thematic Analysis is useful to analyse data that is collected in research that is outside of academia, for example policy and practice into areas of healthcare. This approach is therefore appropriate, considering one of the aims of this study is to inform wider policy and practice through investigating the patient and healthcare practitioner’s experiences of the healthcare system pertaining to prescription drug dependence. </w:t>
      </w:r>
    </w:p>
    <w:p w:rsidR="00000000" w:rsidDel="00000000" w:rsidP="00000000" w:rsidRDefault="00000000" w:rsidRPr="00000000" w14:paraId="0000069A">
      <w:pPr>
        <w:spacing w:line="480" w:lineRule="auto"/>
        <w:jc w:val="both"/>
        <w:rPr>
          <w:sz w:val="22"/>
          <w:szCs w:val="22"/>
        </w:rPr>
      </w:pPr>
      <w:r w:rsidDel="00000000" w:rsidR="00000000" w:rsidRPr="00000000">
        <w:rPr>
          <w:rtl w:val="0"/>
        </w:rPr>
      </w:r>
    </w:p>
    <w:p w:rsidR="00000000" w:rsidDel="00000000" w:rsidP="00000000" w:rsidRDefault="00000000" w:rsidRPr="00000000" w14:paraId="0000069B">
      <w:pPr>
        <w:pStyle w:val="Heading3"/>
        <w:spacing w:line="480" w:lineRule="auto"/>
        <w:rPr/>
      </w:pPr>
      <w:bookmarkStart w:colFirst="0" w:colLast="0" w:name="_heading=h.1jlao46" w:id="71"/>
      <w:bookmarkEnd w:id="71"/>
      <w:r w:rsidDel="00000000" w:rsidR="00000000" w:rsidRPr="00000000">
        <w:rPr>
          <w:rtl w:val="0"/>
        </w:rPr>
        <w:t xml:space="preserve">Quality and Trustworthiness</w:t>
      </w:r>
    </w:p>
    <w:p w:rsidR="00000000" w:rsidDel="00000000" w:rsidP="00000000" w:rsidRDefault="00000000" w:rsidRPr="00000000" w14:paraId="0000069C">
      <w:pPr>
        <w:spacing w:line="480" w:lineRule="auto"/>
        <w:jc w:val="both"/>
        <w:rPr>
          <w:sz w:val="22"/>
          <w:szCs w:val="22"/>
        </w:rPr>
      </w:pPr>
      <w:r w:rsidDel="00000000" w:rsidR="00000000" w:rsidRPr="00000000">
        <w:rPr>
          <w:sz w:val="22"/>
          <w:szCs w:val="22"/>
          <w:rtl w:val="0"/>
        </w:rPr>
        <w:t xml:space="preserve">Historically, qualitative research within health sciences has been perceived to lack scientific rigour and can pose poor methodological justifications (Noble and Smith, 2015). There is an association between qualitative research and a lack of transparency, and a biased approach due to researcher bias (Rolfe 2006, Sandelowski 1993). Lincoln and Guba (1985) offer an alternative approach to demonstrate rigour within qualitative work, assessing the validity and generalisability of the research. This includes the following: </w:t>
      </w:r>
    </w:p>
    <w:p w:rsidR="00000000" w:rsidDel="00000000" w:rsidP="00000000" w:rsidRDefault="00000000" w:rsidRPr="00000000" w14:paraId="0000069D">
      <w:pPr>
        <w:spacing w:line="480" w:lineRule="auto"/>
        <w:ind w:left="709" w:firstLine="0"/>
        <w:jc w:val="both"/>
        <w:rPr>
          <w:sz w:val="22"/>
          <w:szCs w:val="22"/>
        </w:rPr>
      </w:pPr>
      <w:r w:rsidDel="00000000" w:rsidR="00000000" w:rsidRPr="00000000">
        <w:rPr>
          <w:rtl w:val="0"/>
        </w:rPr>
      </w:r>
    </w:p>
    <w:p w:rsidR="00000000" w:rsidDel="00000000" w:rsidP="00000000" w:rsidRDefault="00000000" w:rsidRPr="00000000" w14:paraId="0000069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Credibility</w:t>
      </w:r>
    </w:p>
    <w:p w:rsidR="00000000" w:rsidDel="00000000" w:rsidP="00000000" w:rsidRDefault="00000000" w:rsidRPr="00000000" w14:paraId="0000069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Transferability </w:t>
      </w:r>
    </w:p>
    <w:p w:rsidR="00000000" w:rsidDel="00000000" w:rsidP="00000000" w:rsidRDefault="00000000" w:rsidRPr="00000000" w14:paraId="000006A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Dependability</w:t>
      </w:r>
    </w:p>
    <w:p w:rsidR="00000000" w:rsidDel="00000000" w:rsidP="00000000" w:rsidRDefault="00000000" w:rsidRPr="00000000" w14:paraId="000006A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Confirmability</w:t>
      </w:r>
    </w:p>
    <w:p w:rsidR="00000000" w:rsidDel="00000000" w:rsidP="00000000" w:rsidRDefault="00000000" w:rsidRPr="00000000" w14:paraId="000006A2">
      <w:pPr>
        <w:spacing w:line="480" w:lineRule="auto"/>
        <w:jc w:val="both"/>
        <w:rPr>
          <w:sz w:val="22"/>
          <w:szCs w:val="22"/>
        </w:rPr>
      </w:pPr>
      <w:r w:rsidDel="00000000" w:rsidR="00000000" w:rsidRPr="00000000">
        <w:rPr>
          <w:sz w:val="22"/>
          <w:szCs w:val="22"/>
          <w:rtl w:val="0"/>
        </w:rPr>
        <w:t xml:space="preserve">Firstly, credibility of the data explores how accurately the findings reflect the data. Credibility addresses the “</w:t>
      </w:r>
      <w:r w:rsidDel="00000000" w:rsidR="00000000" w:rsidRPr="00000000">
        <w:rPr>
          <w:i w:val="1"/>
          <w:sz w:val="22"/>
          <w:szCs w:val="22"/>
          <w:rtl w:val="0"/>
        </w:rPr>
        <w:t xml:space="preserve">fit</w:t>
      </w:r>
      <w:r w:rsidDel="00000000" w:rsidR="00000000" w:rsidRPr="00000000">
        <w:rPr>
          <w:sz w:val="22"/>
          <w:szCs w:val="22"/>
          <w:rtl w:val="0"/>
        </w:rPr>
        <w:t xml:space="preserve">” between views and the researcher’s representation of them (Tobin and Begley, 2004). Due to the nature of Lincoln and Guba’s understanding of credibility, the concept that multiple truths exist. This lends itself to the constructionist epistemology, and it is imperative that the interpretation of the data is representative of the participant’s experience. </w:t>
      </w:r>
    </w:p>
    <w:p w:rsidR="00000000" w:rsidDel="00000000" w:rsidP="00000000" w:rsidRDefault="00000000" w:rsidRPr="00000000" w14:paraId="000006A3">
      <w:pPr>
        <w:spacing w:line="480" w:lineRule="auto"/>
        <w:jc w:val="both"/>
        <w:rPr>
          <w:sz w:val="22"/>
          <w:szCs w:val="22"/>
        </w:rPr>
      </w:pPr>
      <w:r w:rsidDel="00000000" w:rsidR="00000000" w:rsidRPr="00000000">
        <w:rPr>
          <w:rtl w:val="0"/>
        </w:rPr>
      </w:r>
    </w:p>
    <w:p w:rsidR="00000000" w:rsidDel="00000000" w:rsidP="00000000" w:rsidRDefault="00000000" w:rsidRPr="00000000" w14:paraId="000006A4">
      <w:pPr>
        <w:spacing w:line="480" w:lineRule="auto"/>
        <w:jc w:val="both"/>
        <w:rPr>
          <w:sz w:val="22"/>
          <w:szCs w:val="22"/>
        </w:rPr>
      </w:pPr>
      <w:r w:rsidDel="00000000" w:rsidR="00000000" w:rsidRPr="00000000">
        <w:rPr>
          <w:sz w:val="22"/>
          <w:szCs w:val="22"/>
          <w:rtl w:val="0"/>
        </w:rPr>
        <w:t xml:space="preserve">Credibility can be established by employing numerous techniques, such as prolonged engagement, persistent observation, data triangulation and researcher triangulation and peer debriefing (Lincoln and Guba 1985). The use of semi-structured interviews allowed the researcher to act flexibly to explore concepts further and to clarify points made. Researcher triangulation was evident, as my supervisors checked my audio files, transcriptions, and analysis on an ongoing basis. This was particularly pertinent when establishing whether the individual who was suspected to be an “</w:t>
      </w:r>
      <w:r w:rsidDel="00000000" w:rsidR="00000000" w:rsidRPr="00000000">
        <w:rPr>
          <w:i w:val="1"/>
          <w:sz w:val="22"/>
          <w:szCs w:val="22"/>
          <w:rtl w:val="0"/>
        </w:rPr>
        <w:t xml:space="preserve">imposter participant</w:t>
      </w:r>
      <w:r w:rsidDel="00000000" w:rsidR="00000000" w:rsidRPr="00000000">
        <w:rPr>
          <w:sz w:val="22"/>
          <w:szCs w:val="22"/>
          <w:rtl w:val="0"/>
        </w:rPr>
        <w:t xml:space="preserve">” which will be explored in the “</w:t>
      </w:r>
      <w:hyperlink w:anchor="_heading=h.2iq8gzs">
        <w:r w:rsidDel="00000000" w:rsidR="00000000" w:rsidRPr="00000000">
          <w:rPr>
            <w:i w:val="1"/>
            <w:color w:val="467886"/>
            <w:sz w:val="22"/>
            <w:szCs w:val="22"/>
            <w:u w:val="single"/>
            <w:rtl w:val="0"/>
          </w:rPr>
          <w:t xml:space="preserve">Challenges in Recruitment</w:t>
        </w:r>
      </w:hyperlink>
      <w:r w:rsidDel="00000000" w:rsidR="00000000" w:rsidRPr="00000000">
        <w:rPr>
          <w:i w:val="1"/>
          <w:color w:val="467886"/>
          <w:sz w:val="22"/>
          <w:szCs w:val="22"/>
          <w:u w:val="single"/>
          <w:rtl w:val="0"/>
        </w:rPr>
        <w:t xml:space="preserve"> and Data Collection</w:t>
      </w:r>
      <w:r w:rsidDel="00000000" w:rsidR="00000000" w:rsidRPr="00000000">
        <w:rPr>
          <w:sz w:val="22"/>
          <w:szCs w:val="22"/>
          <w:rtl w:val="0"/>
        </w:rPr>
        <w:t xml:space="preserve">” section (p. 115). would be included in the analysis. When the data analysis was complete, the codes were reviewed by my supervision team and discussed (Holloway and Jefferson 2000). </w:t>
      </w:r>
    </w:p>
    <w:p w:rsidR="00000000" w:rsidDel="00000000" w:rsidP="00000000" w:rsidRDefault="00000000" w:rsidRPr="00000000" w14:paraId="000006A5">
      <w:pPr>
        <w:spacing w:line="480" w:lineRule="auto"/>
        <w:jc w:val="both"/>
        <w:rPr>
          <w:sz w:val="22"/>
          <w:szCs w:val="22"/>
        </w:rPr>
      </w:pPr>
      <w:r w:rsidDel="00000000" w:rsidR="00000000" w:rsidRPr="00000000">
        <w:rPr>
          <w:rtl w:val="0"/>
        </w:rPr>
      </w:r>
    </w:p>
    <w:p w:rsidR="00000000" w:rsidDel="00000000" w:rsidP="00000000" w:rsidRDefault="00000000" w:rsidRPr="00000000" w14:paraId="000006A6">
      <w:pPr>
        <w:spacing w:line="480" w:lineRule="auto"/>
        <w:jc w:val="both"/>
        <w:rPr>
          <w:sz w:val="22"/>
          <w:szCs w:val="22"/>
        </w:rPr>
      </w:pPr>
      <w:r w:rsidDel="00000000" w:rsidR="00000000" w:rsidRPr="00000000">
        <w:rPr>
          <w:sz w:val="22"/>
          <w:szCs w:val="22"/>
          <w:rtl w:val="0"/>
        </w:rPr>
        <w:t xml:space="preserve">Transferability refers to the likelihood of these findings being applicable to other populations and other “</w:t>
      </w:r>
      <w:r w:rsidDel="00000000" w:rsidR="00000000" w:rsidRPr="00000000">
        <w:rPr>
          <w:i w:val="1"/>
          <w:sz w:val="22"/>
          <w:szCs w:val="22"/>
          <w:rtl w:val="0"/>
        </w:rPr>
        <w:t xml:space="preserve">settings and contexts</w:t>
      </w:r>
      <w:r w:rsidDel="00000000" w:rsidR="00000000" w:rsidRPr="00000000">
        <w:rPr>
          <w:sz w:val="22"/>
          <w:szCs w:val="22"/>
          <w:rtl w:val="0"/>
        </w:rPr>
        <w:t xml:space="preserve">” (Lincoln and Guba 1985, Noble and Smith 2015). The experiences of participants are unique, as the medication they are prescribed, and their experiences of treatment are dependent on several factors. There may, however, be similarities in their experiences. </w:t>
      </w:r>
    </w:p>
    <w:p w:rsidR="00000000" w:rsidDel="00000000" w:rsidP="00000000" w:rsidRDefault="00000000" w:rsidRPr="00000000" w14:paraId="000006A7">
      <w:pPr>
        <w:spacing w:line="480" w:lineRule="auto"/>
        <w:jc w:val="both"/>
        <w:rPr>
          <w:sz w:val="22"/>
          <w:szCs w:val="22"/>
        </w:rPr>
      </w:pPr>
      <w:r w:rsidDel="00000000" w:rsidR="00000000" w:rsidRPr="00000000">
        <w:rPr>
          <w:rtl w:val="0"/>
        </w:rPr>
      </w:r>
    </w:p>
    <w:p w:rsidR="00000000" w:rsidDel="00000000" w:rsidP="00000000" w:rsidRDefault="00000000" w:rsidRPr="00000000" w14:paraId="000006A8">
      <w:pPr>
        <w:spacing w:line="480" w:lineRule="auto"/>
        <w:jc w:val="both"/>
        <w:rPr>
          <w:sz w:val="22"/>
          <w:szCs w:val="22"/>
        </w:rPr>
      </w:pPr>
      <w:r w:rsidDel="00000000" w:rsidR="00000000" w:rsidRPr="00000000">
        <w:rPr>
          <w:sz w:val="22"/>
          <w:szCs w:val="22"/>
          <w:rtl w:val="0"/>
        </w:rPr>
        <w:t xml:space="preserve">Due to the Interpretivist Constructionist epistemology, the active involvement of the researcher means it may be difficult for the researcher to not influence the data. It is imperative that although the researcher may have differing opinions to the findings, transparency is key in producing accurate and dependable research (Holloway and Jefferson, 2000). The research process has been recorded transparently and clearly from the outline to the development of the research tools, and the reporting of findings. My supervisory team have been used as auditors to ensure that procedures were maintained, per Lincoln and Guba’s (1985) suggestion.</w:t>
      </w:r>
    </w:p>
    <w:p w:rsidR="00000000" w:rsidDel="00000000" w:rsidP="00000000" w:rsidRDefault="00000000" w:rsidRPr="00000000" w14:paraId="000006A9">
      <w:pPr>
        <w:spacing w:line="480" w:lineRule="auto"/>
        <w:jc w:val="both"/>
        <w:rPr>
          <w:sz w:val="22"/>
          <w:szCs w:val="22"/>
        </w:rPr>
      </w:pPr>
      <w:r w:rsidDel="00000000" w:rsidR="00000000" w:rsidRPr="00000000">
        <w:rPr>
          <w:rtl w:val="0"/>
        </w:rPr>
      </w:r>
    </w:p>
    <w:p w:rsidR="00000000" w:rsidDel="00000000" w:rsidP="00000000" w:rsidRDefault="00000000" w:rsidRPr="00000000" w14:paraId="000006AA">
      <w:pPr>
        <w:spacing w:line="480" w:lineRule="auto"/>
        <w:jc w:val="both"/>
        <w:rPr>
          <w:sz w:val="22"/>
          <w:szCs w:val="22"/>
        </w:rPr>
      </w:pPr>
      <w:r w:rsidDel="00000000" w:rsidR="00000000" w:rsidRPr="00000000">
        <w:rPr>
          <w:sz w:val="22"/>
          <w:szCs w:val="22"/>
          <w:rtl w:val="0"/>
        </w:rPr>
        <w:t xml:space="preserve">As a result of the interpretivist nature of qualitative methodologies, it can be difficult to establish reliability, as the influence of both the researcher and the participant cannot be ignored. Therefore, an audit trail can be presented to evidence the decisions and choices made, and rationale for, regarding the theoretical and methodological issues throughout the study (Koch, 1994). An example of this is the exclusion of both interviews with the “</w:t>
      </w:r>
      <w:r w:rsidDel="00000000" w:rsidR="00000000" w:rsidRPr="00000000">
        <w:rPr>
          <w:i w:val="1"/>
          <w:sz w:val="22"/>
          <w:szCs w:val="22"/>
          <w:rtl w:val="0"/>
        </w:rPr>
        <w:t xml:space="preserve">imposter participant</w:t>
      </w:r>
      <w:r w:rsidDel="00000000" w:rsidR="00000000" w:rsidRPr="00000000">
        <w:rPr>
          <w:sz w:val="22"/>
          <w:szCs w:val="22"/>
          <w:rtl w:val="0"/>
        </w:rPr>
        <w:t xml:space="preserve">”. Although the decision to exclude the first interview the “</w:t>
      </w:r>
      <w:r w:rsidDel="00000000" w:rsidR="00000000" w:rsidRPr="00000000">
        <w:rPr>
          <w:i w:val="1"/>
          <w:sz w:val="22"/>
          <w:szCs w:val="22"/>
          <w:rtl w:val="0"/>
        </w:rPr>
        <w:t xml:space="preserve">imposter participant</w:t>
      </w:r>
      <w:r w:rsidDel="00000000" w:rsidR="00000000" w:rsidRPr="00000000">
        <w:rPr>
          <w:sz w:val="22"/>
          <w:szCs w:val="22"/>
          <w:rtl w:val="0"/>
        </w:rPr>
        <w:t xml:space="preserve">” was my own, based on the “</w:t>
      </w:r>
      <w:r w:rsidDel="00000000" w:rsidR="00000000" w:rsidRPr="00000000">
        <w:rPr>
          <w:i w:val="1"/>
          <w:sz w:val="22"/>
          <w:szCs w:val="22"/>
          <w:rtl w:val="0"/>
        </w:rPr>
        <w:t xml:space="preserve">cynic</w:t>
      </w:r>
      <w:r w:rsidDel="00000000" w:rsidR="00000000" w:rsidRPr="00000000">
        <w:rPr>
          <w:sz w:val="22"/>
          <w:szCs w:val="22"/>
          <w:rtl w:val="0"/>
        </w:rPr>
        <w:t xml:space="preserve">” approach to “</w:t>
      </w:r>
      <w:r w:rsidDel="00000000" w:rsidR="00000000" w:rsidRPr="00000000">
        <w:rPr>
          <w:i w:val="1"/>
          <w:sz w:val="22"/>
          <w:szCs w:val="22"/>
          <w:rtl w:val="0"/>
        </w:rPr>
        <w:t xml:space="preserve">imposter participant</w:t>
      </w:r>
      <w:r w:rsidDel="00000000" w:rsidR="00000000" w:rsidRPr="00000000">
        <w:rPr>
          <w:sz w:val="22"/>
          <w:szCs w:val="22"/>
          <w:rtl w:val="0"/>
        </w:rPr>
        <w:t xml:space="preserve">” management (Lawlor et al, 2021), this may not be the approach other researchers adopt. The decision-making process was outlined and a justification for this approach was presented. </w:t>
      </w:r>
    </w:p>
    <w:p w:rsidR="00000000" w:rsidDel="00000000" w:rsidP="00000000" w:rsidRDefault="00000000" w:rsidRPr="00000000" w14:paraId="000006AB">
      <w:pPr>
        <w:spacing w:line="480" w:lineRule="auto"/>
        <w:jc w:val="both"/>
        <w:rPr>
          <w:sz w:val="22"/>
          <w:szCs w:val="22"/>
        </w:rPr>
      </w:pPr>
      <w:r w:rsidDel="00000000" w:rsidR="00000000" w:rsidRPr="00000000">
        <w:rPr>
          <w:rtl w:val="0"/>
        </w:rPr>
      </w:r>
    </w:p>
    <w:p w:rsidR="00000000" w:rsidDel="00000000" w:rsidP="00000000" w:rsidRDefault="00000000" w:rsidRPr="00000000" w14:paraId="000006AC">
      <w:pPr>
        <w:pStyle w:val="Heading2"/>
        <w:numPr>
          <w:ilvl w:val="1"/>
          <w:numId w:val="28"/>
        </w:numPr>
        <w:spacing w:line="480" w:lineRule="auto"/>
        <w:ind w:left="720" w:hanging="720"/>
        <w:rPr/>
      </w:pPr>
      <w:bookmarkStart w:colFirst="0" w:colLast="0" w:name="_heading=h.43ky6rz" w:id="72"/>
      <w:bookmarkEnd w:id="72"/>
      <w:r w:rsidDel="00000000" w:rsidR="00000000" w:rsidRPr="00000000">
        <w:rPr>
          <w:rtl w:val="0"/>
        </w:rPr>
        <w:t xml:space="preserve">Challenges in Recruitment and Data Collection</w:t>
      </w:r>
    </w:p>
    <w:p w:rsidR="00000000" w:rsidDel="00000000" w:rsidP="00000000" w:rsidRDefault="00000000" w:rsidRPr="00000000" w14:paraId="000006AD">
      <w:pPr>
        <w:spacing w:line="480" w:lineRule="auto"/>
        <w:jc w:val="both"/>
        <w:rPr>
          <w:sz w:val="22"/>
          <w:szCs w:val="22"/>
        </w:rPr>
      </w:pPr>
      <w:r w:rsidDel="00000000" w:rsidR="00000000" w:rsidRPr="00000000">
        <w:rPr>
          <w:sz w:val="22"/>
          <w:szCs w:val="22"/>
          <w:rtl w:val="0"/>
        </w:rPr>
        <w:t xml:space="preserve">There were several issues identified during recruitment and data collection. These include the limitations posed by the COVID-19 pandemic, bureaucratic issues, and the accessibility of video conferencing software. These will be discussed in turn, below. </w:t>
      </w:r>
    </w:p>
    <w:p w:rsidR="00000000" w:rsidDel="00000000" w:rsidP="00000000" w:rsidRDefault="00000000" w:rsidRPr="00000000" w14:paraId="000006AE">
      <w:pPr>
        <w:spacing w:line="480" w:lineRule="auto"/>
        <w:jc w:val="both"/>
        <w:rPr>
          <w:sz w:val="22"/>
          <w:szCs w:val="22"/>
        </w:rPr>
      </w:pPr>
      <w:r w:rsidDel="00000000" w:rsidR="00000000" w:rsidRPr="00000000">
        <w:rPr>
          <w:rtl w:val="0"/>
        </w:rPr>
      </w:r>
    </w:p>
    <w:p w:rsidR="00000000" w:rsidDel="00000000" w:rsidP="00000000" w:rsidRDefault="00000000" w:rsidRPr="00000000" w14:paraId="000006AF">
      <w:pPr>
        <w:pStyle w:val="Heading3"/>
        <w:spacing w:line="480" w:lineRule="auto"/>
        <w:rPr/>
      </w:pPr>
      <w:bookmarkStart w:colFirst="0" w:colLast="0" w:name="_heading=h.2iq8gzs" w:id="73"/>
      <w:bookmarkEnd w:id="73"/>
      <w:r w:rsidDel="00000000" w:rsidR="00000000" w:rsidRPr="00000000">
        <w:rPr>
          <w:rtl w:val="0"/>
        </w:rPr>
        <w:t xml:space="preserve">Challenges in Recruitment</w:t>
      </w:r>
    </w:p>
    <w:p w:rsidR="00000000" w:rsidDel="00000000" w:rsidP="00000000" w:rsidRDefault="00000000" w:rsidRPr="00000000" w14:paraId="000006B0">
      <w:pPr>
        <w:spacing w:line="480" w:lineRule="auto"/>
        <w:jc w:val="both"/>
        <w:rPr>
          <w:sz w:val="22"/>
          <w:szCs w:val="22"/>
        </w:rPr>
      </w:pPr>
      <w:r w:rsidDel="00000000" w:rsidR="00000000" w:rsidRPr="00000000">
        <w:rPr>
          <w:sz w:val="22"/>
          <w:szCs w:val="22"/>
          <w:rtl w:val="0"/>
        </w:rPr>
        <w:t xml:space="preserve">Overall, the COVID-19 Pandemic had significant consequences for sampling for this PhD. Initially, posters would be placed in healthcare service waiting rooms and receptions or invited to participate via their practitioner. Due to the COVID-19 pandemic, many of these services became remote, with patients having their appointments over the phone or via video conferencing software. Therefore, there was a decrease in the number of patients physically accessing services that would see the advertisement. Subsequently, less patients who would either volunteer, or be identified, to participate. To mitigate this, the use of the University of Sheffield’s staff and student circular to aid recruitment was authorised by the University of Sheffield’s University Research Ethics Committee. This involved distributing a website containing the participant information sheet, consent forms and researcher contact information. </w:t>
      </w:r>
    </w:p>
    <w:p w:rsidR="00000000" w:rsidDel="00000000" w:rsidP="00000000" w:rsidRDefault="00000000" w:rsidRPr="00000000" w14:paraId="000006B1">
      <w:pPr>
        <w:spacing w:line="480" w:lineRule="auto"/>
        <w:jc w:val="both"/>
        <w:rPr>
          <w:sz w:val="22"/>
          <w:szCs w:val="22"/>
        </w:rPr>
      </w:pPr>
      <w:r w:rsidDel="00000000" w:rsidR="00000000" w:rsidRPr="00000000">
        <w:rPr>
          <w:rtl w:val="0"/>
        </w:rPr>
      </w:r>
    </w:p>
    <w:p w:rsidR="00000000" w:rsidDel="00000000" w:rsidP="00000000" w:rsidRDefault="00000000" w:rsidRPr="00000000" w14:paraId="000006B2">
      <w:pPr>
        <w:spacing w:line="480" w:lineRule="auto"/>
        <w:jc w:val="both"/>
        <w:rPr>
          <w:sz w:val="22"/>
          <w:szCs w:val="22"/>
        </w:rPr>
      </w:pPr>
      <w:r w:rsidDel="00000000" w:rsidR="00000000" w:rsidRPr="00000000">
        <w:rPr>
          <w:sz w:val="22"/>
          <w:szCs w:val="22"/>
          <w:rtl w:val="0"/>
        </w:rPr>
        <w:t xml:space="preserve">Initially, this research included the experiences of healthcare practitioners, such as GPs and allied healthcare professionals. However, perhaps due to these challenges, no healthcare practitioners participated. Therefore, the only perspectives of healthcare practitioners noted were from the existing literature (e.g., Hagermeier et al 2013, Jebra et al 2017, Coombes and Cooper 2018, Mokhar et al 2019, Dekker et al 2020, Read et al 2020, McCabe et al 2020, Wilson et al 2022). Furthermore, it was considered unethical to approach healthcare workers during a pandemic to both advertise and participate in a study. </w:t>
      </w:r>
    </w:p>
    <w:p w:rsidR="00000000" w:rsidDel="00000000" w:rsidP="00000000" w:rsidRDefault="00000000" w:rsidRPr="00000000" w14:paraId="000006B3">
      <w:pPr>
        <w:spacing w:line="480" w:lineRule="auto"/>
        <w:jc w:val="both"/>
        <w:rPr>
          <w:sz w:val="22"/>
          <w:szCs w:val="22"/>
        </w:rPr>
      </w:pPr>
      <w:r w:rsidDel="00000000" w:rsidR="00000000" w:rsidRPr="00000000">
        <w:rPr>
          <w:rtl w:val="0"/>
        </w:rPr>
      </w:r>
    </w:p>
    <w:p w:rsidR="00000000" w:rsidDel="00000000" w:rsidP="00000000" w:rsidRDefault="00000000" w:rsidRPr="00000000" w14:paraId="000006B4">
      <w:pPr>
        <w:spacing w:line="480" w:lineRule="auto"/>
        <w:jc w:val="both"/>
        <w:rPr>
          <w:sz w:val="22"/>
          <w:szCs w:val="22"/>
        </w:rPr>
      </w:pPr>
      <w:r w:rsidDel="00000000" w:rsidR="00000000" w:rsidRPr="00000000">
        <w:rPr>
          <w:sz w:val="22"/>
          <w:szCs w:val="22"/>
          <w:rtl w:val="0"/>
        </w:rPr>
        <w:t xml:space="preserve">Away from the challenges caused by the COVID-19 pandemic, systemic and bureaucratic issues proved a challenge when sampling. Many GP surgeries and clinics were unable to advertise in their practices due to not having approval from the local NHS trust head office and Research and Evidence department.  This would have meant an amendment to the Health Research Authority, and this was not feasible within the timeline by the time this barrier was identified. </w:t>
      </w:r>
    </w:p>
    <w:p w:rsidR="00000000" w:rsidDel="00000000" w:rsidP="00000000" w:rsidRDefault="00000000" w:rsidRPr="00000000" w14:paraId="000006B5">
      <w:pPr>
        <w:spacing w:line="480" w:lineRule="auto"/>
        <w:jc w:val="both"/>
        <w:rPr>
          <w:sz w:val="22"/>
          <w:szCs w:val="22"/>
        </w:rPr>
      </w:pPr>
      <w:r w:rsidDel="00000000" w:rsidR="00000000" w:rsidRPr="00000000">
        <w:rPr>
          <w:rtl w:val="0"/>
        </w:rPr>
      </w:r>
    </w:p>
    <w:p w:rsidR="00000000" w:rsidDel="00000000" w:rsidP="00000000" w:rsidRDefault="00000000" w:rsidRPr="00000000" w14:paraId="000006B6">
      <w:pPr>
        <w:spacing w:line="480" w:lineRule="auto"/>
        <w:jc w:val="both"/>
        <w:rPr>
          <w:sz w:val="22"/>
          <w:szCs w:val="22"/>
        </w:rPr>
      </w:pPr>
      <w:r w:rsidDel="00000000" w:rsidR="00000000" w:rsidRPr="00000000">
        <w:rPr>
          <w:sz w:val="22"/>
          <w:szCs w:val="22"/>
          <w:rtl w:val="0"/>
        </w:rPr>
        <w:t xml:space="preserve">When approaching services such as pharmacies to participate, six pharmacies did not wish to advertise within their service due to the contentious nature of the research question. Site managers were concerned that this research would be critiquing both their colleagues and their own practices, therefore did not wish to participate. One pharmacy did not wish to participate due to a high number of patients who identify as Muslim, whereby mental health and substance use are both traditionally taboo topics (Institute for Muslim Mental Health 2022, Feshir 2019), and did not wish to risk patients feeling uncomfortable in what should be a safe space. Another pharmacy did not wish to participate as they felt the topic was inappropriate to advertise in a space where children are able to access. </w:t>
      </w:r>
    </w:p>
    <w:p w:rsidR="00000000" w:rsidDel="00000000" w:rsidP="00000000" w:rsidRDefault="00000000" w:rsidRPr="00000000" w14:paraId="000006B7">
      <w:pPr>
        <w:spacing w:line="480" w:lineRule="auto"/>
        <w:jc w:val="both"/>
        <w:rPr>
          <w:sz w:val="22"/>
          <w:szCs w:val="22"/>
        </w:rPr>
      </w:pPr>
      <w:r w:rsidDel="00000000" w:rsidR="00000000" w:rsidRPr="00000000">
        <w:rPr>
          <w:rtl w:val="0"/>
        </w:rPr>
      </w:r>
    </w:p>
    <w:p w:rsidR="00000000" w:rsidDel="00000000" w:rsidP="00000000" w:rsidRDefault="00000000" w:rsidRPr="00000000" w14:paraId="000006B8">
      <w:pPr>
        <w:spacing w:line="480" w:lineRule="auto"/>
        <w:jc w:val="both"/>
        <w:rPr>
          <w:sz w:val="22"/>
          <w:szCs w:val="22"/>
        </w:rPr>
      </w:pPr>
      <w:r w:rsidDel="00000000" w:rsidR="00000000" w:rsidRPr="00000000">
        <w:rPr>
          <w:sz w:val="22"/>
          <w:szCs w:val="22"/>
          <w:rtl w:val="0"/>
        </w:rPr>
        <w:t xml:space="preserve">Other pharmacies that were associated with larger healthcare organisations, such as Lloyds and Boots, were unable to participate as the advertisement of a study would require an application to their Public Relations or Head Offices and this was deemed too lengthy considering the time scale of this project.</w:t>
      </w:r>
    </w:p>
    <w:p w:rsidR="00000000" w:rsidDel="00000000" w:rsidP="00000000" w:rsidRDefault="00000000" w:rsidRPr="00000000" w14:paraId="000006B9">
      <w:pPr>
        <w:spacing w:line="480" w:lineRule="auto"/>
        <w:jc w:val="both"/>
        <w:rPr>
          <w:sz w:val="22"/>
          <w:szCs w:val="22"/>
        </w:rPr>
      </w:pPr>
      <w:r w:rsidDel="00000000" w:rsidR="00000000" w:rsidRPr="00000000">
        <w:rPr>
          <w:rtl w:val="0"/>
        </w:rPr>
      </w:r>
    </w:p>
    <w:p w:rsidR="00000000" w:rsidDel="00000000" w:rsidP="00000000" w:rsidRDefault="00000000" w:rsidRPr="00000000" w14:paraId="000006BA">
      <w:pPr>
        <w:pStyle w:val="Heading3"/>
        <w:spacing w:line="480" w:lineRule="auto"/>
        <w:rPr/>
      </w:pPr>
      <w:bookmarkStart w:colFirst="0" w:colLast="0" w:name="_heading=h.xvir7l" w:id="74"/>
      <w:bookmarkEnd w:id="74"/>
      <w:r w:rsidDel="00000000" w:rsidR="00000000" w:rsidRPr="00000000">
        <w:rPr>
          <w:rtl w:val="0"/>
        </w:rPr>
        <w:t xml:space="preserve">Challenges in Data Collection</w:t>
      </w:r>
    </w:p>
    <w:p w:rsidR="00000000" w:rsidDel="00000000" w:rsidP="00000000" w:rsidRDefault="00000000" w:rsidRPr="00000000" w14:paraId="000006BB">
      <w:pPr>
        <w:spacing w:line="480" w:lineRule="auto"/>
        <w:jc w:val="both"/>
        <w:rPr>
          <w:sz w:val="22"/>
          <w:szCs w:val="22"/>
        </w:rPr>
      </w:pPr>
      <w:r w:rsidDel="00000000" w:rsidR="00000000" w:rsidRPr="00000000">
        <w:rPr>
          <w:sz w:val="22"/>
          <w:szCs w:val="22"/>
          <w:rtl w:val="0"/>
        </w:rPr>
        <w:t xml:space="preserve">Naturally, the idea of video conferencing software was introduced very early on as the pandemic began to evolve and social restrictions were implemented. Patients were spending much of their time at home, potentially with their entire family, due to the COVID-19 pandemic and subsequent lockdowns. Furthermore, the “</w:t>
      </w:r>
      <w:r w:rsidDel="00000000" w:rsidR="00000000" w:rsidRPr="00000000">
        <w:rPr>
          <w:i w:val="1"/>
          <w:sz w:val="22"/>
          <w:szCs w:val="22"/>
          <w:rtl w:val="0"/>
        </w:rPr>
        <w:t xml:space="preserve">work from home</w:t>
      </w:r>
      <w:r w:rsidDel="00000000" w:rsidR="00000000" w:rsidRPr="00000000">
        <w:rPr>
          <w:sz w:val="22"/>
          <w:szCs w:val="22"/>
          <w:rtl w:val="0"/>
        </w:rPr>
        <w:t xml:space="preserve">” lifestyle continued long after these restrictions were lifted. Considering these factors, potential participants may not have wanted to participate due to the risk of others overhearing them speak about such a personal topic. </w:t>
      </w:r>
    </w:p>
    <w:p w:rsidR="00000000" w:rsidDel="00000000" w:rsidP="00000000" w:rsidRDefault="00000000" w:rsidRPr="00000000" w14:paraId="000006BC">
      <w:pPr>
        <w:spacing w:line="480" w:lineRule="auto"/>
        <w:jc w:val="both"/>
        <w:rPr>
          <w:sz w:val="22"/>
          <w:szCs w:val="22"/>
        </w:rPr>
      </w:pPr>
      <w:r w:rsidDel="00000000" w:rsidR="00000000" w:rsidRPr="00000000">
        <w:rPr>
          <w:rtl w:val="0"/>
        </w:rPr>
      </w:r>
    </w:p>
    <w:p w:rsidR="00000000" w:rsidDel="00000000" w:rsidP="00000000" w:rsidRDefault="00000000" w:rsidRPr="00000000" w14:paraId="000006BD">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Using GoogleMeet had its own challenges, such as accessibility. Some participants may not have access to the internet, or a device that can support video conferencing software, as outlined by Labinjo et al (2021, p.3). This proved a difficulty in one interview, whereby the participant’s internet connection was poor at times, and the interview was interrupted and had to be resumed upon reconnection. Furthermore, due to the remote nature of the interviews, non-verbal cues may have been missed. Non-verbal cues, such as eye contact, gestures, and restlessness. These non-verbal cues are imperative when observing somebody’s behaviour (Marcinowicz et al 2010, p.85), and can prove an important tool in identifying discomfort and an opportunity to check in. Building a rapport with participants was difficult, as the interpersonal interactions one would experience when in the same room as one another was not present. </w:t>
      </w:r>
    </w:p>
    <w:p w:rsidR="00000000" w:rsidDel="00000000" w:rsidP="00000000" w:rsidRDefault="00000000" w:rsidRPr="00000000" w14:paraId="000006BE">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6BF">
      <w:pPr>
        <w:pStyle w:val="Heading4"/>
        <w:spacing w:line="480" w:lineRule="auto"/>
        <w:rPr>
          <w:sz w:val="28"/>
          <w:szCs w:val="28"/>
        </w:rPr>
      </w:pPr>
      <w:r w:rsidDel="00000000" w:rsidR="00000000" w:rsidRPr="00000000">
        <w:rPr>
          <w:rtl w:val="0"/>
        </w:rPr>
        <w:t xml:space="preserve">Unusual Circumstances</w:t>
      </w:r>
      <w:r w:rsidDel="00000000" w:rsidR="00000000" w:rsidRPr="00000000">
        <w:rPr>
          <w:rtl w:val="0"/>
        </w:rPr>
      </w:r>
    </w:p>
    <w:p w:rsidR="00000000" w:rsidDel="00000000" w:rsidP="00000000" w:rsidRDefault="00000000" w:rsidRPr="00000000" w14:paraId="000006C0">
      <w:pPr>
        <w:spacing w:line="480" w:lineRule="auto"/>
        <w:jc w:val="both"/>
        <w:rPr>
          <w:sz w:val="22"/>
          <w:szCs w:val="22"/>
        </w:rPr>
      </w:pPr>
      <w:r w:rsidDel="00000000" w:rsidR="00000000" w:rsidRPr="00000000">
        <w:rPr>
          <w:sz w:val="22"/>
          <w:szCs w:val="22"/>
          <w:rtl w:val="0"/>
        </w:rPr>
        <w:t xml:space="preserve">The COVID-19 pandemic had a significant impact in the way qualitative research was undertaken as it interrupted in-person research (Martino et al 2024). Regulations such as social distancing accelerated the shift to online video conferencing platforms, such as GoogleMeet and Zoom to continue collecting data (Martino et al, 2024). Per Roehl and Harland (2022), both researchers and institutions had little time to adjust to the “</w:t>
      </w:r>
      <w:r w:rsidDel="00000000" w:rsidR="00000000" w:rsidRPr="00000000">
        <w:rPr>
          <w:i w:val="1"/>
          <w:sz w:val="22"/>
          <w:szCs w:val="22"/>
          <w:rtl w:val="0"/>
        </w:rPr>
        <w:t xml:space="preserve">uniqueness of online-based research approaches</w:t>
      </w:r>
      <w:r w:rsidDel="00000000" w:rsidR="00000000" w:rsidRPr="00000000">
        <w:rPr>
          <w:sz w:val="22"/>
          <w:szCs w:val="22"/>
          <w:rtl w:val="0"/>
        </w:rPr>
        <w:t xml:space="preserve">”. Increased use of online studies in qualitative research led to the rise in people falsifying their eligibility for participation (Ridge et al 2023, Roehl and Harland 2022). </w:t>
      </w:r>
    </w:p>
    <w:p w:rsidR="00000000" w:rsidDel="00000000" w:rsidP="00000000" w:rsidRDefault="00000000" w:rsidRPr="00000000" w14:paraId="000006C1">
      <w:pPr>
        <w:spacing w:line="480" w:lineRule="auto"/>
        <w:jc w:val="both"/>
        <w:rPr>
          <w:sz w:val="22"/>
          <w:szCs w:val="22"/>
        </w:rPr>
      </w:pPr>
      <w:r w:rsidDel="00000000" w:rsidR="00000000" w:rsidRPr="00000000">
        <w:rPr>
          <w:rtl w:val="0"/>
        </w:rPr>
      </w:r>
    </w:p>
    <w:p w:rsidR="00000000" w:rsidDel="00000000" w:rsidP="00000000" w:rsidRDefault="00000000" w:rsidRPr="00000000" w14:paraId="000006C2">
      <w:pPr>
        <w:spacing w:line="480" w:lineRule="auto"/>
        <w:jc w:val="both"/>
        <w:rPr>
          <w:sz w:val="22"/>
          <w:szCs w:val="22"/>
        </w:rPr>
      </w:pPr>
      <w:r w:rsidDel="00000000" w:rsidR="00000000" w:rsidRPr="00000000">
        <w:rPr>
          <w:sz w:val="22"/>
          <w:szCs w:val="22"/>
          <w:rtl w:val="0"/>
        </w:rPr>
        <w:t xml:space="preserve">When collecting my data, the main challenge I experienced was the suspected “</w:t>
      </w:r>
      <w:r w:rsidDel="00000000" w:rsidR="00000000" w:rsidRPr="00000000">
        <w:rPr>
          <w:i w:val="1"/>
          <w:sz w:val="22"/>
          <w:szCs w:val="22"/>
          <w:rtl w:val="0"/>
        </w:rPr>
        <w:t xml:space="preserve">imposter participant</w:t>
      </w:r>
      <w:r w:rsidDel="00000000" w:rsidR="00000000" w:rsidRPr="00000000">
        <w:rPr>
          <w:sz w:val="22"/>
          <w:szCs w:val="22"/>
          <w:rtl w:val="0"/>
        </w:rPr>
        <w:t xml:space="preserve">”, whereby there was a suspicion that the same individual participated twice. “</w:t>
      </w:r>
      <w:r w:rsidDel="00000000" w:rsidR="00000000" w:rsidRPr="00000000">
        <w:rPr>
          <w:i w:val="1"/>
          <w:sz w:val="22"/>
          <w:szCs w:val="22"/>
          <w:rtl w:val="0"/>
        </w:rPr>
        <w:t xml:space="preserve">Imposter Participants</w:t>
      </w:r>
      <w:r w:rsidDel="00000000" w:rsidR="00000000" w:rsidRPr="00000000">
        <w:rPr>
          <w:sz w:val="22"/>
          <w:szCs w:val="22"/>
          <w:rtl w:val="0"/>
        </w:rPr>
        <w:t xml:space="preserve">” are defined as:</w:t>
      </w:r>
    </w:p>
    <w:p w:rsidR="00000000" w:rsidDel="00000000" w:rsidP="00000000" w:rsidRDefault="00000000" w:rsidRPr="00000000" w14:paraId="000006C3">
      <w:pPr>
        <w:spacing w:line="480" w:lineRule="auto"/>
        <w:jc w:val="both"/>
        <w:rPr>
          <w:sz w:val="22"/>
          <w:szCs w:val="22"/>
        </w:rPr>
      </w:pPr>
      <w:r w:rsidDel="00000000" w:rsidR="00000000" w:rsidRPr="00000000">
        <w:rPr>
          <w:rtl w:val="0"/>
        </w:rPr>
      </w:r>
    </w:p>
    <w:p w:rsidR="00000000" w:rsidDel="00000000" w:rsidP="00000000" w:rsidRDefault="00000000" w:rsidRPr="00000000" w14:paraId="000006C4">
      <w:pPr>
        <w:spacing w:line="480" w:lineRule="auto"/>
        <w:ind w:left="709" w:firstLine="0"/>
        <w:jc w:val="both"/>
        <w:rPr>
          <w:sz w:val="22"/>
          <w:szCs w:val="22"/>
        </w:rPr>
      </w:pPr>
      <w:r w:rsidDel="00000000" w:rsidR="00000000" w:rsidRPr="00000000">
        <w:rPr>
          <w:sz w:val="22"/>
          <w:szCs w:val="22"/>
          <w:rtl w:val="0"/>
        </w:rPr>
        <w:t xml:space="preserve"> “</w:t>
      </w:r>
      <w:r w:rsidDel="00000000" w:rsidR="00000000" w:rsidRPr="00000000">
        <w:rPr>
          <w:i w:val="1"/>
          <w:sz w:val="22"/>
          <w:szCs w:val="22"/>
          <w:rtl w:val="0"/>
        </w:rPr>
        <w:t xml:space="preserve">Dishonest participants who completely fake their identifies or simply exaggerate their experiences in order to participate in qualitative studies.</w:t>
      </w:r>
      <w:r w:rsidDel="00000000" w:rsidR="00000000" w:rsidRPr="00000000">
        <w:rPr>
          <w:sz w:val="22"/>
          <w:szCs w:val="22"/>
          <w:rtl w:val="0"/>
        </w:rPr>
        <w:t xml:space="preserve">”</w:t>
      </w:r>
    </w:p>
    <w:p w:rsidR="00000000" w:rsidDel="00000000" w:rsidP="00000000" w:rsidRDefault="00000000" w:rsidRPr="00000000" w14:paraId="000006C5">
      <w:pPr>
        <w:spacing w:line="480" w:lineRule="auto"/>
        <w:jc w:val="right"/>
        <w:rPr>
          <w:sz w:val="22"/>
          <w:szCs w:val="22"/>
        </w:rPr>
      </w:pPr>
      <w:r w:rsidDel="00000000" w:rsidR="00000000" w:rsidRPr="00000000">
        <w:rPr>
          <w:sz w:val="22"/>
          <w:szCs w:val="22"/>
          <w:rtl w:val="0"/>
        </w:rPr>
        <w:t xml:space="preserve">(Roehl and Harland 2022, p. 2499)</w:t>
      </w:r>
    </w:p>
    <w:p w:rsidR="00000000" w:rsidDel="00000000" w:rsidP="00000000" w:rsidRDefault="00000000" w:rsidRPr="00000000" w14:paraId="000006C6">
      <w:pPr>
        <w:spacing w:line="480" w:lineRule="auto"/>
        <w:jc w:val="right"/>
        <w:rPr>
          <w:sz w:val="22"/>
          <w:szCs w:val="22"/>
        </w:rPr>
      </w:pPr>
      <w:r w:rsidDel="00000000" w:rsidR="00000000" w:rsidRPr="00000000">
        <w:rPr>
          <w:rtl w:val="0"/>
        </w:rPr>
      </w:r>
    </w:p>
    <w:p w:rsidR="00000000" w:rsidDel="00000000" w:rsidP="00000000" w:rsidRDefault="00000000" w:rsidRPr="00000000" w14:paraId="000006C7">
      <w:pPr>
        <w:spacing w:line="480" w:lineRule="auto"/>
        <w:jc w:val="both"/>
        <w:rPr>
          <w:sz w:val="22"/>
          <w:szCs w:val="22"/>
        </w:rPr>
      </w:pPr>
      <w:r w:rsidDel="00000000" w:rsidR="00000000" w:rsidRPr="00000000">
        <w:rPr>
          <w:sz w:val="22"/>
          <w:szCs w:val="22"/>
          <w:rtl w:val="0"/>
        </w:rPr>
        <w:t xml:space="preserve">Although not a novel issue in quantitative works, whereby people respond to questionnaires multiple times, “</w:t>
      </w:r>
      <w:r w:rsidDel="00000000" w:rsidR="00000000" w:rsidRPr="00000000">
        <w:rPr>
          <w:i w:val="1"/>
          <w:sz w:val="22"/>
          <w:szCs w:val="22"/>
          <w:rtl w:val="0"/>
        </w:rPr>
        <w:t xml:space="preserve">imposter participants</w:t>
      </w:r>
      <w:r w:rsidDel="00000000" w:rsidR="00000000" w:rsidRPr="00000000">
        <w:rPr>
          <w:sz w:val="22"/>
          <w:szCs w:val="22"/>
          <w:rtl w:val="0"/>
        </w:rPr>
        <w:t xml:space="preserve">” have become an emerging problem in qualitative research (Hydock 2018, Ridge et al 2023). This was particularly evident in the context of COVID-19 and the movement towards online research methods (Saarijarvi and Bratt 2021, Ridge et al 2023).  Ridge et al (2023) composed a list of indications of “</w:t>
      </w:r>
      <w:r w:rsidDel="00000000" w:rsidR="00000000" w:rsidRPr="00000000">
        <w:rPr>
          <w:i w:val="1"/>
          <w:sz w:val="22"/>
          <w:szCs w:val="22"/>
          <w:rtl w:val="0"/>
        </w:rPr>
        <w:t xml:space="preserve">imposter participants</w:t>
      </w:r>
      <w:r w:rsidDel="00000000" w:rsidR="00000000" w:rsidRPr="00000000">
        <w:rPr>
          <w:sz w:val="22"/>
          <w:szCs w:val="22"/>
          <w:rtl w:val="0"/>
        </w:rPr>
        <w:t xml:space="preserve">”, including incorrect citations of study sites, similar email configurations, or extremely short time frame between the advertisement being posted and their response. However, the three indications that were present in this research were:</w:t>
      </w:r>
    </w:p>
    <w:p w:rsidR="00000000" w:rsidDel="00000000" w:rsidP="00000000" w:rsidRDefault="00000000" w:rsidRPr="00000000" w14:paraId="000006C8">
      <w:pPr>
        <w:spacing w:line="480" w:lineRule="auto"/>
        <w:jc w:val="both"/>
        <w:rPr>
          <w:sz w:val="22"/>
          <w:szCs w:val="22"/>
        </w:rPr>
      </w:pPr>
      <w:r w:rsidDel="00000000" w:rsidR="00000000" w:rsidRPr="00000000">
        <w:rPr>
          <w:rtl w:val="0"/>
        </w:rPr>
      </w:r>
    </w:p>
    <w:p w:rsidR="00000000" w:rsidDel="00000000" w:rsidP="00000000" w:rsidRDefault="00000000" w:rsidRPr="00000000" w14:paraId="000006C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480" w:lineRule="auto"/>
        <w:ind w:left="142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matches between participants voices, stories and limitations in accounts of the health condition under investigation, as well as similar sociodemographic profiles.”</w:t>
      </w:r>
    </w:p>
    <w:p w:rsidR="00000000" w:rsidDel="00000000" w:rsidP="00000000" w:rsidRDefault="00000000" w:rsidRPr="00000000" w14:paraId="000006C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480" w:lineRule="auto"/>
        <w:ind w:left="142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“Concerns about timing and methods of payment were a priority for the participant.” </w:t>
      </w:r>
    </w:p>
    <w:p w:rsidR="00000000" w:rsidDel="00000000" w:rsidP="00000000" w:rsidRDefault="00000000" w:rsidRPr="00000000" w14:paraId="000006C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480" w:lineRule="auto"/>
        <w:ind w:left="1429" w:right="0" w:hanging="360"/>
        <w:jc w:val="both"/>
        <w:rPr>
          <w:rFonts w:ascii="Aptos" w:cs="Aptos" w:eastAsia="Aptos" w:hAnsi="Aptos"/>
          <w:b w:val="0"/>
          <w:i w:val="1"/>
          <w:smallCaps w:val="0"/>
          <w:strike w:val="0"/>
          <w:color w:val="000000"/>
          <w:sz w:val="22"/>
          <w:szCs w:val="22"/>
          <w:u w:val="none"/>
          <w:shd w:fill="auto" w:val="clear"/>
          <w:vertAlign w:val="baseline"/>
        </w:rPr>
      </w:pP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“Interview questions elicited vague answers, and participants seemed distracted or otherwise occupied during interviews.”</w:t>
      </w:r>
    </w:p>
    <w:p w:rsidR="00000000" w:rsidDel="00000000" w:rsidP="00000000" w:rsidRDefault="00000000" w:rsidRPr="00000000" w14:paraId="000006CC">
      <w:pPr>
        <w:spacing w:line="480" w:lineRule="auto"/>
        <w:ind w:left="709" w:firstLine="0"/>
        <w:jc w:val="right"/>
        <w:rPr>
          <w:sz w:val="22"/>
          <w:szCs w:val="22"/>
        </w:rPr>
      </w:pPr>
      <w:r w:rsidDel="00000000" w:rsidR="00000000" w:rsidRPr="00000000">
        <w:rPr>
          <w:sz w:val="22"/>
          <w:szCs w:val="22"/>
          <w:rtl w:val="0"/>
        </w:rPr>
        <w:t xml:space="preserve">(Ridge et al 2023, p.941)</w:t>
      </w:r>
    </w:p>
    <w:p w:rsidR="00000000" w:rsidDel="00000000" w:rsidP="00000000" w:rsidRDefault="00000000" w:rsidRPr="00000000" w14:paraId="000006CD">
      <w:pPr>
        <w:spacing w:line="480" w:lineRule="auto"/>
        <w:ind w:left="709" w:firstLine="0"/>
        <w:jc w:val="right"/>
        <w:rPr>
          <w:i w:val="1"/>
          <w:sz w:val="22"/>
          <w:szCs w:val="22"/>
        </w:rPr>
      </w:pPr>
      <w:r w:rsidDel="00000000" w:rsidR="00000000" w:rsidRPr="00000000">
        <w:rPr>
          <w:rtl w:val="0"/>
        </w:rPr>
      </w:r>
    </w:p>
    <w:p w:rsidR="00000000" w:rsidDel="00000000" w:rsidP="00000000" w:rsidRDefault="00000000" w:rsidRPr="00000000" w14:paraId="000006CE">
      <w:pPr>
        <w:spacing w:line="480" w:lineRule="auto"/>
        <w:jc w:val="both"/>
        <w:rPr>
          <w:sz w:val="22"/>
          <w:szCs w:val="22"/>
        </w:rPr>
      </w:pPr>
      <w:r w:rsidDel="00000000" w:rsidR="00000000" w:rsidRPr="00000000">
        <w:rPr>
          <w:sz w:val="22"/>
          <w:szCs w:val="22"/>
          <w:rtl w:val="0"/>
        </w:rPr>
        <w:t xml:space="preserve">When emailing the participant, I grew suspicious as the language used in both email chains were very similar, using phrases that are not particularly common, and the medication they wished to discuss was the same. I gave this individual the benefit of the doubt and interviewed the second participant. When the video call began, however, my suspicions were confirmed. I asked if they had already completed the interview, and the participant said they had not. The individual, in both interviews, asked if there were any other studies they could participate in. The content of the questions were extremely similar, and vague in detail. Both interviews were very short, with these interviews lasting 19 minutes and 28 seconds, and 9 minutes 43 seconds. Immediately after the second interview, I contacted my supervisors for advice and reflected upon this in supervisory meetings. </w:t>
      </w:r>
    </w:p>
    <w:p w:rsidR="00000000" w:rsidDel="00000000" w:rsidP="00000000" w:rsidRDefault="00000000" w:rsidRPr="00000000" w14:paraId="000006CF">
      <w:pPr>
        <w:spacing w:line="480" w:lineRule="auto"/>
        <w:jc w:val="both"/>
        <w:rPr>
          <w:sz w:val="22"/>
          <w:szCs w:val="22"/>
        </w:rPr>
      </w:pPr>
      <w:r w:rsidDel="00000000" w:rsidR="00000000" w:rsidRPr="00000000">
        <w:rPr>
          <w:rtl w:val="0"/>
        </w:rPr>
      </w:r>
    </w:p>
    <w:p w:rsidR="00000000" w:rsidDel="00000000" w:rsidP="00000000" w:rsidRDefault="00000000" w:rsidRPr="00000000" w14:paraId="000006D0">
      <w:pPr>
        <w:spacing w:line="480" w:lineRule="auto"/>
        <w:jc w:val="both"/>
        <w:rPr>
          <w:sz w:val="22"/>
          <w:szCs w:val="22"/>
        </w:rPr>
      </w:pPr>
      <w:r w:rsidDel="00000000" w:rsidR="00000000" w:rsidRPr="00000000">
        <w:rPr>
          <w:sz w:val="22"/>
          <w:szCs w:val="22"/>
          <w:rtl w:val="0"/>
        </w:rPr>
        <w:t xml:space="preserve">Roehl and Harland (2022) noted another PhD student experienced an induvial participate in their study four times. They noted several similarities between the video call and the data set, for example a crying baby in the interview. When they reflected on their data, they formulated differing responses and approaches to use when faced with this challenge. There are three approaches researchers may utilise where they question their data:</w:t>
      </w:r>
    </w:p>
    <w:p w:rsidR="00000000" w:rsidDel="00000000" w:rsidP="00000000" w:rsidRDefault="00000000" w:rsidRPr="00000000" w14:paraId="000006D1">
      <w:pPr>
        <w:spacing w:line="480" w:lineRule="auto"/>
        <w:jc w:val="both"/>
        <w:rPr>
          <w:sz w:val="22"/>
          <w:szCs w:val="22"/>
        </w:rPr>
      </w:pPr>
      <w:r w:rsidDel="00000000" w:rsidR="00000000" w:rsidRPr="00000000">
        <w:rPr>
          <w:rtl w:val="0"/>
        </w:rPr>
      </w:r>
    </w:p>
    <w:p w:rsidR="00000000" w:rsidDel="00000000" w:rsidP="00000000" w:rsidRDefault="00000000" w:rsidRPr="00000000" w14:paraId="000006D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Cynic</w:t>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whereby the researcher assumes all data is fabricated and the entire transcript is excluded.</w:t>
      </w:r>
    </w:p>
    <w:p w:rsidR="00000000" w:rsidDel="00000000" w:rsidP="00000000" w:rsidRDefault="00000000" w:rsidRPr="00000000" w14:paraId="000006D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Sceptic</w:t>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where the researcher assumes only part of the data is fabricated and these parts of the transcript are excluded.</w:t>
      </w:r>
    </w:p>
    <w:p w:rsidR="00000000" w:rsidDel="00000000" w:rsidP="00000000" w:rsidRDefault="00000000" w:rsidRPr="00000000" w14:paraId="000006D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Seeker</w:t>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where the researcher assumes the participant is ‘self-selected’ and therefore their story should be heard, and all data is included in analysis. </w:t>
      </w:r>
    </w:p>
    <w:p w:rsidR="00000000" w:rsidDel="00000000" w:rsidP="00000000" w:rsidRDefault="00000000" w:rsidRPr="00000000" w14:paraId="000006D5">
      <w:pPr>
        <w:spacing w:line="480" w:lineRule="auto"/>
        <w:jc w:val="right"/>
        <w:rPr>
          <w:sz w:val="22"/>
          <w:szCs w:val="22"/>
        </w:rPr>
      </w:pPr>
      <w:r w:rsidDel="00000000" w:rsidR="00000000" w:rsidRPr="00000000">
        <w:rPr>
          <w:sz w:val="22"/>
          <w:szCs w:val="22"/>
          <w:rtl w:val="0"/>
        </w:rPr>
        <w:t xml:space="preserve">(Flicker 2004, Roehl and Harland 2022 p. 2473)</w:t>
      </w:r>
    </w:p>
    <w:p w:rsidR="00000000" w:rsidDel="00000000" w:rsidP="00000000" w:rsidRDefault="00000000" w:rsidRPr="00000000" w14:paraId="000006D6">
      <w:pPr>
        <w:spacing w:line="480" w:lineRule="auto"/>
        <w:jc w:val="right"/>
        <w:rPr>
          <w:i w:val="1"/>
          <w:sz w:val="22"/>
          <w:szCs w:val="22"/>
        </w:rPr>
      </w:pPr>
      <w:r w:rsidDel="00000000" w:rsidR="00000000" w:rsidRPr="00000000">
        <w:rPr>
          <w:rtl w:val="0"/>
        </w:rPr>
      </w:r>
    </w:p>
    <w:p w:rsidR="00000000" w:rsidDel="00000000" w:rsidP="00000000" w:rsidRDefault="00000000" w:rsidRPr="00000000" w14:paraId="000006D7">
      <w:pPr>
        <w:spacing w:line="480" w:lineRule="auto"/>
        <w:jc w:val="both"/>
        <w:rPr>
          <w:sz w:val="22"/>
          <w:szCs w:val="22"/>
        </w:rPr>
      </w:pPr>
      <w:r w:rsidDel="00000000" w:rsidR="00000000" w:rsidRPr="00000000">
        <w:rPr>
          <w:sz w:val="22"/>
          <w:szCs w:val="22"/>
          <w:rtl w:val="0"/>
        </w:rPr>
        <w:t xml:space="preserve">I chose to approach these “</w:t>
      </w:r>
      <w:r w:rsidDel="00000000" w:rsidR="00000000" w:rsidRPr="00000000">
        <w:rPr>
          <w:i w:val="1"/>
          <w:sz w:val="22"/>
          <w:szCs w:val="22"/>
          <w:rtl w:val="0"/>
        </w:rPr>
        <w:t xml:space="preserve">imposter participants</w:t>
      </w:r>
      <w:r w:rsidDel="00000000" w:rsidR="00000000" w:rsidRPr="00000000">
        <w:rPr>
          <w:sz w:val="22"/>
          <w:szCs w:val="22"/>
          <w:rtl w:val="0"/>
        </w:rPr>
        <w:t xml:space="preserve">” in the “</w:t>
      </w:r>
      <w:r w:rsidDel="00000000" w:rsidR="00000000" w:rsidRPr="00000000">
        <w:rPr>
          <w:i w:val="1"/>
          <w:sz w:val="22"/>
          <w:szCs w:val="22"/>
          <w:rtl w:val="0"/>
        </w:rPr>
        <w:t xml:space="preserve">cynic</w:t>
      </w:r>
      <w:r w:rsidDel="00000000" w:rsidR="00000000" w:rsidRPr="00000000">
        <w:rPr>
          <w:sz w:val="22"/>
          <w:szCs w:val="22"/>
          <w:rtl w:val="0"/>
        </w:rPr>
        <w:t xml:space="preserve">” viewpoint and promptly removed the “</w:t>
      </w:r>
      <w:r w:rsidDel="00000000" w:rsidR="00000000" w:rsidRPr="00000000">
        <w:rPr>
          <w:i w:val="1"/>
          <w:sz w:val="22"/>
          <w:szCs w:val="22"/>
          <w:rtl w:val="0"/>
        </w:rPr>
        <w:t xml:space="preserve">imposter interviews</w:t>
      </w:r>
      <w:r w:rsidDel="00000000" w:rsidR="00000000" w:rsidRPr="00000000">
        <w:rPr>
          <w:sz w:val="22"/>
          <w:szCs w:val="22"/>
          <w:rtl w:val="0"/>
        </w:rPr>
        <w:t xml:space="preserve">” from my codebook and began a fresh one. Initially, I agreed with Lawlor et al’s critique of the “</w:t>
      </w:r>
      <w:r w:rsidDel="00000000" w:rsidR="00000000" w:rsidRPr="00000000">
        <w:rPr>
          <w:i w:val="1"/>
          <w:sz w:val="22"/>
          <w:szCs w:val="22"/>
          <w:rtl w:val="0"/>
        </w:rPr>
        <w:t xml:space="preserve">cynic approach</w:t>
      </w:r>
      <w:r w:rsidDel="00000000" w:rsidR="00000000" w:rsidRPr="00000000">
        <w:rPr>
          <w:sz w:val="22"/>
          <w:szCs w:val="22"/>
          <w:rtl w:val="0"/>
        </w:rPr>
        <w:t xml:space="preserve">” and intended to remove the second interview from my codebook (Lawlor et al, 2021). They argued the exclusion of an interview silences the individual who may have valid and authentic experiences that contribute to the research aims, despite the methodological issues posed by including fraudulent interviews (Lawlor et al, 2021). A participant cannot be considered an imposter simply due to the lack of detail provided in their answers, particularly in online interviews where rapport is difficult to build (Ridge et al, 2023).</w:t>
      </w:r>
    </w:p>
    <w:p w:rsidR="00000000" w:rsidDel="00000000" w:rsidP="00000000" w:rsidRDefault="00000000" w:rsidRPr="00000000" w14:paraId="000006D8">
      <w:pPr>
        <w:spacing w:line="480" w:lineRule="auto"/>
        <w:jc w:val="both"/>
        <w:rPr>
          <w:b w:val="1"/>
          <w:sz w:val="22"/>
          <w:szCs w:val="22"/>
        </w:rPr>
      </w:pPr>
      <w:r w:rsidDel="00000000" w:rsidR="00000000" w:rsidRPr="00000000">
        <w:rPr>
          <w:rtl w:val="0"/>
        </w:rPr>
      </w:r>
    </w:p>
    <w:p w:rsidR="00000000" w:rsidDel="00000000" w:rsidP="00000000" w:rsidRDefault="00000000" w:rsidRPr="00000000" w14:paraId="000006D9">
      <w:pPr>
        <w:spacing w:line="480" w:lineRule="auto"/>
        <w:jc w:val="both"/>
        <w:rPr>
          <w:sz w:val="22"/>
          <w:szCs w:val="22"/>
        </w:rPr>
      </w:pPr>
      <w:r w:rsidDel="00000000" w:rsidR="00000000" w:rsidRPr="00000000">
        <w:rPr>
          <w:sz w:val="22"/>
          <w:szCs w:val="22"/>
          <w:rtl w:val="0"/>
        </w:rPr>
        <w:t xml:space="preserve">However, upon reading the literature pertaining to “</w:t>
      </w:r>
      <w:r w:rsidDel="00000000" w:rsidR="00000000" w:rsidRPr="00000000">
        <w:rPr>
          <w:i w:val="1"/>
          <w:sz w:val="22"/>
          <w:szCs w:val="22"/>
          <w:rtl w:val="0"/>
        </w:rPr>
        <w:t xml:space="preserve">imposter participants</w:t>
      </w:r>
      <w:r w:rsidDel="00000000" w:rsidR="00000000" w:rsidRPr="00000000">
        <w:rPr>
          <w:sz w:val="22"/>
          <w:szCs w:val="22"/>
          <w:rtl w:val="0"/>
        </w:rPr>
        <w:t xml:space="preserve">”, I chose to utilise the “</w:t>
      </w:r>
      <w:r w:rsidDel="00000000" w:rsidR="00000000" w:rsidRPr="00000000">
        <w:rPr>
          <w:i w:val="1"/>
          <w:sz w:val="22"/>
          <w:szCs w:val="22"/>
          <w:rtl w:val="0"/>
        </w:rPr>
        <w:t xml:space="preserve">cynic</w:t>
      </w:r>
      <w:r w:rsidDel="00000000" w:rsidR="00000000" w:rsidRPr="00000000">
        <w:rPr>
          <w:sz w:val="22"/>
          <w:szCs w:val="22"/>
          <w:rtl w:val="0"/>
        </w:rPr>
        <w:t xml:space="preserve">” approach and decided to exclude both participants in my analysis. Following this, I chose to include an “</w:t>
      </w:r>
      <w:r w:rsidDel="00000000" w:rsidR="00000000" w:rsidRPr="00000000">
        <w:rPr>
          <w:i w:val="1"/>
          <w:sz w:val="22"/>
          <w:szCs w:val="22"/>
          <w:rtl w:val="0"/>
        </w:rPr>
        <w:t xml:space="preserve">Unusual Circumstances</w:t>
      </w:r>
      <w:r w:rsidDel="00000000" w:rsidR="00000000" w:rsidRPr="00000000">
        <w:rPr>
          <w:sz w:val="22"/>
          <w:szCs w:val="22"/>
          <w:rtl w:val="0"/>
        </w:rPr>
        <w:t xml:space="preserve">” section in my thesis, which is reflective of Flicker’s approach. It is important to have a process to determine potentially unreliable data due to “</w:t>
      </w:r>
      <w:r w:rsidDel="00000000" w:rsidR="00000000" w:rsidRPr="00000000">
        <w:rPr>
          <w:i w:val="1"/>
          <w:sz w:val="22"/>
          <w:szCs w:val="22"/>
          <w:rtl w:val="0"/>
        </w:rPr>
        <w:t xml:space="preserve">imposter participants</w:t>
      </w:r>
      <w:r w:rsidDel="00000000" w:rsidR="00000000" w:rsidRPr="00000000">
        <w:rPr>
          <w:sz w:val="22"/>
          <w:szCs w:val="22"/>
          <w:rtl w:val="0"/>
        </w:rPr>
        <w:t xml:space="preserve">” (Lawlor et al, 2021), as it was an unforeseen limitation of the primary data collection.</w:t>
      </w:r>
    </w:p>
    <w:p w:rsidR="00000000" w:rsidDel="00000000" w:rsidP="00000000" w:rsidRDefault="00000000" w:rsidRPr="00000000" w14:paraId="000006DA">
      <w:pPr>
        <w:spacing w:line="480" w:lineRule="auto"/>
        <w:jc w:val="both"/>
        <w:rPr>
          <w:sz w:val="22"/>
          <w:szCs w:val="22"/>
        </w:rPr>
      </w:pPr>
      <w:r w:rsidDel="00000000" w:rsidR="00000000" w:rsidRPr="00000000">
        <w:rPr>
          <w:rtl w:val="0"/>
        </w:rPr>
      </w:r>
    </w:p>
    <w:p w:rsidR="00000000" w:rsidDel="00000000" w:rsidP="00000000" w:rsidRDefault="00000000" w:rsidRPr="00000000" w14:paraId="000006DB">
      <w:pPr>
        <w:spacing w:line="480" w:lineRule="auto"/>
        <w:jc w:val="both"/>
        <w:rPr>
          <w:sz w:val="22"/>
          <w:szCs w:val="22"/>
        </w:rPr>
      </w:pPr>
      <w:r w:rsidDel="00000000" w:rsidR="00000000" w:rsidRPr="00000000">
        <w:rPr>
          <w:sz w:val="22"/>
          <w:szCs w:val="22"/>
          <w:rtl w:val="0"/>
        </w:rPr>
        <w:t xml:space="preserve">These “</w:t>
      </w:r>
      <w:r w:rsidDel="00000000" w:rsidR="00000000" w:rsidRPr="00000000">
        <w:rPr>
          <w:i w:val="1"/>
          <w:sz w:val="22"/>
          <w:szCs w:val="22"/>
          <w:rtl w:val="0"/>
        </w:rPr>
        <w:t xml:space="preserve">imposter participants</w:t>
      </w:r>
      <w:r w:rsidDel="00000000" w:rsidR="00000000" w:rsidRPr="00000000">
        <w:rPr>
          <w:sz w:val="22"/>
          <w:szCs w:val="22"/>
          <w:rtl w:val="0"/>
        </w:rPr>
        <w:t xml:space="preserve">” are considered a “</w:t>
      </w:r>
      <w:r w:rsidDel="00000000" w:rsidR="00000000" w:rsidRPr="00000000">
        <w:rPr>
          <w:i w:val="1"/>
          <w:sz w:val="22"/>
          <w:szCs w:val="22"/>
          <w:rtl w:val="0"/>
        </w:rPr>
        <w:t xml:space="preserve">small but nontrivial portion of participants</w:t>
      </w:r>
      <w:r w:rsidDel="00000000" w:rsidR="00000000" w:rsidRPr="00000000">
        <w:rPr>
          <w:sz w:val="22"/>
          <w:szCs w:val="22"/>
          <w:rtl w:val="0"/>
        </w:rPr>
        <w:t xml:space="preserve">” (Hydock, 2018), and their inclusion could have significant consequences for the validity of qualitative research findings. Considering this, I support Parker et al’s (2022) suggestion that collating factors indicating both “</w:t>
      </w:r>
      <w:r w:rsidDel="00000000" w:rsidR="00000000" w:rsidRPr="00000000">
        <w:rPr>
          <w:i w:val="1"/>
          <w:sz w:val="22"/>
          <w:szCs w:val="22"/>
          <w:rtl w:val="0"/>
        </w:rPr>
        <w:t xml:space="preserve">imposter participants</w:t>
      </w:r>
      <w:r w:rsidDel="00000000" w:rsidR="00000000" w:rsidRPr="00000000">
        <w:rPr>
          <w:sz w:val="22"/>
          <w:szCs w:val="22"/>
          <w:rtl w:val="0"/>
        </w:rPr>
        <w:t xml:space="preserve">” and fraudulent research would be a useful tool for researchers, peer reviewers and publishers (Parker et al, 2022).</w:t>
      </w:r>
    </w:p>
    <w:p w:rsidR="00000000" w:rsidDel="00000000" w:rsidP="00000000" w:rsidRDefault="00000000" w:rsidRPr="00000000" w14:paraId="000006DC">
      <w:pPr>
        <w:spacing w:line="480" w:lineRule="auto"/>
        <w:jc w:val="both"/>
        <w:rPr>
          <w:sz w:val="22"/>
          <w:szCs w:val="22"/>
        </w:rPr>
      </w:pPr>
      <w:r w:rsidDel="00000000" w:rsidR="00000000" w:rsidRPr="00000000">
        <w:rPr>
          <w:rtl w:val="0"/>
        </w:rPr>
      </w:r>
    </w:p>
    <w:p w:rsidR="00000000" w:rsidDel="00000000" w:rsidP="00000000" w:rsidRDefault="00000000" w:rsidRPr="00000000" w14:paraId="000006DD">
      <w:pPr>
        <w:pStyle w:val="Heading2"/>
        <w:numPr>
          <w:ilvl w:val="1"/>
          <w:numId w:val="28"/>
        </w:numPr>
        <w:spacing w:line="480" w:lineRule="auto"/>
        <w:ind w:left="720" w:hanging="720"/>
        <w:rPr/>
      </w:pPr>
      <w:bookmarkStart w:colFirst="0" w:colLast="0" w:name="_heading=h.3hv69ve" w:id="75"/>
      <w:bookmarkEnd w:id="75"/>
      <w:r w:rsidDel="00000000" w:rsidR="00000000" w:rsidRPr="00000000">
        <w:rPr>
          <w:rtl w:val="0"/>
        </w:rPr>
        <w:t xml:space="preserve">Reflexivity</w:t>
      </w:r>
    </w:p>
    <w:p w:rsidR="00000000" w:rsidDel="00000000" w:rsidP="00000000" w:rsidRDefault="00000000" w:rsidRPr="00000000" w14:paraId="000006DE">
      <w:pPr>
        <w:spacing w:line="480" w:lineRule="auto"/>
        <w:jc w:val="both"/>
        <w:rPr>
          <w:sz w:val="22"/>
          <w:szCs w:val="22"/>
        </w:rPr>
      </w:pPr>
      <w:r w:rsidDel="00000000" w:rsidR="00000000" w:rsidRPr="00000000">
        <w:rPr>
          <w:sz w:val="22"/>
          <w:szCs w:val="22"/>
          <w:rtl w:val="0"/>
        </w:rPr>
        <w:t xml:space="preserve">As previously mentioned, reflexivity is an important aspect of qualitative research (Lincoln and Guba 1985). Knowledge is generated through forming questions, listening and interpreting the responses. As qualitative data is considered subjective, it can be difficult to remove either the researcher or their view of the world. Reflexivity supports the construction of trustworthy knowledge, providing transparency between the researcher’s perspective and the research tools (Lincoln and Guba, 1985). </w:t>
      </w:r>
    </w:p>
    <w:p w:rsidR="00000000" w:rsidDel="00000000" w:rsidP="00000000" w:rsidRDefault="00000000" w:rsidRPr="00000000" w14:paraId="000006DF">
      <w:pPr>
        <w:spacing w:line="480" w:lineRule="auto"/>
        <w:jc w:val="both"/>
        <w:rPr>
          <w:sz w:val="22"/>
          <w:szCs w:val="22"/>
        </w:rPr>
      </w:pPr>
      <w:r w:rsidDel="00000000" w:rsidR="00000000" w:rsidRPr="00000000">
        <w:rPr>
          <w:rtl w:val="0"/>
        </w:rPr>
      </w:r>
    </w:p>
    <w:p w:rsidR="00000000" w:rsidDel="00000000" w:rsidP="00000000" w:rsidRDefault="00000000" w:rsidRPr="00000000" w14:paraId="000006E0">
      <w:pPr>
        <w:pStyle w:val="Heading3"/>
        <w:spacing w:line="480" w:lineRule="auto"/>
        <w:rPr/>
      </w:pPr>
      <w:bookmarkStart w:colFirst="0" w:colLast="0" w:name="_heading=h.1x0gk37" w:id="76"/>
      <w:bookmarkEnd w:id="76"/>
      <w:r w:rsidDel="00000000" w:rsidR="00000000" w:rsidRPr="00000000">
        <w:rPr>
          <w:rtl w:val="0"/>
        </w:rPr>
        <w:t xml:space="preserve">Personal Reflexivity and Positionality</w:t>
      </w:r>
    </w:p>
    <w:p w:rsidR="00000000" w:rsidDel="00000000" w:rsidP="00000000" w:rsidRDefault="00000000" w:rsidRPr="00000000" w14:paraId="000006E1">
      <w:pPr>
        <w:spacing w:line="480" w:lineRule="auto"/>
        <w:jc w:val="both"/>
        <w:rPr>
          <w:sz w:val="22"/>
          <w:szCs w:val="22"/>
        </w:rPr>
      </w:pPr>
      <w:r w:rsidDel="00000000" w:rsidR="00000000" w:rsidRPr="00000000">
        <w:rPr>
          <w:sz w:val="22"/>
          <w:szCs w:val="22"/>
          <w:rtl w:val="0"/>
        </w:rPr>
        <w:t xml:space="preserve">Personal reflexivity refers to the researcher’s reflections of their own emotions, motives and preconceptions, whilst functional reflexivity refers to researchers reflecting on their research practices and processes (Lincoln and Guba, 1985). Researchers have an agenda in seeking answers to their research question (Hamdan, 2009). This can stem from personal interest and histories, underlying their project (Hill and Dao 2021, p.522). Reflexivity is defined as “</w:t>
      </w:r>
      <w:r w:rsidDel="00000000" w:rsidR="00000000" w:rsidRPr="00000000">
        <w:rPr>
          <w:i w:val="1"/>
          <w:sz w:val="22"/>
          <w:szCs w:val="22"/>
          <w:rtl w:val="0"/>
        </w:rPr>
        <w:t xml:space="preserve">the process or faculty by which the mind observes and examines its own experiences and emotions, intelligent self-awareness, and introspection</w:t>
      </w:r>
      <w:r w:rsidDel="00000000" w:rsidR="00000000" w:rsidRPr="00000000">
        <w:rPr>
          <w:sz w:val="22"/>
          <w:szCs w:val="22"/>
          <w:rtl w:val="0"/>
        </w:rPr>
        <w:t xml:space="preserve">” (Sherry 2013, p.23). It can be a useful tool in research, since it aims to “</w:t>
      </w:r>
      <w:r w:rsidDel="00000000" w:rsidR="00000000" w:rsidRPr="00000000">
        <w:rPr>
          <w:i w:val="1"/>
          <w:sz w:val="22"/>
          <w:szCs w:val="22"/>
          <w:rtl w:val="0"/>
        </w:rPr>
        <w:t xml:space="preserve">include the researcher in what is being studied and being accountable for one’s action in this regard</w:t>
      </w:r>
      <w:r w:rsidDel="00000000" w:rsidR="00000000" w:rsidRPr="00000000">
        <w:rPr>
          <w:sz w:val="22"/>
          <w:szCs w:val="22"/>
          <w:rtl w:val="0"/>
        </w:rPr>
        <w:t xml:space="preserve">” (Frisby et al 2005, p.369). </w:t>
      </w:r>
    </w:p>
    <w:p w:rsidR="00000000" w:rsidDel="00000000" w:rsidP="00000000" w:rsidRDefault="00000000" w:rsidRPr="00000000" w14:paraId="000006E2">
      <w:pPr>
        <w:spacing w:line="480" w:lineRule="auto"/>
        <w:jc w:val="both"/>
        <w:rPr>
          <w:sz w:val="22"/>
          <w:szCs w:val="22"/>
        </w:rPr>
      </w:pPr>
      <w:r w:rsidDel="00000000" w:rsidR="00000000" w:rsidRPr="00000000">
        <w:rPr>
          <w:rtl w:val="0"/>
        </w:rPr>
      </w:r>
    </w:p>
    <w:p w:rsidR="00000000" w:rsidDel="00000000" w:rsidP="00000000" w:rsidRDefault="00000000" w:rsidRPr="00000000" w14:paraId="000006E3">
      <w:pPr>
        <w:spacing w:line="480" w:lineRule="auto"/>
        <w:jc w:val="both"/>
        <w:rPr>
          <w:sz w:val="22"/>
          <w:szCs w:val="22"/>
        </w:rPr>
      </w:pPr>
      <w:r w:rsidDel="00000000" w:rsidR="00000000" w:rsidRPr="00000000">
        <w:rPr>
          <w:sz w:val="22"/>
          <w:szCs w:val="22"/>
          <w:rtl w:val="0"/>
        </w:rPr>
        <w:t xml:space="preserve">I hold several positions within this research – researcher, healthcare professional, and patient. I have accessed mental health support previously, from primary care to community mental health services. I have been prescribed several psychiatric medicines, including antidepressants. This is often coined “</w:t>
      </w:r>
      <w:r w:rsidDel="00000000" w:rsidR="00000000" w:rsidRPr="00000000">
        <w:rPr>
          <w:i w:val="1"/>
          <w:sz w:val="22"/>
          <w:szCs w:val="22"/>
          <w:rtl w:val="0"/>
        </w:rPr>
        <w:t xml:space="preserve">insider status</w:t>
      </w:r>
      <w:r w:rsidDel="00000000" w:rsidR="00000000" w:rsidRPr="00000000">
        <w:rPr>
          <w:sz w:val="22"/>
          <w:szCs w:val="22"/>
          <w:rtl w:val="0"/>
        </w:rPr>
        <w:t xml:space="preserve">”, a position afforded to someone who “</w:t>
      </w:r>
      <w:r w:rsidDel="00000000" w:rsidR="00000000" w:rsidRPr="00000000">
        <w:rPr>
          <w:i w:val="1"/>
          <w:sz w:val="22"/>
          <w:szCs w:val="22"/>
          <w:rtl w:val="0"/>
        </w:rPr>
        <w:t xml:space="preserve">possessed a relatively substantial amount of knowledge of a community and its members</w:t>
      </w:r>
      <w:r w:rsidDel="00000000" w:rsidR="00000000" w:rsidRPr="00000000">
        <w:rPr>
          <w:sz w:val="22"/>
          <w:szCs w:val="22"/>
          <w:rtl w:val="0"/>
        </w:rPr>
        <w:t xml:space="preserve">” (Merton, 1972). Typically, “</w:t>
      </w:r>
      <w:r w:rsidDel="00000000" w:rsidR="00000000" w:rsidRPr="00000000">
        <w:rPr>
          <w:i w:val="1"/>
          <w:sz w:val="22"/>
          <w:szCs w:val="22"/>
          <w:rtl w:val="0"/>
        </w:rPr>
        <w:t xml:space="preserve">insider researchers</w:t>
      </w:r>
      <w:r w:rsidDel="00000000" w:rsidR="00000000" w:rsidRPr="00000000">
        <w:rPr>
          <w:sz w:val="22"/>
          <w:szCs w:val="22"/>
          <w:rtl w:val="0"/>
        </w:rPr>
        <w:t xml:space="preserve">” have previous knowledge of the study population and their social situation, whereas “</w:t>
      </w:r>
      <w:r w:rsidDel="00000000" w:rsidR="00000000" w:rsidRPr="00000000">
        <w:rPr>
          <w:i w:val="1"/>
          <w:sz w:val="22"/>
          <w:szCs w:val="22"/>
          <w:rtl w:val="0"/>
        </w:rPr>
        <w:t xml:space="preserve">outsiders</w:t>
      </w:r>
      <w:r w:rsidDel="00000000" w:rsidR="00000000" w:rsidRPr="00000000">
        <w:rPr>
          <w:sz w:val="22"/>
          <w:szCs w:val="22"/>
          <w:rtl w:val="0"/>
        </w:rPr>
        <w:t xml:space="preserve">” do not (Breen, 2007). It can be advantageous, since this can build rapport and access to spaces, yet can result in “</w:t>
      </w:r>
      <w:r w:rsidDel="00000000" w:rsidR="00000000" w:rsidRPr="00000000">
        <w:rPr>
          <w:i w:val="1"/>
          <w:sz w:val="22"/>
          <w:szCs w:val="22"/>
          <w:rtl w:val="0"/>
        </w:rPr>
        <w:t xml:space="preserve">hyper subjectivity</w:t>
      </w:r>
      <w:r w:rsidDel="00000000" w:rsidR="00000000" w:rsidRPr="00000000">
        <w:rPr>
          <w:sz w:val="22"/>
          <w:szCs w:val="22"/>
          <w:rtl w:val="0"/>
        </w:rPr>
        <w:t xml:space="preserve">” and risk of bias based on previous beliefs of a situation (Al-Malhamreh and Lewando-Hundt 2008, Cui 2015, Chavez 2008, Sherif 2001). This familiarity does not guarantee acceptance within the field, however, since this position is often accompanied by unclear boundaries between the shared experience and the researcher (Hill and Dao 2021, p.525). These boundaries between insider/outsider are not binary nor fixed, and insider researchers should “</w:t>
      </w:r>
      <w:r w:rsidDel="00000000" w:rsidR="00000000" w:rsidRPr="00000000">
        <w:rPr>
          <w:i w:val="1"/>
          <w:sz w:val="22"/>
          <w:szCs w:val="22"/>
          <w:rtl w:val="0"/>
        </w:rPr>
        <w:t xml:space="preserve">come to the space between</w:t>
      </w:r>
      <w:r w:rsidDel="00000000" w:rsidR="00000000" w:rsidRPr="00000000">
        <w:rPr>
          <w:sz w:val="22"/>
          <w:szCs w:val="22"/>
          <w:rtl w:val="0"/>
        </w:rPr>
        <w:t xml:space="preserve">” (Dwyer and Buckle, 2009).</w:t>
      </w:r>
    </w:p>
    <w:p w:rsidR="00000000" w:rsidDel="00000000" w:rsidP="00000000" w:rsidRDefault="00000000" w:rsidRPr="00000000" w14:paraId="000006E4">
      <w:pPr>
        <w:spacing w:line="480" w:lineRule="auto"/>
        <w:jc w:val="both"/>
        <w:rPr>
          <w:sz w:val="22"/>
          <w:szCs w:val="22"/>
        </w:rPr>
      </w:pPr>
      <w:r w:rsidDel="00000000" w:rsidR="00000000" w:rsidRPr="00000000">
        <w:rPr>
          <w:rtl w:val="0"/>
        </w:rPr>
      </w:r>
    </w:p>
    <w:p w:rsidR="00000000" w:rsidDel="00000000" w:rsidP="00000000" w:rsidRDefault="00000000" w:rsidRPr="00000000" w14:paraId="000006E5">
      <w:pPr>
        <w:spacing w:line="480" w:lineRule="auto"/>
        <w:jc w:val="both"/>
        <w:rPr>
          <w:sz w:val="22"/>
          <w:szCs w:val="22"/>
        </w:rPr>
      </w:pPr>
      <w:r w:rsidDel="00000000" w:rsidR="00000000" w:rsidRPr="00000000">
        <w:rPr>
          <w:sz w:val="22"/>
          <w:szCs w:val="22"/>
          <w:highlight w:val="white"/>
          <w:rtl w:val="0"/>
        </w:rPr>
        <w:t xml:space="preserve">When conducting this research, I chose not to disclose my own medication use or personal history with mental health services. </w:t>
      </w:r>
      <w:r w:rsidDel="00000000" w:rsidR="00000000" w:rsidRPr="00000000">
        <w:rPr>
          <w:sz w:val="22"/>
          <w:szCs w:val="22"/>
          <w:rtl w:val="0"/>
        </w:rPr>
        <w:t xml:space="preserve">Valentine (2005, p.113), however, emphasises the importance of self-reflection. Valentine (2005, p.113) further emphasises how “</w:t>
      </w:r>
      <w:r w:rsidDel="00000000" w:rsidR="00000000" w:rsidRPr="00000000">
        <w:rPr>
          <w:i w:val="1"/>
          <w:sz w:val="22"/>
          <w:szCs w:val="22"/>
          <w:rtl w:val="0"/>
        </w:rPr>
        <w:t xml:space="preserve">your own identity will shape the interactions you have with others</w:t>
      </w:r>
      <w:r w:rsidDel="00000000" w:rsidR="00000000" w:rsidRPr="00000000">
        <w:rPr>
          <w:sz w:val="22"/>
          <w:szCs w:val="22"/>
          <w:rtl w:val="0"/>
        </w:rPr>
        <w:t xml:space="preserve">”, and upon reflection, </w:t>
      </w:r>
      <w:r w:rsidDel="00000000" w:rsidR="00000000" w:rsidRPr="00000000">
        <w:rPr>
          <w:sz w:val="22"/>
          <w:szCs w:val="22"/>
          <w:highlight w:val="white"/>
          <w:rtl w:val="0"/>
        </w:rPr>
        <w:t xml:space="preserve">I feel this disclosure could have led participants to feel more at ease and perhaps elicit richer data. </w:t>
      </w:r>
      <w:r w:rsidDel="00000000" w:rsidR="00000000" w:rsidRPr="00000000">
        <w:rPr>
          <w:rtl w:val="0"/>
        </w:rPr>
      </w:r>
    </w:p>
    <w:p w:rsidR="00000000" w:rsidDel="00000000" w:rsidP="00000000" w:rsidRDefault="00000000" w:rsidRPr="00000000" w14:paraId="000006E6">
      <w:pPr>
        <w:spacing w:line="480" w:lineRule="auto"/>
        <w:jc w:val="both"/>
        <w:rPr>
          <w:sz w:val="22"/>
          <w:szCs w:val="22"/>
        </w:rPr>
      </w:pPr>
      <w:r w:rsidDel="00000000" w:rsidR="00000000" w:rsidRPr="00000000">
        <w:rPr>
          <w:sz w:val="22"/>
          <w:szCs w:val="22"/>
          <w:highlight w:val="white"/>
          <w:rtl w:val="0"/>
        </w:rPr>
        <w:t xml:space="preserve">I anticipated my experiences could reflect those of the participant, an insight that should be used with caution (Holloway and Jefferson, 2013). </w:t>
      </w:r>
      <w:r w:rsidDel="00000000" w:rsidR="00000000" w:rsidRPr="00000000">
        <w:rPr>
          <w:sz w:val="22"/>
          <w:szCs w:val="22"/>
          <w:rtl w:val="0"/>
        </w:rPr>
        <w:t xml:space="preserve">As will be explored within the findings of this research, however, I too identify with the “</w:t>
      </w:r>
      <w:r w:rsidDel="00000000" w:rsidR="00000000" w:rsidRPr="00000000">
        <w:rPr>
          <w:i w:val="1"/>
          <w:sz w:val="22"/>
          <w:szCs w:val="22"/>
          <w:rtl w:val="0"/>
        </w:rPr>
        <w:t xml:space="preserve">trial and error</w:t>
      </w:r>
      <w:r w:rsidDel="00000000" w:rsidR="00000000" w:rsidRPr="00000000">
        <w:rPr>
          <w:sz w:val="22"/>
          <w:szCs w:val="22"/>
          <w:rtl w:val="0"/>
        </w:rPr>
        <w:t xml:space="preserve">” approach described by participants. At the time, I was satisfied with the pharmaceutical approach and did not consider medicines problematic, considering their prescription only status and the legality of their use, again, echoing the wider literature. This considered, my perception of prescribed medicines shifted somewhat in 2016. I witnessed a peer experience a seizure in which we later learnt was associated with benzodiazepine abuse, specifically Xanax. Whilst this was an isolated incident, it sparked an interest in prescribed drug abuse, which led me to research the Opioid Crisis for my undergraduate and master’s dissertations.  This led to a critical evaluation of medication. </w:t>
      </w:r>
    </w:p>
    <w:p w:rsidR="00000000" w:rsidDel="00000000" w:rsidP="00000000" w:rsidRDefault="00000000" w:rsidRPr="00000000" w14:paraId="000006E7">
      <w:pPr>
        <w:spacing w:line="480" w:lineRule="auto"/>
        <w:jc w:val="both"/>
        <w:rPr>
          <w:sz w:val="22"/>
          <w:szCs w:val="22"/>
        </w:rPr>
      </w:pPr>
      <w:r w:rsidDel="00000000" w:rsidR="00000000" w:rsidRPr="00000000">
        <w:rPr>
          <w:rtl w:val="0"/>
        </w:rPr>
      </w:r>
    </w:p>
    <w:p w:rsidR="00000000" w:rsidDel="00000000" w:rsidP="00000000" w:rsidRDefault="00000000" w:rsidRPr="00000000" w14:paraId="000006E8">
      <w:pPr>
        <w:spacing w:line="480" w:lineRule="auto"/>
        <w:jc w:val="both"/>
        <w:rPr>
          <w:sz w:val="22"/>
          <w:szCs w:val="22"/>
        </w:rPr>
      </w:pPr>
      <w:r w:rsidDel="00000000" w:rsidR="00000000" w:rsidRPr="00000000">
        <w:rPr>
          <w:sz w:val="22"/>
          <w:szCs w:val="22"/>
          <w:rtl w:val="0"/>
        </w:rPr>
        <w:t xml:space="preserve">Coinciding with this, my employment as a mental health support worker, then substance misuse practitioner was evolving. This triple positionality as a patient, healthcare professional and researcher was found to be complex to navigate. Those within a dual (or several) role(s) have been described as “</w:t>
      </w:r>
      <w:r w:rsidDel="00000000" w:rsidR="00000000" w:rsidRPr="00000000">
        <w:rPr>
          <w:i w:val="1"/>
          <w:sz w:val="22"/>
          <w:szCs w:val="22"/>
          <w:rtl w:val="0"/>
        </w:rPr>
        <w:t xml:space="preserve">double agents</w:t>
      </w:r>
      <w:r w:rsidDel="00000000" w:rsidR="00000000" w:rsidRPr="00000000">
        <w:rPr>
          <w:sz w:val="22"/>
          <w:szCs w:val="22"/>
          <w:rtl w:val="0"/>
        </w:rPr>
        <w:t xml:space="preserve">”, raising questions regarding power dynamics (Yanos and Ziedonis 2006, p. 249). Power imbalances that inherently occur between researcher and participant can be mitigated using an open and accommodating communication style, engaging the individual in a person-centred approach (Hesse-Biber 2007, Willing 2013, Yardley 2000, Vindrola-Padros et al 2016). Considering my profession, I am trained in motivational interviewing and experienced with conversations others may find challenging. Where appropriate, I did disclose my work experience, a disclosure encouraged by Chew-Graham et al (2002). </w:t>
      </w:r>
    </w:p>
    <w:p w:rsidR="00000000" w:rsidDel="00000000" w:rsidP="00000000" w:rsidRDefault="00000000" w:rsidRPr="00000000" w14:paraId="000006E9">
      <w:pPr>
        <w:spacing w:line="480" w:lineRule="auto"/>
        <w:jc w:val="both"/>
        <w:rPr>
          <w:sz w:val="22"/>
          <w:szCs w:val="22"/>
        </w:rPr>
      </w:pPr>
      <w:r w:rsidDel="00000000" w:rsidR="00000000" w:rsidRPr="00000000">
        <w:rPr>
          <w:rtl w:val="0"/>
        </w:rPr>
      </w:r>
    </w:p>
    <w:p w:rsidR="00000000" w:rsidDel="00000000" w:rsidP="00000000" w:rsidRDefault="00000000" w:rsidRPr="00000000" w14:paraId="000006EA">
      <w:pPr>
        <w:spacing w:line="480" w:lineRule="auto"/>
        <w:jc w:val="both"/>
        <w:rPr>
          <w:sz w:val="22"/>
          <w:szCs w:val="22"/>
        </w:rPr>
      </w:pPr>
      <w:r w:rsidDel="00000000" w:rsidR="00000000" w:rsidRPr="00000000">
        <w:rPr>
          <w:sz w:val="22"/>
          <w:szCs w:val="22"/>
          <w:rtl w:val="0"/>
        </w:rPr>
        <w:t xml:space="preserve">In recent years, however, it came to my attention patients who are considered “</w:t>
      </w:r>
      <w:r w:rsidDel="00000000" w:rsidR="00000000" w:rsidRPr="00000000">
        <w:rPr>
          <w:i w:val="1"/>
          <w:sz w:val="22"/>
          <w:szCs w:val="22"/>
          <w:rtl w:val="0"/>
        </w:rPr>
        <w:t xml:space="preserve">complex</w:t>
      </w:r>
      <w:r w:rsidDel="00000000" w:rsidR="00000000" w:rsidRPr="00000000">
        <w:rPr>
          <w:sz w:val="22"/>
          <w:szCs w:val="22"/>
          <w:rtl w:val="0"/>
        </w:rPr>
        <w:t xml:space="preserve">” in their presentation, particularly with comorbid mental health and substance use difficulties, have been prescribed several medicines that are dependence forming. Other times, patients have not received treatment for their mental health as a result of their substance use disorder.  Where patients are already at risk of forming a dependency on substances, the personal experiences and academic knowledge can evoke a critical stance towards the prescriber. This is reflective of the blurred boundaries between my three identities, as noted by (Hill and Dao 2021, p.525).</w:t>
      </w:r>
    </w:p>
    <w:p w:rsidR="00000000" w:rsidDel="00000000" w:rsidP="00000000" w:rsidRDefault="00000000" w:rsidRPr="00000000" w14:paraId="000006EB">
      <w:pPr>
        <w:spacing w:line="480" w:lineRule="auto"/>
        <w:jc w:val="both"/>
        <w:rPr>
          <w:sz w:val="22"/>
          <w:szCs w:val="22"/>
        </w:rPr>
      </w:pPr>
      <w:r w:rsidDel="00000000" w:rsidR="00000000" w:rsidRPr="00000000">
        <w:rPr>
          <w:rtl w:val="0"/>
        </w:rPr>
      </w:r>
    </w:p>
    <w:p w:rsidR="00000000" w:rsidDel="00000000" w:rsidP="00000000" w:rsidRDefault="00000000" w:rsidRPr="00000000" w14:paraId="000006EC">
      <w:pPr>
        <w:spacing w:line="480" w:lineRule="auto"/>
        <w:jc w:val="both"/>
        <w:rPr>
          <w:sz w:val="22"/>
          <w:szCs w:val="22"/>
        </w:rPr>
      </w:pPr>
      <w:r w:rsidDel="00000000" w:rsidR="00000000" w:rsidRPr="00000000">
        <w:rPr>
          <w:sz w:val="22"/>
          <w:szCs w:val="22"/>
          <w:rtl w:val="0"/>
        </w:rPr>
        <w:t xml:space="preserve">It is important for me to note, however, that in my personal and professional experience, I do not take an “</w:t>
      </w:r>
      <w:r w:rsidDel="00000000" w:rsidR="00000000" w:rsidRPr="00000000">
        <w:rPr>
          <w:i w:val="1"/>
          <w:sz w:val="22"/>
          <w:szCs w:val="22"/>
          <w:rtl w:val="0"/>
        </w:rPr>
        <w:t xml:space="preserve">anti-pharma</w:t>
      </w:r>
      <w:r w:rsidDel="00000000" w:rsidR="00000000" w:rsidRPr="00000000">
        <w:rPr>
          <w:sz w:val="22"/>
          <w:szCs w:val="22"/>
          <w:rtl w:val="0"/>
        </w:rPr>
        <w:t xml:space="preserve">” approach, as I personally understand the benefits in which medicines can provide, alongside their challenges. Having been prescribed several psychiatric medications in this time, I can agree with Gibson et al’s suggestion that medicines can be a “</w:t>
      </w:r>
      <w:r w:rsidDel="00000000" w:rsidR="00000000" w:rsidRPr="00000000">
        <w:rPr>
          <w:i w:val="1"/>
          <w:sz w:val="22"/>
          <w:szCs w:val="22"/>
          <w:rtl w:val="0"/>
        </w:rPr>
        <w:t xml:space="preserve">life saver</w:t>
      </w:r>
      <w:r w:rsidDel="00000000" w:rsidR="00000000" w:rsidRPr="00000000">
        <w:rPr>
          <w:sz w:val="22"/>
          <w:szCs w:val="22"/>
          <w:rtl w:val="0"/>
        </w:rPr>
        <w:t xml:space="preserve">” and a “</w:t>
      </w:r>
      <w:r w:rsidDel="00000000" w:rsidR="00000000" w:rsidRPr="00000000">
        <w:rPr>
          <w:i w:val="1"/>
          <w:sz w:val="22"/>
          <w:szCs w:val="22"/>
          <w:rtl w:val="0"/>
        </w:rPr>
        <w:t xml:space="preserve">means to an end</w:t>
      </w:r>
      <w:r w:rsidDel="00000000" w:rsidR="00000000" w:rsidRPr="00000000">
        <w:rPr>
          <w:sz w:val="22"/>
          <w:szCs w:val="22"/>
          <w:rtl w:val="0"/>
        </w:rPr>
        <w:t xml:space="preserve">” (Gibson et al 2016, p.4). </w:t>
      </w:r>
    </w:p>
    <w:p w:rsidR="00000000" w:rsidDel="00000000" w:rsidP="00000000" w:rsidRDefault="00000000" w:rsidRPr="00000000" w14:paraId="000006ED">
      <w:pPr>
        <w:spacing w:line="480" w:lineRule="auto"/>
        <w:jc w:val="both"/>
        <w:rPr>
          <w:sz w:val="22"/>
          <w:szCs w:val="22"/>
        </w:rPr>
      </w:pPr>
      <w:r w:rsidDel="00000000" w:rsidR="00000000" w:rsidRPr="00000000">
        <w:rPr>
          <w:rtl w:val="0"/>
        </w:rPr>
      </w:r>
    </w:p>
    <w:p w:rsidR="00000000" w:rsidDel="00000000" w:rsidP="00000000" w:rsidRDefault="00000000" w:rsidRPr="00000000" w14:paraId="000006EE">
      <w:pPr>
        <w:pStyle w:val="Heading3"/>
        <w:spacing w:line="480" w:lineRule="auto"/>
        <w:rPr/>
      </w:pPr>
      <w:bookmarkStart w:colFirst="0" w:colLast="0" w:name="_heading=h.4h042r0" w:id="77"/>
      <w:bookmarkEnd w:id="77"/>
      <w:r w:rsidDel="00000000" w:rsidR="00000000" w:rsidRPr="00000000">
        <w:rPr>
          <w:rtl w:val="0"/>
        </w:rPr>
        <w:t xml:space="preserve">Reflections within Data Collection</w:t>
      </w:r>
    </w:p>
    <w:p w:rsidR="00000000" w:rsidDel="00000000" w:rsidP="00000000" w:rsidRDefault="00000000" w:rsidRPr="00000000" w14:paraId="000006EF">
      <w:pPr>
        <w:spacing w:line="480" w:lineRule="auto"/>
        <w:jc w:val="both"/>
        <w:rPr>
          <w:sz w:val="22"/>
          <w:szCs w:val="22"/>
        </w:rPr>
      </w:pPr>
      <w:r w:rsidDel="00000000" w:rsidR="00000000" w:rsidRPr="00000000">
        <w:rPr>
          <w:sz w:val="22"/>
          <w:szCs w:val="22"/>
          <w:rtl w:val="0"/>
        </w:rPr>
        <w:t xml:space="preserve">When starting the interviews, I was conscious this was very early in the research process, and I was relatively inexperienced in interviewing. I was apprehensive that my semi-structured interview schedule would not garner responses that were rich in data. As the topic was sensitive, I was concerned about making participants feel uncomfortable or distressed. I was able to reflect and reassure myself, as I have an extensive background in working with individuals with complex needs and Significant Multiple Disadvantages (SMD). </w:t>
      </w:r>
    </w:p>
    <w:p w:rsidR="00000000" w:rsidDel="00000000" w:rsidP="00000000" w:rsidRDefault="00000000" w:rsidRPr="00000000" w14:paraId="000006F0">
      <w:pPr>
        <w:spacing w:line="480" w:lineRule="auto"/>
        <w:jc w:val="both"/>
        <w:rPr>
          <w:sz w:val="22"/>
          <w:szCs w:val="22"/>
        </w:rPr>
      </w:pPr>
      <w:r w:rsidDel="00000000" w:rsidR="00000000" w:rsidRPr="00000000">
        <w:rPr>
          <w:rtl w:val="0"/>
        </w:rPr>
      </w:r>
    </w:p>
    <w:p w:rsidR="00000000" w:rsidDel="00000000" w:rsidP="00000000" w:rsidRDefault="00000000" w:rsidRPr="00000000" w14:paraId="000006F1">
      <w:pPr>
        <w:spacing w:line="480" w:lineRule="auto"/>
        <w:jc w:val="both"/>
        <w:rPr>
          <w:sz w:val="22"/>
          <w:szCs w:val="22"/>
          <w:highlight w:val="white"/>
        </w:rPr>
      </w:pPr>
      <w:r w:rsidDel="00000000" w:rsidR="00000000" w:rsidRPr="00000000">
        <w:rPr>
          <w:sz w:val="22"/>
          <w:szCs w:val="22"/>
          <w:highlight w:val="white"/>
          <w:rtl w:val="0"/>
        </w:rPr>
        <w:t xml:space="preserve">One participant, under the pseudonym </w:t>
      </w:r>
      <w:r w:rsidDel="00000000" w:rsidR="00000000" w:rsidRPr="00000000">
        <w:rPr>
          <w:i w:val="1"/>
          <w:sz w:val="22"/>
          <w:szCs w:val="22"/>
          <w:highlight w:val="white"/>
          <w:rtl w:val="0"/>
        </w:rPr>
        <w:t xml:space="preserve">Georgina</w:t>
      </w:r>
      <w:r w:rsidDel="00000000" w:rsidR="00000000" w:rsidRPr="00000000">
        <w:rPr>
          <w:sz w:val="22"/>
          <w:szCs w:val="22"/>
          <w:highlight w:val="white"/>
          <w:rtl w:val="0"/>
        </w:rPr>
        <w:t xml:space="preserve">,</w:t>
      </w:r>
      <w:r w:rsidDel="00000000" w:rsidR="00000000" w:rsidRPr="00000000">
        <w:rPr>
          <w:i w:val="1"/>
          <w:sz w:val="22"/>
          <w:szCs w:val="22"/>
          <w:highlight w:val="white"/>
          <w:rtl w:val="0"/>
        </w:rPr>
        <w:t xml:space="preserve"> </w:t>
      </w:r>
      <w:r w:rsidDel="00000000" w:rsidR="00000000" w:rsidRPr="00000000">
        <w:rPr>
          <w:sz w:val="22"/>
          <w:szCs w:val="22"/>
          <w:highlight w:val="white"/>
          <w:rtl w:val="0"/>
        </w:rPr>
        <w:t xml:space="preserve">has long campaigned for safer opioid prescribing, and prior to our interview, sent me some examples of the advocacy work she has engaged in. I chose not to read these until after the interview, as I wanted to enter the interview without any prior information or understanding of her experiences. However, understanding </w:t>
      </w:r>
      <w:r w:rsidDel="00000000" w:rsidR="00000000" w:rsidRPr="00000000">
        <w:rPr>
          <w:i w:val="1"/>
          <w:sz w:val="22"/>
          <w:szCs w:val="22"/>
          <w:highlight w:val="white"/>
          <w:rtl w:val="0"/>
        </w:rPr>
        <w:t xml:space="preserve">Georgina</w:t>
      </w:r>
      <w:r w:rsidDel="00000000" w:rsidR="00000000" w:rsidRPr="00000000">
        <w:rPr>
          <w:sz w:val="22"/>
          <w:szCs w:val="22"/>
          <w:highlight w:val="white"/>
          <w:rtl w:val="0"/>
        </w:rPr>
        <w:t xml:space="preserve"> has widely advocated for safer prescribing I was aware her experiences may be distressing and significant. I continuously checked in with her throughout, as she bought up many experiences that were indeed distressing to her. </w:t>
      </w:r>
      <w:r w:rsidDel="00000000" w:rsidR="00000000" w:rsidRPr="00000000">
        <w:rPr>
          <w:i w:val="1"/>
          <w:sz w:val="22"/>
          <w:szCs w:val="22"/>
          <w:highlight w:val="white"/>
          <w:rtl w:val="0"/>
        </w:rPr>
        <w:t xml:space="preserve">Georgina</w:t>
      </w:r>
      <w:r w:rsidDel="00000000" w:rsidR="00000000" w:rsidRPr="00000000">
        <w:rPr>
          <w:sz w:val="22"/>
          <w:szCs w:val="22"/>
          <w:highlight w:val="white"/>
          <w:rtl w:val="0"/>
        </w:rPr>
        <w:t xml:space="preserve"> became upset on one occasion; therefore, I offered to pause or revisit her interview at a later date. Despite becoming upset during the interview, </w:t>
      </w:r>
      <w:r w:rsidDel="00000000" w:rsidR="00000000" w:rsidRPr="00000000">
        <w:rPr>
          <w:i w:val="1"/>
          <w:sz w:val="22"/>
          <w:szCs w:val="22"/>
          <w:highlight w:val="white"/>
          <w:rtl w:val="0"/>
        </w:rPr>
        <w:t xml:space="preserve">Georgina</w:t>
      </w:r>
      <w:r w:rsidDel="00000000" w:rsidR="00000000" w:rsidRPr="00000000">
        <w:rPr>
          <w:sz w:val="22"/>
          <w:szCs w:val="22"/>
          <w:highlight w:val="white"/>
          <w:rtl w:val="0"/>
        </w:rPr>
        <w:t xml:space="preserve">’s interview was particularly rich. During this interview, I was able to take a step back and let </w:t>
      </w:r>
      <w:r w:rsidDel="00000000" w:rsidR="00000000" w:rsidRPr="00000000">
        <w:rPr>
          <w:i w:val="1"/>
          <w:sz w:val="22"/>
          <w:szCs w:val="22"/>
          <w:highlight w:val="white"/>
          <w:rtl w:val="0"/>
        </w:rPr>
        <w:t xml:space="preserve">Georgina </w:t>
      </w:r>
      <w:r w:rsidDel="00000000" w:rsidR="00000000" w:rsidRPr="00000000">
        <w:rPr>
          <w:sz w:val="22"/>
          <w:szCs w:val="22"/>
          <w:highlight w:val="white"/>
          <w:rtl w:val="0"/>
        </w:rPr>
        <w:t xml:space="preserve">speak freely, as all questions I had noted down were being answered in a natural flow of conversation – perhaps due to being well versed in sharing her experiences. This gave me more confidence, as her interview was shortly after the “</w:t>
      </w:r>
      <w:r w:rsidDel="00000000" w:rsidR="00000000" w:rsidRPr="00000000">
        <w:rPr>
          <w:i w:val="1"/>
          <w:sz w:val="22"/>
          <w:szCs w:val="22"/>
          <w:highlight w:val="white"/>
          <w:rtl w:val="0"/>
        </w:rPr>
        <w:t xml:space="preserve">imposter participant</w:t>
      </w:r>
      <w:r w:rsidDel="00000000" w:rsidR="00000000" w:rsidRPr="00000000">
        <w:rPr>
          <w:sz w:val="22"/>
          <w:szCs w:val="22"/>
          <w:highlight w:val="white"/>
          <w:rtl w:val="0"/>
        </w:rPr>
        <w:t xml:space="preserve">”, which had left me feeling disheartened and dented my confidence in the research process. </w:t>
      </w:r>
    </w:p>
    <w:p w:rsidR="00000000" w:rsidDel="00000000" w:rsidP="00000000" w:rsidRDefault="00000000" w:rsidRPr="00000000" w14:paraId="000006F2">
      <w:pPr>
        <w:spacing w:line="480" w:lineRule="auto"/>
        <w:jc w:val="both"/>
        <w:rPr>
          <w:sz w:val="22"/>
          <w:szCs w:val="22"/>
          <w:highlight w:val="white"/>
        </w:rPr>
      </w:pPr>
      <w:r w:rsidDel="00000000" w:rsidR="00000000" w:rsidRPr="00000000">
        <w:rPr>
          <w:rtl w:val="0"/>
        </w:rPr>
      </w:r>
    </w:p>
    <w:p w:rsidR="00000000" w:rsidDel="00000000" w:rsidP="00000000" w:rsidRDefault="00000000" w:rsidRPr="00000000" w14:paraId="000006F3">
      <w:pPr>
        <w:pStyle w:val="Heading2"/>
        <w:numPr>
          <w:ilvl w:val="1"/>
          <w:numId w:val="28"/>
        </w:numPr>
        <w:spacing w:line="480" w:lineRule="auto"/>
        <w:ind w:left="720" w:hanging="720"/>
        <w:rPr/>
      </w:pPr>
      <w:bookmarkStart w:colFirst="0" w:colLast="0" w:name="_heading=h.2w5ecyt" w:id="78"/>
      <w:bookmarkEnd w:id="78"/>
      <w:r w:rsidDel="00000000" w:rsidR="00000000" w:rsidRPr="00000000">
        <w:rPr>
          <w:rtl w:val="0"/>
        </w:rPr>
        <w:t xml:space="preserve">Ethical Considerations</w:t>
      </w:r>
    </w:p>
    <w:p w:rsidR="00000000" w:rsidDel="00000000" w:rsidP="00000000" w:rsidRDefault="00000000" w:rsidRPr="00000000" w14:paraId="000006F4">
      <w:pPr>
        <w:spacing w:line="480" w:lineRule="auto"/>
        <w:jc w:val="both"/>
        <w:rPr>
          <w:sz w:val="22"/>
          <w:szCs w:val="22"/>
        </w:rPr>
      </w:pPr>
      <w:r w:rsidDel="00000000" w:rsidR="00000000" w:rsidRPr="00000000">
        <w:rPr>
          <w:sz w:val="22"/>
          <w:szCs w:val="22"/>
          <w:rtl w:val="0"/>
        </w:rPr>
        <w:t xml:space="preserve">Hawarth et al (2016) states that “</w:t>
      </w:r>
      <w:r w:rsidDel="00000000" w:rsidR="00000000" w:rsidRPr="00000000">
        <w:rPr>
          <w:i w:val="1"/>
          <w:sz w:val="22"/>
          <w:szCs w:val="22"/>
          <w:rtl w:val="0"/>
        </w:rPr>
        <w:t xml:space="preserve">concerted effort is needed to address the challenges associated with conducting contextually sensitive research</w:t>
      </w:r>
      <w:r w:rsidDel="00000000" w:rsidR="00000000" w:rsidRPr="00000000">
        <w:rPr>
          <w:sz w:val="22"/>
          <w:szCs w:val="22"/>
          <w:rtl w:val="0"/>
        </w:rPr>
        <w:t xml:space="preserve">”. The ethical challenges in this research were categorised as the following: Informed Consent, Right to Withdraw, Harm, and issues surrounding Confidentiality. There are ethical considerations required at all stages of a research project, and these decisions should be robust, reflexive, and Dynamic (Sanjari et al, 2014). </w:t>
      </w:r>
    </w:p>
    <w:p w:rsidR="00000000" w:rsidDel="00000000" w:rsidP="00000000" w:rsidRDefault="00000000" w:rsidRPr="00000000" w14:paraId="000006F5">
      <w:pPr>
        <w:spacing w:line="480" w:lineRule="auto"/>
        <w:jc w:val="both"/>
        <w:rPr>
          <w:sz w:val="22"/>
          <w:szCs w:val="22"/>
        </w:rPr>
      </w:pPr>
      <w:r w:rsidDel="00000000" w:rsidR="00000000" w:rsidRPr="00000000">
        <w:rPr>
          <w:rtl w:val="0"/>
        </w:rPr>
      </w:r>
    </w:p>
    <w:p w:rsidR="00000000" w:rsidDel="00000000" w:rsidP="00000000" w:rsidRDefault="00000000" w:rsidRPr="00000000" w14:paraId="000006F6">
      <w:pPr>
        <w:spacing w:line="480" w:lineRule="auto"/>
        <w:jc w:val="both"/>
        <w:rPr>
          <w:sz w:val="22"/>
          <w:szCs w:val="22"/>
        </w:rPr>
      </w:pPr>
      <w:r w:rsidDel="00000000" w:rsidR="00000000" w:rsidRPr="00000000">
        <w:rPr>
          <w:sz w:val="22"/>
          <w:szCs w:val="22"/>
          <w:rtl w:val="0"/>
        </w:rPr>
        <w:t xml:space="preserve">Brinkmann &amp; Kvale (2008) suggest that qualitative research is saturated with ethical challenges, due to its particularly exploratory nature. All ethical processes were guided by the University of Sheffield’s ethics board, and the Health Research Authority’s 2020 updated guidelines (NHS, 2020). An ethics application was submitted through the Health Research Authority’s ‘Integrated Research Application Systems’ in July 2021 and was approved in September 2021 (</w:t>
      </w:r>
      <w:hyperlink w:anchor="_heading=h.1smtxgf">
        <w:r w:rsidDel="00000000" w:rsidR="00000000" w:rsidRPr="00000000">
          <w:rPr>
            <w:color w:val="467886"/>
            <w:sz w:val="22"/>
            <w:szCs w:val="22"/>
            <w:u w:val="single"/>
            <w:rtl w:val="0"/>
          </w:rPr>
          <w:t xml:space="preserve">Appendix Four</w:t>
        </w:r>
      </w:hyperlink>
      <w:r w:rsidDel="00000000" w:rsidR="00000000" w:rsidRPr="00000000">
        <w:rPr>
          <w:sz w:val="22"/>
          <w:szCs w:val="22"/>
          <w:rtl w:val="0"/>
        </w:rPr>
        <w:t xml:space="preserve">, p. 366). Due to the sensitive subject matter of this research, it was imperative that heavy consideration was provided to mitigate any negative implications of participation. Further amendments to the Health Research Authority were made in August 2022 to increase the geographical area in which I wished to sample from, and in October 2022 and May 2023 to extend the recruitment phase. </w:t>
      </w:r>
    </w:p>
    <w:p w:rsidR="00000000" w:rsidDel="00000000" w:rsidP="00000000" w:rsidRDefault="00000000" w:rsidRPr="00000000" w14:paraId="000006F7">
      <w:pPr>
        <w:spacing w:line="480" w:lineRule="auto"/>
        <w:jc w:val="both"/>
        <w:rPr>
          <w:sz w:val="22"/>
          <w:szCs w:val="22"/>
        </w:rPr>
      </w:pPr>
      <w:r w:rsidDel="00000000" w:rsidR="00000000" w:rsidRPr="00000000">
        <w:rPr>
          <w:rtl w:val="0"/>
        </w:rPr>
      </w:r>
    </w:p>
    <w:p w:rsidR="00000000" w:rsidDel="00000000" w:rsidP="00000000" w:rsidRDefault="00000000" w:rsidRPr="00000000" w14:paraId="000006F8">
      <w:pPr>
        <w:spacing w:line="480" w:lineRule="auto"/>
        <w:jc w:val="both"/>
        <w:rPr>
          <w:sz w:val="22"/>
          <w:szCs w:val="22"/>
        </w:rPr>
      </w:pPr>
      <w:r w:rsidDel="00000000" w:rsidR="00000000" w:rsidRPr="00000000">
        <w:rPr>
          <w:sz w:val="22"/>
          <w:szCs w:val="22"/>
          <w:rtl w:val="0"/>
        </w:rPr>
        <w:t xml:space="preserve">When negotiating consent, there are several perspectives. Examples of these include rights-based approaches, involving respect for the individual and protection from harm when participating in research (Wiles et al, 2005). Other approaches, such as principle-based approaches adhere to moral principles, outlined as:</w:t>
      </w:r>
    </w:p>
    <w:p w:rsidR="00000000" w:rsidDel="00000000" w:rsidP="00000000" w:rsidRDefault="00000000" w:rsidRPr="00000000" w14:paraId="000006F9">
      <w:pPr>
        <w:spacing w:line="480" w:lineRule="auto"/>
        <w:jc w:val="both"/>
        <w:rPr>
          <w:sz w:val="22"/>
          <w:szCs w:val="22"/>
        </w:rPr>
      </w:pPr>
      <w:r w:rsidDel="00000000" w:rsidR="00000000" w:rsidRPr="00000000">
        <w:rPr>
          <w:rtl w:val="0"/>
        </w:rPr>
      </w:r>
    </w:p>
    <w:p w:rsidR="00000000" w:rsidDel="00000000" w:rsidP="00000000" w:rsidRDefault="00000000" w:rsidRPr="00000000" w14:paraId="000006FA">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Autonomy, or freedom to make informed choices in research participation</w:t>
      </w:r>
    </w:p>
    <w:p w:rsidR="00000000" w:rsidDel="00000000" w:rsidP="00000000" w:rsidRDefault="00000000" w:rsidRPr="00000000" w14:paraId="000006F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Non-maleficence, whereby research must not inflict harm</w:t>
      </w:r>
    </w:p>
    <w:p w:rsidR="00000000" w:rsidDel="00000000" w:rsidP="00000000" w:rsidRDefault="00000000" w:rsidRPr="00000000" w14:paraId="000006F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Beneficence, where research should benefit others, and</w:t>
      </w:r>
    </w:p>
    <w:p w:rsidR="00000000" w:rsidDel="00000000" w:rsidP="00000000" w:rsidRDefault="00000000" w:rsidRPr="00000000" w14:paraId="000006F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Justice, equal treatment within the research process</w:t>
      </w:r>
    </w:p>
    <w:p w:rsidR="00000000" w:rsidDel="00000000" w:rsidP="00000000" w:rsidRDefault="00000000" w:rsidRPr="00000000" w14:paraId="000006FE">
      <w:pPr>
        <w:spacing w:line="480" w:lineRule="auto"/>
        <w:jc w:val="right"/>
        <w:rPr>
          <w:sz w:val="22"/>
          <w:szCs w:val="22"/>
        </w:rPr>
      </w:pPr>
      <w:r w:rsidDel="00000000" w:rsidR="00000000" w:rsidRPr="00000000">
        <w:rPr>
          <w:sz w:val="22"/>
          <w:szCs w:val="22"/>
          <w:rtl w:val="0"/>
        </w:rPr>
        <w:t xml:space="preserve">(Wiles et al, 2005)</w:t>
      </w:r>
    </w:p>
    <w:p w:rsidR="00000000" w:rsidDel="00000000" w:rsidP="00000000" w:rsidRDefault="00000000" w:rsidRPr="00000000" w14:paraId="000006FF">
      <w:pPr>
        <w:spacing w:line="480" w:lineRule="auto"/>
        <w:jc w:val="both"/>
        <w:rPr>
          <w:sz w:val="22"/>
          <w:szCs w:val="22"/>
        </w:rPr>
      </w:pPr>
      <w:r w:rsidDel="00000000" w:rsidR="00000000" w:rsidRPr="00000000">
        <w:rPr>
          <w:rtl w:val="0"/>
        </w:rPr>
      </w:r>
    </w:p>
    <w:p w:rsidR="00000000" w:rsidDel="00000000" w:rsidP="00000000" w:rsidRDefault="00000000" w:rsidRPr="00000000" w14:paraId="00000700">
      <w:pPr>
        <w:spacing w:line="480" w:lineRule="auto"/>
        <w:jc w:val="both"/>
        <w:rPr>
          <w:sz w:val="22"/>
          <w:szCs w:val="22"/>
        </w:rPr>
      </w:pPr>
      <w:r w:rsidDel="00000000" w:rsidR="00000000" w:rsidRPr="00000000">
        <w:rPr>
          <w:sz w:val="22"/>
          <w:szCs w:val="22"/>
          <w:rtl w:val="0"/>
        </w:rPr>
        <w:t xml:space="preserve">These approaches have been argued to have limited transferability to social research, for example the ethical considerations arising from this type of research can be “</w:t>
      </w:r>
      <w:r w:rsidDel="00000000" w:rsidR="00000000" w:rsidRPr="00000000">
        <w:rPr>
          <w:i w:val="1"/>
          <w:sz w:val="22"/>
          <w:szCs w:val="22"/>
          <w:rtl w:val="0"/>
        </w:rPr>
        <w:t xml:space="preserve">context-specific</w:t>
      </w:r>
      <w:r w:rsidDel="00000000" w:rsidR="00000000" w:rsidRPr="00000000">
        <w:rPr>
          <w:sz w:val="22"/>
          <w:szCs w:val="22"/>
          <w:rtl w:val="0"/>
        </w:rPr>
        <w:t xml:space="preserve">”, and place barriers on conducting research (Wiles et al, 2005).  Since I sought ethical approval from the Health Research Authority, Principle 12 of the “</w:t>
      </w:r>
      <w:r w:rsidDel="00000000" w:rsidR="00000000" w:rsidRPr="00000000">
        <w:rPr>
          <w:i w:val="1"/>
          <w:sz w:val="22"/>
          <w:szCs w:val="22"/>
          <w:rtl w:val="0"/>
        </w:rPr>
        <w:t xml:space="preserve">UK Policy Framework for Health and Social Care Research</w:t>
      </w:r>
      <w:r w:rsidDel="00000000" w:rsidR="00000000" w:rsidRPr="00000000">
        <w:rPr>
          <w:sz w:val="22"/>
          <w:szCs w:val="22"/>
          <w:rtl w:val="0"/>
        </w:rPr>
        <w:t xml:space="preserve">” was used (Health Research Authority, 2023). When seeking consent from participants, information on the research study should be given in an accessible way, so they are able to understand what the research involves, the benefits of participation, and any potential risks (Health Research Authority, 2020). This is an ongoing process, where participants were able to withdraw their consent at any time. For consent to be ethical, it must be:</w:t>
      </w:r>
    </w:p>
    <w:p w:rsidR="00000000" w:rsidDel="00000000" w:rsidP="00000000" w:rsidRDefault="00000000" w:rsidRPr="00000000" w14:paraId="00000701">
      <w:pPr>
        <w:spacing w:line="480" w:lineRule="auto"/>
        <w:jc w:val="both"/>
        <w:rPr>
          <w:sz w:val="22"/>
          <w:szCs w:val="22"/>
        </w:rPr>
      </w:pPr>
      <w:r w:rsidDel="00000000" w:rsidR="00000000" w:rsidRPr="00000000">
        <w:rPr>
          <w:rtl w:val="0"/>
        </w:rPr>
      </w:r>
    </w:p>
    <w:p w:rsidR="00000000" w:rsidDel="00000000" w:rsidP="00000000" w:rsidRDefault="00000000" w:rsidRPr="00000000" w14:paraId="0000070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Given by a person with capacity</w:t>
      </w:r>
    </w:p>
    <w:p w:rsidR="00000000" w:rsidDel="00000000" w:rsidP="00000000" w:rsidRDefault="00000000" w:rsidRPr="00000000" w14:paraId="0000070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Voluntarily given</w:t>
      </w:r>
    </w:p>
    <w:p w:rsidR="00000000" w:rsidDel="00000000" w:rsidP="00000000" w:rsidRDefault="00000000" w:rsidRPr="00000000" w14:paraId="00000704">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Given by someone who has been adequately informed, and </w:t>
      </w:r>
    </w:p>
    <w:p w:rsidR="00000000" w:rsidDel="00000000" w:rsidP="00000000" w:rsidRDefault="00000000" w:rsidRPr="00000000" w14:paraId="00000705">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 fair choice</w:t>
      </w:r>
    </w:p>
    <w:p w:rsidR="00000000" w:rsidDel="00000000" w:rsidP="00000000" w:rsidRDefault="00000000" w:rsidRPr="00000000" w14:paraId="00000706">
      <w:pPr>
        <w:spacing w:line="480" w:lineRule="auto"/>
        <w:jc w:val="right"/>
        <w:rPr>
          <w:sz w:val="22"/>
          <w:szCs w:val="22"/>
        </w:rPr>
      </w:pPr>
      <w:r w:rsidDel="00000000" w:rsidR="00000000" w:rsidRPr="00000000">
        <w:rPr>
          <w:sz w:val="22"/>
          <w:szCs w:val="22"/>
          <w:rtl w:val="0"/>
        </w:rPr>
        <w:t xml:space="preserve">(Health Research Authority, 2020)</w:t>
      </w:r>
    </w:p>
    <w:p w:rsidR="00000000" w:rsidDel="00000000" w:rsidP="00000000" w:rsidRDefault="00000000" w:rsidRPr="00000000" w14:paraId="00000707">
      <w:pPr>
        <w:spacing w:line="480" w:lineRule="auto"/>
        <w:jc w:val="both"/>
        <w:rPr>
          <w:sz w:val="22"/>
          <w:szCs w:val="22"/>
        </w:rPr>
      </w:pPr>
      <w:r w:rsidDel="00000000" w:rsidR="00000000" w:rsidRPr="00000000">
        <w:rPr>
          <w:sz w:val="22"/>
          <w:szCs w:val="22"/>
          <w:rtl w:val="0"/>
        </w:rPr>
        <w:t xml:space="preserve">Informed consent, per the Health Research Authority’s guidance (Health Research Authority, 2020) was obtained from each participant, after reading the Participant Information Sheet and the consent form. The Participant Information Sheet outlined the study aims, requirements in terms time commitments, the potential risks and benefits of participation, their right to withdraw and GDPR information. The Participant Information Sheet also included my contact details, if they had any more questions. I encouraged the potential participant to take time in reading the sheet thoroughly and encouraged them to ask any questions regardless of how small it may be. I emphasised the importance of participating is voluntary, and they have right to withdraw at any point in the research. </w:t>
      </w:r>
    </w:p>
    <w:p w:rsidR="00000000" w:rsidDel="00000000" w:rsidP="00000000" w:rsidRDefault="00000000" w:rsidRPr="00000000" w14:paraId="00000708">
      <w:pPr>
        <w:spacing w:line="480" w:lineRule="auto"/>
        <w:jc w:val="both"/>
        <w:rPr>
          <w:sz w:val="22"/>
          <w:szCs w:val="22"/>
        </w:rPr>
      </w:pPr>
      <w:r w:rsidDel="00000000" w:rsidR="00000000" w:rsidRPr="00000000">
        <w:rPr>
          <w:rtl w:val="0"/>
        </w:rPr>
      </w:r>
    </w:p>
    <w:p w:rsidR="00000000" w:rsidDel="00000000" w:rsidP="00000000" w:rsidRDefault="00000000" w:rsidRPr="00000000" w14:paraId="00000709">
      <w:pPr>
        <w:spacing w:line="480" w:lineRule="auto"/>
        <w:jc w:val="both"/>
        <w:rPr>
          <w:sz w:val="22"/>
          <w:szCs w:val="22"/>
        </w:rPr>
      </w:pPr>
      <w:r w:rsidDel="00000000" w:rsidR="00000000" w:rsidRPr="00000000">
        <w:rPr>
          <w:sz w:val="22"/>
          <w:szCs w:val="22"/>
          <w:rtl w:val="0"/>
        </w:rPr>
        <w:t xml:space="preserve">Consent is a dynamic process, requiring continual renegotiation throughout the interview (Parker, 2008). Therefore, I checked in with the participant where appropriate to ensure they were happy to continue. It was made very clear at numerous stages that the participant had the right to withdraw at any stage. This was expressed immediately before the interview started, and at the debrief- even after completion, and will cause the participant no detriment to patient care. Any information and data gained from a withdrawn participant would be destroyed when I received final confirmation of withdrawing.</w:t>
      </w:r>
    </w:p>
    <w:p w:rsidR="00000000" w:rsidDel="00000000" w:rsidP="00000000" w:rsidRDefault="00000000" w:rsidRPr="00000000" w14:paraId="0000070A">
      <w:pPr>
        <w:spacing w:line="480" w:lineRule="auto"/>
        <w:jc w:val="both"/>
        <w:rPr>
          <w:sz w:val="22"/>
          <w:szCs w:val="22"/>
        </w:rPr>
      </w:pPr>
      <w:r w:rsidDel="00000000" w:rsidR="00000000" w:rsidRPr="00000000">
        <w:rPr>
          <w:rtl w:val="0"/>
        </w:rPr>
      </w:r>
    </w:p>
    <w:p w:rsidR="00000000" w:rsidDel="00000000" w:rsidP="00000000" w:rsidRDefault="00000000" w:rsidRPr="00000000" w14:paraId="0000070B">
      <w:pPr>
        <w:spacing w:line="480" w:lineRule="auto"/>
        <w:jc w:val="both"/>
        <w:rPr>
          <w:sz w:val="22"/>
          <w:szCs w:val="22"/>
        </w:rPr>
      </w:pPr>
      <w:r w:rsidDel="00000000" w:rsidR="00000000" w:rsidRPr="00000000">
        <w:rPr>
          <w:sz w:val="22"/>
          <w:szCs w:val="22"/>
          <w:rtl w:val="0"/>
        </w:rPr>
        <w:t xml:space="preserve">Smith, Flowers, and Larkin (2009, p.53) state the “</w:t>
      </w:r>
      <w:r w:rsidDel="00000000" w:rsidR="00000000" w:rsidRPr="00000000">
        <w:rPr>
          <w:i w:val="1"/>
          <w:sz w:val="22"/>
          <w:szCs w:val="22"/>
          <w:rtl w:val="0"/>
        </w:rPr>
        <w:t xml:space="preserve">avoidance of harm</w:t>
      </w:r>
      <w:r w:rsidDel="00000000" w:rsidR="00000000" w:rsidRPr="00000000">
        <w:rPr>
          <w:sz w:val="22"/>
          <w:szCs w:val="22"/>
          <w:rtl w:val="0"/>
        </w:rPr>
        <w:t xml:space="preserve">” should be the first consideration when conducting research, including risks to “</w:t>
      </w:r>
      <w:r w:rsidDel="00000000" w:rsidR="00000000" w:rsidRPr="00000000">
        <w:rPr>
          <w:i w:val="1"/>
          <w:sz w:val="22"/>
          <w:szCs w:val="22"/>
          <w:rtl w:val="0"/>
        </w:rPr>
        <w:t xml:space="preserve">psychological wellbeing and dignity</w:t>
      </w:r>
      <w:r w:rsidDel="00000000" w:rsidR="00000000" w:rsidRPr="00000000">
        <w:rPr>
          <w:sz w:val="22"/>
          <w:szCs w:val="22"/>
          <w:rtl w:val="0"/>
        </w:rPr>
        <w:t xml:space="preserve">”. This research in part, recruited participants who are considered a vulnerable population (Care Quality Commission, 2018), and the intersectionalities, such as gender, of this population can result in an individual being considered particularly vulnerable (Care Quality Commission, 2018). Therefore, minimising harm is of particular importance. </w:t>
      </w:r>
    </w:p>
    <w:p w:rsidR="00000000" w:rsidDel="00000000" w:rsidP="00000000" w:rsidRDefault="00000000" w:rsidRPr="00000000" w14:paraId="0000070C">
      <w:pPr>
        <w:spacing w:line="480" w:lineRule="auto"/>
        <w:jc w:val="both"/>
        <w:rPr>
          <w:sz w:val="22"/>
          <w:szCs w:val="22"/>
        </w:rPr>
      </w:pPr>
      <w:r w:rsidDel="00000000" w:rsidR="00000000" w:rsidRPr="00000000">
        <w:rPr>
          <w:rtl w:val="0"/>
        </w:rPr>
      </w:r>
    </w:p>
    <w:p w:rsidR="00000000" w:rsidDel="00000000" w:rsidP="00000000" w:rsidRDefault="00000000" w:rsidRPr="00000000" w14:paraId="0000070D">
      <w:pPr>
        <w:spacing w:line="480" w:lineRule="auto"/>
        <w:jc w:val="both"/>
        <w:rPr>
          <w:sz w:val="22"/>
          <w:szCs w:val="22"/>
        </w:rPr>
      </w:pPr>
      <w:r w:rsidDel="00000000" w:rsidR="00000000" w:rsidRPr="00000000">
        <w:rPr>
          <w:sz w:val="22"/>
          <w:szCs w:val="22"/>
          <w:rtl w:val="0"/>
        </w:rPr>
        <w:t xml:space="preserve">Some level of distress was anticipated in this research; therefore, measures were taken to minimise these risks, attached in </w:t>
      </w:r>
      <w:hyperlink w:anchor="_heading=h.3qwpj7n">
        <w:r w:rsidDel="00000000" w:rsidR="00000000" w:rsidRPr="00000000">
          <w:rPr>
            <w:color w:val="467886"/>
            <w:sz w:val="22"/>
            <w:szCs w:val="22"/>
            <w:u w:val="single"/>
            <w:rtl w:val="0"/>
          </w:rPr>
          <w:t xml:space="preserve">Appendix Eight</w:t>
        </w:r>
      </w:hyperlink>
      <w:r w:rsidDel="00000000" w:rsidR="00000000" w:rsidRPr="00000000">
        <w:rPr>
          <w:sz w:val="22"/>
          <w:szCs w:val="22"/>
          <w:rtl w:val="0"/>
        </w:rPr>
        <w:t xml:space="preserve"> (p. 374). In a study such as this, where sensitive topics such as mental health and drug dependency are discussed, the main form of harm that could occur is psychological harm, defined by Kowalczyk (2020) as “</w:t>
      </w:r>
      <w:r w:rsidDel="00000000" w:rsidR="00000000" w:rsidRPr="00000000">
        <w:rPr>
          <w:i w:val="1"/>
          <w:sz w:val="22"/>
          <w:szCs w:val="22"/>
          <w:rtl w:val="0"/>
        </w:rPr>
        <w:t xml:space="preserve">emotional or cognitive disturbances resulting from another’s actions</w:t>
      </w:r>
      <w:r w:rsidDel="00000000" w:rsidR="00000000" w:rsidRPr="00000000">
        <w:rPr>
          <w:sz w:val="22"/>
          <w:szCs w:val="22"/>
          <w:rtl w:val="0"/>
        </w:rPr>
        <w:t xml:space="preserve">”. There is a potential whereby participation may cause the participant to think about their dependency critically. These reflections may evoke negative feelings about themselves, potentially causing distress and psychological harm. This can be managed to some extent through constant monitoring of a participant’s behaviour, tone of voice, and a provision of both a verbal debrief, and the debrief sheet attached in </w:t>
      </w:r>
      <w:hyperlink w:anchor="_heading=h.261ztfg">
        <w:r w:rsidDel="00000000" w:rsidR="00000000" w:rsidRPr="00000000">
          <w:rPr>
            <w:color w:val="467886"/>
            <w:sz w:val="22"/>
            <w:szCs w:val="22"/>
            <w:u w:val="single"/>
            <w:rtl w:val="0"/>
          </w:rPr>
          <w:t xml:space="preserve">Appendix Nine</w:t>
        </w:r>
      </w:hyperlink>
      <w:r w:rsidDel="00000000" w:rsidR="00000000" w:rsidRPr="00000000">
        <w:rPr>
          <w:sz w:val="22"/>
          <w:szCs w:val="22"/>
          <w:rtl w:val="0"/>
        </w:rPr>
        <w:t xml:space="preserve"> (p. 379). </w:t>
      </w:r>
    </w:p>
    <w:p w:rsidR="00000000" w:rsidDel="00000000" w:rsidP="00000000" w:rsidRDefault="00000000" w:rsidRPr="00000000" w14:paraId="0000070E">
      <w:pPr>
        <w:spacing w:line="480" w:lineRule="auto"/>
        <w:jc w:val="both"/>
        <w:rPr>
          <w:sz w:val="22"/>
          <w:szCs w:val="22"/>
        </w:rPr>
      </w:pPr>
      <w:r w:rsidDel="00000000" w:rsidR="00000000" w:rsidRPr="00000000">
        <w:rPr>
          <w:rtl w:val="0"/>
        </w:rPr>
      </w:r>
    </w:p>
    <w:p w:rsidR="00000000" w:rsidDel="00000000" w:rsidP="00000000" w:rsidRDefault="00000000" w:rsidRPr="00000000" w14:paraId="0000070F">
      <w:pPr>
        <w:spacing w:line="480" w:lineRule="auto"/>
        <w:jc w:val="both"/>
        <w:rPr>
          <w:sz w:val="22"/>
          <w:szCs w:val="22"/>
        </w:rPr>
      </w:pPr>
      <w:r w:rsidDel="00000000" w:rsidR="00000000" w:rsidRPr="00000000">
        <w:rPr>
          <w:sz w:val="22"/>
          <w:szCs w:val="22"/>
          <w:rtl w:val="0"/>
        </w:rPr>
        <w:t xml:space="preserve">All participants were sent a debrief sheet immediately after the interview, even if they were to withdraw part way through the interview or at any point. A debrief sheet, as defined by McNaillie (2018) is a “</w:t>
      </w:r>
      <w:r w:rsidDel="00000000" w:rsidR="00000000" w:rsidRPr="00000000">
        <w:rPr>
          <w:i w:val="1"/>
          <w:sz w:val="22"/>
          <w:szCs w:val="22"/>
          <w:rtl w:val="0"/>
        </w:rPr>
        <w:t xml:space="preserve">the act of informing participants about the intentions of the study in which they just participated</w:t>
      </w:r>
      <w:r w:rsidDel="00000000" w:rsidR="00000000" w:rsidRPr="00000000">
        <w:rPr>
          <w:sz w:val="22"/>
          <w:szCs w:val="22"/>
          <w:rtl w:val="0"/>
        </w:rPr>
        <w:t xml:space="preserve">” and can include additional resources for participants (Lafayette College, 2018). Participants were also encouraged to contact me for support or signposting, further to the services included on the Participant Debrief Sheet. Included in the Participant Debrief Sheet were contact details for organisations that can provide support to those who are experiencing difficulties such as mental poor health. The Participant Debrief Sheet also contained my contact details in the event they had more questions,  or indeed wished to withdraw. The details pertaining to the withdrawal from the study were also included in this document. </w:t>
      </w:r>
    </w:p>
    <w:p w:rsidR="00000000" w:rsidDel="00000000" w:rsidP="00000000" w:rsidRDefault="00000000" w:rsidRPr="00000000" w14:paraId="00000710">
      <w:pPr>
        <w:spacing w:line="480" w:lineRule="auto"/>
        <w:jc w:val="both"/>
        <w:rPr>
          <w:sz w:val="22"/>
          <w:szCs w:val="22"/>
        </w:rPr>
      </w:pPr>
      <w:r w:rsidDel="00000000" w:rsidR="00000000" w:rsidRPr="00000000">
        <w:rPr>
          <w:rtl w:val="0"/>
        </w:rPr>
      </w:r>
    </w:p>
    <w:p w:rsidR="00000000" w:rsidDel="00000000" w:rsidP="00000000" w:rsidRDefault="00000000" w:rsidRPr="00000000" w14:paraId="00000711">
      <w:pPr>
        <w:spacing w:line="480" w:lineRule="auto"/>
        <w:jc w:val="both"/>
        <w:rPr>
          <w:sz w:val="22"/>
          <w:szCs w:val="22"/>
        </w:rPr>
      </w:pPr>
      <w:r w:rsidDel="00000000" w:rsidR="00000000" w:rsidRPr="00000000">
        <w:rPr>
          <w:sz w:val="22"/>
          <w:szCs w:val="22"/>
          <w:rtl w:val="0"/>
        </w:rPr>
        <w:t xml:space="preserve">As this research used NHS patients, the NHS Confidentiality guidance was followed. These guidelines are as follows:</w:t>
      </w:r>
    </w:p>
    <w:p w:rsidR="00000000" w:rsidDel="00000000" w:rsidP="00000000" w:rsidRDefault="00000000" w:rsidRPr="00000000" w14:paraId="0000071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28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Person-identifiable or confidential information must be effectively protected against improper disclosure when it is received, stored, transmitted, or disposed of. </w:t>
      </w:r>
    </w:p>
    <w:p w:rsidR="00000000" w:rsidDel="00000000" w:rsidP="00000000" w:rsidRDefault="00000000" w:rsidRPr="00000000" w14:paraId="0000071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Access to person-identifiable or confidential information must be on a need-to- know basis. </w:t>
      </w:r>
    </w:p>
    <w:p w:rsidR="00000000" w:rsidDel="00000000" w:rsidP="00000000" w:rsidRDefault="00000000" w:rsidRPr="00000000" w14:paraId="0000071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Disclosure of person identifiable or confidential information must be limited to that purpose for which it is required. </w:t>
      </w:r>
    </w:p>
    <w:p w:rsidR="00000000" w:rsidDel="00000000" w:rsidP="00000000" w:rsidRDefault="00000000" w:rsidRPr="00000000" w14:paraId="0000071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Recipients of disclosed information must respect that it is given to them in confidence. </w:t>
      </w:r>
    </w:p>
    <w:p w:rsidR="00000000" w:rsidDel="00000000" w:rsidP="00000000" w:rsidRDefault="00000000" w:rsidRPr="00000000" w14:paraId="0000071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If the decision is taken to disclose information, that decision must be justified and documented. </w:t>
      </w:r>
    </w:p>
    <w:p w:rsidR="00000000" w:rsidDel="00000000" w:rsidP="00000000" w:rsidRDefault="00000000" w:rsidRPr="00000000" w14:paraId="0000071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Any concerns about disclosure of information must be discussed with either your Line Manager or the Corporate Information Governance Team. </w:t>
      </w:r>
    </w:p>
    <w:p w:rsidR="00000000" w:rsidDel="00000000" w:rsidP="00000000" w:rsidRDefault="00000000" w:rsidRPr="00000000" w14:paraId="00000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right"/>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Taken from the NHS Confidentiality Policy (2019)</w:t>
      </w:r>
    </w:p>
    <w:p w:rsidR="00000000" w:rsidDel="00000000" w:rsidP="00000000" w:rsidRDefault="00000000" w:rsidRPr="00000000" w14:paraId="00000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right"/>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Recordings of the interviews were kept on a secure drive provided by the University of Sheffield, accessible remotely, named the ScHAAR Uni-Drive. This contained all recordings, transcription, and non-anonymised data. Only myself, and my supervisors had access to any data. Personal data, such as the name, and contact details will be destroyed as soon as their interview has been completed and the interview has been pseudonymised, e.g.,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Charlotte’</w:t>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or ‘</w:t>
      </w:r>
      <w:r w:rsidDel="00000000" w:rsidR="00000000" w:rsidRPr="00000000">
        <w:rPr>
          <w:rFonts w:ascii="Aptos" w:cs="Aptos" w:eastAsia="Aptos" w:hAnsi="Aptos"/>
          <w:b w:val="0"/>
          <w:i w:val="1"/>
          <w:smallCaps w:val="0"/>
          <w:strike w:val="0"/>
          <w:color w:val="000000"/>
          <w:sz w:val="22"/>
          <w:szCs w:val="22"/>
          <w:u w:val="none"/>
          <w:shd w:fill="auto" w:val="clear"/>
          <w:vertAlign w:val="baseline"/>
          <w:rtl w:val="0"/>
        </w:rPr>
        <w:t xml:space="preserve">Brandon’</w:t>
      </w: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Pseudonymised transcripts will be kept indefinitely by the First Supervisor in a restricted folder on the University of Sheffield’s Shared Network File Store. This is outlined on the Participant Information Sheet and Consent Form for transparency. There are, however, exceptional circumstances that may require the researcher to break confidentiality. If an individual disclosed anything of concern, it would be explored within the interview, and I would make a professional judgement as to whether the interview should be postponed or suspended. The participant and the concern in question would be referred to the research supervisors to seek guidance. The same process is extended to disclosures of harm to self, public safety, or safeguarding concerns. This occurred in one interview, where I sought guidance from my supervisors as a participant disclosed feeling very low and unsupported. I contacted my supervisors immediately after the interview and discussed how to manage this. No identifying information was given to protect their identity as I felt signposting the individual to relevant services was sufficient in this case, in which my supervisory team agreed. This exemption from confidentiality guidance is outlined in the Participant Information Sheet; therefore, participants are aware this may happen if such disclosure was made. </w:t>
      </w:r>
    </w:p>
    <w:p w:rsidR="00000000" w:rsidDel="00000000" w:rsidP="00000000" w:rsidRDefault="00000000" w:rsidRPr="00000000" w14:paraId="00000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Ensuring confidentiality and anonymity was a key factor to consider in this study. Confidentiality is described as keeping all information hidden from those other than the primary research team, with anonymity is keeping the identity of the participant a secret (Saunders et al 2015, p.617). These terms are often used interchangeably, with anonymity being a type of confidentiality (Saunders et al 2015, p.617). To ensure confidentiality, any identifiable information in consent forms was stored a password protected document on the ScHAAR Uni-Drive. This was stored separately from other data and was only accessible by the research team. Participants were given a pseudonym which was used throughout the transcription process, analysis and write up of the data. Identifiable information such as peers, relatives, professionals, and places were also given pseudonyms or removed entirely. This aimed to ensure anonymity of participants. </w:t>
      </w:r>
    </w:p>
    <w:p w:rsidR="00000000" w:rsidDel="00000000" w:rsidP="00000000" w:rsidRDefault="00000000" w:rsidRPr="00000000" w14:paraId="00000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The difficulty in engaging in research virtually, and more than likely from the participants home, is there is a risk of participant may be overheard by other members of the household. The participant was aware that the data collection was undertaken virtually, and that there was a risk of household members overhearing their interview. Participants were encouraged to, if accessible, organise childcare arrangements or interview whilst they are in their house alone. In cases whereby this was difficult, I was happy to be flexible in the timing data collection took place, e.g., interviewing outside of working hours, to be accommodating for the individual participant’s needs.</w:t>
      </w:r>
    </w:p>
    <w:p w:rsidR="00000000" w:rsidDel="00000000" w:rsidP="00000000" w:rsidRDefault="00000000" w:rsidRPr="00000000" w14:paraId="0000072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480" w:lineRule="auto"/>
        <w:ind w:left="0" w:right="0" w:firstLine="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2">
      <w:pPr>
        <w:pStyle w:val="Heading2"/>
        <w:numPr>
          <w:ilvl w:val="1"/>
          <w:numId w:val="28"/>
        </w:numPr>
        <w:spacing w:line="480" w:lineRule="auto"/>
        <w:ind w:left="720" w:hanging="720"/>
        <w:rPr/>
      </w:pPr>
      <w:bookmarkStart w:colFirst="0" w:colLast="0" w:name="_heading=h.1baon6m" w:id="79"/>
      <w:bookmarkEnd w:id="79"/>
      <w:r w:rsidDel="00000000" w:rsidR="00000000" w:rsidRPr="00000000">
        <w:rPr>
          <w:rtl w:val="0"/>
        </w:rPr>
        <w:t xml:space="preserve">Summary of Chapter</w:t>
      </w:r>
    </w:p>
    <w:p w:rsidR="00000000" w:rsidDel="00000000" w:rsidP="00000000" w:rsidRDefault="00000000" w:rsidRPr="00000000" w14:paraId="00000723">
      <w:pPr>
        <w:spacing w:line="480" w:lineRule="auto"/>
        <w:jc w:val="both"/>
        <w:rPr>
          <w:sz w:val="22"/>
          <w:szCs w:val="22"/>
        </w:rPr>
      </w:pPr>
      <w:r w:rsidDel="00000000" w:rsidR="00000000" w:rsidRPr="00000000">
        <w:rPr>
          <w:sz w:val="22"/>
          <w:szCs w:val="22"/>
          <w:rtl w:val="0"/>
        </w:rPr>
        <w:t xml:space="preserve">This chapter described and justified the chosen methodology, and the ontological and epistemological assumptions for this research. A qualitative approach with an interpretivist constructionist paradigm was chosen. Alternative methods were presented, however as these were considered inappropriate or not feasible due to COVID-19, therefore semi-structured interviews as a method was selected and justified. Thematic Analysis was chosen to interpret the data due to its flexibility and inductive nature. Consideration was given to my positionality as a researcher, and how my employment and personal experiences could have implications for the subjectivity of the data.</w:t>
      </w:r>
    </w:p>
    <w:p w:rsidR="00000000" w:rsidDel="00000000" w:rsidP="00000000" w:rsidRDefault="00000000" w:rsidRPr="00000000" w14:paraId="00000724">
      <w:pPr>
        <w:spacing w:line="480" w:lineRule="auto"/>
        <w:jc w:val="both"/>
        <w:rPr>
          <w:sz w:val="22"/>
          <w:szCs w:val="22"/>
        </w:rPr>
      </w:pPr>
      <w:r w:rsidDel="00000000" w:rsidR="00000000" w:rsidRPr="00000000">
        <w:rPr>
          <w:rtl w:val="0"/>
        </w:rPr>
      </w:r>
    </w:p>
    <w:p w:rsidR="00000000" w:rsidDel="00000000" w:rsidP="00000000" w:rsidRDefault="00000000" w:rsidRPr="00000000" w14:paraId="00000725">
      <w:pPr>
        <w:spacing w:line="480" w:lineRule="auto"/>
        <w:jc w:val="both"/>
        <w:rPr>
          <w:sz w:val="22"/>
          <w:szCs w:val="22"/>
        </w:rPr>
      </w:pPr>
      <w:r w:rsidDel="00000000" w:rsidR="00000000" w:rsidRPr="00000000">
        <w:rPr>
          <w:sz w:val="22"/>
          <w:szCs w:val="22"/>
          <w:rtl w:val="0"/>
        </w:rPr>
        <w:t xml:space="preserve">The next chapter will present the first chapter examining the findings of this research, titled the “</w:t>
      </w:r>
      <w:r w:rsidDel="00000000" w:rsidR="00000000" w:rsidRPr="00000000">
        <w:rPr>
          <w:i w:val="1"/>
          <w:sz w:val="22"/>
          <w:szCs w:val="22"/>
          <w:rtl w:val="0"/>
        </w:rPr>
        <w:t xml:space="preserve">Acceptance and Evaluation of Medicines</w:t>
      </w:r>
      <w:r w:rsidDel="00000000" w:rsidR="00000000" w:rsidRPr="00000000">
        <w:rPr>
          <w:sz w:val="22"/>
          <w:szCs w:val="22"/>
          <w:rtl w:val="0"/>
        </w:rPr>
        <w:t xml:space="preserve">”. </w:t>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rPr/>
      </w:pPr>
      <w:r w:rsidDel="00000000" w:rsidR="00000000" w:rsidRPr="00000000">
        <w:rPr>
          <w:rtl w:val="0"/>
        </w:rPr>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pPr>
      <w:r w:rsidDel="00000000" w:rsidR="00000000" w:rsidRPr="00000000">
        <w:rPr>
          <w:rtl w:val="0"/>
        </w:rPr>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rPr/>
      </w:pPr>
      <w:r w:rsidDel="00000000" w:rsidR="00000000" w:rsidRPr="00000000">
        <w:rPr>
          <w:rtl w:val="0"/>
        </w:rPr>
      </w:r>
    </w:p>
    <w:p w:rsidR="00000000" w:rsidDel="00000000" w:rsidP="00000000" w:rsidRDefault="00000000" w:rsidRPr="00000000" w14:paraId="0000072E">
      <w:pPr>
        <w:rPr/>
      </w:pPr>
      <w:r w:rsidDel="00000000" w:rsidR="00000000" w:rsidRPr="00000000">
        <w:rPr>
          <w:rtl w:val="0"/>
        </w:rPr>
      </w:r>
    </w:p>
    <w:p w:rsidR="00000000" w:rsidDel="00000000" w:rsidP="00000000" w:rsidRDefault="00000000" w:rsidRPr="00000000" w14:paraId="0000072F">
      <w:pPr>
        <w:pStyle w:val="Heading1"/>
        <w:spacing w:line="480" w:lineRule="auto"/>
        <w:rPr/>
      </w:pPr>
      <w:bookmarkStart w:colFirst="0" w:colLast="0" w:name="_heading=h.3vac5uf" w:id="80"/>
      <w:bookmarkEnd w:id="80"/>
      <w:r w:rsidDel="00000000" w:rsidR="00000000" w:rsidRPr="00000000">
        <w:rPr>
          <w:rtl w:val="0"/>
        </w:rPr>
        <w:t xml:space="preserve">Chapter Five – Acceptance and Evaluation of Medicines</w:t>
      </w:r>
    </w:p>
    <w:p w:rsidR="00000000" w:rsidDel="00000000" w:rsidP="00000000" w:rsidRDefault="00000000" w:rsidRPr="00000000" w14:paraId="00000730">
      <w:pPr>
        <w:spacing w:line="480" w:lineRule="auto"/>
        <w:jc w:val="both"/>
        <w:rPr>
          <w:sz w:val="22"/>
          <w:szCs w:val="22"/>
        </w:rPr>
      </w:pPr>
      <w:r w:rsidDel="00000000" w:rsidR="00000000" w:rsidRPr="00000000">
        <w:rPr>
          <w:sz w:val="22"/>
          <w:szCs w:val="22"/>
          <w:rtl w:val="0"/>
        </w:rPr>
        <w:t xml:space="preserve">This research aimed to explore the experiences of patients who are dependent on, or have experienced withdrawal symptoms from, prescribed medicines. As this research also aimed to explore to assess the patients’ perception of care and support, it is important to present the ways in which participants accessed medicines and accepted their prescription in the first instance. The themes, and subthemes, that inform this chapter are presented in Table Eight.</w:t>
      </w:r>
    </w:p>
    <w:p w:rsidR="00000000" w:rsidDel="00000000" w:rsidP="00000000" w:rsidRDefault="00000000" w:rsidRPr="00000000" w14:paraId="00000731">
      <w:pPr>
        <w:spacing w:line="480" w:lineRule="auto"/>
        <w:jc w:val="both"/>
        <w:rPr>
          <w:sz w:val="22"/>
          <w:szCs w:val="22"/>
        </w:rPr>
      </w:pPr>
      <w:r w:rsidDel="00000000" w:rsidR="00000000" w:rsidRPr="00000000">
        <w:rPr>
          <w:rtl w:val="0"/>
        </w:rPr>
      </w:r>
    </w:p>
    <w:tbl>
      <w:tblPr>
        <w:tblStyle w:val="Table9"/>
        <w:tblW w:w="901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vAlign w:val="center"/>
          </w:tcPr>
          <w:p w:rsidR="00000000" w:rsidDel="00000000" w:rsidP="00000000" w:rsidRDefault="00000000" w:rsidRPr="00000000" w14:paraId="00000732">
            <w:pPr>
              <w:rPr>
                <w:sz w:val="22"/>
                <w:szCs w:val="22"/>
              </w:rPr>
            </w:pPr>
            <w:r w:rsidDel="00000000" w:rsidR="00000000" w:rsidRPr="00000000">
              <w:rPr>
                <w:sz w:val="22"/>
                <w:szCs w:val="22"/>
                <w:rtl w:val="0"/>
              </w:rPr>
              <w:t xml:space="preserve">Theme</w:t>
            </w:r>
          </w:p>
        </w:tc>
        <w:tc>
          <w:tcPr>
            <w:vAlign w:val="center"/>
          </w:tcPr>
          <w:p w:rsidR="00000000" w:rsidDel="00000000" w:rsidP="00000000" w:rsidRDefault="00000000" w:rsidRPr="00000000" w14:paraId="00000733">
            <w:pPr>
              <w:rPr>
                <w:sz w:val="22"/>
                <w:szCs w:val="22"/>
              </w:rPr>
            </w:pPr>
            <w:r w:rsidDel="00000000" w:rsidR="00000000" w:rsidRPr="00000000">
              <w:rPr>
                <w:sz w:val="22"/>
                <w:szCs w:val="22"/>
                <w:rtl w:val="0"/>
              </w:rPr>
              <w:t xml:space="preserve">Subtheme</w:t>
            </w:r>
          </w:p>
        </w:tc>
      </w:tr>
      <w:tr>
        <w:trPr>
          <w:cantSplit w:val="0"/>
          <w:tblHeader w:val="0"/>
        </w:trPr>
        <w:tc>
          <w:tcPr>
            <w:vMerge w:val="restart"/>
            <w:vAlign w:val="center"/>
          </w:tcPr>
          <w:p w:rsidR="00000000" w:rsidDel="00000000" w:rsidP="00000000" w:rsidRDefault="00000000" w:rsidRPr="00000000" w14:paraId="00000734">
            <w:pPr>
              <w:rPr>
                <w:sz w:val="22"/>
                <w:szCs w:val="22"/>
              </w:rPr>
            </w:pPr>
            <w:r w:rsidDel="00000000" w:rsidR="00000000" w:rsidRPr="00000000">
              <w:rPr>
                <w:sz w:val="22"/>
                <w:szCs w:val="22"/>
                <w:rtl w:val="0"/>
              </w:rPr>
              <w:t xml:space="preserve">Acceptance of Medicines</w:t>
            </w:r>
          </w:p>
        </w:tc>
        <w:tc>
          <w:tcPr>
            <w:vAlign w:val="center"/>
          </w:tcPr>
          <w:p w:rsidR="00000000" w:rsidDel="00000000" w:rsidP="00000000" w:rsidRDefault="00000000" w:rsidRPr="00000000" w14:paraId="00000735">
            <w:pPr>
              <w:rPr>
                <w:sz w:val="22"/>
                <w:szCs w:val="22"/>
              </w:rPr>
            </w:pPr>
            <w:r w:rsidDel="00000000" w:rsidR="00000000" w:rsidRPr="00000000">
              <w:rPr>
                <w:sz w:val="22"/>
                <w:szCs w:val="22"/>
                <w:rtl w:val="0"/>
              </w:rPr>
              <w:t xml:space="preserve">Choices</w:t>
            </w:r>
          </w:p>
        </w:tc>
      </w:tr>
      <w:tr>
        <w:trPr>
          <w:cantSplit w:val="0"/>
          <w:tblHeader w:val="0"/>
        </w:trPr>
        <w:tc>
          <w:tcPr>
            <w:vMerge w:val="continue"/>
            <w:vAlign w:val="center"/>
          </w:tcPr>
          <w:p w:rsidR="00000000" w:rsidDel="00000000" w:rsidP="00000000" w:rsidRDefault="00000000" w:rsidRPr="00000000" w14:paraId="00000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737">
            <w:pPr>
              <w:rPr>
                <w:sz w:val="22"/>
                <w:szCs w:val="22"/>
              </w:rPr>
            </w:pPr>
            <w:r w:rsidDel="00000000" w:rsidR="00000000" w:rsidRPr="00000000">
              <w:rPr>
                <w:sz w:val="22"/>
                <w:szCs w:val="22"/>
                <w:rtl w:val="0"/>
              </w:rPr>
              <w:t xml:space="preserve">Communication</w:t>
            </w:r>
          </w:p>
        </w:tc>
      </w:tr>
      <w:tr>
        <w:trPr>
          <w:cantSplit w:val="0"/>
          <w:tblHeader w:val="0"/>
        </w:trPr>
        <w:tc>
          <w:tcPr>
            <w:vMerge w:val="continue"/>
            <w:vAlign w:val="center"/>
          </w:tcPr>
          <w:p w:rsidR="00000000" w:rsidDel="00000000" w:rsidP="00000000" w:rsidRDefault="00000000" w:rsidRPr="00000000" w14:paraId="000007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739">
            <w:pPr>
              <w:rPr>
                <w:sz w:val="22"/>
                <w:szCs w:val="22"/>
              </w:rPr>
            </w:pPr>
            <w:r w:rsidDel="00000000" w:rsidR="00000000" w:rsidRPr="00000000">
              <w:rPr>
                <w:sz w:val="22"/>
                <w:szCs w:val="22"/>
                <w:rtl w:val="0"/>
              </w:rPr>
              <w:t xml:space="preserve">Perceived Necessity of Medicines</w:t>
            </w:r>
          </w:p>
        </w:tc>
      </w:tr>
      <w:tr>
        <w:trPr>
          <w:cantSplit w:val="0"/>
          <w:tblHeader w:val="0"/>
        </w:trPr>
        <w:tc>
          <w:tcPr>
            <w:vMerge w:val="restart"/>
            <w:vAlign w:val="center"/>
          </w:tcPr>
          <w:p w:rsidR="00000000" w:rsidDel="00000000" w:rsidP="00000000" w:rsidRDefault="00000000" w:rsidRPr="00000000" w14:paraId="0000073A">
            <w:pPr>
              <w:rPr>
                <w:sz w:val="22"/>
                <w:szCs w:val="22"/>
              </w:rPr>
            </w:pPr>
            <w:r w:rsidDel="00000000" w:rsidR="00000000" w:rsidRPr="00000000">
              <w:rPr>
                <w:sz w:val="22"/>
                <w:szCs w:val="22"/>
                <w:rtl w:val="0"/>
              </w:rPr>
              <w:t xml:space="preserve">Evaluating Medicines</w:t>
            </w:r>
          </w:p>
        </w:tc>
        <w:tc>
          <w:tcPr>
            <w:vAlign w:val="center"/>
          </w:tcPr>
          <w:p w:rsidR="00000000" w:rsidDel="00000000" w:rsidP="00000000" w:rsidRDefault="00000000" w:rsidRPr="00000000" w14:paraId="0000073B">
            <w:pPr>
              <w:rPr>
                <w:sz w:val="22"/>
                <w:szCs w:val="22"/>
              </w:rPr>
            </w:pPr>
            <w:r w:rsidDel="00000000" w:rsidR="00000000" w:rsidRPr="00000000">
              <w:rPr>
                <w:sz w:val="22"/>
                <w:szCs w:val="22"/>
                <w:rtl w:val="0"/>
              </w:rPr>
              <w:t xml:space="preserve">Trial and Error</w:t>
            </w:r>
          </w:p>
        </w:tc>
      </w:tr>
      <w:tr>
        <w:trPr>
          <w:cantSplit w:val="0"/>
          <w:tblHeader w:val="0"/>
        </w:trPr>
        <w:tc>
          <w:tcPr>
            <w:vMerge w:val="continue"/>
            <w:vAlign w:val="center"/>
          </w:tcPr>
          <w:p w:rsidR="00000000" w:rsidDel="00000000" w:rsidP="00000000" w:rsidRDefault="00000000" w:rsidRPr="00000000" w14:paraId="000007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73D">
            <w:pPr>
              <w:rPr>
                <w:sz w:val="22"/>
                <w:szCs w:val="22"/>
              </w:rPr>
            </w:pPr>
            <w:r w:rsidDel="00000000" w:rsidR="00000000" w:rsidRPr="00000000">
              <w:rPr>
                <w:sz w:val="22"/>
                <w:szCs w:val="22"/>
                <w:rtl w:val="0"/>
              </w:rPr>
              <w:t xml:space="preserve">Safety </w:t>
            </w:r>
          </w:p>
        </w:tc>
      </w:tr>
      <w:tr>
        <w:trPr>
          <w:cantSplit w:val="0"/>
          <w:tblHeader w:val="0"/>
        </w:trPr>
        <w:tc>
          <w:tcPr>
            <w:vMerge w:val="continue"/>
            <w:vAlign w:val="center"/>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73F">
            <w:pPr>
              <w:rPr>
                <w:sz w:val="22"/>
                <w:szCs w:val="22"/>
              </w:rPr>
            </w:pPr>
            <w:r w:rsidDel="00000000" w:rsidR="00000000" w:rsidRPr="00000000">
              <w:rPr>
                <w:sz w:val="22"/>
                <w:szCs w:val="22"/>
                <w:rtl w:val="0"/>
              </w:rPr>
              <w:t xml:space="preserve">Side Effects and Withdrawal Symptoms</w:t>
            </w:r>
          </w:p>
        </w:tc>
      </w:tr>
      <w:tr>
        <w:trPr>
          <w:cantSplit w:val="0"/>
          <w:tblHeader w:val="0"/>
        </w:trPr>
        <w:tc>
          <w:tcPr>
            <w:vMerge w:val="continue"/>
            <w:vAlign w:val="center"/>
          </w:tcPr>
          <w:p w:rsidR="00000000" w:rsidDel="00000000" w:rsidP="00000000" w:rsidRDefault="00000000" w:rsidRPr="00000000" w14:paraId="000007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741">
            <w:pPr>
              <w:keepNext w:val="1"/>
              <w:rPr>
                <w:sz w:val="22"/>
                <w:szCs w:val="22"/>
              </w:rPr>
            </w:pPr>
            <w:r w:rsidDel="00000000" w:rsidR="00000000" w:rsidRPr="00000000">
              <w:rPr>
                <w:sz w:val="22"/>
                <w:szCs w:val="22"/>
                <w:rtl w:val="0"/>
              </w:rPr>
              <w:t xml:space="preserve">Implications of Medicine Use</w:t>
            </w:r>
          </w:p>
        </w:tc>
      </w:tr>
    </w:tbl>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2afmg28" w:id="81"/>
      <w:bookmarkEnd w:id="81"/>
      <w:r w:rsidDel="00000000" w:rsidR="00000000" w:rsidRPr="00000000">
        <w:rPr>
          <w:rtl w:val="0"/>
        </w:rPr>
      </w:r>
    </w:p>
    <w:p w:rsidR="00000000" w:rsidDel="00000000" w:rsidP="00000000" w:rsidRDefault="00000000" w:rsidRPr="00000000" w14:paraId="0000074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pkwqa1" w:id="82"/>
      <w:bookmarkEnd w:id="82"/>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8: A table outlining the themes and subthemes identified in the data, pertaining to the Acceptance and Evaluation of medicines.</w:t>
      </w:r>
    </w:p>
    <w:p w:rsidR="00000000" w:rsidDel="00000000" w:rsidP="00000000" w:rsidRDefault="00000000" w:rsidRPr="00000000" w14:paraId="00000744">
      <w:pPr>
        <w:spacing w:line="480" w:lineRule="auto"/>
        <w:rPr>
          <w:sz w:val="22"/>
          <w:szCs w:val="22"/>
        </w:rPr>
      </w:pPr>
      <w:r w:rsidDel="00000000" w:rsidR="00000000" w:rsidRPr="00000000">
        <w:rPr>
          <w:rtl w:val="0"/>
        </w:rPr>
      </w:r>
    </w:p>
    <w:p w:rsidR="00000000" w:rsidDel="00000000" w:rsidP="00000000" w:rsidRDefault="00000000" w:rsidRPr="00000000" w14:paraId="00000745">
      <w:pPr>
        <w:spacing w:line="480" w:lineRule="auto"/>
        <w:jc w:val="both"/>
        <w:rPr>
          <w:sz w:val="22"/>
          <w:szCs w:val="22"/>
        </w:rPr>
      </w:pPr>
      <w:r w:rsidDel="00000000" w:rsidR="00000000" w:rsidRPr="00000000">
        <w:rPr>
          <w:sz w:val="22"/>
          <w:szCs w:val="22"/>
          <w:rtl w:val="0"/>
        </w:rPr>
        <w:t xml:space="preserve">This first findings chapter explores two aspects of how patients negotiate medicine use, through what are termed the acceptance and evaluation of medicines; these have important temporal elements also, and concern both initial prescribing and decisions about the consumption of medicines, but also as an ongoing aspect of patients’ treatment. It will be shown that there are several factors that patients take into consideration when deciding whether to accept or refuse medicines; accepting or rejecting medicines is a complex decision, informed by previous experience and wider perceptions of medicines. </w:t>
      </w:r>
    </w:p>
    <w:p w:rsidR="00000000" w:rsidDel="00000000" w:rsidP="00000000" w:rsidRDefault="00000000" w:rsidRPr="00000000" w14:paraId="00000746">
      <w:pPr>
        <w:spacing w:line="480" w:lineRule="auto"/>
        <w:jc w:val="both"/>
        <w:rPr>
          <w:sz w:val="22"/>
          <w:szCs w:val="22"/>
        </w:rPr>
      </w:pPr>
      <w:r w:rsidDel="00000000" w:rsidR="00000000" w:rsidRPr="00000000">
        <w:rPr>
          <w:rtl w:val="0"/>
        </w:rPr>
      </w:r>
    </w:p>
    <w:p w:rsidR="00000000" w:rsidDel="00000000" w:rsidP="00000000" w:rsidRDefault="00000000" w:rsidRPr="00000000" w14:paraId="00000747">
      <w:pPr>
        <w:spacing w:line="480" w:lineRule="auto"/>
        <w:jc w:val="both"/>
        <w:rPr>
          <w:sz w:val="22"/>
          <w:szCs w:val="22"/>
        </w:rPr>
      </w:pPr>
      <w:r w:rsidDel="00000000" w:rsidR="00000000" w:rsidRPr="00000000">
        <w:rPr>
          <w:sz w:val="22"/>
          <w:szCs w:val="22"/>
          <w:rtl w:val="0"/>
        </w:rPr>
        <w:t xml:space="preserve">The criteria used to decide whether to use medicines, or not, include previous experiences of treatment, professional communication, and the perceived necessity of medicines. The ongoing evaluation will also encapsulate these issues but will also be shown to consider the implications of medicine use. This chapter will also assess the perception of care and support for this patient group. The acceptance and subsequent evaluation of medicines will be shown to be an important aspect of the patient experience yet will highlight the complexity of this decision. The evaluation of medicines is an ongoing process, with participants utilising their lived experience and opinions formed throughout.</w:t>
      </w:r>
    </w:p>
    <w:p w:rsidR="00000000" w:rsidDel="00000000" w:rsidP="00000000" w:rsidRDefault="00000000" w:rsidRPr="00000000" w14:paraId="00000748">
      <w:pPr>
        <w:spacing w:line="480" w:lineRule="auto"/>
        <w:jc w:val="both"/>
        <w:rPr>
          <w:sz w:val="22"/>
          <w:szCs w:val="22"/>
        </w:rPr>
      </w:pPr>
      <w:r w:rsidDel="00000000" w:rsidR="00000000" w:rsidRPr="00000000">
        <w:rPr>
          <w:rtl w:val="0"/>
        </w:rPr>
      </w:r>
    </w:p>
    <w:p w:rsidR="00000000" w:rsidDel="00000000" w:rsidP="00000000" w:rsidRDefault="00000000" w:rsidRPr="00000000" w14:paraId="00000749">
      <w:pPr>
        <w:pStyle w:val="Heading2"/>
        <w:numPr>
          <w:ilvl w:val="1"/>
          <w:numId w:val="16"/>
        </w:numPr>
        <w:spacing w:line="480" w:lineRule="auto"/>
        <w:ind w:left="720" w:hanging="720"/>
        <w:rPr/>
      </w:pPr>
      <w:bookmarkStart w:colFirst="0" w:colLast="0" w:name="_heading=h.39kk8xu" w:id="83"/>
      <w:bookmarkEnd w:id="83"/>
      <w:r w:rsidDel="00000000" w:rsidR="00000000" w:rsidRPr="00000000">
        <w:rPr>
          <w:rtl w:val="0"/>
        </w:rPr>
        <w:t xml:space="preserve">Accepting Medicines</w:t>
      </w:r>
    </w:p>
    <w:p w:rsidR="00000000" w:rsidDel="00000000" w:rsidP="00000000" w:rsidRDefault="00000000" w:rsidRPr="00000000" w14:paraId="0000074A">
      <w:pPr>
        <w:spacing w:line="480" w:lineRule="auto"/>
        <w:jc w:val="both"/>
        <w:rPr>
          <w:sz w:val="22"/>
          <w:szCs w:val="22"/>
        </w:rPr>
      </w:pPr>
      <w:r w:rsidDel="00000000" w:rsidR="00000000" w:rsidRPr="00000000">
        <w:rPr>
          <w:sz w:val="22"/>
          <w:szCs w:val="22"/>
          <w:rtl w:val="0"/>
        </w:rPr>
        <w:t xml:space="preserve">Agreeing to use medicines was a complex decision for some participants in this study. This decision is often informed by previous experiences of treatment, shared decision making and communication, and the perceived necessity of medicines and alternative treatments. </w:t>
      </w:r>
    </w:p>
    <w:p w:rsidR="00000000" w:rsidDel="00000000" w:rsidP="00000000" w:rsidRDefault="00000000" w:rsidRPr="00000000" w14:paraId="0000074B">
      <w:pPr>
        <w:spacing w:line="480" w:lineRule="auto"/>
        <w:jc w:val="both"/>
        <w:rPr>
          <w:sz w:val="22"/>
          <w:szCs w:val="22"/>
        </w:rPr>
      </w:pPr>
      <w:r w:rsidDel="00000000" w:rsidR="00000000" w:rsidRPr="00000000">
        <w:rPr>
          <w:rtl w:val="0"/>
        </w:rPr>
      </w:r>
    </w:p>
    <w:p w:rsidR="00000000" w:rsidDel="00000000" w:rsidP="00000000" w:rsidRDefault="00000000" w:rsidRPr="00000000" w14:paraId="0000074C">
      <w:pPr>
        <w:spacing w:line="480" w:lineRule="auto"/>
        <w:jc w:val="both"/>
        <w:rPr>
          <w:sz w:val="22"/>
          <w:szCs w:val="22"/>
        </w:rPr>
      </w:pPr>
      <w:r w:rsidDel="00000000" w:rsidR="00000000" w:rsidRPr="00000000">
        <w:rPr>
          <w:sz w:val="22"/>
          <w:szCs w:val="22"/>
          <w:rtl w:val="0"/>
        </w:rPr>
        <w:t xml:space="preserve">When discussing the acceptance of a prescription, and then in turn the acceptance of medicines, the patient choice is an important factor to consider. These decisions are also informed by the participants past experiences, their own understanding and knowledge of their health complaint, or medicines in general. Those who would be clinically considered treatment naïve – for example those who have had less previous engagement with health services, are more likely to be passive in their acceptance of medicines.  Although all participants report some level of choice in their treatment plan, some report a practitioner dominant experience. This was evidenced by the reported lack of shared decision making, with their clinical opinion apparently superseding treatment preferences of the patient. Those who experience shared decision making are likely to approve of their treatment plan more than those who experience a practitioner dominant interaction.</w:t>
      </w:r>
    </w:p>
    <w:p w:rsidR="00000000" w:rsidDel="00000000" w:rsidP="00000000" w:rsidRDefault="00000000" w:rsidRPr="00000000" w14:paraId="0000074D">
      <w:pPr>
        <w:spacing w:line="480" w:lineRule="auto"/>
        <w:jc w:val="both"/>
        <w:rPr>
          <w:sz w:val="22"/>
          <w:szCs w:val="22"/>
        </w:rPr>
      </w:pPr>
      <w:r w:rsidDel="00000000" w:rsidR="00000000" w:rsidRPr="00000000">
        <w:rPr>
          <w:rtl w:val="0"/>
        </w:rPr>
      </w:r>
    </w:p>
    <w:p w:rsidR="00000000" w:rsidDel="00000000" w:rsidP="00000000" w:rsidRDefault="00000000" w:rsidRPr="00000000" w14:paraId="0000074E">
      <w:pPr>
        <w:spacing w:line="480" w:lineRule="auto"/>
        <w:jc w:val="both"/>
        <w:rPr>
          <w:sz w:val="22"/>
          <w:szCs w:val="22"/>
        </w:rPr>
      </w:pPr>
      <w:r w:rsidDel="00000000" w:rsidR="00000000" w:rsidRPr="00000000">
        <w:rPr>
          <w:sz w:val="22"/>
          <w:szCs w:val="22"/>
          <w:rtl w:val="0"/>
        </w:rPr>
        <w:t xml:space="preserve">Communication was another important factor to consider when discussing the acceptance of medicines. Information sharing is an important aspect of shared decision making and informed consent. Although all participants feel their practitioner shared information, the quality and quantity of information sharing varied. This ranged from a complete absence of information sharing, to being instructed to read the information pamphlet in the medicines, to an in-depth discussion around their risks. This was sometimes based on the patients’ preference, however. When discussing the level of information sharing, informed consent can be difficult to achieve. As a result of this lack of information, some participants feel they would not have accepted a prescription if they had been informed of the risks. Where information is shared, it has been found in some accounts that information has been shared in an inappropriate manner, causing some to feel anxiety and concern around their use. </w:t>
      </w:r>
    </w:p>
    <w:p w:rsidR="00000000" w:rsidDel="00000000" w:rsidP="00000000" w:rsidRDefault="00000000" w:rsidRPr="00000000" w14:paraId="0000074F">
      <w:pPr>
        <w:spacing w:line="480" w:lineRule="auto"/>
        <w:jc w:val="both"/>
        <w:rPr>
          <w:sz w:val="22"/>
          <w:szCs w:val="22"/>
        </w:rPr>
      </w:pPr>
      <w:r w:rsidDel="00000000" w:rsidR="00000000" w:rsidRPr="00000000">
        <w:rPr>
          <w:rtl w:val="0"/>
        </w:rPr>
      </w:r>
    </w:p>
    <w:p w:rsidR="00000000" w:rsidDel="00000000" w:rsidP="00000000" w:rsidRDefault="00000000" w:rsidRPr="00000000" w14:paraId="00000750">
      <w:pPr>
        <w:spacing w:line="480" w:lineRule="auto"/>
        <w:jc w:val="both"/>
        <w:rPr>
          <w:sz w:val="22"/>
          <w:szCs w:val="22"/>
        </w:rPr>
      </w:pPr>
      <w:r w:rsidDel="00000000" w:rsidR="00000000" w:rsidRPr="00000000">
        <w:rPr>
          <w:sz w:val="22"/>
          <w:szCs w:val="22"/>
          <w:rtl w:val="0"/>
        </w:rPr>
        <w:t xml:space="preserve">The perceived necessity of medicines was also an important factor contributing to the acceptance or not of prescribed medicines. This includes the perceived complexity of severity of the presenting health complaint, such as an active mental health crisis or significant pain. Those who perceived a lack of an alternative treatment plan may believe medication was their only option, even if this would not be their preference ordinarily. Although the preference for alternative treatments and secondary care superseded that of medication use, there was an acceptance of medicines as a result of a perceived limited accessibility to these services due to extensive waiting times, alongside other barriers to alternative treatments. </w:t>
      </w:r>
    </w:p>
    <w:p w:rsidR="00000000" w:rsidDel="00000000" w:rsidP="00000000" w:rsidRDefault="00000000" w:rsidRPr="00000000" w14:paraId="00000751">
      <w:pPr>
        <w:spacing w:line="480" w:lineRule="auto"/>
        <w:jc w:val="both"/>
        <w:rPr>
          <w:sz w:val="22"/>
          <w:szCs w:val="22"/>
        </w:rPr>
      </w:pPr>
      <w:r w:rsidDel="00000000" w:rsidR="00000000" w:rsidRPr="00000000">
        <w:rPr>
          <w:rtl w:val="0"/>
        </w:rPr>
      </w:r>
    </w:p>
    <w:p w:rsidR="00000000" w:rsidDel="00000000" w:rsidP="00000000" w:rsidRDefault="00000000" w:rsidRPr="00000000" w14:paraId="00000752">
      <w:pPr>
        <w:pStyle w:val="Heading3"/>
        <w:spacing w:line="480" w:lineRule="auto"/>
        <w:rPr/>
      </w:pPr>
      <w:bookmarkStart w:colFirst="0" w:colLast="0" w:name="_heading=h.1opuj5n" w:id="84"/>
      <w:bookmarkEnd w:id="84"/>
      <w:r w:rsidDel="00000000" w:rsidR="00000000" w:rsidRPr="00000000">
        <w:rPr>
          <w:rtl w:val="0"/>
        </w:rPr>
        <w:t xml:space="preserve">Choices</w:t>
      </w:r>
    </w:p>
    <w:p w:rsidR="00000000" w:rsidDel="00000000" w:rsidP="00000000" w:rsidRDefault="00000000" w:rsidRPr="00000000" w14:paraId="00000753">
      <w:pPr>
        <w:spacing w:line="480" w:lineRule="auto"/>
        <w:jc w:val="both"/>
        <w:rPr>
          <w:sz w:val="22"/>
          <w:szCs w:val="22"/>
        </w:rPr>
      </w:pPr>
      <w:r w:rsidDel="00000000" w:rsidR="00000000" w:rsidRPr="00000000">
        <w:rPr>
          <w:sz w:val="22"/>
          <w:szCs w:val="22"/>
          <w:rtl w:val="0"/>
        </w:rPr>
        <w:t xml:space="preserve">An important factor contributing to the acceptance of medicines, and the initial prescription, is the patient’s choice. The decision to accept medicines were based on several factors. These include shared decision making, the level of knowledge and understanding the participant feels they have based on past experiences, and the power dynamic between the patient and their practitioner.</w:t>
      </w:r>
    </w:p>
    <w:p w:rsidR="00000000" w:rsidDel="00000000" w:rsidP="00000000" w:rsidRDefault="00000000" w:rsidRPr="00000000" w14:paraId="00000754">
      <w:pPr>
        <w:spacing w:line="480" w:lineRule="auto"/>
        <w:jc w:val="both"/>
        <w:rPr>
          <w:sz w:val="22"/>
          <w:szCs w:val="22"/>
        </w:rPr>
      </w:pPr>
      <w:r w:rsidDel="00000000" w:rsidR="00000000" w:rsidRPr="00000000">
        <w:rPr>
          <w:sz w:val="22"/>
          <w:szCs w:val="22"/>
          <w:rtl w:val="0"/>
        </w:rPr>
        <w:t xml:space="preserve">Shared decision-making is considered an important aspect of healthcare provision, as will be shown in </w:t>
      </w:r>
      <w:hyperlink w:anchor="_heading=h.243i4a2">
        <w:r w:rsidDel="00000000" w:rsidR="00000000" w:rsidRPr="00000000">
          <w:rPr>
            <w:color w:val="467886"/>
            <w:sz w:val="22"/>
            <w:szCs w:val="22"/>
            <w:u w:val="single"/>
            <w:rtl w:val="0"/>
          </w:rPr>
          <w:t xml:space="preserve">Section 7.7. of the Discussion</w:t>
        </w:r>
      </w:hyperlink>
      <w:r w:rsidDel="00000000" w:rsidR="00000000" w:rsidRPr="00000000">
        <w:rPr>
          <w:sz w:val="22"/>
          <w:szCs w:val="22"/>
          <w:rtl w:val="0"/>
        </w:rPr>
        <w:t xml:space="preserve"> (p. 247), and this was evident in the data. All participants reported having been offered a choice in their healthcare, however, how much choice the participant is given differs. Some participants describe autonomy in their health choices, whereas others report a practitioner dominant interaction. Participants who experienced a patient-led approach and shared decision-making identified this as a facilitator to treatment and accepting medicines. Where the care is considered patient-led, participants feel they are being listened to and supported:</w:t>
      </w:r>
    </w:p>
    <w:p w:rsidR="00000000" w:rsidDel="00000000" w:rsidP="00000000" w:rsidRDefault="00000000" w:rsidRPr="00000000" w14:paraId="00000755">
      <w:pPr>
        <w:spacing w:line="480" w:lineRule="auto"/>
        <w:jc w:val="both"/>
        <w:rPr>
          <w:sz w:val="22"/>
          <w:szCs w:val="22"/>
        </w:rPr>
      </w:pPr>
      <w:r w:rsidDel="00000000" w:rsidR="00000000" w:rsidRPr="00000000">
        <w:rPr>
          <w:rtl w:val="0"/>
        </w:rPr>
      </w:r>
    </w:p>
    <w:p w:rsidR="00000000" w:rsidDel="00000000" w:rsidP="00000000" w:rsidRDefault="00000000" w:rsidRPr="00000000" w14:paraId="0000075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think all my opinions always being taken into consideration with any of that it’s always been effectively my choice around things I guess I’ve got a lot of experience in it now but certainly from the onset I mean the initial GP that so about it I think I was very fortunate in that they were very receptive and it was a discussion I was given the option and I went away and thought about whether I wanted to go on them.</w:t>
      </w:r>
      <w:r w:rsidDel="00000000" w:rsidR="00000000" w:rsidRPr="00000000">
        <w:rPr>
          <w:sz w:val="22"/>
          <w:szCs w:val="22"/>
          <w:rtl w:val="0"/>
        </w:rPr>
        <w:t xml:space="preserve">”</w:t>
      </w:r>
    </w:p>
    <w:p w:rsidR="00000000" w:rsidDel="00000000" w:rsidP="00000000" w:rsidRDefault="00000000" w:rsidRPr="00000000" w14:paraId="00000757">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758">
      <w:pPr>
        <w:spacing w:line="480" w:lineRule="auto"/>
        <w:jc w:val="right"/>
        <w:rPr>
          <w:sz w:val="22"/>
          <w:szCs w:val="22"/>
        </w:rPr>
      </w:pPr>
      <w:r w:rsidDel="00000000" w:rsidR="00000000" w:rsidRPr="00000000">
        <w:rPr>
          <w:rtl w:val="0"/>
        </w:rPr>
      </w:r>
    </w:p>
    <w:p w:rsidR="00000000" w:rsidDel="00000000" w:rsidP="00000000" w:rsidRDefault="00000000" w:rsidRPr="00000000" w14:paraId="00000759">
      <w:pPr>
        <w:spacing w:line="480" w:lineRule="auto"/>
        <w:jc w:val="both"/>
        <w:rPr>
          <w:sz w:val="22"/>
          <w:szCs w:val="22"/>
        </w:rPr>
      </w:pPr>
      <w:r w:rsidDel="00000000" w:rsidR="00000000" w:rsidRPr="00000000">
        <w:rPr>
          <w:sz w:val="22"/>
          <w:szCs w:val="22"/>
          <w:rtl w:val="0"/>
        </w:rPr>
        <w:t xml:space="preserve">Although many report shared decision making, some participants recollect experiences that could be described as a passive interaction. This was either due to the participants’ own limited understanding or practitioner-dominant interactions. Individuals who felt they had little to no understanding or knowledge regarding their health condition, or medicines, described this passive role in their care. This passive acceptance typically involved listening to the prescriber’s opinions and following their advice, often with little to no discussion. </w:t>
      </w:r>
    </w:p>
    <w:p w:rsidR="00000000" w:rsidDel="00000000" w:rsidP="00000000" w:rsidRDefault="00000000" w:rsidRPr="00000000" w14:paraId="0000075A">
      <w:pPr>
        <w:spacing w:line="480" w:lineRule="auto"/>
        <w:jc w:val="both"/>
        <w:rPr>
          <w:sz w:val="22"/>
          <w:szCs w:val="22"/>
        </w:rPr>
      </w:pPr>
      <w:r w:rsidDel="00000000" w:rsidR="00000000" w:rsidRPr="00000000">
        <w:rPr>
          <w:rtl w:val="0"/>
        </w:rPr>
      </w:r>
    </w:p>
    <w:p w:rsidR="00000000" w:rsidDel="00000000" w:rsidP="00000000" w:rsidRDefault="00000000" w:rsidRPr="00000000" w14:paraId="0000075B">
      <w:pPr>
        <w:spacing w:line="480" w:lineRule="auto"/>
        <w:jc w:val="both"/>
        <w:rPr>
          <w:sz w:val="22"/>
          <w:szCs w:val="22"/>
        </w:rPr>
      </w:pPr>
      <w:r w:rsidDel="00000000" w:rsidR="00000000" w:rsidRPr="00000000">
        <w:rPr>
          <w:sz w:val="22"/>
          <w:szCs w:val="22"/>
          <w:rtl w:val="0"/>
        </w:rPr>
        <w:t xml:space="preserve">When reflecting on this initial interaction, some participants felt unable to make an informed choice when accepting medicines. This was described by </w:t>
      </w:r>
      <w:r w:rsidDel="00000000" w:rsidR="00000000" w:rsidRPr="00000000">
        <w:rPr>
          <w:i w:val="1"/>
          <w:sz w:val="22"/>
          <w:szCs w:val="22"/>
          <w:rtl w:val="0"/>
        </w:rPr>
        <w:t xml:space="preserve">William</w:t>
      </w:r>
      <w:r w:rsidDel="00000000" w:rsidR="00000000" w:rsidRPr="00000000">
        <w:rPr>
          <w:sz w:val="22"/>
          <w:szCs w:val="22"/>
          <w:rtl w:val="0"/>
        </w:rPr>
        <w:t xml:space="preserve">, who felt at the time, he did not have adequate knowledge of his condition to ask questions or discuss alternative treatment options: </w:t>
      </w:r>
    </w:p>
    <w:p w:rsidR="00000000" w:rsidDel="00000000" w:rsidP="00000000" w:rsidRDefault="00000000" w:rsidRPr="00000000" w14:paraId="0000075C">
      <w:pPr>
        <w:spacing w:line="480" w:lineRule="auto"/>
        <w:jc w:val="both"/>
        <w:rPr>
          <w:sz w:val="22"/>
          <w:szCs w:val="22"/>
        </w:rPr>
      </w:pPr>
      <w:r w:rsidDel="00000000" w:rsidR="00000000" w:rsidRPr="00000000">
        <w:rPr>
          <w:rtl w:val="0"/>
        </w:rPr>
      </w:r>
    </w:p>
    <w:p w:rsidR="00000000" w:rsidDel="00000000" w:rsidP="00000000" w:rsidRDefault="00000000" w:rsidRPr="00000000" w14:paraId="0000075D">
      <w:pPr>
        <w:spacing w:line="480" w:lineRule="auto"/>
        <w:ind w:left="709" w:firstLine="0"/>
        <w:jc w:val="both"/>
        <w:rPr>
          <w:sz w:val="22"/>
          <w:szCs w:val="22"/>
        </w:rPr>
      </w:pPr>
      <w:r w:rsidDel="00000000" w:rsidR="00000000" w:rsidRPr="00000000">
        <w:rPr>
          <w:sz w:val="22"/>
          <w:szCs w:val="22"/>
          <w:rtl w:val="0"/>
        </w:rPr>
        <w:t xml:space="preserve"> “</w:t>
      </w:r>
      <w:r w:rsidDel="00000000" w:rsidR="00000000" w:rsidRPr="00000000">
        <w:rPr>
          <w:i w:val="1"/>
          <w:sz w:val="22"/>
          <w:szCs w:val="22"/>
          <w:rtl w:val="0"/>
        </w:rPr>
        <w:t xml:space="preserve">I think she probably gave me the names of a few alternative drugs, but the thing is, none of it meant anything to me. So, I was kind of just guided by my doctor. I just said, whatever you recommend, because I think if they did give me a couple of names of alternative drugs. I don’t know what they are or what the difference is anyway. So, I couldn’t really make an informed choice particularly.</w:t>
      </w:r>
      <w:r w:rsidDel="00000000" w:rsidR="00000000" w:rsidRPr="00000000">
        <w:rPr>
          <w:sz w:val="22"/>
          <w:szCs w:val="22"/>
          <w:rtl w:val="0"/>
        </w:rPr>
        <w:t xml:space="preserve">”</w:t>
      </w:r>
    </w:p>
    <w:p w:rsidR="00000000" w:rsidDel="00000000" w:rsidP="00000000" w:rsidRDefault="00000000" w:rsidRPr="00000000" w14:paraId="0000075E">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75F">
      <w:pPr>
        <w:spacing w:line="480" w:lineRule="auto"/>
        <w:jc w:val="right"/>
        <w:rPr>
          <w:sz w:val="22"/>
          <w:szCs w:val="22"/>
        </w:rPr>
      </w:pPr>
      <w:r w:rsidDel="00000000" w:rsidR="00000000" w:rsidRPr="00000000">
        <w:rPr>
          <w:rtl w:val="0"/>
        </w:rPr>
      </w:r>
    </w:p>
    <w:p w:rsidR="00000000" w:rsidDel="00000000" w:rsidP="00000000" w:rsidRDefault="00000000" w:rsidRPr="00000000" w14:paraId="0000076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No, that’s just given to me… Because I think I was because I didn’t know anything about nerve pain or anything and it was not always expecting to be on them, I suppose I just didn’t know what to ask really</w:t>
      </w:r>
      <w:r w:rsidDel="00000000" w:rsidR="00000000" w:rsidRPr="00000000">
        <w:rPr>
          <w:sz w:val="22"/>
          <w:szCs w:val="22"/>
          <w:rtl w:val="0"/>
        </w:rPr>
        <w:t xml:space="preserve">.”</w:t>
      </w:r>
    </w:p>
    <w:p w:rsidR="00000000" w:rsidDel="00000000" w:rsidP="00000000" w:rsidRDefault="00000000" w:rsidRPr="00000000" w14:paraId="00000761">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762">
      <w:pPr>
        <w:spacing w:line="480" w:lineRule="auto"/>
        <w:jc w:val="right"/>
        <w:rPr>
          <w:sz w:val="22"/>
          <w:szCs w:val="22"/>
        </w:rPr>
      </w:pPr>
      <w:r w:rsidDel="00000000" w:rsidR="00000000" w:rsidRPr="00000000">
        <w:rPr>
          <w:rtl w:val="0"/>
        </w:rPr>
      </w:r>
    </w:p>
    <w:p w:rsidR="00000000" w:rsidDel="00000000" w:rsidP="00000000" w:rsidRDefault="00000000" w:rsidRPr="00000000" w14:paraId="00000763">
      <w:pPr>
        <w:spacing w:line="480" w:lineRule="auto"/>
        <w:jc w:val="both"/>
        <w:rPr>
          <w:sz w:val="22"/>
          <w:szCs w:val="22"/>
        </w:rPr>
      </w:pPr>
      <w:r w:rsidDel="00000000" w:rsidR="00000000" w:rsidRPr="00000000">
        <w:rPr>
          <w:sz w:val="22"/>
          <w:szCs w:val="22"/>
          <w:rtl w:val="0"/>
        </w:rPr>
        <w:t xml:space="preserve">It is important to note, however, that the age of the participant is a factor which should be taken into consideration when discussing informed decision making and choices. Both </w:t>
      </w:r>
      <w:r w:rsidDel="00000000" w:rsidR="00000000" w:rsidRPr="00000000">
        <w:rPr>
          <w:i w:val="1"/>
          <w:sz w:val="22"/>
          <w:szCs w:val="22"/>
          <w:rtl w:val="0"/>
        </w:rPr>
        <w:t xml:space="preserve">Imogen</w:t>
      </w:r>
      <w:r w:rsidDel="00000000" w:rsidR="00000000" w:rsidRPr="00000000">
        <w:rPr>
          <w:sz w:val="22"/>
          <w:szCs w:val="22"/>
          <w:rtl w:val="0"/>
        </w:rPr>
        <w:t xml:space="preserve"> and </w:t>
      </w:r>
      <w:r w:rsidDel="00000000" w:rsidR="00000000" w:rsidRPr="00000000">
        <w:rPr>
          <w:i w:val="1"/>
          <w:sz w:val="22"/>
          <w:szCs w:val="22"/>
          <w:rtl w:val="0"/>
        </w:rPr>
        <w:t xml:space="preserve">Joana</w:t>
      </w:r>
      <w:r w:rsidDel="00000000" w:rsidR="00000000" w:rsidRPr="00000000">
        <w:rPr>
          <w:sz w:val="22"/>
          <w:szCs w:val="22"/>
          <w:rtl w:val="0"/>
        </w:rPr>
        <w:t xml:space="preserve"> were under eighteen when commencing some medicines. Therefore, felt they did not have insight into their health condition, and what was appropriate and proportionate treatment. This was also evident when discussing the risks associated with the medicine:</w:t>
      </w:r>
    </w:p>
    <w:p w:rsidR="00000000" w:rsidDel="00000000" w:rsidP="00000000" w:rsidRDefault="00000000" w:rsidRPr="00000000" w14:paraId="00000764">
      <w:pPr>
        <w:spacing w:line="480" w:lineRule="auto"/>
        <w:rPr>
          <w:sz w:val="22"/>
          <w:szCs w:val="22"/>
        </w:rPr>
      </w:pPr>
      <w:r w:rsidDel="00000000" w:rsidR="00000000" w:rsidRPr="00000000">
        <w:rPr>
          <w:rtl w:val="0"/>
        </w:rPr>
      </w:r>
    </w:p>
    <w:p w:rsidR="00000000" w:rsidDel="00000000" w:rsidP="00000000" w:rsidRDefault="00000000" w:rsidRPr="00000000" w14:paraId="0000076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At the time at 16 years old I didn’t have the information or the understanding or knowledge of how they work now so I didn’t really have the resources to understand.</w:t>
      </w:r>
      <w:r w:rsidDel="00000000" w:rsidR="00000000" w:rsidRPr="00000000">
        <w:rPr>
          <w:sz w:val="22"/>
          <w:szCs w:val="22"/>
          <w:rtl w:val="0"/>
        </w:rPr>
        <w:t xml:space="preserve">”</w:t>
      </w:r>
    </w:p>
    <w:p w:rsidR="00000000" w:rsidDel="00000000" w:rsidP="00000000" w:rsidRDefault="00000000" w:rsidRPr="00000000" w14:paraId="00000766">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767">
      <w:pPr>
        <w:spacing w:line="480" w:lineRule="auto"/>
        <w:jc w:val="right"/>
        <w:rPr>
          <w:sz w:val="22"/>
          <w:szCs w:val="22"/>
        </w:rPr>
      </w:pPr>
      <w:r w:rsidDel="00000000" w:rsidR="00000000" w:rsidRPr="00000000">
        <w:rPr>
          <w:rtl w:val="0"/>
        </w:rPr>
      </w:r>
    </w:p>
    <w:p w:rsidR="00000000" w:rsidDel="00000000" w:rsidP="00000000" w:rsidRDefault="00000000" w:rsidRPr="00000000" w14:paraId="0000076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was 15 years old they never discussed the potential effects, and I remember my mum was already upset about this.</w:t>
      </w:r>
      <w:r w:rsidDel="00000000" w:rsidR="00000000" w:rsidRPr="00000000">
        <w:rPr>
          <w:sz w:val="22"/>
          <w:szCs w:val="22"/>
          <w:rtl w:val="0"/>
        </w:rPr>
        <w:t xml:space="preserve">”</w:t>
      </w:r>
    </w:p>
    <w:p w:rsidR="00000000" w:rsidDel="00000000" w:rsidP="00000000" w:rsidRDefault="00000000" w:rsidRPr="00000000" w14:paraId="00000769">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76A">
      <w:pPr>
        <w:spacing w:line="480" w:lineRule="auto"/>
        <w:jc w:val="both"/>
        <w:rPr>
          <w:sz w:val="22"/>
          <w:szCs w:val="22"/>
        </w:rPr>
      </w:pPr>
      <w:r w:rsidDel="00000000" w:rsidR="00000000" w:rsidRPr="00000000">
        <w:rPr>
          <w:rtl w:val="0"/>
        </w:rPr>
      </w:r>
    </w:p>
    <w:p w:rsidR="00000000" w:rsidDel="00000000" w:rsidP="00000000" w:rsidRDefault="00000000" w:rsidRPr="00000000" w14:paraId="0000076B">
      <w:pPr>
        <w:spacing w:line="480" w:lineRule="auto"/>
        <w:jc w:val="both"/>
        <w:rPr>
          <w:sz w:val="22"/>
          <w:szCs w:val="22"/>
        </w:rPr>
      </w:pPr>
      <w:r w:rsidDel="00000000" w:rsidR="00000000" w:rsidRPr="00000000">
        <w:rPr>
          <w:sz w:val="22"/>
          <w:szCs w:val="22"/>
          <w:rtl w:val="0"/>
        </w:rPr>
        <w:t xml:space="preserve">Some participants, however, report some level of understanding of their health and the medicines used to treat their complaint. This group of participants report understanding what may be most appropriate for their care, with some engaging in a discussion with the prescriber regarding their preferences. This aspect of shared decision making was a factor that was taken into consideration when deciding if they were to accept their medicine or not. These participants who report a good understanding of their condition have typically used medicines in the past. This previous experience informed participants of what medicines “</w:t>
      </w:r>
      <w:r w:rsidDel="00000000" w:rsidR="00000000" w:rsidRPr="00000000">
        <w:rPr>
          <w:i w:val="1"/>
          <w:sz w:val="22"/>
          <w:szCs w:val="22"/>
          <w:rtl w:val="0"/>
        </w:rPr>
        <w:t xml:space="preserve">suited them</w:t>
      </w:r>
      <w:r w:rsidDel="00000000" w:rsidR="00000000" w:rsidRPr="00000000">
        <w:rPr>
          <w:sz w:val="22"/>
          <w:szCs w:val="22"/>
          <w:rtl w:val="0"/>
        </w:rPr>
        <w:t xml:space="preserve">”, or where medicines may or may not be necessary. It also informed these participants of where alternative treatments would be more appropriate, as in the case of Alice: </w:t>
      </w:r>
    </w:p>
    <w:p w:rsidR="00000000" w:rsidDel="00000000" w:rsidP="00000000" w:rsidRDefault="00000000" w:rsidRPr="00000000" w14:paraId="0000076C">
      <w:pPr>
        <w:spacing w:line="480" w:lineRule="auto"/>
        <w:jc w:val="both"/>
        <w:rPr>
          <w:sz w:val="22"/>
          <w:szCs w:val="22"/>
        </w:rPr>
      </w:pPr>
      <w:r w:rsidDel="00000000" w:rsidR="00000000" w:rsidRPr="00000000">
        <w:rPr>
          <w:rtl w:val="0"/>
        </w:rPr>
      </w:r>
    </w:p>
    <w:p w:rsidR="00000000" w:rsidDel="00000000" w:rsidP="00000000" w:rsidRDefault="00000000" w:rsidRPr="00000000" w14:paraId="0000076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I’ve had talking therapy myself I’ve also had EMDR for post-traumatic stress disorder… I’ve had a lot of therapy and that wasn’t something I felt I need, and I made that quite clear to my doctor… I really respected my doctor for that and really liked [inaudible] on me erm. I really respected that and liked that my doctor allowed me to take control of that</w:t>
      </w:r>
      <w:r w:rsidDel="00000000" w:rsidR="00000000" w:rsidRPr="00000000">
        <w:rPr>
          <w:sz w:val="22"/>
          <w:szCs w:val="22"/>
          <w:rtl w:val="0"/>
        </w:rPr>
        <w:t xml:space="preserve">…</w:t>
      </w:r>
      <w:r w:rsidDel="00000000" w:rsidR="00000000" w:rsidRPr="00000000">
        <w:rPr>
          <w:i w:val="1"/>
          <w:rtl w:val="0"/>
        </w:rPr>
        <w:t xml:space="preserve"> </w:t>
      </w:r>
      <w:r w:rsidDel="00000000" w:rsidR="00000000" w:rsidRPr="00000000">
        <w:rPr>
          <w:i w:val="1"/>
          <w:sz w:val="22"/>
          <w:szCs w:val="22"/>
          <w:rtl w:val="0"/>
        </w:rPr>
        <w:t xml:space="preserve">I felt it was a chemical imbalance in my brain and that’s why I chose medication.</w:t>
      </w:r>
      <w:r w:rsidDel="00000000" w:rsidR="00000000" w:rsidRPr="00000000">
        <w:rPr>
          <w:sz w:val="22"/>
          <w:szCs w:val="22"/>
          <w:rtl w:val="0"/>
        </w:rPr>
        <w:t xml:space="preserve">”</w:t>
      </w:r>
    </w:p>
    <w:p w:rsidR="00000000" w:rsidDel="00000000" w:rsidP="00000000" w:rsidRDefault="00000000" w:rsidRPr="00000000" w14:paraId="0000076E">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76F">
      <w:pPr>
        <w:spacing w:line="480" w:lineRule="auto"/>
        <w:rPr>
          <w:sz w:val="22"/>
          <w:szCs w:val="22"/>
        </w:rPr>
      </w:pPr>
      <w:r w:rsidDel="00000000" w:rsidR="00000000" w:rsidRPr="00000000">
        <w:rPr>
          <w:rtl w:val="0"/>
        </w:rPr>
      </w:r>
    </w:p>
    <w:p w:rsidR="00000000" w:rsidDel="00000000" w:rsidP="00000000" w:rsidRDefault="00000000" w:rsidRPr="00000000" w14:paraId="0000077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They suggested it might be useful and it’d be worth to try it. Then I think from that whatever come off them and then it’s got bad again, I thought I’ve been on them before I know it’s a quick fix so that they didn’t really push them, it was more like is it possible to start on them again?</w:t>
      </w:r>
      <w:r w:rsidDel="00000000" w:rsidR="00000000" w:rsidRPr="00000000">
        <w:rPr>
          <w:sz w:val="22"/>
          <w:szCs w:val="22"/>
          <w:rtl w:val="0"/>
        </w:rPr>
        <w:t xml:space="preserve">”</w:t>
      </w:r>
    </w:p>
    <w:p w:rsidR="00000000" w:rsidDel="00000000" w:rsidP="00000000" w:rsidRDefault="00000000" w:rsidRPr="00000000" w14:paraId="00000771">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772">
      <w:pPr>
        <w:spacing w:line="480" w:lineRule="auto"/>
        <w:jc w:val="both"/>
        <w:rPr>
          <w:sz w:val="22"/>
          <w:szCs w:val="22"/>
        </w:rPr>
      </w:pPr>
      <w:r w:rsidDel="00000000" w:rsidR="00000000" w:rsidRPr="00000000">
        <w:rPr>
          <w:sz w:val="22"/>
          <w:szCs w:val="22"/>
          <w:rtl w:val="0"/>
        </w:rPr>
        <w:t xml:space="preserve">Participants, however, also report practitioner dominant interactions. This was evidenced by the perceived and reported lack of shared decision making on part of the practitioner, where their professional opinion was perceived to supersede that of the participant:</w:t>
      </w:r>
    </w:p>
    <w:p w:rsidR="00000000" w:rsidDel="00000000" w:rsidP="00000000" w:rsidRDefault="00000000" w:rsidRPr="00000000" w14:paraId="00000773">
      <w:pPr>
        <w:spacing w:line="480" w:lineRule="auto"/>
        <w:jc w:val="both"/>
        <w:rPr>
          <w:sz w:val="22"/>
          <w:szCs w:val="22"/>
        </w:rPr>
      </w:pPr>
      <w:r w:rsidDel="00000000" w:rsidR="00000000" w:rsidRPr="00000000">
        <w:rPr>
          <w:rtl w:val="0"/>
        </w:rPr>
      </w:r>
    </w:p>
    <w:p w:rsidR="00000000" w:rsidDel="00000000" w:rsidP="00000000" w:rsidRDefault="00000000" w:rsidRPr="00000000" w14:paraId="00000774">
      <w:pPr>
        <w:spacing w:line="480" w:lineRule="auto"/>
        <w:ind w:left="709" w:firstLine="0"/>
        <w:jc w:val="both"/>
        <w:rPr>
          <w:sz w:val="22"/>
          <w:szCs w:val="22"/>
        </w:rPr>
      </w:pPr>
      <w:r w:rsidDel="00000000" w:rsidR="00000000" w:rsidRPr="00000000">
        <w:rPr>
          <w:sz w:val="22"/>
          <w:szCs w:val="22"/>
          <w:rtl w:val="0"/>
        </w:rPr>
        <w:tab/>
        <w:t xml:space="preserve">“</w:t>
      </w:r>
      <w:r w:rsidDel="00000000" w:rsidR="00000000" w:rsidRPr="00000000">
        <w:rPr>
          <w:i w:val="1"/>
          <w:sz w:val="22"/>
          <w:szCs w:val="22"/>
          <w:rtl w:val="0"/>
        </w:rPr>
        <w:t xml:space="preserve">It was very pharmaceutical led… They gave me the option [of alternatives] but that was a technical option it wasn’t a matter of these are all of your options make your informed choice after you have gone away and had a look… I was battling with a few things at the time, and I guess it’s quite easy when you’re in a put what’s the easiest way to not feel like this</w:t>
      </w:r>
      <w:r w:rsidDel="00000000" w:rsidR="00000000" w:rsidRPr="00000000">
        <w:rPr>
          <w:sz w:val="22"/>
          <w:szCs w:val="22"/>
          <w:rtl w:val="0"/>
        </w:rPr>
        <w:t xml:space="preserve">.”</w:t>
      </w:r>
    </w:p>
    <w:p w:rsidR="00000000" w:rsidDel="00000000" w:rsidP="00000000" w:rsidRDefault="00000000" w:rsidRPr="00000000" w14:paraId="00000775">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776">
      <w:pPr>
        <w:tabs>
          <w:tab w:val="left" w:leader="none" w:pos="3021"/>
        </w:tabs>
        <w:spacing w:line="480" w:lineRule="auto"/>
        <w:jc w:val="both"/>
        <w:rPr>
          <w:sz w:val="22"/>
          <w:szCs w:val="22"/>
        </w:rPr>
      </w:pPr>
      <w:r w:rsidDel="00000000" w:rsidR="00000000" w:rsidRPr="00000000">
        <w:rPr>
          <w:rtl w:val="0"/>
        </w:rPr>
      </w:r>
    </w:p>
    <w:p w:rsidR="00000000" w:rsidDel="00000000" w:rsidP="00000000" w:rsidRDefault="00000000" w:rsidRPr="00000000" w14:paraId="00000777">
      <w:pPr>
        <w:spacing w:line="480" w:lineRule="auto"/>
        <w:jc w:val="both"/>
        <w:rPr>
          <w:sz w:val="22"/>
          <w:szCs w:val="22"/>
        </w:rPr>
      </w:pPr>
      <w:r w:rsidDel="00000000" w:rsidR="00000000" w:rsidRPr="00000000">
        <w:rPr>
          <w:sz w:val="22"/>
          <w:szCs w:val="22"/>
          <w:rtl w:val="0"/>
        </w:rPr>
        <w:t xml:space="preserve">The provision of alternatives will be discussed </w:t>
      </w:r>
      <w:hyperlink w:anchor="_heading=h.2szc72q">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(p. 169). These practitioner dominant interactions are also evidenced in some accounts, where participants describe feeling as though they were “</w:t>
      </w:r>
      <w:r w:rsidDel="00000000" w:rsidR="00000000" w:rsidRPr="00000000">
        <w:rPr>
          <w:i w:val="1"/>
          <w:sz w:val="22"/>
          <w:szCs w:val="22"/>
          <w:rtl w:val="0"/>
        </w:rPr>
        <w:t xml:space="preserve">persuaded</w:t>
      </w:r>
      <w:r w:rsidDel="00000000" w:rsidR="00000000" w:rsidRPr="00000000">
        <w:rPr>
          <w:sz w:val="22"/>
          <w:szCs w:val="22"/>
          <w:rtl w:val="0"/>
        </w:rPr>
        <w:t xml:space="preserve">” to use a particular medicine, where there appeared to be implied resistance from the participant:</w:t>
      </w:r>
    </w:p>
    <w:p w:rsidR="00000000" w:rsidDel="00000000" w:rsidP="00000000" w:rsidRDefault="00000000" w:rsidRPr="00000000" w14:paraId="00000778">
      <w:pPr>
        <w:spacing w:line="480" w:lineRule="auto"/>
        <w:ind w:left="709" w:firstLine="0"/>
        <w:jc w:val="both"/>
        <w:rPr>
          <w:sz w:val="22"/>
          <w:szCs w:val="22"/>
        </w:rPr>
      </w:pPr>
      <w:r w:rsidDel="00000000" w:rsidR="00000000" w:rsidRPr="00000000">
        <w:rPr>
          <w:rtl w:val="0"/>
        </w:rPr>
      </w:r>
    </w:p>
    <w:p w:rsidR="00000000" w:rsidDel="00000000" w:rsidP="00000000" w:rsidRDefault="00000000" w:rsidRPr="00000000" w14:paraId="00000779">
      <w:pPr>
        <w:spacing w:line="480" w:lineRule="auto"/>
        <w:ind w:left="709" w:firstLine="0"/>
        <w:jc w:val="both"/>
        <w:rPr>
          <w:sz w:val="21"/>
          <w:szCs w:val="21"/>
        </w:rPr>
      </w:pPr>
      <w:r w:rsidDel="00000000" w:rsidR="00000000" w:rsidRPr="00000000">
        <w:rPr>
          <w:sz w:val="22"/>
          <w:szCs w:val="22"/>
          <w:rtl w:val="0"/>
        </w:rPr>
        <w:t xml:space="preserve">“</w:t>
      </w:r>
      <w:r w:rsidDel="00000000" w:rsidR="00000000" w:rsidRPr="00000000">
        <w:rPr>
          <w:i w:val="1"/>
          <w:sz w:val="22"/>
          <w:szCs w:val="22"/>
          <w:rtl w:val="0"/>
        </w:rPr>
        <w:t xml:space="preserve">That’s why I ended up on the trimipramine cos they persuaded me that that was a better one</w:t>
      </w:r>
      <w:r w:rsidDel="00000000" w:rsidR="00000000" w:rsidRPr="00000000">
        <w:rPr>
          <w:sz w:val="22"/>
          <w:szCs w:val="22"/>
          <w:rtl w:val="0"/>
        </w:rPr>
        <w:t xml:space="preserve">”</w:t>
      </w:r>
      <w:r w:rsidDel="00000000" w:rsidR="00000000" w:rsidRPr="00000000">
        <w:rPr>
          <w:rtl w:val="0"/>
        </w:rPr>
      </w:r>
    </w:p>
    <w:p w:rsidR="00000000" w:rsidDel="00000000" w:rsidP="00000000" w:rsidRDefault="00000000" w:rsidRPr="00000000" w14:paraId="0000077A">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77B">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77C">
      <w:pPr>
        <w:spacing w:line="480" w:lineRule="auto"/>
        <w:jc w:val="both"/>
        <w:rPr>
          <w:sz w:val="22"/>
          <w:szCs w:val="22"/>
        </w:rPr>
      </w:pPr>
      <w:r w:rsidDel="00000000" w:rsidR="00000000" w:rsidRPr="00000000">
        <w:rPr>
          <w:sz w:val="22"/>
          <w:szCs w:val="22"/>
          <w:rtl w:val="0"/>
        </w:rPr>
        <w:t xml:space="preserve">Information sharing is important when implementing shared decision making, however this has not always been present in practice. The next section will discuss the prescriber’s communication and information sharing practices reported by participants, and how this affected the acceptance of medicines.</w:t>
      </w:r>
    </w:p>
    <w:p w:rsidR="00000000" w:rsidDel="00000000" w:rsidP="00000000" w:rsidRDefault="00000000" w:rsidRPr="00000000" w14:paraId="0000077D">
      <w:pPr>
        <w:spacing w:line="480" w:lineRule="auto"/>
        <w:jc w:val="both"/>
        <w:rPr>
          <w:sz w:val="22"/>
          <w:szCs w:val="22"/>
        </w:rPr>
      </w:pPr>
      <w:r w:rsidDel="00000000" w:rsidR="00000000" w:rsidRPr="00000000">
        <w:rPr>
          <w:rtl w:val="0"/>
        </w:rPr>
      </w:r>
    </w:p>
    <w:p w:rsidR="00000000" w:rsidDel="00000000" w:rsidP="00000000" w:rsidRDefault="00000000" w:rsidRPr="00000000" w14:paraId="0000077E">
      <w:pPr>
        <w:pStyle w:val="Heading3"/>
        <w:spacing w:line="480" w:lineRule="auto"/>
        <w:rPr/>
      </w:pPr>
      <w:bookmarkStart w:colFirst="0" w:colLast="0" w:name="_heading=h.48pi1tg" w:id="85"/>
      <w:bookmarkEnd w:id="85"/>
      <w:r w:rsidDel="00000000" w:rsidR="00000000" w:rsidRPr="00000000">
        <w:rPr>
          <w:rtl w:val="0"/>
        </w:rPr>
        <w:t xml:space="preserve">Communication</w:t>
      </w:r>
    </w:p>
    <w:p w:rsidR="00000000" w:rsidDel="00000000" w:rsidP="00000000" w:rsidRDefault="00000000" w:rsidRPr="00000000" w14:paraId="0000077F">
      <w:pPr>
        <w:spacing w:line="480" w:lineRule="auto"/>
        <w:jc w:val="both"/>
        <w:rPr>
          <w:sz w:val="22"/>
          <w:szCs w:val="22"/>
        </w:rPr>
      </w:pPr>
      <w:r w:rsidDel="00000000" w:rsidR="00000000" w:rsidRPr="00000000">
        <w:rPr>
          <w:sz w:val="22"/>
          <w:szCs w:val="22"/>
          <w:rtl w:val="0"/>
        </w:rPr>
        <w:t xml:space="preserve">A key issue identified by participants when deciding to accept medicines, or not, was the communication between them and their practitioner. This also includes levels of information sharing, which is considered an important aspect of shared decision making and informed consent. </w:t>
      </w:r>
    </w:p>
    <w:p w:rsidR="00000000" w:rsidDel="00000000" w:rsidP="00000000" w:rsidRDefault="00000000" w:rsidRPr="00000000" w14:paraId="00000780">
      <w:pPr>
        <w:spacing w:line="480" w:lineRule="auto"/>
        <w:jc w:val="both"/>
        <w:rPr>
          <w:sz w:val="22"/>
          <w:szCs w:val="22"/>
        </w:rPr>
      </w:pPr>
      <w:r w:rsidDel="00000000" w:rsidR="00000000" w:rsidRPr="00000000">
        <w:rPr>
          <w:rtl w:val="0"/>
        </w:rPr>
      </w:r>
    </w:p>
    <w:p w:rsidR="00000000" w:rsidDel="00000000" w:rsidP="00000000" w:rsidRDefault="00000000" w:rsidRPr="00000000" w14:paraId="00000781">
      <w:pPr>
        <w:spacing w:line="480" w:lineRule="auto"/>
        <w:jc w:val="both"/>
        <w:rPr>
          <w:sz w:val="22"/>
          <w:szCs w:val="22"/>
        </w:rPr>
      </w:pPr>
      <w:r w:rsidDel="00000000" w:rsidR="00000000" w:rsidRPr="00000000">
        <w:rPr>
          <w:sz w:val="22"/>
          <w:szCs w:val="22"/>
          <w:rtl w:val="0"/>
        </w:rPr>
        <w:t xml:space="preserve">Participants description of information sharing, information sources and quality of information sharing differ. All participants describe some aspect of poor information sharing, such as inadequate information sharing regarding their medication or diagnosis. For some, this contributed to an overall negative perception of both their care and their medicines. Some participants acknowledge they were perhaps given information, however recalling it was challenging:</w:t>
      </w:r>
    </w:p>
    <w:p w:rsidR="00000000" w:rsidDel="00000000" w:rsidP="00000000" w:rsidRDefault="00000000" w:rsidRPr="00000000" w14:paraId="00000782">
      <w:pPr>
        <w:spacing w:line="480" w:lineRule="auto"/>
        <w:jc w:val="both"/>
        <w:rPr>
          <w:sz w:val="22"/>
          <w:szCs w:val="22"/>
        </w:rPr>
      </w:pPr>
      <w:r w:rsidDel="00000000" w:rsidR="00000000" w:rsidRPr="00000000">
        <w:rPr>
          <w:rtl w:val="0"/>
        </w:rPr>
      </w:r>
    </w:p>
    <w:p w:rsidR="00000000" w:rsidDel="00000000" w:rsidP="00000000" w:rsidRDefault="00000000" w:rsidRPr="00000000" w14:paraId="00000783">
      <w:pPr>
        <w:spacing w:line="480" w:lineRule="auto"/>
        <w:ind w:left="709" w:firstLine="0"/>
        <w:jc w:val="both"/>
        <w:rPr/>
      </w:pPr>
      <w:r w:rsidDel="00000000" w:rsidR="00000000" w:rsidRPr="00000000">
        <w:rPr>
          <w:sz w:val="22"/>
          <w:szCs w:val="22"/>
          <w:rtl w:val="0"/>
        </w:rPr>
        <w:t xml:space="preserve">“</w:t>
      </w:r>
      <w:r w:rsidDel="00000000" w:rsidR="00000000" w:rsidRPr="00000000">
        <w:rPr>
          <w:i w:val="1"/>
          <w:sz w:val="22"/>
          <w:szCs w:val="22"/>
          <w:rtl w:val="0"/>
        </w:rPr>
        <w:t xml:space="preserve">I don’t remember to be honest I don’t think they did but if they would have offered it, but I would have just said I’d read the pamphlet thing… I won’t remember what they were saying so I’ll read the pamphlet instead</w:t>
      </w:r>
      <w:r w:rsidDel="00000000" w:rsidR="00000000" w:rsidRPr="00000000">
        <w:rPr>
          <w:sz w:val="22"/>
          <w:szCs w:val="22"/>
          <w:rtl w:val="0"/>
        </w:rPr>
        <w:t xml:space="preserve">.”</w:t>
      </w:r>
      <w:r w:rsidDel="00000000" w:rsidR="00000000" w:rsidRPr="00000000">
        <w:rPr>
          <w:rtl w:val="0"/>
        </w:rPr>
        <w:t xml:space="preserve"> </w:t>
      </w:r>
    </w:p>
    <w:p w:rsidR="00000000" w:rsidDel="00000000" w:rsidP="00000000" w:rsidRDefault="00000000" w:rsidRPr="00000000" w14:paraId="00000784">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785">
      <w:pPr>
        <w:spacing w:line="480" w:lineRule="auto"/>
        <w:jc w:val="both"/>
        <w:rPr>
          <w:sz w:val="22"/>
          <w:szCs w:val="22"/>
        </w:rPr>
      </w:pPr>
      <w:r w:rsidDel="00000000" w:rsidR="00000000" w:rsidRPr="00000000">
        <w:rPr>
          <w:rtl w:val="0"/>
        </w:rPr>
      </w:r>
    </w:p>
    <w:p w:rsidR="00000000" w:rsidDel="00000000" w:rsidP="00000000" w:rsidRDefault="00000000" w:rsidRPr="00000000" w14:paraId="00000786">
      <w:pPr>
        <w:spacing w:line="480" w:lineRule="auto"/>
        <w:jc w:val="both"/>
        <w:rPr>
          <w:sz w:val="22"/>
          <w:szCs w:val="22"/>
        </w:rPr>
      </w:pPr>
      <w:r w:rsidDel="00000000" w:rsidR="00000000" w:rsidRPr="00000000">
        <w:rPr>
          <w:sz w:val="22"/>
          <w:szCs w:val="22"/>
          <w:rtl w:val="0"/>
        </w:rPr>
        <w:t xml:space="preserve">This instruction appeared to be favoured by </w:t>
      </w:r>
      <w:r w:rsidDel="00000000" w:rsidR="00000000" w:rsidRPr="00000000">
        <w:rPr>
          <w:i w:val="1"/>
          <w:sz w:val="22"/>
          <w:szCs w:val="22"/>
          <w:rtl w:val="0"/>
        </w:rPr>
        <w:t xml:space="preserve">Brandon</w:t>
      </w:r>
      <w:r w:rsidDel="00000000" w:rsidR="00000000" w:rsidRPr="00000000">
        <w:rPr>
          <w:sz w:val="22"/>
          <w:szCs w:val="22"/>
          <w:rtl w:val="0"/>
        </w:rPr>
        <w:t xml:space="preserve">. The absence of information sharing, however, was widely reported. This lack of information sharing, although not impacting the acceptance of medicines, did in fact contribute to the ongoing evaluation of medicines. This will be discussed later. </w:t>
      </w:r>
    </w:p>
    <w:p w:rsidR="00000000" w:rsidDel="00000000" w:rsidP="00000000" w:rsidRDefault="00000000" w:rsidRPr="00000000" w14:paraId="00000787">
      <w:pPr>
        <w:spacing w:line="480" w:lineRule="auto"/>
        <w:jc w:val="both"/>
        <w:rPr>
          <w:sz w:val="22"/>
          <w:szCs w:val="22"/>
        </w:rPr>
      </w:pPr>
      <w:r w:rsidDel="00000000" w:rsidR="00000000" w:rsidRPr="00000000">
        <w:rPr>
          <w:rtl w:val="0"/>
        </w:rPr>
      </w:r>
    </w:p>
    <w:p w:rsidR="00000000" w:rsidDel="00000000" w:rsidP="00000000" w:rsidRDefault="00000000" w:rsidRPr="00000000" w14:paraId="00000788">
      <w:pPr>
        <w:spacing w:line="480" w:lineRule="auto"/>
        <w:jc w:val="both"/>
        <w:rPr>
          <w:sz w:val="22"/>
          <w:szCs w:val="22"/>
        </w:rPr>
      </w:pPr>
      <w:r w:rsidDel="00000000" w:rsidR="00000000" w:rsidRPr="00000000">
        <w:rPr>
          <w:sz w:val="22"/>
          <w:szCs w:val="22"/>
          <w:rtl w:val="0"/>
        </w:rPr>
        <w:t xml:space="preserve">Where information sharing is minimal or lacking, the individual cannot make an informed decision regarding their care and treatment. As a result, shared decision making can be problematic to achieve and is somewhat indicative of poor prescribing practices:</w:t>
      </w:r>
    </w:p>
    <w:p w:rsidR="00000000" w:rsidDel="00000000" w:rsidP="00000000" w:rsidRDefault="00000000" w:rsidRPr="00000000" w14:paraId="0000078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Rarely whenever I’ve been and diagnosed with any tablets really being given any risks associated with them and you’ve got to look at the contraindications yourself in the packets really so it’s just there you go</w:t>
      </w:r>
      <w:r w:rsidDel="00000000" w:rsidR="00000000" w:rsidRPr="00000000">
        <w:rPr>
          <w:sz w:val="22"/>
          <w:szCs w:val="22"/>
          <w:rtl w:val="0"/>
        </w:rPr>
        <w:t xml:space="preserve">.”</w:t>
      </w:r>
    </w:p>
    <w:p w:rsidR="00000000" w:rsidDel="00000000" w:rsidP="00000000" w:rsidRDefault="00000000" w:rsidRPr="00000000" w14:paraId="0000078A">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78B">
      <w:pPr>
        <w:spacing w:line="480" w:lineRule="auto"/>
        <w:jc w:val="right"/>
        <w:rPr>
          <w:sz w:val="22"/>
          <w:szCs w:val="22"/>
        </w:rPr>
      </w:pPr>
      <w:r w:rsidDel="00000000" w:rsidR="00000000" w:rsidRPr="00000000">
        <w:rPr>
          <w:rtl w:val="0"/>
        </w:rPr>
      </w:r>
    </w:p>
    <w:p w:rsidR="00000000" w:rsidDel="00000000" w:rsidP="00000000" w:rsidRDefault="00000000" w:rsidRPr="00000000" w14:paraId="0000078C">
      <w:pPr>
        <w:spacing w:line="480" w:lineRule="auto"/>
        <w:jc w:val="both"/>
        <w:rPr>
          <w:sz w:val="22"/>
          <w:szCs w:val="22"/>
        </w:rPr>
      </w:pPr>
      <w:r w:rsidDel="00000000" w:rsidR="00000000" w:rsidRPr="00000000">
        <w:rPr>
          <w:sz w:val="22"/>
          <w:szCs w:val="22"/>
          <w:rtl w:val="0"/>
        </w:rPr>
        <w:t xml:space="preserve">These participants report having been issued a prescription with an instruction, or no mention at all, to navigate this independently. Participants who experienced negative symptoms associated with their medicines, such as side effects and dependency, feel they would have declined medicines in favour of alternatives: </w:t>
      </w:r>
    </w:p>
    <w:p w:rsidR="00000000" w:rsidDel="00000000" w:rsidP="00000000" w:rsidRDefault="00000000" w:rsidRPr="00000000" w14:paraId="0000078D">
      <w:pPr>
        <w:spacing w:line="480" w:lineRule="auto"/>
        <w:jc w:val="right"/>
        <w:rPr>
          <w:sz w:val="22"/>
          <w:szCs w:val="22"/>
        </w:rPr>
      </w:pPr>
      <w:r w:rsidDel="00000000" w:rsidR="00000000" w:rsidRPr="00000000">
        <w:rPr>
          <w:rtl w:val="0"/>
        </w:rPr>
      </w:r>
    </w:p>
    <w:p w:rsidR="00000000" w:rsidDel="00000000" w:rsidP="00000000" w:rsidRDefault="00000000" w:rsidRPr="00000000" w14:paraId="0000078E">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If I was given more options and someone explained to me that the long-term benefits of kinda the exploration into different coping mechanisms that would have definitely swayed my choice I wouldn’t have chosen medication at all…</w:t>
      </w:r>
      <w:r w:rsidDel="00000000" w:rsidR="00000000" w:rsidRPr="00000000">
        <w:rPr>
          <w:sz w:val="22"/>
          <w:szCs w:val="22"/>
          <w:rtl w:val="0"/>
        </w:rPr>
        <w:t xml:space="preserve">”</w:t>
      </w:r>
    </w:p>
    <w:p w:rsidR="00000000" w:rsidDel="00000000" w:rsidP="00000000" w:rsidRDefault="00000000" w:rsidRPr="00000000" w14:paraId="0000078F">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790">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79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Nobody educated me to you know the problems of long-term opioid use erm other than just telling me to come off them but not giving me anything in its place it was just taking something away</w:t>
      </w:r>
      <w:r w:rsidDel="00000000" w:rsidR="00000000" w:rsidRPr="00000000">
        <w:rPr>
          <w:sz w:val="22"/>
          <w:szCs w:val="22"/>
          <w:rtl w:val="0"/>
        </w:rPr>
        <w:t xml:space="preserve">.”</w:t>
      </w:r>
    </w:p>
    <w:p w:rsidR="00000000" w:rsidDel="00000000" w:rsidP="00000000" w:rsidRDefault="00000000" w:rsidRPr="00000000" w14:paraId="00000792">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793">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794">
      <w:pPr>
        <w:spacing w:line="480" w:lineRule="auto"/>
        <w:jc w:val="both"/>
        <w:rPr>
          <w:sz w:val="22"/>
          <w:szCs w:val="22"/>
        </w:rPr>
      </w:pPr>
      <w:r w:rsidDel="00000000" w:rsidR="00000000" w:rsidRPr="00000000">
        <w:rPr>
          <w:sz w:val="22"/>
          <w:szCs w:val="22"/>
          <w:rtl w:val="0"/>
        </w:rPr>
        <w:t xml:space="preserve">Communication is particularly important when discussing side effects and risks. The way information shared can influence whether medicines are accepted or not, and what they may experience when using them. For example, </w:t>
      </w:r>
      <w:r w:rsidDel="00000000" w:rsidR="00000000" w:rsidRPr="00000000">
        <w:rPr>
          <w:i w:val="1"/>
          <w:sz w:val="22"/>
          <w:szCs w:val="22"/>
          <w:rtl w:val="0"/>
        </w:rPr>
        <w:t xml:space="preserve">Imogen’s </w:t>
      </w:r>
      <w:r w:rsidDel="00000000" w:rsidR="00000000" w:rsidRPr="00000000">
        <w:rPr>
          <w:sz w:val="22"/>
          <w:szCs w:val="22"/>
          <w:rtl w:val="0"/>
        </w:rPr>
        <w:t xml:space="preserve">practitioner</w:t>
      </w:r>
      <w:r w:rsidDel="00000000" w:rsidR="00000000" w:rsidRPr="00000000">
        <w:rPr>
          <w:i w:val="1"/>
          <w:sz w:val="22"/>
          <w:szCs w:val="22"/>
          <w:rtl w:val="0"/>
        </w:rPr>
        <w:t xml:space="preserve"> </w:t>
      </w:r>
      <w:r w:rsidDel="00000000" w:rsidR="00000000" w:rsidRPr="00000000">
        <w:rPr>
          <w:sz w:val="22"/>
          <w:szCs w:val="22"/>
          <w:rtl w:val="0"/>
        </w:rPr>
        <w:t xml:space="preserve">described amitriptyline as having sedatory effects using terminology that evoked some concern and anxiety: </w:t>
      </w:r>
    </w:p>
    <w:p w:rsidR="00000000" w:rsidDel="00000000" w:rsidP="00000000" w:rsidRDefault="00000000" w:rsidRPr="00000000" w14:paraId="00000795">
      <w:pPr>
        <w:spacing w:line="480" w:lineRule="auto"/>
        <w:jc w:val="both"/>
        <w:rPr>
          <w:sz w:val="22"/>
          <w:szCs w:val="22"/>
        </w:rPr>
      </w:pPr>
      <w:r w:rsidDel="00000000" w:rsidR="00000000" w:rsidRPr="00000000">
        <w:rPr>
          <w:rtl w:val="0"/>
        </w:rPr>
      </w:r>
    </w:p>
    <w:p w:rsidR="00000000" w:rsidDel="00000000" w:rsidP="00000000" w:rsidRDefault="00000000" w:rsidRPr="00000000" w14:paraId="00000796">
      <w:pPr>
        <w:spacing w:line="480" w:lineRule="auto"/>
        <w:ind w:left="709" w:firstLine="0"/>
        <w:jc w:val="both"/>
        <w:rPr>
          <w:sz w:val="21"/>
          <w:szCs w:val="21"/>
        </w:rPr>
      </w:pPr>
      <w:r w:rsidDel="00000000" w:rsidR="00000000" w:rsidRPr="00000000">
        <w:rPr>
          <w:sz w:val="22"/>
          <w:szCs w:val="22"/>
          <w:rtl w:val="0"/>
        </w:rPr>
        <w:t xml:space="preserve">“</w:t>
      </w:r>
      <w:r w:rsidDel="00000000" w:rsidR="00000000" w:rsidRPr="00000000">
        <w:rPr>
          <w:i w:val="1"/>
          <w:sz w:val="22"/>
          <w:szCs w:val="22"/>
          <w:rtl w:val="0"/>
        </w:rPr>
        <w:t xml:space="preserve">I was very hesitant at first… I had a doctor that was quite forthcoming about saying that amitriptyline used to be used in the olden days to help people with depression but actually what it does is essentially turn you into a zombie because when you take it completely knocks you out you don’t feel anything so it was a bit scary to be told that but then on the other hand it when I was given the information… It was explained to me in a way that was helpful but will be it no very considerate…  The main side effect that wasn’t explained to me which was quite irritating</w:t>
      </w:r>
      <w:r w:rsidDel="00000000" w:rsidR="00000000" w:rsidRPr="00000000">
        <w:rPr>
          <w:sz w:val="22"/>
          <w:szCs w:val="22"/>
          <w:rtl w:val="0"/>
        </w:rPr>
        <w:t xml:space="preserve">.”</w:t>
      </w:r>
      <w:r w:rsidDel="00000000" w:rsidR="00000000" w:rsidRPr="00000000">
        <w:rPr>
          <w:rtl w:val="0"/>
        </w:rPr>
      </w:r>
    </w:p>
    <w:p w:rsidR="00000000" w:rsidDel="00000000" w:rsidP="00000000" w:rsidRDefault="00000000" w:rsidRPr="00000000" w14:paraId="00000797">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798">
      <w:pPr>
        <w:spacing w:line="480" w:lineRule="auto"/>
        <w:jc w:val="both"/>
        <w:rPr>
          <w:sz w:val="22"/>
          <w:szCs w:val="22"/>
        </w:rPr>
      </w:pPr>
      <w:r w:rsidDel="00000000" w:rsidR="00000000" w:rsidRPr="00000000">
        <w:rPr>
          <w:rtl w:val="0"/>
        </w:rPr>
      </w:r>
    </w:p>
    <w:p w:rsidR="00000000" w:rsidDel="00000000" w:rsidP="00000000" w:rsidRDefault="00000000" w:rsidRPr="00000000" w14:paraId="00000799">
      <w:pPr>
        <w:spacing w:line="480" w:lineRule="auto"/>
        <w:jc w:val="both"/>
        <w:rPr>
          <w:sz w:val="22"/>
          <w:szCs w:val="22"/>
        </w:rPr>
      </w:pPr>
      <w:r w:rsidDel="00000000" w:rsidR="00000000" w:rsidRPr="00000000">
        <w:rPr>
          <w:sz w:val="22"/>
          <w:szCs w:val="22"/>
          <w:rtl w:val="0"/>
        </w:rPr>
        <w:t xml:space="preserve">It has also been highlighted in </w:t>
      </w:r>
      <w:r w:rsidDel="00000000" w:rsidR="00000000" w:rsidRPr="00000000">
        <w:rPr>
          <w:i w:val="1"/>
          <w:sz w:val="22"/>
          <w:szCs w:val="22"/>
          <w:rtl w:val="0"/>
        </w:rPr>
        <w:t xml:space="preserve">Imogen’s</w:t>
      </w:r>
      <w:r w:rsidDel="00000000" w:rsidR="00000000" w:rsidRPr="00000000">
        <w:rPr>
          <w:sz w:val="22"/>
          <w:szCs w:val="22"/>
          <w:rtl w:val="0"/>
        </w:rPr>
        <w:t xml:space="preserve"> account, that information recall and comprehension is impacted by her symptoms. As a result, she takes notes throughout her interactions with healthcare professionals and requests summaries of her appointments. Inaccurate information sharing and poor explanations of medicines have also been found to cause anxiety. Although it can be useful for practitioners to explain concepts in a non-clinical manner, for patients to better understand, they must be mindful of the terminology used. </w:t>
      </w:r>
    </w:p>
    <w:p w:rsidR="00000000" w:rsidDel="00000000" w:rsidP="00000000" w:rsidRDefault="00000000" w:rsidRPr="00000000" w14:paraId="0000079A">
      <w:pPr>
        <w:spacing w:line="480" w:lineRule="auto"/>
        <w:jc w:val="both"/>
        <w:rPr>
          <w:sz w:val="22"/>
          <w:szCs w:val="22"/>
        </w:rPr>
      </w:pPr>
      <w:r w:rsidDel="00000000" w:rsidR="00000000" w:rsidRPr="00000000">
        <w:rPr>
          <w:rtl w:val="0"/>
        </w:rPr>
      </w:r>
    </w:p>
    <w:p w:rsidR="00000000" w:rsidDel="00000000" w:rsidP="00000000" w:rsidRDefault="00000000" w:rsidRPr="00000000" w14:paraId="0000079B">
      <w:pPr>
        <w:spacing w:line="480" w:lineRule="auto"/>
        <w:jc w:val="both"/>
        <w:rPr>
          <w:sz w:val="22"/>
          <w:szCs w:val="22"/>
        </w:rPr>
      </w:pPr>
      <w:r w:rsidDel="00000000" w:rsidR="00000000" w:rsidRPr="00000000">
        <w:rPr>
          <w:sz w:val="22"/>
          <w:szCs w:val="22"/>
          <w:rtl w:val="0"/>
        </w:rPr>
        <w:t xml:space="preserve">The following section will explore the perceived necessity of medicines, in the context of the perceived severity of the health complaint. It will be shown that the severity of the condition contributes to the acceptance of medicines, such as those who are in an active mental health crisis or significant pain. </w:t>
      </w:r>
    </w:p>
    <w:p w:rsidR="00000000" w:rsidDel="00000000" w:rsidP="00000000" w:rsidRDefault="00000000" w:rsidRPr="00000000" w14:paraId="0000079C">
      <w:pPr>
        <w:spacing w:line="480" w:lineRule="auto"/>
        <w:jc w:val="both"/>
        <w:rPr>
          <w:sz w:val="22"/>
          <w:szCs w:val="22"/>
        </w:rPr>
      </w:pPr>
      <w:r w:rsidDel="00000000" w:rsidR="00000000" w:rsidRPr="00000000">
        <w:rPr>
          <w:rtl w:val="0"/>
        </w:rPr>
      </w:r>
    </w:p>
    <w:p w:rsidR="00000000" w:rsidDel="00000000" w:rsidP="00000000" w:rsidRDefault="00000000" w:rsidRPr="00000000" w14:paraId="0000079D">
      <w:pPr>
        <w:pStyle w:val="Heading3"/>
        <w:spacing w:line="480" w:lineRule="auto"/>
        <w:rPr/>
      </w:pPr>
      <w:bookmarkStart w:colFirst="0" w:colLast="0" w:name="_heading=h.2nusc19" w:id="86"/>
      <w:bookmarkEnd w:id="86"/>
      <w:r w:rsidDel="00000000" w:rsidR="00000000" w:rsidRPr="00000000">
        <w:rPr>
          <w:rtl w:val="0"/>
        </w:rPr>
        <w:t xml:space="preserve">Perceived Necessity of Medicines </w:t>
      </w:r>
    </w:p>
    <w:p w:rsidR="00000000" w:rsidDel="00000000" w:rsidP="00000000" w:rsidRDefault="00000000" w:rsidRPr="00000000" w14:paraId="0000079E">
      <w:pPr>
        <w:spacing w:line="480" w:lineRule="auto"/>
        <w:jc w:val="both"/>
        <w:rPr>
          <w:sz w:val="22"/>
          <w:szCs w:val="22"/>
        </w:rPr>
      </w:pPr>
      <w:r w:rsidDel="00000000" w:rsidR="00000000" w:rsidRPr="00000000">
        <w:rPr>
          <w:sz w:val="22"/>
          <w:szCs w:val="22"/>
          <w:rtl w:val="0"/>
        </w:rPr>
        <w:t xml:space="preserve">Where participants describe a complex or severe health condition, there appeared to be a perceived necessity of medicines. This was associated with the acceptance of medicines, despite individual treatment preferences, particularly if there were perceived barriers to alternative treatments. </w:t>
      </w:r>
    </w:p>
    <w:p w:rsidR="00000000" w:rsidDel="00000000" w:rsidP="00000000" w:rsidRDefault="00000000" w:rsidRPr="00000000" w14:paraId="0000079F">
      <w:pPr>
        <w:spacing w:line="480" w:lineRule="auto"/>
        <w:jc w:val="both"/>
        <w:rPr>
          <w:sz w:val="22"/>
          <w:szCs w:val="22"/>
        </w:rPr>
      </w:pPr>
      <w:r w:rsidDel="00000000" w:rsidR="00000000" w:rsidRPr="00000000">
        <w:rPr>
          <w:rtl w:val="0"/>
        </w:rPr>
      </w:r>
    </w:p>
    <w:p w:rsidR="00000000" w:rsidDel="00000000" w:rsidP="00000000" w:rsidRDefault="00000000" w:rsidRPr="00000000" w14:paraId="000007A0">
      <w:pPr>
        <w:spacing w:line="480" w:lineRule="auto"/>
        <w:jc w:val="both"/>
        <w:rPr>
          <w:sz w:val="22"/>
          <w:szCs w:val="22"/>
        </w:rPr>
      </w:pPr>
      <w:r w:rsidDel="00000000" w:rsidR="00000000" w:rsidRPr="00000000">
        <w:rPr>
          <w:sz w:val="22"/>
          <w:szCs w:val="22"/>
          <w:rtl w:val="0"/>
        </w:rPr>
        <w:t xml:space="preserve">Participants describing significant psychological or physical health conditions are more likely to passively accept medicines out of desperation or perceived lack of alternatives. To contextualise, some participants reported experiencing an active mental health crisis. In this case, alternative treatment such as psychological interventions, were not considered: </w:t>
      </w:r>
    </w:p>
    <w:p w:rsidR="00000000" w:rsidDel="00000000" w:rsidP="00000000" w:rsidRDefault="00000000" w:rsidRPr="00000000" w14:paraId="000007A1">
      <w:pPr>
        <w:spacing w:line="480" w:lineRule="auto"/>
        <w:jc w:val="both"/>
        <w:rPr>
          <w:sz w:val="22"/>
          <w:szCs w:val="22"/>
        </w:rPr>
      </w:pPr>
      <w:r w:rsidDel="00000000" w:rsidR="00000000" w:rsidRPr="00000000">
        <w:rPr>
          <w:rtl w:val="0"/>
        </w:rPr>
      </w:r>
    </w:p>
    <w:p w:rsidR="00000000" w:rsidDel="00000000" w:rsidP="00000000" w:rsidRDefault="00000000" w:rsidRPr="00000000" w14:paraId="000007A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condition was too bad so, and also after the bad experience of trying to do the medication I wasn’t even thinking about it there was no alternative… I was very much very sure about taking the medication for like my entire life I didn’t see any other choice.</w:t>
      </w:r>
      <w:r w:rsidDel="00000000" w:rsidR="00000000" w:rsidRPr="00000000">
        <w:rPr>
          <w:sz w:val="22"/>
          <w:szCs w:val="22"/>
          <w:rtl w:val="0"/>
        </w:rPr>
        <w:t xml:space="preserve">”</w:t>
      </w:r>
    </w:p>
    <w:p w:rsidR="00000000" w:rsidDel="00000000" w:rsidP="00000000" w:rsidRDefault="00000000" w:rsidRPr="00000000" w14:paraId="000007A3">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7A4">
      <w:pPr>
        <w:spacing w:line="480" w:lineRule="auto"/>
        <w:jc w:val="right"/>
        <w:rPr>
          <w:sz w:val="22"/>
          <w:szCs w:val="22"/>
        </w:rPr>
      </w:pPr>
      <w:r w:rsidDel="00000000" w:rsidR="00000000" w:rsidRPr="00000000">
        <w:rPr>
          <w:rtl w:val="0"/>
        </w:rPr>
      </w:r>
    </w:p>
    <w:p w:rsidR="00000000" w:rsidDel="00000000" w:rsidP="00000000" w:rsidRDefault="00000000" w:rsidRPr="00000000" w14:paraId="000007A5">
      <w:pPr>
        <w:spacing w:line="480" w:lineRule="auto"/>
        <w:jc w:val="both"/>
        <w:rPr>
          <w:sz w:val="22"/>
          <w:szCs w:val="22"/>
        </w:rPr>
      </w:pPr>
      <w:r w:rsidDel="00000000" w:rsidR="00000000" w:rsidRPr="00000000">
        <w:rPr>
          <w:sz w:val="22"/>
          <w:szCs w:val="22"/>
          <w:rtl w:val="0"/>
        </w:rPr>
        <w:t xml:space="preserve">Following this, participants who engaged in high-risk behaviours as a result of their mental health difficulties, such as self-injurious behaviour felt there were no alternatives: </w:t>
      </w:r>
    </w:p>
    <w:p w:rsidR="00000000" w:rsidDel="00000000" w:rsidP="00000000" w:rsidRDefault="00000000" w:rsidRPr="00000000" w14:paraId="000007A6">
      <w:pPr>
        <w:spacing w:line="480" w:lineRule="auto"/>
        <w:jc w:val="both"/>
        <w:rPr>
          <w:sz w:val="22"/>
          <w:szCs w:val="22"/>
        </w:rPr>
      </w:pPr>
      <w:r w:rsidDel="00000000" w:rsidR="00000000" w:rsidRPr="00000000">
        <w:rPr>
          <w:rtl w:val="0"/>
        </w:rPr>
      </w:r>
    </w:p>
    <w:p w:rsidR="00000000" w:rsidDel="00000000" w:rsidP="00000000" w:rsidRDefault="00000000" w:rsidRPr="00000000" w14:paraId="000007A7">
      <w:pPr>
        <w:spacing w:line="480" w:lineRule="auto"/>
        <w:ind w:left="709" w:firstLine="0"/>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don’t want to also self-harm and lie on the bed all day in cry. So, it was bit like this was just the only other option</w:t>
      </w:r>
      <w:r w:rsidDel="00000000" w:rsidR="00000000" w:rsidRPr="00000000">
        <w:rPr>
          <w:sz w:val="22"/>
          <w:szCs w:val="22"/>
          <w:rtl w:val="0"/>
        </w:rPr>
        <w:t xml:space="preserve">.”</w:t>
      </w:r>
    </w:p>
    <w:p w:rsidR="00000000" w:rsidDel="00000000" w:rsidP="00000000" w:rsidRDefault="00000000" w:rsidRPr="00000000" w14:paraId="000007A8">
      <w:pPr>
        <w:spacing w:line="480" w:lineRule="auto"/>
        <w:jc w:val="right"/>
        <w:rPr>
          <w:sz w:val="22"/>
          <w:szCs w:val="22"/>
        </w:rPr>
      </w:pPr>
      <w:r w:rsidDel="00000000" w:rsidR="00000000" w:rsidRPr="00000000">
        <w:rPr>
          <w:sz w:val="22"/>
          <w:szCs w:val="22"/>
          <w:rtl w:val="0"/>
        </w:rPr>
        <w:t xml:space="preserve">[Tia: </w:t>
      </w:r>
      <w:r w:rsidDel="00000000" w:rsidR="00000000" w:rsidRPr="00000000">
        <w:rPr>
          <w:i w:val="1"/>
          <w:sz w:val="22"/>
          <w:szCs w:val="22"/>
          <w:rtl w:val="0"/>
        </w:rPr>
        <w:t xml:space="preserve">Clomipramine, Venlafaxine</w:t>
      </w:r>
      <w:r w:rsidDel="00000000" w:rsidR="00000000" w:rsidRPr="00000000">
        <w:rPr>
          <w:sz w:val="22"/>
          <w:szCs w:val="22"/>
          <w:rtl w:val="0"/>
        </w:rPr>
        <w:t xml:space="preserve">]</w:t>
      </w:r>
    </w:p>
    <w:p w:rsidR="00000000" w:rsidDel="00000000" w:rsidP="00000000" w:rsidRDefault="00000000" w:rsidRPr="00000000" w14:paraId="000007A9">
      <w:pPr>
        <w:spacing w:line="480" w:lineRule="auto"/>
        <w:jc w:val="right"/>
        <w:rPr>
          <w:sz w:val="22"/>
          <w:szCs w:val="22"/>
        </w:rPr>
      </w:pPr>
      <w:r w:rsidDel="00000000" w:rsidR="00000000" w:rsidRPr="00000000">
        <w:rPr>
          <w:rtl w:val="0"/>
        </w:rPr>
      </w:r>
    </w:p>
    <w:p w:rsidR="00000000" w:rsidDel="00000000" w:rsidP="00000000" w:rsidRDefault="00000000" w:rsidRPr="00000000" w14:paraId="000007AA">
      <w:pPr>
        <w:spacing w:line="480" w:lineRule="auto"/>
        <w:jc w:val="both"/>
        <w:rPr>
          <w:sz w:val="22"/>
          <w:szCs w:val="22"/>
        </w:rPr>
      </w:pPr>
      <w:r w:rsidDel="00000000" w:rsidR="00000000" w:rsidRPr="00000000">
        <w:rPr>
          <w:sz w:val="22"/>
          <w:szCs w:val="22"/>
          <w:rtl w:val="0"/>
        </w:rPr>
        <w:t xml:space="preserve">The acceptance, and therefore use, of medicines was not described as a personal preference, but a response to desperation. This desperation to move from an active mental health crisis was noted to supersede patient preferences. It was also noted to supersede preferences for alternatives due to such as long recovery times, temporary nature of the intervention and financial burden. This has led some to feel trapped in their medication use, which will be discussed in detail later in Chapter Six, “</w:t>
      </w:r>
      <w:hyperlink w:anchor="_heading=h.upglbi">
        <w:r w:rsidDel="00000000" w:rsidR="00000000" w:rsidRPr="00000000">
          <w:rPr>
            <w:i w:val="1"/>
            <w:color w:val="467886"/>
            <w:sz w:val="22"/>
            <w:szCs w:val="22"/>
            <w:u w:val="single"/>
            <w:rtl w:val="0"/>
          </w:rPr>
          <w:t xml:space="preserve">The Medication Trap</w:t>
        </w:r>
      </w:hyperlink>
      <w:r w:rsidDel="00000000" w:rsidR="00000000" w:rsidRPr="00000000">
        <w:rPr>
          <w:sz w:val="22"/>
          <w:szCs w:val="22"/>
          <w:rtl w:val="0"/>
        </w:rPr>
        <w:t xml:space="preserve">”(p. 163). As previously explored, those who have experience using medicines are likely to understand where medication may be appropriate. Those who have limited experience, however, may not understand there are alternatives, particularly if there is limited communication between the prescriber and practitioner. The provision of alternatives will be discussed in the next </w:t>
      </w:r>
      <w:hyperlink w:anchor="_heading=h.2szc72q">
        <w:r w:rsidDel="00000000" w:rsidR="00000000" w:rsidRPr="00000000">
          <w:rPr>
            <w:color w:val="467886"/>
            <w:sz w:val="22"/>
            <w:szCs w:val="22"/>
            <w:u w:val="single"/>
            <w:rtl w:val="0"/>
          </w:rPr>
          <w:t xml:space="preserve">chapter</w:t>
        </w:r>
      </w:hyperlink>
      <w:r w:rsidDel="00000000" w:rsidR="00000000" w:rsidRPr="00000000">
        <w:rPr>
          <w:sz w:val="22"/>
          <w:szCs w:val="22"/>
          <w:rtl w:val="0"/>
        </w:rPr>
        <w:t xml:space="preserve"> (p. 169). </w:t>
      </w:r>
    </w:p>
    <w:p w:rsidR="00000000" w:rsidDel="00000000" w:rsidP="00000000" w:rsidRDefault="00000000" w:rsidRPr="00000000" w14:paraId="000007AB">
      <w:pPr>
        <w:spacing w:line="480" w:lineRule="auto"/>
        <w:jc w:val="both"/>
        <w:rPr>
          <w:sz w:val="22"/>
          <w:szCs w:val="22"/>
        </w:rPr>
      </w:pPr>
      <w:r w:rsidDel="00000000" w:rsidR="00000000" w:rsidRPr="00000000">
        <w:rPr>
          <w:rtl w:val="0"/>
        </w:rPr>
      </w:r>
    </w:p>
    <w:p w:rsidR="00000000" w:rsidDel="00000000" w:rsidP="00000000" w:rsidRDefault="00000000" w:rsidRPr="00000000" w14:paraId="000007AC">
      <w:pPr>
        <w:spacing w:line="480" w:lineRule="auto"/>
        <w:jc w:val="both"/>
        <w:rPr>
          <w:sz w:val="22"/>
          <w:szCs w:val="22"/>
        </w:rPr>
      </w:pPr>
      <w:r w:rsidDel="00000000" w:rsidR="00000000" w:rsidRPr="00000000">
        <w:rPr>
          <w:sz w:val="22"/>
          <w:szCs w:val="22"/>
          <w:rtl w:val="0"/>
        </w:rPr>
        <w:t xml:space="preserve">To summarise, the decision to accept medicines can be a complex decision, based on previous experiences of treatment, communication and the perceived necessity of medicines. Those who feel they do not have adequate knowledge about their health or medicines, and those who have a complex or significant health condition are likely to identify as passive in their acceptance of medicines. Those who report a greater choice in their care are more likely to perceive their care positively and experience improved health outcomes, whereas those who do not have such choices are more likely to speak negatively of their treatment. </w:t>
      </w:r>
    </w:p>
    <w:p w:rsidR="00000000" w:rsidDel="00000000" w:rsidP="00000000" w:rsidRDefault="00000000" w:rsidRPr="00000000" w14:paraId="000007AD">
      <w:pPr>
        <w:spacing w:line="480" w:lineRule="auto"/>
        <w:jc w:val="both"/>
        <w:rPr>
          <w:sz w:val="22"/>
          <w:szCs w:val="22"/>
        </w:rPr>
      </w:pPr>
      <w:r w:rsidDel="00000000" w:rsidR="00000000" w:rsidRPr="00000000">
        <w:rPr>
          <w:rtl w:val="0"/>
        </w:rPr>
      </w:r>
    </w:p>
    <w:p w:rsidR="00000000" w:rsidDel="00000000" w:rsidP="00000000" w:rsidRDefault="00000000" w:rsidRPr="00000000" w14:paraId="000007AE">
      <w:pPr>
        <w:spacing w:line="480" w:lineRule="auto"/>
        <w:jc w:val="both"/>
        <w:rPr>
          <w:sz w:val="22"/>
          <w:szCs w:val="22"/>
        </w:rPr>
      </w:pPr>
      <w:r w:rsidDel="00000000" w:rsidR="00000000" w:rsidRPr="00000000">
        <w:rPr>
          <w:sz w:val="22"/>
          <w:szCs w:val="22"/>
          <w:rtl w:val="0"/>
        </w:rPr>
        <w:t xml:space="preserve">Lived experience and a previous history of medicine use can have an influence on whether the individual deems medicines as a suitable treatment, or where alternative treatments are considered more appropriate. This understanding informs decision making, that can supersede the opinions of the professional. As with shared decision making, the level of information sharing and communication is typically minimal, if present at all. This communication is particularly important when discussing risks and side effects. The ways in which information is communicated is important, as to not evoke anxiety or concern in patients. </w:t>
      </w:r>
    </w:p>
    <w:p w:rsidR="00000000" w:rsidDel="00000000" w:rsidP="00000000" w:rsidRDefault="00000000" w:rsidRPr="00000000" w14:paraId="000007AF">
      <w:pPr>
        <w:spacing w:line="480" w:lineRule="auto"/>
        <w:jc w:val="both"/>
        <w:rPr>
          <w:sz w:val="22"/>
          <w:szCs w:val="22"/>
        </w:rPr>
      </w:pPr>
      <w:r w:rsidDel="00000000" w:rsidR="00000000" w:rsidRPr="00000000">
        <w:rPr>
          <w:rtl w:val="0"/>
        </w:rPr>
      </w:r>
    </w:p>
    <w:p w:rsidR="00000000" w:rsidDel="00000000" w:rsidP="00000000" w:rsidRDefault="00000000" w:rsidRPr="00000000" w14:paraId="000007B0">
      <w:pPr>
        <w:spacing w:line="480" w:lineRule="auto"/>
        <w:jc w:val="both"/>
        <w:rPr>
          <w:sz w:val="22"/>
          <w:szCs w:val="22"/>
        </w:rPr>
      </w:pPr>
      <w:r w:rsidDel="00000000" w:rsidR="00000000" w:rsidRPr="00000000">
        <w:rPr>
          <w:sz w:val="22"/>
          <w:szCs w:val="22"/>
          <w:rtl w:val="0"/>
        </w:rPr>
        <w:t xml:space="preserve">The next theme will describe the criterion in which participants evaluated their medicines. A “</w:t>
      </w:r>
      <w:r w:rsidDel="00000000" w:rsidR="00000000" w:rsidRPr="00000000">
        <w:rPr>
          <w:i w:val="1"/>
          <w:sz w:val="22"/>
          <w:szCs w:val="22"/>
          <w:rtl w:val="0"/>
        </w:rPr>
        <w:t xml:space="preserve">trial and error</w:t>
      </w:r>
      <w:r w:rsidDel="00000000" w:rsidR="00000000" w:rsidRPr="00000000">
        <w:rPr>
          <w:sz w:val="22"/>
          <w:szCs w:val="22"/>
          <w:rtl w:val="0"/>
        </w:rPr>
        <w:t xml:space="preserve">” approach will be described, before evaluating the perceived safety of medicines and the side effects or withdrawal symptoms participants experienced. The implication of prescribed medicine dependence will also be assessed, both personal implications and the implications for the participants’ wider social health.</w:t>
      </w:r>
    </w:p>
    <w:p w:rsidR="00000000" w:rsidDel="00000000" w:rsidP="00000000" w:rsidRDefault="00000000" w:rsidRPr="00000000" w14:paraId="000007B1">
      <w:pPr>
        <w:pStyle w:val="Heading2"/>
        <w:numPr>
          <w:ilvl w:val="1"/>
          <w:numId w:val="16"/>
        </w:numPr>
        <w:spacing w:line="480" w:lineRule="auto"/>
        <w:ind w:left="720" w:hanging="720"/>
        <w:rPr/>
      </w:pPr>
      <w:bookmarkStart w:colFirst="0" w:colLast="0" w:name="_heading=h.1302m92" w:id="87"/>
      <w:bookmarkEnd w:id="87"/>
      <w:r w:rsidDel="00000000" w:rsidR="00000000" w:rsidRPr="00000000">
        <w:rPr>
          <w:rtl w:val="0"/>
        </w:rPr>
        <w:t xml:space="preserve">Evaluating Medicines</w:t>
      </w:r>
    </w:p>
    <w:p w:rsidR="00000000" w:rsidDel="00000000" w:rsidP="00000000" w:rsidRDefault="00000000" w:rsidRPr="00000000" w14:paraId="000007B2">
      <w:pPr>
        <w:spacing w:line="480" w:lineRule="auto"/>
        <w:jc w:val="both"/>
        <w:rPr>
          <w:sz w:val="22"/>
          <w:szCs w:val="22"/>
        </w:rPr>
      </w:pPr>
      <w:r w:rsidDel="00000000" w:rsidR="00000000" w:rsidRPr="00000000">
        <w:rPr>
          <w:sz w:val="22"/>
          <w:szCs w:val="22"/>
          <w:rtl w:val="0"/>
        </w:rPr>
        <w:t xml:space="preserve">Participants described criteria in which they evaluated medicines, typically associated with the perceived efficacy of the medication, their safety and the associated side effects. Concerns surrounding medicines were informed using the same criterion yet also included the personal and social implications of their medication use. For some, using medicines was not of great concern, however for others, it was described as a stressful and difficult part of life. As participant’s use goes on, they begin to form individual thoughts and perceptions of medicines, guided by their own experiences.</w:t>
      </w:r>
    </w:p>
    <w:p w:rsidR="00000000" w:rsidDel="00000000" w:rsidP="00000000" w:rsidRDefault="00000000" w:rsidRPr="00000000" w14:paraId="000007B3">
      <w:pPr>
        <w:spacing w:line="480" w:lineRule="auto"/>
        <w:jc w:val="both"/>
        <w:rPr>
          <w:sz w:val="22"/>
          <w:szCs w:val="22"/>
        </w:rPr>
      </w:pPr>
      <w:r w:rsidDel="00000000" w:rsidR="00000000" w:rsidRPr="00000000">
        <w:rPr>
          <w:rtl w:val="0"/>
        </w:rPr>
      </w:r>
    </w:p>
    <w:p w:rsidR="00000000" w:rsidDel="00000000" w:rsidP="00000000" w:rsidRDefault="00000000" w:rsidRPr="00000000" w14:paraId="000007B4">
      <w:pPr>
        <w:spacing w:line="480" w:lineRule="auto"/>
        <w:jc w:val="both"/>
        <w:rPr>
          <w:sz w:val="22"/>
          <w:szCs w:val="22"/>
        </w:rPr>
      </w:pPr>
      <w:r w:rsidDel="00000000" w:rsidR="00000000" w:rsidRPr="00000000">
        <w:rPr>
          <w:sz w:val="22"/>
          <w:szCs w:val="22"/>
          <w:rtl w:val="0"/>
        </w:rPr>
        <w:t xml:space="preserve">The idea that medicines must “</w:t>
      </w:r>
      <w:r w:rsidDel="00000000" w:rsidR="00000000" w:rsidRPr="00000000">
        <w:rPr>
          <w:i w:val="1"/>
          <w:sz w:val="22"/>
          <w:szCs w:val="22"/>
          <w:rtl w:val="0"/>
        </w:rPr>
        <w:t xml:space="preserve">suit</w:t>
      </w:r>
      <w:r w:rsidDel="00000000" w:rsidR="00000000" w:rsidRPr="00000000">
        <w:rPr>
          <w:sz w:val="22"/>
          <w:szCs w:val="22"/>
          <w:rtl w:val="0"/>
        </w:rPr>
        <w:t xml:space="preserve">” the participants lifestyle is an important consideration in the assessment of medicines. A “</w:t>
      </w:r>
      <w:r w:rsidDel="00000000" w:rsidR="00000000" w:rsidRPr="00000000">
        <w:rPr>
          <w:i w:val="1"/>
          <w:sz w:val="22"/>
          <w:szCs w:val="22"/>
          <w:rtl w:val="0"/>
        </w:rPr>
        <w:t xml:space="preserve">trial and error</w:t>
      </w:r>
      <w:r w:rsidDel="00000000" w:rsidR="00000000" w:rsidRPr="00000000">
        <w:rPr>
          <w:sz w:val="22"/>
          <w:szCs w:val="22"/>
          <w:rtl w:val="0"/>
        </w:rPr>
        <w:t xml:space="preserve">” approach is described by some, whereby they identified side effects or symptoms they did could not tolerate or manage, therefore approached their practitioner to find an alternative. This is reflected in several interviews. Participants allude to a decisional balance assessing risks versus the medicine’s benefits. These include experiencing the therapeutic benefits, and the absence of side effects. This patient group are less likely to report concerns with their medicine use. </w:t>
      </w:r>
    </w:p>
    <w:p w:rsidR="00000000" w:rsidDel="00000000" w:rsidP="00000000" w:rsidRDefault="00000000" w:rsidRPr="00000000" w14:paraId="000007B5">
      <w:pPr>
        <w:spacing w:line="480" w:lineRule="auto"/>
        <w:jc w:val="both"/>
        <w:rPr>
          <w:sz w:val="22"/>
          <w:szCs w:val="22"/>
        </w:rPr>
      </w:pPr>
      <w:r w:rsidDel="00000000" w:rsidR="00000000" w:rsidRPr="00000000">
        <w:rPr>
          <w:rtl w:val="0"/>
        </w:rPr>
      </w:r>
    </w:p>
    <w:p w:rsidR="00000000" w:rsidDel="00000000" w:rsidP="00000000" w:rsidRDefault="00000000" w:rsidRPr="00000000" w14:paraId="000007B6">
      <w:pPr>
        <w:spacing w:line="480" w:lineRule="auto"/>
        <w:jc w:val="both"/>
        <w:rPr>
          <w:sz w:val="22"/>
          <w:szCs w:val="22"/>
        </w:rPr>
      </w:pPr>
      <w:r w:rsidDel="00000000" w:rsidR="00000000" w:rsidRPr="00000000">
        <w:rPr>
          <w:sz w:val="22"/>
          <w:szCs w:val="22"/>
          <w:rtl w:val="0"/>
        </w:rPr>
        <w:t xml:space="preserve">The safety of medicines also appears to be assessed continuously. Participants perceive medicines to be generally safe, with the caveat they are used properly, and adequate behaviour changes are implemented. The indicators of safety described by participants include their prescription only status, presence of side effects and dependence potential. Although the prescription only nature supports the perceived safety of these medicines, the lack of understanding of their pharmacology causes some concern. There are also reported concerns that extensive use of dependence forming medicines can result in behaviours that are comparable to illicit drug users. </w:t>
      </w:r>
    </w:p>
    <w:p w:rsidR="00000000" w:rsidDel="00000000" w:rsidP="00000000" w:rsidRDefault="00000000" w:rsidRPr="00000000" w14:paraId="000007B7">
      <w:pPr>
        <w:spacing w:line="480" w:lineRule="auto"/>
        <w:jc w:val="both"/>
        <w:rPr>
          <w:sz w:val="22"/>
          <w:szCs w:val="22"/>
        </w:rPr>
      </w:pPr>
      <w:r w:rsidDel="00000000" w:rsidR="00000000" w:rsidRPr="00000000">
        <w:rPr>
          <w:sz w:val="22"/>
          <w:szCs w:val="22"/>
          <w:rtl w:val="0"/>
        </w:rPr>
        <w:t xml:space="preserve">Following from the perceived safety of medicines, the presence of side effects and withdrawal symptoms are noted. These are factors participants consider when assessing their medication use.  Reported side effects include body sweats, sexual difficulties, and gastrointestinal issues, whilst withdrawal symptoms included shakes, restlessness, increased pain and decline in mental health and wellbeing. A key area of concern for many, particularly female participants, is weight gain and the implications this has on the individual’s overall health and wellbeing. Those who experience side effects note this is a key issue influencing their perception of medicines. Withdrawal symptoms, again, are taken into consideration when evaluating medicines, regardless of whether they are experiencing the therapeutic benefits of their medicine. </w:t>
      </w:r>
    </w:p>
    <w:p w:rsidR="00000000" w:rsidDel="00000000" w:rsidP="00000000" w:rsidRDefault="00000000" w:rsidRPr="00000000" w14:paraId="000007B8">
      <w:pPr>
        <w:spacing w:line="480" w:lineRule="auto"/>
        <w:jc w:val="both"/>
        <w:rPr>
          <w:sz w:val="22"/>
          <w:szCs w:val="22"/>
        </w:rPr>
      </w:pPr>
      <w:r w:rsidDel="00000000" w:rsidR="00000000" w:rsidRPr="00000000">
        <w:rPr>
          <w:rtl w:val="0"/>
        </w:rPr>
      </w:r>
    </w:p>
    <w:p w:rsidR="00000000" w:rsidDel="00000000" w:rsidP="00000000" w:rsidRDefault="00000000" w:rsidRPr="00000000" w14:paraId="000007B9">
      <w:pPr>
        <w:spacing w:line="480" w:lineRule="auto"/>
        <w:jc w:val="both"/>
        <w:rPr>
          <w:sz w:val="22"/>
          <w:szCs w:val="22"/>
        </w:rPr>
      </w:pPr>
      <w:r w:rsidDel="00000000" w:rsidR="00000000" w:rsidRPr="00000000">
        <w:rPr>
          <w:sz w:val="22"/>
          <w:szCs w:val="22"/>
          <w:rtl w:val="0"/>
        </w:rPr>
        <w:t xml:space="preserve">Finally, the implications of medicine use are factored into the participants assessment of medicines. Participants report both positive and negative implications of their medicine use on their own sense of self, their social life and their education or employment. These factors contribute towards both the acceptance and continued use of medicines. Each of these criteria will now be discussed in turn. </w:t>
      </w:r>
    </w:p>
    <w:p w:rsidR="00000000" w:rsidDel="00000000" w:rsidP="00000000" w:rsidRDefault="00000000" w:rsidRPr="00000000" w14:paraId="000007BA">
      <w:pPr>
        <w:spacing w:line="480" w:lineRule="auto"/>
        <w:jc w:val="both"/>
        <w:rPr>
          <w:sz w:val="22"/>
          <w:szCs w:val="22"/>
        </w:rPr>
      </w:pPr>
      <w:r w:rsidDel="00000000" w:rsidR="00000000" w:rsidRPr="00000000">
        <w:rPr>
          <w:rtl w:val="0"/>
        </w:rPr>
      </w:r>
    </w:p>
    <w:p w:rsidR="00000000" w:rsidDel="00000000" w:rsidP="00000000" w:rsidRDefault="00000000" w:rsidRPr="00000000" w14:paraId="000007BB">
      <w:pPr>
        <w:pStyle w:val="Heading3"/>
        <w:spacing w:line="480" w:lineRule="auto"/>
        <w:rPr/>
      </w:pPr>
      <w:bookmarkStart w:colFirst="0" w:colLast="0" w:name="_heading=h.3mzq4wv" w:id="88"/>
      <w:bookmarkEnd w:id="88"/>
      <w:r w:rsidDel="00000000" w:rsidR="00000000" w:rsidRPr="00000000">
        <w:rPr>
          <w:rtl w:val="0"/>
        </w:rPr>
        <w:t xml:space="preserve">Trial and Error</w:t>
      </w:r>
    </w:p>
    <w:p w:rsidR="00000000" w:rsidDel="00000000" w:rsidP="00000000" w:rsidRDefault="00000000" w:rsidRPr="00000000" w14:paraId="000007BC">
      <w:pPr>
        <w:spacing w:line="480" w:lineRule="auto"/>
        <w:jc w:val="both"/>
        <w:rPr>
          <w:sz w:val="22"/>
          <w:szCs w:val="22"/>
        </w:rPr>
      </w:pPr>
      <w:bookmarkStart w:colFirst="0" w:colLast="0" w:name="_heading=h.2250f4o" w:id="89"/>
      <w:bookmarkEnd w:id="89"/>
      <w:r w:rsidDel="00000000" w:rsidR="00000000" w:rsidRPr="00000000">
        <w:rPr>
          <w:sz w:val="22"/>
          <w:szCs w:val="22"/>
          <w:rtl w:val="0"/>
        </w:rPr>
        <w:t xml:space="preserve">For most participants, the medicine they discussed in their interview was not the first experience with prescribed medicines. An important aspect of accepting and using medicines is the integration of medicines into everyday life, and “</w:t>
      </w:r>
      <w:r w:rsidDel="00000000" w:rsidR="00000000" w:rsidRPr="00000000">
        <w:rPr>
          <w:i w:val="1"/>
          <w:sz w:val="22"/>
          <w:szCs w:val="22"/>
          <w:rtl w:val="0"/>
        </w:rPr>
        <w:t xml:space="preserve">suiting</w:t>
      </w:r>
      <w:r w:rsidDel="00000000" w:rsidR="00000000" w:rsidRPr="00000000">
        <w:rPr>
          <w:sz w:val="22"/>
          <w:szCs w:val="22"/>
          <w:rtl w:val="0"/>
        </w:rPr>
        <w:t xml:space="preserve">” them:</w:t>
      </w:r>
    </w:p>
    <w:p w:rsidR="00000000" w:rsidDel="00000000" w:rsidP="00000000" w:rsidRDefault="00000000" w:rsidRPr="00000000" w14:paraId="000007BD">
      <w:pPr>
        <w:spacing w:line="480" w:lineRule="auto"/>
        <w:jc w:val="both"/>
        <w:rPr>
          <w:sz w:val="22"/>
          <w:szCs w:val="22"/>
        </w:rPr>
      </w:pPr>
      <w:r w:rsidDel="00000000" w:rsidR="00000000" w:rsidRPr="00000000">
        <w:rPr>
          <w:rtl w:val="0"/>
        </w:rPr>
      </w:r>
    </w:p>
    <w:p w:rsidR="00000000" w:rsidDel="00000000" w:rsidP="00000000" w:rsidRDefault="00000000" w:rsidRPr="00000000" w14:paraId="000007BE">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I’ve gotten on with I’ve been tried with different ones over the years but that’s the one that suits me most</w:t>
      </w:r>
      <w:r w:rsidDel="00000000" w:rsidR="00000000" w:rsidRPr="00000000">
        <w:rPr>
          <w:sz w:val="22"/>
          <w:szCs w:val="22"/>
          <w:rtl w:val="0"/>
        </w:rPr>
        <w:t xml:space="preserve">.”</w:t>
      </w:r>
    </w:p>
    <w:p w:rsidR="00000000" w:rsidDel="00000000" w:rsidP="00000000" w:rsidRDefault="00000000" w:rsidRPr="00000000" w14:paraId="000007BF">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7C0">
      <w:pPr>
        <w:spacing w:line="480" w:lineRule="auto"/>
        <w:jc w:val="both"/>
        <w:rPr>
          <w:sz w:val="22"/>
          <w:szCs w:val="22"/>
        </w:rPr>
      </w:pPr>
      <w:r w:rsidDel="00000000" w:rsidR="00000000" w:rsidRPr="00000000">
        <w:rPr>
          <w:sz w:val="22"/>
          <w:szCs w:val="22"/>
          <w:rtl w:val="0"/>
        </w:rPr>
        <w:t xml:space="preserve">As shown in </w:t>
      </w:r>
      <w:hyperlink w:anchor="_heading=h.1egqt2p">
        <w:r w:rsidDel="00000000" w:rsidR="00000000" w:rsidRPr="00000000">
          <w:rPr>
            <w:color w:val="467886"/>
            <w:sz w:val="22"/>
            <w:szCs w:val="22"/>
            <w:u w:val="single"/>
            <w:rtl w:val="0"/>
          </w:rPr>
          <w:t xml:space="preserve">Table Seven</w:t>
        </w:r>
      </w:hyperlink>
      <w:r w:rsidDel="00000000" w:rsidR="00000000" w:rsidRPr="00000000">
        <w:rPr>
          <w:color w:val="467886"/>
          <w:sz w:val="22"/>
          <w:szCs w:val="22"/>
          <w:u w:val="single"/>
          <w:rtl w:val="0"/>
        </w:rPr>
        <w:t xml:space="preserve"> </w:t>
      </w:r>
      <w:r w:rsidDel="00000000" w:rsidR="00000000" w:rsidRPr="00000000">
        <w:rPr>
          <w:sz w:val="22"/>
          <w:szCs w:val="22"/>
          <w:rtl w:val="0"/>
        </w:rPr>
        <w:t xml:space="preserve">(p. 109), some participants report using several medicines prior to their current one. The change in medicine is often attributed to past medicines as ineffective, inaccessible, or intolerable due to side effects. This has been described as a “</w:t>
      </w:r>
      <w:r w:rsidDel="00000000" w:rsidR="00000000" w:rsidRPr="00000000">
        <w:rPr>
          <w:i w:val="1"/>
          <w:sz w:val="22"/>
          <w:szCs w:val="22"/>
          <w:rtl w:val="0"/>
        </w:rPr>
        <w:t xml:space="preserve">trial-and-error” </w:t>
      </w:r>
      <w:r w:rsidDel="00000000" w:rsidR="00000000" w:rsidRPr="00000000">
        <w:rPr>
          <w:sz w:val="22"/>
          <w:szCs w:val="22"/>
          <w:rtl w:val="0"/>
        </w:rPr>
        <w:t xml:space="preserve">approach by </w:t>
      </w:r>
      <w:r w:rsidDel="00000000" w:rsidR="00000000" w:rsidRPr="00000000">
        <w:rPr>
          <w:i w:val="1"/>
          <w:sz w:val="22"/>
          <w:szCs w:val="22"/>
          <w:rtl w:val="0"/>
        </w:rPr>
        <w:t xml:space="preserve">Imogen</w:t>
      </w:r>
      <w:r w:rsidDel="00000000" w:rsidR="00000000" w:rsidRPr="00000000">
        <w:rPr>
          <w:sz w:val="22"/>
          <w:szCs w:val="22"/>
          <w:rtl w:val="0"/>
        </w:rPr>
        <w:t xml:space="preserve"> and is reflected in several interviews:</w:t>
      </w:r>
    </w:p>
    <w:p w:rsidR="00000000" w:rsidDel="00000000" w:rsidP="00000000" w:rsidRDefault="00000000" w:rsidRPr="00000000" w14:paraId="000007C1">
      <w:pPr>
        <w:spacing w:line="480" w:lineRule="auto"/>
        <w:jc w:val="both"/>
        <w:rPr>
          <w:sz w:val="22"/>
          <w:szCs w:val="22"/>
        </w:rPr>
      </w:pPr>
      <w:r w:rsidDel="00000000" w:rsidR="00000000" w:rsidRPr="00000000">
        <w:rPr>
          <w:rtl w:val="0"/>
        </w:rPr>
      </w:r>
    </w:p>
    <w:p w:rsidR="00000000" w:rsidDel="00000000" w:rsidP="00000000" w:rsidRDefault="00000000" w:rsidRPr="00000000" w14:paraId="000007C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I’ve been given citalopram before erm I just found that that one really made me feel like id been put on some form of hormone pill… I found that it kind of felt like I was taking a birth control tablet when I first started taking that it just moods were worse, they were more erratic I found that it didn’t level me out if anything I felt a lot worse on that</w:t>
      </w:r>
      <w:r w:rsidDel="00000000" w:rsidR="00000000" w:rsidRPr="00000000">
        <w:rPr>
          <w:sz w:val="22"/>
          <w:szCs w:val="22"/>
          <w:rtl w:val="0"/>
        </w:rPr>
        <w:t xml:space="preserve">.”</w:t>
      </w:r>
    </w:p>
    <w:p w:rsidR="00000000" w:rsidDel="00000000" w:rsidP="00000000" w:rsidRDefault="00000000" w:rsidRPr="00000000" w14:paraId="000007C3">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7C4">
      <w:pPr>
        <w:spacing w:line="480" w:lineRule="auto"/>
        <w:jc w:val="both"/>
        <w:rPr>
          <w:sz w:val="22"/>
          <w:szCs w:val="22"/>
        </w:rPr>
      </w:pPr>
      <w:r w:rsidDel="00000000" w:rsidR="00000000" w:rsidRPr="00000000">
        <w:rPr>
          <w:rtl w:val="0"/>
        </w:rPr>
      </w:r>
    </w:p>
    <w:p w:rsidR="00000000" w:rsidDel="00000000" w:rsidP="00000000" w:rsidRDefault="00000000" w:rsidRPr="00000000" w14:paraId="000007C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One of them was a sleeping tablet that was just zopiclone my legs I had that restless leg so I couldn’t sleep so they gave me that so erm erm erm I think it’s called duloxetine an antidepressant but in low dosage it’s like a nerve painkiller</w:t>
      </w:r>
      <w:r w:rsidDel="00000000" w:rsidR="00000000" w:rsidRPr="00000000">
        <w:rPr>
          <w:sz w:val="22"/>
          <w:szCs w:val="22"/>
          <w:rtl w:val="0"/>
        </w:rPr>
        <w:t xml:space="preserve">.”</w:t>
      </w:r>
    </w:p>
    <w:p w:rsidR="00000000" w:rsidDel="00000000" w:rsidP="00000000" w:rsidRDefault="00000000" w:rsidRPr="00000000" w14:paraId="000007C6">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7C7">
      <w:pPr>
        <w:spacing w:line="480" w:lineRule="auto"/>
        <w:jc w:val="both"/>
        <w:rPr>
          <w:sz w:val="22"/>
          <w:szCs w:val="22"/>
        </w:rPr>
      </w:pPr>
      <w:r w:rsidDel="00000000" w:rsidR="00000000" w:rsidRPr="00000000">
        <w:rPr>
          <w:rtl w:val="0"/>
        </w:rPr>
      </w:r>
    </w:p>
    <w:p w:rsidR="00000000" w:rsidDel="00000000" w:rsidP="00000000" w:rsidRDefault="00000000" w:rsidRPr="00000000" w14:paraId="000007C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started on 10 milligrams and then I asked for it to be up to 20 milligrams and the gabapentin I was prescribed three hundred at first but honestly I couldn't function on three hundred so I'm on 10[mg]</w:t>
      </w:r>
      <w:r w:rsidDel="00000000" w:rsidR="00000000" w:rsidRPr="00000000">
        <w:rPr>
          <w:sz w:val="22"/>
          <w:szCs w:val="22"/>
          <w:rtl w:val="0"/>
        </w:rPr>
        <w:t xml:space="preserve">”</w:t>
      </w:r>
    </w:p>
    <w:p w:rsidR="00000000" w:rsidDel="00000000" w:rsidP="00000000" w:rsidRDefault="00000000" w:rsidRPr="00000000" w14:paraId="000007C9">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7CA">
      <w:pPr>
        <w:spacing w:line="480" w:lineRule="auto"/>
        <w:jc w:val="right"/>
        <w:rPr>
          <w:sz w:val="22"/>
          <w:szCs w:val="22"/>
        </w:rPr>
      </w:pPr>
      <w:r w:rsidDel="00000000" w:rsidR="00000000" w:rsidRPr="00000000">
        <w:rPr>
          <w:rtl w:val="0"/>
        </w:rPr>
      </w:r>
    </w:p>
    <w:p w:rsidR="00000000" w:rsidDel="00000000" w:rsidP="00000000" w:rsidRDefault="00000000" w:rsidRPr="00000000" w14:paraId="000007CB">
      <w:pPr>
        <w:spacing w:line="480" w:lineRule="auto"/>
        <w:jc w:val="both"/>
        <w:rPr>
          <w:sz w:val="22"/>
          <w:szCs w:val="22"/>
        </w:rPr>
      </w:pPr>
      <w:r w:rsidDel="00000000" w:rsidR="00000000" w:rsidRPr="00000000">
        <w:rPr>
          <w:sz w:val="22"/>
          <w:szCs w:val="22"/>
          <w:rtl w:val="0"/>
        </w:rPr>
        <w:t xml:space="preserve">Generally, participants do not want to use medicines, however the challenges they experience due to their health condition appear to supersede this belief. They report using a decisional balance to assess whether medicines are worth the risks. Those who have used several medicines, or variances of doses of the same medicine, report this this “</w:t>
      </w:r>
      <w:r w:rsidDel="00000000" w:rsidR="00000000" w:rsidRPr="00000000">
        <w:rPr>
          <w:i w:val="1"/>
          <w:sz w:val="22"/>
          <w:szCs w:val="22"/>
          <w:rtl w:val="0"/>
        </w:rPr>
        <w:t xml:space="preserve">trial-and-error”</w:t>
      </w:r>
      <w:r w:rsidDel="00000000" w:rsidR="00000000" w:rsidRPr="00000000">
        <w:rPr>
          <w:sz w:val="22"/>
          <w:szCs w:val="22"/>
          <w:rtl w:val="0"/>
        </w:rPr>
        <w:t xml:space="preserve"> approach not only pertains to personal preferences, but the complexity of the health condition:</w:t>
      </w:r>
    </w:p>
    <w:p w:rsidR="00000000" w:rsidDel="00000000" w:rsidP="00000000" w:rsidRDefault="00000000" w:rsidRPr="00000000" w14:paraId="000007CC">
      <w:pPr>
        <w:spacing w:line="480" w:lineRule="auto"/>
        <w:ind w:left="709" w:firstLine="0"/>
        <w:jc w:val="both"/>
        <w:rPr>
          <w:sz w:val="21"/>
          <w:szCs w:val="21"/>
        </w:rPr>
      </w:pPr>
      <w:r w:rsidDel="00000000" w:rsidR="00000000" w:rsidRPr="00000000">
        <w:rPr>
          <w:sz w:val="22"/>
          <w:szCs w:val="22"/>
          <w:rtl w:val="0"/>
        </w:rPr>
        <w:t xml:space="preserve">“</w:t>
      </w:r>
      <w:r w:rsidDel="00000000" w:rsidR="00000000" w:rsidRPr="00000000">
        <w:rPr>
          <w:i w:val="1"/>
          <w:sz w:val="22"/>
          <w:szCs w:val="22"/>
          <w:rtl w:val="0"/>
        </w:rPr>
        <w:t xml:space="preserve">I have Trigeminal Neuralgia, which is facial pain. I’ve had it 20 years, so I’ve been on a whole gamut of drugs er and surgeries and a motor cortex stimulator it’s all crazy… I ended up on very high doses of fentanyl… I was just on the buccal lollipops the instant release… but they did eventually get their act together and realised that this wasn’t a good use of medication, so swapped me onto patches so at one point I was on 100mg patch fentanyl patch plus about 5 erm 200mg buccal tablets a day… it’s around 450-500mg morphine equivalent so it’s a whacking big dose so erm and plus I was also on 200mg plus trimipramine</w:t>
      </w:r>
      <w:r w:rsidDel="00000000" w:rsidR="00000000" w:rsidRPr="00000000">
        <w:rPr>
          <w:sz w:val="22"/>
          <w:szCs w:val="22"/>
          <w:rtl w:val="0"/>
        </w:rPr>
        <w:t xml:space="preserve">.”</w:t>
      </w:r>
      <w:r w:rsidDel="00000000" w:rsidR="00000000" w:rsidRPr="00000000">
        <w:rPr>
          <w:rtl w:val="0"/>
        </w:rPr>
      </w:r>
    </w:p>
    <w:p w:rsidR="00000000" w:rsidDel="00000000" w:rsidP="00000000" w:rsidRDefault="00000000" w:rsidRPr="00000000" w14:paraId="000007CD">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7CE">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7CF">
      <w:pPr>
        <w:spacing w:line="480" w:lineRule="auto"/>
        <w:jc w:val="both"/>
        <w:rPr>
          <w:sz w:val="22"/>
          <w:szCs w:val="22"/>
        </w:rPr>
      </w:pPr>
      <w:r w:rsidDel="00000000" w:rsidR="00000000" w:rsidRPr="00000000">
        <w:rPr>
          <w:sz w:val="22"/>
          <w:szCs w:val="22"/>
          <w:rtl w:val="0"/>
        </w:rPr>
        <w:t xml:space="preserve">Participants who experience the therapeutic benefits, or minimal side effects, felt their health was best managed using pharmaceutical interventions. This was evident particularly with psychiatric medications. This patient group also report little concern regarding their medication use, and are likely to have confidence in their medicines, with this improvement in their health complaint as the main contributing factor: </w:t>
      </w:r>
    </w:p>
    <w:p w:rsidR="00000000" w:rsidDel="00000000" w:rsidP="00000000" w:rsidRDefault="00000000" w:rsidRPr="00000000" w14:paraId="000007D0">
      <w:pPr>
        <w:spacing w:line="480" w:lineRule="auto"/>
        <w:rPr>
          <w:sz w:val="22"/>
          <w:szCs w:val="22"/>
        </w:rPr>
      </w:pPr>
      <w:r w:rsidDel="00000000" w:rsidR="00000000" w:rsidRPr="00000000">
        <w:rPr>
          <w:rtl w:val="0"/>
        </w:rPr>
      </w:r>
    </w:p>
    <w:p w:rsidR="00000000" w:rsidDel="00000000" w:rsidP="00000000" w:rsidRDefault="00000000" w:rsidRPr="00000000" w14:paraId="000007D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So, for the first time for sertraline it was almost like an overnight complete change. Was kind of quite surprising, but that’s quite good.</w:t>
      </w:r>
      <w:r w:rsidDel="00000000" w:rsidR="00000000" w:rsidRPr="00000000">
        <w:rPr>
          <w:sz w:val="22"/>
          <w:szCs w:val="22"/>
          <w:rtl w:val="0"/>
        </w:rPr>
        <w:t xml:space="preserve">”</w:t>
      </w:r>
    </w:p>
    <w:p w:rsidR="00000000" w:rsidDel="00000000" w:rsidP="00000000" w:rsidRDefault="00000000" w:rsidRPr="00000000" w14:paraId="000007D2">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7D3">
      <w:pPr>
        <w:spacing w:line="480" w:lineRule="auto"/>
        <w:rPr>
          <w:sz w:val="22"/>
          <w:szCs w:val="22"/>
        </w:rPr>
      </w:pPr>
      <w:r w:rsidDel="00000000" w:rsidR="00000000" w:rsidRPr="00000000">
        <w:rPr>
          <w:rtl w:val="0"/>
        </w:rPr>
      </w:r>
    </w:p>
    <w:p w:rsidR="00000000" w:rsidDel="00000000" w:rsidP="00000000" w:rsidRDefault="00000000" w:rsidRPr="00000000" w14:paraId="000007D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They worked to some extent took the edge off, when things were at the worst, they took the edge off</w:t>
      </w:r>
      <w:r w:rsidDel="00000000" w:rsidR="00000000" w:rsidRPr="00000000">
        <w:rPr>
          <w:sz w:val="22"/>
          <w:szCs w:val="22"/>
          <w:rtl w:val="0"/>
        </w:rPr>
        <w:t xml:space="preserve">.”</w:t>
      </w:r>
    </w:p>
    <w:p w:rsidR="00000000" w:rsidDel="00000000" w:rsidP="00000000" w:rsidRDefault="00000000" w:rsidRPr="00000000" w14:paraId="000007D5">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7D6">
      <w:pPr>
        <w:spacing w:line="480" w:lineRule="auto"/>
        <w:jc w:val="both"/>
        <w:rPr>
          <w:sz w:val="22"/>
          <w:szCs w:val="22"/>
        </w:rPr>
      </w:pPr>
      <w:r w:rsidDel="00000000" w:rsidR="00000000" w:rsidRPr="00000000">
        <w:rPr>
          <w:rtl w:val="0"/>
        </w:rPr>
      </w:r>
    </w:p>
    <w:p w:rsidR="00000000" w:rsidDel="00000000" w:rsidP="00000000" w:rsidRDefault="00000000" w:rsidRPr="00000000" w14:paraId="000007D7">
      <w:pPr>
        <w:spacing w:line="480" w:lineRule="auto"/>
        <w:jc w:val="both"/>
        <w:rPr>
          <w:sz w:val="22"/>
          <w:szCs w:val="22"/>
        </w:rPr>
      </w:pPr>
      <w:r w:rsidDel="00000000" w:rsidR="00000000" w:rsidRPr="00000000">
        <w:rPr>
          <w:sz w:val="22"/>
          <w:szCs w:val="22"/>
          <w:rtl w:val="0"/>
        </w:rPr>
        <w:t xml:space="preserve">However, participants describe a conflicted attitude towards medicines, experiencing their benefits yet acknowledging their risks. </w:t>
      </w:r>
      <w:r w:rsidDel="00000000" w:rsidR="00000000" w:rsidRPr="00000000">
        <w:rPr>
          <w:i w:val="1"/>
          <w:sz w:val="22"/>
          <w:szCs w:val="22"/>
          <w:rtl w:val="0"/>
        </w:rPr>
        <w:t xml:space="preserve">Alice </w:t>
      </w:r>
      <w:r w:rsidDel="00000000" w:rsidR="00000000" w:rsidRPr="00000000">
        <w:rPr>
          <w:sz w:val="22"/>
          <w:szCs w:val="22"/>
          <w:rtl w:val="0"/>
        </w:rPr>
        <w:t xml:space="preserve">and </w:t>
      </w:r>
      <w:r w:rsidDel="00000000" w:rsidR="00000000" w:rsidRPr="00000000">
        <w:rPr>
          <w:i w:val="1"/>
          <w:sz w:val="22"/>
          <w:szCs w:val="22"/>
          <w:rtl w:val="0"/>
        </w:rPr>
        <w:t xml:space="preserve">Maggie</w:t>
      </w:r>
      <w:r w:rsidDel="00000000" w:rsidR="00000000" w:rsidRPr="00000000">
        <w:rPr>
          <w:sz w:val="22"/>
          <w:szCs w:val="22"/>
          <w:rtl w:val="0"/>
        </w:rPr>
        <w:t xml:space="preserve"> report their respective citalopram and pregabalin prescription suited them, since they described experiencing little or no side effects, nor withdrawal symptoms, and experiencing an improvement in their health:</w:t>
      </w:r>
    </w:p>
    <w:p w:rsidR="00000000" w:rsidDel="00000000" w:rsidP="00000000" w:rsidRDefault="00000000" w:rsidRPr="00000000" w14:paraId="000007D8">
      <w:pPr>
        <w:spacing w:line="480" w:lineRule="auto"/>
        <w:jc w:val="both"/>
        <w:rPr>
          <w:sz w:val="22"/>
          <w:szCs w:val="22"/>
        </w:rPr>
      </w:pPr>
      <w:r w:rsidDel="00000000" w:rsidR="00000000" w:rsidRPr="00000000">
        <w:rPr>
          <w:rtl w:val="0"/>
        </w:rPr>
      </w:r>
    </w:p>
    <w:p w:rsidR="00000000" w:rsidDel="00000000" w:rsidP="00000000" w:rsidRDefault="00000000" w:rsidRPr="00000000" w14:paraId="000007D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Yes, it’s definitely not without its side effects but yeah when I’m depressed, I can’t get out of bed, and I cry every day, and I can’t do anything and when I take my medication appropriately, I can be a fully functioning member of society</w:t>
      </w:r>
      <w:r w:rsidDel="00000000" w:rsidR="00000000" w:rsidRPr="00000000">
        <w:rPr>
          <w:sz w:val="22"/>
          <w:szCs w:val="22"/>
          <w:rtl w:val="0"/>
        </w:rPr>
        <w:t xml:space="preserve">.”</w:t>
      </w:r>
    </w:p>
    <w:p w:rsidR="00000000" w:rsidDel="00000000" w:rsidP="00000000" w:rsidRDefault="00000000" w:rsidRPr="00000000" w14:paraId="000007DA">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7DB">
      <w:pPr>
        <w:spacing w:line="480" w:lineRule="auto"/>
        <w:jc w:val="right"/>
        <w:rPr>
          <w:sz w:val="22"/>
          <w:szCs w:val="22"/>
        </w:rPr>
      </w:pPr>
      <w:r w:rsidDel="00000000" w:rsidR="00000000" w:rsidRPr="00000000">
        <w:rPr>
          <w:rtl w:val="0"/>
        </w:rPr>
      </w:r>
    </w:p>
    <w:p w:rsidR="00000000" w:rsidDel="00000000" w:rsidP="00000000" w:rsidRDefault="00000000" w:rsidRPr="00000000" w14:paraId="000007DC">
      <w:pPr>
        <w:spacing w:line="480" w:lineRule="auto"/>
        <w:jc w:val="both"/>
        <w:rPr>
          <w:sz w:val="22"/>
          <w:szCs w:val="22"/>
        </w:rPr>
      </w:pPr>
      <w:r w:rsidDel="00000000" w:rsidR="00000000" w:rsidRPr="00000000">
        <w:rPr>
          <w:sz w:val="22"/>
          <w:szCs w:val="22"/>
          <w:rtl w:val="0"/>
        </w:rPr>
        <w:t xml:space="preserve">The following section will explore the perceived safety of medicines, and how this contributes to the perception of medicines. </w:t>
      </w:r>
    </w:p>
    <w:p w:rsidR="00000000" w:rsidDel="00000000" w:rsidP="00000000" w:rsidRDefault="00000000" w:rsidRPr="00000000" w14:paraId="000007DD">
      <w:pPr>
        <w:spacing w:line="480" w:lineRule="auto"/>
        <w:jc w:val="both"/>
        <w:rPr>
          <w:sz w:val="22"/>
          <w:szCs w:val="22"/>
        </w:rPr>
      </w:pPr>
      <w:r w:rsidDel="00000000" w:rsidR="00000000" w:rsidRPr="00000000">
        <w:rPr>
          <w:rtl w:val="0"/>
        </w:rPr>
      </w:r>
    </w:p>
    <w:p w:rsidR="00000000" w:rsidDel="00000000" w:rsidP="00000000" w:rsidRDefault="00000000" w:rsidRPr="00000000" w14:paraId="000007DE">
      <w:pPr>
        <w:pStyle w:val="Heading3"/>
        <w:spacing w:line="480" w:lineRule="auto"/>
        <w:rPr/>
      </w:pPr>
      <w:bookmarkStart w:colFirst="0" w:colLast="0" w:name="_heading=h.haapch" w:id="90"/>
      <w:bookmarkEnd w:id="90"/>
      <w:r w:rsidDel="00000000" w:rsidR="00000000" w:rsidRPr="00000000">
        <w:rPr>
          <w:rtl w:val="0"/>
        </w:rPr>
        <w:t xml:space="preserve">Safety</w:t>
      </w:r>
    </w:p>
    <w:p w:rsidR="00000000" w:rsidDel="00000000" w:rsidP="00000000" w:rsidRDefault="00000000" w:rsidRPr="00000000" w14:paraId="000007DF">
      <w:pPr>
        <w:spacing w:line="480" w:lineRule="auto"/>
        <w:jc w:val="both"/>
        <w:rPr>
          <w:sz w:val="22"/>
          <w:szCs w:val="22"/>
        </w:rPr>
      </w:pPr>
      <w:r w:rsidDel="00000000" w:rsidR="00000000" w:rsidRPr="00000000">
        <w:rPr>
          <w:sz w:val="22"/>
          <w:szCs w:val="22"/>
          <w:rtl w:val="0"/>
        </w:rPr>
        <w:t xml:space="preserve">Participants generally feel their medication is safe, contributing to a positive assessment of their medication. It must be noted, however, a caveat to medication use is that medication is used correctly, as prescribed, and adequate behaviour changes are adopted alongside its use. Since these medicines are prescribed by medical professionals, and have undergone extensive clinical trials and testing, some participants felt their medication is safe. However, due to the prescribed nature of these medicines, and despite their perceived safety, it has been found difficult to identify as dependent on their medication: </w:t>
      </w:r>
    </w:p>
    <w:p w:rsidR="00000000" w:rsidDel="00000000" w:rsidP="00000000" w:rsidRDefault="00000000" w:rsidRPr="00000000" w14:paraId="000007E0">
      <w:pPr>
        <w:spacing w:line="480" w:lineRule="auto"/>
        <w:jc w:val="both"/>
        <w:rPr>
          <w:sz w:val="22"/>
          <w:szCs w:val="22"/>
        </w:rPr>
      </w:pPr>
      <w:r w:rsidDel="00000000" w:rsidR="00000000" w:rsidRPr="00000000">
        <w:rPr>
          <w:rtl w:val="0"/>
        </w:rPr>
      </w:r>
    </w:p>
    <w:p w:rsidR="00000000" w:rsidDel="00000000" w:rsidP="00000000" w:rsidRDefault="00000000" w:rsidRPr="00000000" w14:paraId="000007E1">
      <w:pPr>
        <w:spacing w:line="480" w:lineRule="auto"/>
        <w:ind w:left="709" w:firstLine="0"/>
        <w:jc w:val="both"/>
        <w:rPr>
          <w:sz w:val="21"/>
          <w:szCs w:val="21"/>
        </w:rPr>
      </w:pPr>
      <w:r w:rsidDel="00000000" w:rsidR="00000000" w:rsidRPr="00000000">
        <w:rPr>
          <w:sz w:val="22"/>
          <w:szCs w:val="22"/>
          <w:rtl w:val="0"/>
        </w:rPr>
        <w:t xml:space="preserve">“</w:t>
      </w:r>
      <w:r w:rsidDel="00000000" w:rsidR="00000000" w:rsidRPr="00000000">
        <w:rPr>
          <w:i w:val="1"/>
          <w:sz w:val="22"/>
          <w:szCs w:val="22"/>
          <w:rtl w:val="0"/>
        </w:rPr>
        <w:t xml:space="preserve">I viewed it as a very similar kind of way haven’t really have any strong feelings to this is dangerous because, it’s on the market they’re available to use this, obviously gone through how much testing and research</w:t>
      </w:r>
      <w:r w:rsidDel="00000000" w:rsidR="00000000" w:rsidRPr="00000000">
        <w:rPr>
          <w:sz w:val="22"/>
          <w:szCs w:val="22"/>
          <w:rtl w:val="0"/>
        </w:rPr>
        <w:t xml:space="preserve">.”</w:t>
      </w:r>
      <w:r w:rsidDel="00000000" w:rsidR="00000000" w:rsidRPr="00000000">
        <w:rPr>
          <w:sz w:val="21"/>
          <w:szCs w:val="21"/>
          <w:rtl w:val="0"/>
        </w:rPr>
        <w:t xml:space="preserve"> </w:t>
      </w:r>
    </w:p>
    <w:p w:rsidR="00000000" w:rsidDel="00000000" w:rsidP="00000000" w:rsidRDefault="00000000" w:rsidRPr="00000000" w14:paraId="000007E2">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7E3">
      <w:pPr>
        <w:spacing w:line="480" w:lineRule="auto"/>
        <w:jc w:val="right"/>
        <w:rPr>
          <w:sz w:val="22"/>
          <w:szCs w:val="22"/>
        </w:rPr>
      </w:pPr>
      <w:r w:rsidDel="00000000" w:rsidR="00000000" w:rsidRPr="00000000">
        <w:rPr>
          <w:rtl w:val="0"/>
        </w:rPr>
      </w:r>
    </w:p>
    <w:p w:rsidR="00000000" w:rsidDel="00000000" w:rsidP="00000000" w:rsidRDefault="00000000" w:rsidRPr="00000000" w14:paraId="000007E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 was a prescribed medication id been given it by a doctor therefore I can’t be addicted to, it can’t be a bad addiction, it can’t be something I can’t take because the doctor gave it to me</w:t>
      </w:r>
      <w:r w:rsidDel="00000000" w:rsidR="00000000" w:rsidRPr="00000000">
        <w:rPr>
          <w:sz w:val="22"/>
          <w:szCs w:val="22"/>
          <w:rtl w:val="0"/>
        </w:rPr>
        <w:t xml:space="preserve">.”</w:t>
      </w:r>
    </w:p>
    <w:p w:rsidR="00000000" w:rsidDel="00000000" w:rsidP="00000000" w:rsidRDefault="00000000" w:rsidRPr="00000000" w14:paraId="000007E5">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7E6">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7E7">
      <w:pPr>
        <w:spacing w:line="480" w:lineRule="auto"/>
        <w:jc w:val="both"/>
        <w:rPr>
          <w:sz w:val="22"/>
          <w:szCs w:val="22"/>
        </w:rPr>
      </w:pPr>
      <w:r w:rsidDel="00000000" w:rsidR="00000000" w:rsidRPr="00000000">
        <w:rPr>
          <w:sz w:val="22"/>
          <w:szCs w:val="22"/>
          <w:rtl w:val="0"/>
        </w:rPr>
        <w:t xml:space="preserve">Understanding the scientific literature surrounding pharmacology, medicines and health has resulted in a critical evaluation of medicines, particularly antidepressants, and their long-term safety. For example, </w:t>
      </w:r>
      <w:r w:rsidDel="00000000" w:rsidR="00000000" w:rsidRPr="00000000">
        <w:rPr>
          <w:i w:val="1"/>
          <w:sz w:val="22"/>
          <w:szCs w:val="22"/>
          <w:rtl w:val="0"/>
        </w:rPr>
        <w:t xml:space="preserve">Oscar</w:t>
      </w:r>
      <w:r w:rsidDel="00000000" w:rsidR="00000000" w:rsidRPr="00000000">
        <w:rPr>
          <w:sz w:val="22"/>
          <w:szCs w:val="22"/>
          <w:rtl w:val="0"/>
        </w:rPr>
        <w:t xml:space="preserve"> reports minimal side effects and withdrawal symptoms associated with his fluoxetine use, and his depression improved. However, the lack of understanding of the pharmacology and biomedical explanations for depression causes him concern:</w:t>
      </w:r>
    </w:p>
    <w:p w:rsidR="00000000" w:rsidDel="00000000" w:rsidP="00000000" w:rsidRDefault="00000000" w:rsidRPr="00000000" w14:paraId="000007E8">
      <w:pPr>
        <w:spacing w:line="480" w:lineRule="auto"/>
        <w:jc w:val="both"/>
        <w:rPr>
          <w:sz w:val="22"/>
          <w:szCs w:val="22"/>
        </w:rPr>
      </w:pPr>
      <w:r w:rsidDel="00000000" w:rsidR="00000000" w:rsidRPr="00000000">
        <w:rPr>
          <w:rtl w:val="0"/>
        </w:rPr>
      </w:r>
    </w:p>
    <w:p w:rsidR="00000000" w:rsidDel="00000000" w:rsidP="00000000" w:rsidRDefault="00000000" w:rsidRPr="00000000" w14:paraId="000007E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find it more reassuring to know what the actual mechanism is that the underpins that and also, if you don’t know what the mechanism is, how do you know that there’s no damage being done as well that doesn’t seem to be possible to me and I think there is a move away from the prescribing of antidepressants as a consequences some of this research taking place but I feel a bit trapped really in the position that I am in now</w:t>
      </w:r>
      <w:r w:rsidDel="00000000" w:rsidR="00000000" w:rsidRPr="00000000">
        <w:rPr>
          <w:sz w:val="22"/>
          <w:szCs w:val="22"/>
          <w:rtl w:val="0"/>
        </w:rPr>
        <w:t xml:space="preserve">.”</w:t>
      </w:r>
    </w:p>
    <w:p w:rsidR="00000000" w:rsidDel="00000000" w:rsidP="00000000" w:rsidRDefault="00000000" w:rsidRPr="00000000" w14:paraId="000007EA">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7EB">
      <w:pPr>
        <w:spacing w:line="480" w:lineRule="auto"/>
        <w:jc w:val="right"/>
        <w:rPr>
          <w:sz w:val="22"/>
          <w:szCs w:val="22"/>
        </w:rPr>
      </w:pPr>
      <w:r w:rsidDel="00000000" w:rsidR="00000000" w:rsidRPr="00000000">
        <w:rPr>
          <w:rtl w:val="0"/>
        </w:rPr>
      </w:r>
    </w:p>
    <w:p w:rsidR="00000000" w:rsidDel="00000000" w:rsidP="00000000" w:rsidRDefault="00000000" w:rsidRPr="00000000" w14:paraId="000007EC">
      <w:pPr>
        <w:spacing w:line="480" w:lineRule="auto"/>
        <w:jc w:val="both"/>
        <w:rPr>
          <w:sz w:val="22"/>
          <w:szCs w:val="22"/>
        </w:rPr>
      </w:pPr>
      <w:r w:rsidDel="00000000" w:rsidR="00000000" w:rsidRPr="00000000">
        <w:rPr>
          <w:sz w:val="22"/>
          <w:szCs w:val="22"/>
          <w:rtl w:val="0"/>
        </w:rPr>
        <w:t xml:space="preserve">This is reflected in Joanna’s interview, whereby her biomedical science degree has taught her of the risk of iatrogenic dependence and risks associated with long-term medicine use: </w:t>
      </w:r>
    </w:p>
    <w:p w:rsidR="00000000" w:rsidDel="00000000" w:rsidP="00000000" w:rsidRDefault="00000000" w:rsidRPr="00000000" w14:paraId="000007ED">
      <w:pPr>
        <w:spacing w:line="480" w:lineRule="auto"/>
        <w:jc w:val="both"/>
        <w:rPr>
          <w:sz w:val="22"/>
          <w:szCs w:val="22"/>
        </w:rPr>
      </w:pPr>
      <w:r w:rsidDel="00000000" w:rsidR="00000000" w:rsidRPr="00000000">
        <w:rPr>
          <w:rtl w:val="0"/>
        </w:rPr>
      </w:r>
    </w:p>
    <w:p w:rsidR="00000000" w:rsidDel="00000000" w:rsidP="00000000" w:rsidRDefault="00000000" w:rsidRPr="00000000" w14:paraId="000007EE">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get very fed up of the fact that how my body is dependent on that, and it that I know the biology of that because I started biomedical science so I know that it’s gonna take some time</w:t>
      </w:r>
      <w:r w:rsidDel="00000000" w:rsidR="00000000" w:rsidRPr="00000000">
        <w:rPr>
          <w:sz w:val="22"/>
          <w:szCs w:val="22"/>
          <w:rtl w:val="0"/>
        </w:rPr>
        <w:t xml:space="preserve">.”</w:t>
      </w:r>
    </w:p>
    <w:p w:rsidR="00000000" w:rsidDel="00000000" w:rsidP="00000000" w:rsidRDefault="00000000" w:rsidRPr="00000000" w14:paraId="000007EF">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7F0">
      <w:pPr>
        <w:spacing w:line="480" w:lineRule="auto"/>
        <w:jc w:val="both"/>
        <w:rPr>
          <w:sz w:val="22"/>
          <w:szCs w:val="22"/>
        </w:rPr>
      </w:pPr>
      <w:r w:rsidDel="00000000" w:rsidR="00000000" w:rsidRPr="00000000">
        <w:rPr>
          <w:sz w:val="22"/>
          <w:szCs w:val="22"/>
          <w:rtl w:val="0"/>
        </w:rPr>
        <w:t xml:space="preserve">Those who have lived experience, and an understanding or experience working with people who use illicit substances noted similarities between themselves and this demographic, with </w:t>
      </w:r>
      <w:r w:rsidDel="00000000" w:rsidR="00000000" w:rsidRPr="00000000">
        <w:rPr>
          <w:i w:val="1"/>
          <w:sz w:val="22"/>
          <w:szCs w:val="22"/>
          <w:rtl w:val="0"/>
        </w:rPr>
        <w:t xml:space="preserve">Imogen </w:t>
      </w:r>
      <w:r w:rsidDel="00000000" w:rsidR="00000000" w:rsidRPr="00000000">
        <w:rPr>
          <w:sz w:val="22"/>
          <w:szCs w:val="22"/>
          <w:rtl w:val="0"/>
        </w:rPr>
        <w:t xml:space="preserve">describing this as a “</w:t>
      </w:r>
      <w:r w:rsidDel="00000000" w:rsidR="00000000" w:rsidRPr="00000000">
        <w:rPr>
          <w:i w:val="1"/>
          <w:sz w:val="22"/>
          <w:szCs w:val="22"/>
          <w:rtl w:val="0"/>
        </w:rPr>
        <w:t xml:space="preserve">weird parallel</w:t>
      </w:r>
      <w:r w:rsidDel="00000000" w:rsidR="00000000" w:rsidRPr="00000000">
        <w:rPr>
          <w:sz w:val="22"/>
          <w:szCs w:val="22"/>
          <w:rtl w:val="0"/>
        </w:rPr>
        <w:t xml:space="preserve">” and an “</w:t>
      </w:r>
      <w:r w:rsidDel="00000000" w:rsidR="00000000" w:rsidRPr="00000000">
        <w:rPr>
          <w:i w:val="1"/>
          <w:sz w:val="22"/>
          <w:szCs w:val="22"/>
          <w:rtl w:val="0"/>
        </w:rPr>
        <w:t xml:space="preserve">acceptable drug addict</w:t>
      </w:r>
      <w:r w:rsidDel="00000000" w:rsidR="00000000" w:rsidRPr="00000000">
        <w:rPr>
          <w:sz w:val="22"/>
          <w:szCs w:val="22"/>
          <w:rtl w:val="0"/>
        </w:rPr>
        <w:t xml:space="preserve">”. This will be explored </w:t>
      </w:r>
      <w:hyperlink w:anchor="_heading=h.40ew0vw">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(p. 184).</w:t>
      </w:r>
    </w:p>
    <w:p w:rsidR="00000000" w:rsidDel="00000000" w:rsidP="00000000" w:rsidRDefault="00000000" w:rsidRPr="00000000" w14:paraId="000007F1">
      <w:pPr>
        <w:spacing w:line="480" w:lineRule="auto"/>
        <w:jc w:val="both"/>
        <w:rPr>
          <w:sz w:val="22"/>
          <w:szCs w:val="22"/>
        </w:rPr>
      </w:pPr>
      <w:r w:rsidDel="00000000" w:rsidR="00000000" w:rsidRPr="00000000">
        <w:rPr>
          <w:rtl w:val="0"/>
        </w:rPr>
      </w:r>
    </w:p>
    <w:p w:rsidR="00000000" w:rsidDel="00000000" w:rsidP="00000000" w:rsidRDefault="00000000" w:rsidRPr="00000000" w14:paraId="000007F2">
      <w:pPr>
        <w:pStyle w:val="Heading3"/>
        <w:spacing w:line="480" w:lineRule="auto"/>
        <w:rPr/>
      </w:pPr>
      <w:bookmarkStart w:colFirst="0" w:colLast="0" w:name="_heading=h.319y80a" w:id="91"/>
      <w:bookmarkEnd w:id="91"/>
      <w:r w:rsidDel="00000000" w:rsidR="00000000" w:rsidRPr="00000000">
        <w:rPr>
          <w:rtl w:val="0"/>
        </w:rPr>
        <w:t xml:space="preserve">Side Effects and Withdrawal Symptoms</w:t>
      </w:r>
    </w:p>
    <w:p w:rsidR="00000000" w:rsidDel="00000000" w:rsidP="00000000" w:rsidRDefault="00000000" w:rsidRPr="00000000" w14:paraId="000007F3">
      <w:pPr>
        <w:spacing w:line="480" w:lineRule="auto"/>
        <w:jc w:val="both"/>
        <w:rPr>
          <w:sz w:val="22"/>
          <w:szCs w:val="22"/>
        </w:rPr>
      </w:pPr>
      <w:r w:rsidDel="00000000" w:rsidR="00000000" w:rsidRPr="00000000">
        <w:rPr>
          <w:sz w:val="22"/>
          <w:szCs w:val="22"/>
          <w:rtl w:val="0"/>
        </w:rPr>
        <w:t xml:space="preserve">Side effects and withdrawal symptoms were a key consideration in the participant’s evaluation. Across all interviews, several side effects and withdrawal symptoms were reported, both physical and psychological. Reported side effects include body sweats, sexual difficulties, and gastrointestinal issues, whilst withdrawal symptoms included shakes, restlessness, increased pain and decline in mental health and wellbeing. The management of withdrawal symptoms will be discussed in detail in the section, “</w:t>
      </w:r>
      <w:hyperlink w:anchor="_heading=h.1ljsd9k">
        <w:r w:rsidDel="00000000" w:rsidR="00000000" w:rsidRPr="00000000">
          <w:rPr>
            <w:i w:val="1"/>
            <w:color w:val="467886"/>
            <w:sz w:val="22"/>
            <w:szCs w:val="22"/>
            <w:u w:val="single"/>
            <w:rtl w:val="0"/>
          </w:rPr>
          <w:t xml:space="preserve">Escaping the Medication Trap</w:t>
        </w:r>
      </w:hyperlink>
      <w:r w:rsidDel="00000000" w:rsidR="00000000" w:rsidRPr="00000000">
        <w:rPr>
          <w:sz w:val="22"/>
          <w:szCs w:val="22"/>
          <w:rtl w:val="0"/>
        </w:rPr>
        <w:t xml:space="preserve">” (p. 188). </w:t>
      </w:r>
    </w:p>
    <w:p w:rsidR="00000000" w:rsidDel="00000000" w:rsidP="00000000" w:rsidRDefault="00000000" w:rsidRPr="00000000" w14:paraId="000007F4">
      <w:pPr>
        <w:spacing w:line="480" w:lineRule="auto"/>
        <w:jc w:val="both"/>
        <w:rPr>
          <w:sz w:val="22"/>
          <w:szCs w:val="22"/>
        </w:rPr>
      </w:pPr>
      <w:r w:rsidDel="00000000" w:rsidR="00000000" w:rsidRPr="00000000">
        <w:rPr>
          <w:rtl w:val="0"/>
        </w:rPr>
      </w:r>
    </w:p>
    <w:p w:rsidR="00000000" w:rsidDel="00000000" w:rsidP="00000000" w:rsidRDefault="00000000" w:rsidRPr="00000000" w14:paraId="000007F5">
      <w:pPr>
        <w:spacing w:line="480" w:lineRule="auto"/>
        <w:jc w:val="both"/>
        <w:rPr>
          <w:sz w:val="22"/>
          <w:szCs w:val="22"/>
        </w:rPr>
      </w:pPr>
      <w:r w:rsidDel="00000000" w:rsidR="00000000" w:rsidRPr="00000000">
        <w:rPr>
          <w:sz w:val="22"/>
          <w:szCs w:val="22"/>
          <w:rtl w:val="0"/>
        </w:rPr>
        <w:t xml:space="preserve">Sedation was reported by several participants, and this had varying implications for the participants lives. Generally, this side effect resulted in the perceived inability to maintain their daily routine and functioning:</w:t>
      </w:r>
    </w:p>
    <w:p w:rsidR="00000000" w:rsidDel="00000000" w:rsidP="00000000" w:rsidRDefault="00000000" w:rsidRPr="00000000" w14:paraId="000007F6">
      <w:pPr>
        <w:spacing w:line="480" w:lineRule="auto"/>
        <w:rPr>
          <w:sz w:val="22"/>
          <w:szCs w:val="22"/>
        </w:rPr>
      </w:pPr>
      <w:r w:rsidDel="00000000" w:rsidR="00000000" w:rsidRPr="00000000">
        <w:rPr>
          <w:rtl w:val="0"/>
        </w:rPr>
      </w:r>
    </w:p>
    <w:p w:rsidR="00000000" w:rsidDel="00000000" w:rsidP="00000000" w:rsidRDefault="00000000" w:rsidRPr="00000000" w14:paraId="000007F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gabapentin I was prescribed three hundred [milligrams] at first, but honestly I couldn’t function on three hundred so I’m on 100 [milligrams] and I can self-medicate [PRN] if I need to, and you’re supposed to be taking up all the time, but I can’t take it all the time the side effects just too bad</w:t>
      </w:r>
      <w:r w:rsidDel="00000000" w:rsidR="00000000" w:rsidRPr="00000000">
        <w:rPr>
          <w:sz w:val="22"/>
          <w:szCs w:val="22"/>
          <w:rtl w:val="0"/>
        </w:rPr>
        <w:t xml:space="preserve">.”</w:t>
      </w:r>
    </w:p>
    <w:p w:rsidR="00000000" w:rsidDel="00000000" w:rsidP="00000000" w:rsidRDefault="00000000" w:rsidRPr="00000000" w14:paraId="000007F8">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7F9">
      <w:pPr>
        <w:spacing w:line="480" w:lineRule="auto"/>
        <w:jc w:val="right"/>
        <w:rPr>
          <w:sz w:val="22"/>
          <w:szCs w:val="22"/>
        </w:rPr>
      </w:pPr>
      <w:r w:rsidDel="00000000" w:rsidR="00000000" w:rsidRPr="00000000">
        <w:rPr>
          <w:rtl w:val="0"/>
        </w:rPr>
      </w:r>
    </w:p>
    <w:p w:rsidR="00000000" w:rsidDel="00000000" w:rsidP="00000000" w:rsidRDefault="00000000" w:rsidRPr="00000000" w14:paraId="000007FA">
      <w:pPr>
        <w:spacing w:line="480" w:lineRule="auto"/>
        <w:jc w:val="both"/>
        <w:rPr>
          <w:sz w:val="22"/>
          <w:szCs w:val="22"/>
        </w:rPr>
      </w:pPr>
      <w:r w:rsidDel="00000000" w:rsidR="00000000" w:rsidRPr="00000000">
        <w:rPr>
          <w:sz w:val="22"/>
          <w:szCs w:val="22"/>
          <w:rtl w:val="0"/>
        </w:rPr>
        <w:t xml:space="preserve">Weight gain is a key area of concern when discussing side effects, particularly in female participants, and has been identified as a barrier to accepting some medicines. There is a vulnerability described when experiencing weight gain, both due to the side effects of the medications and their diagnosis. Concerns about increased weight gain on the participants wider health is also noted. This can cause an individuals’ mental health and wellbeing to decline further, and can increase the risk of engaging in high-risk behaviours such as extreme dieting and disordered eating: </w:t>
      </w:r>
    </w:p>
    <w:p w:rsidR="00000000" w:rsidDel="00000000" w:rsidP="00000000" w:rsidRDefault="00000000" w:rsidRPr="00000000" w14:paraId="000007FB">
      <w:pPr>
        <w:spacing w:line="480" w:lineRule="auto"/>
        <w:jc w:val="both"/>
        <w:rPr>
          <w:sz w:val="22"/>
          <w:szCs w:val="22"/>
        </w:rPr>
      </w:pPr>
      <w:r w:rsidDel="00000000" w:rsidR="00000000" w:rsidRPr="00000000">
        <w:rPr>
          <w:rtl w:val="0"/>
        </w:rPr>
      </w:r>
    </w:p>
    <w:p w:rsidR="00000000" w:rsidDel="00000000" w:rsidP="00000000" w:rsidRDefault="00000000" w:rsidRPr="00000000" w14:paraId="000007F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really don’t wanna gain lots of weight cos I find that difficult being in the fitness industry erm and that was one of the reasons why we went on citalopram</w:t>
      </w:r>
      <w:r w:rsidDel="00000000" w:rsidR="00000000" w:rsidRPr="00000000">
        <w:rPr>
          <w:sz w:val="22"/>
          <w:szCs w:val="22"/>
          <w:rtl w:val="0"/>
        </w:rPr>
        <w:t xml:space="preserve">.”</w:t>
      </w:r>
    </w:p>
    <w:p w:rsidR="00000000" w:rsidDel="00000000" w:rsidP="00000000" w:rsidRDefault="00000000" w:rsidRPr="00000000" w14:paraId="000007FD">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7FE">
      <w:pPr>
        <w:spacing w:line="480" w:lineRule="auto"/>
        <w:jc w:val="right"/>
        <w:rPr>
          <w:sz w:val="22"/>
          <w:szCs w:val="22"/>
        </w:rPr>
      </w:pPr>
      <w:r w:rsidDel="00000000" w:rsidR="00000000" w:rsidRPr="00000000">
        <w:rPr>
          <w:rtl w:val="0"/>
        </w:rPr>
      </w:r>
    </w:p>
    <w:p w:rsidR="00000000" w:rsidDel="00000000" w:rsidP="00000000" w:rsidRDefault="00000000" w:rsidRPr="00000000" w14:paraId="000007F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had like weight gain, so I just started feeling like it’s too much that’s causing my body just too many problems</w:t>
      </w:r>
      <w:r w:rsidDel="00000000" w:rsidR="00000000" w:rsidRPr="00000000">
        <w:rPr>
          <w:sz w:val="22"/>
          <w:szCs w:val="22"/>
          <w:rtl w:val="0"/>
        </w:rPr>
        <w:t xml:space="preserve">.”</w:t>
      </w:r>
    </w:p>
    <w:p w:rsidR="00000000" w:rsidDel="00000000" w:rsidP="00000000" w:rsidRDefault="00000000" w:rsidRPr="00000000" w14:paraId="00000800">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01">
      <w:pPr>
        <w:spacing w:line="480" w:lineRule="auto"/>
        <w:jc w:val="right"/>
        <w:rPr>
          <w:sz w:val="22"/>
          <w:szCs w:val="22"/>
        </w:rPr>
      </w:pPr>
      <w:r w:rsidDel="00000000" w:rsidR="00000000" w:rsidRPr="00000000">
        <w:rPr>
          <w:rtl w:val="0"/>
        </w:rPr>
      </w:r>
    </w:p>
    <w:p w:rsidR="00000000" w:rsidDel="00000000" w:rsidP="00000000" w:rsidRDefault="00000000" w:rsidRPr="00000000" w14:paraId="0000080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do some about my weight which is really frustrating because there is very limited capacity, I can do apart from my diet so currently I am on a controlled calorie diet which is quite scary for me because the last time ended up on a calorie-controlled diet that’s how it ended up with an eating disorder</w:t>
      </w:r>
      <w:r w:rsidDel="00000000" w:rsidR="00000000" w:rsidRPr="00000000">
        <w:rPr>
          <w:sz w:val="22"/>
          <w:szCs w:val="22"/>
          <w:rtl w:val="0"/>
        </w:rPr>
        <w:t xml:space="preserve">.”</w:t>
      </w:r>
    </w:p>
    <w:p w:rsidR="00000000" w:rsidDel="00000000" w:rsidP="00000000" w:rsidRDefault="00000000" w:rsidRPr="00000000" w14:paraId="00000803">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04">
      <w:pPr>
        <w:spacing w:line="480" w:lineRule="auto"/>
        <w:jc w:val="right"/>
        <w:rPr>
          <w:sz w:val="22"/>
          <w:szCs w:val="22"/>
        </w:rPr>
      </w:pPr>
      <w:r w:rsidDel="00000000" w:rsidR="00000000" w:rsidRPr="00000000">
        <w:rPr>
          <w:rtl w:val="0"/>
        </w:rPr>
      </w:r>
    </w:p>
    <w:p w:rsidR="00000000" w:rsidDel="00000000" w:rsidP="00000000" w:rsidRDefault="00000000" w:rsidRPr="00000000" w14:paraId="00000805">
      <w:pPr>
        <w:spacing w:line="480" w:lineRule="auto"/>
        <w:jc w:val="both"/>
        <w:rPr>
          <w:sz w:val="22"/>
          <w:szCs w:val="22"/>
        </w:rPr>
      </w:pPr>
      <w:r w:rsidDel="00000000" w:rsidR="00000000" w:rsidRPr="00000000">
        <w:rPr>
          <w:sz w:val="22"/>
          <w:szCs w:val="22"/>
          <w:rtl w:val="0"/>
        </w:rPr>
        <w:t xml:space="preserve">However, this side effect can also be considered a positive. Although weight gain is generally considered a negative aspect of their treatment, </w:t>
      </w:r>
      <w:r w:rsidDel="00000000" w:rsidR="00000000" w:rsidRPr="00000000">
        <w:rPr>
          <w:i w:val="1"/>
          <w:sz w:val="22"/>
          <w:szCs w:val="22"/>
          <w:rtl w:val="0"/>
        </w:rPr>
        <w:t xml:space="preserve">William</w:t>
      </w:r>
      <w:r w:rsidDel="00000000" w:rsidR="00000000" w:rsidRPr="00000000">
        <w:rPr>
          <w:sz w:val="22"/>
          <w:szCs w:val="22"/>
          <w:rtl w:val="0"/>
        </w:rPr>
        <w:t xml:space="preserve"> felt this side effect had a positive effect on his self-esteem:</w:t>
      </w:r>
    </w:p>
    <w:p w:rsidR="00000000" w:rsidDel="00000000" w:rsidP="00000000" w:rsidRDefault="00000000" w:rsidRPr="00000000" w14:paraId="00000806">
      <w:pPr>
        <w:spacing w:line="480" w:lineRule="auto"/>
        <w:rPr>
          <w:sz w:val="22"/>
          <w:szCs w:val="22"/>
        </w:rPr>
      </w:pPr>
      <w:r w:rsidDel="00000000" w:rsidR="00000000" w:rsidRPr="00000000">
        <w:rPr>
          <w:rtl w:val="0"/>
        </w:rPr>
      </w:r>
    </w:p>
    <w:p w:rsidR="00000000" w:rsidDel="00000000" w:rsidP="00000000" w:rsidRDefault="00000000" w:rsidRPr="00000000" w14:paraId="0000080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Another thing that I noticed was and something that I’m pleased about a lot of people might not be happy about this, but it very much increased by appetite because I’d always been very, very skinny quite underweight and I’d always wanted to put weight on a little bit… I think being less anxious all the time that increased my appetite. And so, then I was eating more, and I put on some weight and that was quite good for my confidence as well… I’m quite happy with that</w:t>
      </w:r>
      <w:r w:rsidDel="00000000" w:rsidR="00000000" w:rsidRPr="00000000">
        <w:rPr>
          <w:sz w:val="22"/>
          <w:szCs w:val="22"/>
          <w:rtl w:val="0"/>
        </w:rPr>
        <w:t xml:space="preserve">.”</w:t>
      </w:r>
    </w:p>
    <w:p w:rsidR="00000000" w:rsidDel="00000000" w:rsidP="00000000" w:rsidRDefault="00000000" w:rsidRPr="00000000" w14:paraId="00000808">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809">
      <w:pPr>
        <w:spacing w:line="480" w:lineRule="auto"/>
        <w:jc w:val="right"/>
        <w:rPr>
          <w:sz w:val="22"/>
          <w:szCs w:val="22"/>
        </w:rPr>
      </w:pPr>
      <w:r w:rsidDel="00000000" w:rsidR="00000000" w:rsidRPr="00000000">
        <w:rPr>
          <w:rtl w:val="0"/>
        </w:rPr>
      </w:r>
    </w:p>
    <w:p w:rsidR="00000000" w:rsidDel="00000000" w:rsidP="00000000" w:rsidRDefault="00000000" w:rsidRPr="00000000" w14:paraId="0000080A">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Drowsiness was reported by six participants and had an impact on their day to day lives, particularly in terms of their studies and employment:</w:t>
      </w:r>
    </w:p>
    <w:p w:rsidR="00000000" w:rsidDel="00000000" w:rsidP="00000000" w:rsidRDefault="00000000" w:rsidRPr="00000000" w14:paraId="0000080B">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80C">
      <w:pPr>
        <w:spacing w:line="480" w:lineRule="auto"/>
        <w:ind w:left="709" w:firstLine="0"/>
        <w:jc w:val="both"/>
        <w:rPr>
          <w:rFonts w:ascii="Aptos" w:cs="Aptos" w:eastAsia="Aptos" w:hAnsi="Aptos"/>
          <w:sz w:val="21"/>
          <w:szCs w:val="21"/>
        </w:rPr>
      </w:pPr>
      <w:r w:rsidDel="00000000" w:rsidR="00000000" w:rsidRPr="00000000">
        <w:rPr>
          <w:rFonts w:ascii="Aptos" w:cs="Aptos" w:eastAsia="Aptos" w:hAnsi="Aptos"/>
          <w:sz w:val="22"/>
          <w:szCs w:val="22"/>
          <w:rtl w:val="0"/>
        </w:rPr>
        <w:t xml:space="preserve">“</w:t>
      </w:r>
      <w:r w:rsidDel="00000000" w:rsidR="00000000" w:rsidRPr="00000000">
        <w:rPr>
          <w:rFonts w:ascii="Aptos" w:cs="Aptos" w:eastAsia="Aptos" w:hAnsi="Aptos"/>
          <w:i w:val="1"/>
          <w:sz w:val="22"/>
          <w:szCs w:val="22"/>
          <w:rtl w:val="0"/>
        </w:rPr>
        <w:t xml:space="preserve">And the other negative thing was sometimes I would get very drowsy in the afternoon. And if it was a weekend I just crash out. But if I was at work, particularly after lunch, I would sometimes feel myself drift and I would look for jobs to do just to keep myself from falling asleep things involve walking around the building and stuff</w:t>
      </w:r>
      <w:r w:rsidDel="00000000" w:rsidR="00000000" w:rsidRPr="00000000">
        <w:rPr>
          <w:rFonts w:ascii="Aptos" w:cs="Aptos" w:eastAsia="Aptos" w:hAnsi="Aptos"/>
          <w:sz w:val="22"/>
          <w:szCs w:val="22"/>
          <w:rtl w:val="0"/>
        </w:rPr>
        <w:t xml:space="preserve">.”</w:t>
      </w:r>
      <w:r w:rsidDel="00000000" w:rsidR="00000000" w:rsidRPr="00000000">
        <w:rPr>
          <w:rtl w:val="0"/>
        </w:rPr>
      </w:r>
    </w:p>
    <w:p w:rsidR="00000000" w:rsidDel="00000000" w:rsidP="00000000" w:rsidRDefault="00000000" w:rsidRPr="00000000" w14:paraId="0000080D">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80E">
      <w:pPr>
        <w:spacing w:line="480" w:lineRule="auto"/>
        <w:jc w:val="right"/>
        <w:rPr>
          <w:rFonts w:ascii="Aptos" w:cs="Aptos" w:eastAsia="Aptos" w:hAnsi="Aptos"/>
          <w:sz w:val="22"/>
          <w:szCs w:val="22"/>
        </w:rPr>
      </w:pPr>
      <w:r w:rsidDel="00000000" w:rsidR="00000000" w:rsidRPr="00000000">
        <w:rPr>
          <w:rtl w:val="0"/>
        </w:rPr>
      </w:r>
    </w:p>
    <w:p w:rsidR="00000000" w:rsidDel="00000000" w:rsidP="00000000" w:rsidRDefault="00000000" w:rsidRPr="00000000" w14:paraId="0000080F">
      <w:pPr>
        <w:spacing w:line="480" w:lineRule="auto"/>
        <w:jc w:val="both"/>
        <w:rPr>
          <w:sz w:val="22"/>
          <w:szCs w:val="22"/>
        </w:rPr>
      </w:pPr>
      <w:r w:rsidDel="00000000" w:rsidR="00000000" w:rsidRPr="00000000">
        <w:rPr>
          <w:sz w:val="22"/>
          <w:szCs w:val="22"/>
          <w:rtl w:val="0"/>
        </w:rPr>
        <w:t xml:space="preserve">Psychological side effects were also reported, including increased suicidal ideation, depression, and anxiety. Fluctuations in mood an emotional numbness was also reported, with Nora describing her experience using gabapentin as feeling “</w:t>
      </w:r>
      <w:r w:rsidDel="00000000" w:rsidR="00000000" w:rsidRPr="00000000">
        <w:rPr>
          <w:i w:val="1"/>
          <w:sz w:val="22"/>
          <w:szCs w:val="22"/>
          <w:rtl w:val="0"/>
        </w:rPr>
        <w:t xml:space="preserve">away with the fairies</w:t>
      </w:r>
      <w:r w:rsidDel="00000000" w:rsidR="00000000" w:rsidRPr="00000000">
        <w:rPr>
          <w:sz w:val="22"/>
          <w:szCs w:val="22"/>
          <w:rtl w:val="0"/>
        </w:rPr>
        <w:t xml:space="preserve">”. Both Robert and Oscar also report emotional numbness: </w:t>
      </w:r>
    </w:p>
    <w:p w:rsidR="00000000" w:rsidDel="00000000" w:rsidP="00000000" w:rsidRDefault="00000000" w:rsidRPr="00000000" w14:paraId="00000810">
      <w:pPr>
        <w:spacing w:line="480" w:lineRule="auto"/>
        <w:jc w:val="both"/>
        <w:rPr>
          <w:sz w:val="22"/>
          <w:szCs w:val="22"/>
        </w:rPr>
      </w:pPr>
      <w:r w:rsidDel="00000000" w:rsidR="00000000" w:rsidRPr="00000000">
        <w:rPr>
          <w:rtl w:val="0"/>
        </w:rPr>
      </w:r>
    </w:p>
    <w:p w:rsidR="00000000" w:rsidDel="00000000" w:rsidP="00000000" w:rsidRDefault="00000000" w:rsidRPr="00000000" w14:paraId="00000811">
      <w:pPr>
        <w:spacing w:line="480" w:lineRule="auto"/>
        <w:ind w:left="709" w:firstLine="0"/>
        <w:jc w:val="both"/>
        <w:rPr>
          <w:sz w:val="21"/>
          <w:szCs w:val="21"/>
        </w:rPr>
      </w:pPr>
      <w:r w:rsidDel="00000000" w:rsidR="00000000" w:rsidRPr="00000000">
        <w:rPr>
          <w:sz w:val="22"/>
          <w:szCs w:val="22"/>
          <w:rtl w:val="0"/>
        </w:rPr>
        <w:t xml:space="preserve">“</w:t>
      </w:r>
      <w:r w:rsidDel="00000000" w:rsidR="00000000" w:rsidRPr="00000000">
        <w:rPr>
          <w:i w:val="1"/>
          <w:sz w:val="22"/>
          <w:szCs w:val="22"/>
          <w:rtl w:val="0"/>
        </w:rPr>
        <w:t xml:space="preserve">You become numb to the negative, but there’s also part of you that becomes numbed to kind of any positive, so I don’t know, it’s kind of become very flat as a grey world almost so, yeah, you think of experience and stuff and how they’ve all been mudded by not being able to enjoy them always, because you’re chemically doped on something</w:t>
      </w:r>
      <w:r w:rsidDel="00000000" w:rsidR="00000000" w:rsidRPr="00000000">
        <w:rPr>
          <w:sz w:val="22"/>
          <w:szCs w:val="22"/>
          <w:rtl w:val="0"/>
        </w:rPr>
        <w:t xml:space="preserve">.”</w:t>
      </w:r>
      <w:r w:rsidDel="00000000" w:rsidR="00000000" w:rsidRPr="00000000">
        <w:rPr>
          <w:rtl w:val="0"/>
        </w:rPr>
      </w:r>
    </w:p>
    <w:p w:rsidR="00000000" w:rsidDel="00000000" w:rsidP="00000000" w:rsidRDefault="00000000" w:rsidRPr="00000000" w14:paraId="00000812">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813">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814">
      <w:pPr>
        <w:spacing w:line="480" w:lineRule="auto"/>
        <w:ind w:left="709" w:firstLine="0"/>
        <w:jc w:val="both"/>
        <w:rPr>
          <w:i w:val="1"/>
          <w:sz w:val="22"/>
          <w:szCs w:val="22"/>
        </w:rPr>
      </w:pPr>
      <w:r w:rsidDel="00000000" w:rsidR="00000000" w:rsidRPr="00000000">
        <w:rPr>
          <w:i w:val="1"/>
          <w:sz w:val="22"/>
          <w:szCs w:val="22"/>
          <w:rtl w:val="0"/>
        </w:rPr>
        <w:t xml:space="preserve">“I mean, I feel more tired. I feel I have less energy, I guess I don’t know if there’s a mall of a psychological numbness.”</w:t>
      </w:r>
    </w:p>
    <w:p w:rsidR="00000000" w:rsidDel="00000000" w:rsidP="00000000" w:rsidRDefault="00000000" w:rsidRPr="00000000" w14:paraId="00000815">
      <w:pPr>
        <w:spacing w:line="480" w:lineRule="auto"/>
        <w:jc w:val="right"/>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Oscar </w:t>
      </w:r>
      <w:r w:rsidDel="00000000" w:rsidR="00000000" w:rsidRPr="00000000">
        <w:rPr>
          <w:sz w:val="22"/>
          <w:szCs w:val="22"/>
          <w:rtl w:val="0"/>
        </w:rPr>
        <w:t xml:space="preserve">(Fluoxetine, Morphine, Tramadol, Fentanyl)]</w:t>
      </w:r>
    </w:p>
    <w:p w:rsidR="00000000" w:rsidDel="00000000" w:rsidP="00000000" w:rsidRDefault="00000000" w:rsidRPr="00000000" w14:paraId="00000816">
      <w:pPr>
        <w:spacing w:line="480" w:lineRule="auto"/>
        <w:jc w:val="right"/>
        <w:rPr>
          <w:sz w:val="22"/>
          <w:szCs w:val="22"/>
        </w:rPr>
      </w:pPr>
      <w:r w:rsidDel="00000000" w:rsidR="00000000" w:rsidRPr="00000000">
        <w:rPr>
          <w:rtl w:val="0"/>
        </w:rPr>
      </w:r>
    </w:p>
    <w:p w:rsidR="00000000" w:rsidDel="00000000" w:rsidP="00000000" w:rsidRDefault="00000000" w:rsidRPr="00000000" w14:paraId="00000817">
      <w:pPr>
        <w:tabs>
          <w:tab w:val="left" w:leader="none" w:pos="3011"/>
        </w:tabs>
        <w:spacing w:line="480" w:lineRule="auto"/>
        <w:ind w:left="709" w:firstLine="0"/>
        <w:jc w:val="both"/>
        <w:rPr>
          <w:i w:val="1"/>
          <w:sz w:val="22"/>
          <w:szCs w:val="22"/>
        </w:rPr>
      </w:pPr>
      <w:r w:rsidDel="00000000" w:rsidR="00000000" w:rsidRPr="00000000">
        <w:rPr>
          <w:i w:val="1"/>
          <w:sz w:val="22"/>
          <w:szCs w:val="22"/>
          <w:rtl w:val="0"/>
        </w:rPr>
        <w:t xml:space="preserve">“I started to wake up a bit, opioids steal your give a shit, they just turn you into a blob.”</w:t>
      </w:r>
    </w:p>
    <w:p w:rsidR="00000000" w:rsidDel="00000000" w:rsidP="00000000" w:rsidRDefault="00000000" w:rsidRPr="00000000" w14:paraId="00000818">
      <w:pPr>
        <w:spacing w:line="480" w:lineRule="auto"/>
        <w:ind w:left="360" w:firstLine="0"/>
        <w:jc w:val="right"/>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Georgina </w:t>
      </w:r>
      <w:r w:rsidDel="00000000" w:rsidR="00000000" w:rsidRPr="00000000">
        <w:rPr>
          <w:sz w:val="22"/>
          <w:szCs w:val="22"/>
          <w:rtl w:val="0"/>
        </w:rPr>
        <w:t xml:space="preserve">(Fentanyl, Morphine, Trimipramine)]</w:t>
      </w:r>
    </w:p>
    <w:p w:rsidR="00000000" w:rsidDel="00000000" w:rsidP="00000000" w:rsidRDefault="00000000" w:rsidRPr="00000000" w14:paraId="00000819">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81A">
      <w:pPr>
        <w:spacing w:line="480" w:lineRule="auto"/>
        <w:jc w:val="both"/>
        <w:rPr>
          <w:sz w:val="22"/>
          <w:szCs w:val="22"/>
        </w:rPr>
      </w:pPr>
      <w:r w:rsidDel="00000000" w:rsidR="00000000" w:rsidRPr="00000000">
        <w:rPr>
          <w:sz w:val="22"/>
          <w:szCs w:val="22"/>
          <w:rtl w:val="0"/>
        </w:rPr>
        <w:t xml:space="preserve">Experiencing side effects and withdrawal symptoms has been noted as a key issue that can influence a change in the perception of medicines. The absence of side effects can have a positive influence on the perception of the medicine’s safety: </w:t>
      </w:r>
    </w:p>
    <w:p w:rsidR="00000000" w:rsidDel="00000000" w:rsidP="00000000" w:rsidRDefault="00000000" w:rsidRPr="00000000" w14:paraId="0000081B">
      <w:pPr>
        <w:spacing w:line="480" w:lineRule="auto"/>
        <w:jc w:val="both"/>
        <w:rPr>
          <w:sz w:val="22"/>
          <w:szCs w:val="22"/>
        </w:rPr>
      </w:pPr>
      <w:r w:rsidDel="00000000" w:rsidR="00000000" w:rsidRPr="00000000">
        <w:rPr>
          <w:rtl w:val="0"/>
        </w:rPr>
      </w:r>
    </w:p>
    <w:p w:rsidR="00000000" w:rsidDel="00000000" w:rsidP="00000000" w:rsidRDefault="00000000" w:rsidRPr="00000000" w14:paraId="0000081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Safe really certainly the side effects are not safe, and I've been told that I could say that on that for the rest of my life, and they wouldn't really be a problem, so I feel quite safe with that I don't have any side effects</w:t>
      </w:r>
      <w:r w:rsidDel="00000000" w:rsidR="00000000" w:rsidRPr="00000000">
        <w:rPr>
          <w:sz w:val="22"/>
          <w:szCs w:val="22"/>
          <w:rtl w:val="0"/>
        </w:rPr>
        <w:t xml:space="preserve">.”</w:t>
      </w:r>
    </w:p>
    <w:p w:rsidR="00000000" w:rsidDel="00000000" w:rsidP="00000000" w:rsidRDefault="00000000" w:rsidRPr="00000000" w14:paraId="0000081D">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81E">
      <w:pPr>
        <w:spacing w:line="480" w:lineRule="auto"/>
        <w:jc w:val="right"/>
        <w:rPr>
          <w:sz w:val="22"/>
          <w:szCs w:val="22"/>
        </w:rPr>
      </w:pPr>
      <w:r w:rsidDel="00000000" w:rsidR="00000000" w:rsidRPr="00000000">
        <w:rPr>
          <w:rtl w:val="0"/>
        </w:rPr>
      </w:r>
    </w:p>
    <w:p w:rsidR="00000000" w:rsidDel="00000000" w:rsidP="00000000" w:rsidRDefault="00000000" w:rsidRPr="00000000" w14:paraId="0000081F">
      <w:pPr>
        <w:spacing w:line="480" w:lineRule="auto"/>
        <w:jc w:val="both"/>
        <w:rPr>
          <w:sz w:val="22"/>
          <w:szCs w:val="22"/>
        </w:rPr>
      </w:pPr>
      <w:r w:rsidDel="00000000" w:rsidR="00000000" w:rsidRPr="00000000">
        <w:rPr>
          <w:sz w:val="22"/>
          <w:szCs w:val="22"/>
          <w:rtl w:val="0"/>
        </w:rPr>
        <w:t xml:space="preserve">However, the presence of side effects or withdrawal symptoms is something that is taken into consideration when assessing medicines, even if they are experiencing the therapeutic benefits. Those who initially considered their medication safe, due to the prescribed nature and extensive trials these medicines require, cite side effects, withdrawal symptoms and long-term health implications as factors that have changed their perception:</w:t>
      </w:r>
    </w:p>
    <w:p w:rsidR="00000000" w:rsidDel="00000000" w:rsidP="00000000" w:rsidRDefault="00000000" w:rsidRPr="00000000" w14:paraId="00000820">
      <w:pPr>
        <w:spacing w:line="480" w:lineRule="auto"/>
        <w:rPr>
          <w:sz w:val="22"/>
          <w:szCs w:val="22"/>
        </w:rPr>
      </w:pPr>
      <w:r w:rsidDel="00000000" w:rsidR="00000000" w:rsidRPr="00000000">
        <w:rPr>
          <w:rtl w:val="0"/>
        </w:rPr>
      </w:r>
    </w:p>
    <w:p w:rsidR="00000000" w:rsidDel="00000000" w:rsidP="00000000" w:rsidRDefault="00000000" w:rsidRPr="00000000" w14:paraId="0000082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My views now are completely different to how they were before I was convinced, they were helping me and they were safe and I knew there were side effects and obviously I was on a lot more drugs to you k now help the side effects… I’m losing all my teeth most of my teeth are gonna be bye bye… I’ve just lost my gall bladder which I put down to drug interactions… the main the negative effect of it is looking back is that it’s effected my brain and central nervous system and my reward circuits and my emotions I just destroyed my emotions</w:t>
      </w:r>
      <w:r w:rsidDel="00000000" w:rsidR="00000000" w:rsidRPr="00000000">
        <w:rPr>
          <w:sz w:val="22"/>
          <w:szCs w:val="22"/>
          <w:rtl w:val="0"/>
        </w:rPr>
        <w:t xml:space="preserve">.”</w:t>
      </w:r>
    </w:p>
    <w:p w:rsidR="00000000" w:rsidDel="00000000" w:rsidP="00000000" w:rsidRDefault="00000000" w:rsidRPr="00000000" w14:paraId="00000822">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823">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824">
      <w:pPr>
        <w:spacing w:line="480" w:lineRule="auto"/>
        <w:jc w:val="both"/>
        <w:rPr>
          <w:sz w:val="22"/>
          <w:szCs w:val="22"/>
        </w:rPr>
      </w:pPr>
      <w:r w:rsidDel="00000000" w:rsidR="00000000" w:rsidRPr="00000000">
        <w:rPr>
          <w:sz w:val="22"/>
          <w:szCs w:val="22"/>
          <w:rtl w:val="0"/>
        </w:rPr>
        <w:t xml:space="preserve">On the contrary, those who were initially sceptical of, or resistant to, using medicines report a change in perception. For example, when </w:t>
      </w:r>
      <w:r w:rsidDel="00000000" w:rsidR="00000000" w:rsidRPr="00000000">
        <w:rPr>
          <w:i w:val="1"/>
          <w:sz w:val="22"/>
          <w:szCs w:val="22"/>
          <w:rtl w:val="0"/>
        </w:rPr>
        <w:t xml:space="preserve">Robert</w:t>
      </w:r>
      <w:r w:rsidDel="00000000" w:rsidR="00000000" w:rsidRPr="00000000">
        <w:rPr>
          <w:sz w:val="22"/>
          <w:szCs w:val="22"/>
          <w:rtl w:val="0"/>
        </w:rPr>
        <w:t xml:space="preserve"> experienced the therapeutic benefits of his antidepressant his perception changed, with the caveat this was understood to only be used as a short-term intervention. However, participants report not recommending medicines to others unless they have explored alternative treatments. </w:t>
      </w:r>
    </w:p>
    <w:p w:rsidR="00000000" w:rsidDel="00000000" w:rsidP="00000000" w:rsidRDefault="00000000" w:rsidRPr="00000000" w14:paraId="00000825">
      <w:pPr>
        <w:spacing w:line="480" w:lineRule="auto"/>
        <w:jc w:val="both"/>
        <w:rPr>
          <w:sz w:val="22"/>
          <w:szCs w:val="22"/>
        </w:rPr>
      </w:pPr>
      <w:r w:rsidDel="00000000" w:rsidR="00000000" w:rsidRPr="00000000">
        <w:rPr>
          <w:rtl w:val="0"/>
        </w:rPr>
      </w:r>
    </w:p>
    <w:p w:rsidR="00000000" w:rsidDel="00000000" w:rsidP="00000000" w:rsidRDefault="00000000" w:rsidRPr="00000000" w14:paraId="00000826">
      <w:pPr>
        <w:spacing w:line="480" w:lineRule="auto"/>
        <w:jc w:val="both"/>
        <w:rPr>
          <w:sz w:val="22"/>
          <w:szCs w:val="22"/>
        </w:rPr>
      </w:pPr>
      <w:r w:rsidDel="00000000" w:rsidR="00000000" w:rsidRPr="00000000">
        <w:rPr>
          <w:sz w:val="22"/>
          <w:szCs w:val="22"/>
          <w:rtl w:val="0"/>
        </w:rPr>
        <w:t xml:space="preserve">Following this, side effects of medicines prescribed for a primary health complaint can be beneficial for secondary health concerns. For example, gabapentin is not indicated for sleep, however, the drowsiness and sedation that one can experience was noted as an unintended benefit of </w:t>
      </w:r>
      <w:r w:rsidDel="00000000" w:rsidR="00000000" w:rsidRPr="00000000">
        <w:rPr>
          <w:i w:val="1"/>
          <w:sz w:val="22"/>
          <w:szCs w:val="22"/>
          <w:rtl w:val="0"/>
        </w:rPr>
        <w:t xml:space="preserve">Nora’s </w:t>
      </w:r>
      <w:r w:rsidDel="00000000" w:rsidR="00000000" w:rsidRPr="00000000">
        <w:rPr>
          <w:sz w:val="22"/>
          <w:szCs w:val="22"/>
          <w:rtl w:val="0"/>
        </w:rPr>
        <w:t xml:space="preserve">use, as she was struggling with her sleep. This was reflected in </w:t>
      </w:r>
      <w:r w:rsidDel="00000000" w:rsidR="00000000" w:rsidRPr="00000000">
        <w:rPr>
          <w:i w:val="1"/>
          <w:sz w:val="22"/>
          <w:szCs w:val="22"/>
          <w:rtl w:val="0"/>
        </w:rPr>
        <w:t xml:space="preserve">Alice’s </w:t>
      </w:r>
      <w:r w:rsidDel="00000000" w:rsidR="00000000" w:rsidRPr="00000000">
        <w:rPr>
          <w:sz w:val="22"/>
          <w:szCs w:val="22"/>
          <w:rtl w:val="0"/>
        </w:rPr>
        <w:t xml:space="preserve">interview, as she noted that despite some perceiving this as a drawback to antidepressants, the sedation she experiences allows her to get back into a ‘</w:t>
      </w:r>
      <w:r w:rsidDel="00000000" w:rsidR="00000000" w:rsidRPr="00000000">
        <w:rPr>
          <w:i w:val="1"/>
          <w:sz w:val="22"/>
          <w:szCs w:val="22"/>
          <w:rtl w:val="0"/>
        </w:rPr>
        <w:t xml:space="preserve">normal’</w:t>
      </w:r>
      <w:r w:rsidDel="00000000" w:rsidR="00000000" w:rsidRPr="00000000">
        <w:rPr>
          <w:sz w:val="22"/>
          <w:szCs w:val="22"/>
          <w:rtl w:val="0"/>
        </w:rPr>
        <w:t xml:space="preserve"> sleep pattern. Further implications of prescribed drug dependence will be discussed in the following section. </w:t>
      </w:r>
    </w:p>
    <w:p w:rsidR="00000000" w:rsidDel="00000000" w:rsidP="00000000" w:rsidRDefault="00000000" w:rsidRPr="00000000" w14:paraId="00000827">
      <w:pPr>
        <w:spacing w:line="480" w:lineRule="auto"/>
        <w:jc w:val="both"/>
        <w:rPr>
          <w:sz w:val="22"/>
          <w:szCs w:val="22"/>
        </w:rPr>
      </w:pPr>
      <w:r w:rsidDel="00000000" w:rsidR="00000000" w:rsidRPr="00000000">
        <w:rPr>
          <w:rtl w:val="0"/>
        </w:rPr>
      </w:r>
    </w:p>
    <w:p w:rsidR="00000000" w:rsidDel="00000000" w:rsidP="00000000" w:rsidRDefault="00000000" w:rsidRPr="00000000" w14:paraId="00000828">
      <w:pPr>
        <w:pStyle w:val="Heading3"/>
        <w:spacing w:line="480" w:lineRule="auto"/>
        <w:rPr/>
      </w:pPr>
      <w:bookmarkStart w:colFirst="0" w:colLast="0" w:name="_heading=h.1gf8i83" w:id="92"/>
      <w:bookmarkEnd w:id="92"/>
      <w:r w:rsidDel="00000000" w:rsidR="00000000" w:rsidRPr="00000000">
        <w:rPr>
          <w:rtl w:val="0"/>
        </w:rPr>
        <w:t xml:space="preserve">Implications of Medicine Use</w:t>
      </w:r>
    </w:p>
    <w:p w:rsidR="00000000" w:rsidDel="00000000" w:rsidP="00000000" w:rsidRDefault="00000000" w:rsidRPr="00000000" w14:paraId="00000829">
      <w:pPr>
        <w:spacing w:line="480" w:lineRule="auto"/>
        <w:jc w:val="both"/>
        <w:rPr>
          <w:sz w:val="22"/>
          <w:szCs w:val="22"/>
        </w:rPr>
      </w:pPr>
      <w:r w:rsidDel="00000000" w:rsidR="00000000" w:rsidRPr="00000000">
        <w:rPr>
          <w:sz w:val="22"/>
          <w:szCs w:val="22"/>
          <w:rtl w:val="0"/>
        </w:rPr>
        <w:t xml:space="preserve">The implications of prescribed medicine use varies across interviews, however there were several common factors. Both personal implications and implications for the participant’s wider social experience were described. A complex sense of self and identity was highlighted, alongside internalised stigmatisation, as well as implications for the participant’s education and employment.</w:t>
      </w:r>
    </w:p>
    <w:p w:rsidR="00000000" w:rsidDel="00000000" w:rsidP="00000000" w:rsidRDefault="00000000" w:rsidRPr="00000000" w14:paraId="0000082A">
      <w:pPr>
        <w:pStyle w:val="Heading4"/>
        <w:spacing w:line="480" w:lineRule="auto"/>
        <w:rPr/>
      </w:pPr>
      <w:r w:rsidDel="00000000" w:rsidR="00000000" w:rsidRPr="00000000">
        <w:rPr>
          <w:rtl w:val="0"/>
        </w:rPr>
        <w:t xml:space="preserve">Identity</w:t>
      </w:r>
    </w:p>
    <w:p w:rsidR="00000000" w:rsidDel="00000000" w:rsidP="00000000" w:rsidRDefault="00000000" w:rsidRPr="00000000" w14:paraId="0000082B">
      <w:pPr>
        <w:spacing w:line="480" w:lineRule="auto"/>
        <w:jc w:val="both"/>
        <w:rPr>
          <w:sz w:val="22"/>
          <w:szCs w:val="22"/>
        </w:rPr>
      </w:pPr>
      <w:r w:rsidDel="00000000" w:rsidR="00000000" w:rsidRPr="00000000">
        <w:rPr>
          <w:sz w:val="22"/>
          <w:szCs w:val="22"/>
          <w:rtl w:val="0"/>
        </w:rPr>
        <w:t xml:space="preserve">Using medicines can impact the individual’s identity and perception of self. Receiving a prescription and using it to effect has allowed some to regain agency and control over their lives, which has positive associations with the perception of both medicines and the participants practitioner:</w:t>
      </w:r>
    </w:p>
    <w:p w:rsidR="00000000" w:rsidDel="00000000" w:rsidP="00000000" w:rsidRDefault="00000000" w:rsidRPr="00000000" w14:paraId="0000082C">
      <w:pPr>
        <w:spacing w:line="480" w:lineRule="auto"/>
        <w:jc w:val="both"/>
        <w:rPr>
          <w:sz w:val="22"/>
          <w:szCs w:val="22"/>
        </w:rPr>
      </w:pPr>
      <w:r w:rsidDel="00000000" w:rsidR="00000000" w:rsidRPr="00000000">
        <w:rPr>
          <w:rtl w:val="0"/>
        </w:rPr>
      </w:r>
    </w:p>
    <w:p w:rsidR="00000000" w:rsidDel="00000000" w:rsidP="00000000" w:rsidRDefault="00000000" w:rsidRPr="00000000" w14:paraId="0000082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You know I feel proud of myself for like taking agency of my mental health and not being too proud to do it…. I suppose in some way it has validated me as a person with like air quotation makes real mental health problem and yeah, my identity in some way but it’s not definitely not a negative thing for me.</w:t>
      </w:r>
      <w:r w:rsidDel="00000000" w:rsidR="00000000" w:rsidRPr="00000000">
        <w:rPr>
          <w:sz w:val="22"/>
          <w:szCs w:val="22"/>
          <w:rtl w:val="0"/>
        </w:rPr>
        <w:t xml:space="preserve">” </w:t>
      </w:r>
    </w:p>
    <w:p w:rsidR="00000000" w:rsidDel="00000000" w:rsidP="00000000" w:rsidRDefault="00000000" w:rsidRPr="00000000" w14:paraId="0000082E">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82F">
      <w:pPr>
        <w:spacing w:line="480" w:lineRule="auto"/>
        <w:jc w:val="both"/>
        <w:rPr>
          <w:sz w:val="22"/>
          <w:szCs w:val="22"/>
        </w:rPr>
      </w:pPr>
      <w:r w:rsidDel="00000000" w:rsidR="00000000" w:rsidRPr="00000000">
        <w:rPr>
          <w:rtl w:val="0"/>
        </w:rPr>
      </w:r>
    </w:p>
    <w:p w:rsidR="00000000" w:rsidDel="00000000" w:rsidP="00000000" w:rsidRDefault="00000000" w:rsidRPr="00000000" w14:paraId="0000083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say that the sertraline gave me a bit of giving a bit of breathing space where a felt it was like the rough edges had been files off…  There was less of all these obsessive-compulsive thoughts going around in my head on and on it it calmed all that down yeah, just gave me a bit of a reprieve</w:t>
      </w:r>
      <w:r w:rsidDel="00000000" w:rsidR="00000000" w:rsidRPr="00000000">
        <w:rPr>
          <w:sz w:val="22"/>
          <w:szCs w:val="22"/>
          <w:rtl w:val="0"/>
        </w:rPr>
        <w:t xml:space="preserve">.”</w:t>
      </w:r>
    </w:p>
    <w:p w:rsidR="00000000" w:rsidDel="00000000" w:rsidP="00000000" w:rsidRDefault="00000000" w:rsidRPr="00000000" w14:paraId="00000831">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832">
      <w:pPr>
        <w:spacing w:line="480" w:lineRule="auto"/>
        <w:jc w:val="right"/>
        <w:rPr>
          <w:sz w:val="22"/>
          <w:szCs w:val="22"/>
        </w:rPr>
      </w:pPr>
      <w:r w:rsidDel="00000000" w:rsidR="00000000" w:rsidRPr="00000000">
        <w:rPr>
          <w:rtl w:val="0"/>
        </w:rPr>
      </w:r>
    </w:p>
    <w:p w:rsidR="00000000" w:rsidDel="00000000" w:rsidP="00000000" w:rsidRDefault="00000000" w:rsidRPr="00000000" w14:paraId="00000833">
      <w:pPr>
        <w:spacing w:line="480" w:lineRule="auto"/>
        <w:jc w:val="both"/>
        <w:rPr>
          <w:sz w:val="22"/>
          <w:szCs w:val="22"/>
        </w:rPr>
      </w:pPr>
      <w:r w:rsidDel="00000000" w:rsidR="00000000" w:rsidRPr="00000000">
        <w:rPr>
          <w:sz w:val="22"/>
          <w:szCs w:val="22"/>
          <w:rtl w:val="0"/>
        </w:rPr>
        <w:t xml:space="preserve">Accepting a diagnosis, and therefore medicines, however, can have an impact on the perceived identity of a patient. Accepting medicines has been described as a “</w:t>
      </w:r>
      <w:r w:rsidDel="00000000" w:rsidR="00000000" w:rsidRPr="00000000">
        <w:rPr>
          <w:i w:val="1"/>
          <w:sz w:val="22"/>
          <w:szCs w:val="22"/>
          <w:rtl w:val="0"/>
        </w:rPr>
        <w:t xml:space="preserve">hard pill to swallow”</w:t>
      </w:r>
      <w:r w:rsidDel="00000000" w:rsidR="00000000" w:rsidRPr="00000000">
        <w:rPr>
          <w:sz w:val="22"/>
          <w:szCs w:val="22"/>
          <w:rtl w:val="0"/>
        </w:rPr>
        <w:t xml:space="preserve"> by </w:t>
      </w:r>
      <w:r w:rsidDel="00000000" w:rsidR="00000000" w:rsidRPr="00000000">
        <w:rPr>
          <w:i w:val="1"/>
          <w:sz w:val="22"/>
          <w:szCs w:val="22"/>
          <w:rtl w:val="0"/>
        </w:rPr>
        <w:t xml:space="preserve">Imogen</w:t>
      </w:r>
      <w:r w:rsidDel="00000000" w:rsidR="00000000" w:rsidRPr="00000000">
        <w:rPr>
          <w:sz w:val="22"/>
          <w:szCs w:val="22"/>
          <w:rtl w:val="0"/>
        </w:rPr>
        <w:t xml:space="preserve">, leading to loneliness and isolation, alongside a lack of power and agency with her health. This perceived lack of power experienced by those accessing healthcare whilst using medicines is reflected in several accounts, whereby the individuals’ diagnosis makes them feel as though they do not have power over their own body:</w:t>
      </w:r>
    </w:p>
    <w:p w:rsidR="00000000" w:rsidDel="00000000" w:rsidP="00000000" w:rsidRDefault="00000000" w:rsidRPr="00000000" w14:paraId="0000083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If anything, it's quite a hard pill to swallow when you've been a person that has been able bodied your whole life and your health has had points that haven't been you know perfect, but you know for the measure of my life I was fine</w:t>
      </w:r>
      <w:r w:rsidDel="00000000" w:rsidR="00000000" w:rsidRPr="00000000">
        <w:rPr>
          <w:sz w:val="22"/>
          <w:szCs w:val="22"/>
          <w:rtl w:val="0"/>
        </w:rPr>
        <w:t xml:space="preserve">.”</w:t>
      </w:r>
    </w:p>
    <w:p w:rsidR="00000000" w:rsidDel="00000000" w:rsidP="00000000" w:rsidRDefault="00000000" w:rsidRPr="00000000" w14:paraId="00000835">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36">
      <w:pPr>
        <w:spacing w:line="480" w:lineRule="auto"/>
        <w:jc w:val="right"/>
        <w:rPr>
          <w:sz w:val="22"/>
          <w:szCs w:val="22"/>
          <w:highlight w:val="green"/>
        </w:rPr>
      </w:pPr>
      <w:r w:rsidDel="00000000" w:rsidR="00000000" w:rsidRPr="00000000">
        <w:rPr>
          <w:rtl w:val="0"/>
        </w:rPr>
      </w:r>
    </w:p>
    <w:p w:rsidR="00000000" w:rsidDel="00000000" w:rsidP="00000000" w:rsidRDefault="00000000" w:rsidRPr="00000000" w14:paraId="0000083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don't have power to control myself and I need some extra stuff to help me for controlling myself and this is not something good</w:t>
      </w:r>
      <w:r w:rsidDel="00000000" w:rsidR="00000000" w:rsidRPr="00000000">
        <w:rPr>
          <w:sz w:val="22"/>
          <w:szCs w:val="22"/>
          <w:rtl w:val="0"/>
        </w:rPr>
        <w:t xml:space="preserve">.”</w:t>
      </w:r>
    </w:p>
    <w:p w:rsidR="00000000" w:rsidDel="00000000" w:rsidP="00000000" w:rsidRDefault="00000000" w:rsidRPr="00000000" w14:paraId="00000838">
      <w:pPr>
        <w:spacing w:line="480" w:lineRule="auto"/>
        <w:jc w:val="right"/>
        <w:rPr>
          <w:sz w:val="22"/>
          <w:szCs w:val="22"/>
        </w:rPr>
      </w:pPr>
      <w:r w:rsidDel="00000000" w:rsidR="00000000" w:rsidRPr="00000000">
        <w:rPr>
          <w:sz w:val="22"/>
          <w:szCs w:val="22"/>
          <w:rtl w:val="0"/>
        </w:rPr>
        <w:t xml:space="preserve">[Kirsty: </w:t>
      </w:r>
      <w:r w:rsidDel="00000000" w:rsidR="00000000" w:rsidRPr="00000000">
        <w:rPr>
          <w:i w:val="1"/>
          <w:sz w:val="22"/>
          <w:szCs w:val="22"/>
          <w:rtl w:val="0"/>
        </w:rPr>
        <w:t xml:space="preserve">Duloxetine, Clonazepam, Pregabalin</w:t>
      </w:r>
      <w:r w:rsidDel="00000000" w:rsidR="00000000" w:rsidRPr="00000000">
        <w:rPr>
          <w:sz w:val="22"/>
          <w:szCs w:val="22"/>
          <w:rtl w:val="0"/>
        </w:rPr>
        <w:t xml:space="preserve">]</w:t>
      </w:r>
    </w:p>
    <w:p w:rsidR="00000000" w:rsidDel="00000000" w:rsidP="00000000" w:rsidRDefault="00000000" w:rsidRPr="00000000" w14:paraId="00000839">
      <w:pPr>
        <w:spacing w:line="480" w:lineRule="auto"/>
        <w:jc w:val="right"/>
        <w:rPr>
          <w:sz w:val="22"/>
          <w:szCs w:val="22"/>
        </w:rPr>
      </w:pPr>
      <w:r w:rsidDel="00000000" w:rsidR="00000000" w:rsidRPr="00000000">
        <w:rPr>
          <w:rtl w:val="0"/>
        </w:rPr>
      </w:r>
    </w:p>
    <w:p w:rsidR="00000000" w:rsidDel="00000000" w:rsidP="00000000" w:rsidRDefault="00000000" w:rsidRPr="00000000" w14:paraId="0000083A">
      <w:pPr>
        <w:spacing w:line="480" w:lineRule="auto"/>
        <w:jc w:val="both"/>
        <w:rPr>
          <w:sz w:val="22"/>
          <w:szCs w:val="22"/>
        </w:rPr>
      </w:pPr>
      <w:r w:rsidDel="00000000" w:rsidR="00000000" w:rsidRPr="00000000">
        <w:rPr>
          <w:sz w:val="22"/>
          <w:szCs w:val="22"/>
          <w:rtl w:val="0"/>
        </w:rPr>
        <w:t xml:space="preserve">Long term use of medicines, and a subsequent iatrogenic dependency, can also lead to a distorted sense of self. This is reflected in </w:t>
      </w:r>
      <w:r w:rsidDel="00000000" w:rsidR="00000000" w:rsidRPr="00000000">
        <w:rPr>
          <w:i w:val="1"/>
          <w:sz w:val="22"/>
          <w:szCs w:val="22"/>
          <w:rtl w:val="0"/>
        </w:rPr>
        <w:t xml:space="preserve">Joanna’s</w:t>
      </w:r>
      <w:r w:rsidDel="00000000" w:rsidR="00000000" w:rsidRPr="00000000">
        <w:rPr>
          <w:sz w:val="22"/>
          <w:szCs w:val="22"/>
          <w:rtl w:val="0"/>
        </w:rPr>
        <w:t xml:space="preserve"> interview, where she reports feeling as though she does not know her true identity without venlafaxine. This means, when asked, she could not accurately assess her perception or implications of her medicine use until after her taper:</w:t>
      </w:r>
    </w:p>
    <w:p w:rsidR="00000000" w:rsidDel="00000000" w:rsidP="00000000" w:rsidRDefault="00000000" w:rsidRPr="00000000" w14:paraId="0000083B">
      <w:pPr>
        <w:spacing w:line="480" w:lineRule="auto"/>
        <w:jc w:val="both"/>
        <w:rPr>
          <w:sz w:val="22"/>
          <w:szCs w:val="22"/>
        </w:rPr>
      </w:pPr>
      <w:r w:rsidDel="00000000" w:rsidR="00000000" w:rsidRPr="00000000">
        <w:rPr>
          <w:rtl w:val="0"/>
        </w:rPr>
      </w:r>
    </w:p>
    <w:p w:rsidR="00000000" w:rsidDel="00000000" w:rsidP="00000000" w:rsidRDefault="00000000" w:rsidRPr="00000000" w14:paraId="0000083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don't remember the time when it wasn't taking the medication, so I don't even know I was 15 at the time so I don't really know who I am as a person without the medication you know what I mean</w:t>
      </w:r>
      <w:r w:rsidDel="00000000" w:rsidR="00000000" w:rsidRPr="00000000">
        <w:rPr>
          <w:sz w:val="22"/>
          <w:szCs w:val="22"/>
          <w:rtl w:val="0"/>
        </w:rPr>
        <w:t xml:space="preserve">.”</w:t>
      </w:r>
    </w:p>
    <w:p w:rsidR="00000000" w:rsidDel="00000000" w:rsidP="00000000" w:rsidRDefault="00000000" w:rsidRPr="00000000" w14:paraId="0000083D">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3E">
      <w:pPr>
        <w:spacing w:line="480" w:lineRule="auto"/>
        <w:jc w:val="right"/>
        <w:rPr>
          <w:sz w:val="22"/>
          <w:szCs w:val="22"/>
        </w:rPr>
      </w:pPr>
      <w:r w:rsidDel="00000000" w:rsidR="00000000" w:rsidRPr="00000000">
        <w:rPr>
          <w:rtl w:val="0"/>
        </w:rPr>
      </w:r>
    </w:p>
    <w:p w:rsidR="00000000" w:rsidDel="00000000" w:rsidP="00000000" w:rsidRDefault="00000000" w:rsidRPr="00000000" w14:paraId="0000083F">
      <w:pPr>
        <w:spacing w:line="480" w:lineRule="auto"/>
        <w:jc w:val="both"/>
        <w:rPr>
          <w:sz w:val="22"/>
          <w:szCs w:val="22"/>
        </w:rPr>
      </w:pPr>
      <w:r w:rsidDel="00000000" w:rsidR="00000000" w:rsidRPr="00000000">
        <w:rPr>
          <w:sz w:val="22"/>
          <w:szCs w:val="22"/>
          <w:rtl w:val="0"/>
        </w:rPr>
        <w:t xml:space="preserve">The social implications of prescribed medicine use will now be discussed. These include the implications on the participants wider social circle, for example their friends or family, alongside the implications for the participants education or employment. </w:t>
      </w:r>
    </w:p>
    <w:p w:rsidR="00000000" w:rsidDel="00000000" w:rsidP="00000000" w:rsidRDefault="00000000" w:rsidRPr="00000000" w14:paraId="00000840">
      <w:pPr>
        <w:spacing w:line="480" w:lineRule="auto"/>
        <w:jc w:val="both"/>
        <w:rPr>
          <w:sz w:val="22"/>
          <w:szCs w:val="22"/>
        </w:rPr>
      </w:pPr>
      <w:r w:rsidDel="00000000" w:rsidR="00000000" w:rsidRPr="00000000">
        <w:rPr>
          <w:rtl w:val="0"/>
        </w:rPr>
      </w:r>
    </w:p>
    <w:p w:rsidR="00000000" w:rsidDel="00000000" w:rsidP="00000000" w:rsidRDefault="00000000" w:rsidRPr="00000000" w14:paraId="00000841">
      <w:pPr>
        <w:pStyle w:val="Heading4"/>
        <w:spacing w:line="480" w:lineRule="auto"/>
        <w:rPr/>
      </w:pPr>
      <w:bookmarkStart w:colFirst="0" w:colLast="0" w:name="_heading=h.40ew0vw" w:id="93"/>
      <w:bookmarkEnd w:id="93"/>
      <w:r w:rsidDel="00000000" w:rsidR="00000000" w:rsidRPr="00000000">
        <w:rPr>
          <w:rtl w:val="0"/>
        </w:rPr>
        <w:t xml:space="preserve">Social Implications of Medicine Use</w:t>
      </w:r>
    </w:p>
    <w:p w:rsidR="00000000" w:rsidDel="00000000" w:rsidP="00000000" w:rsidRDefault="00000000" w:rsidRPr="00000000" w14:paraId="00000842">
      <w:pPr>
        <w:spacing w:line="480" w:lineRule="auto"/>
        <w:jc w:val="both"/>
        <w:rPr>
          <w:sz w:val="22"/>
          <w:szCs w:val="22"/>
        </w:rPr>
      </w:pPr>
      <w:r w:rsidDel="00000000" w:rsidR="00000000" w:rsidRPr="00000000">
        <w:rPr>
          <w:sz w:val="22"/>
          <w:szCs w:val="22"/>
          <w:rtl w:val="0"/>
        </w:rPr>
        <w:t xml:space="preserve">Several social implications were noted within the data. Typically, participants consider the thoughts and opinions of their peers and family members as important and hold them with a high regard. Participants who feel their family members have been affected disapprove of their medication practices, either at the time, or upon reflection. One example includes </w:t>
      </w:r>
      <w:r w:rsidDel="00000000" w:rsidR="00000000" w:rsidRPr="00000000">
        <w:rPr>
          <w:i w:val="1"/>
          <w:sz w:val="22"/>
          <w:szCs w:val="22"/>
          <w:rtl w:val="0"/>
        </w:rPr>
        <w:t xml:space="preserve">Charlotte’s </w:t>
      </w:r>
      <w:r w:rsidDel="00000000" w:rsidR="00000000" w:rsidRPr="00000000">
        <w:rPr>
          <w:sz w:val="22"/>
          <w:szCs w:val="22"/>
          <w:rtl w:val="0"/>
        </w:rPr>
        <w:t xml:space="preserve">reflection during her interview: </w:t>
      </w:r>
    </w:p>
    <w:p w:rsidR="00000000" w:rsidDel="00000000" w:rsidP="00000000" w:rsidRDefault="00000000" w:rsidRPr="00000000" w14:paraId="00000843">
      <w:pPr>
        <w:spacing w:line="480" w:lineRule="auto"/>
        <w:jc w:val="both"/>
        <w:rPr>
          <w:sz w:val="22"/>
          <w:szCs w:val="22"/>
        </w:rPr>
      </w:pPr>
      <w:r w:rsidDel="00000000" w:rsidR="00000000" w:rsidRPr="00000000">
        <w:rPr>
          <w:rtl w:val="0"/>
        </w:rPr>
      </w:r>
    </w:p>
    <w:p w:rsidR="00000000" w:rsidDel="00000000" w:rsidP="00000000" w:rsidRDefault="00000000" w:rsidRPr="00000000" w14:paraId="0000084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Yeah, it got to the point that one of one of my lot of tablets my mum actually flushed down the toilet cos she was like this is ridiculous… she was talking to me and there was no one there the lights were on but no one’s home nothing behind the eyes and it’s just proves it literally just numbs people instead of getting to the root cause</w:t>
      </w:r>
      <w:r w:rsidDel="00000000" w:rsidR="00000000" w:rsidRPr="00000000">
        <w:rPr>
          <w:sz w:val="22"/>
          <w:szCs w:val="22"/>
          <w:rtl w:val="0"/>
        </w:rPr>
        <w:t xml:space="preserve">.”</w:t>
      </w:r>
    </w:p>
    <w:p w:rsidR="00000000" w:rsidDel="00000000" w:rsidP="00000000" w:rsidRDefault="00000000" w:rsidRPr="00000000" w14:paraId="00000845">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846">
      <w:pPr>
        <w:spacing w:line="480" w:lineRule="auto"/>
        <w:jc w:val="right"/>
        <w:rPr>
          <w:sz w:val="22"/>
          <w:szCs w:val="22"/>
        </w:rPr>
      </w:pPr>
      <w:r w:rsidDel="00000000" w:rsidR="00000000" w:rsidRPr="00000000">
        <w:rPr>
          <w:rtl w:val="0"/>
        </w:rPr>
      </w:r>
    </w:p>
    <w:p w:rsidR="00000000" w:rsidDel="00000000" w:rsidP="00000000" w:rsidRDefault="00000000" w:rsidRPr="00000000" w14:paraId="00000847">
      <w:pPr>
        <w:spacing w:line="480" w:lineRule="auto"/>
        <w:jc w:val="both"/>
        <w:rPr>
          <w:sz w:val="22"/>
          <w:szCs w:val="22"/>
        </w:rPr>
      </w:pPr>
      <w:r w:rsidDel="00000000" w:rsidR="00000000" w:rsidRPr="00000000">
        <w:rPr>
          <w:sz w:val="22"/>
          <w:szCs w:val="22"/>
          <w:rtl w:val="0"/>
        </w:rPr>
        <w:t xml:space="preserve">Several participants report experiencing difficulties with their studies, training or employment. This was both through the course of their treatment, or because of longer-term treatment such as surgeries to remediate the underlying cause of illness. This also includes the implications of side effects:</w:t>
      </w:r>
    </w:p>
    <w:p w:rsidR="00000000" w:rsidDel="00000000" w:rsidP="00000000" w:rsidRDefault="00000000" w:rsidRPr="00000000" w14:paraId="00000848">
      <w:pPr>
        <w:spacing w:line="480" w:lineRule="auto"/>
        <w:rPr>
          <w:sz w:val="22"/>
          <w:szCs w:val="22"/>
        </w:rPr>
      </w:pPr>
      <w:r w:rsidDel="00000000" w:rsidR="00000000" w:rsidRPr="00000000">
        <w:rPr>
          <w:rtl w:val="0"/>
        </w:rPr>
      </w:r>
    </w:p>
    <w:p w:rsidR="00000000" w:rsidDel="00000000" w:rsidP="00000000" w:rsidRDefault="00000000" w:rsidRPr="00000000" w14:paraId="0000084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had to take the leave of absence and deal with that on a different term at the time I remember I went home I was dealing with that for a few months …. I took a leave of absence and took it back from uni, but the university probably in January and in April I went back home that was the time when my Mum said that she knows a great doctor and she heard about her and stuff she prescribed me appropriate medication and within two weeks I was back to normal.</w:t>
      </w:r>
      <w:r w:rsidDel="00000000" w:rsidR="00000000" w:rsidRPr="00000000">
        <w:rPr>
          <w:sz w:val="22"/>
          <w:szCs w:val="22"/>
          <w:rtl w:val="0"/>
        </w:rPr>
        <w:t xml:space="preserve">”</w:t>
      </w:r>
    </w:p>
    <w:p w:rsidR="00000000" w:rsidDel="00000000" w:rsidP="00000000" w:rsidRDefault="00000000" w:rsidRPr="00000000" w14:paraId="0000084A">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4B">
      <w:pPr>
        <w:spacing w:line="480" w:lineRule="auto"/>
        <w:jc w:val="right"/>
        <w:rPr>
          <w:sz w:val="22"/>
          <w:szCs w:val="22"/>
        </w:rPr>
      </w:pPr>
      <w:r w:rsidDel="00000000" w:rsidR="00000000" w:rsidRPr="00000000">
        <w:rPr>
          <w:rtl w:val="0"/>
        </w:rPr>
      </w:r>
    </w:p>
    <w:p w:rsidR="00000000" w:rsidDel="00000000" w:rsidP="00000000" w:rsidRDefault="00000000" w:rsidRPr="00000000" w14:paraId="0000084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mean I think it's a barrier to getting jobs because it's hard to tell people that on a job that you might have to sleep sometimes to medication makes you tired</w:t>
      </w:r>
      <w:r w:rsidDel="00000000" w:rsidR="00000000" w:rsidRPr="00000000">
        <w:rPr>
          <w:sz w:val="22"/>
          <w:szCs w:val="22"/>
          <w:rtl w:val="0"/>
        </w:rPr>
        <w:t xml:space="preserve">.”</w:t>
      </w:r>
    </w:p>
    <w:p w:rsidR="00000000" w:rsidDel="00000000" w:rsidP="00000000" w:rsidRDefault="00000000" w:rsidRPr="00000000" w14:paraId="0000084D">
      <w:pPr>
        <w:spacing w:line="480" w:lineRule="auto"/>
        <w:jc w:val="right"/>
        <w:rPr>
          <w:sz w:val="22"/>
          <w:szCs w:val="22"/>
        </w:rPr>
      </w:pPr>
      <w:r w:rsidDel="00000000" w:rsidR="00000000" w:rsidRPr="00000000">
        <w:rPr>
          <w:sz w:val="22"/>
          <w:szCs w:val="22"/>
          <w:rtl w:val="0"/>
        </w:rPr>
        <w:t xml:space="preserve">[Tia: </w:t>
      </w:r>
      <w:r w:rsidDel="00000000" w:rsidR="00000000" w:rsidRPr="00000000">
        <w:rPr>
          <w:i w:val="1"/>
          <w:sz w:val="22"/>
          <w:szCs w:val="22"/>
          <w:rtl w:val="0"/>
        </w:rPr>
        <w:t xml:space="preserve">Clomipramine, Venlafaxine</w:t>
      </w:r>
      <w:r w:rsidDel="00000000" w:rsidR="00000000" w:rsidRPr="00000000">
        <w:rPr>
          <w:sz w:val="22"/>
          <w:szCs w:val="22"/>
          <w:rtl w:val="0"/>
        </w:rPr>
        <w:t xml:space="preserve">]</w:t>
      </w:r>
    </w:p>
    <w:p w:rsidR="00000000" w:rsidDel="00000000" w:rsidP="00000000" w:rsidRDefault="00000000" w:rsidRPr="00000000" w14:paraId="0000084E">
      <w:pPr>
        <w:spacing w:line="480" w:lineRule="auto"/>
        <w:jc w:val="both"/>
        <w:rPr>
          <w:sz w:val="22"/>
          <w:szCs w:val="22"/>
        </w:rPr>
      </w:pPr>
      <w:r w:rsidDel="00000000" w:rsidR="00000000" w:rsidRPr="00000000">
        <w:rPr>
          <w:sz w:val="22"/>
          <w:szCs w:val="22"/>
          <w:rtl w:val="0"/>
        </w:rPr>
        <w:t xml:space="preserve">As described earlier, there is a recognition that prescribed medicines can have the same dependence potential as illicit drugs. Numerous participants make this comparison to those who use illicit drugs, and is typically associated with side effects or interdose withdrawal symptoms: </w:t>
      </w:r>
    </w:p>
    <w:p w:rsidR="00000000" w:rsidDel="00000000" w:rsidP="00000000" w:rsidRDefault="00000000" w:rsidRPr="00000000" w14:paraId="0000084F">
      <w:pPr>
        <w:spacing w:line="480" w:lineRule="auto"/>
        <w:jc w:val="both"/>
        <w:rPr>
          <w:sz w:val="22"/>
          <w:szCs w:val="22"/>
        </w:rPr>
      </w:pPr>
      <w:r w:rsidDel="00000000" w:rsidR="00000000" w:rsidRPr="00000000">
        <w:rPr>
          <w:rtl w:val="0"/>
        </w:rPr>
      </w:r>
    </w:p>
    <w:p w:rsidR="00000000" w:rsidDel="00000000" w:rsidP="00000000" w:rsidRDefault="00000000" w:rsidRPr="00000000" w14:paraId="0000085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It’s not just illegal drugs you can be technically addiction to cos at the time I didn’t think of it until someone from an outside perspective said to me what are you doing like you are literally relying on said drug.</w:t>
      </w:r>
      <w:r w:rsidDel="00000000" w:rsidR="00000000" w:rsidRPr="00000000">
        <w:rPr>
          <w:sz w:val="22"/>
          <w:szCs w:val="22"/>
          <w:rtl w:val="0"/>
        </w:rPr>
        <w:t xml:space="preserve">”</w:t>
      </w:r>
    </w:p>
    <w:p w:rsidR="00000000" w:rsidDel="00000000" w:rsidP="00000000" w:rsidRDefault="00000000" w:rsidRPr="00000000" w14:paraId="00000851">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852">
      <w:pPr>
        <w:spacing w:line="480" w:lineRule="auto"/>
        <w:jc w:val="right"/>
        <w:rPr>
          <w:sz w:val="22"/>
          <w:szCs w:val="22"/>
        </w:rPr>
      </w:pPr>
      <w:r w:rsidDel="00000000" w:rsidR="00000000" w:rsidRPr="00000000">
        <w:rPr>
          <w:rtl w:val="0"/>
        </w:rPr>
      </w:r>
    </w:p>
    <w:p w:rsidR="00000000" w:rsidDel="00000000" w:rsidP="00000000" w:rsidRDefault="00000000" w:rsidRPr="00000000" w14:paraId="00000853">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wake up in the morning I tend to not leave it any longer than an hour before I take my medication…  I notice if I don't take it within the hour of me waking up essentially says we're back the whole day because it's like my body is trying to catch up for the fact that I’ve been asleep and not had it in my system for long enough and I find that if I'm late between doses it kind of feels like I'm coming down an on top of the pain… I do end up feeling a bit like a drug user, legal drugs because I feel like I need that here I need that hit</w:t>
      </w:r>
      <w:r w:rsidDel="00000000" w:rsidR="00000000" w:rsidRPr="00000000">
        <w:rPr>
          <w:sz w:val="22"/>
          <w:szCs w:val="22"/>
          <w:rtl w:val="0"/>
        </w:rPr>
        <w:t xml:space="preserve">.”</w:t>
      </w:r>
    </w:p>
    <w:p w:rsidR="00000000" w:rsidDel="00000000" w:rsidP="00000000" w:rsidRDefault="00000000" w:rsidRPr="00000000" w14:paraId="00000854">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55">
      <w:pPr>
        <w:spacing w:line="480" w:lineRule="auto"/>
        <w:jc w:val="right"/>
        <w:rPr>
          <w:sz w:val="22"/>
          <w:szCs w:val="22"/>
        </w:rPr>
      </w:pPr>
      <w:r w:rsidDel="00000000" w:rsidR="00000000" w:rsidRPr="00000000">
        <w:rPr>
          <w:rtl w:val="0"/>
        </w:rPr>
      </w:r>
    </w:p>
    <w:p w:rsidR="00000000" w:rsidDel="00000000" w:rsidP="00000000" w:rsidRDefault="00000000" w:rsidRPr="00000000" w14:paraId="00000856">
      <w:pPr>
        <w:spacing w:line="480" w:lineRule="auto"/>
        <w:jc w:val="both"/>
        <w:rPr>
          <w:sz w:val="22"/>
          <w:szCs w:val="22"/>
        </w:rPr>
      </w:pPr>
      <w:r w:rsidDel="00000000" w:rsidR="00000000" w:rsidRPr="00000000">
        <w:rPr>
          <w:sz w:val="22"/>
          <w:szCs w:val="22"/>
          <w:rtl w:val="0"/>
        </w:rPr>
        <w:t xml:space="preserve">Although participants report receiving support from their family and peers, this comparison to illicit drug users has impacted the relationships of some participants. Those who had their behaviours challenged, however, cited this as a facilitator towards help seeking and recovery from prescribed drug dependence. </w:t>
      </w:r>
    </w:p>
    <w:p w:rsidR="00000000" w:rsidDel="00000000" w:rsidP="00000000" w:rsidRDefault="00000000" w:rsidRPr="00000000" w14:paraId="00000857">
      <w:pPr>
        <w:spacing w:line="480" w:lineRule="auto"/>
        <w:jc w:val="both"/>
        <w:rPr>
          <w:sz w:val="22"/>
          <w:szCs w:val="22"/>
        </w:rPr>
      </w:pPr>
      <w:r w:rsidDel="00000000" w:rsidR="00000000" w:rsidRPr="00000000">
        <w:rPr>
          <w:rtl w:val="0"/>
        </w:rPr>
      </w:r>
    </w:p>
    <w:p w:rsidR="00000000" w:rsidDel="00000000" w:rsidP="00000000" w:rsidRDefault="00000000" w:rsidRPr="00000000" w14:paraId="00000858">
      <w:pPr>
        <w:spacing w:line="480" w:lineRule="auto"/>
        <w:jc w:val="both"/>
        <w:rPr>
          <w:sz w:val="22"/>
          <w:szCs w:val="22"/>
        </w:rPr>
      </w:pPr>
      <w:r w:rsidDel="00000000" w:rsidR="00000000" w:rsidRPr="00000000">
        <w:rPr>
          <w:sz w:val="22"/>
          <w:szCs w:val="22"/>
          <w:rtl w:val="0"/>
        </w:rPr>
        <w:t xml:space="preserve">Wider social Implications include stigma received from peer groups. In </w:t>
      </w:r>
      <w:r w:rsidDel="00000000" w:rsidR="00000000" w:rsidRPr="00000000">
        <w:rPr>
          <w:i w:val="1"/>
          <w:sz w:val="22"/>
          <w:szCs w:val="22"/>
          <w:rtl w:val="0"/>
        </w:rPr>
        <w:t xml:space="preserve">William’s </w:t>
      </w:r>
      <w:r w:rsidDel="00000000" w:rsidR="00000000" w:rsidRPr="00000000">
        <w:rPr>
          <w:sz w:val="22"/>
          <w:szCs w:val="22"/>
          <w:rtl w:val="0"/>
        </w:rPr>
        <w:t xml:space="preserve">account, disclosing his diagnosis of depression resulted in removing himself from friendship groups due to their controversial beliefs surrounding mental health and antidepressant use:</w:t>
      </w:r>
    </w:p>
    <w:p w:rsidR="00000000" w:rsidDel="00000000" w:rsidP="00000000" w:rsidRDefault="00000000" w:rsidRPr="00000000" w14:paraId="0000085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Some friends of mine, do the friends had been on, but back then at this stage, I was also hanging around with some people who had slightly new age the sort of alternative medicine beliefs and they were warning me that I shouldn't have antidepressants because I was disconnecting from my true self and I wasn't dealing with the issues it wasn't like, blocking off the emotions, and not dealing with them. But I went ahead anyway… I mean, to be honest, in the end of stop hanging around with them because they went really far down this anti-vax conspiracy theories</w:t>
      </w:r>
      <w:r w:rsidDel="00000000" w:rsidR="00000000" w:rsidRPr="00000000">
        <w:rPr>
          <w:sz w:val="22"/>
          <w:szCs w:val="22"/>
          <w:rtl w:val="0"/>
        </w:rPr>
        <w:t xml:space="preserve">.”</w:t>
      </w:r>
    </w:p>
    <w:p w:rsidR="00000000" w:rsidDel="00000000" w:rsidP="00000000" w:rsidRDefault="00000000" w:rsidRPr="00000000" w14:paraId="0000085A">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85B">
      <w:pPr>
        <w:spacing w:line="480" w:lineRule="auto"/>
        <w:jc w:val="both"/>
        <w:rPr>
          <w:sz w:val="22"/>
          <w:szCs w:val="22"/>
        </w:rPr>
      </w:pPr>
      <w:r w:rsidDel="00000000" w:rsidR="00000000" w:rsidRPr="00000000">
        <w:rPr>
          <w:rtl w:val="0"/>
        </w:rPr>
      </w:r>
    </w:p>
    <w:p w:rsidR="00000000" w:rsidDel="00000000" w:rsidP="00000000" w:rsidRDefault="00000000" w:rsidRPr="00000000" w14:paraId="0000085C">
      <w:pPr>
        <w:spacing w:line="480" w:lineRule="auto"/>
        <w:jc w:val="both"/>
        <w:rPr>
          <w:sz w:val="22"/>
          <w:szCs w:val="22"/>
        </w:rPr>
      </w:pPr>
      <w:r w:rsidDel="00000000" w:rsidR="00000000" w:rsidRPr="00000000">
        <w:rPr>
          <w:sz w:val="22"/>
          <w:szCs w:val="22"/>
          <w:rtl w:val="0"/>
        </w:rPr>
        <w:t xml:space="preserve">This was supported by </w:t>
      </w:r>
      <w:r w:rsidDel="00000000" w:rsidR="00000000" w:rsidRPr="00000000">
        <w:rPr>
          <w:i w:val="1"/>
          <w:sz w:val="22"/>
          <w:szCs w:val="22"/>
          <w:rtl w:val="0"/>
        </w:rPr>
        <w:t xml:space="preserve">Alice</w:t>
      </w:r>
      <w:r w:rsidDel="00000000" w:rsidR="00000000" w:rsidRPr="00000000">
        <w:rPr>
          <w:sz w:val="22"/>
          <w:szCs w:val="22"/>
          <w:rtl w:val="0"/>
        </w:rPr>
        <w:t xml:space="preserve">, who reports curating her friendship group to include people who are open and considerate when discussing mental health, which has wider de-stigmatising implications:</w:t>
      </w:r>
    </w:p>
    <w:p w:rsidR="00000000" w:rsidDel="00000000" w:rsidP="00000000" w:rsidRDefault="00000000" w:rsidRPr="00000000" w14:paraId="0000085D">
      <w:pPr>
        <w:spacing w:line="480" w:lineRule="auto"/>
        <w:jc w:val="both"/>
        <w:rPr>
          <w:sz w:val="22"/>
          <w:szCs w:val="22"/>
        </w:rPr>
      </w:pPr>
      <w:r w:rsidDel="00000000" w:rsidR="00000000" w:rsidRPr="00000000">
        <w:rPr>
          <w:rtl w:val="0"/>
        </w:rPr>
      </w:r>
    </w:p>
    <w:p w:rsidR="00000000" w:rsidDel="00000000" w:rsidP="00000000" w:rsidRDefault="00000000" w:rsidRPr="00000000" w14:paraId="0000085E">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am the people around me really respect my erm insight into what I am feeling and experiencing… I will tell anyone if it comes into conversation like you know I’m not like hey there my names [Alice] and I’m on citalopram but it if I meet someone and they’re like having a conversation about mental health and deems it appropriate…  I take antidepressants that’s not something that would bother me and I don’t feel that I am responded to differently as a result</w:t>
      </w:r>
      <w:r w:rsidDel="00000000" w:rsidR="00000000" w:rsidRPr="00000000">
        <w:rPr>
          <w:sz w:val="22"/>
          <w:szCs w:val="22"/>
          <w:rtl w:val="0"/>
        </w:rPr>
        <w:t xml:space="preserve">.”</w:t>
      </w:r>
    </w:p>
    <w:p w:rsidR="00000000" w:rsidDel="00000000" w:rsidP="00000000" w:rsidRDefault="00000000" w:rsidRPr="00000000" w14:paraId="0000085F">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860">
      <w:pPr>
        <w:spacing w:line="480" w:lineRule="auto"/>
        <w:jc w:val="both"/>
        <w:rPr>
          <w:sz w:val="22"/>
          <w:szCs w:val="22"/>
        </w:rPr>
      </w:pPr>
      <w:r w:rsidDel="00000000" w:rsidR="00000000" w:rsidRPr="00000000">
        <w:rPr>
          <w:rtl w:val="0"/>
        </w:rPr>
      </w:r>
    </w:p>
    <w:p w:rsidR="00000000" w:rsidDel="00000000" w:rsidP="00000000" w:rsidRDefault="00000000" w:rsidRPr="00000000" w14:paraId="00000861">
      <w:pPr>
        <w:spacing w:line="480" w:lineRule="auto"/>
        <w:jc w:val="both"/>
        <w:rPr>
          <w:sz w:val="22"/>
          <w:szCs w:val="22"/>
        </w:rPr>
      </w:pPr>
      <w:r w:rsidDel="00000000" w:rsidR="00000000" w:rsidRPr="00000000">
        <w:rPr>
          <w:sz w:val="22"/>
          <w:szCs w:val="22"/>
          <w:rtl w:val="0"/>
        </w:rPr>
        <w:t xml:space="preserve">Finally, there are reports of a preoccupation with re-ordering a repeat prescription, in order to alleviate the risk of withdrawal symptoms:</w:t>
      </w:r>
    </w:p>
    <w:p w:rsidR="00000000" w:rsidDel="00000000" w:rsidP="00000000" w:rsidRDefault="00000000" w:rsidRPr="00000000" w14:paraId="00000862">
      <w:pPr>
        <w:spacing w:line="480" w:lineRule="auto"/>
        <w:jc w:val="both"/>
        <w:rPr>
          <w:sz w:val="22"/>
          <w:szCs w:val="22"/>
        </w:rPr>
      </w:pPr>
      <w:r w:rsidDel="00000000" w:rsidR="00000000" w:rsidRPr="00000000">
        <w:rPr>
          <w:rtl w:val="0"/>
        </w:rPr>
      </w:r>
    </w:p>
    <w:p w:rsidR="00000000" w:rsidDel="00000000" w:rsidP="00000000" w:rsidRDefault="00000000" w:rsidRPr="00000000" w14:paraId="00000863">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think just stress a lot of stress so it would be stressed every single day every single month about Oh my God I have to remember I have to order this it was a lot of additional stress and frustration.</w:t>
      </w:r>
      <w:r w:rsidDel="00000000" w:rsidR="00000000" w:rsidRPr="00000000">
        <w:rPr>
          <w:sz w:val="22"/>
          <w:szCs w:val="22"/>
          <w:rtl w:val="0"/>
        </w:rPr>
        <w:t xml:space="preserve">”</w:t>
      </w:r>
    </w:p>
    <w:p w:rsidR="00000000" w:rsidDel="00000000" w:rsidP="00000000" w:rsidRDefault="00000000" w:rsidRPr="00000000" w14:paraId="00000864">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65">
      <w:pPr>
        <w:spacing w:line="480" w:lineRule="auto"/>
        <w:ind w:left="709" w:firstLine="0"/>
        <w:jc w:val="both"/>
        <w:rPr>
          <w:sz w:val="22"/>
          <w:szCs w:val="22"/>
        </w:rPr>
      </w:pPr>
      <w:r w:rsidDel="00000000" w:rsidR="00000000" w:rsidRPr="00000000">
        <w:rPr>
          <w:rtl w:val="0"/>
        </w:rPr>
      </w:r>
    </w:p>
    <w:p w:rsidR="00000000" w:rsidDel="00000000" w:rsidP="00000000" w:rsidRDefault="00000000" w:rsidRPr="00000000" w14:paraId="0000086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I'm always thinking God, I've got whatever I need to order them. I've got to that where it's been the day before I run out and think God Almighty.</w:t>
      </w:r>
      <w:r w:rsidDel="00000000" w:rsidR="00000000" w:rsidRPr="00000000">
        <w:rPr>
          <w:sz w:val="22"/>
          <w:szCs w:val="22"/>
          <w:rtl w:val="0"/>
        </w:rPr>
        <w:t xml:space="preserve">”</w:t>
      </w:r>
    </w:p>
    <w:p w:rsidR="00000000" w:rsidDel="00000000" w:rsidP="00000000" w:rsidRDefault="00000000" w:rsidRPr="00000000" w14:paraId="00000867">
      <w:pPr>
        <w:spacing w:line="480" w:lineRule="auto"/>
        <w:jc w:val="right"/>
        <w:rPr>
          <w:sz w:val="22"/>
          <w:szCs w:val="22"/>
        </w:rPr>
      </w:pPr>
      <w:r w:rsidDel="00000000" w:rsidR="00000000" w:rsidRPr="00000000">
        <w:rPr>
          <w:sz w:val="22"/>
          <w:szCs w:val="22"/>
          <w:rtl w:val="0"/>
        </w:rPr>
        <w:t xml:space="preserve">[Maggie: </w:t>
      </w:r>
      <w:r w:rsidDel="00000000" w:rsidR="00000000" w:rsidRPr="00000000">
        <w:rPr>
          <w:i w:val="1"/>
          <w:sz w:val="22"/>
          <w:szCs w:val="22"/>
          <w:rtl w:val="0"/>
        </w:rPr>
        <w:t xml:space="preserve">Pregabalin, Tramadol</w:t>
      </w:r>
      <w:r w:rsidDel="00000000" w:rsidR="00000000" w:rsidRPr="00000000">
        <w:rPr>
          <w:sz w:val="22"/>
          <w:szCs w:val="22"/>
          <w:rtl w:val="0"/>
        </w:rPr>
        <w:t xml:space="preserve">]</w:t>
      </w:r>
    </w:p>
    <w:p w:rsidR="00000000" w:rsidDel="00000000" w:rsidP="00000000" w:rsidRDefault="00000000" w:rsidRPr="00000000" w14:paraId="00000868">
      <w:pPr>
        <w:spacing w:line="480" w:lineRule="auto"/>
        <w:jc w:val="right"/>
        <w:rPr>
          <w:sz w:val="22"/>
          <w:szCs w:val="22"/>
        </w:rPr>
      </w:pPr>
      <w:r w:rsidDel="00000000" w:rsidR="00000000" w:rsidRPr="00000000">
        <w:rPr>
          <w:rtl w:val="0"/>
        </w:rPr>
      </w:r>
    </w:p>
    <w:p w:rsidR="00000000" w:rsidDel="00000000" w:rsidP="00000000" w:rsidRDefault="00000000" w:rsidRPr="00000000" w14:paraId="00000869">
      <w:pPr>
        <w:spacing w:line="480" w:lineRule="auto"/>
        <w:jc w:val="both"/>
        <w:rPr>
          <w:sz w:val="22"/>
          <w:szCs w:val="22"/>
        </w:rPr>
      </w:pPr>
      <w:r w:rsidDel="00000000" w:rsidR="00000000" w:rsidRPr="00000000">
        <w:rPr>
          <w:sz w:val="22"/>
          <w:szCs w:val="22"/>
          <w:rtl w:val="0"/>
        </w:rPr>
        <w:t xml:space="preserve">This causes additional stress for those who are already experiencing poor mental health and wellbeing and can often be left to the last minute as a result. </w:t>
      </w:r>
    </w:p>
    <w:p w:rsidR="00000000" w:rsidDel="00000000" w:rsidP="00000000" w:rsidRDefault="00000000" w:rsidRPr="00000000" w14:paraId="0000086A">
      <w:pPr>
        <w:spacing w:line="480" w:lineRule="auto"/>
        <w:jc w:val="both"/>
        <w:rPr>
          <w:sz w:val="22"/>
          <w:szCs w:val="22"/>
        </w:rPr>
      </w:pPr>
      <w:r w:rsidDel="00000000" w:rsidR="00000000" w:rsidRPr="00000000">
        <w:rPr>
          <w:rtl w:val="0"/>
        </w:rPr>
      </w:r>
    </w:p>
    <w:p w:rsidR="00000000" w:rsidDel="00000000" w:rsidP="00000000" w:rsidRDefault="00000000" w:rsidRPr="00000000" w14:paraId="0000086B">
      <w:pPr>
        <w:spacing w:line="480" w:lineRule="auto"/>
        <w:jc w:val="both"/>
        <w:rPr>
          <w:sz w:val="22"/>
          <w:szCs w:val="22"/>
        </w:rPr>
      </w:pPr>
      <w:r w:rsidDel="00000000" w:rsidR="00000000" w:rsidRPr="00000000">
        <w:rPr>
          <w:sz w:val="22"/>
          <w:szCs w:val="22"/>
          <w:rtl w:val="0"/>
        </w:rPr>
        <w:t xml:space="preserve">To summarise, this theme explored the criterion in which participants evaluate their medicines and ongoing use against. These include their medicines efficacy, safety and the implications of their use. Those who feel their medication is effective and feel the side effects are manageable, acceptable or absent are more likely to have confidence in their medication use and continue to use them to affect. The clinical necessity and the therapeutic benefit of medicines reconciled some participant’s concerns regarding the side effects, safety and perceived implications. The prescribing and use of medicines has validated some and has managed their health complaint effectively. However, those who experience side effects and associate their long-term health conditions with their medicines are likely to withdraw from their use and consider them harmful. These symptoms have been likened to the experiences of those who use illicit drugs and those who use them.</w:t>
      </w:r>
    </w:p>
    <w:p w:rsidR="00000000" w:rsidDel="00000000" w:rsidP="00000000" w:rsidRDefault="00000000" w:rsidRPr="00000000" w14:paraId="0000086C">
      <w:pPr>
        <w:pStyle w:val="Heading2"/>
        <w:numPr>
          <w:ilvl w:val="1"/>
          <w:numId w:val="16"/>
        </w:numPr>
        <w:spacing w:line="480" w:lineRule="auto"/>
        <w:ind w:left="720" w:hanging="720"/>
        <w:rPr/>
      </w:pPr>
      <w:bookmarkStart w:colFirst="0" w:colLast="0" w:name="_heading=h.2fk6b3p" w:id="94"/>
      <w:bookmarkEnd w:id="94"/>
      <w:r w:rsidDel="00000000" w:rsidR="00000000" w:rsidRPr="00000000">
        <w:rPr>
          <w:rtl w:val="0"/>
        </w:rPr>
        <w:t xml:space="preserve">Summary of Chapter</w:t>
      </w:r>
    </w:p>
    <w:p w:rsidR="00000000" w:rsidDel="00000000" w:rsidP="00000000" w:rsidRDefault="00000000" w:rsidRPr="00000000" w14:paraId="0000086D">
      <w:pPr>
        <w:spacing w:line="480" w:lineRule="auto"/>
        <w:jc w:val="both"/>
        <w:rPr>
          <w:sz w:val="22"/>
          <w:szCs w:val="22"/>
        </w:rPr>
      </w:pPr>
      <w:r w:rsidDel="00000000" w:rsidR="00000000" w:rsidRPr="00000000">
        <w:rPr>
          <w:sz w:val="22"/>
          <w:szCs w:val="22"/>
          <w:rtl w:val="0"/>
        </w:rPr>
        <w:t xml:space="preserve">To summarise, this chapter aimed to explore the experiences of patients who are dependent on prescribed medicines, and the perception of their care and support. The acceptance and ongoing evaluation of medicines is an important aspect of the overall patient experience. </w:t>
      </w:r>
    </w:p>
    <w:p w:rsidR="00000000" w:rsidDel="00000000" w:rsidP="00000000" w:rsidRDefault="00000000" w:rsidRPr="00000000" w14:paraId="0000086E">
      <w:pPr>
        <w:spacing w:line="480" w:lineRule="auto"/>
        <w:jc w:val="both"/>
        <w:rPr>
          <w:sz w:val="22"/>
          <w:szCs w:val="22"/>
        </w:rPr>
      </w:pPr>
      <w:r w:rsidDel="00000000" w:rsidR="00000000" w:rsidRPr="00000000">
        <w:rPr>
          <w:rtl w:val="0"/>
        </w:rPr>
      </w:r>
    </w:p>
    <w:p w:rsidR="00000000" w:rsidDel="00000000" w:rsidP="00000000" w:rsidRDefault="00000000" w:rsidRPr="00000000" w14:paraId="0000086F">
      <w:pPr>
        <w:spacing w:line="480" w:lineRule="auto"/>
        <w:jc w:val="both"/>
        <w:rPr>
          <w:sz w:val="22"/>
          <w:szCs w:val="22"/>
        </w:rPr>
      </w:pPr>
      <w:r w:rsidDel="00000000" w:rsidR="00000000" w:rsidRPr="00000000">
        <w:rPr>
          <w:sz w:val="22"/>
          <w:szCs w:val="22"/>
          <w:rtl w:val="0"/>
        </w:rPr>
        <w:t xml:space="preserve">The decision to accept medicines can be a complex decision, based on previous experiences of treatment, professional communication, and the perceived necessity of medicines. Participants also describe an ongoing evaluation of medicines; their medication use and the implications of such. Those who identify as treatment naïve or are experiencing significant implications because of their condition, are likely to passively accept medicines. On the contrary, those who have previously used medicines are likely to know what treatment plan may be most appropriate – whether that be medicines or alternative interventions. Participants who report feeling they have a choice in their treatment are more likely to perceive their treatment and healthcare professional positively, whereas those who do not report having such choices are critical of their care. This choice is also based on the level of information sharing, with varying descriptions of information sharing given. Communication is important when discussing side effects and withdrawal symptoms. </w:t>
      </w:r>
    </w:p>
    <w:p w:rsidR="00000000" w:rsidDel="00000000" w:rsidP="00000000" w:rsidRDefault="00000000" w:rsidRPr="00000000" w14:paraId="00000870">
      <w:pPr>
        <w:spacing w:line="480" w:lineRule="auto"/>
        <w:jc w:val="both"/>
        <w:rPr>
          <w:sz w:val="22"/>
          <w:szCs w:val="22"/>
        </w:rPr>
      </w:pPr>
      <w:r w:rsidDel="00000000" w:rsidR="00000000" w:rsidRPr="00000000">
        <w:rPr>
          <w:rtl w:val="0"/>
        </w:rPr>
      </w:r>
    </w:p>
    <w:p w:rsidR="00000000" w:rsidDel="00000000" w:rsidP="00000000" w:rsidRDefault="00000000" w:rsidRPr="00000000" w14:paraId="00000871">
      <w:pPr>
        <w:spacing w:line="480" w:lineRule="auto"/>
        <w:jc w:val="both"/>
        <w:rPr>
          <w:sz w:val="22"/>
          <w:szCs w:val="22"/>
        </w:rPr>
      </w:pPr>
      <w:r w:rsidDel="00000000" w:rsidR="00000000" w:rsidRPr="00000000">
        <w:rPr>
          <w:sz w:val="22"/>
          <w:szCs w:val="22"/>
          <w:rtl w:val="0"/>
        </w:rPr>
        <w:t xml:space="preserve">Medication use was described as challenging by some, whereas others had integrated their medicine use into their daily life. Participants are constantly evaluating their medication and their ongoing use against several criterion. These included the perceived efficacy of their medication, their safety and the associated side effects. Most importantly, medicines must “</w:t>
      </w:r>
      <w:r w:rsidDel="00000000" w:rsidR="00000000" w:rsidRPr="00000000">
        <w:rPr>
          <w:i w:val="1"/>
          <w:sz w:val="22"/>
          <w:szCs w:val="22"/>
          <w:rtl w:val="0"/>
        </w:rPr>
        <w:t xml:space="preserve">suit</w:t>
      </w:r>
      <w:r w:rsidDel="00000000" w:rsidR="00000000" w:rsidRPr="00000000">
        <w:rPr>
          <w:sz w:val="22"/>
          <w:szCs w:val="22"/>
          <w:rtl w:val="0"/>
        </w:rPr>
        <w:t xml:space="preserve">” the participant. Finding the medicine that “</w:t>
      </w:r>
      <w:r w:rsidDel="00000000" w:rsidR="00000000" w:rsidRPr="00000000">
        <w:rPr>
          <w:i w:val="1"/>
          <w:sz w:val="22"/>
          <w:szCs w:val="22"/>
          <w:rtl w:val="0"/>
        </w:rPr>
        <w:t xml:space="preserve">suited</w:t>
      </w:r>
      <w:r w:rsidDel="00000000" w:rsidR="00000000" w:rsidRPr="00000000">
        <w:rPr>
          <w:sz w:val="22"/>
          <w:szCs w:val="22"/>
          <w:rtl w:val="0"/>
        </w:rPr>
        <w:t xml:space="preserve">” them best was described as a “</w:t>
      </w:r>
      <w:r w:rsidDel="00000000" w:rsidR="00000000" w:rsidRPr="00000000">
        <w:rPr>
          <w:i w:val="1"/>
          <w:sz w:val="22"/>
          <w:szCs w:val="22"/>
          <w:rtl w:val="0"/>
        </w:rPr>
        <w:t xml:space="preserve">trial and error</w:t>
      </w:r>
      <w:r w:rsidDel="00000000" w:rsidR="00000000" w:rsidRPr="00000000">
        <w:rPr>
          <w:sz w:val="22"/>
          <w:szCs w:val="22"/>
          <w:rtl w:val="0"/>
        </w:rPr>
        <w:t xml:space="preserve">” approach. If medicines were perceived to contradict the evaluation criterion they used an alternative medicine. Those who experience the therapeutic benefits or minimal side effects are often accepting of continued use, despite an overall message that participants did not want to use medicines. Side effects varied in their presentation and severity and were both physical and psychological symptoms. Side effects such as weight gain were considered a negative by some but were welcomed by others. </w:t>
      </w:r>
    </w:p>
    <w:p w:rsidR="00000000" w:rsidDel="00000000" w:rsidP="00000000" w:rsidRDefault="00000000" w:rsidRPr="00000000" w14:paraId="00000872">
      <w:pPr>
        <w:spacing w:line="480" w:lineRule="auto"/>
        <w:jc w:val="both"/>
        <w:rPr>
          <w:sz w:val="22"/>
          <w:szCs w:val="22"/>
        </w:rPr>
      </w:pPr>
      <w:r w:rsidDel="00000000" w:rsidR="00000000" w:rsidRPr="00000000">
        <w:rPr>
          <w:rtl w:val="0"/>
        </w:rPr>
      </w:r>
    </w:p>
    <w:p w:rsidR="00000000" w:rsidDel="00000000" w:rsidP="00000000" w:rsidRDefault="00000000" w:rsidRPr="00000000" w14:paraId="00000873">
      <w:pPr>
        <w:spacing w:line="480" w:lineRule="auto"/>
        <w:jc w:val="both"/>
        <w:rPr>
          <w:sz w:val="22"/>
          <w:szCs w:val="22"/>
        </w:rPr>
      </w:pPr>
      <w:r w:rsidDel="00000000" w:rsidR="00000000" w:rsidRPr="00000000">
        <w:rPr>
          <w:sz w:val="22"/>
          <w:szCs w:val="22"/>
          <w:rtl w:val="0"/>
        </w:rPr>
        <w:t xml:space="preserve">Accepting medicines and continuing to use them can have implications for the participant. Some report a conflicted sense of identity, which has been found to result in loneliness, isolation and a perceived lack of agency. Participants have reported several wider implications of long-term medicine use, such as family disapproval and social isolation. Others report implications for their education and employment. The next chapter will address the “</w:t>
      </w:r>
      <w:r w:rsidDel="00000000" w:rsidR="00000000" w:rsidRPr="00000000">
        <w:rPr>
          <w:i w:val="1"/>
          <w:sz w:val="22"/>
          <w:szCs w:val="22"/>
          <w:rtl w:val="0"/>
        </w:rPr>
        <w:t xml:space="preserve">Medication Trap</w:t>
      </w:r>
      <w:r w:rsidDel="00000000" w:rsidR="00000000" w:rsidRPr="00000000">
        <w:rPr>
          <w:sz w:val="22"/>
          <w:szCs w:val="22"/>
          <w:rtl w:val="0"/>
        </w:rPr>
        <w:t xml:space="preserve">”</w:t>
      </w:r>
      <w:r w:rsidDel="00000000" w:rsidR="00000000" w:rsidRPr="00000000">
        <w:rPr>
          <w:i w:val="1"/>
          <w:sz w:val="22"/>
          <w:szCs w:val="22"/>
          <w:rtl w:val="0"/>
        </w:rPr>
        <w:t xml:space="preserve">. </w:t>
      </w:r>
      <w:r w:rsidDel="00000000" w:rsidR="00000000" w:rsidRPr="00000000">
        <w:rPr>
          <w:sz w:val="22"/>
          <w:szCs w:val="22"/>
          <w:rtl w:val="0"/>
        </w:rPr>
        <w:t xml:space="preserve">This describes the experiences of participants who feel they have limited choice in using medicines, as a result of several key factors. </w:t>
      </w:r>
    </w:p>
    <w:p w:rsidR="00000000" w:rsidDel="00000000" w:rsidP="00000000" w:rsidRDefault="00000000" w:rsidRPr="00000000" w14:paraId="00000874">
      <w:pPr>
        <w:spacing w:line="480" w:lineRule="auto"/>
        <w:jc w:val="both"/>
        <w:rPr>
          <w:sz w:val="22"/>
          <w:szCs w:val="22"/>
        </w:rPr>
      </w:pPr>
      <w:r w:rsidDel="00000000" w:rsidR="00000000" w:rsidRPr="00000000">
        <w:rPr>
          <w:rtl w:val="0"/>
        </w:rPr>
      </w:r>
    </w:p>
    <w:p w:rsidR="00000000" w:rsidDel="00000000" w:rsidP="00000000" w:rsidRDefault="00000000" w:rsidRPr="00000000" w14:paraId="00000875">
      <w:pPr>
        <w:spacing w:line="480" w:lineRule="auto"/>
        <w:jc w:val="both"/>
        <w:rPr>
          <w:sz w:val="22"/>
          <w:szCs w:val="22"/>
        </w:rPr>
      </w:pPr>
      <w:r w:rsidDel="00000000" w:rsidR="00000000" w:rsidRPr="00000000">
        <w:rPr>
          <w:rtl w:val="0"/>
        </w:rPr>
      </w:r>
    </w:p>
    <w:p w:rsidR="00000000" w:rsidDel="00000000" w:rsidP="00000000" w:rsidRDefault="00000000" w:rsidRPr="00000000" w14:paraId="00000876">
      <w:pPr>
        <w:spacing w:line="480" w:lineRule="auto"/>
        <w:jc w:val="both"/>
        <w:rPr>
          <w:sz w:val="22"/>
          <w:szCs w:val="22"/>
        </w:rPr>
      </w:pPr>
      <w:r w:rsidDel="00000000" w:rsidR="00000000" w:rsidRPr="00000000">
        <w:rPr>
          <w:rtl w:val="0"/>
        </w:rPr>
      </w:r>
    </w:p>
    <w:p w:rsidR="00000000" w:rsidDel="00000000" w:rsidP="00000000" w:rsidRDefault="00000000" w:rsidRPr="00000000" w14:paraId="00000877">
      <w:pPr>
        <w:spacing w:line="480" w:lineRule="auto"/>
        <w:jc w:val="both"/>
        <w:rPr>
          <w:sz w:val="22"/>
          <w:szCs w:val="22"/>
        </w:rPr>
      </w:pPr>
      <w:r w:rsidDel="00000000" w:rsidR="00000000" w:rsidRPr="00000000">
        <w:rPr>
          <w:rtl w:val="0"/>
        </w:rPr>
      </w:r>
    </w:p>
    <w:p w:rsidR="00000000" w:rsidDel="00000000" w:rsidP="00000000" w:rsidRDefault="00000000" w:rsidRPr="00000000" w14:paraId="00000878">
      <w:pPr>
        <w:spacing w:line="480" w:lineRule="auto"/>
        <w:jc w:val="both"/>
        <w:rPr>
          <w:sz w:val="22"/>
          <w:szCs w:val="22"/>
        </w:rPr>
      </w:pPr>
      <w:r w:rsidDel="00000000" w:rsidR="00000000" w:rsidRPr="00000000">
        <w:rPr>
          <w:rtl w:val="0"/>
        </w:rPr>
      </w:r>
    </w:p>
    <w:p w:rsidR="00000000" w:rsidDel="00000000" w:rsidP="00000000" w:rsidRDefault="00000000" w:rsidRPr="00000000" w14:paraId="00000879">
      <w:pPr>
        <w:spacing w:line="480" w:lineRule="auto"/>
        <w:jc w:val="both"/>
        <w:rPr>
          <w:sz w:val="22"/>
          <w:szCs w:val="22"/>
        </w:rPr>
      </w:pPr>
      <w:r w:rsidDel="00000000" w:rsidR="00000000" w:rsidRPr="00000000">
        <w:rPr>
          <w:rtl w:val="0"/>
        </w:rPr>
      </w:r>
    </w:p>
    <w:p w:rsidR="00000000" w:rsidDel="00000000" w:rsidP="00000000" w:rsidRDefault="00000000" w:rsidRPr="00000000" w14:paraId="0000087A">
      <w:pPr>
        <w:spacing w:line="480" w:lineRule="auto"/>
        <w:jc w:val="both"/>
        <w:rPr>
          <w:sz w:val="22"/>
          <w:szCs w:val="22"/>
        </w:rPr>
      </w:pPr>
      <w:r w:rsidDel="00000000" w:rsidR="00000000" w:rsidRPr="00000000">
        <w:rPr>
          <w:rtl w:val="0"/>
        </w:rPr>
      </w:r>
    </w:p>
    <w:p w:rsidR="00000000" w:rsidDel="00000000" w:rsidP="00000000" w:rsidRDefault="00000000" w:rsidRPr="00000000" w14:paraId="0000087B">
      <w:pPr>
        <w:spacing w:line="480" w:lineRule="auto"/>
        <w:jc w:val="both"/>
        <w:rPr>
          <w:sz w:val="22"/>
          <w:szCs w:val="22"/>
        </w:rPr>
      </w:pPr>
      <w:r w:rsidDel="00000000" w:rsidR="00000000" w:rsidRPr="00000000">
        <w:rPr>
          <w:rtl w:val="0"/>
        </w:rPr>
      </w:r>
    </w:p>
    <w:p w:rsidR="00000000" w:rsidDel="00000000" w:rsidP="00000000" w:rsidRDefault="00000000" w:rsidRPr="00000000" w14:paraId="0000087C">
      <w:pPr>
        <w:spacing w:line="480" w:lineRule="auto"/>
        <w:jc w:val="both"/>
        <w:rPr>
          <w:sz w:val="22"/>
          <w:szCs w:val="22"/>
        </w:rPr>
      </w:pPr>
      <w:r w:rsidDel="00000000" w:rsidR="00000000" w:rsidRPr="00000000">
        <w:rPr>
          <w:rtl w:val="0"/>
        </w:rPr>
      </w:r>
    </w:p>
    <w:p w:rsidR="00000000" w:rsidDel="00000000" w:rsidP="00000000" w:rsidRDefault="00000000" w:rsidRPr="00000000" w14:paraId="0000087D">
      <w:pPr>
        <w:spacing w:line="480" w:lineRule="auto"/>
        <w:jc w:val="both"/>
        <w:rPr>
          <w:sz w:val="22"/>
          <w:szCs w:val="22"/>
        </w:rPr>
      </w:pPr>
      <w:r w:rsidDel="00000000" w:rsidR="00000000" w:rsidRPr="00000000">
        <w:rPr>
          <w:rtl w:val="0"/>
        </w:rPr>
      </w:r>
    </w:p>
    <w:p w:rsidR="00000000" w:rsidDel="00000000" w:rsidP="00000000" w:rsidRDefault="00000000" w:rsidRPr="00000000" w14:paraId="0000087E">
      <w:pPr>
        <w:pStyle w:val="Heading1"/>
        <w:spacing w:line="480" w:lineRule="auto"/>
        <w:jc w:val="both"/>
        <w:rPr/>
      </w:pPr>
      <w:bookmarkStart w:colFirst="0" w:colLast="0" w:name="_heading=h.upglbi" w:id="95"/>
      <w:bookmarkEnd w:id="95"/>
      <w:r w:rsidDel="00000000" w:rsidR="00000000" w:rsidRPr="00000000">
        <w:rPr>
          <w:rtl w:val="0"/>
        </w:rPr>
        <w:t xml:space="preserve">Chapter Six – The Medication Trap</w:t>
      </w:r>
    </w:p>
    <w:p w:rsidR="00000000" w:rsidDel="00000000" w:rsidP="00000000" w:rsidRDefault="00000000" w:rsidRPr="00000000" w14:paraId="0000087F">
      <w:pPr>
        <w:spacing w:line="480" w:lineRule="auto"/>
        <w:jc w:val="both"/>
        <w:rPr>
          <w:sz w:val="22"/>
          <w:szCs w:val="22"/>
        </w:rPr>
      </w:pPr>
      <w:r w:rsidDel="00000000" w:rsidR="00000000" w:rsidRPr="00000000">
        <w:rPr>
          <w:sz w:val="22"/>
          <w:szCs w:val="22"/>
          <w:rtl w:val="0"/>
        </w:rPr>
        <w:t xml:space="preserve">The second chapter presenting the findings of this research, explores the “</w:t>
      </w:r>
      <w:r w:rsidDel="00000000" w:rsidR="00000000" w:rsidRPr="00000000">
        <w:rPr>
          <w:i w:val="1"/>
          <w:sz w:val="22"/>
          <w:szCs w:val="22"/>
          <w:rtl w:val="0"/>
        </w:rPr>
        <w:t xml:space="preserve">Medication Trap</w:t>
      </w:r>
      <w:r w:rsidDel="00000000" w:rsidR="00000000" w:rsidRPr="00000000">
        <w:rPr>
          <w:sz w:val="22"/>
          <w:szCs w:val="22"/>
          <w:rtl w:val="0"/>
        </w:rPr>
        <w:t xml:space="preserve">”. This describes how participants feel they have no other choice but to use medicines. Extensive medication use was reported across all participants. This sometimes goes against the treatment preferences of the participant; however, their experiences have prevented them from reducing or stopping their medication use. It will be shown that participants who aim to come off medicines can find themselves remaining on them for longer than desired, due to several reasons. </w:t>
      </w:r>
    </w:p>
    <w:p w:rsidR="00000000" w:rsidDel="00000000" w:rsidP="00000000" w:rsidRDefault="00000000" w:rsidRPr="00000000" w14:paraId="00000880">
      <w:pPr>
        <w:spacing w:line="480" w:lineRule="auto"/>
        <w:jc w:val="both"/>
        <w:rPr>
          <w:sz w:val="22"/>
          <w:szCs w:val="22"/>
        </w:rPr>
      </w:pPr>
      <w:r w:rsidDel="00000000" w:rsidR="00000000" w:rsidRPr="00000000">
        <w:rPr>
          <w:rtl w:val="0"/>
        </w:rPr>
      </w:r>
    </w:p>
    <w:p w:rsidR="00000000" w:rsidDel="00000000" w:rsidP="00000000" w:rsidRDefault="00000000" w:rsidRPr="00000000" w14:paraId="00000881">
      <w:pPr>
        <w:spacing w:line="480" w:lineRule="auto"/>
        <w:jc w:val="both"/>
        <w:rPr>
          <w:sz w:val="22"/>
          <w:szCs w:val="22"/>
        </w:rPr>
      </w:pPr>
      <w:r w:rsidDel="00000000" w:rsidR="00000000" w:rsidRPr="00000000">
        <w:rPr>
          <w:sz w:val="22"/>
          <w:szCs w:val="22"/>
          <w:rtl w:val="0"/>
        </w:rPr>
        <w:t xml:space="preserve">These include the participants diagnosis, or lack thereof, the formation of a dependency and subsequent withdrawal symptoms and the perceived inaccessibility of alternative treatments and secondary care. The role of the practitioner will also be noted, whereby practitioners are perceived to prescribe and overprescribe medicines, practice with minimal clinical monitoring, and possess limited knowledge on the management of this patient group. This chapter will then describe how some participants managed to move away from medicines, through the use of over-the-counter remedies, scientifically based tapering regimes and peer support. </w:t>
      </w:r>
    </w:p>
    <w:p w:rsidR="00000000" w:rsidDel="00000000" w:rsidP="00000000" w:rsidRDefault="00000000" w:rsidRPr="00000000" w14:paraId="00000882">
      <w:pPr>
        <w:spacing w:line="480" w:lineRule="auto"/>
        <w:jc w:val="both"/>
        <w:rPr>
          <w:sz w:val="22"/>
          <w:szCs w:val="22"/>
        </w:rPr>
      </w:pPr>
      <w:r w:rsidDel="00000000" w:rsidR="00000000" w:rsidRPr="00000000">
        <w:rPr>
          <w:rtl w:val="0"/>
        </w:rPr>
      </w:r>
    </w:p>
    <w:tbl>
      <w:tblPr>
        <w:tblStyle w:val="Table10"/>
        <w:tblW w:w="901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4111"/>
        <w:gridCol w:w="4905"/>
        <w:tblGridChange w:id="0">
          <w:tblGrid>
            <w:gridCol w:w="4111"/>
            <w:gridCol w:w="4905"/>
          </w:tblGrid>
        </w:tblGridChange>
      </w:tblGrid>
      <w:tr>
        <w:trPr>
          <w:cantSplit w:val="0"/>
          <w:tblHeader w:val="0"/>
        </w:trPr>
        <w:tc>
          <w:tcPr>
            <w:vAlign w:val="center"/>
          </w:tcPr>
          <w:p w:rsidR="00000000" w:rsidDel="00000000" w:rsidP="00000000" w:rsidRDefault="00000000" w:rsidRPr="00000000" w14:paraId="00000883">
            <w:pPr>
              <w:rPr>
                <w:sz w:val="22"/>
                <w:szCs w:val="22"/>
              </w:rPr>
            </w:pPr>
            <w:r w:rsidDel="00000000" w:rsidR="00000000" w:rsidRPr="00000000">
              <w:rPr>
                <w:sz w:val="22"/>
                <w:szCs w:val="22"/>
                <w:rtl w:val="0"/>
              </w:rPr>
              <w:t xml:space="preserve">Theme</w:t>
            </w:r>
          </w:p>
        </w:tc>
        <w:tc>
          <w:tcPr>
            <w:vAlign w:val="center"/>
          </w:tcPr>
          <w:p w:rsidR="00000000" w:rsidDel="00000000" w:rsidP="00000000" w:rsidRDefault="00000000" w:rsidRPr="00000000" w14:paraId="00000884">
            <w:pPr>
              <w:rPr>
                <w:sz w:val="22"/>
                <w:szCs w:val="22"/>
              </w:rPr>
            </w:pPr>
            <w:r w:rsidDel="00000000" w:rsidR="00000000" w:rsidRPr="00000000">
              <w:rPr>
                <w:sz w:val="22"/>
                <w:szCs w:val="22"/>
                <w:rtl w:val="0"/>
              </w:rPr>
              <w:t xml:space="preserve">Subtheme</w:t>
            </w:r>
          </w:p>
        </w:tc>
      </w:tr>
      <w:tr>
        <w:trPr>
          <w:cantSplit w:val="0"/>
          <w:tblHeader w:val="0"/>
        </w:trPr>
        <w:tc>
          <w:tcPr>
            <w:vAlign w:val="center"/>
          </w:tcPr>
          <w:p w:rsidR="00000000" w:rsidDel="00000000" w:rsidP="00000000" w:rsidRDefault="00000000" w:rsidRPr="00000000" w14:paraId="00000885">
            <w:pPr>
              <w:rPr>
                <w:sz w:val="22"/>
                <w:szCs w:val="22"/>
              </w:rPr>
            </w:pPr>
            <w:r w:rsidDel="00000000" w:rsidR="00000000" w:rsidRPr="00000000">
              <w:rPr>
                <w:sz w:val="22"/>
                <w:szCs w:val="22"/>
                <w:rtl w:val="0"/>
              </w:rPr>
              <w:t xml:space="preserve">Dependency, Side Effects and Withdrawal Symptoms</w:t>
            </w:r>
          </w:p>
        </w:tc>
        <w:tc>
          <w:tcPr>
            <w:vAlign w:val="center"/>
          </w:tcPr>
          <w:p w:rsidR="00000000" w:rsidDel="00000000" w:rsidP="00000000" w:rsidRDefault="00000000" w:rsidRPr="00000000" w14:paraId="00000886">
            <w:pPr>
              <w:rPr>
                <w:sz w:val="22"/>
                <w:szCs w:val="22"/>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87">
            <w:pPr>
              <w:rPr>
                <w:sz w:val="22"/>
                <w:szCs w:val="22"/>
              </w:rPr>
            </w:pPr>
            <w:r w:rsidDel="00000000" w:rsidR="00000000" w:rsidRPr="00000000">
              <w:rPr>
                <w:sz w:val="22"/>
                <w:szCs w:val="22"/>
                <w:rtl w:val="0"/>
              </w:rPr>
              <w:t xml:space="preserve">Diagnosis</w:t>
            </w:r>
          </w:p>
        </w:tc>
        <w:tc>
          <w:tcPr>
            <w:vAlign w:val="center"/>
          </w:tcPr>
          <w:p w:rsidR="00000000" w:rsidDel="00000000" w:rsidP="00000000" w:rsidRDefault="00000000" w:rsidRPr="00000000" w14:paraId="00000888">
            <w:pPr>
              <w:rPr>
                <w:sz w:val="22"/>
                <w:szCs w:val="22"/>
              </w:rPr>
            </w:pPr>
            <w:r w:rsidDel="00000000" w:rsidR="00000000" w:rsidRPr="00000000">
              <w:rPr>
                <w:sz w:val="22"/>
                <w:szCs w:val="22"/>
                <w:rtl w:val="0"/>
              </w:rPr>
              <w:t xml:space="preserve">Accessibility and Perceived Lack of Alternatives</w:t>
            </w:r>
          </w:p>
        </w:tc>
      </w:tr>
      <w:tr>
        <w:trPr>
          <w:cantSplit w:val="0"/>
          <w:tblHeader w:val="0"/>
        </w:trPr>
        <w:tc>
          <w:tcPr>
            <w:vMerge w:val="restart"/>
            <w:vAlign w:val="center"/>
          </w:tcPr>
          <w:p w:rsidR="00000000" w:rsidDel="00000000" w:rsidP="00000000" w:rsidRDefault="00000000" w:rsidRPr="00000000" w14:paraId="00000889">
            <w:pPr>
              <w:rPr>
                <w:sz w:val="22"/>
                <w:szCs w:val="22"/>
              </w:rPr>
            </w:pPr>
            <w:r w:rsidDel="00000000" w:rsidR="00000000" w:rsidRPr="00000000">
              <w:rPr>
                <w:sz w:val="22"/>
                <w:szCs w:val="22"/>
                <w:rtl w:val="0"/>
              </w:rPr>
              <w:t xml:space="preserve">Is the Practitioner Responsible?</w:t>
            </w:r>
          </w:p>
        </w:tc>
        <w:tc>
          <w:tcPr>
            <w:vAlign w:val="center"/>
          </w:tcPr>
          <w:p w:rsidR="00000000" w:rsidDel="00000000" w:rsidP="00000000" w:rsidRDefault="00000000" w:rsidRPr="00000000" w14:paraId="0000088A">
            <w:pPr>
              <w:rPr>
                <w:sz w:val="22"/>
                <w:szCs w:val="22"/>
              </w:rPr>
            </w:pPr>
            <w:r w:rsidDel="00000000" w:rsidR="00000000" w:rsidRPr="00000000">
              <w:rPr>
                <w:sz w:val="22"/>
                <w:szCs w:val="22"/>
                <w:rtl w:val="0"/>
              </w:rPr>
              <w:t xml:space="preserve">Prescribing Practices</w:t>
            </w:r>
          </w:p>
        </w:tc>
      </w:tr>
      <w:tr>
        <w:trPr>
          <w:cantSplit w:val="0"/>
          <w:tblHeader w:val="0"/>
        </w:trPr>
        <w:tc>
          <w:tcPr>
            <w:vMerge w:val="continue"/>
            <w:vAlign w:val="center"/>
          </w:tcPr>
          <w:p w:rsidR="00000000" w:rsidDel="00000000" w:rsidP="00000000" w:rsidRDefault="00000000" w:rsidRPr="00000000" w14:paraId="000008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88C">
            <w:pPr>
              <w:rPr>
                <w:sz w:val="22"/>
                <w:szCs w:val="22"/>
              </w:rPr>
            </w:pPr>
            <w:r w:rsidDel="00000000" w:rsidR="00000000" w:rsidRPr="00000000">
              <w:rPr>
                <w:sz w:val="22"/>
                <w:szCs w:val="22"/>
                <w:rtl w:val="0"/>
              </w:rPr>
              <w:t xml:space="preserve">Knowledge and Understanding </w:t>
            </w:r>
          </w:p>
        </w:tc>
      </w:tr>
      <w:tr>
        <w:trPr>
          <w:cantSplit w:val="0"/>
          <w:tblHeader w:val="0"/>
        </w:trPr>
        <w:tc>
          <w:tcPr>
            <w:vMerge w:val="continue"/>
            <w:vAlign w:val="center"/>
          </w:tcPr>
          <w:p w:rsidR="00000000" w:rsidDel="00000000" w:rsidP="00000000" w:rsidRDefault="00000000" w:rsidRPr="00000000" w14:paraId="000008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88E">
            <w:pPr>
              <w:rPr>
                <w:sz w:val="22"/>
                <w:szCs w:val="22"/>
              </w:rPr>
            </w:pPr>
            <w:r w:rsidDel="00000000" w:rsidR="00000000" w:rsidRPr="00000000">
              <w:rPr>
                <w:sz w:val="22"/>
                <w:szCs w:val="22"/>
                <w:rtl w:val="0"/>
              </w:rPr>
              <w:t xml:space="preserve">Clinical Monitoring</w:t>
            </w:r>
          </w:p>
        </w:tc>
      </w:tr>
      <w:tr>
        <w:trPr>
          <w:cantSplit w:val="0"/>
          <w:tblHeader w:val="0"/>
        </w:trPr>
        <w:tc>
          <w:tcPr>
            <w:vMerge w:val="continue"/>
            <w:vAlign w:val="center"/>
          </w:tcPr>
          <w:p w:rsidR="00000000" w:rsidDel="00000000" w:rsidP="00000000" w:rsidRDefault="00000000" w:rsidRPr="00000000" w14:paraId="000008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890">
            <w:pPr>
              <w:rPr>
                <w:sz w:val="22"/>
                <w:szCs w:val="22"/>
              </w:rPr>
            </w:pPr>
            <w:r w:rsidDel="00000000" w:rsidR="00000000" w:rsidRPr="00000000">
              <w:rPr>
                <w:sz w:val="22"/>
                <w:szCs w:val="22"/>
                <w:rtl w:val="0"/>
              </w:rPr>
              <w:t xml:space="preserve">Support</w:t>
            </w:r>
          </w:p>
        </w:tc>
      </w:tr>
      <w:tr>
        <w:trPr>
          <w:cantSplit w:val="0"/>
          <w:tblHeader w:val="0"/>
        </w:trPr>
        <w:tc>
          <w:tcPr>
            <w:vMerge w:val="continue"/>
            <w:vAlign w:val="center"/>
          </w:tcPr>
          <w:p w:rsidR="00000000" w:rsidDel="00000000" w:rsidP="00000000" w:rsidRDefault="00000000" w:rsidRPr="00000000" w14:paraId="000008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892">
            <w:pPr>
              <w:keepNext w:val="1"/>
              <w:rPr>
                <w:sz w:val="22"/>
                <w:szCs w:val="22"/>
              </w:rPr>
            </w:pPr>
            <w:r w:rsidDel="00000000" w:rsidR="00000000" w:rsidRPr="00000000">
              <w:rPr>
                <w:sz w:val="22"/>
                <w:szCs w:val="22"/>
                <w:rtl w:val="0"/>
              </w:rPr>
              <w:t xml:space="preserve">Stigma</w:t>
            </w:r>
          </w:p>
        </w:tc>
      </w:tr>
      <w:tr>
        <w:trPr>
          <w:cantSplit w:val="0"/>
          <w:tblHeader w:val="0"/>
        </w:trPr>
        <w:tc>
          <w:tcPr>
            <w:vMerge w:val="restart"/>
            <w:vAlign w:val="center"/>
          </w:tcPr>
          <w:p w:rsidR="00000000" w:rsidDel="00000000" w:rsidP="00000000" w:rsidRDefault="00000000" w:rsidRPr="00000000" w14:paraId="00000893">
            <w:pPr>
              <w:rPr>
                <w:sz w:val="22"/>
                <w:szCs w:val="22"/>
              </w:rPr>
            </w:pPr>
            <w:r w:rsidDel="00000000" w:rsidR="00000000" w:rsidRPr="00000000">
              <w:rPr>
                <w:sz w:val="22"/>
                <w:szCs w:val="22"/>
                <w:rtl w:val="0"/>
              </w:rPr>
              <w:t xml:space="preserve">Escaping the Medication Trap</w:t>
            </w:r>
          </w:p>
        </w:tc>
        <w:tc>
          <w:tcPr>
            <w:vAlign w:val="center"/>
          </w:tcPr>
          <w:p w:rsidR="00000000" w:rsidDel="00000000" w:rsidP="00000000" w:rsidRDefault="00000000" w:rsidRPr="00000000" w14:paraId="00000894">
            <w:pPr>
              <w:keepNext w:val="1"/>
              <w:rPr>
                <w:sz w:val="22"/>
                <w:szCs w:val="22"/>
              </w:rPr>
            </w:pPr>
            <w:r w:rsidDel="00000000" w:rsidR="00000000" w:rsidRPr="00000000">
              <w:rPr>
                <w:sz w:val="22"/>
                <w:szCs w:val="22"/>
                <w:rtl w:val="0"/>
              </w:rPr>
              <w:t xml:space="preserve">Methods of Withdrawal</w:t>
            </w:r>
          </w:p>
        </w:tc>
      </w:tr>
      <w:tr>
        <w:trPr>
          <w:cantSplit w:val="0"/>
          <w:tblHeader w:val="0"/>
        </w:trPr>
        <w:tc>
          <w:tcPr>
            <w:vMerge w:val="continue"/>
            <w:vAlign w:val="center"/>
          </w:tcPr>
          <w:p w:rsidR="00000000" w:rsidDel="00000000" w:rsidP="00000000" w:rsidRDefault="00000000" w:rsidRPr="00000000" w14:paraId="000008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896">
            <w:pPr>
              <w:keepNext w:val="1"/>
              <w:rPr>
                <w:sz w:val="22"/>
                <w:szCs w:val="22"/>
              </w:rPr>
            </w:pPr>
            <w:r w:rsidDel="00000000" w:rsidR="00000000" w:rsidRPr="00000000">
              <w:rPr>
                <w:sz w:val="22"/>
                <w:szCs w:val="22"/>
                <w:rtl w:val="0"/>
              </w:rPr>
              <w:t xml:space="preserve">Independence</w:t>
            </w:r>
          </w:p>
        </w:tc>
      </w:tr>
    </w:tbl>
    <w:p w:rsidR="00000000" w:rsidDel="00000000" w:rsidP="00000000" w:rsidRDefault="00000000" w:rsidRPr="00000000" w14:paraId="0000089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bookmarkStart w:colFirst="0" w:colLast="0" w:name="_heading=h.3ep43zb" w:id="96"/>
      <w:bookmarkEnd w:id="96"/>
      <w:r w:rsidDel="00000000" w:rsidR="00000000" w:rsidRPr="00000000">
        <w:rPr>
          <w:rtl w:val="0"/>
        </w:rPr>
      </w:r>
    </w:p>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9: A table outlining the themes and subthemes identified in the data, pertaining to The Medication Trap.</w:t>
      </w:r>
    </w:p>
    <w:p w:rsidR="00000000" w:rsidDel="00000000" w:rsidP="00000000" w:rsidRDefault="00000000" w:rsidRPr="00000000" w14:paraId="00000899">
      <w:pPr>
        <w:rPr/>
      </w:pPr>
      <w:r w:rsidDel="00000000" w:rsidR="00000000" w:rsidRPr="00000000">
        <w:rPr>
          <w:rtl w:val="0"/>
        </w:rPr>
      </w:r>
    </w:p>
    <w:p w:rsidR="00000000" w:rsidDel="00000000" w:rsidP="00000000" w:rsidRDefault="00000000" w:rsidRPr="00000000" w14:paraId="0000089A">
      <w:pPr>
        <w:spacing w:line="480" w:lineRule="auto"/>
        <w:jc w:val="both"/>
        <w:rPr>
          <w:sz w:val="22"/>
          <w:szCs w:val="22"/>
        </w:rPr>
      </w:pPr>
      <w:r w:rsidDel="00000000" w:rsidR="00000000" w:rsidRPr="00000000">
        <w:rPr>
          <w:sz w:val="22"/>
          <w:szCs w:val="22"/>
          <w:rtl w:val="0"/>
        </w:rPr>
        <w:t xml:space="preserve">Addressing the research aim, this chapter explore the experiences of those who identify as being dependent on prescribed medicines, seemingly with no clear exit strategy. This chapter also specifically addresses the role of the practitioner, and their prescribing practices in the context of continued medication use. This was a particular area of importance for the participants. The three themes identified within this chapter, and their subthemes, are presented in Table Nine. </w:t>
      </w:r>
    </w:p>
    <w:p w:rsidR="00000000" w:rsidDel="00000000" w:rsidP="00000000" w:rsidRDefault="00000000" w:rsidRPr="00000000" w14:paraId="0000089B">
      <w:pPr>
        <w:spacing w:line="480" w:lineRule="auto"/>
        <w:jc w:val="both"/>
        <w:rPr>
          <w:sz w:val="22"/>
          <w:szCs w:val="22"/>
        </w:rPr>
      </w:pPr>
      <w:r w:rsidDel="00000000" w:rsidR="00000000" w:rsidRPr="00000000">
        <w:rPr>
          <w:rtl w:val="0"/>
        </w:rPr>
      </w:r>
    </w:p>
    <w:p w:rsidR="00000000" w:rsidDel="00000000" w:rsidP="00000000" w:rsidRDefault="00000000" w:rsidRPr="00000000" w14:paraId="0000089C">
      <w:pPr>
        <w:pStyle w:val="Heading2"/>
        <w:numPr>
          <w:ilvl w:val="1"/>
          <w:numId w:val="14"/>
        </w:numPr>
        <w:spacing w:line="480" w:lineRule="auto"/>
        <w:ind w:left="720" w:hanging="720"/>
        <w:jc w:val="both"/>
        <w:rPr>
          <w:sz w:val="24"/>
          <w:szCs w:val="24"/>
        </w:rPr>
      </w:pPr>
      <w:bookmarkStart w:colFirst="0" w:colLast="0" w:name="_heading=h.1tuee74" w:id="97"/>
      <w:bookmarkEnd w:id="97"/>
      <w:r w:rsidDel="00000000" w:rsidR="00000000" w:rsidRPr="00000000">
        <w:rPr>
          <w:rtl w:val="0"/>
        </w:rPr>
        <w:t xml:space="preserve">Dependency, Side Effects and Withdrawal Symptoms</w:t>
      </w:r>
      <w:r w:rsidDel="00000000" w:rsidR="00000000" w:rsidRPr="00000000">
        <w:rPr>
          <w:rtl w:val="0"/>
        </w:rPr>
      </w:r>
    </w:p>
    <w:p w:rsidR="00000000" w:rsidDel="00000000" w:rsidP="00000000" w:rsidRDefault="00000000" w:rsidRPr="00000000" w14:paraId="0000089D">
      <w:pPr>
        <w:spacing w:line="480" w:lineRule="auto"/>
        <w:jc w:val="both"/>
        <w:rPr>
          <w:sz w:val="22"/>
          <w:szCs w:val="22"/>
        </w:rPr>
      </w:pPr>
      <w:r w:rsidDel="00000000" w:rsidR="00000000" w:rsidRPr="00000000">
        <w:rPr>
          <w:sz w:val="22"/>
          <w:szCs w:val="22"/>
          <w:rtl w:val="0"/>
        </w:rPr>
        <w:t xml:space="preserve">The first theme within this chapter discusses how dependence on medicines can make participants feel as though they are trapped on medicines. It will also discuss how the associated side effects and withdrawal symptoms can contribute to the “</w:t>
      </w:r>
      <w:r w:rsidDel="00000000" w:rsidR="00000000" w:rsidRPr="00000000">
        <w:rPr>
          <w:i w:val="1"/>
          <w:sz w:val="22"/>
          <w:szCs w:val="22"/>
          <w:rtl w:val="0"/>
        </w:rPr>
        <w:t xml:space="preserve">Medication Trap</w:t>
      </w:r>
      <w:r w:rsidDel="00000000" w:rsidR="00000000" w:rsidRPr="00000000">
        <w:rPr>
          <w:sz w:val="22"/>
          <w:szCs w:val="22"/>
          <w:rtl w:val="0"/>
        </w:rPr>
        <w:t xml:space="preserve">”.</w:t>
      </w:r>
    </w:p>
    <w:p w:rsidR="00000000" w:rsidDel="00000000" w:rsidP="00000000" w:rsidRDefault="00000000" w:rsidRPr="00000000" w14:paraId="0000089E">
      <w:pPr>
        <w:spacing w:line="480" w:lineRule="auto"/>
        <w:jc w:val="both"/>
        <w:rPr>
          <w:sz w:val="22"/>
          <w:szCs w:val="22"/>
        </w:rPr>
      </w:pPr>
      <w:r w:rsidDel="00000000" w:rsidR="00000000" w:rsidRPr="00000000">
        <w:rPr>
          <w:rtl w:val="0"/>
        </w:rPr>
      </w:r>
    </w:p>
    <w:p w:rsidR="00000000" w:rsidDel="00000000" w:rsidP="00000000" w:rsidRDefault="00000000" w:rsidRPr="00000000" w14:paraId="0000089F">
      <w:pPr>
        <w:spacing w:line="480" w:lineRule="auto"/>
        <w:jc w:val="both"/>
        <w:rPr>
          <w:sz w:val="22"/>
          <w:szCs w:val="22"/>
        </w:rPr>
      </w:pPr>
      <w:r w:rsidDel="00000000" w:rsidR="00000000" w:rsidRPr="00000000">
        <w:rPr>
          <w:sz w:val="22"/>
          <w:szCs w:val="22"/>
          <w:rtl w:val="0"/>
        </w:rPr>
        <w:t xml:space="preserve">Consenting to participating in a study exploring prescribed drug dependence and withdrawal could be, in part, an acceptance of dependency. However, only five of the thirteen participants explicitly recognised either a physical or psychological dependency. Dependency can be both physical and psychological. This is an important distinction made by </w:t>
      </w:r>
      <w:r w:rsidDel="00000000" w:rsidR="00000000" w:rsidRPr="00000000">
        <w:rPr>
          <w:i w:val="1"/>
          <w:sz w:val="22"/>
          <w:szCs w:val="22"/>
          <w:rtl w:val="0"/>
        </w:rPr>
        <w:t xml:space="preserve">Joanna,</w:t>
      </w:r>
      <w:r w:rsidDel="00000000" w:rsidR="00000000" w:rsidRPr="00000000">
        <w:rPr>
          <w:sz w:val="22"/>
          <w:szCs w:val="22"/>
          <w:rtl w:val="0"/>
        </w:rPr>
        <w:t xml:space="preserve"> who feels the motivation towards reducing her medicines is present, however feels dependent physically:</w:t>
      </w:r>
    </w:p>
    <w:p w:rsidR="00000000" w:rsidDel="00000000" w:rsidP="00000000" w:rsidRDefault="00000000" w:rsidRPr="00000000" w14:paraId="000008A0">
      <w:pPr>
        <w:spacing w:line="480" w:lineRule="auto"/>
        <w:jc w:val="both"/>
        <w:rPr>
          <w:sz w:val="22"/>
          <w:szCs w:val="22"/>
        </w:rPr>
      </w:pPr>
      <w:r w:rsidDel="00000000" w:rsidR="00000000" w:rsidRPr="00000000">
        <w:rPr>
          <w:rtl w:val="0"/>
        </w:rPr>
      </w:r>
    </w:p>
    <w:p w:rsidR="00000000" w:rsidDel="00000000" w:rsidP="00000000" w:rsidRDefault="00000000" w:rsidRPr="00000000" w14:paraId="000008A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just mostly feel that my body is just so dependent on that so if there is a physical dependence I don't know about the emotional dependence because now I'm very determined to just get off them</w:t>
      </w:r>
      <w:r w:rsidDel="00000000" w:rsidR="00000000" w:rsidRPr="00000000">
        <w:rPr>
          <w:sz w:val="22"/>
          <w:szCs w:val="22"/>
          <w:rtl w:val="0"/>
        </w:rPr>
        <w:t xml:space="preserve">.”</w:t>
      </w:r>
    </w:p>
    <w:p w:rsidR="00000000" w:rsidDel="00000000" w:rsidP="00000000" w:rsidRDefault="00000000" w:rsidRPr="00000000" w14:paraId="000008A2">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A3">
      <w:pPr>
        <w:spacing w:line="480" w:lineRule="auto"/>
        <w:jc w:val="right"/>
        <w:rPr>
          <w:sz w:val="22"/>
          <w:szCs w:val="22"/>
        </w:rPr>
      </w:pPr>
      <w:r w:rsidDel="00000000" w:rsidR="00000000" w:rsidRPr="00000000">
        <w:rPr>
          <w:rtl w:val="0"/>
        </w:rPr>
      </w:r>
    </w:p>
    <w:p w:rsidR="00000000" w:rsidDel="00000000" w:rsidP="00000000" w:rsidRDefault="00000000" w:rsidRPr="00000000" w14:paraId="000008A4">
      <w:pPr>
        <w:spacing w:line="480" w:lineRule="auto"/>
        <w:jc w:val="both"/>
        <w:rPr>
          <w:sz w:val="22"/>
          <w:szCs w:val="22"/>
        </w:rPr>
      </w:pPr>
      <w:r w:rsidDel="00000000" w:rsidR="00000000" w:rsidRPr="00000000">
        <w:rPr>
          <w:sz w:val="22"/>
          <w:szCs w:val="22"/>
          <w:rtl w:val="0"/>
        </w:rPr>
        <w:t xml:space="preserve">Other participants described experiences or symptoms that could be considered a dependence. For example, the identification of a dependence was often made when the participant noted withdrawal symptoms, or poor functioning when having either missed or reduced their dose: </w:t>
      </w:r>
    </w:p>
    <w:p w:rsidR="00000000" w:rsidDel="00000000" w:rsidP="00000000" w:rsidRDefault="00000000" w:rsidRPr="00000000" w14:paraId="000008A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felt addicted for the antidepressants if I understand the terminology correctly, I feel that I am dependent on them because I can't function in my work without taking them and so I guess if I'm understanding correctly yeah, I am dependent on them</w:t>
      </w:r>
      <w:r w:rsidDel="00000000" w:rsidR="00000000" w:rsidRPr="00000000">
        <w:rPr>
          <w:sz w:val="22"/>
          <w:szCs w:val="22"/>
          <w:rtl w:val="0"/>
        </w:rPr>
        <w:t xml:space="preserve">.”</w:t>
      </w:r>
    </w:p>
    <w:p w:rsidR="00000000" w:rsidDel="00000000" w:rsidP="00000000" w:rsidRDefault="00000000" w:rsidRPr="00000000" w14:paraId="000008A6">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8A7">
      <w:pPr>
        <w:spacing w:line="480" w:lineRule="auto"/>
        <w:jc w:val="right"/>
        <w:rPr>
          <w:sz w:val="22"/>
          <w:szCs w:val="22"/>
        </w:rPr>
      </w:pPr>
      <w:r w:rsidDel="00000000" w:rsidR="00000000" w:rsidRPr="00000000">
        <w:rPr>
          <w:rtl w:val="0"/>
        </w:rPr>
      </w:r>
    </w:p>
    <w:p w:rsidR="00000000" w:rsidDel="00000000" w:rsidP="00000000" w:rsidRDefault="00000000" w:rsidRPr="00000000" w14:paraId="000008A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get the withdrawal after a couple of days say if for three days, I’ve not really done much so my back hasn’t hurt much I may have only taken one tablet in three days because that’s all that’s needed, I never wake up like where is it!</w:t>
      </w:r>
      <w:r w:rsidDel="00000000" w:rsidR="00000000" w:rsidRPr="00000000">
        <w:rPr>
          <w:sz w:val="22"/>
          <w:szCs w:val="22"/>
          <w:rtl w:val="0"/>
        </w:rPr>
        <w:t xml:space="preserve">”</w:t>
      </w:r>
    </w:p>
    <w:p w:rsidR="00000000" w:rsidDel="00000000" w:rsidP="00000000" w:rsidRDefault="00000000" w:rsidRPr="00000000" w14:paraId="000008A9">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8AA">
      <w:pPr>
        <w:spacing w:line="480" w:lineRule="auto"/>
        <w:jc w:val="both"/>
        <w:rPr>
          <w:sz w:val="22"/>
          <w:szCs w:val="22"/>
        </w:rPr>
      </w:pPr>
      <w:r w:rsidDel="00000000" w:rsidR="00000000" w:rsidRPr="00000000">
        <w:rPr>
          <w:rtl w:val="0"/>
        </w:rPr>
      </w:r>
    </w:p>
    <w:p w:rsidR="00000000" w:rsidDel="00000000" w:rsidP="00000000" w:rsidRDefault="00000000" w:rsidRPr="00000000" w14:paraId="000008AB">
      <w:pPr>
        <w:spacing w:line="480" w:lineRule="auto"/>
        <w:jc w:val="both"/>
        <w:rPr>
          <w:sz w:val="22"/>
          <w:szCs w:val="22"/>
        </w:rPr>
      </w:pPr>
      <w:r w:rsidDel="00000000" w:rsidR="00000000" w:rsidRPr="00000000">
        <w:rPr>
          <w:sz w:val="22"/>
          <w:szCs w:val="22"/>
          <w:rtl w:val="0"/>
        </w:rPr>
        <w:t xml:space="preserve">As the medicines discussed in this research are prescription only, accepting one is dependent on their medicines was described as difficult. As explored in the previous chapter, identifying as dependent on a substance, regardless of its legality, can be difficult to accept due to the stigma associated with drug dependency:</w:t>
      </w:r>
    </w:p>
    <w:p w:rsidR="00000000" w:rsidDel="00000000" w:rsidP="00000000" w:rsidRDefault="00000000" w:rsidRPr="00000000" w14:paraId="000008AC">
      <w:pPr>
        <w:spacing w:line="480" w:lineRule="auto"/>
        <w:jc w:val="both"/>
        <w:rPr>
          <w:sz w:val="22"/>
          <w:szCs w:val="22"/>
        </w:rPr>
      </w:pPr>
      <w:r w:rsidDel="00000000" w:rsidR="00000000" w:rsidRPr="00000000">
        <w:rPr>
          <w:rtl w:val="0"/>
        </w:rPr>
      </w:r>
    </w:p>
    <w:p w:rsidR="00000000" w:rsidDel="00000000" w:rsidP="00000000" w:rsidRDefault="00000000" w:rsidRPr="00000000" w14:paraId="000008A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was no different from someone that would steal from their family it was it was quite embarrassing if anyone was to see me looking for tablets I would have been mortified… I couldn’t accept that it was an addiction because it was a prescribed medication id been given it by a doctor therefore, I can’t be addicted to it, it can’t be a bad addiction it can’t be something I can’t take because the doctor gave it to me</w:t>
      </w:r>
      <w:r w:rsidDel="00000000" w:rsidR="00000000" w:rsidRPr="00000000">
        <w:rPr>
          <w:sz w:val="22"/>
          <w:szCs w:val="22"/>
          <w:rtl w:val="0"/>
        </w:rPr>
        <w:t xml:space="preserve">.”</w:t>
      </w:r>
    </w:p>
    <w:p w:rsidR="00000000" w:rsidDel="00000000" w:rsidP="00000000" w:rsidRDefault="00000000" w:rsidRPr="00000000" w14:paraId="000008AE">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8AF">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8B0">
      <w:pPr>
        <w:spacing w:line="480" w:lineRule="auto"/>
        <w:jc w:val="both"/>
        <w:rPr>
          <w:sz w:val="22"/>
          <w:szCs w:val="22"/>
        </w:rPr>
      </w:pPr>
      <w:r w:rsidDel="00000000" w:rsidR="00000000" w:rsidRPr="00000000">
        <w:rPr>
          <w:sz w:val="22"/>
          <w:szCs w:val="22"/>
          <w:rtl w:val="0"/>
        </w:rPr>
        <w:t xml:space="preserve">Identifying as dependent on, or experiencing side effects associated with, prescribed medicines has been found to motivate some to consider tapering. The emergence of withdrawal symptoms, however, have prompted them to either remain on their medicines or reinstate their dose:</w:t>
      </w:r>
    </w:p>
    <w:p w:rsidR="00000000" w:rsidDel="00000000" w:rsidP="00000000" w:rsidRDefault="00000000" w:rsidRPr="00000000" w14:paraId="000008B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was taking the time 150mg and she wanted to go down to 0 [mg], so I remember the first change she wanted to just change she wanted just to reduce it by 32.5mg and that's when the problems started. I was experiencing probably the worst withdrawal reactions I could ever imagine for two weeks, and it was time when we decided to go back to 150mg</w:t>
      </w:r>
      <w:r w:rsidDel="00000000" w:rsidR="00000000" w:rsidRPr="00000000">
        <w:rPr>
          <w:sz w:val="22"/>
          <w:szCs w:val="22"/>
          <w:rtl w:val="0"/>
        </w:rPr>
        <w:t xml:space="preserve">.”</w:t>
      </w:r>
    </w:p>
    <w:p w:rsidR="00000000" w:rsidDel="00000000" w:rsidP="00000000" w:rsidRDefault="00000000" w:rsidRPr="00000000" w14:paraId="000008B2">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B3">
      <w:pPr>
        <w:spacing w:line="480" w:lineRule="auto"/>
        <w:jc w:val="right"/>
        <w:rPr>
          <w:sz w:val="22"/>
          <w:szCs w:val="22"/>
        </w:rPr>
      </w:pPr>
      <w:r w:rsidDel="00000000" w:rsidR="00000000" w:rsidRPr="00000000">
        <w:rPr>
          <w:rtl w:val="0"/>
        </w:rPr>
      </w:r>
    </w:p>
    <w:p w:rsidR="00000000" w:rsidDel="00000000" w:rsidP="00000000" w:rsidRDefault="00000000" w:rsidRPr="00000000" w14:paraId="000008B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always struggle with that but maybe it's kind of side effect or not but the depression yeah which is why my doctor in UK increase my duloxetine dosage…  I just really want to stop this process, but I don't know how</w:t>
      </w:r>
      <w:r w:rsidDel="00000000" w:rsidR="00000000" w:rsidRPr="00000000">
        <w:rPr>
          <w:sz w:val="22"/>
          <w:szCs w:val="22"/>
          <w:rtl w:val="0"/>
        </w:rPr>
        <w:t xml:space="preserve">.”</w:t>
      </w:r>
    </w:p>
    <w:p w:rsidR="00000000" w:rsidDel="00000000" w:rsidP="00000000" w:rsidRDefault="00000000" w:rsidRPr="00000000" w14:paraId="000008B5">
      <w:pPr>
        <w:spacing w:line="480" w:lineRule="auto"/>
        <w:jc w:val="right"/>
        <w:rPr>
          <w:sz w:val="22"/>
          <w:szCs w:val="22"/>
        </w:rPr>
      </w:pPr>
      <w:r w:rsidDel="00000000" w:rsidR="00000000" w:rsidRPr="00000000">
        <w:rPr>
          <w:sz w:val="22"/>
          <w:szCs w:val="22"/>
          <w:rtl w:val="0"/>
        </w:rPr>
        <w:t xml:space="preserve">[Kirsty: </w:t>
      </w:r>
      <w:r w:rsidDel="00000000" w:rsidR="00000000" w:rsidRPr="00000000">
        <w:rPr>
          <w:i w:val="1"/>
          <w:sz w:val="22"/>
          <w:szCs w:val="22"/>
          <w:rtl w:val="0"/>
        </w:rPr>
        <w:t xml:space="preserve">Duloxetine, Clonazepam, Pregabalin</w:t>
      </w:r>
      <w:r w:rsidDel="00000000" w:rsidR="00000000" w:rsidRPr="00000000">
        <w:rPr>
          <w:sz w:val="22"/>
          <w:szCs w:val="22"/>
          <w:rtl w:val="0"/>
        </w:rPr>
        <w:t xml:space="preserve">]</w:t>
      </w:r>
    </w:p>
    <w:p w:rsidR="00000000" w:rsidDel="00000000" w:rsidP="00000000" w:rsidRDefault="00000000" w:rsidRPr="00000000" w14:paraId="000008B6">
      <w:pPr>
        <w:spacing w:line="480" w:lineRule="auto"/>
        <w:jc w:val="both"/>
        <w:rPr>
          <w:sz w:val="22"/>
          <w:szCs w:val="22"/>
        </w:rPr>
      </w:pPr>
      <w:r w:rsidDel="00000000" w:rsidR="00000000" w:rsidRPr="00000000">
        <w:rPr>
          <w:rtl w:val="0"/>
        </w:rPr>
      </w:r>
    </w:p>
    <w:p w:rsidR="00000000" w:rsidDel="00000000" w:rsidP="00000000" w:rsidRDefault="00000000" w:rsidRPr="00000000" w14:paraId="000008B7">
      <w:pPr>
        <w:spacing w:line="480" w:lineRule="auto"/>
        <w:jc w:val="both"/>
        <w:rPr>
          <w:sz w:val="22"/>
          <w:szCs w:val="22"/>
        </w:rPr>
      </w:pPr>
      <w:r w:rsidDel="00000000" w:rsidR="00000000" w:rsidRPr="00000000">
        <w:rPr>
          <w:sz w:val="22"/>
          <w:szCs w:val="22"/>
          <w:rtl w:val="0"/>
        </w:rPr>
        <w:t xml:space="preserve">Furthermore, even if the individual has tapered their dose, but have not experienced any withdrawal symptoms, there may be concerns the participants’ health may deteriorate. The initial condition in which the medication is prescribed to treat may re-emerge or worsen, which has been found to cause anxiety in those who have reduced their medicines historically. This is evident again in </w:t>
      </w:r>
      <w:r w:rsidDel="00000000" w:rsidR="00000000" w:rsidRPr="00000000">
        <w:rPr>
          <w:i w:val="1"/>
          <w:sz w:val="22"/>
          <w:szCs w:val="22"/>
          <w:rtl w:val="0"/>
        </w:rPr>
        <w:t xml:space="preserve">Joanna’s</w:t>
      </w:r>
      <w:r w:rsidDel="00000000" w:rsidR="00000000" w:rsidRPr="00000000">
        <w:rPr>
          <w:sz w:val="22"/>
          <w:szCs w:val="22"/>
          <w:rtl w:val="0"/>
        </w:rPr>
        <w:t xml:space="preserve"> interview, where the symptoms of depression returned, resulting in a reinstatement of her medication. As </w:t>
      </w:r>
      <w:r w:rsidDel="00000000" w:rsidR="00000000" w:rsidRPr="00000000">
        <w:rPr>
          <w:i w:val="1"/>
          <w:sz w:val="22"/>
          <w:szCs w:val="22"/>
          <w:rtl w:val="0"/>
        </w:rPr>
        <w:t xml:space="preserve">Joanna</w:t>
      </w:r>
      <w:r w:rsidDel="00000000" w:rsidR="00000000" w:rsidRPr="00000000">
        <w:rPr>
          <w:sz w:val="22"/>
          <w:szCs w:val="22"/>
          <w:rtl w:val="0"/>
        </w:rPr>
        <w:t xml:space="preserve"> intends to reduce her medicines in the near future, her past experiences of antidepressant withdrawal are causing her some concern:</w:t>
      </w:r>
    </w:p>
    <w:p w:rsidR="00000000" w:rsidDel="00000000" w:rsidP="00000000" w:rsidRDefault="00000000" w:rsidRPr="00000000" w14:paraId="000008B8">
      <w:pPr>
        <w:spacing w:line="480" w:lineRule="auto"/>
        <w:jc w:val="both"/>
        <w:rPr>
          <w:sz w:val="22"/>
          <w:szCs w:val="22"/>
        </w:rPr>
      </w:pPr>
      <w:r w:rsidDel="00000000" w:rsidR="00000000" w:rsidRPr="00000000">
        <w:rPr>
          <w:rtl w:val="0"/>
        </w:rPr>
      </w:r>
    </w:p>
    <w:p w:rsidR="00000000" w:rsidDel="00000000" w:rsidP="00000000" w:rsidRDefault="00000000" w:rsidRPr="00000000" w14:paraId="000008B9">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It’s so difficult isn’t it cos when you’re on it you feel alright in yourself and it’s the side effects that are pissing you off so you think you’re ok but if you try to come off it you get depressed again I do it’s the lesser of two evils but you know and in that way I do feel dependent on it psychologically I don’t in its hard to say I do but I don’t but I do but I don’t want to be</w:t>
      </w:r>
      <w:r w:rsidDel="00000000" w:rsidR="00000000" w:rsidRPr="00000000">
        <w:rPr>
          <w:sz w:val="22"/>
          <w:szCs w:val="22"/>
          <w:rtl w:val="0"/>
        </w:rPr>
        <w:t xml:space="preserve">.”</w:t>
      </w:r>
    </w:p>
    <w:p w:rsidR="00000000" w:rsidDel="00000000" w:rsidP="00000000" w:rsidRDefault="00000000" w:rsidRPr="00000000" w14:paraId="000008BA">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8BB">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started having problems with the depression again, so we decided to go back to 150mg and now I'm dropping to 75mg and it's not causing me that many problems, but I'm gonna be withdrawing [from] the medication completely so I don't know how it's going to be</w:t>
      </w:r>
      <w:r w:rsidDel="00000000" w:rsidR="00000000" w:rsidRPr="00000000">
        <w:rPr>
          <w:sz w:val="22"/>
          <w:szCs w:val="22"/>
          <w:rtl w:val="0"/>
        </w:rPr>
        <w:t xml:space="preserve">.”</w:t>
      </w:r>
    </w:p>
    <w:p w:rsidR="00000000" w:rsidDel="00000000" w:rsidP="00000000" w:rsidRDefault="00000000" w:rsidRPr="00000000" w14:paraId="000008BC">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BD">
      <w:pPr>
        <w:spacing w:line="480" w:lineRule="auto"/>
        <w:jc w:val="right"/>
        <w:rPr>
          <w:sz w:val="22"/>
          <w:szCs w:val="22"/>
        </w:rPr>
      </w:pPr>
      <w:r w:rsidDel="00000000" w:rsidR="00000000" w:rsidRPr="00000000">
        <w:rPr>
          <w:rtl w:val="0"/>
        </w:rPr>
      </w:r>
    </w:p>
    <w:p w:rsidR="00000000" w:rsidDel="00000000" w:rsidP="00000000" w:rsidRDefault="00000000" w:rsidRPr="00000000" w14:paraId="000008BE">
      <w:pPr>
        <w:spacing w:line="480" w:lineRule="auto"/>
        <w:jc w:val="both"/>
        <w:rPr>
          <w:sz w:val="22"/>
          <w:szCs w:val="22"/>
        </w:rPr>
      </w:pPr>
      <w:r w:rsidDel="00000000" w:rsidR="00000000" w:rsidRPr="00000000">
        <w:rPr>
          <w:sz w:val="22"/>
          <w:szCs w:val="22"/>
          <w:rtl w:val="0"/>
        </w:rPr>
        <w:t xml:space="preserve">Anxiety and concern regarding tapering is typically reported by those who have historically attempted to taper. This is particularly concerning if they experienced withdrawal symptoms of varying severity, or their health deteriorated. This is also experienced by those who are comfortable using medicines long term, but due to clinical pressures, are being advised to reduce their dose. </w:t>
      </w:r>
    </w:p>
    <w:p w:rsidR="00000000" w:rsidDel="00000000" w:rsidP="00000000" w:rsidRDefault="00000000" w:rsidRPr="00000000" w14:paraId="000008BF">
      <w:pPr>
        <w:spacing w:line="480" w:lineRule="auto"/>
        <w:jc w:val="both"/>
        <w:rPr>
          <w:sz w:val="22"/>
          <w:szCs w:val="22"/>
        </w:rPr>
      </w:pPr>
      <w:r w:rsidDel="00000000" w:rsidR="00000000" w:rsidRPr="00000000">
        <w:rPr>
          <w:rtl w:val="0"/>
        </w:rPr>
      </w:r>
    </w:p>
    <w:p w:rsidR="00000000" w:rsidDel="00000000" w:rsidP="00000000" w:rsidRDefault="00000000" w:rsidRPr="00000000" w14:paraId="000008C0">
      <w:pPr>
        <w:spacing w:line="480" w:lineRule="auto"/>
        <w:jc w:val="both"/>
        <w:rPr>
          <w:sz w:val="22"/>
          <w:szCs w:val="22"/>
        </w:rPr>
      </w:pPr>
      <w:r w:rsidDel="00000000" w:rsidR="00000000" w:rsidRPr="00000000">
        <w:rPr>
          <w:sz w:val="22"/>
          <w:szCs w:val="22"/>
          <w:rtl w:val="0"/>
        </w:rPr>
        <w:t xml:space="preserve">In summary, a dependency was only explicitly reported by five of the thirteen participants, and a distinction was made, in part, between the physical and psychological aspects of dependency. A dependency was identified through the presence of withdrawal symptoms, or decompensation when not using their medicines. The acceptance of a dependency was often difficult to accept. The notion of feeling “</w:t>
      </w:r>
      <w:r w:rsidDel="00000000" w:rsidR="00000000" w:rsidRPr="00000000">
        <w:rPr>
          <w:i w:val="1"/>
          <w:sz w:val="22"/>
          <w:szCs w:val="22"/>
          <w:rtl w:val="0"/>
        </w:rPr>
        <w:t xml:space="preserve">trapped</w:t>
      </w:r>
      <w:r w:rsidDel="00000000" w:rsidR="00000000" w:rsidRPr="00000000">
        <w:rPr>
          <w:sz w:val="22"/>
          <w:szCs w:val="22"/>
          <w:rtl w:val="0"/>
        </w:rPr>
        <w:t xml:space="preserve">” is also reported by those who have experienced withdrawal symptoms when attempting to reduce their medication previously. The emergence of these withdrawal symptoms prompted some to remain on, or reinstate, their current dose. In the event the participant has reduced their dose significantly, their health may deteriorate, resulting in a reinstatement of their medication. This can cause anxiety and concerns for those who have experienced withdrawal symptoms in the past and are planning to reduce their medication in the near future. The next subtheme will discuss how the diagnosis, or lack thereof, can contribute to the perceived “</w:t>
      </w:r>
      <w:r w:rsidDel="00000000" w:rsidR="00000000" w:rsidRPr="00000000">
        <w:rPr>
          <w:i w:val="1"/>
          <w:sz w:val="22"/>
          <w:szCs w:val="22"/>
          <w:rtl w:val="0"/>
        </w:rPr>
        <w:t xml:space="preserve">Medication Trap</w:t>
      </w:r>
      <w:r w:rsidDel="00000000" w:rsidR="00000000" w:rsidRPr="00000000">
        <w:rPr>
          <w:sz w:val="22"/>
          <w:szCs w:val="22"/>
          <w:rtl w:val="0"/>
        </w:rPr>
        <w:t xml:space="preserve">”.</w:t>
      </w:r>
    </w:p>
    <w:p w:rsidR="00000000" w:rsidDel="00000000" w:rsidP="00000000" w:rsidRDefault="00000000" w:rsidRPr="00000000" w14:paraId="000008C1">
      <w:pPr>
        <w:pStyle w:val="Heading2"/>
        <w:numPr>
          <w:ilvl w:val="1"/>
          <w:numId w:val="14"/>
        </w:numPr>
        <w:spacing w:line="480" w:lineRule="auto"/>
        <w:ind w:left="720" w:hanging="720"/>
        <w:rPr/>
      </w:pPr>
      <w:bookmarkStart w:colFirst="0" w:colLast="0" w:name="_heading=h.4du1wux" w:id="98"/>
      <w:bookmarkEnd w:id="98"/>
      <w:r w:rsidDel="00000000" w:rsidR="00000000" w:rsidRPr="00000000">
        <w:rPr>
          <w:rtl w:val="0"/>
        </w:rPr>
        <w:t xml:space="preserve">Diagnosis</w:t>
      </w:r>
    </w:p>
    <w:p w:rsidR="00000000" w:rsidDel="00000000" w:rsidP="00000000" w:rsidRDefault="00000000" w:rsidRPr="00000000" w14:paraId="000008C2">
      <w:pPr>
        <w:spacing w:line="480" w:lineRule="auto"/>
        <w:jc w:val="both"/>
        <w:rPr>
          <w:sz w:val="22"/>
          <w:szCs w:val="22"/>
        </w:rPr>
      </w:pPr>
      <w:r w:rsidDel="00000000" w:rsidR="00000000" w:rsidRPr="00000000">
        <w:rPr>
          <w:sz w:val="22"/>
          <w:szCs w:val="22"/>
          <w:rtl w:val="0"/>
        </w:rPr>
        <w:t xml:space="preserve">When discussing the “</w:t>
      </w:r>
      <w:r w:rsidDel="00000000" w:rsidR="00000000" w:rsidRPr="00000000">
        <w:rPr>
          <w:i w:val="1"/>
          <w:sz w:val="22"/>
          <w:szCs w:val="22"/>
          <w:rtl w:val="0"/>
        </w:rPr>
        <w:t xml:space="preserve">Medication Trap</w:t>
      </w:r>
      <w:r w:rsidDel="00000000" w:rsidR="00000000" w:rsidRPr="00000000">
        <w:rPr>
          <w:sz w:val="22"/>
          <w:szCs w:val="22"/>
          <w:rtl w:val="0"/>
        </w:rPr>
        <w:t xml:space="preserve">”, the participants diagnosis (or lack thereof) has been identified as an important consideration. Participants have been diagnosed with a range of health conditions, varying in their severity and duration. Others have not yet received a formal diagnosis. A lack of diagnosis and treatment can lead patients to feel trapped in their medicine use, as they were having treatment for their symptoms and not the underlying cause. </w:t>
      </w:r>
    </w:p>
    <w:p w:rsidR="00000000" w:rsidDel="00000000" w:rsidP="00000000" w:rsidRDefault="00000000" w:rsidRPr="00000000" w14:paraId="000008C3">
      <w:pPr>
        <w:spacing w:line="480" w:lineRule="auto"/>
        <w:jc w:val="both"/>
        <w:rPr>
          <w:sz w:val="22"/>
          <w:szCs w:val="22"/>
        </w:rPr>
      </w:pPr>
      <w:r w:rsidDel="00000000" w:rsidR="00000000" w:rsidRPr="00000000">
        <w:rPr>
          <w:rtl w:val="0"/>
        </w:rPr>
      </w:r>
    </w:p>
    <w:p w:rsidR="00000000" w:rsidDel="00000000" w:rsidP="00000000" w:rsidRDefault="00000000" w:rsidRPr="00000000" w14:paraId="000008C4">
      <w:pPr>
        <w:spacing w:line="480" w:lineRule="auto"/>
        <w:jc w:val="both"/>
        <w:rPr>
          <w:sz w:val="22"/>
          <w:szCs w:val="22"/>
        </w:rPr>
      </w:pPr>
      <w:r w:rsidDel="00000000" w:rsidR="00000000" w:rsidRPr="00000000">
        <w:rPr>
          <w:sz w:val="22"/>
          <w:szCs w:val="22"/>
          <w:rtl w:val="0"/>
        </w:rPr>
        <w:t xml:space="preserve">Some participants who describe their diagnosis as a chronic illness, which can often be a complex condition to diagnose and treat. Although </w:t>
      </w:r>
      <w:r w:rsidDel="00000000" w:rsidR="00000000" w:rsidRPr="00000000">
        <w:rPr>
          <w:i w:val="1"/>
          <w:sz w:val="22"/>
          <w:szCs w:val="22"/>
          <w:rtl w:val="0"/>
        </w:rPr>
        <w:t xml:space="preserve">Imogen</w:t>
      </w:r>
      <w:r w:rsidDel="00000000" w:rsidR="00000000" w:rsidRPr="00000000">
        <w:rPr>
          <w:sz w:val="22"/>
          <w:szCs w:val="22"/>
          <w:rtl w:val="0"/>
        </w:rPr>
        <w:t xml:space="preserve"> has not yet received a formal diagnosis for her illness, she identifies with the diagnostic criteria defining chronic illness. This absence of a formal diagnosis, and therefore effective treatment, has meant several medicines have been used to manage her symptoms, and not addressing the cause. This lack, or perceived lack, or alternative solutions to a health complaint has also led to these feelings of being trapped: </w:t>
      </w:r>
    </w:p>
    <w:p w:rsidR="00000000" w:rsidDel="00000000" w:rsidP="00000000" w:rsidRDefault="00000000" w:rsidRPr="00000000" w14:paraId="000008C5">
      <w:pPr>
        <w:spacing w:line="480" w:lineRule="auto"/>
        <w:jc w:val="both"/>
        <w:rPr>
          <w:sz w:val="22"/>
          <w:szCs w:val="22"/>
        </w:rPr>
      </w:pPr>
      <w:r w:rsidDel="00000000" w:rsidR="00000000" w:rsidRPr="00000000">
        <w:rPr>
          <w:rtl w:val="0"/>
        </w:rPr>
      </w:r>
    </w:p>
    <w:p w:rsidR="00000000" w:rsidDel="00000000" w:rsidP="00000000" w:rsidRDefault="00000000" w:rsidRPr="00000000" w14:paraId="000008C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In terms of how I’m viewed by medical professionals that's where it starts to get a bit dicey because I can't help that this has happened I can't I don't have control over the fact that this is essentially I’ve been told is my only option manage the pain… It’s a difficult one because I’ve been on so many tablets so for the past two years now to try and manage my pain you do get to the point with waiting lists and not knowing what’s wrong or not having any diagnosis to why you have chronic pain, you kind of just feel like you’ve already admitted defeat before you can try anything else because you don't really feel like you have any other option, and it just feels like well this is [inaudible] so I might as well just keep going with it if that makes sense</w:t>
      </w:r>
      <w:r w:rsidDel="00000000" w:rsidR="00000000" w:rsidRPr="00000000">
        <w:rPr>
          <w:sz w:val="22"/>
          <w:szCs w:val="22"/>
          <w:rtl w:val="0"/>
        </w:rPr>
        <w:t xml:space="preserve">.”</w:t>
      </w:r>
    </w:p>
    <w:p w:rsidR="00000000" w:rsidDel="00000000" w:rsidP="00000000" w:rsidRDefault="00000000" w:rsidRPr="00000000" w14:paraId="000008C7">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C8">
      <w:pPr>
        <w:spacing w:line="480" w:lineRule="auto"/>
        <w:jc w:val="right"/>
        <w:rPr>
          <w:sz w:val="22"/>
          <w:szCs w:val="22"/>
        </w:rPr>
      </w:pPr>
      <w:r w:rsidDel="00000000" w:rsidR="00000000" w:rsidRPr="00000000">
        <w:rPr>
          <w:rtl w:val="0"/>
        </w:rPr>
      </w:r>
    </w:p>
    <w:p w:rsidR="00000000" w:rsidDel="00000000" w:rsidP="00000000" w:rsidRDefault="00000000" w:rsidRPr="00000000" w14:paraId="000008C9">
      <w:pPr>
        <w:spacing w:line="480" w:lineRule="auto"/>
        <w:jc w:val="both"/>
        <w:rPr>
          <w:sz w:val="22"/>
          <w:szCs w:val="22"/>
        </w:rPr>
      </w:pPr>
      <w:r w:rsidDel="00000000" w:rsidR="00000000" w:rsidRPr="00000000">
        <w:rPr>
          <w:sz w:val="22"/>
          <w:szCs w:val="22"/>
          <w:rtl w:val="0"/>
        </w:rPr>
        <w:t xml:space="preserve">This extends to complex health conditions, such as long-term mental health diagnoses, or complex diagnoses where there is no identified ‘</w:t>
      </w:r>
      <w:r w:rsidDel="00000000" w:rsidR="00000000" w:rsidRPr="00000000">
        <w:rPr>
          <w:i w:val="1"/>
          <w:sz w:val="22"/>
          <w:szCs w:val="22"/>
          <w:rtl w:val="0"/>
        </w:rPr>
        <w:t xml:space="preserve">cure’</w:t>
      </w:r>
      <w:r w:rsidDel="00000000" w:rsidR="00000000" w:rsidRPr="00000000">
        <w:rPr>
          <w:sz w:val="22"/>
          <w:szCs w:val="22"/>
          <w:rtl w:val="0"/>
        </w:rPr>
        <w:t xml:space="preserve">. </w:t>
      </w:r>
    </w:p>
    <w:p w:rsidR="00000000" w:rsidDel="00000000" w:rsidP="00000000" w:rsidRDefault="00000000" w:rsidRPr="00000000" w14:paraId="000008CA">
      <w:pPr>
        <w:spacing w:line="480" w:lineRule="auto"/>
        <w:jc w:val="both"/>
        <w:rPr>
          <w:sz w:val="22"/>
          <w:szCs w:val="22"/>
        </w:rPr>
      </w:pPr>
      <w:r w:rsidDel="00000000" w:rsidR="00000000" w:rsidRPr="00000000">
        <w:rPr>
          <w:rtl w:val="0"/>
        </w:rPr>
      </w:r>
    </w:p>
    <w:p w:rsidR="00000000" w:rsidDel="00000000" w:rsidP="00000000" w:rsidRDefault="00000000" w:rsidRPr="00000000" w14:paraId="000008CB">
      <w:pPr>
        <w:spacing w:line="480" w:lineRule="auto"/>
        <w:jc w:val="both"/>
        <w:rPr>
          <w:sz w:val="22"/>
          <w:szCs w:val="22"/>
        </w:rPr>
      </w:pPr>
      <w:r w:rsidDel="00000000" w:rsidR="00000000" w:rsidRPr="00000000">
        <w:rPr>
          <w:sz w:val="22"/>
          <w:szCs w:val="22"/>
          <w:rtl w:val="0"/>
        </w:rPr>
        <w:t xml:space="preserve">There were several health conditions identified in the data, both physical and psychological disorders. Some participants have not yet received a formal diagnosis. Since this patient group has no formal diagnosis, there may be little effective treatment to address their condition other than management of symptoms. This lack, or perceived lack, of alternatives can also contribute to the perceived Medication Trap. The complexity of the presenting health condition, however, can also be a contributor to the Medication Trap. Some health conditions identified have no formal treatment to address the cause of the illness, such as Emotionally Unstable Personality Disorder. There is a perceived lack of support for this patient group, which will be discussed in the next subtheme.</w:t>
      </w:r>
    </w:p>
    <w:p w:rsidR="00000000" w:rsidDel="00000000" w:rsidP="00000000" w:rsidRDefault="00000000" w:rsidRPr="00000000" w14:paraId="000008CC">
      <w:pPr>
        <w:spacing w:line="480" w:lineRule="auto"/>
        <w:jc w:val="both"/>
        <w:rPr>
          <w:sz w:val="22"/>
          <w:szCs w:val="22"/>
        </w:rPr>
      </w:pPr>
      <w:r w:rsidDel="00000000" w:rsidR="00000000" w:rsidRPr="00000000">
        <w:rPr>
          <w:rtl w:val="0"/>
        </w:rPr>
      </w:r>
    </w:p>
    <w:p w:rsidR="00000000" w:rsidDel="00000000" w:rsidP="00000000" w:rsidRDefault="00000000" w:rsidRPr="00000000" w14:paraId="000008CD">
      <w:pPr>
        <w:pStyle w:val="Heading3"/>
        <w:spacing w:line="480" w:lineRule="auto"/>
        <w:rPr/>
      </w:pPr>
      <w:bookmarkStart w:colFirst="0" w:colLast="0" w:name="_heading=h.2szc72q" w:id="99"/>
      <w:bookmarkEnd w:id="99"/>
      <w:r w:rsidDel="00000000" w:rsidR="00000000" w:rsidRPr="00000000">
        <w:rPr>
          <w:rtl w:val="0"/>
        </w:rPr>
        <w:t xml:space="preserve">Perceived Accessibility and Lack of Alternative Treatments</w:t>
      </w:r>
    </w:p>
    <w:p w:rsidR="00000000" w:rsidDel="00000000" w:rsidP="00000000" w:rsidRDefault="00000000" w:rsidRPr="00000000" w14:paraId="000008CE">
      <w:pPr>
        <w:spacing w:line="480" w:lineRule="auto"/>
        <w:jc w:val="both"/>
        <w:rPr>
          <w:sz w:val="22"/>
          <w:szCs w:val="22"/>
        </w:rPr>
      </w:pPr>
      <w:r w:rsidDel="00000000" w:rsidR="00000000" w:rsidRPr="00000000">
        <w:rPr>
          <w:sz w:val="22"/>
          <w:szCs w:val="22"/>
          <w:rtl w:val="0"/>
        </w:rPr>
        <w:t xml:space="preserve">This subtheme will explore barriers to alternative treatments, such as psychosocial interventions. This includes the perceived inefficacy or inaccessibility of alternative treatments, financial implications, and waiting times. It will also assess the perceived accessibility and lack of alternative treatments for those who have complex health conditions. Throughout this subtheme, participant recommendations for the improvement of care will be presented. </w:t>
      </w:r>
    </w:p>
    <w:p w:rsidR="00000000" w:rsidDel="00000000" w:rsidP="00000000" w:rsidRDefault="00000000" w:rsidRPr="00000000" w14:paraId="000008CF">
      <w:pPr>
        <w:spacing w:line="480" w:lineRule="auto"/>
        <w:jc w:val="both"/>
        <w:rPr>
          <w:sz w:val="22"/>
          <w:szCs w:val="22"/>
        </w:rPr>
      </w:pPr>
      <w:r w:rsidDel="00000000" w:rsidR="00000000" w:rsidRPr="00000000">
        <w:rPr>
          <w:rtl w:val="0"/>
        </w:rPr>
      </w:r>
    </w:p>
    <w:p w:rsidR="00000000" w:rsidDel="00000000" w:rsidP="00000000" w:rsidRDefault="00000000" w:rsidRPr="00000000" w14:paraId="000008D0">
      <w:pPr>
        <w:spacing w:line="480" w:lineRule="auto"/>
        <w:jc w:val="both"/>
        <w:rPr>
          <w:sz w:val="22"/>
          <w:szCs w:val="22"/>
          <w:highlight w:val="magenta"/>
        </w:rPr>
      </w:pPr>
      <w:r w:rsidDel="00000000" w:rsidR="00000000" w:rsidRPr="00000000">
        <w:rPr>
          <w:sz w:val="22"/>
          <w:szCs w:val="22"/>
          <w:rtl w:val="0"/>
        </w:rPr>
        <w:t xml:space="preserve">Clinical guidelines suggest some medicines, such as antidepressants, should be offered alongside psychosocial interventions, e.g. talking therapies. This was discussed in </w:t>
      </w:r>
      <w:hyperlink w:anchor="_heading=h.17dp8vu">
        <w:r w:rsidDel="00000000" w:rsidR="00000000" w:rsidRPr="00000000">
          <w:rPr>
            <w:color w:val="467886"/>
            <w:sz w:val="22"/>
            <w:szCs w:val="22"/>
            <w:u w:val="single"/>
            <w:rtl w:val="0"/>
          </w:rPr>
          <w:t xml:space="preserve">Chapter One</w:t>
        </w:r>
      </w:hyperlink>
      <w:r w:rsidDel="00000000" w:rsidR="00000000" w:rsidRPr="00000000">
        <w:rPr>
          <w:sz w:val="22"/>
          <w:szCs w:val="22"/>
          <w:rtl w:val="0"/>
        </w:rPr>
        <w:t xml:space="preserve"> (p. 16). This was evident in some accounts, however, was not consistent across the data. Alternative interventions were offered and accessed both through the NHS and privately, either currently or in the past. A range of psychological interventions were described and included a range of intensities. These include group therapy, hypnosis, psychosocial interventions and specific grief counselling.</w:t>
      </w:r>
      <w:r w:rsidDel="00000000" w:rsidR="00000000" w:rsidRPr="00000000">
        <w:rPr>
          <w:rtl w:val="0"/>
        </w:rPr>
      </w:r>
    </w:p>
    <w:p w:rsidR="00000000" w:rsidDel="00000000" w:rsidP="00000000" w:rsidRDefault="00000000" w:rsidRPr="00000000" w14:paraId="000008D1">
      <w:pPr>
        <w:spacing w:line="480" w:lineRule="auto"/>
        <w:jc w:val="both"/>
        <w:rPr>
          <w:sz w:val="22"/>
          <w:szCs w:val="22"/>
        </w:rPr>
      </w:pPr>
      <w:r w:rsidDel="00000000" w:rsidR="00000000" w:rsidRPr="00000000">
        <w:rPr>
          <w:rtl w:val="0"/>
        </w:rPr>
      </w:r>
    </w:p>
    <w:p w:rsidR="00000000" w:rsidDel="00000000" w:rsidP="00000000" w:rsidRDefault="00000000" w:rsidRPr="00000000" w14:paraId="000008D2">
      <w:pPr>
        <w:spacing w:line="480" w:lineRule="auto"/>
        <w:jc w:val="both"/>
        <w:rPr>
          <w:sz w:val="22"/>
          <w:szCs w:val="22"/>
        </w:rPr>
      </w:pPr>
      <w:r w:rsidDel="00000000" w:rsidR="00000000" w:rsidRPr="00000000">
        <w:rPr>
          <w:sz w:val="22"/>
          <w:szCs w:val="22"/>
          <w:rtl w:val="0"/>
        </w:rPr>
        <w:t xml:space="preserve">The perception of alternative treatments varied, ranging from pessimism of the provision to ambivalence, to reported benefits. Whether this was accepted or not depended on the individual circumstances and beliefs about their health, perceived appropriateness, and/or preferences. Those who felt alternatives were beneficial did, however, have some criticisms: </w:t>
      </w:r>
    </w:p>
    <w:p w:rsidR="00000000" w:rsidDel="00000000" w:rsidP="00000000" w:rsidRDefault="00000000" w:rsidRPr="00000000" w14:paraId="000008D3">
      <w:pPr>
        <w:spacing w:line="480" w:lineRule="auto"/>
        <w:jc w:val="both"/>
        <w:rPr>
          <w:sz w:val="22"/>
          <w:szCs w:val="22"/>
        </w:rPr>
      </w:pPr>
      <w:r w:rsidDel="00000000" w:rsidR="00000000" w:rsidRPr="00000000">
        <w:rPr>
          <w:rtl w:val="0"/>
        </w:rPr>
      </w:r>
    </w:p>
    <w:p w:rsidR="00000000" w:rsidDel="00000000" w:rsidP="00000000" w:rsidRDefault="00000000" w:rsidRPr="00000000" w14:paraId="000008D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did they said oh we can offer you group therapy, and I found it really frustrating because I thought for how personal and the topic, I have it didn't feel appropriate to be sharing in groups saying it put me off</w:t>
      </w:r>
      <w:r w:rsidDel="00000000" w:rsidR="00000000" w:rsidRPr="00000000">
        <w:rPr>
          <w:sz w:val="22"/>
          <w:szCs w:val="22"/>
          <w:rtl w:val="0"/>
        </w:rPr>
        <w:t xml:space="preserve">.”</w:t>
      </w:r>
    </w:p>
    <w:p w:rsidR="00000000" w:rsidDel="00000000" w:rsidP="00000000" w:rsidRDefault="00000000" w:rsidRPr="00000000" w14:paraId="000008D5">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D6">
      <w:pPr>
        <w:spacing w:line="480" w:lineRule="auto"/>
        <w:jc w:val="right"/>
        <w:rPr>
          <w:sz w:val="22"/>
          <w:szCs w:val="22"/>
        </w:rPr>
      </w:pPr>
      <w:r w:rsidDel="00000000" w:rsidR="00000000" w:rsidRPr="00000000">
        <w:rPr>
          <w:rtl w:val="0"/>
        </w:rPr>
      </w:r>
    </w:p>
    <w:p w:rsidR="00000000" w:rsidDel="00000000" w:rsidP="00000000" w:rsidRDefault="00000000" w:rsidRPr="00000000" w14:paraId="000008D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 was fairly pleasant, but I wouldn't say it had a major effect because I kind of already knew a bit about that sort of stuff… What I needed really was that extra boost with the medication so that I could get into a space where I could practice the mindfulness for more than, 10 seconds without the obsessive-compulsive thoughts invading, and distracting me</w:t>
      </w:r>
      <w:r w:rsidDel="00000000" w:rsidR="00000000" w:rsidRPr="00000000">
        <w:rPr>
          <w:sz w:val="22"/>
          <w:szCs w:val="22"/>
          <w:rtl w:val="0"/>
        </w:rPr>
        <w:t xml:space="preserve">.”</w:t>
      </w:r>
    </w:p>
    <w:p w:rsidR="00000000" w:rsidDel="00000000" w:rsidP="00000000" w:rsidRDefault="00000000" w:rsidRPr="00000000" w14:paraId="000008D8">
      <w:pPr>
        <w:spacing w:line="480" w:lineRule="auto"/>
        <w:jc w:val="right"/>
        <w:rPr>
          <w:sz w:val="22"/>
          <w:szCs w:val="22"/>
        </w:rPr>
      </w:pPr>
      <w:r w:rsidDel="00000000" w:rsidR="00000000" w:rsidRPr="00000000">
        <w:rPr>
          <w:sz w:val="22"/>
          <w:szCs w:val="22"/>
          <w:rtl w:val="0"/>
        </w:rPr>
        <w:t xml:space="preserve">[William: </w:t>
      </w:r>
      <w:r w:rsidDel="00000000" w:rsidR="00000000" w:rsidRPr="00000000">
        <w:rPr>
          <w:i w:val="1"/>
          <w:sz w:val="22"/>
          <w:szCs w:val="22"/>
          <w:rtl w:val="0"/>
        </w:rPr>
        <w:t xml:space="preserve">Duloxetine, Mirtazapine, Sertraline</w:t>
      </w:r>
      <w:r w:rsidDel="00000000" w:rsidR="00000000" w:rsidRPr="00000000">
        <w:rPr>
          <w:sz w:val="22"/>
          <w:szCs w:val="22"/>
          <w:rtl w:val="0"/>
        </w:rPr>
        <w:t xml:space="preserve">]</w:t>
      </w:r>
    </w:p>
    <w:p w:rsidR="00000000" w:rsidDel="00000000" w:rsidP="00000000" w:rsidRDefault="00000000" w:rsidRPr="00000000" w14:paraId="000008D9">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8DA">
      <w:pPr>
        <w:spacing w:line="480" w:lineRule="auto"/>
        <w:jc w:val="both"/>
        <w:rPr>
          <w:sz w:val="22"/>
          <w:szCs w:val="22"/>
        </w:rPr>
      </w:pPr>
      <w:r w:rsidDel="00000000" w:rsidR="00000000" w:rsidRPr="00000000">
        <w:rPr>
          <w:sz w:val="22"/>
          <w:szCs w:val="22"/>
          <w:rtl w:val="0"/>
        </w:rPr>
        <w:t xml:space="preserve">However, accessing psychosocial support such as talking therapies have been found to be difficult. The main concern for participants is the extensive waiting times and lack of appointments available: </w:t>
      </w:r>
    </w:p>
    <w:p w:rsidR="00000000" w:rsidDel="00000000" w:rsidP="00000000" w:rsidRDefault="00000000" w:rsidRPr="00000000" w14:paraId="000008DB">
      <w:pPr>
        <w:spacing w:line="480" w:lineRule="auto"/>
        <w:jc w:val="both"/>
        <w:rPr>
          <w:sz w:val="22"/>
          <w:szCs w:val="22"/>
        </w:rPr>
      </w:pPr>
      <w:r w:rsidDel="00000000" w:rsidR="00000000" w:rsidRPr="00000000">
        <w:rPr>
          <w:rtl w:val="0"/>
        </w:rPr>
      </w:r>
    </w:p>
    <w:p w:rsidR="00000000" w:rsidDel="00000000" w:rsidP="00000000" w:rsidRDefault="00000000" w:rsidRPr="00000000" w14:paraId="000008D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know that I'm still on a waiting list for normal therapies, like talking therapies and stuff but kind of communication in how long it's going to take is, you're on the list, you'll get it kind of what you get it. Which seems to be, you're never gonna get it</w:t>
      </w:r>
      <w:r w:rsidDel="00000000" w:rsidR="00000000" w:rsidRPr="00000000">
        <w:rPr>
          <w:sz w:val="22"/>
          <w:szCs w:val="22"/>
          <w:rtl w:val="0"/>
        </w:rPr>
        <w:t xml:space="preserve">.”</w:t>
      </w:r>
    </w:p>
    <w:p w:rsidR="00000000" w:rsidDel="00000000" w:rsidP="00000000" w:rsidRDefault="00000000" w:rsidRPr="00000000" w14:paraId="000008DD">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8DE">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8DF">
      <w:pPr>
        <w:spacing w:line="480" w:lineRule="auto"/>
        <w:ind w:left="709" w:firstLine="0"/>
        <w:jc w:val="both"/>
        <w:rPr>
          <w:sz w:val="22"/>
          <w:szCs w:val="22"/>
        </w:rPr>
      </w:pPr>
      <w:r w:rsidDel="00000000" w:rsidR="00000000" w:rsidRPr="00000000">
        <w:rPr>
          <w:sz w:val="22"/>
          <w:szCs w:val="22"/>
          <w:rtl w:val="0"/>
        </w:rPr>
        <w:t xml:space="preserve">“I</w:t>
      </w:r>
      <w:r w:rsidDel="00000000" w:rsidR="00000000" w:rsidRPr="00000000">
        <w:rPr>
          <w:i w:val="1"/>
          <w:sz w:val="22"/>
          <w:szCs w:val="22"/>
          <w:rtl w:val="0"/>
        </w:rPr>
        <w:t xml:space="preserve"> was told to make an appointment with the doctor, and I rang the surgery, and they said we don't have any appointments for next two months so you can either ring every moment until you get one or ring back in a month’s time when the next month slots will open up</w:t>
      </w:r>
      <w:r w:rsidDel="00000000" w:rsidR="00000000" w:rsidRPr="00000000">
        <w:rPr>
          <w:sz w:val="22"/>
          <w:szCs w:val="22"/>
          <w:rtl w:val="0"/>
        </w:rPr>
        <w:t xml:space="preserve">.”</w:t>
      </w:r>
    </w:p>
    <w:p w:rsidR="00000000" w:rsidDel="00000000" w:rsidP="00000000" w:rsidRDefault="00000000" w:rsidRPr="00000000" w14:paraId="000008E0">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8E1">
      <w:pPr>
        <w:spacing w:line="480" w:lineRule="auto"/>
        <w:ind w:left="709" w:firstLine="0"/>
        <w:jc w:val="both"/>
        <w:rPr>
          <w:sz w:val="22"/>
          <w:szCs w:val="22"/>
          <w:highlight w:val="green"/>
        </w:rPr>
      </w:pPr>
      <w:r w:rsidDel="00000000" w:rsidR="00000000" w:rsidRPr="00000000">
        <w:rPr>
          <w:rtl w:val="0"/>
        </w:rPr>
      </w:r>
    </w:p>
    <w:p w:rsidR="00000000" w:rsidDel="00000000" w:rsidP="00000000" w:rsidRDefault="00000000" w:rsidRPr="00000000" w14:paraId="000008E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went the doctor they were just increase your dose increase your dose… or I could go on a waiting list, so I gave up perhaps because I'm 43 and I’ve been having mental health problems for over 30 years. Now I find that most of the help from the NHS is lacking apart from drugs</w:t>
      </w:r>
      <w:r w:rsidDel="00000000" w:rsidR="00000000" w:rsidRPr="00000000">
        <w:rPr>
          <w:sz w:val="22"/>
          <w:szCs w:val="22"/>
          <w:rtl w:val="0"/>
        </w:rPr>
        <w:t xml:space="preserve">…”</w:t>
      </w:r>
    </w:p>
    <w:p w:rsidR="00000000" w:rsidDel="00000000" w:rsidP="00000000" w:rsidRDefault="00000000" w:rsidRPr="00000000" w14:paraId="000008E3">
      <w:pPr>
        <w:spacing w:line="480" w:lineRule="auto"/>
        <w:jc w:val="right"/>
        <w:rPr>
          <w:sz w:val="22"/>
          <w:szCs w:val="22"/>
        </w:rPr>
      </w:pPr>
      <w:r w:rsidDel="00000000" w:rsidR="00000000" w:rsidRPr="00000000">
        <w:rPr>
          <w:sz w:val="22"/>
          <w:szCs w:val="22"/>
          <w:rtl w:val="0"/>
        </w:rPr>
        <w:t xml:space="preserve">[Tia: </w:t>
      </w:r>
      <w:r w:rsidDel="00000000" w:rsidR="00000000" w:rsidRPr="00000000">
        <w:rPr>
          <w:i w:val="1"/>
          <w:sz w:val="22"/>
          <w:szCs w:val="22"/>
          <w:rtl w:val="0"/>
        </w:rPr>
        <w:t xml:space="preserve">Clomipramine, Venlafaxine</w:t>
      </w:r>
      <w:r w:rsidDel="00000000" w:rsidR="00000000" w:rsidRPr="00000000">
        <w:rPr>
          <w:sz w:val="22"/>
          <w:szCs w:val="22"/>
          <w:rtl w:val="0"/>
        </w:rPr>
        <w:t xml:space="preserve">]</w:t>
      </w:r>
    </w:p>
    <w:p w:rsidR="00000000" w:rsidDel="00000000" w:rsidP="00000000" w:rsidRDefault="00000000" w:rsidRPr="00000000" w14:paraId="000008E4">
      <w:pPr>
        <w:spacing w:line="480" w:lineRule="auto"/>
        <w:jc w:val="right"/>
        <w:rPr>
          <w:sz w:val="22"/>
          <w:szCs w:val="22"/>
        </w:rPr>
      </w:pPr>
      <w:r w:rsidDel="00000000" w:rsidR="00000000" w:rsidRPr="00000000">
        <w:rPr>
          <w:rtl w:val="0"/>
        </w:rPr>
      </w:r>
    </w:p>
    <w:p w:rsidR="00000000" w:rsidDel="00000000" w:rsidP="00000000" w:rsidRDefault="00000000" w:rsidRPr="00000000" w14:paraId="000008E5">
      <w:pPr>
        <w:spacing w:line="480" w:lineRule="auto"/>
        <w:jc w:val="both"/>
        <w:rPr>
          <w:sz w:val="22"/>
          <w:szCs w:val="22"/>
        </w:rPr>
      </w:pPr>
      <w:r w:rsidDel="00000000" w:rsidR="00000000" w:rsidRPr="00000000">
        <w:rPr>
          <w:sz w:val="22"/>
          <w:szCs w:val="22"/>
          <w:rtl w:val="0"/>
        </w:rPr>
        <w:t xml:space="preserve">This led to a prominent suggestion by participants, that come under the umbrella of increased funding for services such as the National Health Service and Health and Social Care. This suggestion includes increased funding to widen access to alternative treatments, secondary care, and improved staffing levels. It must be noted that his data was collected in the context of industrial action taken by the Nursing and Midwifery Council. Participants associated this, in part, with industrial action with staff shortages, and extended waiting times for treatments:</w:t>
      </w:r>
    </w:p>
    <w:p w:rsidR="00000000" w:rsidDel="00000000" w:rsidP="00000000" w:rsidRDefault="00000000" w:rsidRPr="00000000" w14:paraId="000008E6">
      <w:pPr>
        <w:spacing w:line="480" w:lineRule="auto"/>
        <w:jc w:val="both"/>
        <w:rPr>
          <w:sz w:val="22"/>
          <w:szCs w:val="22"/>
        </w:rPr>
      </w:pPr>
      <w:r w:rsidDel="00000000" w:rsidR="00000000" w:rsidRPr="00000000">
        <w:rPr>
          <w:rtl w:val="0"/>
        </w:rPr>
      </w:r>
    </w:p>
    <w:p w:rsidR="00000000" w:rsidDel="00000000" w:rsidP="00000000" w:rsidRDefault="00000000" w:rsidRPr="00000000" w14:paraId="000008E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imagine the waiting times are just a fact that there's not enough kind of people working in that field, just provide that care and to them whatever reasons there's not enough people there so is it you're not being paid enough in which case, pay them more paying a fair wage. What is the lots of doctors at the moment striking…  because of pay</w:t>
      </w:r>
      <w:r w:rsidDel="00000000" w:rsidR="00000000" w:rsidRPr="00000000">
        <w:rPr>
          <w:sz w:val="22"/>
          <w:szCs w:val="22"/>
          <w:rtl w:val="0"/>
        </w:rPr>
        <w:t xml:space="preserve">.”</w:t>
      </w:r>
    </w:p>
    <w:p w:rsidR="00000000" w:rsidDel="00000000" w:rsidP="00000000" w:rsidRDefault="00000000" w:rsidRPr="00000000" w14:paraId="000008E8">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8E9">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8EA">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They need more funding, and they need more staff so they can see people quicker erm yeah people aren’t just living in pain whilst they’re waiting to get checked out or get sorted</w:t>
      </w:r>
      <w:r w:rsidDel="00000000" w:rsidR="00000000" w:rsidRPr="00000000">
        <w:rPr>
          <w:sz w:val="22"/>
          <w:szCs w:val="22"/>
          <w:rtl w:val="0"/>
        </w:rPr>
        <w:t xml:space="preserve">.”</w:t>
      </w:r>
    </w:p>
    <w:p w:rsidR="00000000" w:rsidDel="00000000" w:rsidP="00000000" w:rsidRDefault="00000000" w:rsidRPr="00000000" w14:paraId="000008EB">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8EC">
      <w:pPr>
        <w:spacing w:line="480" w:lineRule="auto"/>
        <w:jc w:val="right"/>
        <w:rPr>
          <w:sz w:val="22"/>
          <w:szCs w:val="22"/>
        </w:rPr>
      </w:pPr>
      <w:r w:rsidDel="00000000" w:rsidR="00000000" w:rsidRPr="00000000">
        <w:rPr>
          <w:rtl w:val="0"/>
        </w:rPr>
      </w:r>
    </w:p>
    <w:p w:rsidR="00000000" w:rsidDel="00000000" w:rsidP="00000000" w:rsidRDefault="00000000" w:rsidRPr="00000000" w14:paraId="000008E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Everything comes down… Money and they just need more funding, it's more funding. It's more people who actually trained in providing care it needs to be not a, looked as how is this going to make us money and instead how is this actually going to help people</w:t>
      </w:r>
      <w:r w:rsidDel="00000000" w:rsidR="00000000" w:rsidRPr="00000000">
        <w:rPr>
          <w:sz w:val="22"/>
          <w:szCs w:val="22"/>
          <w:rtl w:val="0"/>
        </w:rPr>
        <w:t xml:space="preserve">.”</w:t>
      </w:r>
    </w:p>
    <w:p w:rsidR="00000000" w:rsidDel="00000000" w:rsidP="00000000" w:rsidRDefault="00000000" w:rsidRPr="00000000" w14:paraId="000008EE">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8EF">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8F0">
      <w:pPr>
        <w:spacing w:line="480" w:lineRule="auto"/>
        <w:jc w:val="both"/>
        <w:rPr>
          <w:sz w:val="22"/>
          <w:szCs w:val="22"/>
        </w:rPr>
      </w:pPr>
      <w:r w:rsidDel="00000000" w:rsidR="00000000" w:rsidRPr="00000000">
        <w:rPr>
          <w:sz w:val="22"/>
          <w:szCs w:val="22"/>
          <w:rtl w:val="0"/>
        </w:rPr>
        <w:t xml:space="preserve">Other barriers to accessing alternative treatments have been described. As previously noted, alternative interventions for those with complex or severe health complaints describe a lack of support. There is a perceived lack of alternatives for those with complex mental health diagnoses such as Emotionally Unstable Personality Disorder (EUPD) and Bipolar Disorder. As previously mentioned, the provision of low-level interventions for these complex diagnoses have been described as a formality as opposed to an appropriate treatment plan:</w:t>
      </w:r>
    </w:p>
    <w:p w:rsidR="00000000" w:rsidDel="00000000" w:rsidP="00000000" w:rsidRDefault="00000000" w:rsidRPr="00000000" w14:paraId="000008F1">
      <w:pPr>
        <w:spacing w:line="480" w:lineRule="auto"/>
        <w:jc w:val="both"/>
        <w:rPr>
          <w:sz w:val="22"/>
          <w:szCs w:val="22"/>
        </w:rPr>
      </w:pPr>
      <w:r w:rsidDel="00000000" w:rsidR="00000000" w:rsidRPr="00000000">
        <w:rPr>
          <w:rtl w:val="0"/>
        </w:rPr>
      </w:r>
    </w:p>
    <w:p w:rsidR="00000000" w:rsidDel="00000000" w:rsidP="00000000" w:rsidRDefault="00000000" w:rsidRPr="00000000" w14:paraId="000008F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actually think IAPT for them to even call me during the phone call they told me that you have bipolar disorder, so they don't deal with that, and I said no I have a depression that I just have some similarities to bipolar disorder but not full-blown bipolar disorder, but they send me to someone else and then the end I've never received any help</w:t>
      </w:r>
      <w:r w:rsidDel="00000000" w:rsidR="00000000" w:rsidRPr="00000000">
        <w:rPr>
          <w:sz w:val="22"/>
          <w:szCs w:val="22"/>
          <w:rtl w:val="0"/>
        </w:rPr>
        <w:t xml:space="preserve">.”</w:t>
      </w:r>
    </w:p>
    <w:p w:rsidR="00000000" w:rsidDel="00000000" w:rsidP="00000000" w:rsidRDefault="00000000" w:rsidRPr="00000000" w14:paraId="000008F3">
      <w:pPr>
        <w:spacing w:line="480" w:lineRule="auto"/>
        <w:jc w:val="right"/>
        <w:rPr>
          <w:sz w:val="22"/>
          <w:szCs w:val="22"/>
        </w:rPr>
      </w:pPr>
      <w:r w:rsidDel="00000000" w:rsidR="00000000" w:rsidRPr="00000000">
        <w:rPr>
          <w:sz w:val="22"/>
          <w:szCs w:val="22"/>
          <w:rtl w:val="0"/>
        </w:rPr>
        <w:t xml:space="preserve">[Joanna: </w:t>
      </w:r>
      <w:r w:rsidDel="00000000" w:rsidR="00000000" w:rsidRPr="00000000">
        <w:rPr>
          <w:i w:val="1"/>
          <w:sz w:val="22"/>
          <w:szCs w:val="22"/>
          <w:rtl w:val="0"/>
        </w:rPr>
        <w:t xml:space="preserve">Venlafaxine</w:t>
      </w:r>
      <w:r w:rsidDel="00000000" w:rsidR="00000000" w:rsidRPr="00000000">
        <w:rPr>
          <w:sz w:val="22"/>
          <w:szCs w:val="22"/>
          <w:rtl w:val="0"/>
        </w:rPr>
        <w:t xml:space="preserve">]</w:t>
      </w:r>
    </w:p>
    <w:p w:rsidR="00000000" w:rsidDel="00000000" w:rsidP="00000000" w:rsidRDefault="00000000" w:rsidRPr="00000000" w14:paraId="000008F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kind of went through a route as you might probably hear a lot of by getting talking therapies through the NHS, is basically non-existent, or it's very insight, really shit ones and then, that nothing really gets sorted. Then you go back on antidepressant and so it was kind of rounds and rounds of that.”</w:t>
      </w:r>
      <w:r w:rsidDel="00000000" w:rsidR="00000000" w:rsidRPr="00000000">
        <w:rPr>
          <w:rtl w:val="0"/>
        </w:rPr>
      </w:r>
    </w:p>
    <w:p w:rsidR="00000000" w:rsidDel="00000000" w:rsidP="00000000" w:rsidRDefault="00000000" w:rsidRPr="00000000" w14:paraId="000008F5">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8F6">
      <w:pPr>
        <w:spacing w:line="480" w:lineRule="auto"/>
        <w:rPr>
          <w:sz w:val="22"/>
          <w:szCs w:val="22"/>
        </w:rPr>
      </w:pPr>
      <w:r w:rsidDel="00000000" w:rsidR="00000000" w:rsidRPr="00000000">
        <w:rPr>
          <w:rtl w:val="0"/>
        </w:rPr>
      </w:r>
    </w:p>
    <w:p w:rsidR="00000000" w:rsidDel="00000000" w:rsidP="00000000" w:rsidRDefault="00000000" w:rsidRPr="00000000" w14:paraId="000008F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Yeah, they gave me the option but that was a technical option it wasn’t a matter of these are all of your options make your informed choice… It was a tick box exercise there wasn’t any kind of element of care</w:t>
      </w:r>
      <w:r w:rsidDel="00000000" w:rsidR="00000000" w:rsidRPr="00000000">
        <w:rPr>
          <w:sz w:val="22"/>
          <w:szCs w:val="22"/>
          <w:rtl w:val="0"/>
        </w:rPr>
        <w:t xml:space="preserve">.”</w:t>
      </w:r>
    </w:p>
    <w:p w:rsidR="00000000" w:rsidDel="00000000" w:rsidP="00000000" w:rsidRDefault="00000000" w:rsidRPr="00000000" w14:paraId="000008F8">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8F9">
      <w:pPr>
        <w:spacing w:line="480" w:lineRule="auto"/>
        <w:jc w:val="both"/>
        <w:rPr>
          <w:sz w:val="22"/>
          <w:szCs w:val="22"/>
        </w:rPr>
      </w:pPr>
      <w:r w:rsidDel="00000000" w:rsidR="00000000" w:rsidRPr="00000000">
        <w:rPr>
          <w:rtl w:val="0"/>
        </w:rPr>
      </w:r>
    </w:p>
    <w:p w:rsidR="00000000" w:rsidDel="00000000" w:rsidP="00000000" w:rsidRDefault="00000000" w:rsidRPr="00000000" w14:paraId="000008FA">
      <w:pPr>
        <w:spacing w:line="480" w:lineRule="auto"/>
        <w:jc w:val="both"/>
        <w:rPr>
          <w:sz w:val="22"/>
          <w:szCs w:val="22"/>
        </w:rPr>
      </w:pPr>
      <w:r w:rsidDel="00000000" w:rsidR="00000000" w:rsidRPr="00000000">
        <w:rPr>
          <w:sz w:val="22"/>
          <w:szCs w:val="22"/>
          <w:rtl w:val="0"/>
        </w:rPr>
        <w:t xml:space="preserve">Furthermore, alternative treatments have been described as inaccessible due to language barriers: </w:t>
      </w:r>
    </w:p>
    <w:p w:rsidR="00000000" w:rsidDel="00000000" w:rsidP="00000000" w:rsidRDefault="00000000" w:rsidRPr="00000000" w14:paraId="000008FB">
      <w:pPr>
        <w:spacing w:line="480" w:lineRule="auto"/>
        <w:jc w:val="both"/>
        <w:rPr>
          <w:sz w:val="22"/>
          <w:szCs w:val="22"/>
        </w:rPr>
      </w:pPr>
      <w:r w:rsidDel="00000000" w:rsidR="00000000" w:rsidRPr="00000000">
        <w:rPr>
          <w:rtl w:val="0"/>
        </w:rPr>
      </w:r>
    </w:p>
    <w:p w:rsidR="00000000" w:rsidDel="00000000" w:rsidP="00000000" w:rsidRDefault="00000000" w:rsidRPr="00000000" w14:paraId="000008FC">
      <w:pPr>
        <w:spacing w:line="480" w:lineRule="auto"/>
        <w:ind w:left="709" w:firstLine="0"/>
        <w:jc w:val="both"/>
        <w:rPr>
          <w:i w:val="1"/>
          <w:sz w:val="21"/>
          <w:szCs w:val="21"/>
        </w:rPr>
      </w:pPr>
      <w:r w:rsidDel="00000000" w:rsidR="00000000" w:rsidRPr="00000000">
        <w:rPr>
          <w:i w:val="1"/>
          <w:sz w:val="22"/>
          <w:szCs w:val="22"/>
          <w:rtl w:val="0"/>
        </w:rPr>
        <w:t xml:space="preserve">“I have at least that therapy session with my own language online… Having therapy in another language is in fact like a very big problem…  It's difficult because I'm not a native and I just started learning English two years ago and I'm not good at expressing my feelings and my deep dark ideas or thoughts in English and I think I can make a connection better with therapy who speak Farsi.”</w:t>
      </w:r>
      <w:r w:rsidDel="00000000" w:rsidR="00000000" w:rsidRPr="00000000">
        <w:rPr>
          <w:rtl w:val="0"/>
        </w:rPr>
      </w:r>
    </w:p>
    <w:p w:rsidR="00000000" w:rsidDel="00000000" w:rsidP="00000000" w:rsidRDefault="00000000" w:rsidRPr="00000000" w14:paraId="000008FD">
      <w:pPr>
        <w:spacing w:line="480" w:lineRule="auto"/>
        <w:jc w:val="right"/>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Kirsty</w:t>
      </w:r>
      <w:r w:rsidDel="00000000" w:rsidR="00000000" w:rsidRPr="00000000">
        <w:rPr>
          <w:sz w:val="22"/>
          <w:szCs w:val="22"/>
          <w:rtl w:val="0"/>
        </w:rPr>
        <w:t xml:space="preserve"> (Duloxetine, Clonazepam, Pregabalin)]</w:t>
      </w:r>
    </w:p>
    <w:p w:rsidR="00000000" w:rsidDel="00000000" w:rsidP="00000000" w:rsidRDefault="00000000" w:rsidRPr="00000000" w14:paraId="000008FE">
      <w:pPr>
        <w:spacing w:line="480" w:lineRule="auto"/>
        <w:jc w:val="right"/>
        <w:rPr>
          <w:sz w:val="22"/>
          <w:szCs w:val="22"/>
        </w:rPr>
      </w:pPr>
      <w:r w:rsidDel="00000000" w:rsidR="00000000" w:rsidRPr="00000000">
        <w:rPr>
          <w:rtl w:val="0"/>
        </w:rPr>
      </w:r>
    </w:p>
    <w:p w:rsidR="00000000" w:rsidDel="00000000" w:rsidP="00000000" w:rsidRDefault="00000000" w:rsidRPr="00000000" w14:paraId="000008FF">
      <w:pPr>
        <w:spacing w:line="480" w:lineRule="auto"/>
        <w:jc w:val="both"/>
        <w:rPr>
          <w:sz w:val="22"/>
          <w:szCs w:val="22"/>
        </w:rPr>
      </w:pPr>
      <w:r w:rsidDel="00000000" w:rsidR="00000000" w:rsidRPr="00000000">
        <w:rPr>
          <w:sz w:val="22"/>
          <w:szCs w:val="22"/>
          <w:rtl w:val="0"/>
        </w:rPr>
        <w:t xml:space="preserve">In terms of physical health interventions, the physiotherapy services offered were described as insufficient or ineffective:</w:t>
      </w:r>
    </w:p>
    <w:p w:rsidR="00000000" w:rsidDel="00000000" w:rsidP="00000000" w:rsidRDefault="00000000" w:rsidRPr="00000000" w14:paraId="00000900">
      <w:pPr>
        <w:spacing w:line="480" w:lineRule="auto"/>
        <w:jc w:val="both"/>
        <w:rPr>
          <w:sz w:val="22"/>
          <w:szCs w:val="22"/>
        </w:rPr>
      </w:pPr>
      <w:r w:rsidDel="00000000" w:rsidR="00000000" w:rsidRPr="00000000">
        <w:rPr>
          <w:rtl w:val="0"/>
        </w:rPr>
      </w:r>
    </w:p>
    <w:p w:rsidR="00000000" w:rsidDel="00000000" w:rsidP="00000000" w:rsidRDefault="00000000" w:rsidRPr="00000000" w14:paraId="0000090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was given physio anyway, but I think it was such a bad injury because of fractured it in so many places and I put it completely out of line I mean, it's very noticeable… I remember asking a couple of times about all the forms of physiotherapy and basically was told what physio you've seen is the only physio we offer, and it was very basic to exercises, which if you haven't got that range of mobility, it's just not helpful. Because you end up sort of… Pushing a limb into positions</w:t>
      </w:r>
      <w:r w:rsidDel="00000000" w:rsidR="00000000" w:rsidRPr="00000000">
        <w:rPr>
          <w:sz w:val="22"/>
          <w:szCs w:val="22"/>
          <w:rtl w:val="0"/>
        </w:rPr>
        <w:t xml:space="preserve">.”</w:t>
      </w:r>
    </w:p>
    <w:p w:rsidR="00000000" w:rsidDel="00000000" w:rsidP="00000000" w:rsidRDefault="00000000" w:rsidRPr="00000000" w14:paraId="00000902">
      <w:pPr>
        <w:spacing w:line="480" w:lineRule="auto"/>
        <w:jc w:val="right"/>
        <w:rPr>
          <w:sz w:val="22"/>
          <w:szCs w:val="22"/>
        </w:rPr>
      </w:pPr>
      <w:r w:rsidDel="00000000" w:rsidR="00000000" w:rsidRPr="00000000">
        <w:rPr>
          <w:sz w:val="22"/>
          <w:szCs w:val="22"/>
          <w:rtl w:val="0"/>
        </w:rPr>
        <w:t xml:space="preserve">[Maggie: </w:t>
      </w:r>
      <w:r w:rsidDel="00000000" w:rsidR="00000000" w:rsidRPr="00000000">
        <w:rPr>
          <w:i w:val="1"/>
          <w:sz w:val="22"/>
          <w:szCs w:val="22"/>
          <w:rtl w:val="0"/>
        </w:rPr>
        <w:t xml:space="preserve">Pregabalin, Tramadol</w:t>
      </w:r>
      <w:r w:rsidDel="00000000" w:rsidR="00000000" w:rsidRPr="00000000">
        <w:rPr>
          <w:sz w:val="22"/>
          <w:szCs w:val="22"/>
          <w:rtl w:val="0"/>
        </w:rPr>
        <w:t xml:space="preserve">]</w:t>
      </w:r>
    </w:p>
    <w:p w:rsidR="00000000" w:rsidDel="00000000" w:rsidP="00000000" w:rsidRDefault="00000000" w:rsidRPr="00000000" w14:paraId="00000903">
      <w:pPr>
        <w:spacing w:line="480" w:lineRule="auto"/>
        <w:jc w:val="both"/>
        <w:rPr>
          <w:sz w:val="22"/>
          <w:szCs w:val="22"/>
        </w:rPr>
      </w:pPr>
      <w:r w:rsidDel="00000000" w:rsidR="00000000" w:rsidRPr="00000000">
        <w:rPr>
          <w:rtl w:val="0"/>
        </w:rPr>
      </w:r>
    </w:p>
    <w:p w:rsidR="00000000" w:rsidDel="00000000" w:rsidP="00000000" w:rsidRDefault="00000000" w:rsidRPr="00000000" w14:paraId="00000904">
      <w:pPr>
        <w:spacing w:line="480" w:lineRule="auto"/>
        <w:jc w:val="both"/>
        <w:rPr>
          <w:sz w:val="22"/>
          <w:szCs w:val="22"/>
        </w:rPr>
      </w:pPr>
      <w:r w:rsidDel="00000000" w:rsidR="00000000" w:rsidRPr="00000000">
        <w:rPr>
          <w:sz w:val="22"/>
          <w:szCs w:val="22"/>
          <w:rtl w:val="0"/>
        </w:rPr>
        <w:t xml:space="preserve">The eventual requirement for surgeries were noted as being difficult to access, due to the associated risks of surgery. Considering </w:t>
      </w:r>
      <w:r w:rsidDel="00000000" w:rsidR="00000000" w:rsidRPr="00000000">
        <w:rPr>
          <w:i w:val="1"/>
          <w:sz w:val="22"/>
          <w:szCs w:val="22"/>
          <w:rtl w:val="0"/>
        </w:rPr>
        <w:t xml:space="preserve">Maggie</w:t>
      </w:r>
      <w:r w:rsidDel="00000000" w:rsidR="00000000" w:rsidRPr="00000000">
        <w:rPr>
          <w:sz w:val="22"/>
          <w:szCs w:val="22"/>
          <w:rtl w:val="0"/>
        </w:rPr>
        <w:t xml:space="preserve"> noted she is younger than the average shoulder replacement patient, the surgery required to correct her injury may not be offered for some time:</w:t>
      </w:r>
    </w:p>
    <w:p w:rsidR="00000000" w:rsidDel="00000000" w:rsidP="00000000" w:rsidRDefault="00000000" w:rsidRPr="00000000" w14:paraId="00000905">
      <w:pPr>
        <w:spacing w:line="480" w:lineRule="auto"/>
        <w:jc w:val="both"/>
        <w:rPr>
          <w:sz w:val="22"/>
          <w:szCs w:val="22"/>
        </w:rPr>
      </w:pPr>
      <w:r w:rsidDel="00000000" w:rsidR="00000000" w:rsidRPr="00000000">
        <w:rPr>
          <w:rtl w:val="0"/>
        </w:rPr>
      </w:r>
    </w:p>
    <w:p w:rsidR="00000000" w:rsidDel="00000000" w:rsidP="00000000" w:rsidRDefault="00000000" w:rsidRPr="00000000" w14:paraId="0000090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think it's just something and they're unlikely to replace a shoulder until you’re much older than what I am even though I'm in my 50s still don't like to do anything like that until you sort of touching your 60s</w:t>
      </w:r>
      <w:r w:rsidDel="00000000" w:rsidR="00000000" w:rsidRPr="00000000">
        <w:rPr>
          <w:sz w:val="22"/>
          <w:szCs w:val="22"/>
          <w:rtl w:val="0"/>
        </w:rPr>
        <w:t xml:space="preserve">.”</w:t>
      </w:r>
    </w:p>
    <w:p w:rsidR="00000000" w:rsidDel="00000000" w:rsidP="00000000" w:rsidRDefault="00000000" w:rsidRPr="00000000" w14:paraId="00000907">
      <w:pPr>
        <w:spacing w:line="480" w:lineRule="auto"/>
        <w:jc w:val="right"/>
        <w:rPr>
          <w:sz w:val="22"/>
          <w:szCs w:val="22"/>
        </w:rPr>
      </w:pPr>
      <w:r w:rsidDel="00000000" w:rsidR="00000000" w:rsidRPr="00000000">
        <w:rPr>
          <w:sz w:val="22"/>
          <w:szCs w:val="22"/>
          <w:rtl w:val="0"/>
        </w:rPr>
        <w:t xml:space="preserve">[Maggie: </w:t>
      </w:r>
      <w:r w:rsidDel="00000000" w:rsidR="00000000" w:rsidRPr="00000000">
        <w:rPr>
          <w:i w:val="1"/>
          <w:sz w:val="22"/>
          <w:szCs w:val="22"/>
          <w:rtl w:val="0"/>
        </w:rPr>
        <w:t xml:space="preserve">Pregabalin, Tramadol</w:t>
      </w:r>
      <w:r w:rsidDel="00000000" w:rsidR="00000000" w:rsidRPr="00000000">
        <w:rPr>
          <w:sz w:val="22"/>
          <w:szCs w:val="22"/>
          <w:rtl w:val="0"/>
        </w:rPr>
        <w:t xml:space="preserve">]</w:t>
      </w:r>
    </w:p>
    <w:p w:rsidR="00000000" w:rsidDel="00000000" w:rsidP="00000000" w:rsidRDefault="00000000" w:rsidRPr="00000000" w14:paraId="00000908">
      <w:pPr>
        <w:spacing w:line="480" w:lineRule="auto"/>
        <w:jc w:val="both"/>
        <w:rPr>
          <w:sz w:val="22"/>
          <w:szCs w:val="22"/>
        </w:rPr>
      </w:pPr>
      <w:r w:rsidDel="00000000" w:rsidR="00000000" w:rsidRPr="00000000">
        <w:rPr>
          <w:rtl w:val="0"/>
        </w:rPr>
      </w:r>
    </w:p>
    <w:p w:rsidR="00000000" w:rsidDel="00000000" w:rsidP="00000000" w:rsidRDefault="00000000" w:rsidRPr="00000000" w14:paraId="00000909">
      <w:pPr>
        <w:spacing w:line="480" w:lineRule="auto"/>
        <w:jc w:val="both"/>
        <w:rPr>
          <w:sz w:val="22"/>
          <w:szCs w:val="22"/>
        </w:rPr>
      </w:pPr>
      <w:r w:rsidDel="00000000" w:rsidR="00000000" w:rsidRPr="00000000">
        <w:rPr>
          <w:sz w:val="22"/>
          <w:szCs w:val="22"/>
          <w:rtl w:val="0"/>
        </w:rPr>
        <w:t xml:space="preserve">Financial implications were also reported as a barrier to accessing alternative treatments. These financial implications described not only refer to the cost of private treatments, but also absence from work to recover from surgery. </w:t>
      </w:r>
      <w:r w:rsidDel="00000000" w:rsidR="00000000" w:rsidRPr="00000000">
        <w:rPr>
          <w:i w:val="1"/>
          <w:sz w:val="22"/>
          <w:szCs w:val="22"/>
          <w:rtl w:val="0"/>
        </w:rPr>
        <w:t xml:space="preserve">Brandon</w:t>
      </w:r>
      <w:r w:rsidDel="00000000" w:rsidR="00000000" w:rsidRPr="00000000">
        <w:rPr>
          <w:sz w:val="22"/>
          <w:szCs w:val="22"/>
          <w:rtl w:val="0"/>
        </w:rPr>
        <w:t xml:space="preserve"> has expressed interest in chiropractor treatment; however, this is a complementary therapy that is not available through the NHS. This is something that is inaccessible to him due to the financial commitments: </w:t>
      </w:r>
    </w:p>
    <w:p w:rsidR="00000000" w:rsidDel="00000000" w:rsidP="00000000" w:rsidRDefault="00000000" w:rsidRPr="00000000" w14:paraId="0000090A">
      <w:pPr>
        <w:spacing w:line="480" w:lineRule="auto"/>
        <w:jc w:val="both"/>
        <w:rPr>
          <w:sz w:val="22"/>
          <w:szCs w:val="22"/>
        </w:rPr>
      </w:pPr>
      <w:r w:rsidDel="00000000" w:rsidR="00000000" w:rsidRPr="00000000">
        <w:rPr>
          <w:rtl w:val="0"/>
        </w:rPr>
      </w:r>
    </w:p>
    <w:p w:rsidR="00000000" w:rsidDel="00000000" w:rsidP="00000000" w:rsidRDefault="00000000" w:rsidRPr="00000000" w14:paraId="0000090B">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If there were an alternative that worked that didn’t involve medication then I would do it… like what you call chiropractor is that what it called… Yeah, I looked into that, but it was so expensive for the amount of times he said I would need it I just couldn’t afford it… £70 a week or something</w:t>
      </w:r>
      <w:r w:rsidDel="00000000" w:rsidR="00000000" w:rsidRPr="00000000">
        <w:rPr>
          <w:sz w:val="22"/>
          <w:szCs w:val="22"/>
          <w:rtl w:val="0"/>
        </w:rPr>
        <w:t xml:space="preserve">.”</w:t>
      </w:r>
    </w:p>
    <w:p w:rsidR="00000000" w:rsidDel="00000000" w:rsidP="00000000" w:rsidRDefault="00000000" w:rsidRPr="00000000" w14:paraId="0000090C">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90D">
      <w:pPr>
        <w:spacing w:line="480" w:lineRule="auto"/>
        <w:jc w:val="both"/>
        <w:rPr>
          <w:sz w:val="22"/>
          <w:szCs w:val="22"/>
        </w:rPr>
      </w:pPr>
      <w:r w:rsidDel="00000000" w:rsidR="00000000" w:rsidRPr="00000000">
        <w:rPr>
          <w:sz w:val="22"/>
          <w:szCs w:val="22"/>
          <w:rtl w:val="0"/>
        </w:rPr>
        <w:t xml:space="preserve">Although some prefer a pharmaceutical intervention, and was the desired outcome from their appointment, others feel that some medicines are quicky and widely prescribed to patients as a “</w:t>
      </w:r>
      <w:r w:rsidDel="00000000" w:rsidR="00000000" w:rsidRPr="00000000">
        <w:rPr>
          <w:i w:val="1"/>
          <w:sz w:val="22"/>
          <w:szCs w:val="22"/>
          <w:rtl w:val="0"/>
        </w:rPr>
        <w:t xml:space="preserve">quick fix”</w:t>
      </w:r>
      <w:r w:rsidDel="00000000" w:rsidR="00000000" w:rsidRPr="00000000">
        <w:rPr>
          <w:sz w:val="22"/>
          <w:szCs w:val="22"/>
          <w:rtl w:val="0"/>
        </w:rPr>
        <w:t xml:space="preserve">. </w:t>
      </w:r>
    </w:p>
    <w:p w:rsidR="00000000" w:rsidDel="00000000" w:rsidP="00000000" w:rsidRDefault="00000000" w:rsidRPr="00000000" w14:paraId="0000090E">
      <w:pPr>
        <w:spacing w:line="480" w:lineRule="auto"/>
        <w:jc w:val="both"/>
        <w:rPr>
          <w:sz w:val="22"/>
          <w:szCs w:val="22"/>
        </w:rPr>
      </w:pPr>
      <w:r w:rsidDel="00000000" w:rsidR="00000000" w:rsidRPr="00000000">
        <w:rPr>
          <w:sz w:val="22"/>
          <w:szCs w:val="22"/>
          <w:rtl w:val="0"/>
        </w:rPr>
        <w:br w:type="textWrapping"/>
        <w:t xml:space="preserve">Regarding the perceived lack of alternative treatments and their provision, participants described several ways to mitigate these concerns. Although the barriers identified within the data, such as time off work for invasive treatments, cannot be mitigated, a wider range of less invasive and financially accessible treatments were suggested. A need for improved health promotion and encouragement for those who have been diagnosed with a long-term health condition has been reported. The need for more psychosocial interventions such as social prescribing has also been suggested as an important consideration for services: </w:t>
      </w:r>
    </w:p>
    <w:p w:rsidR="00000000" w:rsidDel="00000000" w:rsidP="00000000" w:rsidRDefault="00000000" w:rsidRPr="00000000" w14:paraId="0000090F">
      <w:pPr>
        <w:spacing w:line="480" w:lineRule="auto"/>
        <w:jc w:val="both"/>
        <w:rPr>
          <w:sz w:val="22"/>
          <w:szCs w:val="22"/>
        </w:rPr>
      </w:pPr>
      <w:r w:rsidDel="00000000" w:rsidR="00000000" w:rsidRPr="00000000">
        <w:rPr>
          <w:rtl w:val="0"/>
        </w:rPr>
      </w:r>
    </w:p>
    <w:p w:rsidR="00000000" w:rsidDel="00000000" w:rsidP="00000000" w:rsidRDefault="00000000" w:rsidRPr="00000000" w14:paraId="0000091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You can’t taper somebody off without giving them something in their place, so you’ve got to improve the social prescribing</w:t>
      </w:r>
      <w:r w:rsidDel="00000000" w:rsidR="00000000" w:rsidRPr="00000000">
        <w:rPr>
          <w:sz w:val="22"/>
          <w:szCs w:val="22"/>
          <w:rtl w:val="0"/>
        </w:rPr>
        <w:t xml:space="preserve">.”</w:t>
      </w:r>
    </w:p>
    <w:p w:rsidR="00000000" w:rsidDel="00000000" w:rsidP="00000000" w:rsidRDefault="00000000" w:rsidRPr="00000000" w14:paraId="00000911">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12">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913">
      <w:pPr>
        <w:spacing w:line="480" w:lineRule="auto"/>
        <w:jc w:val="both"/>
        <w:rPr>
          <w:i w:val="1"/>
          <w:sz w:val="22"/>
          <w:szCs w:val="22"/>
        </w:rPr>
      </w:pPr>
      <w:r w:rsidDel="00000000" w:rsidR="00000000" w:rsidRPr="00000000">
        <w:rPr>
          <w:sz w:val="22"/>
          <w:szCs w:val="22"/>
          <w:rtl w:val="0"/>
        </w:rPr>
        <w:t xml:space="preserve">Peer support and those with lived experience in the management of prescribed drug dependency and withdrawal. These individuals could form part of a multidisciplinary team, another suggestion put forward by </w:t>
      </w:r>
      <w:r w:rsidDel="00000000" w:rsidR="00000000" w:rsidRPr="00000000">
        <w:rPr>
          <w:i w:val="1"/>
          <w:sz w:val="22"/>
          <w:szCs w:val="22"/>
          <w:rtl w:val="0"/>
        </w:rPr>
        <w:t xml:space="preserve">Georgina:</w:t>
      </w:r>
    </w:p>
    <w:p w:rsidR="00000000" w:rsidDel="00000000" w:rsidP="00000000" w:rsidRDefault="00000000" w:rsidRPr="00000000" w14:paraId="00000914">
      <w:pPr>
        <w:spacing w:line="480" w:lineRule="auto"/>
        <w:jc w:val="both"/>
        <w:rPr>
          <w:i w:val="1"/>
          <w:sz w:val="22"/>
          <w:szCs w:val="22"/>
        </w:rPr>
      </w:pPr>
      <w:r w:rsidDel="00000000" w:rsidR="00000000" w:rsidRPr="00000000">
        <w:rPr>
          <w:rtl w:val="0"/>
        </w:rPr>
      </w:r>
    </w:p>
    <w:p w:rsidR="00000000" w:rsidDel="00000000" w:rsidP="00000000" w:rsidRDefault="00000000" w:rsidRPr="00000000" w14:paraId="0000091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Ok well I mean the first thing is to have a lot more peer support have people who have done it get them driving the whole thing to be honest</w:t>
      </w:r>
      <w:r w:rsidDel="00000000" w:rsidR="00000000" w:rsidRPr="00000000">
        <w:rPr>
          <w:sz w:val="22"/>
          <w:szCs w:val="22"/>
          <w:rtl w:val="0"/>
        </w:rPr>
        <w:t xml:space="preserve">.”</w:t>
      </w:r>
    </w:p>
    <w:p w:rsidR="00000000" w:rsidDel="00000000" w:rsidP="00000000" w:rsidRDefault="00000000" w:rsidRPr="00000000" w14:paraId="00000916">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17">
      <w:pPr>
        <w:spacing w:line="480" w:lineRule="auto"/>
        <w:rPr>
          <w:sz w:val="22"/>
          <w:szCs w:val="22"/>
        </w:rPr>
      </w:pPr>
      <w:r w:rsidDel="00000000" w:rsidR="00000000" w:rsidRPr="00000000">
        <w:rPr>
          <w:rtl w:val="0"/>
        </w:rPr>
      </w:r>
    </w:p>
    <w:p w:rsidR="00000000" w:rsidDel="00000000" w:rsidP="00000000" w:rsidRDefault="00000000" w:rsidRPr="00000000" w14:paraId="00000918">
      <w:pPr>
        <w:spacing w:line="480" w:lineRule="auto"/>
        <w:jc w:val="both"/>
        <w:rPr>
          <w:sz w:val="22"/>
          <w:szCs w:val="22"/>
        </w:rPr>
      </w:pPr>
      <w:r w:rsidDel="00000000" w:rsidR="00000000" w:rsidRPr="00000000">
        <w:rPr>
          <w:sz w:val="22"/>
          <w:szCs w:val="22"/>
          <w:rtl w:val="0"/>
        </w:rPr>
        <w:t xml:space="preserve">This peer support is suggested to stretch as far as involving peer support representatives in multidisciplinary team meetings, where attendance is typically reserved for healthcare professionals, and in prescribed drug withdrawal research.   </w:t>
      </w:r>
      <w:r w:rsidDel="00000000" w:rsidR="00000000" w:rsidRPr="00000000">
        <w:rPr>
          <w:i w:val="1"/>
          <w:sz w:val="22"/>
          <w:szCs w:val="22"/>
          <w:rtl w:val="0"/>
        </w:rPr>
        <w:t xml:space="preserve">Joanna</w:t>
      </w:r>
      <w:r w:rsidDel="00000000" w:rsidR="00000000" w:rsidRPr="00000000">
        <w:rPr>
          <w:sz w:val="22"/>
          <w:szCs w:val="22"/>
          <w:rtl w:val="0"/>
        </w:rPr>
        <w:t xml:space="preserve"> perceives the fragmentation of mental health services is problematic for patient care, with each service having their own referral criteria, waiting times and approaches to treatment. Social prescribing, alongside other alternative treatments, will be explored in the discussion chapter. </w:t>
      </w:r>
    </w:p>
    <w:p w:rsidR="00000000" w:rsidDel="00000000" w:rsidP="00000000" w:rsidRDefault="00000000" w:rsidRPr="00000000" w14:paraId="00000919">
      <w:pPr>
        <w:spacing w:line="480" w:lineRule="auto"/>
        <w:jc w:val="both"/>
        <w:rPr>
          <w:sz w:val="22"/>
          <w:szCs w:val="22"/>
        </w:rPr>
      </w:pPr>
      <w:r w:rsidDel="00000000" w:rsidR="00000000" w:rsidRPr="00000000">
        <w:rPr>
          <w:rtl w:val="0"/>
        </w:rPr>
      </w:r>
    </w:p>
    <w:p w:rsidR="00000000" w:rsidDel="00000000" w:rsidP="00000000" w:rsidRDefault="00000000" w:rsidRPr="00000000" w14:paraId="0000091A">
      <w:pPr>
        <w:spacing w:line="480" w:lineRule="auto"/>
        <w:jc w:val="both"/>
        <w:rPr>
          <w:sz w:val="22"/>
          <w:szCs w:val="22"/>
        </w:rPr>
      </w:pPr>
      <w:r w:rsidDel="00000000" w:rsidR="00000000" w:rsidRPr="00000000">
        <w:rPr>
          <w:sz w:val="22"/>
          <w:szCs w:val="22"/>
          <w:rtl w:val="0"/>
        </w:rPr>
        <w:t xml:space="preserve">This theme explored the perceived provision of alternative treatments. There was a perception that alternatives were not particularly accessible and were often lacking. Although some participants report having received alternative interventions, the type and intensity varied. These were accessed both privately and through NHS referrals. The perception of these alternatives varied, and whether these interventions were accepted were dependent on individual preferences. The perception of alternatives was also influenced by the participants beliefs regarding their health, and the perceived appropriateness of the alternative intervention. Accessing alternative support, particularly psychosocial interventions, was found to be challenging. This was perceived to be due to the lack of availability and the extensive waiting times experienced. </w:t>
      </w:r>
    </w:p>
    <w:p w:rsidR="00000000" w:rsidDel="00000000" w:rsidP="00000000" w:rsidRDefault="00000000" w:rsidRPr="00000000" w14:paraId="0000091B">
      <w:pPr>
        <w:spacing w:line="480" w:lineRule="auto"/>
        <w:jc w:val="both"/>
        <w:rPr>
          <w:sz w:val="22"/>
          <w:szCs w:val="22"/>
        </w:rPr>
      </w:pPr>
      <w:r w:rsidDel="00000000" w:rsidR="00000000" w:rsidRPr="00000000">
        <w:rPr>
          <w:rtl w:val="0"/>
        </w:rPr>
      </w:r>
    </w:p>
    <w:p w:rsidR="00000000" w:rsidDel="00000000" w:rsidP="00000000" w:rsidRDefault="00000000" w:rsidRPr="00000000" w14:paraId="0000091C">
      <w:pPr>
        <w:spacing w:line="480" w:lineRule="auto"/>
        <w:jc w:val="both"/>
        <w:rPr>
          <w:sz w:val="22"/>
          <w:szCs w:val="22"/>
        </w:rPr>
      </w:pPr>
      <w:r w:rsidDel="00000000" w:rsidR="00000000" w:rsidRPr="00000000">
        <w:rPr>
          <w:sz w:val="22"/>
          <w:szCs w:val="22"/>
          <w:rtl w:val="0"/>
        </w:rPr>
        <w:t xml:space="preserve">Other barriers to accessing alternative treatments include the time off work required for surgical interventions, financial implications associated with both time off work and private treatments (such as chiropractors). Where a diagnosis is absent, or there are no alternatives due to its complexity, using medicines to manage symptoms could be, although undesirable, appropriate and proportionate. Prescribing practices will be discussed in the following theme. </w:t>
      </w:r>
    </w:p>
    <w:p w:rsidR="00000000" w:rsidDel="00000000" w:rsidP="00000000" w:rsidRDefault="00000000" w:rsidRPr="00000000" w14:paraId="0000091D">
      <w:pPr>
        <w:spacing w:line="480" w:lineRule="auto"/>
        <w:jc w:val="both"/>
        <w:rPr>
          <w:sz w:val="22"/>
          <w:szCs w:val="22"/>
        </w:rPr>
      </w:pPr>
      <w:r w:rsidDel="00000000" w:rsidR="00000000" w:rsidRPr="00000000">
        <w:rPr>
          <w:rtl w:val="0"/>
        </w:rPr>
      </w:r>
    </w:p>
    <w:p w:rsidR="00000000" w:rsidDel="00000000" w:rsidP="00000000" w:rsidRDefault="00000000" w:rsidRPr="00000000" w14:paraId="0000091E">
      <w:pPr>
        <w:spacing w:line="480" w:lineRule="auto"/>
        <w:jc w:val="both"/>
        <w:rPr>
          <w:sz w:val="22"/>
          <w:szCs w:val="22"/>
        </w:rPr>
      </w:pPr>
      <w:r w:rsidDel="00000000" w:rsidR="00000000" w:rsidRPr="00000000">
        <w:rPr>
          <w:sz w:val="22"/>
          <w:szCs w:val="22"/>
          <w:rtl w:val="0"/>
        </w:rPr>
        <w:t xml:space="preserve">The next section will discuss the wider role of the practitioner, in addition to the prescribing practices they display. This involves the perceived levels of support, knowledge and understanding, alongside the other behaviours such as the lack of clinical monitoring and stigmatising practices. Participants identified several ways where care could be more appropriately managed, such as improving access to alternative treatments through early interventions and improved funding for services. </w:t>
      </w:r>
    </w:p>
    <w:p w:rsidR="00000000" w:rsidDel="00000000" w:rsidP="00000000" w:rsidRDefault="00000000" w:rsidRPr="00000000" w14:paraId="0000091F">
      <w:pPr>
        <w:spacing w:line="480" w:lineRule="auto"/>
        <w:jc w:val="both"/>
        <w:rPr>
          <w:sz w:val="22"/>
          <w:szCs w:val="22"/>
        </w:rPr>
      </w:pPr>
      <w:r w:rsidDel="00000000" w:rsidR="00000000" w:rsidRPr="00000000">
        <w:rPr>
          <w:rtl w:val="0"/>
        </w:rPr>
      </w:r>
    </w:p>
    <w:p w:rsidR="00000000" w:rsidDel="00000000" w:rsidP="00000000" w:rsidRDefault="00000000" w:rsidRPr="00000000" w14:paraId="00000920">
      <w:pPr>
        <w:pStyle w:val="Heading2"/>
        <w:numPr>
          <w:ilvl w:val="1"/>
          <w:numId w:val="14"/>
        </w:numPr>
        <w:spacing w:line="480" w:lineRule="auto"/>
        <w:ind w:left="720" w:hanging="720"/>
        <w:rPr/>
      </w:pPr>
      <w:bookmarkStart w:colFirst="0" w:colLast="0" w:name="_heading=h.184mhaj" w:id="100"/>
      <w:bookmarkEnd w:id="100"/>
      <w:r w:rsidDel="00000000" w:rsidR="00000000" w:rsidRPr="00000000">
        <w:rPr>
          <w:rtl w:val="0"/>
        </w:rPr>
        <w:t xml:space="preserve">Is the Practitioner Responsible?</w:t>
      </w:r>
    </w:p>
    <w:p w:rsidR="00000000" w:rsidDel="00000000" w:rsidP="00000000" w:rsidRDefault="00000000" w:rsidRPr="00000000" w14:paraId="00000921">
      <w:pPr>
        <w:spacing w:line="480" w:lineRule="auto"/>
        <w:jc w:val="both"/>
        <w:rPr>
          <w:sz w:val="22"/>
          <w:szCs w:val="22"/>
        </w:rPr>
      </w:pPr>
      <w:r w:rsidDel="00000000" w:rsidR="00000000" w:rsidRPr="00000000">
        <w:rPr>
          <w:sz w:val="22"/>
          <w:szCs w:val="22"/>
          <w:rtl w:val="0"/>
        </w:rPr>
        <w:t xml:space="preserve">It is apparent that the continued use of medicines is not always due to the patient or their medication beliefs. Across the data, there is evidence of inappropriate and poor prescribing practices. The perceived lack of practitioner understanding, and their levels of information sharing are considered an important aspect of this “</w:t>
      </w:r>
      <w:r w:rsidDel="00000000" w:rsidR="00000000" w:rsidRPr="00000000">
        <w:rPr>
          <w:i w:val="1"/>
          <w:sz w:val="22"/>
          <w:szCs w:val="22"/>
          <w:rtl w:val="0"/>
        </w:rPr>
        <w:t xml:space="preserve">Medication Trap</w:t>
      </w:r>
      <w:r w:rsidDel="00000000" w:rsidR="00000000" w:rsidRPr="00000000">
        <w:rPr>
          <w:sz w:val="22"/>
          <w:szCs w:val="22"/>
          <w:rtl w:val="0"/>
        </w:rPr>
        <w:t xml:space="preserve">”, alongside the lack of support and clinically inappropriate prescribing. These will be explored in this subtheme. </w:t>
      </w:r>
    </w:p>
    <w:p w:rsidR="00000000" w:rsidDel="00000000" w:rsidP="00000000" w:rsidRDefault="00000000" w:rsidRPr="00000000" w14:paraId="00000922">
      <w:pPr>
        <w:spacing w:line="480" w:lineRule="auto"/>
        <w:jc w:val="both"/>
        <w:rPr>
          <w:sz w:val="22"/>
          <w:szCs w:val="22"/>
        </w:rPr>
      </w:pPr>
      <w:r w:rsidDel="00000000" w:rsidR="00000000" w:rsidRPr="00000000">
        <w:rPr>
          <w:rtl w:val="0"/>
        </w:rPr>
      </w:r>
    </w:p>
    <w:p w:rsidR="00000000" w:rsidDel="00000000" w:rsidP="00000000" w:rsidRDefault="00000000" w:rsidRPr="00000000" w14:paraId="00000923">
      <w:pPr>
        <w:pStyle w:val="Heading3"/>
        <w:spacing w:line="480" w:lineRule="auto"/>
        <w:rPr/>
      </w:pPr>
      <w:bookmarkStart w:colFirst="0" w:colLast="0" w:name="_heading=h.3s49zyc" w:id="101"/>
      <w:bookmarkEnd w:id="101"/>
      <w:r w:rsidDel="00000000" w:rsidR="00000000" w:rsidRPr="00000000">
        <w:rPr>
          <w:rtl w:val="0"/>
        </w:rPr>
        <w:t xml:space="preserve">Prescribing Practices</w:t>
      </w:r>
    </w:p>
    <w:p w:rsidR="00000000" w:rsidDel="00000000" w:rsidP="00000000" w:rsidRDefault="00000000" w:rsidRPr="00000000" w14:paraId="00000924">
      <w:pPr>
        <w:spacing w:line="480" w:lineRule="auto"/>
        <w:jc w:val="both"/>
        <w:rPr>
          <w:sz w:val="22"/>
          <w:szCs w:val="22"/>
        </w:rPr>
      </w:pPr>
      <w:r w:rsidDel="00000000" w:rsidR="00000000" w:rsidRPr="00000000">
        <w:rPr>
          <w:sz w:val="22"/>
          <w:szCs w:val="22"/>
          <w:rtl w:val="0"/>
        </w:rPr>
        <w:t xml:space="preserve">Polypharmacy is evident in nine participants and has been noted as a concern by some. Polypharmacy defined as the “</w:t>
      </w:r>
      <w:r w:rsidDel="00000000" w:rsidR="00000000" w:rsidRPr="00000000">
        <w:rPr>
          <w:i w:val="1"/>
          <w:sz w:val="22"/>
          <w:szCs w:val="22"/>
          <w:rtl w:val="0"/>
        </w:rPr>
        <w:t xml:space="preserve">multimorbidity and the associated use of multiple medicines</w:t>
      </w:r>
      <w:r w:rsidDel="00000000" w:rsidR="00000000" w:rsidRPr="00000000">
        <w:rPr>
          <w:sz w:val="22"/>
          <w:szCs w:val="22"/>
          <w:rtl w:val="0"/>
        </w:rPr>
        <w:t xml:space="preserve">”</w:t>
      </w:r>
      <w:r w:rsidDel="00000000" w:rsidR="00000000" w:rsidRPr="00000000">
        <w:rPr>
          <w:i w:val="1"/>
          <w:sz w:val="22"/>
          <w:szCs w:val="22"/>
          <w:rtl w:val="0"/>
        </w:rPr>
        <w:t xml:space="preserve"> </w:t>
      </w:r>
      <w:r w:rsidDel="00000000" w:rsidR="00000000" w:rsidRPr="00000000">
        <w:rPr>
          <w:sz w:val="22"/>
          <w:szCs w:val="22"/>
          <w:rtl w:val="0"/>
        </w:rPr>
        <w:t xml:space="preserve">(Masnoon et al, 2017). Of the nine participants reporting polypharmacy, six of these participants report the use of analgesia and a medication indicated for psychiatric care. </w:t>
      </w:r>
    </w:p>
    <w:p w:rsidR="00000000" w:rsidDel="00000000" w:rsidP="00000000" w:rsidRDefault="00000000" w:rsidRPr="00000000" w14:paraId="00000925">
      <w:pPr>
        <w:spacing w:line="480" w:lineRule="auto"/>
        <w:jc w:val="both"/>
        <w:rPr>
          <w:sz w:val="22"/>
          <w:szCs w:val="22"/>
        </w:rPr>
      </w:pPr>
      <w:r w:rsidDel="00000000" w:rsidR="00000000" w:rsidRPr="00000000">
        <w:rPr>
          <w:rtl w:val="0"/>
        </w:rPr>
      </w:r>
    </w:p>
    <w:p w:rsidR="00000000" w:rsidDel="00000000" w:rsidP="00000000" w:rsidRDefault="00000000" w:rsidRPr="00000000" w14:paraId="00000926">
      <w:pPr>
        <w:spacing w:line="480" w:lineRule="auto"/>
        <w:jc w:val="both"/>
        <w:rPr>
          <w:sz w:val="22"/>
          <w:szCs w:val="22"/>
        </w:rPr>
      </w:pPr>
      <w:r w:rsidDel="00000000" w:rsidR="00000000" w:rsidRPr="00000000">
        <w:rPr>
          <w:sz w:val="22"/>
          <w:szCs w:val="22"/>
          <w:rtl w:val="0"/>
        </w:rPr>
        <w:t xml:space="preserve">Other medicines that are outside the scope of this study are also used. These medicines are sometimes used to mitigate the side effects of their original medication. This has led some to feel trapped in a cycle of pharmacological dependence: </w:t>
      </w:r>
    </w:p>
    <w:p w:rsidR="00000000" w:rsidDel="00000000" w:rsidP="00000000" w:rsidRDefault="00000000" w:rsidRPr="00000000" w14:paraId="00000927">
      <w:pPr>
        <w:spacing w:line="480" w:lineRule="auto"/>
        <w:jc w:val="both"/>
        <w:rPr>
          <w:sz w:val="22"/>
          <w:szCs w:val="22"/>
        </w:rPr>
      </w:pPr>
      <w:r w:rsidDel="00000000" w:rsidR="00000000" w:rsidRPr="00000000">
        <w:rPr>
          <w:rtl w:val="0"/>
        </w:rPr>
      </w:r>
    </w:p>
    <w:p w:rsidR="00000000" w:rsidDel="00000000" w:rsidP="00000000" w:rsidRDefault="00000000" w:rsidRPr="00000000" w14:paraId="00000928">
      <w:pPr>
        <w:spacing w:line="480" w:lineRule="auto"/>
        <w:ind w:left="709" w:firstLine="0"/>
        <w:jc w:val="both"/>
        <w:rPr/>
      </w:pPr>
      <w:r w:rsidDel="00000000" w:rsidR="00000000" w:rsidRPr="00000000">
        <w:rPr>
          <w:sz w:val="22"/>
          <w:szCs w:val="22"/>
          <w:rtl w:val="0"/>
        </w:rPr>
        <w:t xml:space="preserve">“</w:t>
      </w:r>
      <w:r w:rsidDel="00000000" w:rsidR="00000000" w:rsidRPr="00000000">
        <w:rPr>
          <w:i w:val="1"/>
          <w:sz w:val="22"/>
          <w:szCs w:val="22"/>
          <w:rtl w:val="0"/>
        </w:rPr>
        <w:t xml:space="preserve">I knew there were side effects and obviously I was on a lot more drugs to, you know, help the side effects… oh stick her on some benzos and tell her it’s her anxiety… I was dealing with tricyclic withdrawal as well which of course nobody thought about</w:t>
      </w:r>
      <w:r w:rsidDel="00000000" w:rsidR="00000000" w:rsidRPr="00000000">
        <w:rPr>
          <w:sz w:val="22"/>
          <w:szCs w:val="22"/>
          <w:rtl w:val="0"/>
        </w:rPr>
        <w:t xml:space="preserve">.</w:t>
      </w:r>
      <w:r w:rsidDel="00000000" w:rsidR="00000000" w:rsidRPr="00000000">
        <w:rPr>
          <w:sz w:val="21"/>
          <w:szCs w:val="21"/>
          <w:rtl w:val="0"/>
        </w:rPr>
        <w:t xml:space="preserve">”</w:t>
      </w:r>
      <w:r w:rsidDel="00000000" w:rsidR="00000000" w:rsidRPr="00000000">
        <w:rPr>
          <w:rtl w:val="0"/>
        </w:rPr>
      </w:r>
    </w:p>
    <w:p w:rsidR="00000000" w:rsidDel="00000000" w:rsidP="00000000" w:rsidRDefault="00000000" w:rsidRPr="00000000" w14:paraId="00000929">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2A">
      <w:pPr>
        <w:spacing w:line="480" w:lineRule="auto"/>
        <w:jc w:val="both"/>
        <w:rPr>
          <w:sz w:val="22"/>
          <w:szCs w:val="22"/>
        </w:rPr>
      </w:pPr>
      <w:r w:rsidDel="00000000" w:rsidR="00000000" w:rsidRPr="00000000">
        <w:rPr>
          <w:sz w:val="22"/>
          <w:szCs w:val="22"/>
          <w:rtl w:val="0"/>
        </w:rPr>
        <w:t xml:space="preserve">As previously explored, those who feel they do not have the understanding, or lack confidence in their knowledge of prescribed medicines, are likely to passively accept their prescription. There is an acknowledgement that pharmaceutical interventions are not a “</w:t>
      </w:r>
      <w:r w:rsidDel="00000000" w:rsidR="00000000" w:rsidRPr="00000000">
        <w:rPr>
          <w:i w:val="1"/>
          <w:sz w:val="22"/>
          <w:szCs w:val="22"/>
          <w:rtl w:val="0"/>
        </w:rPr>
        <w:t xml:space="preserve">one size fits all</w:t>
      </w:r>
      <w:r w:rsidDel="00000000" w:rsidR="00000000" w:rsidRPr="00000000">
        <w:rPr>
          <w:sz w:val="22"/>
          <w:szCs w:val="22"/>
          <w:rtl w:val="0"/>
        </w:rPr>
        <w:t xml:space="preserve">” approach, particularly in the case of psychiatric medication. Furthermore, there is a perception medication is prescribed recklessly and indiscriminately, as described by </w:t>
      </w:r>
      <w:r w:rsidDel="00000000" w:rsidR="00000000" w:rsidRPr="00000000">
        <w:rPr>
          <w:i w:val="1"/>
          <w:sz w:val="22"/>
          <w:szCs w:val="22"/>
          <w:rtl w:val="0"/>
        </w:rPr>
        <w:t xml:space="preserve">Maggie </w:t>
      </w:r>
      <w:r w:rsidDel="00000000" w:rsidR="00000000" w:rsidRPr="00000000">
        <w:rPr>
          <w:sz w:val="22"/>
          <w:szCs w:val="22"/>
          <w:rtl w:val="0"/>
        </w:rPr>
        <w:t xml:space="preserve">and </w:t>
      </w:r>
      <w:r w:rsidDel="00000000" w:rsidR="00000000" w:rsidRPr="00000000">
        <w:rPr>
          <w:i w:val="1"/>
          <w:sz w:val="22"/>
          <w:szCs w:val="22"/>
          <w:rtl w:val="0"/>
        </w:rPr>
        <w:t xml:space="preserve">Tia</w:t>
      </w:r>
      <w:r w:rsidDel="00000000" w:rsidR="00000000" w:rsidRPr="00000000">
        <w:rPr>
          <w:sz w:val="22"/>
          <w:szCs w:val="22"/>
          <w:rtl w:val="0"/>
        </w:rPr>
        <w:t xml:space="preserve">:</w:t>
      </w:r>
    </w:p>
    <w:p w:rsidR="00000000" w:rsidDel="00000000" w:rsidP="00000000" w:rsidRDefault="00000000" w:rsidRPr="00000000" w14:paraId="0000092B">
      <w:pPr>
        <w:spacing w:line="480" w:lineRule="auto"/>
        <w:jc w:val="both"/>
        <w:rPr>
          <w:sz w:val="22"/>
          <w:szCs w:val="22"/>
        </w:rPr>
      </w:pPr>
      <w:r w:rsidDel="00000000" w:rsidR="00000000" w:rsidRPr="00000000">
        <w:rPr>
          <w:rtl w:val="0"/>
        </w:rPr>
      </w:r>
    </w:p>
    <w:p w:rsidR="00000000" w:rsidDel="00000000" w:rsidP="00000000" w:rsidRDefault="00000000" w:rsidRPr="00000000" w14:paraId="0000092C">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don't think it's a safe medication to be sort of willy-nilly putting people onto without them realizing because I mean when they put you on it, it does what you want it to do it, kills the pain but I don't think it's until you miss a dose or something that you realize how almost addicted to it, you are</w:t>
      </w:r>
      <w:r w:rsidDel="00000000" w:rsidR="00000000" w:rsidRPr="00000000">
        <w:rPr>
          <w:sz w:val="22"/>
          <w:szCs w:val="22"/>
          <w:rtl w:val="0"/>
        </w:rPr>
        <w:t xml:space="preserve">.”</w:t>
      </w:r>
    </w:p>
    <w:p w:rsidR="00000000" w:rsidDel="00000000" w:rsidP="00000000" w:rsidRDefault="00000000" w:rsidRPr="00000000" w14:paraId="0000092D">
      <w:pPr>
        <w:spacing w:line="480" w:lineRule="auto"/>
        <w:jc w:val="right"/>
        <w:rPr>
          <w:sz w:val="22"/>
          <w:szCs w:val="22"/>
        </w:rPr>
      </w:pPr>
      <w:r w:rsidDel="00000000" w:rsidR="00000000" w:rsidRPr="00000000">
        <w:rPr>
          <w:sz w:val="22"/>
          <w:szCs w:val="22"/>
          <w:rtl w:val="0"/>
        </w:rPr>
        <w:t xml:space="preserve">[Maggie: </w:t>
      </w:r>
      <w:r w:rsidDel="00000000" w:rsidR="00000000" w:rsidRPr="00000000">
        <w:rPr>
          <w:i w:val="1"/>
          <w:sz w:val="22"/>
          <w:szCs w:val="22"/>
          <w:rtl w:val="0"/>
        </w:rPr>
        <w:t xml:space="preserve">Pregabalin, Tramadol</w:t>
      </w:r>
      <w:r w:rsidDel="00000000" w:rsidR="00000000" w:rsidRPr="00000000">
        <w:rPr>
          <w:sz w:val="22"/>
          <w:szCs w:val="22"/>
          <w:rtl w:val="0"/>
        </w:rPr>
        <w:t xml:space="preserve">]</w:t>
      </w:r>
    </w:p>
    <w:p w:rsidR="00000000" w:rsidDel="00000000" w:rsidP="00000000" w:rsidRDefault="00000000" w:rsidRPr="00000000" w14:paraId="0000092E">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92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Drug dealer with drugs…  But the GP just goes are you find any drugs and I go yes and they're cool and then they prescribe them again and I could just be on them till the day I die that's just the way it is, which is the shame. But yeah... The documented GPs approach would have been just increase the dosage of your drugs, just double the doses if you drugs, and then you get more side effects so you feeling well, so then you can't do anything worse</w:t>
      </w:r>
      <w:r w:rsidDel="00000000" w:rsidR="00000000" w:rsidRPr="00000000">
        <w:rPr>
          <w:sz w:val="22"/>
          <w:szCs w:val="22"/>
          <w:rtl w:val="0"/>
        </w:rPr>
        <w:t xml:space="preserve">.”</w:t>
      </w:r>
    </w:p>
    <w:p w:rsidR="00000000" w:rsidDel="00000000" w:rsidP="00000000" w:rsidRDefault="00000000" w:rsidRPr="00000000" w14:paraId="00000930">
      <w:pPr>
        <w:spacing w:line="480" w:lineRule="auto"/>
        <w:jc w:val="right"/>
        <w:rPr>
          <w:sz w:val="22"/>
          <w:szCs w:val="22"/>
        </w:rPr>
      </w:pPr>
      <w:r w:rsidDel="00000000" w:rsidR="00000000" w:rsidRPr="00000000">
        <w:rPr>
          <w:sz w:val="22"/>
          <w:szCs w:val="22"/>
          <w:rtl w:val="0"/>
        </w:rPr>
        <w:t xml:space="preserve">[Tia: </w:t>
      </w:r>
      <w:r w:rsidDel="00000000" w:rsidR="00000000" w:rsidRPr="00000000">
        <w:rPr>
          <w:i w:val="1"/>
          <w:sz w:val="22"/>
          <w:szCs w:val="22"/>
          <w:rtl w:val="0"/>
        </w:rPr>
        <w:t xml:space="preserve">Clomipramine, Venlafaxine</w:t>
      </w:r>
      <w:r w:rsidDel="00000000" w:rsidR="00000000" w:rsidRPr="00000000">
        <w:rPr>
          <w:sz w:val="22"/>
          <w:szCs w:val="22"/>
          <w:rtl w:val="0"/>
        </w:rPr>
        <w:t xml:space="preserve">]</w:t>
      </w:r>
    </w:p>
    <w:p w:rsidR="00000000" w:rsidDel="00000000" w:rsidP="00000000" w:rsidRDefault="00000000" w:rsidRPr="00000000" w14:paraId="00000931">
      <w:pPr>
        <w:spacing w:line="480" w:lineRule="auto"/>
        <w:jc w:val="right"/>
        <w:rPr>
          <w:sz w:val="22"/>
          <w:szCs w:val="22"/>
        </w:rPr>
      </w:pPr>
      <w:r w:rsidDel="00000000" w:rsidR="00000000" w:rsidRPr="00000000">
        <w:rPr>
          <w:rtl w:val="0"/>
        </w:rPr>
      </w:r>
    </w:p>
    <w:p w:rsidR="00000000" w:rsidDel="00000000" w:rsidP="00000000" w:rsidRDefault="00000000" w:rsidRPr="00000000" w14:paraId="00000932">
      <w:pPr>
        <w:spacing w:line="480" w:lineRule="auto"/>
        <w:jc w:val="both"/>
        <w:rPr>
          <w:sz w:val="22"/>
          <w:szCs w:val="22"/>
        </w:rPr>
      </w:pPr>
      <w:r w:rsidDel="00000000" w:rsidR="00000000" w:rsidRPr="00000000">
        <w:rPr>
          <w:sz w:val="22"/>
          <w:szCs w:val="22"/>
          <w:rtl w:val="0"/>
        </w:rPr>
        <w:t xml:space="preserve">The misdiagnosis of anxiety, instead of tricyclic antidepressant withdrawal, meant a potential prescribing of further medicines that have a risk of dependence formation. This type of polypharmacy can be high risk due to the side effects each medication carries, independently. The perceived lack of practitioner knowledge and understanding will be discussed in the next section.</w:t>
      </w:r>
    </w:p>
    <w:p w:rsidR="00000000" w:rsidDel="00000000" w:rsidP="00000000" w:rsidRDefault="00000000" w:rsidRPr="00000000" w14:paraId="00000933">
      <w:pPr>
        <w:spacing w:line="480" w:lineRule="auto"/>
        <w:jc w:val="both"/>
        <w:rPr>
          <w:sz w:val="22"/>
          <w:szCs w:val="22"/>
        </w:rPr>
      </w:pPr>
      <w:r w:rsidDel="00000000" w:rsidR="00000000" w:rsidRPr="00000000">
        <w:rPr>
          <w:rtl w:val="0"/>
        </w:rPr>
      </w:r>
    </w:p>
    <w:p w:rsidR="00000000" w:rsidDel="00000000" w:rsidP="00000000" w:rsidRDefault="00000000" w:rsidRPr="00000000" w14:paraId="00000934">
      <w:pPr>
        <w:spacing w:line="480" w:lineRule="auto"/>
        <w:jc w:val="both"/>
        <w:rPr>
          <w:sz w:val="22"/>
          <w:szCs w:val="22"/>
        </w:rPr>
      </w:pPr>
      <w:r w:rsidDel="00000000" w:rsidR="00000000" w:rsidRPr="00000000">
        <w:rPr>
          <w:sz w:val="22"/>
          <w:szCs w:val="22"/>
          <w:rtl w:val="0"/>
        </w:rPr>
        <w:t xml:space="preserve">As noted in the previous theme, participants recommended ways in which their care could be managed more appropriately. </w:t>
      </w:r>
      <w:r w:rsidDel="00000000" w:rsidR="00000000" w:rsidRPr="00000000">
        <w:rPr>
          <w:i w:val="1"/>
          <w:sz w:val="22"/>
          <w:szCs w:val="22"/>
          <w:rtl w:val="0"/>
        </w:rPr>
        <w:t xml:space="preserve">Alice</w:t>
      </w:r>
      <w:r w:rsidDel="00000000" w:rsidR="00000000" w:rsidRPr="00000000">
        <w:rPr>
          <w:sz w:val="22"/>
          <w:szCs w:val="22"/>
          <w:rtl w:val="0"/>
        </w:rPr>
        <w:t xml:space="preserve"> suggested prescribers should approach long-term antidepressant users to ensure their mental health is being appropriately managed. This would also serve as an opportunity to hold a discussion with the patient to consider a reduction or more appropriate interventions: </w:t>
      </w:r>
    </w:p>
    <w:p w:rsidR="00000000" w:rsidDel="00000000" w:rsidP="00000000" w:rsidRDefault="00000000" w:rsidRPr="00000000" w14:paraId="00000935">
      <w:pPr>
        <w:spacing w:line="480" w:lineRule="auto"/>
        <w:jc w:val="both"/>
        <w:rPr>
          <w:sz w:val="22"/>
          <w:szCs w:val="22"/>
        </w:rPr>
      </w:pPr>
      <w:r w:rsidDel="00000000" w:rsidR="00000000" w:rsidRPr="00000000">
        <w:rPr>
          <w:rtl w:val="0"/>
        </w:rPr>
      </w:r>
    </w:p>
    <w:p w:rsidR="00000000" w:rsidDel="00000000" w:rsidP="00000000" w:rsidRDefault="00000000" w:rsidRPr="00000000" w14:paraId="0000093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think that would need to be more doctor led because it’s not ideal being on antidepressants forever … can see how someone would just take them and settle on them forever… I think there maybe should be more support for not encouragement to come off but for support sort of the reminder that the option is there if its right</w:t>
      </w:r>
      <w:r w:rsidDel="00000000" w:rsidR="00000000" w:rsidRPr="00000000">
        <w:rPr>
          <w:sz w:val="22"/>
          <w:szCs w:val="22"/>
          <w:rtl w:val="0"/>
        </w:rPr>
        <w:t xml:space="preserve">.”</w:t>
      </w:r>
    </w:p>
    <w:p w:rsidR="00000000" w:rsidDel="00000000" w:rsidP="00000000" w:rsidRDefault="00000000" w:rsidRPr="00000000" w14:paraId="00000937">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938">
      <w:pPr>
        <w:spacing w:line="480" w:lineRule="auto"/>
        <w:jc w:val="right"/>
        <w:rPr>
          <w:sz w:val="22"/>
          <w:szCs w:val="22"/>
        </w:rPr>
      </w:pPr>
      <w:r w:rsidDel="00000000" w:rsidR="00000000" w:rsidRPr="00000000">
        <w:rPr>
          <w:rtl w:val="0"/>
        </w:rPr>
      </w:r>
    </w:p>
    <w:p w:rsidR="00000000" w:rsidDel="00000000" w:rsidP="00000000" w:rsidRDefault="00000000" w:rsidRPr="00000000" w14:paraId="00000939">
      <w:pPr>
        <w:spacing w:line="480" w:lineRule="auto"/>
        <w:jc w:val="both"/>
        <w:rPr>
          <w:sz w:val="22"/>
          <w:szCs w:val="22"/>
        </w:rPr>
      </w:pPr>
      <w:r w:rsidDel="00000000" w:rsidR="00000000" w:rsidRPr="00000000">
        <w:rPr>
          <w:sz w:val="22"/>
          <w:szCs w:val="22"/>
          <w:rtl w:val="0"/>
        </w:rPr>
        <w:t xml:space="preserve">The idea that prescription charges can be a significant cost for patients have been identified, particularly when a contributing factor to poor mental health and wellbeing could be financial instability and distress.</w:t>
      </w:r>
    </w:p>
    <w:p w:rsidR="00000000" w:rsidDel="00000000" w:rsidP="00000000" w:rsidRDefault="00000000" w:rsidRPr="00000000" w14:paraId="0000093A">
      <w:pPr>
        <w:spacing w:line="480" w:lineRule="auto"/>
        <w:jc w:val="both"/>
        <w:rPr>
          <w:sz w:val="22"/>
          <w:szCs w:val="22"/>
        </w:rPr>
      </w:pPr>
      <w:r w:rsidDel="00000000" w:rsidR="00000000" w:rsidRPr="00000000">
        <w:rPr>
          <w:rtl w:val="0"/>
        </w:rPr>
      </w:r>
    </w:p>
    <w:p w:rsidR="00000000" w:rsidDel="00000000" w:rsidP="00000000" w:rsidRDefault="00000000" w:rsidRPr="00000000" w14:paraId="0000093B">
      <w:pPr>
        <w:spacing w:line="480" w:lineRule="auto"/>
        <w:jc w:val="both"/>
        <w:rPr>
          <w:sz w:val="22"/>
          <w:szCs w:val="22"/>
        </w:rPr>
      </w:pPr>
      <w:r w:rsidDel="00000000" w:rsidR="00000000" w:rsidRPr="00000000">
        <w:rPr>
          <w:sz w:val="22"/>
          <w:szCs w:val="22"/>
          <w:rtl w:val="0"/>
        </w:rPr>
        <w:t xml:space="preserve">It is evident, despite patient preferences and medication beliefs, there are inappropriate prescribing practices reported by participants. Extensive prescribing periods, longer than clinical guidelines dictate, is present. Participants can feel as though medicines are prescribed “wi</w:t>
      </w:r>
      <w:r w:rsidDel="00000000" w:rsidR="00000000" w:rsidRPr="00000000">
        <w:rPr>
          <w:i w:val="1"/>
          <w:sz w:val="22"/>
          <w:szCs w:val="22"/>
          <w:rtl w:val="0"/>
        </w:rPr>
        <w:t xml:space="preserve">lly nilly</w:t>
      </w:r>
      <w:r w:rsidDel="00000000" w:rsidR="00000000" w:rsidRPr="00000000">
        <w:rPr>
          <w:sz w:val="22"/>
          <w:szCs w:val="22"/>
          <w:rtl w:val="0"/>
        </w:rPr>
        <w:t xml:space="preserve">” despite their perception medicines are not a “</w:t>
      </w:r>
      <w:r w:rsidDel="00000000" w:rsidR="00000000" w:rsidRPr="00000000">
        <w:rPr>
          <w:i w:val="1"/>
          <w:sz w:val="22"/>
          <w:szCs w:val="22"/>
          <w:rtl w:val="0"/>
        </w:rPr>
        <w:t xml:space="preserve">one size fits all approach</w:t>
      </w:r>
      <w:r w:rsidDel="00000000" w:rsidR="00000000" w:rsidRPr="00000000">
        <w:rPr>
          <w:sz w:val="22"/>
          <w:szCs w:val="22"/>
          <w:rtl w:val="0"/>
        </w:rPr>
        <w:t xml:space="preserve">”. Polypharmacy is also present, which can be a high-risk prescribing practice. Further to prescribing practices, behaviours reportedly exhibited by professionals can also lead to the continued use of medicines despite dependency. The level of understanding and knowledge practitioners are perceived to have been described as limited, as is effective monitoring that is imperative to Good Clinical Prescribing practices. Again, support provided by the practitioner can be described as limited by some, however others have positive experiences with their prescriber and support. </w:t>
      </w:r>
    </w:p>
    <w:p w:rsidR="00000000" w:rsidDel="00000000" w:rsidP="00000000" w:rsidRDefault="00000000" w:rsidRPr="00000000" w14:paraId="0000093C">
      <w:pPr>
        <w:pStyle w:val="Heading3"/>
        <w:spacing w:line="480" w:lineRule="auto"/>
        <w:rPr/>
      </w:pPr>
      <w:bookmarkStart w:colFirst="0" w:colLast="0" w:name="_heading=h.279ka65" w:id="102"/>
      <w:bookmarkEnd w:id="102"/>
      <w:r w:rsidDel="00000000" w:rsidR="00000000" w:rsidRPr="00000000">
        <w:rPr>
          <w:rtl w:val="0"/>
        </w:rPr>
        <w:t xml:space="preserve">Specialist Support, Knowledge and Understanding</w:t>
      </w:r>
    </w:p>
    <w:p w:rsidR="00000000" w:rsidDel="00000000" w:rsidP="00000000" w:rsidRDefault="00000000" w:rsidRPr="00000000" w14:paraId="0000093D">
      <w:pPr>
        <w:spacing w:line="480" w:lineRule="auto"/>
        <w:jc w:val="both"/>
        <w:rPr>
          <w:sz w:val="22"/>
          <w:szCs w:val="22"/>
        </w:rPr>
      </w:pPr>
      <w:r w:rsidDel="00000000" w:rsidR="00000000" w:rsidRPr="00000000">
        <w:rPr>
          <w:sz w:val="22"/>
          <w:szCs w:val="22"/>
          <w:rtl w:val="0"/>
        </w:rPr>
        <w:t xml:space="preserve">As with information sharing, participants describe varied levels of support received from their practitioners from high levels to complete absence. All participants, however, report an element of unsupportiveness. Reflected in </w:t>
      </w:r>
      <w:hyperlink w:anchor="_heading=h.1opuj5n">
        <w:r w:rsidDel="00000000" w:rsidR="00000000" w:rsidRPr="00000000">
          <w:rPr>
            <w:color w:val="467886"/>
            <w:sz w:val="22"/>
            <w:szCs w:val="22"/>
            <w:u w:val="single"/>
            <w:rtl w:val="0"/>
          </w:rPr>
          <w:t xml:space="preserve">Chapter Five</w:t>
        </w:r>
      </w:hyperlink>
      <w:r w:rsidDel="00000000" w:rsidR="00000000" w:rsidRPr="00000000">
        <w:rPr>
          <w:color w:val="467886"/>
          <w:sz w:val="22"/>
          <w:szCs w:val="22"/>
          <w:u w:val="single"/>
          <w:rtl w:val="0"/>
        </w:rPr>
        <w:t xml:space="preserve"> </w:t>
      </w:r>
      <w:r w:rsidDel="00000000" w:rsidR="00000000" w:rsidRPr="00000000">
        <w:rPr>
          <w:sz w:val="22"/>
          <w:szCs w:val="22"/>
          <w:rtl w:val="0"/>
        </w:rPr>
        <w:t xml:space="preserve">(p. 132), some participants report an imbalanced dialogue between themselves and their practitioners, typically practitioner dominant. This can often lead to the patients being prescribed medication, often without discussing risks, and without being provided an alternative. The support received by participants from both their peers and practitioners is an important aspect of a positive patient experience and has been identified as a facilitator to treatment and recovery. </w:t>
      </w:r>
    </w:p>
    <w:p w:rsidR="00000000" w:rsidDel="00000000" w:rsidP="00000000" w:rsidRDefault="00000000" w:rsidRPr="00000000" w14:paraId="0000093E">
      <w:pPr>
        <w:spacing w:line="480" w:lineRule="auto"/>
        <w:jc w:val="both"/>
        <w:rPr>
          <w:sz w:val="22"/>
          <w:szCs w:val="22"/>
        </w:rPr>
      </w:pPr>
      <w:r w:rsidDel="00000000" w:rsidR="00000000" w:rsidRPr="00000000">
        <w:rPr>
          <w:rtl w:val="0"/>
        </w:rPr>
      </w:r>
    </w:p>
    <w:p w:rsidR="00000000" w:rsidDel="00000000" w:rsidP="00000000" w:rsidRDefault="00000000" w:rsidRPr="00000000" w14:paraId="0000093F">
      <w:pPr>
        <w:spacing w:line="480" w:lineRule="auto"/>
        <w:jc w:val="both"/>
        <w:rPr>
          <w:sz w:val="22"/>
          <w:szCs w:val="22"/>
        </w:rPr>
      </w:pPr>
      <w:r w:rsidDel="00000000" w:rsidR="00000000" w:rsidRPr="00000000">
        <w:rPr>
          <w:sz w:val="22"/>
          <w:szCs w:val="22"/>
          <w:rtl w:val="0"/>
        </w:rPr>
        <w:t xml:space="preserve">The accessibility of general practice has been considered useful by participants, as they are able to order repeat prescriptions with ease and are able to arrange appointments quicker than those waiting for specialist services. Those who have seen the same general practitioner for a long time report a sense of security and reassurance when accessing care, as they did not feel they needed to repeat their medical and wider social history: </w:t>
      </w:r>
    </w:p>
    <w:p w:rsidR="00000000" w:rsidDel="00000000" w:rsidP="00000000" w:rsidRDefault="00000000" w:rsidRPr="00000000" w14:paraId="00000940">
      <w:pPr>
        <w:spacing w:line="480" w:lineRule="auto"/>
        <w:jc w:val="both"/>
        <w:rPr>
          <w:sz w:val="22"/>
          <w:szCs w:val="22"/>
        </w:rPr>
      </w:pPr>
      <w:r w:rsidDel="00000000" w:rsidR="00000000" w:rsidRPr="00000000">
        <w:rPr>
          <w:rtl w:val="0"/>
        </w:rPr>
      </w:r>
    </w:p>
    <w:p w:rsidR="00000000" w:rsidDel="00000000" w:rsidP="00000000" w:rsidRDefault="00000000" w:rsidRPr="00000000" w14:paraId="0000094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saw the same GP for quite a number of years until he retired and so he knew me and he knew my case very very well… I see multiple different people now and I can get different advice</w:t>
      </w:r>
      <w:r w:rsidDel="00000000" w:rsidR="00000000" w:rsidRPr="00000000">
        <w:rPr>
          <w:sz w:val="22"/>
          <w:szCs w:val="22"/>
          <w:rtl w:val="0"/>
        </w:rPr>
        <w:t xml:space="preserve">.” </w:t>
      </w:r>
    </w:p>
    <w:p w:rsidR="00000000" w:rsidDel="00000000" w:rsidP="00000000" w:rsidRDefault="00000000" w:rsidRPr="00000000" w14:paraId="00000942">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943">
      <w:pPr>
        <w:spacing w:line="480" w:lineRule="auto"/>
        <w:jc w:val="right"/>
        <w:rPr>
          <w:sz w:val="22"/>
          <w:szCs w:val="22"/>
        </w:rPr>
      </w:pPr>
      <w:r w:rsidDel="00000000" w:rsidR="00000000" w:rsidRPr="00000000">
        <w:rPr>
          <w:rtl w:val="0"/>
        </w:rPr>
      </w:r>
    </w:p>
    <w:p w:rsidR="00000000" w:rsidDel="00000000" w:rsidP="00000000" w:rsidRDefault="00000000" w:rsidRPr="00000000" w14:paraId="0000094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If I ever had questions, they answered them if I needed any help yeah it was alright… I’ve had the same GP since I was like 2… I’ve known him for ages</w:t>
      </w:r>
      <w:r w:rsidDel="00000000" w:rsidR="00000000" w:rsidRPr="00000000">
        <w:rPr>
          <w:sz w:val="22"/>
          <w:szCs w:val="22"/>
          <w:rtl w:val="0"/>
        </w:rPr>
        <w:t xml:space="preserve">.”</w:t>
      </w:r>
    </w:p>
    <w:p w:rsidR="00000000" w:rsidDel="00000000" w:rsidP="00000000" w:rsidRDefault="00000000" w:rsidRPr="00000000" w14:paraId="00000945">
      <w:pPr>
        <w:spacing w:line="480" w:lineRule="auto"/>
        <w:jc w:val="right"/>
        <w:rPr>
          <w:sz w:val="22"/>
          <w:szCs w:val="22"/>
        </w:rPr>
      </w:pPr>
      <w:r w:rsidDel="00000000" w:rsidR="00000000" w:rsidRPr="00000000">
        <w:rPr>
          <w:sz w:val="22"/>
          <w:szCs w:val="22"/>
          <w:rtl w:val="0"/>
        </w:rPr>
        <w:t xml:space="preserve">[Brandon: </w:t>
      </w:r>
      <w:r w:rsidDel="00000000" w:rsidR="00000000" w:rsidRPr="00000000">
        <w:rPr>
          <w:i w:val="1"/>
          <w:sz w:val="22"/>
          <w:szCs w:val="22"/>
          <w:rtl w:val="0"/>
        </w:rPr>
        <w:t xml:space="preserve">Duloxetine, Pregabalin, Zopiclone</w:t>
      </w:r>
      <w:r w:rsidDel="00000000" w:rsidR="00000000" w:rsidRPr="00000000">
        <w:rPr>
          <w:sz w:val="22"/>
          <w:szCs w:val="22"/>
          <w:rtl w:val="0"/>
        </w:rPr>
        <w:t xml:space="preserve">]</w:t>
      </w:r>
    </w:p>
    <w:p w:rsidR="00000000" w:rsidDel="00000000" w:rsidP="00000000" w:rsidRDefault="00000000" w:rsidRPr="00000000" w14:paraId="00000946">
      <w:pPr>
        <w:spacing w:line="480" w:lineRule="auto"/>
        <w:jc w:val="both"/>
        <w:rPr>
          <w:sz w:val="22"/>
          <w:szCs w:val="22"/>
        </w:rPr>
      </w:pPr>
      <w:r w:rsidDel="00000000" w:rsidR="00000000" w:rsidRPr="00000000">
        <w:rPr>
          <w:sz w:val="22"/>
          <w:szCs w:val="22"/>
          <w:rtl w:val="0"/>
        </w:rPr>
        <w:t xml:space="preserve">Some general practice surgeries have specialist professionals working within them, which can increase the support offered to patients. This is particularly important when discussing mental health, and has a positive association with patient satisfaction:</w:t>
      </w:r>
    </w:p>
    <w:p w:rsidR="00000000" w:rsidDel="00000000" w:rsidP="00000000" w:rsidRDefault="00000000" w:rsidRPr="00000000" w14:paraId="00000947">
      <w:pPr>
        <w:spacing w:line="480" w:lineRule="auto"/>
        <w:jc w:val="both"/>
        <w:rPr>
          <w:sz w:val="22"/>
          <w:szCs w:val="22"/>
        </w:rPr>
      </w:pPr>
      <w:r w:rsidDel="00000000" w:rsidR="00000000" w:rsidRPr="00000000">
        <w:rPr>
          <w:rtl w:val="0"/>
        </w:rPr>
      </w:r>
    </w:p>
    <w:p w:rsidR="00000000" w:rsidDel="00000000" w:rsidP="00000000" w:rsidRDefault="00000000" w:rsidRPr="00000000" w14:paraId="0000094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I'm very, very happy with the care that I do receive from my GP if there were alternatives then I'll be quite happy to do that. the GP surgery now does have a mental health nurse in associated and I did see them a couple of times, but then I was advice to follow the support mechanisms which I accessed as well so my GP surgery I'm very pleased with the advice and support that I've received</w:t>
      </w:r>
      <w:r w:rsidDel="00000000" w:rsidR="00000000" w:rsidRPr="00000000">
        <w:rPr>
          <w:sz w:val="22"/>
          <w:szCs w:val="22"/>
          <w:rtl w:val="0"/>
        </w:rPr>
        <w:t xml:space="preserve">.”</w:t>
      </w:r>
    </w:p>
    <w:p w:rsidR="00000000" w:rsidDel="00000000" w:rsidP="00000000" w:rsidRDefault="00000000" w:rsidRPr="00000000" w14:paraId="00000949">
      <w:pPr>
        <w:spacing w:line="480" w:lineRule="auto"/>
        <w:jc w:val="right"/>
        <w:rPr>
          <w:sz w:val="22"/>
          <w:szCs w:val="22"/>
        </w:rPr>
      </w:pPr>
      <w:r w:rsidDel="00000000" w:rsidR="00000000" w:rsidRPr="00000000">
        <w:rPr>
          <w:sz w:val="22"/>
          <w:szCs w:val="22"/>
          <w:rtl w:val="0"/>
        </w:rPr>
        <w:t xml:space="preserve">[Oscar: </w:t>
      </w:r>
      <w:r w:rsidDel="00000000" w:rsidR="00000000" w:rsidRPr="00000000">
        <w:rPr>
          <w:i w:val="1"/>
          <w:sz w:val="22"/>
          <w:szCs w:val="22"/>
          <w:rtl w:val="0"/>
        </w:rPr>
        <w:t xml:space="preserve">Fluoxetine, Fentanyl, Morphine, Tramadol</w:t>
      </w:r>
      <w:r w:rsidDel="00000000" w:rsidR="00000000" w:rsidRPr="00000000">
        <w:rPr>
          <w:sz w:val="22"/>
          <w:szCs w:val="22"/>
          <w:rtl w:val="0"/>
        </w:rPr>
        <w:t xml:space="preserve">]</w:t>
      </w:r>
    </w:p>
    <w:p w:rsidR="00000000" w:rsidDel="00000000" w:rsidP="00000000" w:rsidRDefault="00000000" w:rsidRPr="00000000" w14:paraId="0000094A">
      <w:pPr>
        <w:spacing w:line="480" w:lineRule="auto"/>
        <w:jc w:val="right"/>
        <w:rPr>
          <w:sz w:val="22"/>
          <w:szCs w:val="22"/>
        </w:rPr>
      </w:pPr>
      <w:r w:rsidDel="00000000" w:rsidR="00000000" w:rsidRPr="00000000">
        <w:rPr>
          <w:rtl w:val="0"/>
        </w:rPr>
      </w:r>
    </w:p>
    <w:p w:rsidR="00000000" w:rsidDel="00000000" w:rsidP="00000000" w:rsidRDefault="00000000" w:rsidRPr="00000000" w14:paraId="0000094B">
      <w:pPr>
        <w:spacing w:line="480" w:lineRule="auto"/>
        <w:jc w:val="both"/>
        <w:rPr>
          <w:sz w:val="22"/>
          <w:szCs w:val="22"/>
        </w:rPr>
      </w:pPr>
      <w:r w:rsidDel="00000000" w:rsidR="00000000" w:rsidRPr="00000000">
        <w:rPr>
          <w:sz w:val="22"/>
          <w:szCs w:val="22"/>
          <w:rtl w:val="0"/>
        </w:rPr>
        <w:t xml:space="preserve">Other specialist practitioners include pain consultants, pharmacists and psychologists. These professionals were able to explore alternative pain management techniques alongside self-identified strategies in </w:t>
      </w:r>
      <w:r w:rsidDel="00000000" w:rsidR="00000000" w:rsidRPr="00000000">
        <w:rPr>
          <w:i w:val="1"/>
          <w:sz w:val="22"/>
          <w:szCs w:val="22"/>
          <w:rtl w:val="0"/>
        </w:rPr>
        <w:t xml:space="preserve">Georgina’s</w:t>
      </w:r>
      <w:r w:rsidDel="00000000" w:rsidR="00000000" w:rsidRPr="00000000">
        <w:rPr>
          <w:sz w:val="22"/>
          <w:szCs w:val="22"/>
          <w:rtl w:val="0"/>
        </w:rPr>
        <w:t xml:space="preserve"> care:</w:t>
      </w:r>
    </w:p>
    <w:p w:rsidR="00000000" w:rsidDel="00000000" w:rsidP="00000000" w:rsidRDefault="00000000" w:rsidRPr="00000000" w14:paraId="0000094C">
      <w:pPr>
        <w:spacing w:line="480" w:lineRule="auto"/>
        <w:jc w:val="both"/>
        <w:rPr>
          <w:sz w:val="22"/>
          <w:szCs w:val="22"/>
        </w:rPr>
      </w:pPr>
      <w:r w:rsidDel="00000000" w:rsidR="00000000" w:rsidRPr="00000000">
        <w:rPr>
          <w:rtl w:val="0"/>
        </w:rPr>
      </w:r>
    </w:p>
    <w:p w:rsidR="00000000" w:rsidDel="00000000" w:rsidP="00000000" w:rsidRDefault="00000000" w:rsidRPr="00000000" w14:paraId="0000094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had a pain rehab consultant wo was brilliant… but I only saw her once a year but she was the one who set me down the path of getting back to life… I ended up with a taper team of the pharmacist from my local GP called tom who is always been brilliant erm the psychologist woman psychologist who was always very much always on my side</w:t>
      </w:r>
      <w:r w:rsidDel="00000000" w:rsidR="00000000" w:rsidRPr="00000000">
        <w:rPr>
          <w:sz w:val="22"/>
          <w:szCs w:val="22"/>
          <w:rtl w:val="0"/>
        </w:rPr>
        <w:t xml:space="preserve">…”</w:t>
      </w:r>
    </w:p>
    <w:p w:rsidR="00000000" w:rsidDel="00000000" w:rsidP="00000000" w:rsidRDefault="00000000" w:rsidRPr="00000000" w14:paraId="0000094E">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4F">
      <w:pPr>
        <w:spacing w:line="480" w:lineRule="auto"/>
        <w:ind w:left="709" w:firstLine="0"/>
        <w:jc w:val="both"/>
        <w:rPr>
          <w:i w:val="1"/>
          <w:sz w:val="22"/>
          <w:szCs w:val="22"/>
        </w:rPr>
      </w:pPr>
      <w:r w:rsidDel="00000000" w:rsidR="00000000" w:rsidRPr="00000000">
        <w:rPr>
          <w:rtl w:val="0"/>
        </w:rPr>
      </w:r>
    </w:p>
    <w:p w:rsidR="00000000" w:rsidDel="00000000" w:rsidP="00000000" w:rsidRDefault="00000000" w:rsidRPr="00000000" w14:paraId="00000950">
      <w:pPr>
        <w:spacing w:line="480" w:lineRule="auto"/>
        <w:jc w:val="both"/>
        <w:rPr>
          <w:sz w:val="22"/>
          <w:szCs w:val="22"/>
        </w:rPr>
      </w:pPr>
      <w:r w:rsidDel="00000000" w:rsidR="00000000" w:rsidRPr="00000000">
        <w:rPr>
          <w:sz w:val="22"/>
          <w:szCs w:val="22"/>
          <w:rtl w:val="0"/>
        </w:rPr>
        <w:t xml:space="preserve">Patients not accessing the appropriate services, such as specialist mental health services or pain clinics has also been identified as a barrier to recovery. There are reports of non-specialist practitioners offering patients alternative therapy that do not fit their treatment goals or preferred approach. Participants who have a sound understanding of their condition through either their own independent research or information provided, understand what treatment pathways are and are not appropriate:</w:t>
      </w:r>
    </w:p>
    <w:p w:rsidR="00000000" w:rsidDel="00000000" w:rsidP="00000000" w:rsidRDefault="00000000" w:rsidRPr="00000000" w14:paraId="00000951">
      <w:pPr>
        <w:spacing w:line="480" w:lineRule="auto"/>
        <w:jc w:val="both"/>
        <w:rPr>
          <w:sz w:val="22"/>
          <w:szCs w:val="22"/>
        </w:rPr>
      </w:pPr>
      <w:r w:rsidDel="00000000" w:rsidR="00000000" w:rsidRPr="00000000">
        <w:rPr>
          <w:rtl w:val="0"/>
        </w:rPr>
      </w:r>
    </w:p>
    <w:p w:rsidR="00000000" w:rsidDel="00000000" w:rsidP="00000000" w:rsidRDefault="00000000" w:rsidRPr="00000000" w14:paraId="0000095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Don’t think my care for pain was appropriate in terms of how pain science has now educated me I don’t think that was ever their fault and I think my care was great when it’s been the drugs involved has been pretty much appalling certainly after primary care level secondary care</w:t>
      </w:r>
      <w:r w:rsidDel="00000000" w:rsidR="00000000" w:rsidRPr="00000000">
        <w:rPr>
          <w:sz w:val="22"/>
          <w:szCs w:val="22"/>
          <w:rtl w:val="0"/>
        </w:rPr>
        <w:t xml:space="preserve">.”</w:t>
      </w:r>
    </w:p>
    <w:p w:rsidR="00000000" w:rsidDel="00000000" w:rsidP="00000000" w:rsidRDefault="00000000" w:rsidRPr="00000000" w14:paraId="00000953">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54">
      <w:pPr>
        <w:spacing w:line="480" w:lineRule="auto"/>
        <w:jc w:val="right"/>
        <w:rPr>
          <w:sz w:val="22"/>
          <w:szCs w:val="22"/>
        </w:rPr>
      </w:pPr>
      <w:r w:rsidDel="00000000" w:rsidR="00000000" w:rsidRPr="00000000">
        <w:rPr>
          <w:rtl w:val="0"/>
        </w:rPr>
      </w:r>
    </w:p>
    <w:p w:rsidR="00000000" w:rsidDel="00000000" w:rsidP="00000000" w:rsidRDefault="00000000" w:rsidRPr="00000000" w14:paraId="0000095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There wasn’t anyone to talk about mental health with they didn’t ask anyone who specialises in mental health or a mental health nurse to speak to me I wasn’t referred back to my psychiatrist I was under they didn’t look at my psychiatric notes erm there was it was very, very cold and clinical erm and just not there was no element of personability ever</w:t>
      </w:r>
      <w:r w:rsidDel="00000000" w:rsidR="00000000" w:rsidRPr="00000000">
        <w:rPr>
          <w:sz w:val="22"/>
          <w:szCs w:val="22"/>
          <w:rtl w:val="0"/>
        </w:rPr>
        <w:t xml:space="preserve">.”</w:t>
      </w:r>
    </w:p>
    <w:p w:rsidR="00000000" w:rsidDel="00000000" w:rsidP="00000000" w:rsidRDefault="00000000" w:rsidRPr="00000000" w14:paraId="00000956">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957">
      <w:pPr>
        <w:spacing w:line="480" w:lineRule="auto"/>
        <w:jc w:val="right"/>
        <w:rPr>
          <w:sz w:val="22"/>
          <w:szCs w:val="22"/>
        </w:rPr>
      </w:pPr>
      <w:r w:rsidDel="00000000" w:rsidR="00000000" w:rsidRPr="00000000">
        <w:rPr>
          <w:rtl w:val="0"/>
        </w:rPr>
      </w:r>
    </w:p>
    <w:p w:rsidR="00000000" w:rsidDel="00000000" w:rsidP="00000000" w:rsidRDefault="00000000" w:rsidRPr="00000000" w14:paraId="00000958">
      <w:pPr>
        <w:spacing w:line="480" w:lineRule="auto"/>
        <w:jc w:val="both"/>
        <w:rPr>
          <w:sz w:val="22"/>
          <w:szCs w:val="22"/>
        </w:rPr>
      </w:pPr>
      <w:r w:rsidDel="00000000" w:rsidR="00000000" w:rsidRPr="00000000">
        <w:rPr>
          <w:sz w:val="22"/>
          <w:szCs w:val="22"/>
          <w:rtl w:val="0"/>
        </w:rPr>
        <w:t xml:space="preserve">This has led participants to feel as if they are not taken seriously and have been made to feel as if their appointment was a “</w:t>
      </w:r>
      <w:r w:rsidDel="00000000" w:rsidR="00000000" w:rsidRPr="00000000">
        <w:rPr>
          <w:i w:val="1"/>
          <w:sz w:val="22"/>
          <w:szCs w:val="22"/>
          <w:rtl w:val="0"/>
        </w:rPr>
        <w:t xml:space="preserve">tick box exercise</w:t>
      </w:r>
      <w:r w:rsidDel="00000000" w:rsidR="00000000" w:rsidRPr="00000000">
        <w:rPr>
          <w:sz w:val="22"/>
          <w:szCs w:val="22"/>
          <w:rtl w:val="0"/>
        </w:rPr>
        <w:t xml:space="preserve">” or made to feel like “</w:t>
      </w:r>
      <w:r w:rsidDel="00000000" w:rsidR="00000000" w:rsidRPr="00000000">
        <w:rPr>
          <w:i w:val="1"/>
          <w:sz w:val="22"/>
          <w:szCs w:val="22"/>
          <w:rtl w:val="0"/>
        </w:rPr>
        <w:t xml:space="preserve">test subjects</w:t>
      </w:r>
      <w:r w:rsidDel="00000000" w:rsidR="00000000" w:rsidRPr="00000000">
        <w:rPr>
          <w:sz w:val="22"/>
          <w:szCs w:val="22"/>
          <w:rtl w:val="0"/>
        </w:rPr>
        <w:t xml:space="preserve">”. The inability to recognise issues pertaining to prescribed drug dependence and withdrawal are further evident when assessing patient history. </w:t>
      </w:r>
    </w:p>
    <w:p w:rsidR="00000000" w:rsidDel="00000000" w:rsidP="00000000" w:rsidRDefault="00000000" w:rsidRPr="00000000" w14:paraId="00000959">
      <w:pPr>
        <w:spacing w:line="480" w:lineRule="auto"/>
        <w:jc w:val="both"/>
        <w:rPr>
          <w:sz w:val="22"/>
          <w:szCs w:val="22"/>
        </w:rPr>
      </w:pPr>
      <w:r w:rsidDel="00000000" w:rsidR="00000000" w:rsidRPr="00000000">
        <w:rPr>
          <w:rtl w:val="0"/>
        </w:rPr>
      </w:r>
    </w:p>
    <w:p w:rsidR="00000000" w:rsidDel="00000000" w:rsidP="00000000" w:rsidRDefault="00000000" w:rsidRPr="00000000" w14:paraId="0000095A">
      <w:pPr>
        <w:spacing w:line="480" w:lineRule="auto"/>
        <w:jc w:val="both"/>
        <w:rPr>
          <w:sz w:val="22"/>
          <w:szCs w:val="22"/>
        </w:rPr>
      </w:pPr>
      <w:r w:rsidDel="00000000" w:rsidR="00000000" w:rsidRPr="00000000">
        <w:rPr>
          <w:sz w:val="22"/>
          <w:szCs w:val="22"/>
          <w:rtl w:val="0"/>
        </w:rPr>
        <w:t xml:space="preserve">When prescribing medicines, it is imperative for the practitioner to observe a wider picture of the patient’s health and wellbeing, including previous history of substance use or misuse. This is particularly important when prescribing dependence forming medicines. However, this was not the experience of </w:t>
      </w:r>
      <w:r w:rsidDel="00000000" w:rsidR="00000000" w:rsidRPr="00000000">
        <w:rPr>
          <w:i w:val="1"/>
          <w:sz w:val="22"/>
          <w:szCs w:val="22"/>
          <w:rtl w:val="0"/>
        </w:rPr>
        <w:t xml:space="preserve">Charlotte,</w:t>
      </w:r>
      <w:r w:rsidDel="00000000" w:rsidR="00000000" w:rsidRPr="00000000">
        <w:rPr>
          <w:sz w:val="22"/>
          <w:szCs w:val="22"/>
          <w:rtl w:val="0"/>
        </w:rPr>
        <w:t xml:space="preserve"> who disclosed a history of illicit substance use during her interview, reports no discussion of this sort:</w:t>
      </w:r>
    </w:p>
    <w:p w:rsidR="00000000" w:rsidDel="00000000" w:rsidP="00000000" w:rsidRDefault="00000000" w:rsidRPr="00000000" w14:paraId="0000095B">
      <w:pPr>
        <w:spacing w:line="480" w:lineRule="auto"/>
        <w:ind w:left="709" w:firstLine="0"/>
        <w:jc w:val="both"/>
        <w:rPr>
          <w:sz w:val="22"/>
          <w:szCs w:val="22"/>
        </w:rPr>
      </w:pPr>
      <w:r w:rsidDel="00000000" w:rsidR="00000000" w:rsidRPr="00000000">
        <w:rPr>
          <w:sz w:val="22"/>
          <w:szCs w:val="22"/>
          <w:rtl w:val="0"/>
        </w:rPr>
        <w:t xml:space="preserve">“T</w:t>
      </w:r>
      <w:r w:rsidDel="00000000" w:rsidR="00000000" w:rsidRPr="00000000">
        <w:rPr>
          <w:i w:val="1"/>
          <w:sz w:val="22"/>
          <w:szCs w:val="22"/>
          <w:rtl w:val="0"/>
        </w:rPr>
        <w:t xml:space="preserve">here wasn’t any do you have a history of drug problems do you have a history of addiction do you have a history of this that and the other… The first thing you’re supposed to say to someone if you’re giving them a highly addictive substance is have you do you have a history of addiction… I wasn’t really using them properly and how they were meant to be used, and I wasn’t they’d already prescribed me more than I was supposed to have been prescribed… I’d known that I couldn’t keep going to the doctors and keep getting them because it would be very obvious that I am relying on them</w:t>
      </w:r>
      <w:r w:rsidDel="00000000" w:rsidR="00000000" w:rsidRPr="00000000">
        <w:rPr>
          <w:sz w:val="22"/>
          <w:szCs w:val="22"/>
          <w:rtl w:val="0"/>
        </w:rPr>
        <w:t xml:space="preserve">.”</w:t>
      </w:r>
    </w:p>
    <w:p w:rsidR="00000000" w:rsidDel="00000000" w:rsidP="00000000" w:rsidRDefault="00000000" w:rsidRPr="00000000" w14:paraId="0000095C">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95D">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95E">
      <w:pPr>
        <w:spacing w:line="480" w:lineRule="auto"/>
        <w:jc w:val="both"/>
        <w:rPr>
          <w:sz w:val="22"/>
          <w:szCs w:val="22"/>
        </w:rPr>
      </w:pPr>
      <w:r w:rsidDel="00000000" w:rsidR="00000000" w:rsidRPr="00000000">
        <w:rPr>
          <w:sz w:val="22"/>
          <w:szCs w:val="22"/>
          <w:rtl w:val="0"/>
        </w:rPr>
        <w:t xml:space="preserve">Despite not offering this information to her prescriber, the behaviours she described displayed are indicative of a </w:t>
      </w:r>
      <w:hyperlink w:anchor="_heading=h.3dy6vkm">
        <w:r w:rsidDel="00000000" w:rsidR="00000000" w:rsidRPr="00000000">
          <w:rPr>
            <w:color w:val="467886"/>
            <w:sz w:val="22"/>
            <w:szCs w:val="22"/>
            <w:u w:val="single"/>
            <w:rtl w:val="0"/>
          </w:rPr>
          <w:t xml:space="preserve">Substance Use Disorder</w:t>
        </w:r>
      </w:hyperlink>
      <w:r w:rsidDel="00000000" w:rsidR="00000000" w:rsidRPr="00000000">
        <w:rPr>
          <w:sz w:val="22"/>
          <w:szCs w:val="22"/>
          <w:rtl w:val="0"/>
        </w:rPr>
        <w:t xml:space="preserve"> (p. 33) and a responsible prescriber perhaps should have identified. The perceived lack of support and knowledge can lead to a distrust in, and disengagement from, the medical profession. This is in favour of managing their health complaint independently. This will be discussed </w:t>
      </w:r>
      <w:hyperlink w:anchor="_heading=h.1ljsd9k">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(p.188). </w:t>
      </w:r>
    </w:p>
    <w:p w:rsidR="00000000" w:rsidDel="00000000" w:rsidP="00000000" w:rsidRDefault="00000000" w:rsidRPr="00000000" w14:paraId="0000095F">
      <w:pPr>
        <w:spacing w:line="480" w:lineRule="auto"/>
        <w:jc w:val="both"/>
        <w:rPr>
          <w:sz w:val="22"/>
          <w:szCs w:val="22"/>
        </w:rPr>
      </w:pPr>
      <w:r w:rsidDel="00000000" w:rsidR="00000000" w:rsidRPr="00000000">
        <w:rPr>
          <w:rtl w:val="0"/>
        </w:rPr>
      </w:r>
    </w:p>
    <w:p w:rsidR="00000000" w:rsidDel="00000000" w:rsidP="00000000" w:rsidRDefault="00000000" w:rsidRPr="00000000" w14:paraId="00000960">
      <w:pPr>
        <w:spacing w:line="480" w:lineRule="auto"/>
        <w:jc w:val="both"/>
        <w:rPr>
          <w:sz w:val="22"/>
          <w:szCs w:val="22"/>
        </w:rPr>
      </w:pPr>
      <w:r w:rsidDel="00000000" w:rsidR="00000000" w:rsidRPr="00000000">
        <w:rPr>
          <w:sz w:val="22"/>
          <w:szCs w:val="22"/>
          <w:rtl w:val="0"/>
        </w:rPr>
        <w:t xml:space="preserve">Further recommendations from participants support early interventions for both mental health challenges and chronic pain. Participants understand these are costly, therefore lower-cost interventions such as physiotherapy must be completed prior to referral to a pain clinic. Wider accessibility of information and understanding of pain science have been suggested, to discover further treatments, which can only be explored with increased funding to research institutions.</w:t>
      </w:r>
    </w:p>
    <w:p w:rsidR="00000000" w:rsidDel="00000000" w:rsidP="00000000" w:rsidRDefault="00000000" w:rsidRPr="00000000" w14:paraId="00000961">
      <w:pPr>
        <w:spacing w:line="480" w:lineRule="auto"/>
        <w:jc w:val="both"/>
        <w:rPr>
          <w:sz w:val="22"/>
          <w:szCs w:val="22"/>
        </w:rPr>
      </w:pPr>
      <w:r w:rsidDel="00000000" w:rsidR="00000000" w:rsidRPr="00000000">
        <w:rPr>
          <w:rtl w:val="0"/>
        </w:rPr>
      </w:r>
    </w:p>
    <w:p w:rsidR="00000000" w:rsidDel="00000000" w:rsidP="00000000" w:rsidRDefault="00000000" w:rsidRPr="00000000" w14:paraId="00000962">
      <w:pPr>
        <w:pStyle w:val="Heading3"/>
        <w:spacing w:line="480" w:lineRule="auto"/>
        <w:rPr/>
      </w:pPr>
      <w:bookmarkStart w:colFirst="0" w:colLast="0" w:name="_heading=h.meukdy" w:id="103"/>
      <w:bookmarkEnd w:id="103"/>
      <w:r w:rsidDel="00000000" w:rsidR="00000000" w:rsidRPr="00000000">
        <w:rPr>
          <w:rtl w:val="0"/>
        </w:rPr>
        <w:t xml:space="preserve">Stigma</w:t>
      </w:r>
    </w:p>
    <w:p w:rsidR="00000000" w:rsidDel="00000000" w:rsidP="00000000" w:rsidRDefault="00000000" w:rsidRPr="00000000" w14:paraId="00000963">
      <w:pPr>
        <w:spacing w:line="480" w:lineRule="auto"/>
        <w:jc w:val="both"/>
        <w:rPr>
          <w:sz w:val="22"/>
          <w:szCs w:val="22"/>
        </w:rPr>
      </w:pPr>
      <w:r w:rsidDel="00000000" w:rsidR="00000000" w:rsidRPr="00000000">
        <w:rPr>
          <w:sz w:val="22"/>
          <w:szCs w:val="22"/>
          <w:rtl w:val="0"/>
        </w:rPr>
        <w:t xml:space="preserve">Unfortunately, there are reports of practitioners acting in an unprofessional manner. This encapsulates stigmatising language used against several protected characteristics, as identified in </w:t>
      </w:r>
      <w:hyperlink w:anchor="_heading=h.2w5ecyt">
        <w:r w:rsidDel="00000000" w:rsidR="00000000" w:rsidRPr="00000000">
          <w:rPr>
            <w:color w:val="467886"/>
            <w:sz w:val="22"/>
            <w:szCs w:val="22"/>
            <w:u w:val="single"/>
            <w:rtl w:val="0"/>
          </w:rPr>
          <w:t xml:space="preserve">Chapter Four</w:t>
        </w:r>
      </w:hyperlink>
      <w:r w:rsidDel="00000000" w:rsidR="00000000" w:rsidRPr="00000000">
        <w:rPr>
          <w:sz w:val="22"/>
          <w:szCs w:val="22"/>
          <w:rtl w:val="0"/>
        </w:rPr>
        <w:t xml:space="preserve"> (p. 125). These include gender, culture, disability and age. </w:t>
      </w:r>
    </w:p>
    <w:p w:rsidR="00000000" w:rsidDel="00000000" w:rsidP="00000000" w:rsidRDefault="00000000" w:rsidRPr="00000000" w14:paraId="00000964">
      <w:pPr>
        <w:spacing w:line="480" w:lineRule="auto"/>
        <w:jc w:val="both"/>
        <w:rPr>
          <w:sz w:val="22"/>
          <w:szCs w:val="22"/>
        </w:rPr>
      </w:pPr>
      <w:r w:rsidDel="00000000" w:rsidR="00000000" w:rsidRPr="00000000">
        <w:rPr>
          <w:sz w:val="22"/>
          <w:szCs w:val="22"/>
          <w:rtl w:val="0"/>
        </w:rPr>
        <w:t xml:space="preserve">Firstly, gender-based stigma was present in several interviews. As will be shown in the following chapter (p. 195), those who identify as female may experience stigmatising practice more than their male counterparts. This is evident in the data. As previously explored, </w:t>
      </w:r>
      <w:r w:rsidDel="00000000" w:rsidR="00000000" w:rsidRPr="00000000">
        <w:rPr>
          <w:i w:val="1"/>
          <w:sz w:val="22"/>
          <w:szCs w:val="22"/>
          <w:rtl w:val="0"/>
        </w:rPr>
        <w:t xml:space="preserve">Charlotte</w:t>
      </w:r>
      <w:r w:rsidDel="00000000" w:rsidR="00000000" w:rsidRPr="00000000">
        <w:rPr>
          <w:sz w:val="22"/>
          <w:szCs w:val="22"/>
          <w:rtl w:val="0"/>
        </w:rPr>
        <w:t xml:space="preserve"> fears repercussions when she delivers her child, due to her historic dependency:</w:t>
      </w:r>
    </w:p>
    <w:p w:rsidR="00000000" w:rsidDel="00000000" w:rsidP="00000000" w:rsidRDefault="00000000" w:rsidRPr="00000000" w14:paraId="00000965">
      <w:pPr>
        <w:spacing w:line="480" w:lineRule="auto"/>
        <w:jc w:val="both"/>
        <w:rPr>
          <w:sz w:val="22"/>
          <w:szCs w:val="22"/>
        </w:rPr>
      </w:pPr>
      <w:r w:rsidDel="00000000" w:rsidR="00000000" w:rsidRPr="00000000">
        <w:rPr>
          <w:rtl w:val="0"/>
        </w:rPr>
      </w:r>
    </w:p>
    <w:p w:rsidR="00000000" w:rsidDel="00000000" w:rsidP="00000000" w:rsidRDefault="00000000" w:rsidRPr="00000000" w14:paraId="0000096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You’re also worried about a drug dependency following the birth of a child it’s very hard because you feel like you’re gonna be criminalised for it and there’s no easy way to tell a healthcare professional I don’t want any sorts of pain medication afterwards like strong pain medication aside from the what you believe is 100% necessary and unavoidable erm because they’re just gonna hear it as you’re a drug addict</w:t>
      </w:r>
      <w:r w:rsidDel="00000000" w:rsidR="00000000" w:rsidRPr="00000000">
        <w:rPr>
          <w:sz w:val="22"/>
          <w:szCs w:val="22"/>
          <w:rtl w:val="0"/>
        </w:rPr>
        <w:t xml:space="preserve">.”</w:t>
      </w:r>
    </w:p>
    <w:p w:rsidR="00000000" w:rsidDel="00000000" w:rsidP="00000000" w:rsidRDefault="00000000" w:rsidRPr="00000000" w14:paraId="00000967">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968">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969">
      <w:pPr>
        <w:spacing w:line="480" w:lineRule="auto"/>
        <w:jc w:val="both"/>
        <w:rPr>
          <w:b w:val="1"/>
          <w:sz w:val="22"/>
          <w:szCs w:val="22"/>
        </w:rPr>
      </w:pPr>
      <w:r w:rsidDel="00000000" w:rsidR="00000000" w:rsidRPr="00000000">
        <w:rPr>
          <w:sz w:val="22"/>
          <w:szCs w:val="22"/>
          <w:rtl w:val="0"/>
        </w:rPr>
        <w:t xml:space="preserve">Stigma was also experienced by one participant, based on her cultural identity. </w:t>
      </w:r>
      <w:r w:rsidDel="00000000" w:rsidR="00000000" w:rsidRPr="00000000">
        <w:rPr>
          <w:i w:val="1"/>
          <w:sz w:val="22"/>
          <w:szCs w:val="22"/>
          <w:rtl w:val="0"/>
        </w:rPr>
        <w:t xml:space="preserve">Kirsty</w:t>
      </w:r>
      <w:r w:rsidDel="00000000" w:rsidR="00000000" w:rsidRPr="00000000">
        <w:rPr>
          <w:sz w:val="22"/>
          <w:szCs w:val="22"/>
          <w:rtl w:val="0"/>
        </w:rPr>
        <w:t xml:space="preserve"> is an international student, who is originally from the Middle East. She described an interaction with her therapist, who questioned why she was planning to return home after her course finished, in the context of civil unrest:</w:t>
      </w:r>
      <w:r w:rsidDel="00000000" w:rsidR="00000000" w:rsidRPr="00000000">
        <w:rPr>
          <w:rtl w:val="0"/>
        </w:rPr>
      </w:r>
    </w:p>
    <w:p w:rsidR="00000000" w:rsidDel="00000000" w:rsidP="00000000" w:rsidRDefault="00000000" w:rsidRPr="00000000" w14:paraId="0000096A">
      <w:pPr>
        <w:spacing w:line="480" w:lineRule="auto"/>
        <w:jc w:val="both"/>
        <w:rPr>
          <w:b w:val="1"/>
          <w:sz w:val="22"/>
          <w:szCs w:val="22"/>
        </w:rPr>
      </w:pPr>
      <w:r w:rsidDel="00000000" w:rsidR="00000000" w:rsidRPr="00000000">
        <w:rPr>
          <w:rtl w:val="0"/>
        </w:rPr>
      </w:r>
    </w:p>
    <w:p w:rsidR="00000000" w:rsidDel="00000000" w:rsidP="00000000" w:rsidRDefault="00000000" w:rsidRPr="00000000" w14:paraId="0000096B">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When my country was in really bad situation for all the protests and everything and it was like OK so do you have any plan for your future and I was like yeah probably I want to go back to my country and he said really do you wanna go back [home]… it was kind of rude and also he asked about the women’s situation and I mean many people ask this kind of question but I think as a GP they should be more sensitive about what they ask or what they should ask</w:t>
      </w:r>
      <w:r w:rsidDel="00000000" w:rsidR="00000000" w:rsidRPr="00000000">
        <w:rPr>
          <w:sz w:val="22"/>
          <w:szCs w:val="22"/>
          <w:rtl w:val="0"/>
        </w:rPr>
        <w:t xml:space="preserve">.”</w:t>
      </w:r>
    </w:p>
    <w:p w:rsidR="00000000" w:rsidDel="00000000" w:rsidP="00000000" w:rsidRDefault="00000000" w:rsidRPr="00000000" w14:paraId="0000096C">
      <w:pPr>
        <w:spacing w:line="480" w:lineRule="auto"/>
        <w:jc w:val="right"/>
        <w:rPr>
          <w:sz w:val="22"/>
          <w:szCs w:val="22"/>
        </w:rPr>
      </w:pPr>
      <w:r w:rsidDel="00000000" w:rsidR="00000000" w:rsidRPr="00000000">
        <w:rPr>
          <w:sz w:val="22"/>
          <w:szCs w:val="22"/>
          <w:rtl w:val="0"/>
        </w:rPr>
        <w:t xml:space="preserve">[Kirsty: </w:t>
      </w:r>
      <w:r w:rsidDel="00000000" w:rsidR="00000000" w:rsidRPr="00000000">
        <w:rPr>
          <w:i w:val="1"/>
          <w:sz w:val="22"/>
          <w:szCs w:val="22"/>
          <w:rtl w:val="0"/>
        </w:rPr>
        <w:t xml:space="preserve">Duloxetine, Clonazepam, Pregabalin</w:t>
      </w:r>
      <w:r w:rsidDel="00000000" w:rsidR="00000000" w:rsidRPr="00000000">
        <w:rPr>
          <w:sz w:val="22"/>
          <w:szCs w:val="22"/>
          <w:rtl w:val="0"/>
        </w:rPr>
        <w:t xml:space="preserve">]</w:t>
      </w:r>
    </w:p>
    <w:p w:rsidR="00000000" w:rsidDel="00000000" w:rsidP="00000000" w:rsidRDefault="00000000" w:rsidRPr="00000000" w14:paraId="0000096D">
      <w:pPr>
        <w:spacing w:line="480" w:lineRule="auto"/>
        <w:jc w:val="right"/>
        <w:rPr>
          <w:sz w:val="22"/>
          <w:szCs w:val="22"/>
        </w:rPr>
      </w:pPr>
      <w:r w:rsidDel="00000000" w:rsidR="00000000" w:rsidRPr="00000000">
        <w:rPr>
          <w:rtl w:val="0"/>
        </w:rPr>
      </w:r>
    </w:p>
    <w:p w:rsidR="00000000" w:rsidDel="00000000" w:rsidP="00000000" w:rsidRDefault="00000000" w:rsidRPr="00000000" w14:paraId="0000096E">
      <w:pPr>
        <w:spacing w:line="480" w:lineRule="auto"/>
        <w:jc w:val="both"/>
        <w:rPr>
          <w:sz w:val="22"/>
          <w:szCs w:val="22"/>
        </w:rPr>
      </w:pPr>
      <w:r w:rsidDel="00000000" w:rsidR="00000000" w:rsidRPr="00000000">
        <w:rPr>
          <w:sz w:val="22"/>
          <w:szCs w:val="22"/>
          <w:rtl w:val="0"/>
        </w:rPr>
        <w:t xml:space="preserve">Although this did not have long term implications for their relationship, this meant </w:t>
      </w:r>
      <w:r w:rsidDel="00000000" w:rsidR="00000000" w:rsidRPr="00000000">
        <w:rPr>
          <w:i w:val="1"/>
          <w:sz w:val="22"/>
          <w:szCs w:val="22"/>
          <w:rtl w:val="0"/>
        </w:rPr>
        <w:t xml:space="preserve">Kirsty</w:t>
      </w:r>
      <w:r w:rsidDel="00000000" w:rsidR="00000000" w:rsidRPr="00000000">
        <w:rPr>
          <w:sz w:val="22"/>
          <w:szCs w:val="22"/>
          <w:rtl w:val="0"/>
        </w:rPr>
        <w:t xml:space="preserve"> felt uneasy about interacting with this therapist. </w:t>
      </w:r>
      <w:r w:rsidDel="00000000" w:rsidR="00000000" w:rsidRPr="00000000">
        <w:rPr>
          <w:i w:val="1"/>
          <w:sz w:val="22"/>
          <w:szCs w:val="22"/>
          <w:rtl w:val="0"/>
        </w:rPr>
        <w:t xml:space="preserve">Kirsty</w:t>
      </w:r>
      <w:r w:rsidDel="00000000" w:rsidR="00000000" w:rsidRPr="00000000">
        <w:rPr>
          <w:sz w:val="22"/>
          <w:szCs w:val="22"/>
          <w:rtl w:val="0"/>
        </w:rPr>
        <w:t xml:space="preserve"> also explained the inaccessibility of psychological support services that had staff who spoke her first language, as she felt it would be easier to engage with services if this was accessible. </w:t>
      </w:r>
    </w:p>
    <w:p w:rsidR="00000000" w:rsidDel="00000000" w:rsidP="00000000" w:rsidRDefault="00000000" w:rsidRPr="00000000" w14:paraId="0000096F">
      <w:pPr>
        <w:spacing w:line="480" w:lineRule="auto"/>
        <w:jc w:val="both"/>
        <w:rPr>
          <w:sz w:val="22"/>
          <w:szCs w:val="22"/>
        </w:rPr>
      </w:pPr>
      <w:r w:rsidDel="00000000" w:rsidR="00000000" w:rsidRPr="00000000">
        <w:rPr>
          <w:rtl w:val="0"/>
        </w:rPr>
      </w:r>
    </w:p>
    <w:p w:rsidR="00000000" w:rsidDel="00000000" w:rsidP="00000000" w:rsidRDefault="00000000" w:rsidRPr="00000000" w14:paraId="00000970">
      <w:pPr>
        <w:spacing w:line="480" w:lineRule="auto"/>
        <w:jc w:val="both"/>
        <w:rPr>
          <w:sz w:val="22"/>
          <w:szCs w:val="22"/>
        </w:rPr>
      </w:pPr>
      <w:r w:rsidDel="00000000" w:rsidR="00000000" w:rsidRPr="00000000">
        <w:rPr>
          <w:sz w:val="22"/>
          <w:szCs w:val="22"/>
          <w:rtl w:val="0"/>
        </w:rPr>
        <w:t xml:space="preserve">Another protected characteristic that appeared to be discriminated against, was disability. This can reference both physical disabilities, and mental or learning disabilities. Due to </w:t>
      </w:r>
      <w:r w:rsidDel="00000000" w:rsidR="00000000" w:rsidRPr="00000000">
        <w:rPr>
          <w:i w:val="1"/>
          <w:sz w:val="22"/>
          <w:szCs w:val="22"/>
          <w:rtl w:val="0"/>
        </w:rPr>
        <w:t xml:space="preserve">Imogen’s </w:t>
      </w:r>
      <w:r w:rsidDel="00000000" w:rsidR="00000000" w:rsidRPr="00000000">
        <w:rPr>
          <w:sz w:val="22"/>
          <w:szCs w:val="22"/>
          <w:rtl w:val="0"/>
        </w:rPr>
        <w:t xml:space="preserve">chronic pain, she uses mobility aids. </w:t>
      </w:r>
      <w:r w:rsidDel="00000000" w:rsidR="00000000" w:rsidRPr="00000000">
        <w:rPr>
          <w:i w:val="1"/>
          <w:sz w:val="22"/>
          <w:szCs w:val="22"/>
          <w:rtl w:val="0"/>
        </w:rPr>
        <w:t xml:space="preserve">Imogen</w:t>
      </w:r>
      <w:r w:rsidDel="00000000" w:rsidR="00000000" w:rsidRPr="00000000">
        <w:rPr>
          <w:sz w:val="22"/>
          <w:szCs w:val="22"/>
          <w:rtl w:val="0"/>
        </w:rPr>
        <w:t xml:space="preserve"> feels that her weight is taken into consideration by healthcare professionals and is sometimes questioned why she uses these mobility aids. This is despite </w:t>
      </w:r>
      <w:r w:rsidDel="00000000" w:rsidR="00000000" w:rsidRPr="00000000">
        <w:rPr>
          <w:i w:val="1"/>
          <w:sz w:val="22"/>
          <w:szCs w:val="22"/>
          <w:rtl w:val="0"/>
        </w:rPr>
        <w:t xml:space="preserve">Imogen </w:t>
      </w:r>
      <w:r w:rsidDel="00000000" w:rsidR="00000000" w:rsidRPr="00000000">
        <w:rPr>
          <w:sz w:val="22"/>
          <w:szCs w:val="22"/>
          <w:rtl w:val="0"/>
        </w:rPr>
        <w:t xml:space="preserve">describing both her weight gain and use of mobility aids as symptomatic of her medication use: </w:t>
      </w:r>
    </w:p>
    <w:p w:rsidR="00000000" w:rsidDel="00000000" w:rsidP="00000000" w:rsidRDefault="00000000" w:rsidRPr="00000000" w14:paraId="00000971">
      <w:pPr>
        <w:spacing w:line="480" w:lineRule="auto"/>
        <w:jc w:val="both"/>
        <w:rPr>
          <w:sz w:val="22"/>
          <w:szCs w:val="22"/>
        </w:rPr>
      </w:pPr>
      <w:r w:rsidDel="00000000" w:rsidR="00000000" w:rsidRPr="00000000">
        <w:rPr>
          <w:rtl w:val="0"/>
        </w:rPr>
      </w:r>
    </w:p>
    <w:p w:rsidR="00000000" w:rsidDel="00000000" w:rsidP="00000000" w:rsidRDefault="00000000" w:rsidRPr="00000000" w14:paraId="0000097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There is a stigma around weight within the health services so I don't think the fact that I'm overweight necessarily helps in terms of me having mobility aids cos I I think some people assume that because of my weight that's why I have scooter or is why I use a walking stick even though it says on my medical records that I use both to reduce my pain</w:t>
      </w:r>
      <w:r w:rsidDel="00000000" w:rsidR="00000000" w:rsidRPr="00000000">
        <w:rPr>
          <w:sz w:val="22"/>
          <w:szCs w:val="22"/>
          <w:rtl w:val="0"/>
        </w:rPr>
        <w:t xml:space="preserve">.”</w:t>
      </w:r>
    </w:p>
    <w:p w:rsidR="00000000" w:rsidDel="00000000" w:rsidP="00000000" w:rsidRDefault="00000000" w:rsidRPr="00000000" w14:paraId="00000973">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974">
      <w:pPr>
        <w:spacing w:line="480" w:lineRule="auto"/>
        <w:jc w:val="both"/>
        <w:rPr>
          <w:sz w:val="22"/>
          <w:szCs w:val="22"/>
        </w:rPr>
      </w:pPr>
      <w:r w:rsidDel="00000000" w:rsidR="00000000" w:rsidRPr="00000000">
        <w:rPr>
          <w:rtl w:val="0"/>
        </w:rPr>
      </w:r>
    </w:p>
    <w:p w:rsidR="00000000" w:rsidDel="00000000" w:rsidP="00000000" w:rsidRDefault="00000000" w:rsidRPr="00000000" w14:paraId="00000975">
      <w:pPr>
        <w:spacing w:line="480" w:lineRule="auto"/>
        <w:jc w:val="both"/>
        <w:rPr>
          <w:sz w:val="22"/>
          <w:szCs w:val="22"/>
        </w:rPr>
      </w:pPr>
      <w:r w:rsidDel="00000000" w:rsidR="00000000" w:rsidRPr="00000000">
        <w:rPr>
          <w:sz w:val="22"/>
          <w:szCs w:val="22"/>
          <w:rtl w:val="0"/>
        </w:rPr>
        <w:t xml:space="preserve">This form of stigmatising practice may also include those who are using medicines to manage health conditions. There is evidence to suggest practitioners do not behave in an appropriate manner when discussing patients’ treatment preferences. Despite practitioners prescribing these medicines, and are assumed to understand the side effects associated with them, patients’ choices appear to be dismissed:</w:t>
      </w:r>
    </w:p>
    <w:p w:rsidR="00000000" w:rsidDel="00000000" w:rsidP="00000000" w:rsidRDefault="00000000" w:rsidRPr="00000000" w14:paraId="00000976">
      <w:pPr>
        <w:spacing w:line="480" w:lineRule="auto"/>
        <w:jc w:val="both"/>
        <w:rPr>
          <w:sz w:val="22"/>
          <w:szCs w:val="22"/>
        </w:rPr>
      </w:pPr>
      <w:r w:rsidDel="00000000" w:rsidR="00000000" w:rsidRPr="00000000">
        <w:rPr>
          <w:rtl w:val="0"/>
        </w:rPr>
      </w:r>
    </w:p>
    <w:p w:rsidR="00000000" w:rsidDel="00000000" w:rsidP="00000000" w:rsidRDefault="00000000" w:rsidRPr="00000000" w14:paraId="00000977">
      <w:pPr>
        <w:spacing w:line="480" w:lineRule="auto"/>
        <w:jc w:val="both"/>
        <w:rPr>
          <w:sz w:val="22"/>
          <w:szCs w:val="22"/>
        </w:rPr>
      </w:pPr>
      <w:r w:rsidDel="00000000" w:rsidR="00000000" w:rsidRPr="00000000">
        <w:rPr>
          <w:rtl w:val="0"/>
        </w:rPr>
      </w:r>
    </w:p>
    <w:p w:rsidR="00000000" w:rsidDel="00000000" w:rsidP="00000000" w:rsidRDefault="00000000" w:rsidRPr="00000000" w14:paraId="00000978">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He said you’re on very heavy drugs you make bad decisions anyway and I kind of felt he just you know denied every decision I’d ever made in the last 16 years</w:t>
      </w:r>
      <w:r w:rsidDel="00000000" w:rsidR="00000000" w:rsidRPr="00000000">
        <w:rPr>
          <w:sz w:val="22"/>
          <w:szCs w:val="22"/>
          <w:rtl w:val="0"/>
        </w:rPr>
        <w:t xml:space="preserve">.”</w:t>
      </w:r>
    </w:p>
    <w:p w:rsidR="00000000" w:rsidDel="00000000" w:rsidP="00000000" w:rsidRDefault="00000000" w:rsidRPr="00000000" w14:paraId="00000979">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7A">
      <w:pPr>
        <w:spacing w:line="480" w:lineRule="auto"/>
        <w:jc w:val="right"/>
        <w:rPr>
          <w:sz w:val="22"/>
          <w:szCs w:val="22"/>
        </w:rPr>
      </w:pPr>
      <w:r w:rsidDel="00000000" w:rsidR="00000000" w:rsidRPr="00000000">
        <w:rPr>
          <w:rtl w:val="0"/>
        </w:rPr>
      </w:r>
    </w:p>
    <w:p w:rsidR="00000000" w:rsidDel="00000000" w:rsidP="00000000" w:rsidRDefault="00000000" w:rsidRPr="00000000" w14:paraId="0000097B">
      <w:pPr>
        <w:spacing w:line="480" w:lineRule="auto"/>
        <w:jc w:val="both"/>
        <w:rPr>
          <w:sz w:val="22"/>
          <w:szCs w:val="22"/>
        </w:rPr>
      </w:pPr>
      <w:r w:rsidDel="00000000" w:rsidR="00000000" w:rsidRPr="00000000">
        <w:rPr>
          <w:sz w:val="22"/>
          <w:szCs w:val="22"/>
          <w:rtl w:val="0"/>
        </w:rPr>
        <w:t xml:space="preserve">Furthermore, when discussing tapering regimes with her practitioner, </w:t>
      </w:r>
      <w:r w:rsidDel="00000000" w:rsidR="00000000" w:rsidRPr="00000000">
        <w:rPr>
          <w:i w:val="1"/>
          <w:sz w:val="22"/>
          <w:szCs w:val="22"/>
          <w:rtl w:val="0"/>
        </w:rPr>
        <w:t xml:space="preserve">Georgina</w:t>
      </w:r>
      <w:r w:rsidDel="00000000" w:rsidR="00000000" w:rsidRPr="00000000">
        <w:rPr>
          <w:sz w:val="22"/>
          <w:szCs w:val="22"/>
          <w:rtl w:val="0"/>
        </w:rPr>
        <w:t xml:space="preserve"> was asked to sign a contract with her prescriber. This was to ensure she would not seek additional opioid-based medicines from her prescriber: </w:t>
      </w:r>
    </w:p>
    <w:p w:rsidR="00000000" w:rsidDel="00000000" w:rsidP="00000000" w:rsidRDefault="00000000" w:rsidRPr="00000000" w14:paraId="0000097C">
      <w:pPr>
        <w:spacing w:line="480" w:lineRule="auto"/>
        <w:jc w:val="both"/>
        <w:rPr>
          <w:sz w:val="22"/>
          <w:szCs w:val="22"/>
        </w:rPr>
      </w:pPr>
      <w:r w:rsidDel="00000000" w:rsidR="00000000" w:rsidRPr="00000000">
        <w:rPr>
          <w:rtl w:val="0"/>
        </w:rPr>
      </w:r>
    </w:p>
    <w:p w:rsidR="00000000" w:rsidDel="00000000" w:rsidP="00000000" w:rsidRDefault="00000000" w:rsidRPr="00000000" w14:paraId="0000097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felt they treated me like I was an addict you see… They made me sign a contract an opioid tapering contract the whole legal thing like I won’t go and demand drugs from them and everything but a lot of them er it didn’t feel good… I always felt that they treated me like an addict</w:t>
      </w:r>
      <w:r w:rsidDel="00000000" w:rsidR="00000000" w:rsidRPr="00000000">
        <w:rPr>
          <w:sz w:val="22"/>
          <w:szCs w:val="22"/>
          <w:rtl w:val="0"/>
        </w:rPr>
        <w:t xml:space="preserve">.”</w:t>
      </w:r>
    </w:p>
    <w:p w:rsidR="00000000" w:rsidDel="00000000" w:rsidP="00000000" w:rsidRDefault="00000000" w:rsidRPr="00000000" w14:paraId="0000097E">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7F">
      <w:pPr>
        <w:spacing w:line="480" w:lineRule="auto"/>
        <w:jc w:val="both"/>
        <w:rPr>
          <w:sz w:val="22"/>
          <w:szCs w:val="22"/>
        </w:rPr>
      </w:pPr>
      <w:r w:rsidDel="00000000" w:rsidR="00000000" w:rsidRPr="00000000">
        <w:rPr>
          <w:rtl w:val="0"/>
        </w:rPr>
      </w:r>
    </w:p>
    <w:p w:rsidR="00000000" w:rsidDel="00000000" w:rsidP="00000000" w:rsidRDefault="00000000" w:rsidRPr="00000000" w14:paraId="00000980">
      <w:pPr>
        <w:spacing w:line="480" w:lineRule="auto"/>
        <w:jc w:val="both"/>
        <w:rPr>
          <w:sz w:val="22"/>
          <w:szCs w:val="22"/>
        </w:rPr>
      </w:pPr>
      <w:r w:rsidDel="00000000" w:rsidR="00000000" w:rsidRPr="00000000">
        <w:rPr>
          <w:sz w:val="22"/>
          <w:szCs w:val="22"/>
          <w:rtl w:val="0"/>
        </w:rPr>
        <w:t xml:space="preserve">To summarise, stigmatising practices were evident across several interviews. These were based on several protected characteristics, particularly gender and perceived discrimination towards those with a disability. Stigmatising practices were also evident in those who have a historic dependency, again in the context of gender and childbirth. The next section will discuss the clinical monitoring evident in the interviews, and how the practitioner can contribute to the feelings of being trapped on medicines. These negative experiences had with practitioners have been found to lead to medical mistrust, which will be discussed later (p. 187). </w:t>
      </w:r>
    </w:p>
    <w:p w:rsidR="00000000" w:rsidDel="00000000" w:rsidP="00000000" w:rsidRDefault="00000000" w:rsidRPr="00000000" w14:paraId="00000981">
      <w:pPr>
        <w:spacing w:line="480" w:lineRule="auto"/>
        <w:jc w:val="both"/>
        <w:rPr>
          <w:sz w:val="22"/>
          <w:szCs w:val="22"/>
        </w:rPr>
      </w:pPr>
      <w:r w:rsidDel="00000000" w:rsidR="00000000" w:rsidRPr="00000000">
        <w:rPr>
          <w:rtl w:val="0"/>
        </w:rPr>
      </w:r>
    </w:p>
    <w:p w:rsidR="00000000" w:rsidDel="00000000" w:rsidP="00000000" w:rsidRDefault="00000000" w:rsidRPr="00000000" w14:paraId="00000982">
      <w:pPr>
        <w:pStyle w:val="Heading3"/>
        <w:spacing w:line="480" w:lineRule="auto"/>
        <w:rPr/>
      </w:pPr>
      <w:bookmarkStart w:colFirst="0" w:colLast="0" w:name="_heading=h.36ei31r" w:id="104"/>
      <w:bookmarkEnd w:id="104"/>
      <w:r w:rsidDel="00000000" w:rsidR="00000000" w:rsidRPr="00000000">
        <w:rPr>
          <w:rtl w:val="0"/>
        </w:rPr>
        <w:t xml:space="preserve">Clinical Monitoring</w:t>
      </w:r>
    </w:p>
    <w:p w:rsidR="00000000" w:rsidDel="00000000" w:rsidP="00000000" w:rsidRDefault="00000000" w:rsidRPr="00000000" w14:paraId="00000983">
      <w:pPr>
        <w:spacing w:line="480" w:lineRule="auto"/>
        <w:jc w:val="both"/>
        <w:rPr>
          <w:sz w:val="22"/>
          <w:szCs w:val="22"/>
        </w:rPr>
      </w:pPr>
      <w:r w:rsidDel="00000000" w:rsidR="00000000" w:rsidRPr="00000000">
        <w:rPr>
          <w:sz w:val="22"/>
          <w:szCs w:val="22"/>
          <w:rtl w:val="0"/>
        </w:rPr>
        <w:t xml:space="preserve">The improper clinical monitoring and the ease of ordering a repeat prescription was noted. When considering the prescribing guidelines outlined in the </w:t>
      </w:r>
      <w:hyperlink w:anchor="_heading=h.17dp8vu">
        <w:r w:rsidDel="00000000" w:rsidR="00000000" w:rsidRPr="00000000">
          <w:rPr>
            <w:color w:val="467886"/>
            <w:sz w:val="22"/>
            <w:szCs w:val="22"/>
            <w:u w:val="single"/>
            <w:rtl w:val="0"/>
          </w:rPr>
          <w:t xml:space="preserve">introduction chapter</w:t>
        </w:r>
      </w:hyperlink>
      <w:r w:rsidDel="00000000" w:rsidR="00000000" w:rsidRPr="00000000">
        <w:rPr>
          <w:sz w:val="22"/>
          <w:szCs w:val="22"/>
          <w:rtl w:val="0"/>
        </w:rPr>
        <w:t xml:space="preserve"> of this thesis (p. 16), it is apparent that participants are receiving prescriptions for much longer than guidelines dictate:</w:t>
      </w:r>
    </w:p>
    <w:p w:rsidR="00000000" w:rsidDel="00000000" w:rsidP="00000000" w:rsidRDefault="00000000" w:rsidRPr="00000000" w14:paraId="00000984">
      <w:pPr>
        <w:spacing w:line="480" w:lineRule="auto"/>
        <w:jc w:val="both"/>
        <w:rPr>
          <w:sz w:val="22"/>
          <w:szCs w:val="22"/>
        </w:rPr>
      </w:pPr>
      <w:r w:rsidDel="00000000" w:rsidR="00000000" w:rsidRPr="00000000">
        <w:rPr>
          <w:rtl w:val="0"/>
        </w:rPr>
      </w:r>
    </w:p>
    <w:p w:rsidR="00000000" w:rsidDel="00000000" w:rsidP="00000000" w:rsidRDefault="00000000" w:rsidRPr="00000000" w14:paraId="0000098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was prescribed zopiclone for they prescribe it for 10 days and went back for a repeat so over the course of three months I would say at least 40 days id taken zopiclone… The diazepam I oh god I had that on repeat, so I don’t know how long it was a long period longer than a few weeks… I believe the codeine was completely unnecessary erm I don’t think there’s a need to prescribe that</w:t>
      </w:r>
      <w:r w:rsidDel="00000000" w:rsidR="00000000" w:rsidRPr="00000000">
        <w:rPr>
          <w:sz w:val="22"/>
          <w:szCs w:val="22"/>
          <w:rtl w:val="0"/>
        </w:rPr>
        <w:t xml:space="preserve">.”</w:t>
      </w:r>
    </w:p>
    <w:p w:rsidR="00000000" w:rsidDel="00000000" w:rsidP="00000000" w:rsidRDefault="00000000" w:rsidRPr="00000000" w14:paraId="00000986">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987">
      <w:pPr>
        <w:spacing w:line="480" w:lineRule="auto"/>
        <w:jc w:val="both"/>
        <w:rPr>
          <w:sz w:val="22"/>
          <w:szCs w:val="22"/>
        </w:rPr>
      </w:pPr>
      <w:r w:rsidDel="00000000" w:rsidR="00000000" w:rsidRPr="00000000">
        <w:rPr>
          <w:rtl w:val="0"/>
        </w:rPr>
      </w:r>
    </w:p>
    <w:p w:rsidR="00000000" w:rsidDel="00000000" w:rsidP="00000000" w:rsidRDefault="00000000" w:rsidRPr="00000000" w14:paraId="00000988">
      <w:pPr>
        <w:spacing w:line="480" w:lineRule="auto"/>
        <w:jc w:val="both"/>
        <w:rPr>
          <w:sz w:val="22"/>
          <w:szCs w:val="22"/>
        </w:rPr>
      </w:pPr>
      <w:r w:rsidDel="00000000" w:rsidR="00000000" w:rsidRPr="00000000">
        <w:rPr>
          <w:sz w:val="22"/>
          <w:szCs w:val="22"/>
          <w:rtl w:val="0"/>
        </w:rPr>
        <w:t xml:space="preserve">For example, </w:t>
      </w:r>
      <w:r w:rsidDel="00000000" w:rsidR="00000000" w:rsidRPr="00000000">
        <w:rPr>
          <w:i w:val="1"/>
          <w:sz w:val="22"/>
          <w:szCs w:val="22"/>
          <w:rtl w:val="0"/>
        </w:rPr>
        <w:t xml:space="preserve">Joanna</w:t>
      </w:r>
      <w:r w:rsidDel="00000000" w:rsidR="00000000" w:rsidRPr="00000000">
        <w:rPr>
          <w:sz w:val="22"/>
          <w:szCs w:val="22"/>
          <w:rtl w:val="0"/>
        </w:rPr>
        <w:t xml:space="preserve"> has been using venlafaxine for over ten years, and </w:t>
      </w:r>
      <w:r w:rsidDel="00000000" w:rsidR="00000000" w:rsidRPr="00000000">
        <w:rPr>
          <w:i w:val="1"/>
          <w:sz w:val="22"/>
          <w:szCs w:val="22"/>
          <w:rtl w:val="0"/>
        </w:rPr>
        <w:t xml:space="preserve">Charlotte</w:t>
      </w:r>
      <w:r w:rsidDel="00000000" w:rsidR="00000000" w:rsidRPr="00000000">
        <w:rPr>
          <w:sz w:val="22"/>
          <w:szCs w:val="22"/>
          <w:rtl w:val="0"/>
        </w:rPr>
        <w:t xml:space="preserve"> was prescribed zopiclone for three months. This accessibility of medicines has been highlighted by participants as a facilitator for continued medication use. Although this is considered a positive by some, others describe having a dependence forming medicine(s) on a repeat prescription has been considered both inappropriate and disproportionate. When discussing the accessibility of prescribed medicines, it is important to note that this may have been exacerbated by the COVID-19 pandemic. COVID-19 was indicated as a factor contributing to the formation of a dependency: </w:t>
      </w:r>
    </w:p>
    <w:p w:rsidR="00000000" w:rsidDel="00000000" w:rsidP="00000000" w:rsidRDefault="00000000" w:rsidRPr="00000000" w14:paraId="00000989">
      <w:pPr>
        <w:spacing w:line="480" w:lineRule="auto"/>
        <w:jc w:val="both"/>
        <w:rPr>
          <w:sz w:val="22"/>
          <w:szCs w:val="22"/>
        </w:rPr>
      </w:pPr>
      <w:r w:rsidDel="00000000" w:rsidR="00000000" w:rsidRPr="00000000">
        <w:rPr>
          <w:rtl w:val="0"/>
        </w:rPr>
      </w:r>
    </w:p>
    <w:p w:rsidR="00000000" w:rsidDel="00000000" w:rsidP="00000000" w:rsidRDefault="00000000" w:rsidRPr="00000000" w14:paraId="0000098A">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 was easy to hide it cos lockdown… None of them would have interacted with my day-to-day routine that’s probably why it’s so easy to get away with it as well</w:t>
      </w:r>
      <w:r w:rsidDel="00000000" w:rsidR="00000000" w:rsidRPr="00000000">
        <w:rPr>
          <w:sz w:val="22"/>
          <w:szCs w:val="22"/>
          <w:rtl w:val="0"/>
        </w:rPr>
        <w:t xml:space="preserve">.”</w:t>
      </w:r>
    </w:p>
    <w:p w:rsidR="00000000" w:rsidDel="00000000" w:rsidP="00000000" w:rsidRDefault="00000000" w:rsidRPr="00000000" w14:paraId="0000098B">
      <w:pPr>
        <w:spacing w:line="480" w:lineRule="auto"/>
        <w:jc w:val="right"/>
        <w:rPr>
          <w:sz w:val="22"/>
          <w:szCs w:val="22"/>
        </w:rPr>
      </w:pPr>
      <w:r w:rsidDel="00000000" w:rsidR="00000000" w:rsidRPr="00000000">
        <w:rPr>
          <w:sz w:val="22"/>
          <w:szCs w:val="22"/>
          <w:rtl w:val="0"/>
        </w:rPr>
        <w:t xml:space="preserve">[Charlotte: </w:t>
      </w:r>
      <w:r w:rsidDel="00000000" w:rsidR="00000000" w:rsidRPr="00000000">
        <w:rPr>
          <w:i w:val="1"/>
          <w:sz w:val="22"/>
          <w:szCs w:val="22"/>
          <w:rtl w:val="0"/>
        </w:rPr>
        <w:t xml:space="preserve">Diazepam, Codeine, Zopiclone</w:t>
      </w:r>
      <w:r w:rsidDel="00000000" w:rsidR="00000000" w:rsidRPr="00000000">
        <w:rPr>
          <w:sz w:val="22"/>
          <w:szCs w:val="22"/>
          <w:rtl w:val="0"/>
        </w:rPr>
        <w:t xml:space="preserve">]</w:t>
      </w:r>
    </w:p>
    <w:p w:rsidR="00000000" w:rsidDel="00000000" w:rsidP="00000000" w:rsidRDefault="00000000" w:rsidRPr="00000000" w14:paraId="0000098C">
      <w:pPr>
        <w:spacing w:line="480" w:lineRule="auto"/>
        <w:ind w:left="360" w:firstLine="0"/>
        <w:jc w:val="right"/>
        <w:rPr>
          <w:sz w:val="22"/>
          <w:szCs w:val="22"/>
        </w:rPr>
      </w:pPr>
      <w:r w:rsidDel="00000000" w:rsidR="00000000" w:rsidRPr="00000000">
        <w:rPr>
          <w:rtl w:val="0"/>
        </w:rPr>
      </w:r>
    </w:p>
    <w:p w:rsidR="00000000" w:rsidDel="00000000" w:rsidP="00000000" w:rsidRDefault="00000000" w:rsidRPr="00000000" w14:paraId="0000098D">
      <w:pPr>
        <w:spacing w:line="480" w:lineRule="auto"/>
        <w:jc w:val="both"/>
        <w:rPr>
          <w:sz w:val="22"/>
          <w:szCs w:val="22"/>
        </w:rPr>
      </w:pPr>
      <w:r w:rsidDel="00000000" w:rsidR="00000000" w:rsidRPr="00000000">
        <w:rPr>
          <w:sz w:val="22"/>
          <w:szCs w:val="22"/>
          <w:rtl w:val="0"/>
        </w:rPr>
        <w:t xml:space="preserve">Furthermore, the accessibility of medicines and the remote nature of medical appointments allowed some to avoid interacting with psychosocial interventions, and to continue using medicines:</w:t>
      </w:r>
    </w:p>
    <w:p w:rsidR="00000000" w:rsidDel="00000000" w:rsidP="00000000" w:rsidRDefault="00000000" w:rsidRPr="00000000" w14:paraId="0000098E">
      <w:pPr>
        <w:spacing w:line="480" w:lineRule="auto"/>
        <w:jc w:val="both"/>
        <w:rPr>
          <w:sz w:val="22"/>
          <w:szCs w:val="22"/>
        </w:rPr>
      </w:pPr>
      <w:r w:rsidDel="00000000" w:rsidR="00000000" w:rsidRPr="00000000">
        <w:rPr>
          <w:rtl w:val="0"/>
        </w:rPr>
      </w:r>
    </w:p>
    <w:p w:rsidR="00000000" w:rsidDel="00000000" w:rsidP="00000000" w:rsidRDefault="00000000" w:rsidRPr="00000000" w14:paraId="0000098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That’s one thing that is a problem its easier for me to just keep erm renewing my prescription and getting it that it is I know I’m saying it’s so easy for me to call them</w:t>
      </w:r>
      <w:r w:rsidDel="00000000" w:rsidR="00000000" w:rsidRPr="00000000">
        <w:rPr>
          <w:sz w:val="22"/>
          <w:szCs w:val="22"/>
          <w:rtl w:val="0"/>
        </w:rPr>
        <w:t xml:space="preserve">.” </w:t>
      </w:r>
    </w:p>
    <w:p w:rsidR="00000000" w:rsidDel="00000000" w:rsidP="00000000" w:rsidRDefault="00000000" w:rsidRPr="00000000" w14:paraId="00000990">
      <w:pPr>
        <w:spacing w:line="480" w:lineRule="auto"/>
        <w:jc w:val="right"/>
        <w:rPr>
          <w:sz w:val="22"/>
          <w:szCs w:val="22"/>
        </w:rPr>
      </w:pPr>
      <w:r w:rsidDel="00000000" w:rsidR="00000000" w:rsidRPr="00000000">
        <w:rPr>
          <w:sz w:val="22"/>
          <w:szCs w:val="22"/>
          <w:rtl w:val="0"/>
        </w:rPr>
        <w:t xml:space="preserve">[Alice: </w:t>
      </w:r>
      <w:r w:rsidDel="00000000" w:rsidR="00000000" w:rsidRPr="00000000">
        <w:rPr>
          <w:i w:val="1"/>
          <w:sz w:val="22"/>
          <w:szCs w:val="22"/>
          <w:rtl w:val="0"/>
        </w:rPr>
        <w:t xml:space="preserve">Sertraline, Fluoxetine, Citalopram</w:t>
      </w:r>
      <w:r w:rsidDel="00000000" w:rsidR="00000000" w:rsidRPr="00000000">
        <w:rPr>
          <w:sz w:val="22"/>
          <w:szCs w:val="22"/>
          <w:rtl w:val="0"/>
        </w:rPr>
        <w:t xml:space="preserve">]</w:t>
      </w:r>
    </w:p>
    <w:p w:rsidR="00000000" w:rsidDel="00000000" w:rsidP="00000000" w:rsidRDefault="00000000" w:rsidRPr="00000000" w14:paraId="00000991">
      <w:pPr>
        <w:spacing w:line="480" w:lineRule="auto"/>
        <w:jc w:val="both"/>
        <w:rPr>
          <w:sz w:val="22"/>
          <w:szCs w:val="22"/>
        </w:rPr>
      </w:pPr>
      <w:r w:rsidDel="00000000" w:rsidR="00000000" w:rsidRPr="00000000">
        <w:rPr>
          <w:rtl w:val="0"/>
        </w:rPr>
      </w:r>
    </w:p>
    <w:p w:rsidR="00000000" w:rsidDel="00000000" w:rsidP="00000000" w:rsidRDefault="00000000" w:rsidRPr="00000000" w14:paraId="00000992">
      <w:pPr>
        <w:spacing w:line="480" w:lineRule="auto"/>
        <w:jc w:val="both"/>
        <w:rPr>
          <w:sz w:val="22"/>
          <w:szCs w:val="22"/>
        </w:rPr>
      </w:pPr>
      <w:r w:rsidDel="00000000" w:rsidR="00000000" w:rsidRPr="00000000">
        <w:rPr>
          <w:sz w:val="22"/>
          <w:szCs w:val="22"/>
          <w:rtl w:val="0"/>
        </w:rPr>
        <w:t xml:space="preserve">Again, this was considered a positive by </w:t>
      </w:r>
      <w:r w:rsidDel="00000000" w:rsidR="00000000" w:rsidRPr="00000000">
        <w:rPr>
          <w:i w:val="1"/>
          <w:sz w:val="22"/>
          <w:szCs w:val="22"/>
          <w:rtl w:val="0"/>
        </w:rPr>
        <w:t xml:space="preserve">Alice</w:t>
      </w:r>
      <w:r w:rsidDel="00000000" w:rsidR="00000000" w:rsidRPr="00000000">
        <w:rPr>
          <w:sz w:val="22"/>
          <w:szCs w:val="22"/>
          <w:rtl w:val="0"/>
        </w:rPr>
        <w:t xml:space="preserve">, as she did not wish to engage with these services at the time, however felt that the ease of ordering a repeat prescription to antidepressants was a barrier to reduction. There appears to be an unprofessional display of clinical monitoring, often contrary to </w:t>
      </w:r>
      <w:hyperlink w:anchor="_heading=h.17dp8vu">
        <w:r w:rsidDel="00000000" w:rsidR="00000000" w:rsidRPr="00000000">
          <w:rPr>
            <w:color w:val="467886"/>
            <w:sz w:val="22"/>
            <w:szCs w:val="22"/>
            <w:u w:val="single"/>
            <w:rtl w:val="0"/>
          </w:rPr>
          <w:t xml:space="preserve">Good Clinical Prescribing</w:t>
        </w:r>
      </w:hyperlink>
      <w:r w:rsidDel="00000000" w:rsidR="00000000" w:rsidRPr="00000000">
        <w:rPr>
          <w:sz w:val="22"/>
          <w:szCs w:val="22"/>
          <w:rtl w:val="0"/>
        </w:rPr>
        <w:t xml:space="preserve"> guidance (p. 16). The length of prescribing of medicines that are particularly dependence forming is evident, suggesting improper prescribing. Furthermore, there appears to be a lack of alternative provision, despite its availability, where this avenue of treatment may be more appropriate. </w:t>
      </w:r>
    </w:p>
    <w:p w:rsidR="00000000" w:rsidDel="00000000" w:rsidP="00000000" w:rsidRDefault="00000000" w:rsidRPr="00000000" w14:paraId="00000993">
      <w:pPr>
        <w:spacing w:line="480" w:lineRule="auto"/>
        <w:jc w:val="both"/>
        <w:rPr>
          <w:sz w:val="22"/>
          <w:szCs w:val="22"/>
        </w:rPr>
      </w:pPr>
      <w:r w:rsidDel="00000000" w:rsidR="00000000" w:rsidRPr="00000000">
        <w:rPr>
          <w:rtl w:val="0"/>
        </w:rPr>
      </w:r>
    </w:p>
    <w:p w:rsidR="00000000" w:rsidDel="00000000" w:rsidP="00000000" w:rsidRDefault="00000000" w:rsidRPr="00000000" w14:paraId="00000994">
      <w:pPr>
        <w:spacing w:line="480" w:lineRule="auto"/>
        <w:jc w:val="both"/>
        <w:rPr>
          <w:sz w:val="22"/>
          <w:szCs w:val="22"/>
        </w:rPr>
      </w:pPr>
      <w:r w:rsidDel="00000000" w:rsidR="00000000" w:rsidRPr="00000000">
        <w:rPr>
          <w:sz w:val="22"/>
          <w:szCs w:val="22"/>
          <w:rtl w:val="0"/>
        </w:rPr>
        <w:t xml:space="preserve">This theme explored the role of the practitioner outside of their prescribing practices. The perceived level of knowledge and understanding possessed by the participants practitioner varied. This was often dependent on the specific role the practitioner held, for example specialist mental health professionals were preferred over General Practitioners. Not accessing support from specialists or appropriate services has been identified as a barrier to recovery. Furthermore, stigmatising practices, specifically in the context of gender and disability, have been reported. As a result, the participants feel anxiety and concern when approaching formal health care services. </w:t>
      </w:r>
    </w:p>
    <w:p w:rsidR="00000000" w:rsidDel="00000000" w:rsidP="00000000" w:rsidRDefault="00000000" w:rsidRPr="00000000" w14:paraId="00000995">
      <w:pPr>
        <w:spacing w:line="480" w:lineRule="auto"/>
        <w:jc w:val="both"/>
        <w:rPr>
          <w:sz w:val="22"/>
          <w:szCs w:val="22"/>
        </w:rPr>
      </w:pPr>
      <w:r w:rsidDel="00000000" w:rsidR="00000000" w:rsidRPr="00000000">
        <w:rPr>
          <w:rtl w:val="0"/>
        </w:rPr>
      </w:r>
    </w:p>
    <w:p w:rsidR="00000000" w:rsidDel="00000000" w:rsidP="00000000" w:rsidRDefault="00000000" w:rsidRPr="00000000" w14:paraId="00000996">
      <w:pPr>
        <w:pStyle w:val="Heading2"/>
        <w:numPr>
          <w:ilvl w:val="1"/>
          <w:numId w:val="15"/>
        </w:numPr>
        <w:spacing w:line="480" w:lineRule="auto"/>
        <w:ind w:left="720" w:hanging="720"/>
        <w:rPr/>
      </w:pPr>
      <w:bookmarkStart w:colFirst="0" w:colLast="0" w:name="_heading=h.1ljsd9k" w:id="105"/>
      <w:bookmarkEnd w:id="105"/>
      <w:r w:rsidDel="00000000" w:rsidR="00000000" w:rsidRPr="00000000">
        <w:rPr>
          <w:rtl w:val="0"/>
        </w:rPr>
        <w:t xml:space="preserve">Escaping the Medication Trap</w:t>
      </w:r>
    </w:p>
    <w:p w:rsidR="00000000" w:rsidDel="00000000" w:rsidP="00000000" w:rsidRDefault="00000000" w:rsidRPr="00000000" w14:paraId="00000997">
      <w:pPr>
        <w:spacing w:line="480" w:lineRule="auto"/>
        <w:jc w:val="both"/>
        <w:rPr>
          <w:sz w:val="22"/>
          <w:szCs w:val="22"/>
        </w:rPr>
      </w:pPr>
      <w:r w:rsidDel="00000000" w:rsidR="00000000" w:rsidRPr="00000000">
        <w:rPr>
          <w:sz w:val="22"/>
          <w:szCs w:val="22"/>
          <w:rtl w:val="0"/>
        </w:rPr>
        <w:t xml:space="preserve">As noted, there are some participants that consider themselves independent when managing their health and treatment. These are typically those who have experienced a long history of treatment, have identified methods of recovery independently. The methods in which these participants manage their health will also be discussed. These are typically funded by the participant and include lifestyle changes and psychosocial activities. Furthermore, these participants have gained knowledge through their treatment journey that has supported them to advocate for themselves during their treatment. This theme will also explore where this lay information is located. </w:t>
      </w:r>
    </w:p>
    <w:p w:rsidR="00000000" w:rsidDel="00000000" w:rsidP="00000000" w:rsidRDefault="00000000" w:rsidRPr="00000000" w14:paraId="00000998">
      <w:pPr>
        <w:spacing w:line="480" w:lineRule="auto"/>
        <w:jc w:val="both"/>
        <w:rPr>
          <w:sz w:val="22"/>
          <w:szCs w:val="22"/>
        </w:rPr>
      </w:pPr>
      <w:r w:rsidDel="00000000" w:rsidR="00000000" w:rsidRPr="00000000">
        <w:rPr>
          <w:rtl w:val="0"/>
        </w:rPr>
      </w:r>
    </w:p>
    <w:p w:rsidR="00000000" w:rsidDel="00000000" w:rsidP="00000000" w:rsidRDefault="00000000" w:rsidRPr="00000000" w14:paraId="00000999">
      <w:pPr>
        <w:pStyle w:val="Heading3"/>
        <w:spacing w:line="480" w:lineRule="auto"/>
        <w:jc w:val="both"/>
        <w:rPr/>
      </w:pPr>
      <w:bookmarkStart w:colFirst="0" w:colLast="0" w:name="_heading=h.45jfvxd" w:id="106"/>
      <w:bookmarkEnd w:id="106"/>
      <w:r w:rsidDel="00000000" w:rsidR="00000000" w:rsidRPr="00000000">
        <w:rPr>
          <w:rtl w:val="0"/>
        </w:rPr>
        <w:t xml:space="preserve">Methods of Withdrawal</w:t>
      </w:r>
    </w:p>
    <w:p w:rsidR="00000000" w:rsidDel="00000000" w:rsidP="00000000" w:rsidRDefault="00000000" w:rsidRPr="00000000" w14:paraId="0000099A">
      <w:pPr>
        <w:spacing w:line="480" w:lineRule="auto"/>
        <w:jc w:val="both"/>
        <w:rPr>
          <w:sz w:val="22"/>
          <w:szCs w:val="22"/>
        </w:rPr>
      </w:pPr>
      <w:r w:rsidDel="00000000" w:rsidR="00000000" w:rsidRPr="00000000">
        <w:rPr>
          <w:sz w:val="22"/>
          <w:szCs w:val="22"/>
          <w:rtl w:val="0"/>
        </w:rPr>
        <w:t xml:space="preserve">Withdrawal methods were reported by some participants. These include the implementation of a controlled approach to withdrawal include tapering, either by dose skipping or a slow reduction in dose. Others describe the use of herbal supplements such as </w:t>
      </w:r>
      <w:r w:rsidDel="00000000" w:rsidR="00000000" w:rsidRPr="00000000">
        <w:rPr>
          <w:i w:val="1"/>
          <w:sz w:val="22"/>
          <w:szCs w:val="22"/>
          <w:rtl w:val="0"/>
        </w:rPr>
        <w:t xml:space="preserve">‘Kalms’</w:t>
      </w:r>
      <w:r w:rsidDel="00000000" w:rsidR="00000000" w:rsidRPr="00000000">
        <w:rPr>
          <w:sz w:val="22"/>
          <w:szCs w:val="22"/>
          <w:rtl w:val="0"/>
        </w:rPr>
        <w:t xml:space="preserve"> and implementing lifestyle changes. </w:t>
      </w:r>
    </w:p>
    <w:p w:rsidR="00000000" w:rsidDel="00000000" w:rsidP="00000000" w:rsidRDefault="00000000" w:rsidRPr="00000000" w14:paraId="0000099B">
      <w:pPr>
        <w:spacing w:line="480" w:lineRule="auto"/>
        <w:jc w:val="both"/>
        <w:rPr>
          <w:sz w:val="22"/>
          <w:szCs w:val="22"/>
        </w:rPr>
      </w:pPr>
      <w:r w:rsidDel="00000000" w:rsidR="00000000" w:rsidRPr="00000000">
        <w:rPr>
          <w:rtl w:val="0"/>
        </w:rPr>
      </w:r>
    </w:p>
    <w:p w:rsidR="00000000" w:rsidDel="00000000" w:rsidP="00000000" w:rsidRDefault="00000000" w:rsidRPr="00000000" w14:paraId="0000099C">
      <w:pPr>
        <w:spacing w:line="480" w:lineRule="auto"/>
        <w:jc w:val="both"/>
        <w:rPr>
          <w:sz w:val="22"/>
          <w:szCs w:val="22"/>
        </w:rPr>
      </w:pPr>
      <w:r w:rsidDel="00000000" w:rsidR="00000000" w:rsidRPr="00000000">
        <w:rPr>
          <w:sz w:val="22"/>
          <w:szCs w:val="22"/>
          <w:rtl w:val="0"/>
        </w:rPr>
        <w:t xml:space="preserve">To demonstrate, a slow reduction was implemented by </w:t>
      </w:r>
      <w:r w:rsidDel="00000000" w:rsidR="00000000" w:rsidRPr="00000000">
        <w:rPr>
          <w:i w:val="1"/>
          <w:sz w:val="22"/>
          <w:szCs w:val="22"/>
          <w:rtl w:val="0"/>
        </w:rPr>
        <w:t xml:space="preserve">Georgina</w:t>
      </w:r>
      <w:r w:rsidDel="00000000" w:rsidR="00000000" w:rsidRPr="00000000">
        <w:rPr>
          <w:sz w:val="22"/>
          <w:szCs w:val="22"/>
          <w:rtl w:val="0"/>
        </w:rPr>
        <w:t xml:space="preserve"> who shared in detail how she tapered from her fentanyl patch. </w:t>
      </w:r>
      <w:r w:rsidDel="00000000" w:rsidR="00000000" w:rsidRPr="00000000">
        <w:rPr>
          <w:i w:val="1"/>
          <w:sz w:val="22"/>
          <w:szCs w:val="22"/>
          <w:rtl w:val="0"/>
        </w:rPr>
        <w:t xml:space="preserve">Georgina</w:t>
      </w:r>
      <w:r w:rsidDel="00000000" w:rsidR="00000000" w:rsidRPr="00000000">
        <w:rPr>
          <w:sz w:val="22"/>
          <w:szCs w:val="22"/>
          <w:rtl w:val="0"/>
        </w:rPr>
        <w:t xml:space="preserve"> cut her patch to the desired dose, which was informed by her own independent research using peer-reviewed medical literature. This was supported by her pain consultant and pharmacist, however, further attempts to do this was met with hesitation from practitioners, due to the perceived lack of scientific due process: </w:t>
      </w:r>
    </w:p>
    <w:p w:rsidR="00000000" w:rsidDel="00000000" w:rsidP="00000000" w:rsidRDefault="00000000" w:rsidRPr="00000000" w14:paraId="0000099D">
      <w:pPr>
        <w:spacing w:line="480" w:lineRule="auto"/>
        <w:jc w:val="both"/>
        <w:rPr>
          <w:sz w:val="22"/>
          <w:szCs w:val="22"/>
        </w:rPr>
      </w:pPr>
      <w:r w:rsidDel="00000000" w:rsidR="00000000" w:rsidRPr="00000000">
        <w:rPr>
          <w:rtl w:val="0"/>
        </w:rPr>
      </w:r>
    </w:p>
    <w:p w:rsidR="00000000" w:rsidDel="00000000" w:rsidP="00000000" w:rsidRDefault="00000000" w:rsidRPr="00000000" w14:paraId="0000099E">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My trust would not support me cutting the patches they point blank refused erm and by this time cos I’d accidentally tapered cos I hadn’t done it scientifically</w:t>
      </w:r>
      <w:r w:rsidDel="00000000" w:rsidR="00000000" w:rsidRPr="00000000">
        <w:rPr>
          <w:sz w:val="22"/>
          <w:szCs w:val="22"/>
          <w:rtl w:val="0"/>
        </w:rPr>
        <w:t xml:space="preserve">.”</w:t>
      </w:r>
    </w:p>
    <w:p w:rsidR="00000000" w:rsidDel="00000000" w:rsidP="00000000" w:rsidRDefault="00000000" w:rsidRPr="00000000" w14:paraId="0000099F">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A0">
      <w:pPr>
        <w:spacing w:line="480" w:lineRule="auto"/>
        <w:jc w:val="right"/>
        <w:rPr>
          <w:sz w:val="22"/>
          <w:szCs w:val="22"/>
        </w:rPr>
      </w:pPr>
      <w:r w:rsidDel="00000000" w:rsidR="00000000" w:rsidRPr="00000000">
        <w:rPr>
          <w:rtl w:val="0"/>
        </w:rPr>
      </w:r>
    </w:p>
    <w:p w:rsidR="00000000" w:rsidDel="00000000" w:rsidP="00000000" w:rsidRDefault="00000000" w:rsidRPr="00000000" w14:paraId="000009A1">
      <w:pPr>
        <w:spacing w:line="480" w:lineRule="auto"/>
        <w:jc w:val="both"/>
        <w:rPr>
          <w:sz w:val="22"/>
          <w:szCs w:val="22"/>
        </w:rPr>
      </w:pPr>
      <w:r w:rsidDel="00000000" w:rsidR="00000000" w:rsidRPr="00000000">
        <w:rPr>
          <w:sz w:val="22"/>
          <w:szCs w:val="22"/>
          <w:rtl w:val="0"/>
        </w:rPr>
        <w:t xml:space="preserve">As a result of this decision, and her own research, she chose to reduce her daily doses with the support of her pharmacist who provided the appropriate milligram capsules in line with her prescription. Other participants managed their own reduction using other methods, such as the “</w:t>
      </w:r>
      <w:r w:rsidDel="00000000" w:rsidR="00000000" w:rsidRPr="00000000">
        <w:rPr>
          <w:i w:val="1"/>
          <w:sz w:val="22"/>
          <w:szCs w:val="22"/>
          <w:rtl w:val="0"/>
        </w:rPr>
        <w:t xml:space="preserve">cold turkey</w:t>
      </w:r>
      <w:r w:rsidDel="00000000" w:rsidR="00000000" w:rsidRPr="00000000">
        <w:rPr>
          <w:sz w:val="22"/>
          <w:szCs w:val="22"/>
          <w:rtl w:val="0"/>
        </w:rPr>
        <w:t xml:space="preserve">” approach. This was utilised by </w:t>
      </w:r>
      <w:r w:rsidDel="00000000" w:rsidR="00000000" w:rsidRPr="00000000">
        <w:rPr>
          <w:i w:val="1"/>
          <w:sz w:val="22"/>
          <w:szCs w:val="22"/>
          <w:rtl w:val="0"/>
        </w:rPr>
        <w:t xml:space="preserve">Brandon</w:t>
      </w:r>
      <w:r w:rsidDel="00000000" w:rsidR="00000000" w:rsidRPr="00000000">
        <w:rPr>
          <w:sz w:val="22"/>
          <w:szCs w:val="22"/>
          <w:rtl w:val="0"/>
        </w:rPr>
        <w:t xml:space="preserve">, to manage his tolerance to pregabalin. At the time of interview, </w:t>
      </w:r>
      <w:r w:rsidDel="00000000" w:rsidR="00000000" w:rsidRPr="00000000">
        <w:rPr>
          <w:i w:val="1"/>
          <w:sz w:val="22"/>
          <w:szCs w:val="22"/>
          <w:rtl w:val="0"/>
        </w:rPr>
        <w:t xml:space="preserve">Brandon</w:t>
      </w:r>
      <w:r w:rsidDel="00000000" w:rsidR="00000000" w:rsidRPr="00000000">
        <w:rPr>
          <w:sz w:val="22"/>
          <w:szCs w:val="22"/>
          <w:rtl w:val="0"/>
        </w:rPr>
        <w:t xml:space="preserve"> was using his baseline dose of 75 milligrams and intended to increase his dose incrementally towards 600 milligrams. When </w:t>
      </w:r>
      <w:r w:rsidDel="00000000" w:rsidR="00000000" w:rsidRPr="00000000">
        <w:rPr>
          <w:i w:val="1"/>
          <w:sz w:val="22"/>
          <w:szCs w:val="22"/>
          <w:rtl w:val="0"/>
        </w:rPr>
        <w:t xml:space="preserve">Brandon </w:t>
      </w:r>
      <w:r w:rsidDel="00000000" w:rsidR="00000000" w:rsidRPr="00000000">
        <w:rPr>
          <w:sz w:val="22"/>
          <w:szCs w:val="22"/>
          <w:rtl w:val="0"/>
        </w:rPr>
        <w:t xml:space="preserve">feels his tolerance is high, he will reduce his dose back to the baseline dosage. Although withdrawal symptoms are present when this reduction occurs, he feels they are manageable.</w:t>
      </w:r>
    </w:p>
    <w:p w:rsidR="00000000" w:rsidDel="00000000" w:rsidP="00000000" w:rsidRDefault="00000000" w:rsidRPr="00000000" w14:paraId="000009A2">
      <w:pPr>
        <w:spacing w:line="480" w:lineRule="auto"/>
        <w:jc w:val="both"/>
        <w:rPr>
          <w:sz w:val="22"/>
          <w:szCs w:val="22"/>
        </w:rPr>
      </w:pPr>
      <w:r w:rsidDel="00000000" w:rsidR="00000000" w:rsidRPr="00000000">
        <w:rPr>
          <w:rtl w:val="0"/>
        </w:rPr>
      </w:r>
    </w:p>
    <w:p w:rsidR="00000000" w:rsidDel="00000000" w:rsidP="00000000" w:rsidRDefault="00000000" w:rsidRPr="00000000" w14:paraId="000009A3">
      <w:pPr>
        <w:pStyle w:val="Heading3"/>
        <w:spacing w:line="480" w:lineRule="auto"/>
        <w:jc w:val="both"/>
        <w:rPr/>
      </w:pPr>
      <w:bookmarkStart w:colFirst="0" w:colLast="0" w:name="_heading=h.2koq656" w:id="107"/>
      <w:bookmarkEnd w:id="107"/>
      <w:r w:rsidDel="00000000" w:rsidR="00000000" w:rsidRPr="00000000">
        <w:rPr>
          <w:rtl w:val="0"/>
        </w:rPr>
        <w:t xml:space="preserve">Independence</w:t>
      </w:r>
    </w:p>
    <w:p w:rsidR="00000000" w:rsidDel="00000000" w:rsidP="00000000" w:rsidRDefault="00000000" w:rsidRPr="00000000" w14:paraId="000009A4">
      <w:pPr>
        <w:spacing w:line="480" w:lineRule="auto"/>
        <w:jc w:val="both"/>
        <w:rPr>
          <w:sz w:val="22"/>
          <w:szCs w:val="22"/>
        </w:rPr>
      </w:pPr>
      <w:r w:rsidDel="00000000" w:rsidR="00000000" w:rsidRPr="00000000">
        <w:rPr>
          <w:sz w:val="22"/>
          <w:szCs w:val="22"/>
          <w:rtl w:val="0"/>
        </w:rPr>
        <w:t xml:space="preserve">Motivation towards independence generally referred to the medical mistrust participants have reportedly developed. This is typically associated with repeated negative experiences with healthcare services and negative health outcomes, or the lack of support received for complex health conditions. This is referenced heavily in </w:t>
      </w:r>
      <w:r w:rsidDel="00000000" w:rsidR="00000000" w:rsidRPr="00000000">
        <w:rPr>
          <w:i w:val="1"/>
          <w:sz w:val="22"/>
          <w:szCs w:val="22"/>
          <w:rtl w:val="0"/>
        </w:rPr>
        <w:t xml:space="preserve">Charlotte, Georgina</w:t>
      </w:r>
      <w:r w:rsidDel="00000000" w:rsidR="00000000" w:rsidRPr="00000000">
        <w:rPr>
          <w:sz w:val="22"/>
          <w:szCs w:val="22"/>
          <w:rtl w:val="0"/>
        </w:rPr>
        <w:t xml:space="preserve">, </w:t>
      </w:r>
      <w:r w:rsidDel="00000000" w:rsidR="00000000" w:rsidRPr="00000000">
        <w:rPr>
          <w:i w:val="1"/>
          <w:sz w:val="22"/>
          <w:szCs w:val="22"/>
          <w:rtl w:val="0"/>
        </w:rPr>
        <w:t xml:space="preserve">Imogen’s </w:t>
      </w:r>
      <w:r w:rsidDel="00000000" w:rsidR="00000000" w:rsidRPr="00000000">
        <w:rPr>
          <w:sz w:val="22"/>
          <w:szCs w:val="22"/>
          <w:rtl w:val="0"/>
        </w:rPr>
        <w:t xml:space="preserve">interviews. </w:t>
      </w:r>
    </w:p>
    <w:p w:rsidR="00000000" w:rsidDel="00000000" w:rsidP="00000000" w:rsidRDefault="00000000" w:rsidRPr="00000000" w14:paraId="000009A5">
      <w:pPr>
        <w:spacing w:line="480" w:lineRule="auto"/>
        <w:jc w:val="both"/>
        <w:rPr>
          <w:sz w:val="22"/>
          <w:szCs w:val="22"/>
        </w:rPr>
      </w:pPr>
      <w:r w:rsidDel="00000000" w:rsidR="00000000" w:rsidRPr="00000000">
        <w:rPr>
          <w:rtl w:val="0"/>
        </w:rPr>
      </w:r>
    </w:p>
    <w:p w:rsidR="00000000" w:rsidDel="00000000" w:rsidP="00000000" w:rsidRDefault="00000000" w:rsidRPr="00000000" w14:paraId="000009A6">
      <w:pPr>
        <w:spacing w:line="480" w:lineRule="auto"/>
        <w:jc w:val="both"/>
        <w:rPr>
          <w:sz w:val="22"/>
          <w:szCs w:val="22"/>
        </w:rPr>
      </w:pPr>
      <w:r w:rsidDel="00000000" w:rsidR="00000000" w:rsidRPr="00000000">
        <w:rPr>
          <w:sz w:val="22"/>
          <w:szCs w:val="22"/>
          <w:rtl w:val="0"/>
        </w:rPr>
        <w:t xml:space="preserve">As previously explored, those who have little or no previous experience accessing treatment and support are more likely to passively accept medicines. One channel lay knowledge is gained is through exposure and repeated interactions with treatment services. These participants who considered themselves to be “</w:t>
      </w:r>
      <w:r w:rsidDel="00000000" w:rsidR="00000000" w:rsidRPr="00000000">
        <w:rPr>
          <w:i w:val="1"/>
          <w:sz w:val="22"/>
          <w:szCs w:val="22"/>
          <w:rtl w:val="0"/>
        </w:rPr>
        <w:t xml:space="preserve">treatment naïve</w:t>
      </w:r>
      <w:r w:rsidDel="00000000" w:rsidR="00000000" w:rsidRPr="00000000">
        <w:rPr>
          <w:sz w:val="22"/>
          <w:szCs w:val="22"/>
          <w:rtl w:val="0"/>
        </w:rPr>
        <w:t xml:space="preserve">” in these interactions now feel they may question or challenge decisions now they have more experience.</w:t>
      </w:r>
    </w:p>
    <w:p w:rsidR="00000000" w:rsidDel="00000000" w:rsidP="00000000" w:rsidRDefault="00000000" w:rsidRPr="00000000" w14:paraId="000009A7">
      <w:pPr>
        <w:spacing w:line="480" w:lineRule="auto"/>
        <w:jc w:val="both"/>
        <w:rPr>
          <w:sz w:val="22"/>
          <w:szCs w:val="22"/>
        </w:rPr>
      </w:pPr>
      <w:r w:rsidDel="00000000" w:rsidR="00000000" w:rsidRPr="00000000">
        <w:rPr>
          <w:rtl w:val="0"/>
        </w:rPr>
      </w:r>
    </w:p>
    <w:p w:rsidR="00000000" w:rsidDel="00000000" w:rsidP="00000000" w:rsidRDefault="00000000" w:rsidRPr="00000000" w14:paraId="000009A8">
      <w:pPr>
        <w:spacing w:line="480" w:lineRule="auto"/>
        <w:jc w:val="both"/>
        <w:rPr>
          <w:i w:val="1"/>
          <w:sz w:val="22"/>
          <w:szCs w:val="22"/>
        </w:rPr>
      </w:pPr>
      <w:r w:rsidDel="00000000" w:rsidR="00000000" w:rsidRPr="00000000">
        <w:rPr>
          <w:sz w:val="22"/>
          <w:szCs w:val="22"/>
          <w:rtl w:val="0"/>
        </w:rPr>
        <w:t xml:space="preserve">Other participants report seeking information outside of formal healthcare channels and is associated with the perceived lack of practitioner knowledge. This can be through social media, or the use of peer-reviewed articles:</w:t>
      </w:r>
      <w:r w:rsidDel="00000000" w:rsidR="00000000" w:rsidRPr="00000000">
        <w:rPr>
          <w:rtl w:val="0"/>
        </w:rPr>
      </w:r>
    </w:p>
    <w:p w:rsidR="00000000" w:rsidDel="00000000" w:rsidP="00000000" w:rsidRDefault="00000000" w:rsidRPr="00000000" w14:paraId="000009A9">
      <w:pPr>
        <w:spacing w:line="480" w:lineRule="auto"/>
        <w:jc w:val="both"/>
        <w:rPr>
          <w:sz w:val="22"/>
          <w:szCs w:val="22"/>
        </w:rPr>
      </w:pPr>
      <w:r w:rsidDel="00000000" w:rsidR="00000000" w:rsidRPr="00000000">
        <w:rPr>
          <w:rtl w:val="0"/>
        </w:rPr>
      </w:r>
    </w:p>
    <w:p w:rsidR="00000000" w:rsidDel="00000000" w:rsidP="00000000" w:rsidRDefault="00000000" w:rsidRPr="00000000" w14:paraId="000009AA">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did research it when I got home as I tend to have a lot of my medications now because unfortunately due to the state of the NHS, you have to be independent to do a lot of your own research to figure things out and when you do finally get appointment so you can actually ask all the questions that you need… I’ve been reading because of this to try and educate myself and trying to understand</w:t>
      </w:r>
      <w:r w:rsidDel="00000000" w:rsidR="00000000" w:rsidRPr="00000000">
        <w:rPr>
          <w:sz w:val="22"/>
          <w:szCs w:val="22"/>
          <w:rtl w:val="0"/>
        </w:rPr>
        <w:t xml:space="preserve">.”</w:t>
      </w:r>
    </w:p>
    <w:p w:rsidR="00000000" w:rsidDel="00000000" w:rsidP="00000000" w:rsidRDefault="00000000" w:rsidRPr="00000000" w14:paraId="000009AB">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9AC">
      <w:pPr>
        <w:spacing w:line="480" w:lineRule="auto"/>
        <w:ind w:left="709" w:firstLine="0"/>
        <w:jc w:val="both"/>
        <w:rPr>
          <w:sz w:val="22"/>
          <w:szCs w:val="22"/>
        </w:rPr>
      </w:pPr>
      <w:r w:rsidDel="00000000" w:rsidR="00000000" w:rsidRPr="00000000">
        <w:rPr>
          <w:rtl w:val="0"/>
        </w:rPr>
      </w:r>
    </w:p>
    <w:p w:rsidR="00000000" w:rsidDel="00000000" w:rsidP="00000000" w:rsidRDefault="00000000" w:rsidRPr="00000000" w14:paraId="000009AD">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I’ve done my research… when I say do my research, I’m not YouTube videos and conspiracy theorists I’m looking at papers</w:t>
      </w:r>
      <w:r w:rsidDel="00000000" w:rsidR="00000000" w:rsidRPr="00000000">
        <w:rPr>
          <w:sz w:val="22"/>
          <w:szCs w:val="22"/>
          <w:rtl w:val="0"/>
        </w:rPr>
        <w:t xml:space="preserve">.”</w:t>
      </w:r>
    </w:p>
    <w:p w:rsidR="00000000" w:rsidDel="00000000" w:rsidP="00000000" w:rsidRDefault="00000000" w:rsidRPr="00000000" w14:paraId="000009AE">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AF">
      <w:pPr>
        <w:spacing w:line="480" w:lineRule="auto"/>
        <w:jc w:val="right"/>
        <w:rPr>
          <w:sz w:val="22"/>
          <w:szCs w:val="22"/>
        </w:rPr>
      </w:pPr>
      <w:r w:rsidDel="00000000" w:rsidR="00000000" w:rsidRPr="00000000">
        <w:rPr>
          <w:rtl w:val="0"/>
        </w:rPr>
      </w:r>
    </w:p>
    <w:p w:rsidR="00000000" w:rsidDel="00000000" w:rsidP="00000000" w:rsidRDefault="00000000" w:rsidRPr="00000000" w14:paraId="000009B0">
      <w:pPr>
        <w:spacing w:line="480" w:lineRule="auto"/>
        <w:jc w:val="both"/>
        <w:rPr>
          <w:sz w:val="22"/>
          <w:szCs w:val="22"/>
        </w:rPr>
      </w:pPr>
      <w:r w:rsidDel="00000000" w:rsidR="00000000" w:rsidRPr="00000000">
        <w:rPr>
          <w:sz w:val="22"/>
          <w:szCs w:val="22"/>
          <w:rtl w:val="0"/>
        </w:rPr>
        <w:t xml:space="preserve">This has informed some participants and given them information to advocate for themselves. This appears to be commonplace within the chronic illness community, as described by </w:t>
      </w:r>
      <w:r w:rsidDel="00000000" w:rsidR="00000000" w:rsidRPr="00000000">
        <w:rPr>
          <w:i w:val="1"/>
          <w:sz w:val="22"/>
          <w:szCs w:val="22"/>
          <w:rtl w:val="0"/>
        </w:rPr>
        <w:t xml:space="preserve">Imogen:</w:t>
      </w:r>
      <w:r w:rsidDel="00000000" w:rsidR="00000000" w:rsidRPr="00000000">
        <w:rPr>
          <w:rtl w:val="0"/>
        </w:rPr>
      </w:r>
    </w:p>
    <w:p w:rsidR="00000000" w:rsidDel="00000000" w:rsidP="00000000" w:rsidRDefault="00000000" w:rsidRPr="00000000" w14:paraId="000009B1">
      <w:pPr>
        <w:spacing w:line="480" w:lineRule="auto"/>
        <w:jc w:val="both"/>
        <w:rPr>
          <w:sz w:val="22"/>
          <w:szCs w:val="22"/>
        </w:rPr>
      </w:pPr>
      <w:r w:rsidDel="00000000" w:rsidR="00000000" w:rsidRPr="00000000">
        <w:rPr>
          <w:rtl w:val="0"/>
        </w:rPr>
      </w:r>
    </w:p>
    <w:p w:rsidR="00000000" w:rsidDel="00000000" w:rsidP="00000000" w:rsidRDefault="00000000" w:rsidRPr="00000000" w14:paraId="000009B2">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It does leave you feeling sometimes a bit hopeless because there's so many jokes within the chronic illness community about how you end up educating your doctor more than they educate you</w:t>
      </w:r>
      <w:r w:rsidDel="00000000" w:rsidR="00000000" w:rsidRPr="00000000">
        <w:rPr>
          <w:sz w:val="22"/>
          <w:szCs w:val="22"/>
          <w:rtl w:val="0"/>
        </w:rPr>
        <w:t xml:space="preserve">.”</w:t>
      </w:r>
    </w:p>
    <w:p w:rsidR="00000000" w:rsidDel="00000000" w:rsidP="00000000" w:rsidRDefault="00000000" w:rsidRPr="00000000" w14:paraId="000009B3">
      <w:pPr>
        <w:spacing w:line="480" w:lineRule="auto"/>
        <w:jc w:val="right"/>
        <w:rPr>
          <w:sz w:val="22"/>
          <w:szCs w:val="22"/>
        </w:rPr>
      </w:pPr>
      <w:r w:rsidDel="00000000" w:rsidR="00000000" w:rsidRPr="00000000">
        <w:rPr>
          <w:sz w:val="22"/>
          <w:szCs w:val="22"/>
          <w:rtl w:val="0"/>
        </w:rPr>
        <w:t xml:space="preserve">[Imogen: </w:t>
      </w:r>
      <w:r w:rsidDel="00000000" w:rsidR="00000000" w:rsidRPr="00000000">
        <w:rPr>
          <w:i w:val="1"/>
          <w:sz w:val="22"/>
          <w:szCs w:val="22"/>
          <w:rtl w:val="0"/>
        </w:rPr>
        <w:t xml:space="preserve">Sertraline, Amitriptyline, Co-codamol, Pregabalin</w:t>
      </w:r>
      <w:r w:rsidDel="00000000" w:rsidR="00000000" w:rsidRPr="00000000">
        <w:rPr>
          <w:sz w:val="22"/>
          <w:szCs w:val="22"/>
          <w:rtl w:val="0"/>
        </w:rPr>
        <w:t xml:space="preserve">]</w:t>
      </w:r>
    </w:p>
    <w:p w:rsidR="00000000" w:rsidDel="00000000" w:rsidP="00000000" w:rsidRDefault="00000000" w:rsidRPr="00000000" w14:paraId="000009B4">
      <w:pPr>
        <w:spacing w:line="480" w:lineRule="auto"/>
        <w:jc w:val="right"/>
        <w:rPr>
          <w:sz w:val="22"/>
          <w:szCs w:val="22"/>
        </w:rPr>
      </w:pPr>
      <w:r w:rsidDel="00000000" w:rsidR="00000000" w:rsidRPr="00000000">
        <w:rPr>
          <w:rtl w:val="0"/>
        </w:rPr>
      </w:r>
    </w:p>
    <w:p w:rsidR="00000000" w:rsidDel="00000000" w:rsidP="00000000" w:rsidRDefault="00000000" w:rsidRPr="00000000" w14:paraId="000009B5">
      <w:pPr>
        <w:spacing w:line="480" w:lineRule="auto"/>
        <w:jc w:val="both"/>
        <w:rPr>
          <w:sz w:val="22"/>
          <w:szCs w:val="22"/>
        </w:rPr>
      </w:pPr>
      <w:r w:rsidDel="00000000" w:rsidR="00000000" w:rsidRPr="00000000">
        <w:rPr>
          <w:sz w:val="22"/>
          <w:szCs w:val="22"/>
          <w:rtl w:val="0"/>
        </w:rPr>
        <w:t xml:space="preserve">Some participants report ways they manage their health condition independently of formal healthcare services. These are typically managed using psychosocial activities</w:t>
      </w:r>
      <w:r w:rsidDel="00000000" w:rsidR="00000000" w:rsidRPr="00000000">
        <w:rPr>
          <w:rtl w:val="0"/>
        </w:rPr>
        <w:t xml:space="preserve">. </w:t>
      </w:r>
      <w:r w:rsidDel="00000000" w:rsidR="00000000" w:rsidRPr="00000000">
        <w:rPr>
          <w:sz w:val="22"/>
          <w:szCs w:val="22"/>
          <w:rtl w:val="0"/>
        </w:rPr>
        <w:t xml:space="preserve">This has been reflected in </w:t>
      </w:r>
      <w:r w:rsidDel="00000000" w:rsidR="00000000" w:rsidRPr="00000000">
        <w:rPr>
          <w:i w:val="1"/>
          <w:sz w:val="22"/>
          <w:szCs w:val="22"/>
          <w:rtl w:val="0"/>
        </w:rPr>
        <w:t xml:space="preserve">Nora</w:t>
      </w:r>
      <w:r w:rsidDel="00000000" w:rsidR="00000000" w:rsidRPr="00000000">
        <w:rPr>
          <w:sz w:val="22"/>
          <w:szCs w:val="22"/>
          <w:rtl w:val="0"/>
        </w:rPr>
        <w:t xml:space="preserve"> and </w:t>
      </w:r>
      <w:r w:rsidDel="00000000" w:rsidR="00000000" w:rsidRPr="00000000">
        <w:rPr>
          <w:i w:val="1"/>
          <w:sz w:val="22"/>
          <w:szCs w:val="22"/>
          <w:rtl w:val="0"/>
        </w:rPr>
        <w:t xml:space="preserve">Oscar’s</w:t>
      </w:r>
      <w:r w:rsidDel="00000000" w:rsidR="00000000" w:rsidRPr="00000000">
        <w:rPr>
          <w:sz w:val="22"/>
          <w:szCs w:val="22"/>
          <w:rtl w:val="0"/>
        </w:rPr>
        <w:t xml:space="preserve"> accounts, who feel their mental health challenges are better managed through physical activity: </w:t>
      </w:r>
    </w:p>
    <w:p w:rsidR="00000000" w:rsidDel="00000000" w:rsidP="00000000" w:rsidRDefault="00000000" w:rsidRPr="00000000" w14:paraId="000009B6">
      <w:pPr>
        <w:spacing w:line="480" w:lineRule="auto"/>
        <w:jc w:val="both"/>
        <w:rPr>
          <w:sz w:val="22"/>
          <w:szCs w:val="22"/>
        </w:rPr>
      </w:pPr>
      <w:r w:rsidDel="00000000" w:rsidR="00000000" w:rsidRPr="00000000">
        <w:rPr>
          <w:rtl w:val="0"/>
        </w:rPr>
      </w:r>
    </w:p>
    <w:p w:rsidR="00000000" w:rsidDel="00000000" w:rsidP="00000000" w:rsidRDefault="00000000" w:rsidRPr="00000000" w14:paraId="000009B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I've got back into cycling again… The activities help as well yeah, I'm not being able to do a lot of activities because of the anxiety and stress so I've always been able to go horse riding even though it's really dangerous I've never felt anxious about that</w:t>
      </w:r>
      <w:r w:rsidDel="00000000" w:rsidR="00000000" w:rsidRPr="00000000">
        <w:rPr>
          <w:sz w:val="22"/>
          <w:szCs w:val="22"/>
          <w:rtl w:val="0"/>
        </w:rPr>
        <w:t xml:space="preserve">.”</w:t>
      </w:r>
    </w:p>
    <w:p w:rsidR="00000000" w:rsidDel="00000000" w:rsidP="00000000" w:rsidRDefault="00000000" w:rsidRPr="00000000" w14:paraId="000009B8">
      <w:pPr>
        <w:spacing w:line="480" w:lineRule="auto"/>
        <w:jc w:val="right"/>
        <w:rPr>
          <w:sz w:val="22"/>
          <w:szCs w:val="22"/>
        </w:rPr>
      </w:pPr>
      <w:r w:rsidDel="00000000" w:rsidR="00000000" w:rsidRPr="00000000">
        <w:rPr>
          <w:sz w:val="22"/>
          <w:szCs w:val="22"/>
          <w:rtl w:val="0"/>
        </w:rPr>
        <w:t xml:space="preserve">[Nora: </w:t>
      </w:r>
      <w:r w:rsidDel="00000000" w:rsidR="00000000" w:rsidRPr="00000000">
        <w:rPr>
          <w:i w:val="1"/>
          <w:sz w:val="22"/>
          <w:szCs w:val="22"/>
          <w:rtl w:val="0"/>
        </w:rPr>
        <w:t xml:space="preserve">Sertraline, Gabapentin</w:t>
      </w:r>
      <w:r w:rsidDel="00000000" w:rsidR="00000000" w:rsidRPr="00000000">
        <w:rPr>
          <w:sz w:val="22"/>
          <w:szCs w:val="22"/>
          <w:rtl w:val="0"/>
        </w:rPr>
        <w:t xml:space="preserve">]</w:t>
      </w:r>
    </w:p>
    <w:p w:rsidR="00000000" w:rsidDel="00000000" w:rsidP="00000000" w:rsidRDefault="00000000" w:rsidRPr="00000000" w14:paraId="000009B9">
      <w:pPr>
        <w:spacing w:line="480" w:lineRule="auto"/>
        <w:ind w:left="709" w:firstLine="0"/>
        <w:jc w:val="both"/>
        <w:rPr>
          <w:i w:val="1"/>
          <w:sz w:val="22"/>
          <w:szCs w:val="22"/>
        </w:rPr>
      </w:pPr>
      <w:r w:rsidDel="00000000" w:rsidR="00000000" w:rsidRPr="00000000">
        <w:rPr>
          <w:rtl w:val="0"/>
        </w:rPr>
      </w:r>
    </w:p>
    <w:p w:rsidR="00000000" w:rsidDel="00000000" w:rsidP="00000000" w:rsidRDefault="00000000" w:rsidRPr="00000000" w14:paraId="000009BA">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 run, and kind of all distances… Silly stupid distances… I'm also a big kind of participant in cold water swimming</w:t>
      </w:r>
      <w:r w:rsidDel="00000000" w:rsidR="00000000" w:rsidRPr="00000000">
        <w:rPr>
          <w:sz w:val="22"/>
          <w:szCs w:val="22"/>
          <w:rtl w:val="0"/>
        </w:rPr>
        <w:t xml:space="preserve">.”</w:t>
      </w:r>
    </w:p>
    <w:p w:rsidR="00000000" w:rsidDel="00000000" w:rsidP="00000000" w:rsidRDefault="00000000" w:rsidRPr="00000000" w14:paraId="000009BB">
      <w:pPr>
        <w:spacing w:line="480" w:lineRule="auto"/>
        <w:jc w:val="right"/>
        <w:rPr>
          <w:sz w:val="22"/>
          <w:szCs w:val="22"/>
        </w:rPr>
      </w:pPr>
      <w:r w:rsidDel="00000000" w:rsidR="00000000" w:rsidRPr="00000000">
        <w:rPr>
          <w:sz w:val="22"/>
          <w:szCs w:val="22"/>
          <w:rtl w:val="0"/>
        </w:rPr>
        <w:t xml:space="preserve">[Robert: </w:t>
      </w:r>
      <w:r w:rsidDel="00000000" w:rsidR="00000000" w:rsidRPr="00000000">
        <w:rPr>
          <w:i w:val="1"/>
          <w:sz w:val="22"/>
          <w:szCs w:val="22"/>
          <w:rtl w:val="0"/>
        </w:rPr>
        <w:t xml:space="preserve">Duloxetine, Sertraline</w:t>
      </w:r>
      <w:r w:rsidDel="00000000" w:rsidR="00000000" w:rsidRPr="00000000">
        <w:rPr>
          <w:sz w:val="22"/>
          <w:szCs w:val="22"/>
          <w:rtl w:val="0"/>
        </w:rPr>
        <w:t xml:space="preserve">]</w:t>
      </w:r>
    </w:p>
    <w:p w:rsidR="00000000" w:rsidDel="00000000" w:rsidP="00000000" w:rsidRDefault="00000000" w:rsidRPr="00000000" w14:paraId="000009BC">
      <w:pPr>
        <w:spacing w:line="480" w:lineRule="auto"/>
        <w:rPr>
          <w:sz w:val="22"/>
          <w:szCs w:val="22"/>
        </w:rPr>
      </w:pPr>
      <w:r w:rsidDel="00000000" w:rsidR="00000000" w:rsidRPr="00000000">
        <w:rPr>
          <w:rtl w:val="0"/>
        </w:rPr>
      </w:r>
    </w:p>
    <w:p w:rsidR="00000000" w:rsidDel="00000000" w:rsidP="00000000" w:rsidRDefault="00000000" w:rsidRPr="00000000" w14:paraId="000009BD">
      <w:pPr>
        <w:spacing w:line="480" w:lineRule="auto"/>
        <w:jc w:val="both"/>
        <w:rPr>
          <w:sz w:val="22"/>
          <w:szCs w:val="22"/>
        </w:rPr>
      </w:pPr>
      <w:r w:rsidDel="00000000" w:rsidR="00000000" w:rsidRPr="00000000">
        <w:rPr>
          <w:sz w:val="22"/>
          <w:szCs w:val="22"/>
          <w:rtl w:val="0"/>
        </w:rPr>
        <w:t xml:space="preserve">Those who do not feel their withdrawal symptoms are manageable report the use of other over-the-counter medicines. This was demonstrated by </w:t>
      </w:r>
      <w:r w:rsidDel="00000000" w:rsidR="00000000" w:rsidRPr="00000000">
        <w:rPr>
          <w:i w:val="1"/>
          <w:sz w:val="22"/>
          <w:szCs w:val="22"/>
          <w:rtl w:val="0"/>
        </w:rPr>
        <w:t xml:space="preserve">Charlotte</w:t>
      </w:r>
      <w:r w:rsidDel="00000000" w:rsidR="00000000" w:rsidRPr="00000000">
        <w:rPr>
          <w:sz w:val="22"/>
          <w:szCs w:val="22"/>
          <w:rtl w:val="0"/>
        </w:rPr>
        <w:t xml:space="preserve">, who used an herbal sleep aid, ‘</w:t>
      </w:r>
      <w:r w:rsidDel="00000000" w:rsidR="00000000" w:rsidRPr="00000000">
        <w:rPr>
          <w:i w:val="1"/>
          <w:sz w:val="22"/>
          <w:szCs w:val="22"/>
          <w:rtl w:val="0"/>
        </w:rPr>
        <w:t xml:space="preserve">Kalms’</w:t>
      </w:r>
      <w:r w:rsidDel="00000000" w:rsidR="00000000" w:rsidRPr="00000000">
        <w:rPr>
          <w:sz w:val="22"/>
          <w:szCs w:val="22"/>
          <w:rtl w:val="0"/>
        </w:rPr>
        <w:t xml:space="preserve">. This was considered less effective, however the motivation to reduce her diazepam and zopiclone use superseded the perceived inefficacy of this alternative. </w:t>
      </w:r>
    </w:p>
    <w:p w:rsidR="00000000" w:rsidDel="00000000" w:rsidP="00000000" w:rsidRDefault="00000000" w:rsidRPr="00000000" w14:paraId="000009BE">
      <w:pPr>
        <w:spacing w:line="480" w:lineRule="auto"/>
        <w:jc w:val="right"/>
        <w:rPr>
          <w:sz w:val="22"/>
          <w:szCs w:val="22"/>
        </w:rPr>
      </w:pPr>
      <w:r w:rsidDel="00000000" w:rsidR="00000000" w:rsidRPr="00000000">
        <w:rPr>
          <w:rtl w:val="0"/>
        </w:rPr>
      </w:r>
    </w:p>
    <w:p w:rsidR="00000000" w:rsidDel="00000000" w:rsidP="00000000" w:rsidRDefault="00000000" w:rsidRPr="00000000" w14:paraId="000009BF">
      <w:pPr>
        <w:spacing w:line="480" w:lineRule="auto"/>
        <w:jc w:val="both"/>
        <w:rPr>
          <w:sz w:val="22"/>
          <w:szCs w:val="22"/>
        </w:rPr>
      </w:pPr>
      <w:r w:rsidDel="00000000" w:rsidR="00000000" w:rsidRPr="00000000">
        <w:rPr>
          <w:sz w:val="22"/>
          <w:szCs w:val="22"/>
          <w:rtl w:val="0"/>
        </w:rPr>
        <w:t xml:space="preserve">Often, this independence from formal healthcare services stems from medical mistrust. This was evident in </w:t>
      </w:r>
      <w:r w:rsidDel="00000000" w:rsidR="00000000" w:rsidRPr="00000000">
        <w:rPr>
          <w:i w:val="1"/>
          <w:sz w:val="22"/>
          <w:szCs w:val="22"/>
          <w:rtl w:val="0"/>
        </w:rPr>
        <w:t xml:space="preserve">Georgina’s</w:t>
      </w:r>
      <w:r w:rsidDel="00000000" w:rsidR="00000000" w:rsidRPr="00000000">
        <w:rPr>
          <w:sz w:val="22"/>
          <w:szCs w:val="22"/>
          <w:rtl w:val="0"/>
        </w:rPr>
        <w:t xml:space="preserve"> account, having experienced significant challenges in her treatment and has resulted in independence from formal healthcare. These include self-identified methods of pain management, such as mild physical activity, and independently managing her own withdrawal from medicines based on scientific literature:</w:t>
      </w:r>
    </w:p>
    <w:p w:rsidR="00000000" w:rsidDel="00000000" w:rsidP="00000000" w:rsidRDefault="00000000" w:rsidRPr="00000000" w14:paraId="000009C0">
      <w:pPr>
        <w:spacing w:line="480" w:lineRule="auto"/>
        <w:jc w:val="both"/>
        <w:rPr>
          <w:sz w:val="22"/>
          <w:szCs w:val="22"/>
        </w:rPr>
      </w:pPr>
      <w:r w:rsidDel="00000000" w:rsidR="00000000" w:rsidRPr="00000000">
        <w:rPr>
          <w:rtl w:val="0"/>
        </w:rPr>
      </w:r>
    </w:p>
    <w:p w:rsidR="00000000" w:rsidDel="00000000" w:rsidP="00000000" w:rsidRDefault="00000000" w:rsidRPr="00000000" w14:paraId="000009C1">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My pain management is never with drugs now it’s more of the psychosocial aspects erm that’s how I manage my pain and I’ve been four years largely without I won’t say pain free because it’s not but I’m not afraid of the pain in any way I just you know I cycle 170 miles in 4 days last September erm with flipping pain erm you know it’s great but coming off the opioids has been a long and gnarly ride for me</w:t>
      </w:r>
      <w:r w:rsidDel="00000000" w:rsidR="00000000" w:rsidRPr="00000000">
        <w:rPr>
          <w:sz w:val="22"/>
          <w:szCs w:val="22"/>
          <w:rtl w:val="0"/>
        </w:rPr>
        <w:t xml:space="preserve">.”</w:t>
      </w:r>
    </w:p>
    <w:p w:rsidR="00000000" w:rsidDel="00000000" w:rsidP="00000000" w:rsidRDefault="00000000" w:rsidRPr="00000000" w14:paraId="000009C2">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C3">
      <w:pPr>
        <w:spacing w:line="480" w:lineRule="auto"/>
        <w:jc w:val="right"/>
        <w:rPr>
          <w:sz w:val="22"/>
          <w:szCs w:val="22"/>
        </w:rPr>
      </w:pPr>
      <w:r w:rsidDel="00000000" w:rsidR="00000000" w:rsidRPr="00000000">
        <w:rPr>
          <w:rtl w:val="0"/>
        </w:rPr>
      </w:r>
    </w:p>
    <w:p w:rsidR="00000000" w:rsidDel="00000000" w:rsidP="00000000" w:rsidRDefault="00000000" w:rsidRPr="00000000" w14:paraId="000009C4">
      <w:pPr>
        <w:spacing w:line="480" w:lineRule="auto"/>
        <w:jc w:val="both"/>
        <w:rPr>
          <w:sz w:val="22"/>
          <w:szCs w:val="22"/>
        </w:rPr>
      </w:pPr>
      <w:r w:rsidDel="00000000" w:rsidR="00000000" w:rsidRPr="00000000">
        <w:rPr>
          <w:sz w:val="22"/>
          <w:szCs w:val="22"/>
          <w:rtl w:val="0"/>
        </w:rPr>
        <w:t xml:space="preserve">Specific to </w:t>
      </w:r>
      <w:r w:rsidDel="00000000" w:rsidR="00000000" w:rsidRPr="00000000">
        <w:rPr>
          <w:i w:val="1"/>
          <w:sz w:val="22"/>
          <w:szCs w:val="22"/>
          <w:rtl w:val="0"/>
        </w:rPr>
        <w:t xml:space="preserve">Georgina</w:t>
      </w:r>
      <w:r w:rsidDel="00000000" w:rsidR="00000000" w:rsidRPr="00000000">
        <w:rPr>
          <w:sz w:val="22"/>
          <w:szCs w:val="22"/>
          <w:rtl w:val="0"/>
        </w:rPr>
        <w:t xml:space="preserve">’s experience, this independence was met with resistance from her team of practitioners and was coined a “</w:t>
      </w:r>
      <w:r w:rsidDel="00000000" w:rsidR="00000000" w:rsidRPr="00000000">
        <w:rPr>
          <w:i w:val="1"/>
          <w:sz w:val="22"/>
          <w:szCs w:val="22"/>
          <w:rtl w:val="0"/>
        </w:rPr>
        <w:t xml:space="preserve">naughty girl”</w:t>
      </w:r>
      <w:r w:rsidDel="00000000" w:rsidR="00000000" w:rsidRPr="00000000">
        <w:rPr>
          <w:sz w:val="22"/>
          <w:szCs w:val="22"/>
          <w:rtl w:val="0"/>
        </w:rPr>
        <w:t xml:space="preserve">. </w:t>
      </w:r>
      <w:r w:rsidDel="00000000" w:rsidR="00000000" w:rsidRPr="00000000">
        <w:rPr>
          <w:i w:val="1"/>
          <w:sz w:val="22"/>
          <w:szCs w:val="22"/>
          <w:rtl w:val="0"/>
        </w:rPr>
        <w:t xml:space="preserve">Georgina’s </w:t>
      </w:r>
      <w:r w:rsidDel="00000000" w:rsidR="00000000" w:rsidRPr="00000000">
        <w:rPr>
          <w:sz w:val="22"/>
          <w:szCs w:val="22"/>
          <w:rtl w:val="0"/>
        </w:rPr>
        <w:t xml:space="preserve">trust was reluctant to support her reducing her medication, however, has the support of her local pharmacists who will issue medication that is easier to split, e.g. capsules with beads of active ingredient as opposed to solid tablets. As a result of repeated negative experiences with healthcare services, </w:t>
      </w:r>
      <w:r w:rsidDel="00000000" w:rsidR="00000000" w:rsidRPr="00000000">
        <w:rPr>
          <w:i w:val="1"/>
          <w:sz w:val="22"/>
          <w:szCs w:val="22"/>
          <w:rtl w:val="0"/>
        </w:rPr>
        <w:t xml:space="preserve">Georgina</w:t>
      </w:r>
      <w:r w:rsidDel="00000000" w:rsidR="00000000" w:rsidRPr="00000000">
        <w:rPr>
          <w:sz w:val="22"/>
          <w:szCs w:val="22"/>
          <w:rtl w:val="0"/>
        </w:rPr>
        <w:t xml:space="preserve"> has developed an advocacy service, and is considering a career change: </w:t>
      </w:r>
    </w:p>
    <w:p w:rsidR="00000000" w:rsidDel="00000000" w:rsidP="00000000" w:rsidRDefault="00000000" w:rsidRPr="00000000" w14:paraId="000009C5">
      <w:pPr>
        <w:spacing w:line="480" w:lineRule="auto"/>
        <w:jc w:val="both"/>
        <w:rPr>
          <w:i w:val="1"/>
          <w:sz w:val="22"/>
          <w:szCs w:val="22"/>
        </w:rPr>
      </w:pPr>
      <w:r w:rsidDel="00000000" w:rsidR="00000000" w:rsidRPr="00000000">
        <w:rPr>
          <w:rtl w:val="0"/>
        </w:rPr>
      </w:r>
    </w:p>
    <w:p w:rsidR="00000000" w:rsidDel="00000000" w:rsidP="00000000" w:rsidRDefault="00000000" w:rsidRPr="00000000" w14:paraId="000009C6">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I’m working really hard during this I lot of voluntary work running a pain management festival… I’m seriously thinking of going into coaching as a you know as a career erm for pain obviously I’d do tapering too I’d do both but again its leading people and supporting people without being negative but with also with that being realistic but also giving them hope so to not let to empower the person to empower themselves</w:t>
      </w:r>
      <w:r w:rsidDel="00000000" w:rsidR="00000000" w:rsidRPr="00000000">
        <w:rPr>
          <w:sz w:val="22"/>
          <w:szCs w:val="22"/>
          <w:rtl w:val="0"/>
        </w:rPr>
        <w:t xml:space="preserve">.”</w:t>
      </w:r>
    </w:p>
    <w:p w:rsidR="00000000" w:rsidDel="00000000" w:rsidP="00000000" w:rsidRDefault="00000000" w:rsidRPr="00000000" w14:paraId="000009C7">
      <w:pPr>
        <w:spacing w:line="480" w:lineRule="auto"/>
        <w:jc w:val="right"/>
        <w:rPr>
          <w:sz w:val="22"/>
          <w:szCs w:val="22"/>
        </w:rPr>
      </w:pPr>
      <w:r w:rsidDel="00000000" w:rsidR="00000000" w:rsidRPr="00000000">
        <w:rPr>
          <w:sz w:val="22"/>
          <w:szCs w:val="22"/>
          <w:rtl w:val="0"/>
        </w:rPr>
        <w:t xml:space="preserve">[Georgina: </w:t>
      </w:r>
      <w:r w:rsidDel="00000000" w:rsidR="00000000" w:rsidRPr="00000000">
        <w:rPr>
          <w:i w:val="1"/>
          <w:sz w:val="22"/>
          <w:szCs w:val="22"/>
          <w:rtl w:val="0"/>
        </w:rPr>
        <w:t xml:space="preserve">Amitriptyline, Nortriptyline, Fentanyl, Morphine, Trimipramine</w:t>
      </w:r>
      <w:r w:rsidDel="00000000" w:rsidR="00000000" w:rsidRPr="00000000">
        <w:rPr>
          <w:sz w:val="22"/>
          <w:szCs w:val="22"/>
          <w:rtl w:val="0"/>
        </w:rPr>
        <w:t xml:space="preserve">]</w:t>
      </w:r>
    </w:p>
    <w:p w:rsidR="00000000" w:rsidDel="00000000" w:rsidP="00000000" w:rsidRDefault="00000000" w:rsidRPr="00000000" w14:paraId="000009C8">
      <w:pPr>
        <w:spacing w:line="480" w:lineRule="auto"/>
        <w:jc w:val="right"/>
        <w:rPr>
          <w:sz w:val="22"/>
          <w:szCs w:val="22"/>
        </w:rPr>
      </w:pPr>
      <w:r w:rsidDel="00000000" w:rsidR="00000000" w:rsidRPr="00000000">
        <w:rPr>
          <w:rtl w:val="0"/>
        </w:rPr>
      </w:r>
    </w:p>
    <w:p w:rsidR="00000000" w:rsidDel="00000000" w:rsidP="00000000" w:rsidRDefault="00000000" w:rsidRPr="00000000" w14:paraId="000009C9">
      <w:pPr>
        <w:spacing w:line="480" w:lineRule="auto"/>
        <w:jc w:val="both"/>
        <w:rPr>
          <w:sz w:val="22"/>
          <w:szCs w:val="22"/>
        </w:rPr>
      </w:pPr>
      <w:r w:rsidDel="00000000" w:rsidR="00000000" w:rsidRPr="00000000">
        <w:rPr>
          <w:sz w:val="22"/>
          <w:szCs w:val="22"/>
          <w:rtl w:val="0"/>
        </w:rPr>
        <w:t xml:space="preserve">Moving away from medicines, and escaping the Medication Trap, participants report identifying methods of withdrawal. These were either supported by their practitioner or independently. These include a slow reduction or taper, the sudden cessation of medicines (“</w:t>
      </w:r>
      <w:r w:rsidDel="00000000" w:rsidR="00000000" w:rsidRPr="00000000">
        <w:rPr>
          <w:i w:val="1"/>
          <w:sz w:val="22"/>
          <w:szCs w:val="22"/>
          <w:rtl w:val="0"/>
        </w:rPr>
        <w:t xml:space="preserve">cold turkey</w:t>
      </w:r>
      <w:r w:rsidDel="00000000" w:rsidR="00000000" w:rsidRPr="00000000">
        <w:rPr>
          <w:sz w:val="22"/>
          <w:szCs w:val="22"/>
          <w:rtl w:val="0"/>
        </w:rPr>
        <w:t xml:space="preserve">”), and lifestyle changes. Participants also aimed to gain knowledge independently. This was using scientific literature, peer reviewed articles and lay information gained online or through their peers. This knowledge informed ways participants managed their own health condition, such as engaging in physical activities like running or cycling. </w:t>
      </w:r>
    </w:p>
    <w:p w:rsidR="00000000" w:rsidDel="00000000" w:rsidP="00000000" w:rsidRDefault="00000000" w:rsidRPr="00000000" w14:paraId="000009CA">
      <w:pPr>
        <w:spacing w:line="480" w:lineRule="auto"/>
        <w:jc w:val="both"/>
        <w:rPr>
          <w:sz w:val="22"/>
          <w:szCs w:val="22"/>
        </w:rPr>
      </w:pPr>
      <w:r w:rsidDel="00000000" w:rsidR="00000000" w:rsidRPr="00000000">
        <w:rPr>
          <w:rtl w:val="0"/>
        </w:rPr>
      </w:r>
    </w:p>
    <w:p w:rsidR="00000000" w:rsidDel="00000000" w:rsidP="00000000" w:rsidRDefault="00000000" w:rsidRPr="00000000" w14:paraId="000009CB">
      <w:pPr>
        <w:pStyle w:val="Heading2"/>
        <w:numPr>
          <w:ilvl w:val="1"/>
          <w:numId w:val="15"/>
        </w:numPr>
        <w:spacing w:line="480" w:lineRule="auto"/>
        <w:ind w:left="720" w:hanging="720"/>
        <w:rPr/>
      </w:pPr>
      <w:bookmarkStart w:colFirst="0" w:colLast="0" w:name="_heading=h.zu0gcz" w:id="108"/>
      <w:bookmarkEnd w:id="108"/>
      <w:r w:rsidDel="00000000" w:rsidR="00000000" w:rsidRPr="00000000">
        <w:rPr>
          <w:rtl w:val="0"/>
        </w:rPr>
        <w:t xml:space="preserve">Summary of Chapter</w:t>
      </w:r>
    </w:p>
    <w:p w:rsidR="00000000" w:rsidDel="00000000" w:rsidP="00000000" w:rsidRDefault="00000000" w:rsidRPr="00000000" w14:paraId="000009CC">
      <w:pPr>
        <w:spacing w:line="480" w:lineRule="auto"/>
        <w:jc w:val="both"/>
        <w:rPr>
          <w:sz w:val="22"/>
          <w:szCs w:val="22"/>
        </w:rPr>
      </w:pPr>
      <w:r w:rsidDel="00000000" w:rsidR="00000000" w:rsidRPr="00000000">
        <w:rPr>
          <w:sz w:val="22"/>
          <w:szCs w:val="22"/>
          <w:rtl w:val="0"/>
        </w:rPr>
        <w:t xml:space="preserve">This chapter explored the experiences of participants using prescribed medicines associated with dependence and withdrawal symptoms. Participants report the idea of being “</w:t>
      </w:r>
      <w:r w:rsidDel="00000000" w:rsidR="00000000" w:rsidRPr="00000000">
        <w:rPr>
          <w:i w:val="1"/>
          <w:sz w:val="22"/>
          <w:szCs w:val="22"/>
          <w:rtl w:val="0"/>
        </w:rPr>
        <w:t xml:space="preserve">trapped</w:t>
      </w:r>
      <w:r w:rsidDel="00000000" w:rsidR="00000000" w:rsidRPr="00000000">
        <w:rPr>
          <w:sz w:val="22"/>
          <w:szCs w:val="22"/>
          <w:rtl w:val="0"/>
        </w:rPr>
        <w:t xml:space="preserve">” by their medication use, due to several reasons. Those who describe themselves as dependent on their medicines consider themselves trapped in their use. Explicitly reported by five participants, a dependency can be identified through the presence of withdrawal symptoms, or decompensation when not using their medicines. This can result in participants remaining on, or reinstating, their current dose.  This can be particularly difficult to accept due to the prescribed nature of these medicines, and the stigma associated with drug dependence. Those who have experienced withdrawal symptoms when attempting to reduce their medication previously were anxious about further attempts at tapering. </w:t>
      </w:r>
    </w:p>
    <w:p w:rsidR="00000000" w:rsidDel="00000000" w:rsidP="00000000" w:rsidRDefault="00000000" w:rsidRPr="00000000" w14:paraId="000009CD">
      <w:pPr>
        <w:spacing w:line="480" w:lineRule="auto"/>
        <w:jc w:val="both"/>
        <w:rPr>
          <w:sz w:val="22"/>
          <w:szCs w:val="22"/>
        </w:rPr>
      </w:pPr>
      <w:r w:rsidDel="00000000" w:rsidR="00000000" w:rsidRPr="00000000">
        <w:rPr>
          <w:rtl w:val="0"/>
        </w:rPr>
      </w:r>
    </w:p>
    <w:p w:rsidR="00000000" w:rsidDel="00000000" w:rsidP="00000000" w:rsidRDefault="00000000" w:rsidRPr="00000000" w14:paraId="000009CE">
      <w:pPr>
        <w:spacing w:line="480" w:lineRule="auto"/>
        <w:jc w:val="both"/>
        <w:rPr>
          <w:sz w:val="22"/>
          <w:szCs w:val="22"/>
        </w:rPr>
      </w:pPr>
      <w:r w:rsidDel="00000000" w:rsidR="00000000" w:rsidRPr="00000000">
        <w:rPr>
          <w:sz w:val="22"/>
          <w:szCs w:val="22"/>
          <w:rtl w:val="0"/>
        </w:rPr>
        <w:t xml:space="preserve">This chapter further explored how the participants’ diagnoses can contribute to the “medication Trap”. Several health conditions were reported in the data, both physical and mental health diagnoses. Some report an absence of a formal diagnosis and identified with the loose description </w:t>
      </w:r>
      <w:r w:rsidDel="00000000" w:rsidR="00000000" w:rsidRPr="00000000">
        <w:rPr>
          <w:i w:val="1"/>
          <w:sz w:val="22"/>
          <w:szCs w:val="22"/>
          <w:rtl w:val="0"/>
        </w:rPr>
        <w:t xml:space="preserve">of </w:t>
      </w:r>
      <w:r w:rsidDel="00000000" w:rsidR="00000000" w:rsidRPr="00000000">
        <w:rPr>
          <w:sz w:val="22"/>
          <w:szCs w:val="22"/>
          <w:rtl w:val="0"/>
        </w:rPr>
        <w:t xml:space="preserve">a “</w:t>
      </w:r>
      <w:r w:rsidDel="00000000" w:rsidR="00000000" w:rsidRPr="00000000">
        <w:rPr>
          <w:i w:val="1"/>
          <w:sz w:val="22"/>
          <w:szCs w:val="22"/>
          <w:rtl w:val="0"/>
        </w:rPr>
        <w:t xml:space="preserve">chronic illness</w:t>
      </w:r>
      <w:r w:rsidDel="00000000" w:rsidR="00000000" w:rsidRPr="00000000">
        <w:rPr>
          <w:sz w:val="22"/>
          <w:szCs w:val="22"/>
          <w:rtl w:val="0"/>
        </w:rPr>
        <w:t xml:space="preserve">”.</w:t>
      </w:r>
      <w:r w:rsidDel="00000000" w:rsidR="00000000" w:rsidRPr="00000000">
        <w:rPr>
          <w:i w:val="1"/>
          <w:sz w:val="22"/>
          <w:szCs w:val="22"/>
          <w:rtl w:val="0"/>
        </w:rPr>
        <w:t xml:space="preserve"> Some</w:t>
      </w:r>
      <w:r w:rsidDel="00000000" w:rsidR="00000000" w:rsidRPr="00000000">
        <w:rPr>
          <w:sz w:val="22"/>
          <w:szCs w:val="22"/>
          <w:rtl w:val="0"/>
        </w:rPr>
        <w:t xml:space="preserve"> participants report a complex health condition, whilst others report no formal diagnosis. Where there was no diagnosis, the management of symptoms and not addressing the underlying cause of the individual’s health complaint meant there were no other treatment plans available, other than using medicines. This further led some to feel trapped in their use. </w:t>
      </w:r>
    </w:p>
    <w:p w:rsidR="00000000" w:rsidDel="00000000" w:rsidP="00000000" w:rsidRDefault="00000000" w:rsidRPr="00000000" w14:paraId="000009CF">
      <w:pPr>
        <w:spacing w:line="480" w:lineRule="auto"/>
        <w:jc w:val="both"/>
        <w:rPr>
          <w:sz w:val="22"/>
          <w:szCs w:val="22"/>
        </w:rPr>
      </w:pPr>
      <w:r w:rsidDel="00000000" w:rsidR="00000000" w:rsidRPr="00000000">
        <w:rPr>
          <w:rtl w:val="0"/>
        </w:rPr>
      </w:r>
    </w:p>
    <w:p w:rsidR="00000000" w:rsidDel="00000000" w:rsidP="00000000" w:rsidRDefault="00000000" w:rsidRPr="00000000" w14:paraId="000009D0">
      <w:pPr>
        <w:spacing w:line="480" w:lineRule="auto"/>
        <w:jc w:val="both"/>
        <w:rPr>
          <w:sz w:val="22"/>
          <w:szCs w:val="22"/>
        </w:rPr>
      </w:pPr>
      <w:r w:rsidDel="00000000" w:rsidR="00000000" w:rsidRPr="00000000">
        <w:rPr>
          <w:sz w:val="22"/>
          <w:szCs w:val="22"/>
          <w:rtl w:val="0"/>
        </w:rPr>
        <w:t xml:space="preserve">There was also a reported lack of alternative treatments for those with a complex or severe diagnosis. Some health conditions identified have no formal treatment to address the cause of the illness, such as Emotionally Unstable Personality Disorder. There is a perception amongst this group of that there are few effective treatments to address their condition, other than the pharmaceutical management of symptoms. This can contribute to the “</w:t>
      </w:r>
      <w:r w:rsidDel="00000000" w:rsidR="00000000" w:rsidRPr="00000000">
        <w:rPr>
          <w:i w:val="1"/>
          <w:sz w:val="22"/>
          <w:szCs w:val="22"/>
          <w:rtl w:val="0"/>
        </w:rPr>
        <w:t xml:space="preserve">Medication Trap</w:t>
      </w:r>
      <w:r w:rsidDel="00000000" w:rsidR="00000000" w:rsidRPr="00000000">
        <w:rPr>
          <w:sz w:val="22"/>
          <w:szCs w:val="22"/>
          <w:rtl w:val="0"/>
        </w:rPr>
        <w:t xml:space="preserve">”. This is either directly, where long term use can lead to dependency, or indirectly as a result of this perceived lack of alternative treatments outside of medicines. Alternative treatments were perceived as hard to access, with a lack of appropriate options. This was mainly because of long waiting times and financial concerns. Where alternative treatments were accessed, they were considered inappropriate or ineffective, therefore medication was used for longer than initially planned. This again, can result in a dependency in which some feel contributes to the position of being trapped in their medication use. </w:t>
      </w:r>
    </w:p>
    <w:p w:rsidR="00000000" w:rsidDel="00000000" w:rsidP="00000000" w:rsidRDefault="00000000" w:rsidRPr="00000000" w14:paraId="000009D1">
      <w:pPr>
        <w:spacing w:line="480" w:lineRule="auto"/>
        <w:jc w:val="both"/>
        <w:rPr>
          <w:sz w:val="22"/>
          <w:szCs w:val="22"/>
        </w:rPr>
      </w:pPr>
      <w:r w:rsidDel="00000000" w:rsidR="00000000" w:rsidRPr="00000000">
        <w:rPr>
          <w:sz w:val="22"/>
          <w:szCs w:val="22"/>
          <w:rtl w:val="0"/>
        </w:rPr>
        <w:t xml:space="preserve">The practitioner may be responsible in contributing to the “</w:t>
      </w:r>
      <w:r w:rsidDel="00000000" w:rsidR="00000000" w:rsidRPr="00000000">
        <w:rPr>
          <w:i w:val="1"/>
          <w:sz w:val="22"/>
          <w:szCs w:val="22"/>
          <w:rtl w:val="0"/>
        </w:rPr>
        <w:t xml:space="preserve">Medication Trap</w:t>
      </w:r>
      <w:r w:rsidDel="00000000" w:rsidR="00000000" w:rsidRPr="00000000">
        <w:rPr>
          <w:sz w:val="22"/>
          <w:szCs w:val="22"/>
          <w:rtl w:val="0"/>
        </w:rPr>
        <w:t xml:space="preserve">”. Although this was typically associated with prescribing practices, other key issues were identified. Risky prescribing practices were described, such as polypharmacy in high-risk patients. Inappropriate prescribing was also evident, characterised by a lack of clinical monitoring and extensive prescribing periods. Participants perceive medicines are prescribed “</w:t>
      </w:r>
      <w:r w:rsidDel="00000000" w:rsidR="00000000" w:rsidRPr="00000000">
        <w:rPr>
          <w:i w:val="1"/>
          <w:sz w:val="22"/>
          <w:szCs w:val="22"/>
          <w:rtl w:val="0"/>
        </w:rPr>
        <w:t xml:space="preserve">willy nilly</w:t>
      </w:r>
      <w:r w:rsidDel="00000000" w:rsidR="00000000" w:rsidRPr="00000000">
        <w:rPr>
          <w:sz w:val="22"/>
          <w:szCs w:val="22"/>
          <w:rtl w:val="0"/>
        </w:rPr>
        <w:t xml:space="preserve">” despite their perception medicines are not a “</w:t>
      </w:r>
      <w:r w:rsidDel="00000000" w:rsidR="00000000" w:rsidRPr="00000000">
        <w:rPr>
          <w:i w:val="1"/>
          <w:sz w:val="22"/>
          <w:szCs w:val="22"/>
          <w:rtl w:val="0"/>
        </w:rPr>
        <w:t xml:space="preserve">one size fits all approach</w:t>
      </w:r>
      <w:r w:rsidDel="00000000" w:rsidR="00000000" w:rsidRPr="00000000">
        <w:rPr>
          <w:sz w:val="22"/>
          <w:szCs w:val="22"/>
          <w:rtl w:val="0"/>
        </w:rPr>
        <w:t xml:space="preserve">”. Despite some participants accessing alternative treatments, the perception of these alternatives varied, and whether these interventions were accepted were dependent on individual preferences and the perceived appropriateness of the intervention. Accessing alternative support, particularly psychosocial interventions, was found to be challenging due to the lack of availability, financial implications, or extensive waiting times. </w:t>
      </w:r>
    </w:p>
    <w:p w:rsidR="00000000" w:rsidDel="00000000" w:rsidP="00000000" w:rsidRDefault="00000000" w:rsidRPr="00000000" w14:paraId="000009D2">
      <w:pPr>
        <w:spacing w:line="480" w:lineRule="auto"/>
        <w:jc w:val="both"/>
        <w:rPr>
          <w:sz w:val="22"/>
          <w:szCs w:val="22"/>
        </w:rPr>
      </w:pPr>
      <w:r w:rsidDel="00000000" w:rsidR="00000000" w:rsidRPr="00000000">
        <w:rPr>
          <w:rtl w:val="0"/>
        </w:rPr>
      </w:r>
    </w:p>
    <w:p w:rsidR="00000000" w:rsidDel="00000000" w:rsidP="00000000" w:rsidRDefault="00000000" w:rsidRPr="00000000" w14:paraId="000009D3">
      <w:pPr>
        <w:spacing w:line="480" w:lineRule="auto"/>
        <w:jc w:val="both"/>
        <w:rPr>
          <w:sz w:val="22"/>
          <w:szCs w:val="22"/>
        </w:rPr>
      </w:pPr>
      <w:r w:rsidDel="00000000" w:rsidR="00000000" w:rsidRPr="00000000">
        <w:rPr>
          <w:sz w:val="22"/>
          <w:szCs w:val="22"/>
          <w:rtl w:val="0"/>
        </w:rPr>
        <w:t xml:space="preserve">Practitioners are perceived to have limited knowledge, therefore are perceived to prescribe medicines “</w:t>
      </w:r>
      <w:r w:rsidDel="00000000" w:rsidR="00000000" w:rsidRPr="00000000">
        <w:rPr>
          <w:i w:val="1"/>
          <w:sz w:val="22"/>
          <w:szCs w:val="22"/>
          <w:rtl w:val="0"/>
        </w:rPr>
        <w:t xml:space="preserve">willy nilly</w:t>
      </w:r>
      <w:r w:rsidDel="00000000" w:rsidR="00000000" w:rsidRPr="00000000">
        <w:rPr>
          <w:sz w:val="22"/>
          <w:szCs w:val="22"/>
          <w:rtl w:val="0"/>
        </w:rPr>
        <w:t xml:space="preserve">”. This is often without adequate information sharing, particularly regarding the risk of side effects and dependence potential. Some participants feel non-specialist practitioners do not have sufficient knowledge surrounding these issues and therefore are unable to support some patient groups. In one case, a practitioner prescribed dependence forming medicines to somebody who has experienced what could be considered a Substance Use Disorder (p. 31), without understanding the patient’s medical history. Again, this creates a high-risk situation and led to a dependency on prescribed opioids. </w:t>
      </w:r>
    </w:p>
    <w:p w:rsidR="00000000" w:rsidDel="00000000" w:rsidP="00000000" w:rsidRDefault="00000000" w:rsidRPr="00000000" w14:paraId="000009D4">
      <w:pPr>
        <w:spacing w:line="480" w:lineRule="auto"/>
        <w:jc w:val="both"/>
        <w:rPr>
          <w:sz w:val="22"/>
          <w:szCs w:val="22"/>
        </w:rPr>
      </w:pPr>
      <w:r w:rsidDel="00000000" w:rsidR="00000000" w:rsidRPr="00000000">
        <w:rPr>
          <w:rtl w:val="0"/>
        </w:rPr>
      </w:r>
    </w:p>
    <w:p w:rsidR="00000000" w:rsidDel="00000000" w:rsidP="00000000" w:rsidRDefault="00000000" w:rsidRPr="00000000" w14:paraId="000009D5">
      <w:pPr>
        <w:spacing w:line="480" w:lineRule="auto"/>
        <w:jc w:val="both"/>
        <w:rPr>
          <w:sz w:val="22"/>
          <w:szCs w:val="22"/>
        </w:rPr>
      </w:pPr>
      <w:r w:rsidDel="00000000" w:rsidR="00000000" w:rsidRPr="00000000">
        <w:rPr>
          <w:sz w:val="22"/>
          <w:szCs w:val="22"/>
          <w:rtl w:val="0"/>
        </w:rPr>
        <w:t xml:space="preserve">Further to prescribing, the perceived level of knowledge possessed by professionals was identified as a contributing factor of the Medication Trap. Specialist practitioners, such as mental health nurses or pharmacists were preferred over General Practitioners. Not accessing support from specialists or appropriate services has been identified as a barrier to recovery. This further contributes to the “</w:t>
      </w:r>
      <w:r w:rsidDel="00000000" w:rsidR="00000000" w:rsidRPr="00000000">
        <w:rPr>
          <w:i w:val="1"/>
          <w:sz w:val="22"/>
          <w:szCs w:val="22"/>
          <w:rtl w:val="0"/>
        </w:rPr>
        <w:t xml:space="preserve">Medication Trap</w:t>
      </w:r>
      <w:r w:rsidDel="00000000" w:rsidR="00000000" w:rsidRPr="00000000">
        <w:rPr>
          <w:sz w:val="22"/>
          <w:szCs w:val="22"/>
          <w:rtl w:val="0"/>
        </w:rPr>
        <w:t xml:space="preserve">” since the underlying causes of the condition has not been addressed. This can result in overprescribing, inappropriate prescribing periods and long-term medicine use as management of symptoms as opposed to addressing the underlying cause.</w:t>
      </w:r>
    </w:p>
    <w:p w:rsidR="00000000" w:rsidDel="00000000" w:rsidP="00000000" w:rsidRDefault="00000000" w:rsidRPr="00000000" w14:paraId="000009D6">
      <w:pPr>
        <w:spacing w:line="480" w:lineRule="auto"/>
        <w:jc w:val="both"/>
        <w:rPr>
          <w:sz w:val="22"/>
          <w:szCs w:val="22"/>
        </w:rPr>
      </w:pPr>
      <w:r w:rsidDel="00000000" w:rsidR="00000000" w:rsidRPr="00000000">
        <w:rPr>
          <w:rtl w:val="0"/>
        </w:rPr>
      </w:r>
    </w:p>
    <w:p w:rsidR="00000000" w:rsidDel="00000000" w:rsidP="00000000" w:rsidRDefault="00000000" w:rsidRPr="00000000" w14:paraId="000009D7">
      <w:pPr>
        <w:spacing w:line="480" w:lineRule="auto"/>
        <w:jc w:val="both"/>
        <w:rPr>
          <w:sz w:val="22"/>
          <w:szCs w:val="22"/>
        </w:rPr>
      </w:pPr>
      <w:r w:rsidDel="00000000" w:rsidR="00000000" w:rsidRPr="00000000">
        <w:rPr>
          <w:sz w:val="22"/>
          <w:szCs w:val="22"/>
          <w:rtl w:val="0"/>
        </w:rPr>
        <w:t xml:space="preserve">The next chapter will discuss the findings of this research, bringing together the key points from both Chapter Five and Six. It will provide a summary of the theoretical underpinnings of this research, before discussing five key areas: the dominance of antidepressants, information sharing and informed consent, the role of the practitioner, the limited accessibility of secondary care and the development of lay knowledge and peer support It will then conclude this thesis by assessing the strengths and limitations of this research and will then present recommendations for further research and practice. </w:t>
      </w:r>
    </w:p>
    <w:p w:rsidR="00000000" w:rsidDel="00000000" w:rsidP="00000000" w:rsidRDefault="00000000" w:rsidRPr="00000000" w14:paraId="000009D8">
      <w:pPr>
        <w:spacing w:line="480" w:lineRule="auto"/>
        <w:jc w:val="both"/>
        <w:rPr>
          <w:sz w:val="22"/>
          <w:szCs w:val="22"/>
        </w:rPr>
      </w:pPr>
      <w:r w:rsidDel="00000000" w:rsidR="00000000" w:rsidRPr="00000000">
        <w:rPr>
          <w:rtl w:val="0"/>
        </w:rPr>
      </w:r>
    </w:p>
    <w:p w:rsidR="00000000" w:rsidDel="00000000" w:rsidP="00000000" w:rsidRDefault="00000000" w:rsidRPr="00000000" w14:paraId="000009D9">
      <w:pPr>
        <w:spacing w:line="480" w:lineRule="auto"/>
        <w:jc w:val="both"/>
        <w:rPr>
          <w:sz w:val="22"/>
          <w:szCs w:val="22"/>
        </w:rPr>
      </w:pPr>
      <w:r w:rsidDel="00000000" w:rsidR="00000000" w:rsidRPr="00000000">
        <w:rPr>
          <w:rtl w:val="0"/>
        </w:rPr>
      </w:r>
    </w:p>
    <w:p w:rsidR="00000000" w:rsidDel="00000000" w:rsidP="00000000" w:rsidRDefault="00000000" w:rsidRPr="00000000" w14:paraId="000009DA">
      <w:pPr>
        <w:spacing w:line="480" w:lineRule="auto"/>
        <w:jc w:val="both"/>
        <w:rPr>
          <w:sz w:val="22"/>
          <w:szCs w:val="22"/>
        </w:rPr>
      </w:pPr>
      <w:r w:rsidDel="00000000" w:rsidR="00000000" w:rsidRPr="00000000">
        <w:rPr>
          <w:rtl w:val="0"/>
        </w:rPr>
      </w:r>
    </w:p>
    <w:p w:rsidR="00000000" w:rsidDel="00000000" w:rsidP="00000000" w:rsidRDefault="00000000" w:rsidRPr="00000000" w14:paraId="000009DB">
      <w:pPr>
        <w:spacing w:line="480" w:lineRule="auto"/>
        <w:jc w:val="both"/>
        <w:rPr>
          <w:sz w:val="22"/>
          <w:szCs w:val="22"/>
        </w:rPr>
      </w:pPr>
      <w:r w:rsidDel="00000000" w:rsidR="00000000" w:rsidRPr="00000000">
        <w:rPr>
          <w:rtl w:val="0"/>
        </w:rPr>
      </w:r>
    </w:p>
    <w:p w:rsidR="00000000" w:rsidDel="00000000" w:rsidP="00000000" w:rsidRDefault="00000000" w:rsidRPr="00000000" w14:paraId="000009DC">
      <w:pPr>
        <w:spacing w:line="480" w:lineRule="auto"/>
        <w:jc w:val="both"/>
        <w:rPr>
          <w:sz w:val="22"/>
          <w:szCs w:val="22"/>
        </w:rPr>
      </w:pPr>
      <w:r w:rsidDel="00000000" w:rsidR="00000000" w:rsidRPr="00000000">
        <w:rPr>
          <w:rtl w:val="0"/>
        </w:rPr>
      </w:r>
    </w:p>
    <w:p w:rsidR="00000000" w:rsidDel="00000000" w:rsidP="00000000" w:rsidRDefault="00000000" w:rsidRPr="00000000" w14:paraId="000009DD">
      <w:pPr>
        <w:spacing w:line="480" w:lineRule="auto"/>
        <w:jc w:val="both"/>
        <w:rPr>
          <w:sz w:val="22"/>
          <w:szCs w:val="22"/>
        </w:rPr>
      </w:pPr>
      <w:r w:rsidDel="00000000" w:rsidR="00000000" w:rsidRPr="00000000">
        <w:rPr>
          <w:rtl w:val="0"/>
        </w:rPr>
      </w:r>
    </w:p>
    <w:p w:rsidR="00000000" w:rsidDel="00000000" w:rsidP="00000000" w:rsidRDefault="00000000" w:rsidRPr="00000000" w14:paraId="000009DE">
      <w:pPr>
        <w:spacing w:line="480" w:lineRule="auto"/>
        <w:jc w:val="both"/>
        <w:rPr>
          <w:sz w:val="22"/>
          <w:szCs w:val="22"/>
        </w:rPr>
      </w:pPr>
      <w:r w:rsidDel="00000000" w:rsidR="00000000" w:rsidRPr="00000000">
        <w:rPr>
          <w:rtl w:val="0"/>
        </w:rPr>
      </w:r>
    </w:p>
    <w:p w:rsidR="00000000" w:rsidDel="00000000" w:rsidP="00000000" w:rsidRDefault="00000000" w:rsidRPr="00000000" w14:paraId="000009DF">
      <w:pPr>
        <w:spacing w:line="480" w:lineRule="auto"/>
        <w:jc w:val="both"/>
        <w:rPr>
          <w:sz w:val="22"/>
          <w:szCs w:val="22"/>
        </w:rPr>
      </w:pPr>
      <w:r w:rsidDel="00000000" w:rsidR="00000000" w:rsidRPr="00000000">
        <w:rPr>
          <w:rtl w:val="0"/>
        </w:rPr>
      </w:r>
    </w:p>
    <w:p w:rsidR="00000000" w:rsidDel="00000000" w:rsidP="00000000" w:rsidRDefault="00000000" w:rsidRPr="00000000" w14:paraId="000009E0">
      <w:pPr>
        <w:spacing w:line="480" w:lineRule="auto"/>
        <w:jc w:val="both"/>
        <w:rPr>
          <w:sz w:val="22"/>
          <w:szCs w:val="22"/>
        </w:rPr>
      </w:pPr>
      <w:r w:rsidDel="00000000" w:rsidR="00000000" w:rsidRPr="00000000">
        <w:rPr>
          <w:rtl w:val="0"/>
        </w:rPr>
      </w:r>
    </w:p>
    <w:p w:rsidR="00000000" w:rsidDel="00000000" w:rsidP="00000000" w:rsidRDefault="00000000" w:rsidRPr="00000000" w14:paraId="000009E1">
      <w:pPr>
        <w:spacing w:line="480" w:lineRule="auto"/>
        <w:jc w:val="both"/>
        <w:rPr>
          <w:sz w:val="22"/>
          <w:szCs w:val="22"/>
        </w:rPr>
      </w:pPr>
      <w:r w:rsidDel="00000000" w:rsidR="00000000" w:rsidRPr="00000000">
        <w:rPr>
          <w:rtl w:val="0"/>
        </w:rPr>
      </w:r>
    </w:p>
    <w:p w:rsidR="00000000" w:rsidDel="00000000" w:rsidP="00000000" w:rsidRDefault="00000000" w:rsidRPr="00000000" w14:paraId="000009E2">
      <w:pPr>
        <w:spacing w:line="480" w:lineRule="auto"/>
        <w:jc w:val="both"/>
        <w:rPr>
          <w:sz w:val="22"/>
          <w:szCs w:val="22"/>
        </w:rPr>
      </w:pPr>
      <w:r w:rsidDel="00000000" w:rsidR="00000000" w:rsidRPr="00000000">
        <w:rPr>
          <w:rtl w:val="0"/>
        </w:rPr>
      </w:r>
    </w:p>
    <w:p w:rsidR="00000000" w:rsidDel="00000000" w:rsidP="00000000" w:rsidRDefault="00000000" w:rsidRPr="00000000" w14:paraId="000009E3">
      <w:pPr>
        <w:rPr/>
      </w:pPr>
      <w:r w:rsidDel="00000000" w:rsidR="00000000" w:rsidRPr="00000000">
        <w:rPr>
          <w:rtl w:val="0"/>
        </w:rPr>
      </w:r>
    </w:p>
    <w:p w:rsidR="00000000" w:rsidDel="00000000" w:rsidP="00000000" w:rsidRDefault="00000000" w:rsidRPr="00000000" w14:paraId="000009E4">
      <w:pPr>
        <w:pStyle w:val="Heading1"/>
        <w:spacing w:line="480" w:lineRule="auto"/>
        <w:jc w:val="both"/>
        <w:rPr/>
      </w:pPr>
      <w:bookmarkStart w:colFirst="0" w:colLast="0" w:name="_heading=h.3jtnz0s" w:id="109"/>
      <w:bookmarkEnd w:id="109"/>
      <w:r w:rsidDel="00000000" w:rsidR="00000000" w:rsidRPr="00000000">
        <w:rPr>
          <w:rtl w:val="0"/>
        </w:rPr>
        <w:t xml:space="preserve">Chapter Seven – Discussion, Recommendations and Conclusion</w:t>
      </w:r>
    </w:p>
    <w:p w:rsidR="00000000" w:rsidDel="00000000" w:rsidP="00000000" w:rsidRDefault="00000000" w:rsidRPr="00000000" w14:paraId="000009E5">
      <w:pPr>
        <w:spacing w:line="480" w:lineRule="auto"/>
        <w:jc w:val="both"/>
        <w:rPr>
          <w:sz w:val="22"/>
          <w:szCs w:val="22"/>
        </w:rPr>
      </w:pPr>
      <w:r w:rsidDel="00000000" w:rsidR="00000000" w:rsidRPr="00000000">
        <w:rPr>
          <w:sz w:val="22"/>
          <w:szCs w:val="22"/>
          <w:rtl w:val="0"/>
        </w:rPr>
        <w:t xml:space="preserve">The overall aim of this thesis was to explore the experiences of patients who identify as being dependent on or have experienced withdrawal symptoms associated with prescribed medicines. This chapter will integrate the findings from the two previous chapters and then will contextualise this with the current literature and theoretical frameworks of the biological approach to illness, the sick role, and stigma. This discussion will summarise these key findings and highlight the areas participants deemed important, and how this relates to the wider literature. The strengths and limitations of this study will also be presented, and lastly, recommendations for practice and further research will be proposed. </w:t>
      </w:r>
    </w:p>
    <w:p w:rsidR="00000000" w:rsidDel="00000000" w:rsidP="00000000" w:rsidRDefault="00000000" w:rsidRPr="00000000" w14:paraId="000009E6">
      <w:pPr>
        <w:spacing w:line="480" w:lineRule="auto"/>
        <w:jc w:val="both"/>
        <w:rPr>
          <w:sz w:val="22"/>
          <w:szCs w:val="22"/>
        </w:rPr>
      </w:pPr>
      <w:r w:rsidDel="00000000" w:rsidR="00000000" w:rsidRPr="00000000">
        <w:rPr>
          <w:rtl w:val="0"/>
        </w:rPr>
      </w:r>
    </w:p>
    <w:p w:rsidR="00000000" w:rsidDel="00000000" w:rsidP="00000000" w:rsidRDefault="00000000" w:rsidRPr="00000000" w14:paraId="000009E7">
      <w:pPr>
        <w:pStyle w:val="Heading2"/>
        <w:numPr>
          <w:ilvl w:val="1"/>
          <w:numId w:val="19"/>
        </w:numPr>
        <w:spacing w:line="480" w:lineRule="auto"/>
        <w:ind w:left="720" w:hanging="720"/>
        <w:rPr/>
      </w:pPr>
      <w:bookmarkStart w:colFirst="0" w:colLast="0" w:name="_heading=h.1yyy98l" w:id="110"/>
      <w:bookmarkEnd w:id="110"/>
      <w:r w:rsidDel="00000000" w:rsidR="00000000" w:rsidRPr="00000000">
        <w:rPr>
          <w:rtl w:val="0"/>
        </w:rPr>
        <w:t xml:space="preserve">Thesis Overview</w:t>
      </w:r>
    </w:p>
    <w:p w:rsidR="00000000" w:rsidDel="00000000" w:rsidP="00000000" w:rsidRDefault="00000000" w:rsidRPr="00000000" w14:paraId="000009E8">
      <w:pPr>
        <w:spacing w:line="480" w:lineRule="auto"/>
        <w:jc w:val="both"/>
        <w:rPr>
          <w:sz w:val="22"/>
          <w:szCs w:val="22"/>
        </w:rPr>
      </w:pPr>
      <w:r w:rsidDel="00000000" w:rsidR="00000000" w:rsidRPr="00000000">
        <w:rPr>
          <w:sz w:val="22"/>
          <w:szCs w:val="22"/>
          <w:rtl w:val="0"/>
        </w:rPr>
        <w:t xml:space="preserve">This research has been s a qualitative exploration of the experiences of patients who identified as being dependent on, or having experienced withdrawal symptoms from, one or more of five therapeutic groups of medicines (antidepressants, benzodiazepines, gabapentinoids (gabapentin and pregabalin), opioids and z-drugs). It utilised semi-structured interviews to collect data, which was then analysed using thematic analysis (Braun and Clarke, 2006). The interview schedule was based on the findings from the narrative review, completed in October 2021 and further updated in February 2024. </w:t>
      </w:r>
    </w:p>
    <w:p w:rsidR="00000000" w:rsidDel="00000000" w:rsidP="00000000" w:rsidRDefault="00000000" w:rsidRPr="00000000" w14:paraId="000009E9">
      <w:pPr>
        <w:spacing w:line="480" w:lineRule="auto"/>
        <w:jc w:val="both"/>
        <w:rPr>
          <w:sz w:val="22"/>
          <w:szCs w:val="22"/>
        </w:rPr>
      </w:pPr>
      <w:r w:rsidDel="00000000" w:rsidR="00000000" w:rsidRPr="00000000">
        <w:rPr>
          <w:rtl w:val="0"/>
        </w:rPr>
      </w:r>
    </w:p>
    <w:p w:rsidR="00000000" w:rsidDel="00000000" w:rsidP="00000000" w:rsidRDefault="00000000" w:rsidRPr="00000000" w14:paraId="000009EA">
      <w:pPr>
        <w:pStyle w:val="Heading2"/>
        <w:numPr>
          <w:ilvl w:val="1"/>
          <w:numId w:val="19"/>
        </w:numPr>
        <w:spacing w:line="480" w:lineRule="auto"/>
        <w:ind w:left="720" w:hanging="720"/>
        <w:rPr/>
      </w:pPr>
      <w:bookmarkStart w:colFirst="0" w:colLast="0" w:name="_heading=h.4iylrwe" w:id="111"/>
      <w:bookmarkEnd w:id="111"/>
      <w:r w:rsidDel="00000000" w:rsidR="00000000" w:rsidRPr="00000000">
        <w:rPr>
          <w:rtl w:val="0"/>
        </w:rPr>
        <w:t xml:space="preserve">Summary of Key Findings</w:t>
      </w:r>
    </w:p>
    <w:p w:rsidR="00000000" w:rsidDel="00000000" w:rsidP="00000000" w:rsidRDefault="00000000" w:rsidRPr="00000000" w14:paraId="000009EB">
      <w:pPr>
        <w:spacing w:line="480" w:lineRule="auto"/>
        <w:jc w:val="both"/>
        <w:rPr>
          <w:sz w:val="22"/>
          <w:szCs w:val="22"/>
        </w:rPr>
      </w:pPr>
      <w:r w:rsidDel="00000000" w:rsidR="00000000" w:rsidRPr="00000000">
        <w:rPr>
          <w:sz w:val="22"/>
          <w:szCs w:val="22"/>
          <w:rtl w:val="0"/>
        </w:rPr>
        <w:t xml:space="preserve">Overall, this research found that participants’ experiences are complex and multifaceted. This is due to a combination of factors such as personal beliefs, communication with healthcare professionals and perceived benefits of medications. It has been posited patients are open to using medicines, and therefore entering the sick role, in the hope they become well as soon as possible. </w:t>
      </w:r>
    </w:p>
    <w:p w:rsidR="00000000" w:rsidDel="00000000" w:rsidP="00000000" w:rsidRDefault="00000000" w:rsidRPr="00000000" w14:paraId="000009EC">
      <w:pPr>
        <w:spacing w:line="480" w:lineRule="auto"/>
        <w:jc w:val="both"/>
        <w:rPr>
          <w:sz w:val="22"/>
          <w:szCs w:val="22"/>
        </w:rPr>
      </w:pPr>
      <w:r w:rsidDel="00000000" w:rsidR="00000000" w:rsidRPr="00000000">
        <w:rPr>
          <w:rtl w:val="0"/>
        </w:rPr>
      </w:r>
    </w:p>
    <w:p w:rsidR="00000000" w:rsidDel="00000000" w:rsidP="00000000" w:rsidRDefault="00000000" w:rsidRPr="00000000" w14:paraId="000009ED">
      <w:pPr>
        <w:spacing w:line="480" w:lineRule="auto"/>
        <w:jc w:val="both"/>
        <w:rPr>
          <w:sz w:val="22"/>
          <w:szCs w:val="22"/>
        </w:rPr>
      </w:pPr>
      <w:r w:rsidDel="00000000" w:rsidR="00000000" w:rsidRPr="00000000">
        <w:rPr>
          <w:sz w:val="22"/>
          <w:szCs w:val="22"/>
          <w:rtl w:val="0"/>
        </w:rPr>
        <w:t xml:space="preserve">The “</w:t>
      </w:r>
      <w:r w:rsidDel="00000000" w:rsidR="00000000" w:rsidRPr="00000000">
        <w:rPr>
          <w:i w:val="1"/>
          <w:sz w:val="22"/>
          <w:szCs w:val="22"/>
          <w:rtl w:val="0"/>
        </w:rPr>
        <w:t xml:space="preserve">Acceptance and Evaluation of Medicines</w:t>
      </w:r>
      <w:r w:rsidDel="00000000" w:rsidR="00000000" w:rsidRPr="00000000">
        <w:rPr>
          <w:sz w:val="22"/>
          <w:szCs w:val="22"/>
          <w:rtl w:val="0"/>
        </w:rPr>
        <w:t xml:space="preserve">” explored aspects of patient’s medicine use. These findings highlight the complex interplay of factors influencing patients' acceptance and use of medications. Whilst patients were generally open to using medicines, their experiences suggested a need for improved communication with healthcare practitioners. This included clearer explanations about the benefits, risks, and potential side effects of medications. By addressing these communication gaps, healthcare providers can empower patients to make informed decisions about their treatment and improve their overall healthcare experience.</w:t>
      </w:r>
    </w:p>
    <w:p w:rsidR="00000000" w:rsidDel="00000000" w:rsidP="00000000" w:rsidRDefault="00000000" w:rsidRPr="00000000" w14:paraId="000009EE">
      <w:pPr>
        <w:spacing w:line="480" w:lineRule="auto"/>
        <w:jc w:val="both"/>
        <w:rPr>
          <w:sz w:val="22"/>
          <w:szCs w:val="22"/>
        </w:rPr>
      </w:pPr>
      <w:r w:rsidDel="00000000" w:rsidR="00000000" w:rsidRPr="00000000">
        <w:rPr>
          <w:rtl w:val="0"/>
        </w:rPr>
      </w:r>
    </w:p>
    <w:p w:rsidR="00000000" w:rsidDel="00000000" w:rsidP="00000000" w:rsidRDefault="00000000" w:rsidRPr="00000000" w14:paraId="000009EF">
      <w:pPr>
        <w:spacing w:line="480" w:lineRule="auto"/>
        <w:jc w:val="both"/>
        <w:rPr>
          <w:sz w:val="22"/>
          <w:szCs w:val="22"/>
        </w:rPr>
      </w:pPr>
      <w:r w:rsidDel="00000000" w:rsidR="00000000" w:rsidRPr="00000000">
        <w:rPr>
          <w:sz w:val="22"/>
          <w:szCs w:val="22"/>
          <w:rtl w:val="0"/>
        </w:rPr>
        <w:t xml:space="preserve">Participants described several factors that informed their acceptance of medicines, such as their perceived choices, practitioner communication and the perceived necessity of medicines. Those who could be considered treatment naïve, for example those who have had less engagement with health services, are more likely to be passive in their care, and therefore accept medicines in a passive way. Conversely, those who describe themselves as experienced in treatment feel able to communicate their treatment preferences and may challenge the practitioner’s position.</w:t>
      </w:r>
    </w:p>
    <w:p w:rsidR="00000000" w:rsidDel="00000000" w:rsidP="00000000" w:rsidRDefault="00000000" w:rsidRPr="00000000" w14:paraId="000009F0">
      <w:pPr>
        <w:spacing w:line="480" w:lineRule="auto"/>
        <w:jc w:val="both"/>
        <w:rPr>
          <w:sz w:val="22"/>
          <w:szCs w:val="22"/>
        </w:rPr>
      </w:pPr>
      <w:r w:rsidDel="00000000" w:rsidR="00000000" w:rsidRPr="00000000">
        <w:rPr>
          <w:rtl w:val="0"/>
        </w:rPr>
      </w:r>
    </w:p>
    <w:p w:rsidR="00000000" w:rsidDel="00000000" w:rsidP="00000000" w:rsidRDefault="00000000" w:rsidRPr="00000000" w14:paraId="000009F1">
      <w:pPr>
        <w:spacing w:line="480" w:lineRule="auto"/>
        <w:jc w:val="both"/>
        <w:rPr>
          <w:sz w:val="22"/>
          <w:szCs w:val="22"/>
        </w:rPr>
      </w:pPr>
      <w:r w:rsidDel="00000000" w:rsidR="00000000" w:rsidRPr="00000000">
        <w:rPr>
          <w:sz w:val="22"/>
          <w:szCs w:val="22"/>
          <w:rtl w:val="0"/>
        </w:rPr>
        <w:t xml:space="preserve">Concerns surrounding informed decision making was emphasised throughout the data. A key issue identified by participants was the level of communication they received throughout their treatment, which informed their acceptance of medicines and had implications for their ongoing treatment. There were varied accounts across the data that suggested a range of experiences of practitioner communication. This ranged from limited practitioner communication and transparency to patient-centred care, which was found to be preferable. Their experiences suggest a limited level of communication, particularly when addressing the risk of side effects, dependency and associated withdrawal symptoms.</w:t>
      </w:r>
    </w:p>
    <w:p w:rsidR="00000000" w:rsidDel="00000000" w:rsidP="00000000" w:rsidRDefault="00000000" w:rsidRPr="00000000" w14:paraId="000009F2">
      <w:pPr>
        <w:spacing w:line="480" w:lineRule="auto"/>
        <w:jc w:val="both"/>
        <w:rPr>
          <w:sz w:val="22"/>
          <w:szCs w:val="22"/>
        </w:rPr>
      </w:pPr>
      <w:r w:rsidDel="00000000" w:rsidR="00000000" w:rsidRPr="00000000">
        <w:rPr>
          <w:rtl w:val="0"/>
        </w:rPr>
      </w:r>
    </w:p>
    <w:p w:rsidR="00000000" w:rsidDel="00000000" w:rsidP="00000000" w:rsidRDefault="00000000" w:rsidRPr="00000000" w14:paraId="000009F3">
      <w:pPr>
        <w:spacing w:line="480" w:lineRule="auto"/>
        <w:jc w:val="both"/>
        <w:rPr>
          <w:sz w:val="22"/>
          <w:szCs w:val="22"/>
        </w:rPr>
      </w:pPr>
      <w:r w:rsidDel="00000000" w:rsidR="00000000" w:rsidRPr="00000000">
        <w:rPr>
          <w:sz w:val="22"/>
          <w:szCs w:val="22"/>
          <w:rtl w:val="0"/>
        </w:rPr>
        <w:t xml:space="preserve">Some participants report not being given the information required to make an informed choice about their treatment, for example limited or a complete absence of information sharing. This also considered alternative treatment pathways, such as a referral to secondary care for treatments such as physiotherapy or psychosocial interventions. Where this is the case, Informed Consent could be challenging to obtain. Informed Consent has been emphasised as a core concept in modern day healthcare provision, and obtaining a “</w:t>
      </w:r>
      <w:r w:rsidDel="00000000" w:rsidR="00000000" w:rsidRPr="00000000">
        <w:rPr>
          <w:i w:val="1"/>
          <w:sz w:val="22"/>
          <w:szCs w:val="22"/>
          <w:rtl w:val="0"/>
        </w:rPr>
        <w:t xml:space="preserve">global understanding”</w:t>
      </w:r>
      <w:r w:rsidDel="00000000" w:rsidR="00000000" w:rsidRPr="00000000">
        <w:rPr>
          <w:sz w:val="22"/>
          <w:szCs w:val="22"/>
          <w:rtl w:val="0"/>
        </w:rPr>
        <w:t xml:space="preserve"> of the patient is imperative, and this is not present in some cases. Following this, participants engaged in an evaluation of their medicines, informed by their perceived efficacy, side effects and wider implications of their use. </w:t>
      </w:r>
    </w:p>
    <w:p w:rsidR="00000000" w:rsidDel="00000000" w:rsidP="00000000" w:rsidRDefault="00000000" w:rsidRPr="00000000" w14:paraId="000009F4">
      <w:pPr>
        <w:spacing w:line="480" w:lineRule="auto"/>
        <w:jc w:val="both"/>
        <w:rPr>
          <w:sz w:val="22"/>
          <w:szCs w:val="22"/>
        </w:rPr>
      </w:pPr>
      <w:r w:rsidDel="00000000" w:rsidR="00000000" w:rsidRPr="00000000">
        <w:rPr>
          <w:rtl w:val="0"/>
        </w:rPr>
      </w:r>
    </w:p>
    <w:p w:rsidR="00000000" w:rsidDel="00000000" w:rsidP="00000000" w:rsidRDefault="00000000" w:rsidRPr="00000000" w14:paraId="000009F5">
      <w:pPr>
        <w:spacing w:line="480" w:lineRule="auto"/>
        <w:jc w:val="both"/>
        <w:rPr>
          <w:sz w:val="22"/>
          <w:szCs w:val="22"/>
        </w:rPr>
      </w:pPr>
      <w:r w:rsidDel="00000000" w:rsidR="00000000" w:rsidRPr="00000000">
        <w:rPr>
          <w:sz w:val="22"/>
          <w:szCs w:val="22"/>
          <w:rtl w:val="0"/>
        </w:rPr>
        <w:t xml:space="preserve">The second chapter, titled “</w:t>
      </w:r>
      <w:r w:rsidDel="00000000" w:rsidR="00000000" w:rsidRPr="00000000">
        <w:rPr>
          <w:i w:val="1"/>
          <w:sz w:val="22"/>
          <w:szCs w:val="22"/>
          <w:rtl w:val="0"/>
        </w:rPr>
        <w:t xml:space="preserve">The Medication Trap”</w:t>
      </w:r>
      <w:r w:rsidDel="00000000" w:rsidR="00000000" w:rsidRPr="00000000">
        <w:rPr>
          <w:sz w:val="22"/>
          <w:szCs w:val="22"/>
          <w:rtl w:val="0"/>
        </w:rPr>
        <w:t xml:space="preserve"> described how extensive medicine use, dependency and emerging withdrawal symptoms has led some to continue using medicines despite their personal treatment preferences. Participants may experience this “</w:t>
      </w:r>
      <w:r w:rsidDel="00000000" w:rsidR="00000000" w:rsidRPr="00000000">
        <w:rPr>
          <w:i w:val="1"/>
          <w:sz w:val="22"/>
          <w:szCs w:val="22"/>
          <w:rtl w:val="0"/>
        </w:rPr>
        <w:t xml:space="preserve">medication trap</w:t>
      </w:r>
      <w:r w:rsidDel="00000000" w:rsidR="00000000" w:rsidRPr="00000000">
        <w:rPr>
          <w:sz w:val="22"/>
          <w:szCs w:val="22"/>
          <w:rtl w:val="0"/>
        </w:rPr>
        <w:t xml:space="preserve">”, whereby limited treatment options outside of medicines were either offered or accessible due to their diagnosis. This has been found to extend prescribing periods for longer than clinical guidelines dictate, and further prescribing to manage the side effects associated with the primary medicine. As discussed throughout this research, these extensive prescribing periods are associated with the dependence on prescribed medicines. This “</w:t>
      </w:r>
      <w:r w:rsidDel="00000000" w:rsidR="00000000" w:rsidRPr="00000000">
        <w:rPr>
          <w:i w:val="1"/>
          <w:sz w:val="22"/>
          <w:szCs w:val="22"/>
          <w:rtl w:val="0"/>
        </w:rPr>
        <w:t xml:space="preserve">medication trap</w:t>
      </w:r>
      <w:r w:rsidDel="00000000" w:rsidR="00000000" w:rsidRPr="00000000">
        <w:rPr>
          <w:sz w:val="22"/>
          <w:szCs w:val="22"/>
          <w:rtl w:val="0"/>
        </w:rPr>
        <w:t xml:space="preserve">” also encapsulated the experiences of those who have previously attempted to reduce their medication use yet described experiencing withdrawal symptoms that were unmanageable, resulting in a reinstatement. </w:t>
      </w:r>
    </w:p>
    <w:p w:rsidR="00000000" w:rsidDel="00000000" w:rsidP="00000000" w:rsidRDefault="00000000" w:rsidRPr="00000000" w14:paraId="000009F6">
      <w:pPr>
        <w:spacing w:line="480" w:lineRule="auto"/>
        <w:jc w:val="both"/>
        <w:rPr>
          <w:sz w:val="22"/>
          <w:szCs w:val="22"/>
        </w:rPr>
      </w:pPr>
      <w:r w:rsidDel="00000000" w:rsidR="00000000" w:rsidRPr="00000000">
        <w:rPr>
          <w:rtl w:val="0"/>
        </w:rPr>
      </w:r>
    </w:p>
    <w:p w:rsidR="00000000" w:rsidDel="00000000" w:rsidP="00000000" w:rsidRDefault="00000000" w:rsidRPr="00000000" w14:paraId="000009F7">
      <w:pPr>
        <w:spacing w:line="480" w:lineRule="auto"/>
        <w:jc w:val="both"/>
        <w:rPr>
          <w:sz w:val="22"/>
          <w:szCs w:val="22"/>
        </w:rPr>
      </w:pPr>
      <w:r w:rsidDel="00000000" w:rsidR="00000000" w:rsidRPr="00000000">
        <w:rPr>
          <w:sz w:val="22"/>
          <w:szCs w:val="22"/>
          <w:rtl w:val="0"/>
        </w:rPr>
        <w:t xml:space="preserve">Participants describe theoretical choices in their medication use, due to the perceived lack of alternative treatments and access to secondary care, and as a result of their dependency. Some report being offered alternative interventions, such as low intensity psychological treatment, yet felt these were inappropriate. Services have also been perceived to have limited accessibility as a result of the complexity of a diagnosis, or a lack of diagnosis entirely. Where alternative treatments accessed through secondary care could be considered more clinically appropriate, participants described barriers in their accessibility.</w:t>
      </w:r>
    </w:p>
    <w:p w:rsidR="00000000" w:rsidDel="00000000" w:rsidP="00000000" w:rsidRDefault="00000000" w:rsidRPr="00000000" w14:paraId="000009F8">
      <w:pPr>
        <w:spacing w:line="480" w:lineRule="auto"/>
        <w:jc w:val="both"/>
        <w:rPr>
          <w:sz w:val="22"/>
          <w:szCs w:val="22"/>
        </w:rPr>
      </w:pPr>
      <w:r w:rsidDel="00000000" w:rsidR="00000000" w:rsidRPr="00000000">
        <w:rPr>
          <w:rtl w:val="0"/>
        </w:rPr>
      </w:r>
    </w:p>
    <w:p w:rsidR="00000000" w:rsidDel="00000000" w:rsidP="00000000" w:rsidRDefault="00000000" w:rsidRPr="00000000" w14:paraId="000009F9">
      <w:pPr>
        <w:spacing w:line="480" w:lineRule="auto"/>
        <w:jc w:val="both"/>
        <w:rPr>
          <w:sz w:val="22"/>
          <w:szCs w:val="22"/>
        </w:rPr>
      </w:pPr>
      <w:r w:rsidDel="00000000" w:rsidR="00000000" w:rsidRPr="00000000">
        <w:rPr>
          <w:sz w:val="22"/>
          <w:szCs w:val="22"/>
          <w:rtl w:val="0"/>
        </w:rPr>
        <w:t xml:space="preserve">Participants who have a complex diagnosis or have a broad and non-specific diagnosis such as chronic pain, are more likely to become enmeshed in medical culture as a consequence of these limited alternatives. This chapter also suggest some participants perceive prescribing as “</w:t>
      </w:r>
      <w:r w:rsidDel="00000000" w:rsidR="00000000" w:rsidRPr="00000000">
        <w:rPr>
          <w:i w:val="1"/>
          <w:sz w:val="22"/>
          <w:szCs w:val="22"/>
          <w:rtl w:val="0"/>
        </w:rPr>
        <w:t xml:space="preserve">willy-nilly</w:t>
      </w:r>
      <w:r w:rsidDel="00000000" w:rsidR="00000000" w:rsidRPr="00000000">
        <w:rPr>
          <w:sz w:val="22"/>
          <w:szCs w:val="22"/>
          <w:rtl w:val="0"/>
        </w:rPr>
        <w:t xml:space="preserve">”, and the practitioner has some role to play in the formation and maintenance of a prescribed drug dependency. Some practitioners are also perceived to have limited insight into complex patient groups, specifically in psychiatry and chronic illness, and in turn, have been perceived as unsupportive of this patient group. This has led some to seek support outside of formal healthcare settings, such as online chronic pain communities. </w:t>
      </w:r>
    </w:p>
    <w:p w:rsidR="00000000" w:rsidDel="00000000" w:rsidP="00000000" w:rsidRDefault="00000000" w:rsidRPr="00000000" w14:paraId="000009FA">
      <w:pPr>
        <w:spacing w:line="480" w:lineRule="auto"/>
        <w:jc w:val="both"/>
        <w:rPr>
          <w:sz w:val="22"/>
          <w:szCs w:val="22"/>
        </w:rPr>
      </w:pPr>
      <w:r w:rsidDel="00000000" w:rsidR="00000000" w:rsidRPr="00000000">
        <w:rPr>
          <w:rtl w:val="0"/>
        </w:rPr>
      </w:r>
    </w:p>
    <w:p w:rsidR="00000000" w:rsidDel="00000000" w:rsidP="00000000" w:rsidRDefault="00000000" w:rsidRPr="00000000" w14:paraId="000009FB">
      <w:pPr>
        <w:spacing w:line="480" w:lineRule="auto"/>
        <w:jc w:val="both"/>
        <w:rPr>
          <w:sz w:val="22"/>
          <w:szCs w:val="22"/>
        </w:rPr>
      </w:pPr>
      <w:r w:rsidDel="00000000" w:rsidR="00000000" w:rsidRPr="00000000">
        <w:rPr>
          <w:sz w:val="22"/>
          <w:szCs w:val="22"/>
          <w:rtl w:val="0"/>
        </w:rPr>
        <w:t xml:space="preserve">There were, however, participants that noted several systemic issues noted within the data that are perceived to limit the availability and accessibility of alternative treatments and secondary care. Specifically highlighted, the reduction in funding for the National Health Service and the Department for Health and Social Care, which has a knock-on effect on waiting times and availability of services. Where services are unavailable or carry a long waiting list, continued prescribing could be described as acting in the best interest of the patient, a responsibility per Parsons (1951). In these cases, patients are still receiving some treatment for their health condition whilst they wait. This, however, can complicate the relationship with the practitioner, as there is a perception of pharmaceutically dominant treatments for conditions that may require alternative interventions. Parsons emphasises the temporary nature of illness, where the individual is obliged to become well at the soonest opportunity. The data suggests this is the case, as no participants were content with identifying as unwell, therefore in the position of the sick role. It appears; however, that patients are limited in their ability to move out of this position in an acceptable timeframe. This is a result of the perceived, or indeed actual, accessibility of alternative treatments and secondary care. These treatments are often more effective and appropriate in treating a health condition, however there can be a diminished capacity for practitioners to offer these services. The next section will present the key findings of this research, contextualised with the theoretical underpinnings put forward in </w:t>
      </w:r>
      <w:hyperlink w:anchor="_heading=h.1y810tw">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31). </w:t>
      </w:r>
    </w:p>
    <w:p w:rsidR="00000000" w:rsidDel="00000000" w:rsidP="00000000" w:rsidRDefault="00000000" w:rsidRPr="00000000" w14:paraId="000009FC">
      <w:pPr>
        <w:spacing w:line="480" w:lineRule="auto"/>
        <w:jc w:val="both"/>
        <w:rPr>
          <w:sz w:val="22"/>
          <w:szCs w:val="22"/>
        </w:rPr>
      </w:pPr>
      <w:r w:rsidDel="00000000" w:rsidR="00000000" w:rsidRPr="00000000">
        <w:rPr>
          <w:rtl w:val="0"/>
        </w:rPr>
      </w:r>
    </w:p>
    <w:p w:rsidR="00000000" w:rsidDel="00000000" w:rsidP="00000000" w:rsidRDefault="00000000" w:rsidRPr="00000000" w14:paraId="000009FD">
      <w:pPr>
        <w:tabs>
          <w:tab w:val="right" w:leader="none" w:pos="9026"/>
        </w:tabs>
        <w:spacing w:line="480" w:lineRule="auto"/>
        <w:jc w:val="both"/>
        <w:rPr>
          <w:sz w:val="22"/>
          <w:szCs w:val="22"/>
        </w:rPr>
      </w:pPr>
      <w:r w:rsidDel="00000000" w:rsidR="00000000" w:rsidRPr="00000000">
        <w:rPr>
          <w:sz w:val="22"/>
          <w:szCs w:val="22"/>
          <w:rtl w:val="0"/>
        </w:rPr>
        <w:t xml:space="preserve">It will be shown that the findings of this research both support and contradict Parsons’ sick role (1951). It appears practitioners have their rights, evidenced through the perceived dominant practitioner discourse and autonomy in their practice, yet are perceived to dismiss their obligations as a result of inadequate skill or knowledge in managing complex patients in particular. Similarly, patients appear to meet their obligations of condoning their illness and seeking medical advice, yet as a consequence of practitioner and systemic related barriers, are unable to move away from their position within the sick role at the soonest opportunity (Parsons 1951). </w:t>
      </w:r>
    </w:p>
    <w:p w:rsidR="00000000" w:rsidDel="00000000" w:rsidP="00000000" w:rsidRDefault="00000000" w:rsidRPr="00000000" w14:paraId="000009FE">
      <w:pPr>
        <w:tabs>
          <w:tab w:val="right" w:leader="none" w:pos="9026"/>
        </w:tabs>
        <w:spacing w:line="480" w:lineRule="auto"/>
        <w:jc w:val="both"/>
        <w:rPr>
          <w:sz w:val="22"/>
          <w:szCs w:val="22"/>
        </w:rPr>
      </w:pPr>
      <w:r w:rsidDel="00000000" w:rsidR="00000000" w:rsidRPr="00000000">
        <w:rPr>
          <w:rtl w:val="0"/>
        </w:rPr>
      </w:r>
    </w:p>
    <w:p w:rsidR="00000000" w:rsidDel="00000000" w:rsidP="00000000" w:rsidRDefault="00000000" w:rsidRPr="00000000" w14:paraId="000009FF">
      <w:pPr>
        <w:pStyle w:val="Heading2"/>
        <w:numPr>
          <w:ilvl w:val="1"/>
          <w:numId w:val="19"/>
        </w:numPr>
        <w:spacing w:line="480" w:lineRule="auto"/>
        <w:ind w:left="720" w:hanging="720"/>
        <w:rPr/>
      </w:pPr>
      <w:bookmarkStart w:colFirst="0" w:colLast="0" w:name="_heading=h.2y3w247" w:id="112"/>
      <w:bookmarkEnd w:id="112"/>
      <w:r w:rsidDel="00000000" w:rsidR="00000000" w:rsidRPr="00000000">
        <w:rPr>
          <w:rtl w:val="0"/>
        </w:rPr>
        <w:t xml:space="preserve">Integration of Main Findings with Current Literature</w:t>
      </w:r>
    </w:p>
    <w:p w:rsidR="00000000" w:rsidDel="00000000" w:rsidP="00000000" w:rsidRDefault="00000000" w:rsidRPr="00000000" w14:paraId="00000A00">
      <w:pPr>
        <w:spacing w:line="480" w:lineRule="auto"/>
        <w:jc w:val="both"/>
        <w:rPr>
          <w:sz w:val="22"/>
          <w:szCs w:val="22"/>
        </w:rPr>
      </w:pPr>
      <w:r w:rsidDel="00000000" w:rsidR="00000000" w:rsidRPr="00000000">
        <w:rPr>
          <w:sz w:val="22"/>
          <w:szCs w:val="22"/>
          <w:rtl w:val="0"/>
        </w:rPr>
        <w:t xml:space="preserve">The exploration of patients who are dependent on, or have experienced withdrawal symptoms from, the aforementioned prescribed medicines, resulted in the following five key areas to discuss: The Dominance of Antidepressants, Information Sharing and Informed Consent, Practitioner Roles, the Limited Accessibility of Secondary Care, and Lay Knowledge and Peer Support. These will now be summarised. </w:t>
      </w:r>
    </w:p>
    <w:p w:rsidR="00000000" w:rsidDel="00000000" w:rsidP="00000000" w:rsidRDefault="00000000" w:rsidRPr="00000000" w14:paraId="00000A01">
      <w:pPr>
        <w:spacing w:line="480" w:lineRule="auto"/>
        <w:jc w:val="both"/>
        <w:rPr>
          <w:sz w:val="22"/>
          <w:szCs w:val="22"/>
        </w:rPr>
      </w:pPr>
      <w:r w:rsidDel="00000000" w:rsidR="00000000" w:rsidRPr="00000000">
        <w:rPr>
          <w:rtl w:val="0"/>
        </w:rPr>
      </w:r>
    </w:p>
    <w:p w:rsidR="00000000" w:rsidDel="00000000" w:rsidP="00000000" w:rsidRDefault="00000000" w:rsidRPr="00000000" w14:paraId="00000A02">
      <w:pPr>
        <w:pStyle w:val="Heading3"/>
        <w:spacing w:line="480" w:lineRule="auto"/>
        <w:rPr/>
      </w:pPr>
      <w:bookmarkStart w:colFirst="0" w:colLast="0" w:name="_heading=h.1d96cc0" w:id="113"/>
      <w:bookmarkEnd w:id="113"/>
      <w:r w:rsidDel="00000000" w:rsidR="00000000" w:rsidRPr="00000000">
        <w:rPr>
          <w:rtl w:val="0"/>
        </w:rPr>
        <w:t xml:space="preserve">Dominance of Antidepressants</w:t>
      </w:r>
    </w:p>
    <w:p w:rsidR="00000000" w:rsidDel="00000000" w:rsidP="00000000" w:rsidRDefault="00000000" w:rsidRPr="00000000" w14:paraId="00000A03">
      <w:pPr>
        <w:spacing w:line="480" w:lineRule="auto"/>
        <w:jc w:val="both"/>
        <w:rPr>
          <w:sz w:val="22"/>
          <w:szCs w:val="22"/>
        </w:rPr>
      </w:pPr>
      <w:r w:rsidDel="00000000" w:rsidR="00000000" w:rsidRPr="00000000">
        <w:rPr>
          <w:sz w:val="22"/>
          <w:szCs w:val="22"/>
          <w:rtl w:val="0"/>
        </w:rPr>
        <w:t xml:space="preserve">There was a dominance of antidepressants within the data, with eleven of the thirteen participants reporting their use, alongside 20 out of the 69 included papers in the literature review discussing this therapeutic group. There are several reasons that could contribute to this dominance and will be discussed in turn. Antidepressants are the most prescribed medicine within the scope of this study and has been associated with several social factors (Johnson et al 2017, p.1). The reduction in stigma in relation to the biomedical approach to illness and its association with increased help seeking behaviour, and the perceived efficacy of these medicines will be discussed. It will be shown that despite its limitations, the biomedical model and the rights of the patient per Parsons (1951) is upheld in the wider public’s perception, and as a result, is associated with improved help-seeking behaviour and therefore increased prescribing of these medicines. </w:t>
      </w:r>
    </w:p>
    <w:p w:rsidR="00000000" w:rsidDel="00000000" w:rsidP="00000000" w:rsidRDefault="00000000" w:rsidRPr="00000000" w14:paraId="00000A04">
      <w:pPr>
        <w:spacing w:line="480" w:lineRule="auto"/>
        <w:jc w:val="both"/>
        <w:rPr>
          <w:sz w:val="22"/>
          <w:szCs w:val="22"/>
        </w:rPr>
      </w:pPr>
      <w:r w:rsidDel="00000000" w:rsidR="00000000" w:rsidRPr="00000000">
        <w:rPr>
          <w:rtl w:val="0"/>
        </w:rPr>
      </w:r>
    </w:p>
    <w:p w:rsidR="00000000" w:rsidDel="00000000" w:rsidP="00000000" w:rsidRDefault="00000000" w:rsidRPr="00000000" w14:paraId="00000A05">
      <w:pPr>
        <w:pStyle w:val="Heading3"/>
        <w:spacing w:line="480" w:lineRule="auto"/>
        <w:rPr/>
      </w:pPr>
      <w:bookmarkStart w:colFirst="0" w:colLast="0" w:name="_heading=h.3x8tuzt" w:id="114"/>
      <w:bookmarkEnd w:id="114"/>
      <w:r w:rsidDel="00000000" w:rsidR="00000000" w:rsidRPr="00000000">
        <w:rPr>
          <w:rtl w:val="0"/>
        </w:rPr>
        <w:t xml:space="preserve">Information Sharing and Informed Consent</w:t>
      </w:r>
    </w:p>
    <w:p w:rsidR="00000000" w:rsidDel="00000000" w:rsidP="00000000" w:rsidRDefault="00000000" w:rsidRPr="00000000" w14:paraId="00000A06">
      <w:pPr>
        <w:spacing w:line="480" w:lineRule="auto"/>
        <w:jc w:val="both"/>
        <w:rPr>
          <w:sz w:val="22"/>
          <w:szCs w:val="22"/>
        </w:rPr>
      </w:pPr>
      <w:r w:rsidDel="00000000" w:rsidR="00000000" w:rsidRPr="00000000">
        <w:rPr>
          <w:sz w:val="22"/>
          <w:szCs w:val="22"/>
          <w:rtl w:val="0"/>
        </w:rPr>
        <w:t xml:space="preserve">As noted within the findings of this research, a key issue identified by participants was the level of information sharing the participant experienced when accessing and engaging in treatment. The level of information the participant received had implications for the patient’s treatment adherence and outcomes, which is supported by the wider literature (see Roque and Leanza 2015, Croft et al 2015, Murugesu et al 2022). This was also a consideration when the participant described informed consent and shared decision making. The importance of this concept will be emphasised, considering recent legal challenges and updated clinical guidance. It will be argued that some patients may exercise “</w:t>
      </w:r>
      <w:r w:rsidDel="00000000" w:rsidR="00000000" w:rsidRPr="00000000">
        <w:rPr>
          <w:i w:val="1"/>
          <w:sz w:val="22"/>
          <w:szCs w:val="22"/>
          <w:rtl w:val="0"/>
        </w:rPr>
        <w:t xml:space="preserve">superficial autonomy</w:t>
      </w:r>
      <w:r w:rsidDel="00000000" w:rsidR="00000000" w:rsidRPr="00000000">
        <w:rPr>
          <w:sz w:val="22"/>
          <w:szCs w:val="22"/>
          <w:rtl w:val="0"/>
        </w:rPr>
        <w:t xml:space="preserve">”, as a result of significant symptoms or chronic illness (either in regard to the participant’s mental or physical health), the relationship with the healthcare professional and the importance of an ongoing review. </w:t>
      </w:r>
    </w:p>
    <w:p w:rsidR="00000000" w:rsidDel="00000000" w:rsidP="00000000" w:rsidRDefault="00000000" w:rsidRPr="00000000" w14:paraId="00000A07">
      <w:pPr>
        <w:spacing w:line="480" w:lineRule="auto"/>
        <w:jc w:val="both"/>
        <w:rPr>
          <w:sz w:val="22"/>
          <w:szCs w:val="22"/>
        </w:rPr>
      </w:pPr>
      <w:r w:rsidDel="00000000" w:rsidR="00000000" w:rsidRPr="00000000">
        <w:rPr>
          <w:rtl w:val="0"/>
        </w:rPr>
      </w:r>
    </w:p>
    <w:p w:rsidR="00000000" w:rsidDel="00000000" w:rsidP="00000000" w:rsidRDefault="00000000" w:rsidRPr="00000000" w14:paraId="00000A08">
      <w:pPr>
        <w:pStyle w:val="Heading3"/>
        <w:spacing w:line="480" w:lineRule="auto"/>
        <w:rPr/>
      </w:pPr>
      <w:bookmarkStart w:colFirst="0" w:colLast="0" w:name="_heading=h.2ce457m" w:id="115"/>
      <w:bookmarkEnd w:id="115"/>
      <w:r w:rsidDel="00000000" w:rsidR="00000000" w:rsidRPr="00000000">
        <w:rPr>
          <w:rtl w:val="0"/>
        </w:rPr>
        <w:t xml:space="preserve">Practitioner Roles </w:t>
      </w:r>
    </w:p>
    <w:p w:rsidR="00000000" w:rsidDel="00000000" w:rsidP="00000000" w:rsidRDefault="00000000" w:rsidRPr="00000000" w14:paraId="00000A09">
      <w:pPr>
        <w:spacing w:line="480" w:lineRule="auto"/>
        <w:jc w:val="both"/>
        <w:rPr/>
      </w:pPr>
      <w:r w:rsidDel="00000000" w:rsidR="00000000" w:rsidRPr="00000000">
        <w:rPr>
          <w:sz w:val="22"/>
          <w:szCs w:val="22"/>
          <w:rtl w:val="0"/>
        </w:rPr>
        <w:t xml:space="preserve">Continued from the previous section, wider practitioner roles were highlighted by participants that maintained their medicine use, and their position in the sick role. The role of the practitioner has implications for the patient and their experiences of medicines, their care, and their perception of support and treatment. This research suggests the patient-practitioner relationship is practitioner dominant in nature, supporting the “</w:t>
      </w:r>
      <w:r w:rsidDel="00000000" w:rsidR="00000000" w:rsidRPr="00000000">
        <w:rPr>
          <w:i w:val="1"/>
          <w:sz w:val="22"/>
          <w:szCs w:val="22"/>
          <w:rtl w:val="0"/>
        </w:rPr>
        <w:t xml:space="preserve">autonomous </w:t>
      </w:r>
      <w:r w:rsidDel="00000000" w:rsidR="00000000" w:rsidRPr="00000000">
        <w:rPr>
          <w:sz w:val="22"/>
          <w:szCs w:val="22"/>
          <w:rtl w:val="0"/>
        </w:rPr>
        <w:t xml:space="preserve">practice” afforded to practitioners (Parsons, 1951). This, however, may undermine some principles of shared decision making and informed consent. This is perceived by some as a lack of practitioner knowledge, particularly with those who experience significant symptoms and wider concerns relating to their illness. Several participants highlighted concerns regarding prescribing practices, with a potential dismissal of alternative treatments accessed through secondary care, and the individual’s treatment preferences. </w:t>
      </w:r>
      <w:r w:rsidDel="00000000" w:rsidR="00000000" w:rsidRPr="00000000">
        <w:rPr>
          <w:rtl w:val="0"/>
        </w:rPr>
      </w:r>
    </w:p>
    <w:p w:rsidR="00000000" w:rsidDel="00000000" w:rsidP="00000000" w:rsidRDefault="00000000" w:rsidRPr="00000000" w14:paraId="00000A0A">
      <w:pPr>
        <w:spacing w:line="480" w:lineRule="auto"/>
        <w:jc w:val="both"/>
        <w:rPr>
          <w:sz w:val="22"/>
          <w:szCs w:val="22"/>
        </w:rPr>
      </w:pPr>
      <w:r w:rsidDel="00000000" w:rsidR="00000000" w:rsidRPr="00000000">
        <w:rPr>
          <w:rtl w:val="0"/>
        </w:rPr>
      </w:r>
    </w:p>
    <w:p w:rsidR="00000000" w:rsidDel="00000000" w:rsidP="00000000" w:rsidRDefault="00000000" w:rsidRPr="00000000" w14:paraId="00000A0B">
      <w:pPr>
        <w:pStyle w:val="Heading3"/>
        <w:spacing w:line="480" w:lineRule="auto"/>
        <w:rPr/>
      </w:pPr>
      <w:bookmarkStart w:colFirst="0" w:colLast="0" w:name="_heading=h.rjefff" w:id="116"/>
      <w:bookmarkEnd w:id="116"/>
      <w:r w:rsidDel="00000000" w:rsidR="00000000" w:rsidRPr="00000000">
        <w:rPr>
          <w:rtl w:val="0"/>
        </w:rPr>
        <w:t xml:space="preserve">Limited Accessibility of Secondary Care</w:t>
      </w:r>
    </w:p>
    <w:p w:rsidR="00000000" w:rsidDel="00000000" w:rsidP="00000000" w:rsidRDefault="00000000" w:rsidRPr="00000000" w14:paraId="00000A0C">
      <w:pPr>
        <w:spacing w:line="480" w:lineRule="auto"/>
        <w:jc w:val="both"/>
        <w:rPr>
          <w:sz w:val="22"/>
          <w:szCs w:val="22"/>
        </w:rPr>
      </w:pPr>
      <w:r w:rsidDel="00000000" w:rsidR="00000000" w:rsidRPr="00000000">
        <w:rPr>
          <w:sz w:val="22"/>
          <w:szCs w:val="22"/>
          <w:rtl w:val="0"/>
        </w:rPr>
        <w:t xml:space="preserve">Participants noted the perceived inaccessibility of appropriate alternative treatments and was identified as a key barrier to their recovery. This was either due to the lack of appropriate services, or the waiting times they may experience. The factors contributing to this perceived limited accessibility will be discussed, in particular the reduction in funding for the National Health Service and the Department for Health and Social Care, and the decommissioning of specific services. It will be shown that this is associated with the overprescribing and inappropriate prescribing of medicines and, as a result, the formation of a dependency. The inaccessibility of secondary care and the alternative treatments will be discussed in this section. </w:t>
      </w:r>
    </w:p>
    <w:p w:rsidR="00000000" w:rsidDel="00000000" w:rsidP="00000000" w:rsidRDefault="00000000" w:rsidRPr="00000000" w14:paraId="00000A0D">
      <w:pPr>
        <w:spacing w:line="480" w:lineRule="auto"/>
        <w:jc w:val="both"/>
        <w:rPr>
          <w:sz w:val="22"/>
          <w:szCs w:val="22"/>
        </w:rPr>
      </w:pPr>
      <w:r w:rsidDel="00000000" w:rsidR="00000000" w:rsidRPr="00000000">
        <w:rPr>
          <w:rtl w:val="0"/>
        </w:rPr>
      </w:r>
    </w:p>
    <w:p w:rsidR="00000000" w:rsidDel="00000000" w:rsidP="00000000" w:rsidRDefault="00000000" w:rsidRPr="00000000" w14:paraId="00000A0E">
      <w:pPr>
        <w:pStyle w:val="Heading3"/>
        <w:spacing w:line="480" w:lineRule="auto"/>
        <w:rPr/>
      </w:pPr>
      <w:bookmarkStart w:colFirst="0" w:colLast="0" w:name="_heading=h.3bj1y38" w:id="117"/>
      <w:bookmarkEnd w:id="117"/>
      <w:r w:rsidDel="00000000" w:rsidR="00000000" w:rsidRPr="00000000">
        <w:rPr>
          <w:rtl w:val="0"/>
        </w:rPr>
        <w:t xml:space="preserve">Lay Knowledge and Peer Support</w:t>
      </w:r>
    </w:p>
    <w:p w:rsidR="00000000" w:rsidDel="00000000" w:rsidP="00000000" w:rsidRDefault="00000000" w:rsidRPr="00000000" w14:paraId="00000A0F">
      <w:pPr>
        <w:spacing w:line="480" w:lineRule="auto"/>
        <w:jc w:val="both"/>
        <w:rPr>
          <w:sz w:val="22"/>
          <w:szCs w:val="22"/>
        </w:rPr>
      </w:pPr>
      <w:r w:rsidDel="00000000" w:rsidR="00000000" w:rsidRPr="00000000">
        <w:rPr>
          <w:sz w:val="22"/>
          <w:szCs w:val="22"/>
          <w:rtl w:val="0"/>
        </w:rPr>
        <w:t xml:space="preserve">Some participants describe a “</w:t>
      </w:r>
      <w:r w:rsidDel="00000000" w:rsidR="00000000" w:rsidRPr="00000000">
        <w:rPr>
          <w:i w:val="1"/>
          <w:sz w:val="22"/>
          <w:szCs w:val="22"/>
          <w:rtl w:val="0"/>
        </w:rPr>
        <w:t xml:space="preserve">trial and error</w:t>
      </w:r>
      <w:r w:rsidDel="00000000" w:rsidR="00000000" w:rsidRPr="00000000">
        <w:rPr>
          <w:sz w:val="22"/>
          <w:szCs w:val="22"/>
          <w:rtl w:val="0"/>
        </w:rPr>
        <w:t xml:space="preserve">” approach to using medicines, particularly if they report an extensive treatment history. These previous experiences of healthcare services, medicines and alternative treatments inform their treatment preferences, and contribute to the expansion of “</w:t>
      </w:r>
      <w:r w:rsidDel="00000000" w:rsidR="00000000" w:rsidRPr="00000000">
        <w:rPr>
          <w:i w:val="1"/>
          <w:sz w:val="22"/>
          <w:szCs w:val="22"/>
          <w:rtl w:val="0"/>
        </w:rPr>
        <w:t xml:space="preserve">lay knowledge</w:t>
      </w:r>
      <w:r w:rsidDel="00000000" w:rsidR="00000000" w:rsidRPr="00000000">
        <w:rPr>
          <w:sz w:val="22"/>
          <w:szCs w:val="22"/>
          <w:rtl w:val="0"/>
        </w:rPr>
        <w:t xml:space="preserve">”. Some participants describe engaging in peer support and online health communities either as a complementary aspect of their healthcare, or a stand-alone source of health information. This section will discuss how this type of support can offer patients who experience complex health conditions support, improve patient engagement and mitigate the impact of perceived unhelpful medical advice. It will assess how the formalisation of peer support can both erode medical authenticity, yet alleviate the pressures faced by medical professionals. </w:t>
      </w:r>
    </w:p>
    <w:p w:rsidR="00000000" w:rsidDel="00000000" w:rsidP="00000000" w:rsidRDefault="00000000" w:rsidRPr="00000000" w14:paraId="00000A10">
      <w:pPr>
        <w:spacing w:line="480" w:lineRule="auto"/>
        <w:jc w:val="both"/>
        <w:rPr>
          <w:sz w:val="22"/>
          <w:szCs w:val="22"/>
        </w:rPr>
      </w:pPr>
      <w:r w:rsidDel="00000000" w:rsidR="00000000" w:rsidRPr="00000000">
        <w:rPr>
          <w:rtl w:val="0"/>
        </w:rPr>
      </w:r>
    </w:p>
    <w:p w:rsidR="00000000" w:rsidDel="00000000" w:rsidP="00000000" w:rsidRDefault="00000000" w:rsidRPr="00000000" w14:paraId="00000A11">
      <w:pPr>
        <w:spacing w:line="480" w:lineRule="auto"/>
        <w:jc w:val="both"/>
        <w:rPr>
          <w:sz w:val="22"/>
          <w:szCs w:val="22"/>
        </w:rPr>
      </w:pPr>
      <w:r w:rsidDel="00000000" w:rsidR="00000000" w:rsidRPr="00000000">
        <w:rPr>
          <w:sz w:val="22"/>
          <w:szCs w:val="22"/>
          <w:rtl w:val="0"/>
        </w:rPr>
        <w:t xml:space="preserve">These will now be discussed in turn. </w:t>
      </w:r>
    </w:p>
    <w:p w:rsidR="00000000" w:rsidDel="00000000" w:rsidP="00000000" w:rsidRDefault="00000000" w:rsidRPr="00000000" w14:paraId="00000A12">
      <w:pPr>
        <w:spacing w:line="480" w:lineRule="auto"/>
        <w:jc w:val="both"/>
        <w:rPr>
          <w:sz w:val="22"/>
          <w:szCs w:val="22"/>
        </w:rPr>
      </w:pPr>
      <w:r w:rsidDel="00000000" w:rsidR="00000000" w:rsidRPr="00000000">
        <w:rPr>
          <w:rtl w:val="0"/>
        </w:rPr>
      </w:r>
    </w:p>
    <w:p w:rsidR="00000000" w:rsidDel="00000000" w:rsidP="00000000" w:rsidRDefault="00000000" w:rsidRPr="00000000" w14:paraId="00000A13">
      <w:pPr>
        <w:pStyle w:val="Heading2"/>
        <w:numPr>
          <w:ilvl w:val="1"/>
          <w:numId w:val="19"/>
        </w:numPr>
        <w:spacing w:line="480" w:lineRule="auto"/>
        <w:ind w:left="720" w:hanging="720"/>
        <w:rPr/>
      </w:pPr>
      <w:bookmarkStart w:colFirst="0" w:colLast="0" w:name="_heading=h.1qoc8b1" w:id="118"/>
      <w:bookmarkEnd w:id="118"/>
      <w:r w:rsidDel="00000000" w:rsidR="00000000" w:rsidRPr="00000000">
        <w:rPr>
          <w:rtl w:val="0"/>
        </w:rPr>
        <w:t xml:space="preserve">Dominance of Antidepressants within the Data</w:t>
      </w:r>
    </w:p>
    <w:p w:rsidR="00000000" w:rsidDel="00000000" w:rsidP="00000000" w:rsidRDefault="00000000" w:rsidRPr="00000000" w14:paraId="00000A14">
      <w:pPr>
        <w:spacing w:line="480" w:lineRule="auto"/>
        <w:jc w:val="both"/>
        <w:rPr>
          <w:sz w:val="22"/>
          <w:szCs w:val="22"/>
        </w:rPr>
      </w:pPr>
      <w:r w:rsidDel="00000000" w:rsidR="00000000" w:rsidRPr="00000000">
        <w:rPr>
          <w:sz w:val="22"/>
          <w:szCs w:val="22"/>
          <w:rtl w:val="0"/>
        </w:rPr>
        <w:t xml:space="preserve">Within the data, there was a dominance of antidepressant medicines. Of the thirteen participants, eleven used these medicines, and four of these participant report using antidepressant medicines in conjunction with other medicines explored in this research. This was reflected in the literature review conducted as part of this thesis, where 20 out of 69 studies included explored this therapeutic group. Antidepressants are the most prescribed medicine by primary care services, such as General Practitioners (Johnson et al 2017 p.1, OpenPrescribing.net 2024, Office for National Statistics 2022). Several key issues, although not an exhaustive list, could explain this dominance. </w:t>
      </w:r>
    </w:p>
    <w:p w:rsidR="00000000" w:rsidDel="00000000" w:rsidP="00000000" w:rsidRDefault="00000000" w:rsidRPr="00000000" w14:paraId="00000A15">
      <w:pPr>
        <w:spacing w:line="480" w:lineRule="auto"/>
        <w:jc w:val="both"/>
        <w:rPr>
          <w:sz w:val="22"/>
          <w:szCs w:val="22"/>
        </w:rPr>
      </w:pPr>
      <w:r w:rsidDel="00000000" w:rsidR="00000000" w:rsidRPr="00000000">
        <w:rPr>
          <w:rtl w:val="0"/>
        </w:rPr>
      </w:r>
    </w:p>
    <w:p w:rsidR="00000000" w:rsidDel="00000000" w:rsidP="00000000" w:rsidRDefault="00000000" w:rsidRPr="00000000" w14:paraId="00000A16">
      <w:pPr>
        <w:spacing w:line="480" w:lineRule="auto"/>
        <w:jc w:val="both"/>
        <w:rPr>
          <w:sz w:val="22"/>
          <w:szCs w:val="22"/>
        </w:rPr>
      </w:pPr>
      <w:r w:rsidDel="00000000" w:rsidR="00000000" w:rsidRPr="00000000">
        <w:rPr>
          <w:sz w:val="22"/>
          <w:szCs w:val="22"/>
          <w:rtl w:val="0"/>
        </w:rPr>
        <w:t xml:space="preserve">This section will explore the prescribing trends of this group of medicines, compared to the other medicines studied, and how this will naturally produce a greater proportion of data. It will then explore the increased mental health awareness has improved levels of help-seeking, before discussing how popular scientific literature has gone some way in reducing the stigma associated with depression, and the medicines used to treat it. Although it is important to understand the perspectives and experiences of those using antidepressants, conclusions regarding these concepts cannot be taken as representative of all healthcare interactions.</w:t>
      </w:r>
    </w:p>
    <w:p w:rsidR="00000000" w:rsidDel="00000000" w:rsidP="00000000" w:rsidRDefault="00000000" w:rsidRPr="00000000" w14:paraId="00000A17">
      <w:pPr>
        <w:spacing w:line="480" w:lineRule="auto"/>
        <w:jc w:val="both"/>
        <w:rPr>
          <w:sz w:val="22"/>
          <w:szCs w:val="22"/>
        </w:rPr>
      </w:pPr>
      <w:r w:rsidDel="00000000" w:rsidR="00000000" w:rsidRPr="00000000">
        <w:rPr>
          <w:rtl w:val="0"/>
        </w:rPr>
      </w:r>
    </w:p>
    <w:p w:rsidR="00000000" w:rsidDel="00000000" w:rsidP="00000000" w:rsidRDefault="00000000" w:rsidRPr="00000000" w14:paraId="00000A18">
      <w:pPr>
        <w:pStyle w:val="Heading3"/>
        <w:spacing w:line="480" w:lineRule="auto"/>
        <w:rPr/>
      </w:pPr>
      <w:bookmarkStart w:colFirst="0" w:colLast="0" w:name="_heading=h.4anzqyu" w:id="119"/>
      <w:bookmarkEnd w:id="119"/>
      <w:r w:rsidDel="00000000" w:rsidR="00000000" w:rsidRPr="00000000">
        <w:rPr>
          <w:rtl w:val="0"/>
        </w:rPr>
        <w:t xml:space="preserve">Disease Prevalence</w:t>
      </w:r>
    </w:p>
    <w:p w:rsidR="00000000" w:rsidDel="00000000" w:rsidP="00000000" w:rsidRDefault="00000000" w:rsidRPr="00000000" w14:paraId="00000A19">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-102209</wp:posOffset>
                </wp:positionH>
                <wp:positionV relativeFrom="margin">
                  <wp:posOffset>5682298</wp:posOffset>
                </wp:positionV>
                <wp:extent cx="3254375" cy="1971675"/>
                <wp:effectExtent b="0" l="0" r="0" t="0"/>
                <wp:wrapSquare wrapText="bothSides" distB="0" distT="0" distL="114300" distR="114300"/>
                <wp:docPr id="2142794187" name=""/>
                <a:graphic>
                  <a:graphicData uri="http://schemas.microsoft.com/office/word/2010/wordprocessingShape">
                    <wps:wsp>
                      <wps:cNvSpPr/>
                      <wps:cNvPr id="28" name="Shape 28"/>
                      <wps:spPr>
                        <a:xfrm>
                          <a:off x="3723575" y="2798925"/>
                          <a:ext cx="3244850" cy="1962150"/>
                        </a:xfrm>
                        <a:prstGeom prst="rect">
                          <a:avLst/>
                        </a:prstGeom>
                        <a:noFill/>
                        <a:ln>
                          <a:noFill/>
                        </a:ln>
                      </wps:spPr>
                      <wps:txbx>
                        <w:txbxContent>
                          <w:p w:rsidR="00000000" w:rsidDel="00000000" w:rsidP="00000000" w:rsidRDefault="00000000" w:rsidRPr="00000000">
                            <w:pPr>
                              <w:spacing w:after="20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Table : A table outlining the number of prescriptions for each therapeutic group, issued in July 2024. Data taken from OpenPrescribing.net</w:t>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-102209</wp:posOffset>
                </wp:positionH>
                <wp:positionV relativeFrom="margin">
                  <wp:posOffset>5682298</wp:posOffset>
                </wp:positionV>
                <wp:extent cx="3254375" cy="1971675"/>
                <wp:effectExtent b="0" l="0" r="0" t="0"/>
                <wp:wrapSquare wrapText="bothSides" distB="0" distT="0" distL="114300" distR="114300"/>
                <wp:docPr id="2142794187" name="image9.png"/>
                <a:graphic>
                  <a:graphicData uri="http://schemas.openxmlformats.org/drawingml/2006/picture">
                    <pic:pic>
                      <pic:nvPicPr>
                        <pic:cNvPr id="0" name="image9.png"/>
                        <pic:cNvPicPr preferRelativeResize="0"/>
                      </pic:nvPicPr>
                      <pic:blipFill>
                        <a:blip r:embed="rId8"/>
                        <a:srcRect/>
                        <a:stretch>
                          <a:fillRect/>
                        </a:stretch>
                      </pic:blipFill>
                      <pic:spPr>
                        <a:xfrm>
                          <a:off x="0" y="0"/>
                          <a:ext cx="3254375" cy="1971675"/>
                        </a:xfrm>
                        <a:prstGeom prst="rect"/>
                        <a:ln/>
                      </pic:spPr>
                    </pic:pic>
                  </a:graphicData>
                </a:graphic>
              </wp:anchor>
            </w:drawing>
          </mc:Fallback>
        </mc:AlternateContent>
      </w:r>
      <w:r w:rsidDel="00000000" w:rsidR="00000000" w:rsidRPr="00000000">
        <w:rPr>
          <w:sz w:val="22"/>
          <w:szCs w:val="22"/>
          <w:rtl w:val="0"/>
        </w:rPr>
        <w:t xml:space="preserve">Naturally, when discussing the dominance of antidepressants within the data, it is important to acknowledge the prescribing trends associated with these medicines. Antidepressant prescribing has increased annually (Johnson et al 2017, p.1). In July 2024, antidepressant prescribing across all general practices in England and Wales totalled to over seven million items (OpenPrescribing.net, 2024). This is significantly greater than the other four therapeutic groups combined, as shown in Table Ten. There have been several attempts to identify the cause of such increases. Within this section, the increase in disease prevalence and attitudes towards antidepressant medicines will be discussed in turn.</w:t>
      </w:r>
    </w:p>
    <w:p w:rsidR="00000000" w:rsidDel="00000000" w:rsidP="00000000" w:rsidRDefault="00000000" w:rsidRPr="00000000" w14:paraId="00000A1A">
      <w:pPr>
        <w:spacing w:line="480" w:lineRule="auto"/>
        <w:jc w:val="both"/>
        <w:rPr>
          <w:sz w:val="22"/>
          <w:szCs w:val="22"/>
        </w:rPr>
      </w:pPr>
      <w:r w:rsidDel="00000000" w:rsidR="00000000" w:rsidRPr="00000000">
        <w:rPr>
          <w:sz w:val="22"/>
          <w:szCs w:val="22"/>
          <w:rtl w:val="0"/>
        </w:rPr>
        <w:t xml:space="preserve">Diagnosing depression can be complex (Johnson et al 2017, p.12). Those indicating a score of ten or more on the Patient Health Questionnaire (PHQ-8), however, are considered to have “</w:t>
      </w:r>
      <w:r w:rsidDel="00000000" w:rsidR="00000000" w:rsidRPr="00000000">
        <w:rPr>
          <w:i w:val="1"/>
          <w:sz w:val="22"/>
          <w:szCs w:val="22"/>
          <w:rtl w:val="0"/>
        </w:rPr>
        <w:t xml:space="preserve">moderate</w:t>
      </w:r>
      <w:r w:rsidDel="00000000" w:rsidR="00000000" w:rsidRPr="00000000">
        <w:rPr>
          <w:sz w:val="22"/>
          <w:szCs w:val="22"/>
          <w:rtl w:val="0"/>
        </w:rPr>
        <w:t xml:space="preserve">” to “</w:t>
      </w:r>
      <w:r w:rsidDel="00000000" w:rsidR="00000000" w:rsidRPr="00000000">
        <w:rPr>
          <w:i w:val="1"/>
          <w:sz w:val="22"/>
          <w:szCs w:val="22"/>
          <w:rtl w:val="0"/>
        </w:rPr>
        <w:t xml:space="preserve">severe</w:t>
      </w:r>
      <w:r w:rsidDel="00000000" w:rsidR="00000000" w:rsidRPr="00000000">
        <w:rPr>
          <w:sz w:val="22"/>
          <w:szCs w:val="22"/>
          <w:rtl w:val="0"/>
        </w:rPr>
        <w:t xml:space="preserve">” depression (Office for National Statistics, 2022). Since disease prevalence is not within the scope of this study, it will be discussed in brief. It is, however, important to discuss the increase in depression within the United Kingdom to contextualise the increase in prescribing rates for antidepressants, and therefore their dominance within the data and wider literature. </w:t>
      </w:r>
    </w:p>
    <w:p w:rsidR="00000000" w:rsidDel="00000000" w:rsidP="00000000" w:rsidRDefault="00000000" w:rsidRPr="00000000" w14:paraId="00000A1B">
      <w:pPr>
        <w:spacing w:line="480" w:lineRule="auto"/>
        <w:jc w:val="both"/>
        <w:rPr>
          <w:sz w:val="22"/>
          <w:szCs w:val="22"/>
        </w:rPr>
      </w:pPr>
      <w:r w:rsidDel="00000000" w:rsidR="00000000" w:rsidRPr="00000000">
        <w:rPr>
          <w:rtl w:val="0"/>
        </w:rPr>
      </w:r>
    </w:p>
    <w:p w:rsidR="00000000" w:rsidDel="00000000" w:rsidP="00000000" w:rsidRDefault="00000000" w:rsidRPr="00000000" w14:paraId="00000A1C">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2479358</wp:posOffset>
                </wp:positionH>
                <wp:positionV relativeFrom="margin">
                  <wp:posOffset>1638960</wp:posOffset>
                </wp:positionV>
                <wp:extent cx="3385185" cy="3065780"/>
                <wp:effectExtent b="0" l="0" r="0" t="0"/>
                <wp:wrapSquare wrapText="bothSides" distB="0" distT="0" distL="114300" distR="114300"/>
                <wp:docPr id="2142794191" name=""/>
                <a:graphic>
                  <a:graphicData uri="http://schemas.microsoft.com/office/word/2010/wordprocessingShape">
                    <wps:wsp>
                      <wps:cNvSpPr/>
                      <wps:cNvPr id="32" name="Shape 32"/>
                      <wps:spPr>
                        <a:xfrm>
                          <a:off x="3658170" y="2251873"/>
                          <a:ext cx="3375660" cy="3056255"/>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Percentage of adults with moderate to severe depressive symptoms, Great Britain, July 2019 to October 2022 (Taken from the Office for National Statistics, 2022).</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2479358</wp:posOffset>
                </wp:positionH>
                <wp:positionV relativeFrom="margin">
                  <wp:posOffset>1638960</wp:posOffset>
                </wp:positionV>
                <wp:extent cx="3385185" cy="3065780"/>
                <wp:effectExtent b="0" l="0" r="0" t="0"/>
                <wp:wrapSquare wrapText="bothSides" distB="0" distT="0" distL="114300" distR="114300"/>
                <wp:docPr id="2142794191"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3385185" cy="3065780"/>
                        </a:xfrm>
                        <a:prstGeom prst="rect"/>
                        <a:ln/>
                      </pic:spPr>
                    </pic:pic>
                  </a:graphicData>
                </a:graphic>
              </wp:anchor>
            </w:drawing>
          </mc:Fallback>
        </mc:AlternateContent>
      </w:r>
      <w:r w:rsidDel="00000000" w:rsidR="00000000" w:rsidRPr="00000000">
        <w:rPr>
          <w:sz w:val="22"/>
          <w:szCs w:val="22"/>
          <w:rtl w:val="0"/>
        </w:rPr>
        <w:t xml:space="preserve">De la Torre et al (2021) measured the prevalence of depressive symptoms within the United Kingdom, utilising a representative sample of 17,152 adults. Using the PHQ-8, de la Torre and colleagues suggest the prevalence of depression ranged from “</w:t>
      </w:r>
      <w:r w:rsidDel="00000000" w:rsidR="00000000" w:rsidRPr="00000000">
        <w:rPr>
          <w:i w:val="1"/>
          <w:sz w:val="22"/>
          <w:szCs w:val="22"/>
          <w:rtl w:val="0"/>
        </w:rPr>
        <w:t xml:space="preserve">mild</w:t>
      </w:r>
      <w:r w:rsidDel="00000000" w:rsidR="00000000" w:rsidRPr="00000000">
        <w:rPr>
          <w:sz w:val="22"/>
          <w:szCs w:val="22"/>
          <w:rtl w:val="0"/>
        </w:rPr>
        <w:t xml:space="preserve">” (11.3%) to “</w:t>
      </w:r>
      <w:r w:rsidDel="00000000" w:rsidR="00000000" w:rsidRPr="00000000">
        <w:rPr>
          <w:i w:val="1"/>
          <w:sz w:val="22"/>
          <w:szCs w:val="22"/>
          <w:rtl w:val="0"/>
        </w:rPr>
        <w:t xml:space="preserve">severe</w:t>
      </w:r>
      <w:r w:rsidDel="00000000" w:rsidR="00000000" w:rsidRPr="00000000">
        <w:rPr>
          <w:sz w:val="22"/>
          <w:szCs w:val="22"/>
          <w:rtl w:val="0"/>
        </w:rPr>
        <w:t xml:space="preserve">” 3.3% (de la Torre et al 2021, p.164). This, however, may be inaccurate. As shown in Figure Eight, 16% of adults in the United Kingdom have experienced moderate to severe depressive symptoms (Office for National Statistics, 2022). This was particularly prevalent in those who described themselves as “</w:t>
      </w:r>
      <w:r w:rsidDel="00000000" w:rsidR="00000000" w:rsidRPr="00000000">
        <w:rPr>
          <w:i w:val="1"/>
          <w:sz w:val="22"/>
          <w:szCs w:val="22"/>
          <w:rtl w:val="0"/>
        </w:rPr>
        <w:t xml:space="preserve">economically inactive</w:t>
      </w:r>
      <w:r w:rsidDel="00000000" w:rsidR="00000000" w:rsidRPr="00000000">
        <w:rPr>
          <w:sz w:val="22"/>
          <w:szCs w:val="22"/>
          <w:rtl w:val="0"/>
        </w:rPr>
        <w:t xml:space="preserve">” (59%), and “</w:t>
      </w:r>
      <w:r w:rsidDel="00000000" w:rsidR="00000000" w:rsidRPr="00000000">
        <w:rPr>
          <w:i w:val="1"/>
          <w:sz w:val="22"/>
          <w:szCs w:val="22"/>
          <w:rtl w:val="0"/>
        </w:rPr>
        <w:t xml:space="preserve">disabled adults</w:t>
      </w:r>
      <w:r w:rsidDel="00000000" w:rsidR="00000000" w:rsidRPr="00000000">
        <w:rPr>
          <w:sz w:val="22"/>
          <w:szCs w:val="22"/>
          <w:rtl w:val="0"/>
        </w:rPr>
        <w:t xml:space="preserve">” (35%) (Office for National Statistics, 2022). It is important to note that this data is self-reported, therefore may be higher since some respondents to the Office for National Statistics survey may not have sought support. Although not necessarily causational, there were several socioeconomic factors associated with this increase in depressive symptoms (Office for National Statistics, 2022). </w:t>
      </w:r>
    </w:p>
    <w:p w:rsidR="00000000" w:rsidDel="00000000" w:rsidP="00000000" w:rsidRDefault="00000000" w:rsidRPr="00000000" w14:paraId="00000A1D">
      <w:pPr>
        <w:spacing w:line="480" w:lineRule="auto"/>
        <w:jc w:val="both"/>
        <w:rPr>
          <w:sz w:val="22"/>
          <w:szCs w:val="22"/>
        </w:rPr>
      </w:pPr>
      <w:r w:rsidDel="00000000" w:rsidR="00000000" w:rsidRPr="00000000">
        <w:rPr>
          <w:rtl w:val="0"/>
        </w:rPr>
      </w:r>
    </w:p>
    <w:p w:rsidR="00000000" w:rsidDel="00000000" w:rsidP="00000000" w:rsidRDefault="00000000" w:rsidRPr="00000000" w14:paraId="00000A1E">
      <w:pPr>
        <w:spacing w:line="480" w:lineRule="auto"/>
        <w:jc w:val="both"/>
        <w:rPr>
          <w:sz w:val="22"/>
          <w:szCs w:val="22"/>
        </w:rPr>
      </w:pPr>
      <w:r w:rsidDel="00000000" w:rsidR="00000000" w:rsidRPr="00000000">
        <w:rPr>
          <w:sz w:val="22"/>
          <w:szCs w:val="22"/>
          <w:rtl w:val="0"/>
        </w:rPr>
        <w:t xml:space="preserve">According to this report, 92% of those who experience some form of depression report being “</w:t>
      </w:r>
      <w:r w:rsidDel="00000000" w:rsidR="00000000" w:rsidRPr="00000000">
        <w:rPr>
          <w:i w:val="1"/>
          <w:sz w:val="22"/>
          <w:szCs w:val="22"/>
          <w:rtl w:val="0"/>
        </w:rPr>
        <w:t xml:space="preserve">very</w:t>
      </w:r>
      <w:r w:rsidDel="00000000" w:rsidR="00000000" w:rsidRPr="00000000">
        <w:rPr>
          <w:sz w:val="22"/>
          <w:szCs w:val="22"/>
          <w:rtl w:val="0"/>
        </w:rPr>
        <w:t xml:space="preserve">” or “</w:t>
      </w:r>
      <w:r w:rsidDel="00000000" w:rsidR="00000000" w:rsidRPr="00000000">
        <w:rPr>
          <w:i w:val="1"/>
          <w:sz w:val="22"/>
          <w:szCs w:val="22"/>
          <w:rtl w:val="0"/>
        </w:rPr>
        <w:t xml:space="preserve">somewhat</w:t>
      </w:r>
      <w:r w:rsidDel="00000000" w:rsidR="00000000" w:rsidRPr="00000000">
        <w:rPr>
          <w:sz w:val="22"/>
          <w:szCs w:val="22"/>
          <w:rtl w:val="0"/>
        </w:rPr>
        <w:t xml:space="preserve">” worried about the Cost of Living crisis, compared to 75% of those who do not report depressive symptoms (Office for National Statistics, 2022). Further issues identified include housing (62%), employment (46%) and education (37%), alongside environmental issues and international relations. Furthermore, there is an association between deprivation and antidepressant prescribing. Research has found that over a twelve-year period, there are “</w:t>
      </w:r>
      <w:r w:rsidDel="00000000" w:rsidR="00000000" w:rsidRPr="00000000">
        <w:rPr>
          <w:i w:val="1"/>
          <w:sz w:val="22"/>
          <w:szCs w:val="22"/>
          <w:rtl w:val="0"/>
        </w:rPr>
        <w:t xml:space="preserve">hotspots</w:t>
      </w:r>
      <w:r w:rsidDel="00000000" w:rsidR="00000000" w:rsidRPr="00000000">
        <w:rPr>
          <w:sz w:val="22"/>
          <w:szCs w:val="22"/>
          <w:rtl w:val="0"/>
        </w:rPr>
        <w:t xml:space="preserve">”, where communities have experienced a “very low standard of living” and “</w:t>
      </w:r>
      <w:r w:rsidDel="00000000" w:rsidR="00000000" w:rsidRPr="00000000">
        <w:rPr>
          <w:i w:val="1"/>
          <w:sz w:val="22"/>
          <w:szCs w:val="22"/>
          <w:rtl w:val="0"/>
        </w:rPr>
        <w:t xml:space="preserve">high levels of depression</w:t>
      </w:r>
      <w:r w:rsidDel="00000000" w:rsidR="00000000" w:rsidRPr="00000000">
        <w:rPr>
          <w:sz w:val="22"/>
          <w:szCs w:val="22"/>
          <w:rtl w:val="0"/>
        </w:rPr>
        <w:t xml:space="preserve">” (Tsimpida et al 2024, p.4). Other factors, such as the attitudes towards antidepressant medicines can also go some way in explaining the dominance of antidepressants within the data. This is not in the context of their increased use nor prevalence, but the perception of these medicines. Other considerations include the perceived efficacy of medicines and their accessibility. These will now be discussed. </w:t>
      </w:r>
    </w:p>
    <w:p w:rsidR="00000000" w:rsidDel="00000000" w:rsidP="00000000" w:rsidRDefault="00000000" w:rsidRPr="00000000" w14:paraId="00000A1F">
      <w:pPr>
        <w:spacing w:line="480" w:lineRule="auto"/>
        <w:jc w:val="both"/>
        <w:rPr>
          <w:sz w:val="22"/>
          <w:szCs w:val="22"/>
        </w:rPr>
      </w:pPr>
      <w:r w:rsidDel="00000000" w:rsidR="00000000" w:rsidRPr="00000000">
        <w:rPr>
          <w:rtl w:val="0"/>
        </w:rPr>
      </w:r>
    </w:p>
    <w:p w:rsidR="00000000" w:rsidDel="00000000" w:rsidP="00000000" w:rsidRDefault="00000000" w:rsidRPr="00000000" w14:paraId="00000A20">
      <w:pPr>
        <w:pStyle w:val="Heading3"/>
        <w:spacing w:line="480" w:lineRule="auto"/>
        <w:rPr/>
      </w:pPr>
      <w:bookmarkStart w:colFirst="0" w:colLast="0" w:name="_heading=h.2pta16n" w:id="120"/>
      <w:bookmarkEnd w:id="120"/>
      <w:r w:rsidDel="00000000" w:rsidR="00000000" w:rsidRPr="00000000">
        <w:rPr>
          <w:rtl w:val="0"/>
        </w:rPr>
        <w:t xml:space="preserve">Medication Attitudes and Help-Seeking Behaviour</w:t>
      </w:r>
    </w:p>
    <w:p w:rsidR="00000000" w:rsidDel="00000000" w:rsidP="00000000" w:rsidRDefault="00000000" w:rsidRPr="00000000" w14:paraId="00000A21">
      <w:pPr>
        <w:spacing w:line="480" w:lineRule="auto"/>
        <w:jc w:val="both"/>
        <w:rPr>
          <w:sz w:val="22"/>
          <w:szCs w:val="22"/>
        </w:rPr>
      </w:pPr>
      <w:r w:rsidDel="00000000" w:rsidR="00000000" w:rsidRPr="00000000">
        <w:rPr>
          <w:sz w:val="22"/>
          <w:szCs w:val="22"/>
          <w:rtl w:val="0"/>
        </w:rPr>
        <w:t xml:space="preserve">Antidepressants are an accessible way to manage one’s depression. These medicines are the only medication reviewed in this thesis that is regulated by the Medicines Act (1968). This means they often have lesser regulation and restrictions in their prescribing compared to the other four medicines, which are regulated by the Misuse of Drugs Act (1971). This legislation, and the knowledge that other medicines discussed in this thesis are widely understood to have an association with dependence, can facilitate responsible appropriate prescribing (Anderson et al 2014, Brett 2015, Medicines and Healthcare products Regulatory Agency 2020, Schifano 2019, Bonnet and Scherbaum 2017). </w:t>
      </w:r>
    </w:p>
    <w:p w:rsidR="00000000" w:rsidDel="00000000" w:rsidP="00000000" w:rsidRDefault="00000000" w:rsidRPr="00000000" w14:paraId="00000A22">
      <w:pPr>
        <w:spacing w:line="480" w:lineRule="auto"/>
        <w:jc w:val="both"/>
        <w:rPr>
          <w:sz w:val="22"/>
          <w:szCs w:val="22"/>
        </w:rPr>
      </w:pPr>
      <w:r w:rsidDel="00000000" w:rsidR="00000000" w:rsidRPr="00000000">
        <w:rPr>
          <w:rtl w:val="0"/>
        </w:rPr>
      </w:r>
    </w:p>
    <w:p w:rsidR="00000000" w:rsidDel="00000000" w:rsidP="00000000" w:rsidRDefault="00000000" w:rsidRPr="00000000" w14:paraId="00000A23">
      <w:pPr>
        <w:spacing w:line="480" w:lineRule="auto"/>
        <w:jc w:val="both"/>
        <w:rPr>
          <w:sz w:val="22"/>
          <w:szCs w:val="22"/>
        </w:rPr>
      </w:pPr>
      <w:r w:rsidDel="00000000" w:rsidR="00000000" w:rsidRPr="00000000">
        <w:rPr>
          <w:sz w:val="22"/>
          <w:szCs w:val="22"/>
          <w:rtl w:val="0"/>
        </w:rPr>
        <w:t xml:space="preserve">Most antidepressants can be prescribed by General Practitioners, with all participants report having received a prescription for antidepressants from their GP. Although accessing a GP has been described as a challenge by some participants, they are generally more accessible than specialised care (Heinz et al 2021, p.10). Appointments can typically be arranged and can therefore access treatment at short notice (Heinz et al 2021, p.10). This accessibility has been shown to increase during the COVID-19 pandemic, where online booking systems for GP appointments and repeat prescribing became commonplace (Heinz et al 2021, p.10). </w:t>
      </w:r>
    </w:p>
    <w:p w:rsidR="00000000" w:rsidDel="00000000" w:rsidP="00000000" w:rsidRDefault="00000000" w:rsidRPr="00000000" w14:paraId="00000A24">
      <w:pPr>
        <w:spacing w:line="480" w:lineRule="auto"/>
        <w:jc w:val="both"/>
        <w:rPr>
          <w:sz w:val="22"/>
          <w:szCs w:val="22"/>
        </w:rPr>
      </w:pPr>
      <w:r w:rsidDel="00000000" w:rsidR="00000000" w:rsidRPr="00000000">
        <w:rPr>
          <w:rtl w:val="0"/>
        </w:rPr>
      </w:r>
    </w:p>
    <w:p w:rsidR="00000000" w:rsidDel="00000000" w:rsidP="00000000" w:rsidRDefault="00000000" w:rsidRPr="00000000" w14:paraId="00000A25">
      <w:pPr>
        <w:spacing w:line="480" w:lineRule="auto"/>
        <w:jc w:val="both"/>
        <w:rPr>
          <w:sz w:val="22"/>
          <w:szCs w:val="22"/>
        </w:rPr>
      </w:pPr>
      <w:r w:rsidDel="00000000" w:rsidR="00000000" w:rsidRPr="00000000">
        <w:rPr>
          <w:sz w:val="22"/>
          <w:szCs w:val="22"/>
          <w:rtl w:val="0"/>
        </w:rPr>
        <w:t xml:space="preserve">As discussed in </w:t>
      </w:r>
      <w:hyperlink w:anchor="_heading=h.2xcytpi">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33), the literature suggests that the Brain Disease Model of Addiction and subsequent biological theories of mental ill-health has gone some way in reducing stigma associated with these diagnoses, including depression (Lacasse and Leo 2005, Brown et al 2007, Scholz et al 2017 p.731, Heinz et al 2021 p.10, Elwy et al 2024 p.11). The increase in prescribing of antidepressant medicines could be described as a reflection of wider help-seeking behaviour, perhaps due to the reduction in the stigma associated with mental health and depression (Kvaale et al 2013, Phelan et al 2023, </w:t>
      </w:r>
      <w:r w:rsidDel="00000000" w:rsidR="00000000" w:rsidRPr="00000000">
        <w:rPr>
          <w:rFonts w:ascii="Aptos" w:cs="Aptos" w:eastAsia="Aptos" w:hAnsi="Aptos"/>
          <w:sz w:val="22"/>
          <w:szCs w:val="22"/>
          <w:rtl w:val="0"/>
        </w:rPr>
        <w:t xml:space="preserve">Ojio et al 2020 p.6</w:t>
      </w:r>
      <w:r w:rsidDel="00000000" w:rsidR="00000000" w:rsidRPr="00000000">
        <w:rPr>
          <w:sz w:val="22"/>
          <w:szCs w:val="22"/>
          <w:rtl w:val="0"/>
        </w:rPr>
        <w:t xml:space="preserve">). This reduction in stigma has been associated with the biomedical approach (</w:t>
      </w:r>
      <w:r w:rsidDel="00000000" w:rsidR="00000000" w:rsidRPr="00000000">
        <w:rPr>
          <w:rFonts w:ascii="Aptos" w:cs="Aptos" w:eastAsia="Aptos" w:hAnsi="Aptos"/>
          <w:sz w:val="22"/>
          <w:szCs w:val="22"/>
          <w:rtl w:val="0"/>
        </w:rPr>
        <w:t xml:space="preserve">Ojio et al 2020, p.6)</w:t>
      </w:r>
      <w:r w:rsidDel="00000000" w:rsidR="00000000" w:rsidRPr="00000000">
        <w:rPr>
          <w:sz w:val="22"/>
          <w:szCs w:val="22"/>
          <w:rtl w:val="0"/>
        </w:rPr>
        <w:t xml:space="preserve">, with some participants contextualising their mental health condition with a physical health issue, such as insulin treatment for diabetic patients. This comparison is the wider literature (see Schreiber and Hartrick 2002 p.96, Scholz et al 2017 p.735</w:t>
      </w:r>
      <w:r w:rsidDel="00000000" w:rsidR="00000000" w:rsidRPr="00000000">
        <w:rPr>
          <w:strike w:val="1"/>
          <w:sz w:val="22"/>
          <w:szCs w:val="22"/>
          <w:rtl w:val="0"/>
        </w:rPr>
        <w:t xml:space="preserve">).</w:t>
      </w:r>
      <w:r w:rsidDel="00000000" w:rsidR="00000000" w:rsidRPr="00000000">
        <w:rPr>
          <w:rtl w:val="0"/>
        </w:rPr>
      </w:r>
    </w:p>
    <w:p w:rsidR="00000000" w:rsidDel="00000000" w:rsidP="00000000" w:rsidRDefault="00000000" w:rsidRPr="00000000" w14:paraId="00000A26">
      <w:pPr>
        <w:spacing w:line="480" w:lineRule="auto"/>
        <w:jc w:val="both"/>
        <w:rPr>
          <w:sz w:val="22"/>
          <w:szCs w:val="22"/>
        </w:rPr>
      </w:pPr>
      <w:r w:rsidDel="00000000" w:rsidR="00000000" w:rsidRPr="00000000">
        <w:rPr>
          <w:rtl w:val="0"/>
        </w:rPr>
      </w:r>
    </w:p>
    <w:p w:rsidR="00000000" w:rsidDel="00000000" w:rsidP="00000000" w:rsidRDefault="00000000" w:rsidRPr="00000000" w14:paraId="00000A27">
      <w:pPr>
        <w:spacing w:line="480" w:lineRule="auto"/>
        <w:jc w:val="both"/>
        <w:rPr>
          <w:sz w:val="22"/>
          <w:szCs w:val="22"/>
        </w:rPr>
      </w:pPr>
      <w:r w:rsidDel="00000000" w:rsidR="00000000" w:rsidRPr="00000000">
        <w:rPr>
          <w:sz w:val="22"/>
          <w:szCs w:val="22"/>
          <w:rtl w:val="0"/>
        </w:rPr>
        <w:t xml:space="preserve">As reflected in </w:t>
      </w:r>
      <w:r w:rsidDel="00000000" w:rsidR="00000000" w:rsidRPr="00000000">
        <w:rPr>
          <w:i w:val="1"/>
          <w:sz w:val="22"/>
          <w:szCs w:val="22"/>
          <w:rtl w:val="0"/>
        </w:rPr>
        <w:t xml:space="preserve">Alice’s </w:t>
      </w:r>
      <w:r w:rsidDel="00000000" w:rsidR="00000000" w:rsidRPr="00000000">
        <w:rPr>
          <w:sz w:val="22"/>
          <w:szCs w:val="22"/>
          <w:rtl w:val="0"/>
        </w:rPr>
        <w:t xml:space="preserve">account (p. 137), the perception that antidepressant medicines “</w:t>
      </w:r>
      <w:r w:rsidDel="00000000" w:rsidR="00000000" w:rsidRPr="00000000">
        <w:rPr>
          <w:i w:val="1"/>
          <w:sz w:val="22"/>
          <w:szCs w:val="22"/>
          <w:rtl w:val="0"/>
        </w:rPr>
        <w:t xml:space="preserve">correct a chemical imbalance</w:t>
      </w:r>
      <w:r w:rsidDel="00000000" w:rsidR="00000000" w:rsidRPr="00000000">
        <w:rPr>
          <w:sz w:val="22"/>
          <w:szCs w:val="22"/>
          <w:rtl w:val="0"/>
        </w:rPr>
        <w:t xml:space="preserve">” in the brain indicates the common perception that depression is biomedical in origin. Participants who endorsed this theory described openness with their diagnosis. The perceived efficacy of antidepressants (see Read et al, 2020), highlighted both in the data and wider literature, has also encouraged some to seek support since there is a perception that depression in particular is a result of biological origin as opposed to personal responsibility. Cook and Wang (2011) found 96.26% of 3047 participants endorsed this theory, with this approach being supported in more contemporary literature (Moncrieff et al 2022, p.14). It has been proposed those who endorse this approach are more likely to seek support for their mental health (Brown et al 2007, Scholz et al 2017 p.731, Heinz et al 2021 p.10, Elwy et al 2024 p.11).  An in-depth exploration of the association between the biomedical approach and stigma will be presented in the following section, “</w:t>
      </w:r>
      <w:hyperlink w:anchor="_heading=h.14ykbeg">
        <w:r w:rsidDel="00000000" w:rsidR="00000000" w:rsidRPr="00000000">
          <w:rPr>
            <w:i w:val="1"/>
            <w:color w:val="467886"/>
            <w:sz w:val="22"/>
            <w:szCs w:val="22"/>
            <w:u w:val="single"/>
            <w:rtl w:val="0"/>
          </w:rPr>
          <w:t xml:space="preserve">Stigma and Mental Health</w:t>
        </w:r>
      </w:hyperlink>
      <w:r w:rsidDel="00000000" w:rsidR="00000000" w:rsidRPr="00000000">
        <w:rPr>
          <w:sz w:val="22"/>
          <w:szCs w:val="22"/>
          <w:rtl w:val="0"/>
        </w:rPr>
        <w:t xml:space="preserve">” (p. 213).</w:t>
      </w:r>
    </w:p>
    <w:p w:rsidR="00000000" w:rsidDel="00000000" w:rsidP="00000000" w:rsidRDefault="00000000" w:rsidRPr="00000000" w14:paraId="00000A28">
      <w:pPr>
        <w:spacing w:line="480" w:lineRule="auto"/>
        <w:jc w:val="both"/>
        <w:rPr>
          <w:sz w:val="22"/>
          <w:szCs w:val="22"/>
        </w:rPr>
      </w:pPr>
      <w:r w:rsidDel="00000000" w:rsidR="00000000" w:rsidRPr="00000000">
        <w:rPr>
          <w:rtl w:val="0"/>
        </w:rPr>
      </w:r>
    </w:p>
    <w:p w:rsidR="00000000" w:rsidDel="00000000" w:rsidP="00000000" w:rsidRDefault="00000000" w:rsidRPr="00000000" w14:paraId="00000A29">
      <w:pPr>
        <w:spacing w:line="480" w:lineRule="auto"/>
        <w:jc w:val="both"/>
        <w:rPr>
          <w:sz w:val="22"/>
          <w:szCs w:val="22"/>
        </w:rPr>
      </w:pPr>
      <w:r w:rsidDel="00000000" w:rsidR="00000000" w:rsidRPr="00000000">
        <w:rPr>
          <w:sz w:val="22"/>
          <w:szCs w:val="22"/>
          <w:rtl w:val="0"/>
        </w:rPr>
        <w:t xml:space="preserve">There is a perception that antidepressants are an effective treatment for depression and has been widely supported by the literature (Yassen et al 2024 p.8, Read et al 2020, p.745). Participants with previous experience using antidepressants perceived these medicines to be effective in treating their depression and were therefore more likely to accept antidepressants if they experienced a relapse in their depression. They also described acceptability in their use, again contextualising this with physical health issues. In turn, it could be argued this approach fulfils one of the prerequisites of entering the sick role (Parsons, 1951). This section will now explore these attitudes towards antidepressants.</w:t>
      </w:r>
    </w:p>
    <w:p w:rsidR="00000000" w:rsidDel="00000000" w:rsidP="00000000" w:rsidRDefault="00000000" w:rsidRPr="00000000" w14:paraId="00000A2A">
      <w:pPr>
        <w:spacing w:line="480" w:lineRule="auto"/>
        <w:jc w:val="both"/>
        <w:rPr>
          <w:sz w:val="22"/>
          <w:szCs w:val="22"/>
        </w:rPr>
      </w:pPr>
      <w:r w:rsidDel="00000000" w:rsidR="00000000" w:rsidRPr="00000000">
        <w:rPr>
          <w:rtl w:val="0"/>
        </w:rPr>
      </w:r>
    </w:p>
    <w:p w:rsidR="00000000" w:rsidDel="00000000" w:rsidP="00000000" w:rsidRDefault="00000000" w:rsidRPr="00000000" w14:paraId="00000A2B">
      <w:pPr>
        <w:spacing w:line="480" w:lineRule="auto"/>
        <w:jc w:val="both"/>
        <w:rPr>
          <w:sz w:val="22"/>
          <w:szCs w:val="22"/>
        </w:rPr>
      </w:pPr>
      <w:r w:rsidDel="00000000" w:rsidR="00000000" w:rsidRPr="00000000">
        <w:rPr>
          <w:sz w:val="22"/>
          <w:szCs w:val="22"/>
          <w:rtl w:val="0"/>
        </w:rPr>
        <w:t xml:space="preserve">It could be argued those who describe a previous use of antidepressant medicines and align with the biomedical approach appear to believe their depression can be managed and controlled with by treatment, for example medication, and are therefore more likely to seek help, findings similar to that of Brown et al (2007) and Elwy et al (2024, p. 11). This is supportive of the wider literature, whereby antidepressants are considered both effective and are therefore an acceptable treatment (Yassen et al 2024 p.8, Cipriani et al 2018, p.1362, Read et al 2020, p.745). Cipriani et al (2018) conducted a literature review exploring the efficacy of 21 antidepressants and their acceptability. This paper found all antidepressants measured, were more effective than a placebo (Cipriani et al 2018, p.1362). When discussing the patient’s perception of antidepressant efficacy, Read et al (2020, p.745) found of 342 survey respondents, 86.9% find their antidepressants “</w:t>
      </w:r>
      <w:r w:rsidDel="00000000" w:rsidR="00000000" w:rsidRPr="00000000">
        <w:rPr>
          <w:i w:val="1"/>
          <w:sz w:val="22"/>
          <w:szCs w:val="22"/>
          <w:rtl w:val="0"/>
        </w:rPr>
        <w:t xml:space="preserve">fairly effective</w:t>
      </w:r>
      <w:r w:rsidDel="00000000" w:rsidR="00000000" w:rsidRPr="00000000">
        <w:rPr>
          <w:sz w:val="22"/>
          <w:szCs w:val="22"/>
          <w:rtl w:val="0"/>
        </w:rPr>
        <w:t xml:space="preserve">”, and a further 5.3% finding them “</w:t>
      </w:r>
      <w:r w:rsidDel="00000000" w:rsidR="00000000" w:rsidRPr="00000000">
        <w:rPr>
          <w:i w:val="1"/>
          <w:sz w:val="22"/>
          <w:szCs w:val="22"/>
          <w:rtl w:val="0"/>
        </w:rPr>
        <w:t xml:space="preserve">completely effective</w:t>
      </w:r>
      <w:r w:rsidDel="00000000" w:rsidR="00000000" w:rsidRPr="00000000">
        <w:rPr>
          <w:sz w:val="22"/>
          <w:szCs w:val="22"/>
          <w:rtl w:val="0"/>
        </w:rPr>
        <w:t xml:space="preserve">”. This includes an improvement in mood and reduction in associated depressive symptoms (Read et al 2020, p.754). </w:t>
      </w:r>
    </w:p>
    <w:p w:rsidR="00000000" w:rsidDel="00000000" w:rsidP="00000000" w:rsidRDefault="00000000" w:rsidRPr="00000000" w14:paraId="00000A2C">
      <w:pPr>
        <w:spacing w:line="480" w:lineRule="auto"/>
        <w:jc w:val="both"/>
        <w:rPr>
          <w:sz w:val="22"/>
          <w:szCs w:val="22"/>
        </w:rPr>
      </w:pPr>
      <w:r w:rsidDel="00000000" w:rsidR="00000000" w:rsidRPr="00000000">
        <w:rPr>
          <w:rtl w:val="0"/>
        </w:rPr>
      </w:r>
    </w:p>
    <w:p w:rsidR="00000000" w:rsidDel="00000000" w:rsidP="00000000" w:rsidRDefault="00000000" w:rsidRPr="00000000" w14:paraId="00000A2D">
      <w:pPr>
        <w:spacing w:line="480" w:lineRule="auto"/>
        <w:jc w:val="both"/>
        <w:rPr>
          <w:sz w:val="22"/>
          <w:szCs w:val="22"/>
        </w:rPr>
      </w:pPr>
      <w:r w:rsidDel="00000000" w:rsidR="00000000" w:rsidRPr="00000000">
        <w:rPr>
          <w:sz w:val="22"/>
          <w:szCs w:val="22"/>
          <w:rtl w:val="0"/>
        </w:rPr>
        <w:t xml:space="preserve">When diagnosing depression, however, it is rarely considered a simple task (Johnson et al 2017, p.12). This is due to the complex combination of “</w:t>
      </w:r>
      <w:r w:rsidDel="00000000" w:rsidR="00000000" w:rsidRPr="00000000">
        <w:rPr>
          <w:i w:val="1"/>
          <w:sz w:val="22"/>
          <w:szCs w:val="22"/>
          <w:rtl w:val="0"/>
        </w:rPr>
        <w:t xml:space="preserve">normal</w:t>
      </w:r>
      <w:r w:rsidDel="00000000" w:rsidR="00000000" w:rsidRPr="00000000">
        <w:rPr>
          <w:sz w:val="22"/>
          <w:szCs w:val="22"/>
          <w:rtl w:val="0"/>
        </w:rPr>
        <w:t xml:space="preserve">” life events, socioeconomic and environmental pressures (Johnson et al 2017, p.12-13). It was acknowledged within the findings of this research that clinical pressures were a barrier to discussing non-pharmacological approaches to treating depression, and patients who experienced milder depressive symptoms were likely to prefer this intervention (Johnson et al 2017, p.6). Therefore, practitioners are likely to prescribe antidepressants to patients who are experiencing milder symptoms (Johnson et al 2017, p.6). Considering there are more patients with mild symptoms, this could go some way in explaining the rate of antidepressant prescribing (de la Torre et al 2021, p.164). </w:t>
      </w:r>
    </w:p>
    <w:p w:rsidR="00000000" w:rsidDel="00000000" w:rsidP="00000000" w:rsidRDefault="00000000" w:rsidRPr="00000000" w14:paraId="00000A2E">
      <w:pPr>
        <w:spacing w:line="480" w:lineRule="auto"/>
        <w:jc w:val="both"/>
        <w:rPr>
          <w:sz w:val="22"/>
          <w:szCs w:val="22"/>
        </w:rPr>
      </w:pPr>
      <w:r w:rsidDel="00000000" w:rsidR="00000000" w:rsidRPr="00000000">
        <w:rPr>
          <w:rtl w:val="0"/>
        </w:rPr>
      </w:r>
    </w:p>
    <w:p w:rsidR="00000000" w:rsidDel="00000000" w:rsidP="00000000" w:rsidRDefault="00000000" w:rsidRPr="00000000" w14:paraId="00000A2F">
      <w:pPr>
        <w:spacing w:line="480" w:lineRule="auto"/>
        <w:jc w:val="both"/>
        <w:rPr>
          <w:sz w:val="22"/>
          <w:szCs w:val="22"/>
        </w:rPr>
      </w:pPr>
      <w:r w:rsidDel="00000000" w:rsidR="00000000" w:rsidRPr="00000000">
        <w:rPr>
          <w:sz w:val="22"/>
          <w:szCs w:val="22"/>
          <w:rtl w:val="0"/>
        </w:rPr>
        <w:t xml:space="preserve">Although participants who use antidepressants in this research understand this is not the case, some prescribers feel there is an expectation of a prescription, and a desire for a “</w:t>
      </w:r>
      <w:r w:rsidDel="00000000" w:rsidR="00000000" w:rsidRPr="00000000">
        <w:rPr>
          <w:i w:val="1"/>
          <w:sz w:val="22"/>
          <w:szCs w:val="22"/>
          <w:rtl w:val="0"/>
        </w:rPr>
        <w:t xml:space="preserve">quick fix</w:t>
      </w:r>
      <w:r w:rsidDel="00000000" w:rsidR="00000000" w:rsidRPr="00000000">
        <w:rPr>
          <w:sz w:val="22"/>
          <w:szCs w:val="22"/>
          <w:rtl w:val="0"/>
        </w:rPr>
        <w:t xml:space="preserve">”, particularly in patients who present with milder symptoms (Johnson et al 2017, p.6). Some participants feel that antidepressants were offered where alternative treatments accessed through secondary care would be more appropriate. This supports existing literature, where Johnson et al (2017) found although GPs are perceived to overprescribe antidepressant medicines, the doctors in their paper felt they were “</w:t>
      </w:r>
      <w:r w:rsidDel="00000000" w:rsidR="00000000" w:rsidRPr="00000000">
        <w:rPr>
          <w:i w:val="1"/>
          <w:sz w:val="22"/>
          <w:szCs w:val="22"/>
          <w:rtl w:val="0"/>
        </w:rPr>
        <w:t xml:space="preserve">doing the right thing</w:t>
      </w:r>
      <w:r w:rsidDel="00000000" w:rsidR="00000000" w:rsidRPr="00000000">
        <w:rPr>
          <w:sz w:val="22"/>
          <w:szCs w:val="22"/>
          <w:rtl w:val="0"/>
        </w:rPr>
        <w:t xml:space="preserve">” and achieving the “</w:t>
      </w:r>
      <w:r w:rsidDel="00000000" w:rsidR="00000000" w:rsidRPr="00000000">
        <w:rPr>
          <w:i w:val="1"/>
          <w:sz w:val="22"/>
          <w:szCs w:val="22"/>
          <w:rtl w:val="0"/>
        </w:rPr>
        <w:t xml:space="preserve">right care fit</w:t>
      </w:r>
      <w:r w:rsidDel="00000000" w:rsidR="00000000" w:rsidRPr="00000000">
        <w:rPr>
          <w:sz w:val="22"/>
          <w:szCs w:val="22"/>
          <w:rtl w:val="0"/>
        </w:rPr>
        <w:t xml:space="preserve">” for their patients. Overprescribing and inappropriate prescribing will be discussed </w:t>
      </w:r>
      <w:hyperlink w:anchor="_heading=h.1vsw3ci">
        <w:r w:rsidDel="00000000" w:rsidR="00000000" w:rsidRPr="00000000">
          <w:rPr>
            <w:color w:val="467886"/>
            <w:sz w:val="22"/>
            <w:szCs w:val="22"/>
            <w:u w:val="single"/>
            <w:rtl w:val="0"/>
          </w:rPr>
          <w:t xml:space="preserve">later</w:t>
        </w:r>
      </w:hyperlink>
      <w:r w:rsidDel="00000000" w:rsidR="00000000" w:rsidRPr="00000000">
        <w:rPr>
          <w:sz w:val="22"/>
          <w:szCs w:val="22"/>
          <w:rtl w:val="0"/>
        </w:rPr>
        <w:t xml:space="preserve"> (p. 247). However, where patients are seen to access treatment at the soonest opportunity, and practitioners who prescribe antidepressant medicines are offering appropriate support, could be described as evidence of the sick role in practice (Parsons, 1951). When considering the healthcare professional’s duty to act in the best interest of the patient, however, treatment must be ethical and proportionate. </w:t>
      </w:r>
    </w:p>
    <w:p w:rsidR="00000000" w:rsidDel="00000000" w:rsidP="00000000" w:rsidRDefault="00000000" w:rsidRPr="00000000" w14:paraId="00000A30">
      <w:pPr>
        <w:spacing w:line="480" w:lineRule="auto"/>
        <w:jc w:val="both"/>
        <w:rPr>
          <w:sz w:val="22"/>
          <w:szCs w:val="22"/>
        </w:rPr>
      </w:pPr>
      <w:r w:rsidDel="00000000" w:rsidR="00000000" w:rsidRPr="00000000">
        <w:rPr>
          <w:sz w:val="22"/>
          <w:szCs w:val="22"/>
          <w:rtl w:val="0"/>
        </w:rPr>
        <w:t xml:space="preserve">In comparison to antidepressant medicines, psychosocial interventions are perceived by participants to have comparatively limited accessibility. Participants acknowledge alternative interventions and secondary care services may be more appropriate to manage and treat their health complaint, which is supported by the wider literature (Takamine et al 2024 p.251, Davies et al p.6, Hamilton et al 2022 p.4089, Takashima et al 2022 p.5, Lader and Karicou 2016, p.7, Uhrbrand et al 2020 p.560-561). Despite this preference for non-pharmacological interventions, it is important to note the limitations these services present in terms of personal and systemic barriers – both perceived barriers, and indeed actual (Strauss et al 2021, p.1). These barriers include financial implications of private treatment, waiting times for alternative treatments and secondary care, inappropriate referrals and personal preferences. This will be discussed in depth in Section 7.7, “</w:t>
      </w:r>
      <w:hyperlink w:anchor="_heading=h.1a346fx">
        <w:r w:rsidDel="00000000" w:rsidR="00000000" w:rsidRPr="00000000">
          <w:rPr>
            <w:i w:val="1"/>
            <w:color w:val="467886"/>
            <w:sz w:val="22"/>
            <w:szCs w:val="22"/>
            <w:u w:val="single"/>
            <w:rtl w:val="0"/>
          </w:rPr>
          <w:t xml:space="preserve">Limited Accessibility of Secondary Care</w:t>
        </w:r>
      </w:hyperlink>
      <w:r w:rsidDel="00000000" w:rsidR="00000000" w:rsidRPr="00000000">
        <w:rPr>
          <w:sz w:val="22"/>
          <w:szCs w:val="22"/>
          <w:rtl w:val="0"/>
        </w:rPr>
        <w:t xml:space="preserve">” (p. 247). The risk of disease progression and significant symptomology, to some extent, be mitigated by the use of antidepressant medicines, and will be discussed in the context of the wider literature.</w:t>
      </w:r>
    </w:p>
    <w:p w:rsidR="00000000" w:rsidDel="00000000" w:rsidP="00000000" w:rsidRDefault="00000000" w:rsidRPr="00000000" w14:paraId="00000A31">
      <w:pPr>
        <w:spacing w:line="480" w:lineRule="auto"/>
        <w:jc w:val="both"/>
        <w:rPr>
          <w:sz w:val="22"/>
          <w:szCs w:val="22"/>
        </w:rPr>
      </w:pPr>
      <w:r w:rsidDel="00000000" w:rsidR="00000000" w:rsidRPr="00000000">
        <w:rPr>
          <w:rtl w:val="0"/>
        </w:rPr>
      </w:r>
    </w:p>
    <w:p w:rsidR="00000000" w:rsidDel="00000000" w:rsidP="00000000" w:rsidRDefault="00000000" w:rsidRPr="00000000" w14:paraId="00000A32">
      <w:pPr>
        <w:spacing w:line="480" w:lineRule="auto"/>
        <w:jc w:val="both"/>
        <w:rPr>
          <w:sz w:val="22"/>
          <w:szCs w:val="22"/>
        </w:rPr>
      </w:pPr>
      <w:r w:rsidDel="00000000" w:rsidR="00000000" w:rsidRPr="00000000">
        <w:rPr>
          <w:sz w:val="22"/>
          <w:szCs w:val="22"/>
          <w:rtl w:val="0"/>
        </w:rPr>
        <w:t xml:space="preserve">Alternative treatments, for example psychological therapy, should be appropriate and in line with the patient’s preferences. Several participants, however, were offered alternative treatments that were not appropriate for them, whether it be the therapeutic model, group therapy or barriers such as language. Engaging in therapy that is not appropriate is associated with adverse experiences, such as disempowering the individual, blame, hatred and doubt (Curran et al 2019, p.9-10). Furthermore, some psychosocial interventions, particularly psychotherapy, have been found to cause distress to patients. Strauss et al (2021, p.5) found 57.8% of 224 patients receiving psychotherapy experienced a “</w:t>
      </w:r>
      <w:r w:rsidDel="00000000" w:rsidR="00000000" w:rsidRPr="00000000">
        <w:rPr>
          <w:i w:val="1"/>
          <w:sz w:val="22"/>
          <w:szCs w:val="22"/>
          <w:rtl w:val="0"/>
        </w:rPr>
        <w:t xml:space="preserve">resurfacing of unpleasant memories</w:t>
      </w:r>
      <w:r w:rsidDel="00000000" w:rsidR="00000000" w:rsidRPr="00000000">
        <w:rPr>
          <w:sz w:val="22"/>
          <w:szCs w:val="22"/>
          <w:rtl w:val="0"/>
        </w:rPr>
        <w:t xml:space="preserve">”, which resulted in poor sleep, increased stress and worry. </w:t>
      </w:r>
    </w:p>
    <w:p w:rsidR="00000000" w:rsidDel="00000000" w:rsidP="00000000" w:rsidRDefault="00000000" w:rsidRPr="00000000" w14:paraId="00000A33">
      <w:pPr>
        <w:spacing w:line="480" w:lineRule="auto"/>
        <w:jc w:val="both"/>
        <w:rPr>
          <w:sz w:val="22"/>
          <w:szCs w:val="22"/>
        </w:rPr>
      </w:pPr>
      <w:r w:rsidDel="00000000" w:rsidR="00000000" w:rsidRPr="00000000">
        <w:rPr>
          <w:rtl w:val="0"/>
        </w:rPr>
      </w:r>
    </w:p>
    <w:p w:rsidR="00000000" w:rsidDel="00000000" w:rsidP="00000000" w:rsidRDefault="00000000" w:rsidRPr="00000000" w14:paraId="00000A34">
      <w:pPr>
        <w:spacing w:line="480" w:lineRule="auto"/>
        <w:jc w:val="both"/>
        <w:rPr>
          <w:sz w:val="22"/>
          <w:szCs w:val="22"/>
        </w:rPr>
      </w:pPr>
      <w:r w:rsidDel="00000000" w:rsidR="00000000" w:rsidRPr="00000000">
        <w:rPr>
          <w:sz w:val="22"/>
          <w:szCs w:val="22"/>
          <w:rtl w:val="0"/>
        </w:rPr>
        <w:t xml:space="preserve">This was evidenced by the findings of this research, for example one participant reported being referred to group therapy, a format in which she did not think was appropriate, and another participant describing the type of therapy she had been referred to was not in line with her treatment preferences. Low level psychotherapy and other psychological treatments may typically focus on symptom reduction, as opposed to individual variables (Yousuf, 2023). Furthermore, the individual may not be appropriate for psychosocial interventions, for example those who do not have insight into their condition or their behaviours (Yousuf, 2023). Although all participants were deemed to have capacity, and therefore considered to have insight into their condition, it was noted in the data that some individuals were deemed too complex for the treatment in which they had been referred to. This will be discussed in Section 7.7. “</w:t>
      </w:r>
      <w:hyperlink w:anchor="_heading=h.rjefff">
        <w:r w:rsidDel="00000000" w:rsidR="00000000" w:rsidRPr="00000000">
          <w:rPr>
            <w:i w:val="1"/>
            <w:color w:val="467886"/>
            <w:sz w:val="22"/>
            <w:szCs w:val="22"/>
            <w:u w:val="single"/>
            <w:rtl w:val="0"/>
          </w:rPr>
          <w:t xml:space="preserve">Limited Accessibility of Secondary Care</w:t>
        </w:r>
      </w:hyperlink>
      <w:r w:rsidDel="00000000" w:rsidR="00000000" w:rsidRPr="00000000">
        <w:rPr>
          <w:i w:val="1"/>
          <w:sz w:val="22"/>
          <w:szCs w:val="22"/>
          <w:rtl w:val="0"/>
        </w:rPr>
        <w:t xml:space="preserve">”</w:t>
      </w:r>
      <w:r w:rsidDel="00000000" w:rsidR="00000000" w:rsidRPr="00000000">
        <w:rPr>
          <w:sz w:val="22"/>
          <w:szCs w:val="22"/>
          <w:rtl w:val="0"/>
        </w:rPr>
        <w:t xml:space="preserve"> (p. 247). </w:t>
      </w:r>
    </w:p>
    <w:p w:rsidR="00000000" w:rsidDel="00000000" w:rsidP="00000000" w:rsidRDefault="00000000" w:rsidRPr="00000000" w14:paraId="00000A35">
      <w:pPr>
        <w:spacing w:line="480" w:lineRule="auto"/>
        <w:jc w:val="both"/>
        <w:rPr>
          <w:sz w:val="22"/>
          <w:szCs w:val="22"/>
        </w:rPr>
      </w:pPr>
      <w:r w:rsidDel="00000000" w:rsidR="00000000" w:rsidRPr="00000000">
        <w:rPr>
          <w:rtl w:val="0"/>
        </w:rPr>
      </w:r>
    </w:p>
    <w:p w:rsidR="00000000" w:rsidDel="00000000" w:rsidP="00000000" w:rsidRDefault="00000000" w:rsidRPr="00000000" w14:paraId="00000A36">
      <w:pPr>
        <w:spacing w:line="480" w:lineRule="auto"/>
        <w:jc w:val="both"/>
        <w:rPr>
          <w:sz w:val="22"/>
          <w:szCs w:val="22"/>
        </w:rPr>
      </w:pPr>
      <w:r w:rsidDel="00000000" w:rsidR="00000000" w:rsidRPr="00000000">
        <w:rPr>
          <w:sz w:val="22"/>
          <w:szCs w:val="22"/>
          <w:rtl w:val="0"/>
        </w:rPr>
        <w:t xml:space="preserve">Professionals were seen to be dominant in their practice, with a perceived preference for pharmaceutical interventions. Per Parsons (1951), healthcare professionals are permitted to “</w:t>
      </w:r>
      <w:r w:rsidDel="00000000" w:rsidR="00000000" w:rsidRPr="00000000">
        <w:rPr>
          <w:i w:val="1"/>
          <w:sz w:val="22"/>
          <w:szCs w:val="22"/>
          <w:rtl w:val="0"/>
        </w:rPr>
        <w:t xml:space="preserve">exercise professional judgement</w:t>
      </w:r>
      <w:r w:rsidDel="00000000" w:rsidR="00000000" w:rsidRPr="00000000">
        <w:rPr>
          <w:sz w:val="22"/>
          <w:szCs w:val="22"/>
          <w:rtl w:val="0"/>
        </w:rPr>
        <w:t xml:space="preserve">” and are granted “</w:t>
      </w:r>
      <w:r w:rsidDel="00000000" w:rsidR="00000000" w:rsidRPr="00000000">
        <w:rPr>
          <w:i w:val="1"/>
          <w:sz w:val="22"/>
          <w:szCs w:val="22"/>
          <w:rtl w:val="0"/>
        </w:rPr>
        <w:t xml:space="preserve">significant autonomy</w:t>
      </w:r>
      <w:r w:rsidDel="00000000" w:rsidR="00000000" w:rsidRPr="00000000">
        <w:rPr>
          <w:sz w:val="22"/>
          <w:szCs w:val="22"/>
          <w:rtl w:val="0"/>
        </w:rPr>
        <w:t xml:space="preserve">” over their practice, which can result in a conflict of interest (O’Neill 2022 p.376, Parsons 1951). Although this is term is commonly associated with financial gain, non-financial interests can have a potential to influence professional judgement (O’Neill 2022, p.376). Such conflicts of interests may derive from preferences in medicines, perceptions of their efficacy, the efficacy of a treatment plan. It may also arise from paternalism, derived from a perceived belief the treatment plan is in the patient’s best interest (O’Neill 2022 p.376, Strauss and Merios 2009). This can also stem from the perceived lack of knowledge regarding the management of complex patient groups, which will be discussed in detail, in Section 7.6., “</w:t>
      </w:r>
      <w:hyperlink w:anchor="_heading=h.3gnlt4p">
        <w:r w:rsidDel="00000000" w:rsidR="00000000" w:rsidRPr="00000000">
          <w:rPr>
            <w:i w:val="1"/>
            <w:color w:val="467886"/>
            <w:sz w:val="22"/>
            <w:szCs w:val="22"/>
            <w:u w:val="single"/>
            <w:rtl w:val="0"/>
          </w:rPr>
          <w:t xml:space="preserve">Practitioner Roles</w:t>
        </w:r>
      </w:hyperlink>
      <w:r w:rsidDel="00000000" w:rsidR="00000000" w:rsidRPr="00000000">
        <w:rPr>
          <w:sz w:val="22"/>
          <w:szCs w:val="22"/>
          <w:rtl w:val="0"/>
        </w:rPr>
        <w:t xml:space="preserve">” (p. 231). </w:t>
      </w:r>
    </w:p>
    <w:p w:rsidR="00000000" w:rsidDel="00000000" w:rsidP="00000000" w:rsidRDefault="00000000" w:rsidRPr="00000000" w14:paraId="00000A37">
      <w:pPr>
        <w:spacing w:line="480" w:lineRule="auto"/>
        <w:jc w:val="both"/>
        <w:rPr>
          <w:sz w:val="22"/>
          <w:szCs w:val="22"/>
        </w:rPr>
      </w:pPr>
      <w:r w:rsidDel="00000000" w:rsidR="00000000" w:rsidRPr="00000000">
        <w:rPr>
          <w:rtl w:val="0"/>
        </w:rPr>
      </w:r>
    </w:p>
    <w:p w:rsidR="00000000" w:rsidDel="00000000" w:rsidP="00000000" w:rsidRDefault="00000000" w:rsidRPr="00000000" w14:paraId="00000A38">
      <w:pPr>
        <w:spacing w:line="480" w:lineRule="auto"/>
        <w:jc w:val="both"/>
        <w:rPr>
          <w:sz w:val="21"/>
          <w:szCs w:val="21"/>
        </w:rPr>
      </w:pPr>
      <w:r w:rsidDel="00000000" w:rsidR="00000000" w:rsidRPr="00000000">
        <w:rPr>
          <w:sz w:val="22"/>
          <w:szCs w:val="22"/>
          <w:rtl w:val="0"/>
        </w:rPr>
        <w:t xml:space="preserve">To summarise, there appears to be an acceptability of antidepressants, linked to the biomedical approach to mental illness. This has been found to have gone some way in improving help-seeking behaviour. These medicines are inherently linked to the biomedical approach to mental illness. </w:t>
      </w:r>
      <w:r w:rsidDel="00000000" w:rsidR="00000000" w:rsidRPr="00000000">
        <w:rPr>
          <w:sz w:val="21"/>
          <w:szCs w:val="21"/>
          <w:rtl w:val="0"/>
        </w:rPr>
        <w:t xml:space="preserve">Therefore, those who identify as depressed, and further attribute their illness to a biomedical origin, perceive themselves to hold less responsibility for their illness and describe validation that their illness is “</w:t>
      </w:r>
      <w:r w:rsidDel="00000000" w:rsidR="00000000" w:rsidRPr="00000000">
        <w:rPr>
          <w:i w:val="1"/>
          <w:sz w:val="21"/>
          <w:szCs w:val="21"/>
          <w:rtl w:val="0"/>
        </w:rPr>
        <w:t xml:space="preserve">real</w:t>
      </w:r>
      <w:r w:rsidDel="00000000" w:rsidR="00000000" w:rsidRPr="00000000">
        <w:rPr>
          <w:sz w:val="21"/>
          <w:szCs w:val="21"/>
          <w:rtl w:val="0"/>
        </w:rPr>
        <w:t xml:space="preserve">” (Deacon and Baird 2009, p.430). This again, is supported in individual accounts within the data. This idea naturally fits within the sick role, whereby the individual hold limited responsibility for their illness (Parsons, 1951). This could also suggest an acceptability of this therapeutic group in both medicine and society.</w:t>
      </w:r>
    </w:p>
    <w:p w:rsidR="00000000" w:rsidDel="00000000" w:rsidP="00000000" w:rsidRDefault="00000000" w:rsidRPr="00000000" w14:paraId="00000A39">
      <w:pPr>
        <w:spacing w:line="480" w:lineRule="auto"/>
        <w:jc w:val="both"/>
        <w:rPr>
          <w:sz w:val="21"/>
          <w:szCs w:val="21"/>
        </w:rPr>
      </w:pPr>
      <w:r w:rsidDel="00000000" w:rsidR="00000000" w:rsidRPr="00000000">
        <w:rPr>
          <w:rtl w:val="0"/>
        </w:rPr>
      </w:r>
    </w:p>
    <w:p w:rsidR="00000000" w:rsidDel="00000000" w:rsidP="00000000" w:rsidRDefault="00000000" w:rsidRPr="00000000" w14:paraId="00000A3A">
      <w:pPr>
        <w:spacing w:line="480" w:lineRule="auto"/>
        <w:jc w:val="both"/>
        <w:rPr>
          <w:sz w:val="22"/>
          <w:szCs w:val="22"/>
        </w:rPr>
      </w:pPr>
      <w:r w:rsidDel="00000000" w:rsidR="00000000" w:rsidRPr="00000000">
        <w:rPr>
          <w:sz w:val="22"/>
          <w:szCs w:val="22"/>
          <w:rtl w:val="0"/>
        </w:rPr>
        <w:t xml:space="preserve">The use of antidepressants could be considered supportive of the sick role (Parsons, 1951). Antidepressants appear to be a relatively accessible way of seeking support from a medical professional, therefore receiving the medical validation required to identify as “</w:t>
      </w:r>
      <w:r w:rsidDel="00000000" w:rsidR="00000000" w:rsidRPr="00000000">
        <w:rPr>
          <w:i w:val="1"/>
          <w:sz w:val="22"/>
          <w:szCs w:val="22"/>
          <w:rtl w:val="0"/>
        </w:rPr>
        <w:t xml:space="preserve">Sick</w:t>
      </w:r>
      <w:r w:rsidDel="00000000" w:rsidR="00000000" w:rsidRPr="00000000">
        <w:rPr>
          <w:sz w:val="22"/>
          <w:szCs w:val="22"/>
          <w:rtl w:val="0"/>
        </w:rPr>
        <w:t xml:space="preserve">”. This satisfies the responsibility of the patient as they are evidencing their desire to get well at the soonest opportunity and seeking support before their symptoms are perceived as “</w:t>
      </w:r>
      <w:r w:rsidDel="00000000" w:rsidR="00000000" w:rsidRPr="00000000">
        <w:rPr>
          <w:i w:val="1"/>
          <w:sz w:val="22"/>
          <w:szCs w:val="22"/>
          <w:rtl w:val="0"/>
        </w:rPr>
        <w:t xml:space="preserve">severe</w:t>
      </w:r>
      <w:r w:rsidDel="00000000" w:rsidR="00000000" w:rsidRPr="00000000">
        <w:rPr>
          <w:sz w:val="22"/>
          <w:szCs w:val="22"/>
          <w:rtl w:val="0"/>
        </w:rPr>
        <w:t xml:space="preserve">” (Parsons, 1951). This again, in the context of the sick role, satisfies the responsibility of the patient as they are evidencing their desire to get well at the soonest opportunity (Parsons, 1951). Furthermore, there has been a significant shift in the discourse surrounding depression and mental illness. As a result, some research and mental health advocacy groups suggest a reduced stigma attached to those who experience mental illness. This will be discussed in the following section.</w:t>
      </w:r>
    </w:p>
    <w:p w:rsidR="00000000" w:rsidDel="00000000" w:rsidP="00000000" w:rsidRDefault="00000000" w:rsidRPr="00000000" w14:paraId="00000A3B">
      <w:pPr>
        <w:spacing w:line="480" w:lineRule="auto"/>
        <w:jc w:val="both"/>
        <w:rPr>
          <w:sz w:val="22"/>
          <w:szCs w:val="22"/>
        </w:rPr>
      </w:pPr>
      <w:r w:rsidDel="00000000" w:rsidR="00000000" w:rsidRPr="00000000">
        <w:rPr>
          <w:rtl w:val="0"/>
        </w:rPr>
      </w:r>
    </w:p>
    <w:p w:rsidR="00000000" w:rsidDel="00000000" w:rsidP="00000000" w:rsidRDefault="00000000" w:rsidRPr="00000000" w14:paraId="00000A3C">
      <w:pPr>
        <w:pStyle w:val="Heading3"/>
        <w:spacing w:line="480" w:lineRule="auto"/>
        <w:rPr/>
      </w:pPr>
      <w:bookmarkStart w:colFirst="0" w:colLast="0" w:name="_heading=h.14ykbeg" w:id="121"/>
      <w:bookmarkEnd w:id="121"/>
      <w:r w:rsidDel="00000000" w:rsidR="00000000" w:rsidRPr="00000000">
        <w:rPr>
          <w:rtl w:val="0"/>
        </w:rPr>
        <w:t xml:space="preserve">Stigma and Mental Health</w:t>
      </w:r>
    </w:p>
    <w:p w:rsidR="00000000" w:rsidDel="00000000" w:rsidP="00000000" w:rsidRDefault="00000000" w:rsidRPr="00000000" w14:paraId="00000A3D">
      <w:pPr>
        <w:spacing w:line="480" w:lineRule="auto"/>
        <w:jc w:val="both"/>
        <w:rPr>
          <w:sz w:val="22"/>
          <w:szCs w:val="22"/>
        </w:rPr>
      </w:pPr>
      <w:r w:rsidDel="00000000" w:rsidR="00000000" w:rsidRPr="00000000">
        <w:rPr>
          <w:sz w:val="22"/>
          <w:szCs w:val="22"/>
          <w:rtl w:val="0"/>
        </w:rPr>
        <w:t xml:space="preserve">The increase in the prevalence of depression may not be a result of the previously described factors alone. The Rethink Mental Illness policy advisor, Alexa Knight, suggests:</w:t>
      </w:r>
    </w:p>
    <w:p w:rsidR="00000000" w:rsidDel="00000000" w:rsidP="00000000" w:rsidRDefault="00000000" w:rsidRPr="00000000" w14:paraId="00000A3E">
      <w:pPr>
        <w:spacing w:line="480" w:lineRule="auto"/>
        <w:jc w:val="both"/>
        <w:rPr>
          <w:sz w:val="22"/>
          <w:szCs w:val="22"/>
        </w:rPr>
      </w:pPr>
      <w:r w:rsidDel="00000000" w:rsidR="00000000" w:rsidRPr="00000000">
        <w:rPr>
          <w:rtl w:val="0"/>
        </w:rPr>
      </w:r>
    </w:p>
    <w:p w:rsidR="00000000" w:rsidDel="00000000" w:rsidP="00000000" w:rsidRDefault="00000000" w:rsidRPr="00000000" w14:paraId="00000A3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rising number of antidepressant prescriptions could also be a welcome indicator that people feel more comfortable seeking support when they need it</w:t>
      </w:r>
      <w:r w:rsidDel="00000000" w:rsidR="00000000" w:rsidRPr="00000000">
        <w:rPr>
          <w:sz w:val="22"/>
          <w:szCs w:val="22"/>
          <w:rtl w:val="0"/>
        </w:rPr>
        <w:t xml:space="preserve">."</w:t>
      </w:r>
    </w:p>
    <w:p w:rsidR="00000000" w:rsidDel="00000000" w:rsidP="00000000" w:rsidRDefault="00000000" w:rsidRPr="00000000" w14:paraId="00000A40">
      <w:pPr>
        <w:spacing w:line="480" w:lineRule="auto"/>
        <w:jc w:val="right"/>
        <w:rPr>
          <w:sz w:val="22"/>
          <w:szCs w:val="22"/>
        </w:rPr>
      </w:pPr>
      <w:r w:rsidDel="00000000" w:rsidR="00000000" w:rsidRPr="00000000">
        <w:rPr>
          <w:sz w:val="22"/>
          <w:szCs w:val="22"/>
          <w:rtl w:val="0"/>
        </w:rPr>
        <w:t xml:space="preserve">(BBC News, 2022)</w:t>
      </w:r>
    </w:p>
    <w:p w:rsidR="00000000" w:rsidDel="00000000" w:rsidP="00000000" w:rsidRDefault="00000000" w:rsidRPr="00000000" w14:paraId="00000A41">
      <w:pPr>
        <w:spacing w:line="480" w:lineRule="auto"/>
        <w:jc w:val="both"/>
        <w:rPr>
          <w:sz w:val="22"/>
          <w:szCs w:val="22"/>
        </w:rPr>
      </w:pPr>
      <w:r w:rsidDel="00000000" w:rsidR="00000000" w:rsidRPr="00000000">
        <w:rPr>
          <w:rtl w:val="0"/>
        </w:rPr>
      </w:r>
    </w:p>
    <w:p w:rsidR="00000000" w:rsidDel="00000000" w:rsidP="00000000" w:rsidRDefault="00000000" w:rsidRPr="00000000" w14:paraId="00000A42">
      <w:pPr>
        <w:spacing w:line="480" w:lineRule="auto"/>
        <w:jc w:val="both"/>
        <w:rPr>
          <w:sz w:val="22"/>
          <w:szCs w:val="22"/>
        </w:rPr>
      </w:pPr>
      <w:r w:rsidDel="00000000" w:rsidR="00000000" w:rsidRPr="00000000">
        <w:rPr>
          <w:sz w:val="22"/>
          <w:szCs w:val="22"/>
          <w:rtl w:val="0"/>
        </w:rPr>
        <w:t xml:space="preserve">Mental health has been described as a continuum, encompassing “</w:t>
      </w:r>
      <w:r w:rsidDel="00000000" w:rsidR="00000000" w:rsidRPr="00000000">
        <w:rPr>
          <w:i w:val="1"/>
          <w:sz w:val="22"/>
          <w:szCs w:val="22"/>
          <w:rtl w:val="0"/>
        </w:rPr>
        <w:t xml:space="preserve">normal suffering and reactions to stressors, troublesome complaints and symptoms, subthreshold disorders… as well as more clearly demarcated serious mental illness</w:t>
      </w:r>
      <w:r w:rsidDel="00000000" w:rsidR="00000000" w:rsidRPr="00000000">
        <w:rPr>
          <w:sz w:val="22"/>
          <w:szCs w:val="22"/>
          <w:rtl w:val="0"/>
        </w:rPr>
        <w:t xml:space="preserve">” (Pierre 2012, p.656). As noted in </w:t>
      </w:r>
      <w:hyperlink w:anchor="_heading=h.3as4poj">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51), historically, those who experience mental health difficulties were considered “</w:t>
      </w:r>
      <w:r w:rsidDel="00000000" w:rsidR="00000000" w:rsidRPr="00000000">
        <w:rPr>
          <w:rFonts w:ascii="Aptos" w:cs="Aptos" w:eastAsia="Aptos" w:hAnsi="Aptos"/>
          <w:i w:val="1"/>
          <w:sz w:val="22"/>
          <w:szCs w:val="22"/>
          <w:rtl w:val="0"/>
        </w:rPr>
        <w:t xml:space="preserve">dangerous, volatile, weak, frail and unintelligent or lacking in self-control</w:t>
      </w:r>
      <w:r w:rsidDel="00000000" w:rsidR="00000000" w:rsidRPr="00000000">
        <w:rPr>
          <w:rFonts w:ascii="Aptos" w:cs="Aptos" w:eastAsia="Aptos" w:hAnsi="Aptos"/>
          <w:sz w:val="22"/>
          <w:szCs w:val="22"/>
          <w:rtl w:val="0"/>
        </w:rPr>
        <w:t xml:space="preserve">” (Sadler et al, 2012). </w:t>
      </w:r>
      <w:r w:rsidDel="00000000" w:rsidR="00000000" w:rsidRPr="00000000">
        <w:rPr>
          <w:sz w:val="22"/>
          <w:szCs w:val="22"/>
          <w:rtl w:val="0"/>
        </w:rPr>
        <w:t xml:space="preserve">As previously noted, stigma is a well-documented barrier to help-seeking in healthcare, and an individual’s engagement and adherence to treatment (Scott et al 2015, Corrigan 2004, Mahajan et al 2008). In psychiatry, stigma is grounded upon stereotypes associated with unpredictability, violence and their perceived difficulty to treat (Jacoby and Austin, 2007). </w:t>
      </w:r>
    </w:p>
    <w:p w:rsidR="00000000" w:rsidDel="00000000" w:rsidP="00000000" w:rsidRDefault="00000000" w:rsidRPr="00000000" w14:paraId="00000A43">
      <w:pPr>
        <w:spacing w:line="480" w:lineRule="auto"/>
        <w:jc w:val="both"/>
        <w:rPr>
          <w:sz w:val="22"/>
          <w:szCs w:val="22"/>
        </w:rPr>
      </w:pPr>
      <w:r w:rsidDel="00000000" w:rsidR="00000000" w:rsidRPr="00000000">
        <w:rPr>
          <w:rtl w:val="0"/>
        </w:rPr>
      </w:r>
    </w:p>
    <w:p w:rsidR="00000000" w:rsidDel="00000000" w:rsidP="00000000" w:rsidRDefault="00000000" w:rsidRPr="00000000" w14:paraId="00000A44">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Anticipated and perceived stigma are unfortunately commonplace (Ahad et al 2023 p.1, Brohan and Thornicroft 2010). This has been found to result in shame, avoidance, delays in help-seeking, which in turn can lead to a deterioration of their condition and a reduced quality of life (Ahad et al 2023 p.1, Brohan and Thornicroft 2010). The literature supports the findings of this research, whereby participants described shame associated with their mental health diagnosis, and the consequences of their depression and antidepressant use. However, those who described this stigma appeared to challenge this within their accounts, recalling instances from where they appear to dismiss stigmatising practices from professionals, or curating a peer group that do not hold such beliefs (p. 156). </w:t>
      </w:r>
    </w:p>
    <w:p w:rsidR="00000000" w:rsidDel="00000000" w:rsidP="00000000" w:rsidRDefault="00000000" w:rsidRPr="00000000" w14:paraId="00000A45">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A46">
      <w:pPr>
        <w:spacing w:line="480" w:lineRule="auto"/>
        <w:jc w:val="both"/>
        <w:rPr>
          <w:sz w:val="22"/>
          <w:szCs w:val="22"/>
        </w:rPr>
      </w:pPr>
      <w:r w:rsidDel="00000000" w:rsidR="00000000" w:rsidRPr="00000000">
        <w:rPr>
          <w:sz w:val="22"/>
          <w:szCs w:val="22"/>
          <w:rtl w:val="0"/>
        </w:rPr>
        <w:t xml:space="preserve">Stigma can also create barriers between the patient and healthcare professionals (Ahad et al 2023, p.1). This anticipated stigma was noted in </w:t>
      </w:r>
      <w:r w:rsidDel="00000000" w:rsidR="00000000" w:rsidRPr="00000000">
        <w:rPr>
          <w:i w:val="1"/>
          <w:sz w:val="22"/>
          <w:szCs w:val="22"/>
          <w:rtl w:val="0"/>
        </w:rPr>
        <w:t xml:space="preserve">Charlotte’s</w:t>
      </w:r>
      <w:r w:rsidDel="00000000" w:rsidR="00000000" w:rsidRPr="00000000">
        <w:rPr>
          <w:sz w:val="22"/>
          <w:szCs w:val="22"/>
          <w:rtl w:val="0"/>
        </w:rPr>
        <w:t xml:space="preserve"> account, whereby she held concerns that there would be repercussions surrounding her mental health diagnoses and medication use when she gives birth – this will be explored later (p. 238). Despite some psychiatrists claiming the stigma surrounding depression has decreased, there are still concerns within healthcare professionals, advocacy services and patients suggesting otherwise (Goin 2014, Scheller 2014, Pescosolido et al 2021 p.2). </w:t>
      </w:r>
    </w:p>
    <w:p w:rsidR="00000000" w:rsidDel="00000000" w:rsidP="00000000" w:rsidRDefault="00000000" w:rsidRPr="00000000" w14:paraId="00000A47">
      <w:pPr>
        <w:spacing w:line="480" w:lineRule="auto"/>
        <w:jc w:val="both"/>
        <w:rPr>
          <w:rFonts w:ascii="Aptos" w:cs="Aptos" w:eastAsia="Aptos" w:hAnsi="Aptos"/>
          <w:sz w:val="22"/>
          <w:szCs w:val="22"/>
        </w:rPr>
      </w:pPr>
      <w:r w:rsidDel="00000000" w:rsidR="00000000" w:rsidRPr="00000000">
        <w:rPr>
          <w:rtl w:val="0"/>
        </w:rPr>
      </w:r>
    </w:p>
    <w:p w:rsidR="00000000" w:rsidDel="00000000" w:rsidP="00000000" w:rsidRDefault="00000000" w:rsidRPr="00000000" w14:paraId="00000A48">
      <w:pPr>
        <w:spacing w:line="480" w:lineRule="auto"/>
        <w:jc w:val="both"/>
        <w:rPr>
          <w:rFonts w:ascii="Aptos" w:cs="Aptos" w:eastAsia="Aptos" w:hAnsi="Aptos"/>
          <w:sz w:val="22"/>
          <w:szCs w:val="22"/>
        </w:rPr>
      </w:pPr>
      <w:r w:rsidDel="00000000" w:rsidR="00000000" w:rsidRPr="00000000">
        <w:rPr>
          <w:rFonts w:ascii="Aptos" w:cs="Aptos" w:eastAsia="Aptos" w:hAnsi="Aptos"/>
          <w:sz w:val="22"/>
          <w:szCs w:val="22"/>
          <w:rtl w:val="0"/>
        </w:rPr>
        <w:t xml:space="preserve">As noted earlier, the biomedical model has had some positive impact on improving mental health stigma (Ojio et al 2020 p.6, Kvaale et al 2013, Phelan et al 2023)</w:t>
      </w:r>
      <w:r w:rsidDel="00000000" w:rsidR="00000000" w:rsidRPr="00000000">
        <w:rPr>
          <w:sz w:val="22"/>
          <w:szCs w:val="22"/>
          <w:rtl w:val="0"/>
        </w:rPr>
        <w:t xml:space="preserve">. This theory was also highlighted within the data, specifically referring to depression as </w:t>
      </w:r>
      <w:r w:rsidDel="00000000" w:rsidR="00000000" w:rsidRPr="00000000">
        <w:rPr>
          <w:rFonts w:ascii="Aptos" w:cs="Aptos" w:eastAsia="Aptos" w:hAnsi="Aptos"/>
          <w:sz w:val="22"/>
          <w:szCs w:val="22"/>
          <w:rtl w:val="0"/>
        </w:rPr>
        <w:t xml:space="preserve">a “</w:t>
      </w:r>
      <w:r w:rsidDel="00000000" w:rsidR="00000000" w:rsidRPr="00000000">
        <w:rPr>
          <w:rFonts w:ascii="Aptos" w:cs="Aptos" w:eastAsia="Aptos" w:hAnsi="Aptos"/>
          <w:i w:val="1"/>
          <w:sz w:val="22"/>
          <w:szCs w:val="22"/>
          <w:rtl w:val="0"/>
        </w:rPr>
        <w:t xml:space="preserve">chemical imbalance</w:t>
      </w:r>
      <w:r w:rsidDel="00000000" w:rsidR="00000000" w:rsidRPr="00000000">
        <w:rPr>
          <w:rFonts w:ascii="Aptos" w:cs="Aptos" w:eastAsia="Aptos" w:hAnsi="Aptos"/>
          <w:sz w:val="22"/>
          <w:szCs w:val="22"/>
          <w:rtl w:val="0"/>
        </w:rPr>
        <w:t xml:space="preserve">” or a “</w:t>
      </w:r>
      <w:r w:rsidDel="00000000" w:rsidR="00000000" w:rsidRPr="00000000">
        <w:rPr>
          <w:rFonts w:ascii="Aptos" w:cs="Aptos" w:eastAsia="Aptos" w:hAnsi="Aptos"/>
          <w:i w:val="1"/>
          <w:sz w:val="22"/>
          <w:szCs w:val="22"/>
          <w:rtl w:val="0"/>
        </w:rPr>
        <w:t xml:space="preserve">brain issue</w:t>
      </w:r>
      <w:r w:rsidDel="00000000" w:rsidR="00000000" w:rsidRPr="00000000">
        <w:rPr>
          <w:rFonts w:ascii="Aptos" w:cs="Aptos" w:eastAsia="Aptos" w:hAnsi="Aptos"/>
          <w:sz w:val="22"/>
          <w:szCs w:val="22"/>
          <w:rtl w:val="0"/>
        </w:rPr>
        <w:t xml:space="preserve">”, yet participants do acknowledge the wider social aspects of their condition.</w:t>
      </w:r>
      <w:r w:rsidDel="00000000" w:rsidR="00000000" w:rsidRPr="00000000">
        <w:rPr>
          <w:sz w:val="22"/>
          <w:szCs w:val="22"/>
          <w:rtl w:val="0"/>
        </w:rPr>
        <w:t xml:space="preserve"> Despite a significant review “</w:t>
      </w:r>
      <w:r w:rsidDel="00000000" w:rsidR="00000000" w:rsidRPr="00000000">
        <w:rPr>
          <w:i w:val="1"/>
          <w:sz w:val="22"/>
          <w:szCs w:val="22"/>
          <w:rtl w:val="0"/>
        </w:rPr>
        <w:t xml:space="preserve">debunking</w:t>
      </w:r>
      <w:r w:rsidDel="00000000" w:rsidR="00000000" w:rsidRPr="00000000">
        <w:rPr>
          <w:sz w:val="22"/>
          <w:szCs w:val="22"/>
          <w:rtl w:val="0"/>
        </w:rPr>
        <w:t xml:space="preserve">” the Serotonin Theory, it is still being put forward by healthcare professionals (Moncrieff et al 2022, 14). The dominance of the biomedical approach to mental illness and addiction has been widely accepted by society, with 85-90% of people consider depression is a result of a chemical imbalance (Moncrieff et al 2022, p.14). This narrative has gone some way in reducing the stigma associated with antidepressant use, as patients are able to attribute symptoms to a physiological cause (</w:t>
      </w:r>
      <w:r w:rsidDel="00000000" w:rsidR="00000000" w:rsidRPr="00000000">
        <w:rPr>
          <w:rFonts w:ascii="Aptos" w:cs="Aptos" w:eastAsia="Aptos" w:hAnsi="Aptos"/>
          <w:sz w:val="22"/>
          <w:szCs w:val="22"/>
          <w:rtl w:val="0"/>
        </w:rPr>
        <w:t xml:space="preserve">Kvaale et al 2013, Phelan et al 2023). </w:t>
      </w:r>
      <w:r w:rsidDel="00000000" w:rsidR="00000000" w:rsidRPr="00000000">
        <w:rPr>
          <w:sz w:val="22"/>
          <w:szCs w:val="22"/>
          <w:rtl w:val="0"/>
        </w:rPr>
        <w:t xml:space="preserve">Perhaps associated with this approach, there is novel research suggesting the discourse around mental health is improving (American Psychiatric Association, 2019). The American Psychiatric Association found that 87% of Americans “</w:t>
      </w:r>
      <w:r w:rsidDel="00000000" w:rsidR="00000000" w:rsidRPr="00000000">
        <w:rPr>
          <w:i w:val="1"/>
          <w:sz w:val="22"/>
          <w:szCs w:val="22"/>
          <w:rtl w:val="0"/>
        </w:rPr>
        <w:t xml:space="preserve">agreed that having a mental health disorder is nothing to be ashamed of</w:t>
      </w:r>
      <w:r w:rsidDel="00000000" w:rsidR="00000000" w:rsidRPr="00000000">
        <w:rPr>
          <w:sz w:val="22"/>
          <w:szCs w:val="22"/>
          <w:rtl w:val="0"/>
        </w:rPr>
        <w:t xml:space="preserve">” with 86% stating they believe “</w:t>
      </w:r>
      <w:r w:rsidDel="00000000" w:rsidR="00000000" w:rsidRPr="00000000">
        <w:rPr>
          <w:i w:val="1"/>
          <w:sz w:val="22"/>
          <w:szCs w:val="22"/>
          <w:rtl w:val="0"/>
        </w:rPr>
        <w:t xml:space="preserve">people with mental health disorders can get better</w:t>
      </w:r>
      <w:r w:rsidDel="00000000" w:rsidR="00000000" w:rsidRPr="00000000">
        <w:rPr>
          <w:sz w:val="22"/>
          <w:szCs w:val="22"/>
          <w:rtl w:val="0"/>
        </w:rPr>
        <w:t xml:space="preserve">” (American Psychiatric Association 2019, p.2). </w:t>
      </w:r>
      <w:r w:rsidDel="00000000" w:rsidR="00000000" w:rsidRPr="00000000">
        <w:rPr>
          <w:rtl w:val="0"/>
        </w:rPr>
      </w:r>
    </w:p>
    <w:p w:rsidR="00000000" w:rsidDel="00000000" w:rsidP="00000000" w:rsidRDefault="00000000" w:rsidRPr="00000000" w14:paraId="00000A49">
      <w:pPr>
        <w:spacing w:line="480" w:lineRule="auto"/>
        <w:jc w:val="both"/>
        <w:rPr>
          <w:sz w:val="22"/>
          <w:szCs w:val="22"/>
        </w:rPr>
      </w:pPr>
      <w:r w:rsidDel="00000000" w:rsidR="00000000" w:rsidRPr="00000000">
        <w:rPr>
          <w:rtl w:val="0"/>
        </w:rPr>
      </w:r>
    </w:p>
    <w:p w:rsidR="00000000" w:rsidDel="00000000" w:rsidP="00000000" w:rsidRDefault="00000000" w:rsidRPr="00000000" w14:paraId="00000A4A">
      <w:pPr>
        <w:spacing w:line="480" w:lineRule="auto"/>
        <w:jc w:val="both"/>
        <w:rPr>
          <w:sz w:val="22"/>
          <w:szCs w:val="22"/>
        </w:rPr>
      </w:pPr>
      <w:r w:rsidDel="00000000" w:rsidR="00000000" w:rsidRPr="00000000">
        <w:rPr>
          <w:sz w:val="22"/>
          <w:szCs w:val="22"/>
          <w:rtl w:val="0"/>
        </w:rPr>
        <w:t xml:space="preserve">Open discussions about mental health were noted in several interviews, and as previously noted, resulted in some to associate with peers that hold similar beliefs around this concept, and move away from individuals that do not. This wider discussion and understanding of mental health can also further support a reduction in stigma (Simmons et al, 2017). This, however, could be a result of the “</w:t>
      </w:r>
      <w:r w:rsidDel="00000000" w:rsidR="00000000" w:rsidRPr="00000000">
        <w:rPr>
          <w:i w:val="1"/>
          <w:sz w:val="22"/>
          <w:szCs w:val="22"/>
          <w:rtl w:val="0"/>
        </w:rPr>
        <w:t xml:space="preserve">normalisation</w:t>
      </w:r>
      <w:r w:rsidDel="00000000" w:rsidR="00000000" w:rsidRPr="00000000">
        <w:rPr>
          <w:sz w:val="22"/>
          <w:szCs w:val="22"/>
          <w:rtl w:val="0"/>
        </w:rPr>
        <w:t xml:space="preserve">” of discussions about mental health (Fullgar and O’Brien 2014, p.4). Participants who identify with this theory report discussing their concerns with their peers or colleagues, where appropriate, going some way in “</w:t>
      </w:r>
      <w:r w:rsidDel="00000000" w:rsidR="00000000" w:rsidRPr="00000000">
        <w:rPr>
          <w:i w:val="1"/>
          <w:sz w:val="22"/>
          <w:szCs w:val="22"/>
          <w:rtl w:val="0"/>
        </w:rPr>
        <w:t xml:space="preserve">normalising</w:t>
      </w:r>
      <w:r w:rsidDel="00000000" w:rsidR="00000000" w:rsidRPr="00000000">
        <w:rPr>
          <w:sz w:val="22"/>
          <w:szCs w:val="22"/>
          <w:rtl w:val="0"/>
        </w:rPr>
        <w:t xml:space="preserve">” their experiences. Familiarity with mental illness has a “</w:t>
      </w:r>
      <w:r w:rsidDel="00000000" w:rsidR="00000000" w:rsidRPr="00000000">
        <w:rPr>
          <w:i w:val="1"/>
          <w:sz w:val="22"/>
          <w:szCs w:val="22"/>
          <w:rtl w:val="0"/>
        </w:rPr>
        <w:t xml:space="preserve">significant influence</w:t>
      </w:r>
      <w:r w:rsidDel="00000000" w:rsidR="00000000" w:rsidRPr="00000000">
        <w:rPr>
          <w:sz w:val="22"/>
          <w:szCs w:val="22"/>
          <w:rtl w:val="0"/>
        </w:rPr>
        <w:t xml:space="preserve">” on the reduction in stigma associated with mental health (Meyer et al 2020, p.232).  This has been associated with the biological approach to depression, which has been described as unintentionally normalising the understanding of mental health and has normalised the clinical approach to treating these patients (Fullgar and O’Brien 2014, p.4). </w:t>
      </w:r>
    </w:p>
    <w:p w:rsidR="00000000" w:rsidDel="00000000" w:rsidP="00000000" w:rsidRDefault="00000000" w:rsidRPr="00000000" w14:paraId="00000A4B">
      <w:pPr>
        <w:spacing w:line="480" w:lineRule="auto"/>
        <w:jc w:val="both"/>
        <w:rPr>
          <w:sz w:val="22"/>
          <w:szCs w:val="22"/>
        </w:rPr>
      </w:pPr>
      <w:r w:rsidDel="00000000" w:rsidR="00000000" w:rsidRPr="00000000">
        <w:rPr>
          <w:rtl w:val="0"/>
        </w:rPr>
      </w:r>
    </w:p>
    <w:p w:rsidR="00000000" w:rsidDel="00000000" w:rsidP="00000000" w:rsidRDefault="00000000" w:rsidRPr="00000000" w14:paraId="00000A4C">
      <w:pPr>
        <w:spacing w:line="480" w:lineRule="auto"/>
        <w:jc w:val="both"/>
        <w:rPr>
          <w:sz w:val="22"/>
          <w:szCs w:val="22"/>
        </w:rPr>
      </w:pPr>
      <w:r w:rsidDel="00000000" w:rsidR="00000000" w:rsidRPr="00000000">
        <w:rPr>
          <w:sz w:val="22"/>
          <w:szCs w:val="22"/>
          <w:rtl w:val="0"/>
        </w:rPr>
        <w:t xml:space="preserve">Mental health campaigns have gone some way in raising awareness of mental health disorders (Donovan et al, 2024). There is a positive impact on help-seeking behaviour resulting from mental health awareness, and the decrease in stigma associated with mental illness (Donovan et al, 2024). When asked, 52% of participants (</w:t>
      </w:r>
      <w:r w:rsidDel="00000000" w:rsidR="00000000" w:rsidRPr="00000000">
        <w:rPr>
          <w:i w:val="1"/>
          <w:sz w:val="22"/>
          <w:szCs w:val="22"/>
          <w:rtl w:val="0"/>
        </w:rPr>
        <w:t xml:space="preserve">n=</w:t>
      </w:r>
      <w:r w:rsidDel="00000000" w:rsidR="00000000" w:rsidRPr="00000000">
        <w:rPr>
          <w:sz w:val="22"/>
          <w:szCs w:val="22"/>
          <w:rtl w:val="0"/>
        </w:rPr>
        <w:t xml:space="preserve"> 482) in Donovan et al’s enquiry support the notion that these campaigns have improved openness around depression, and reduced the stigma associated with this diagnosis (Donovan et al 2024, p.4), Furthermore, a systematic review conducted by Tam et al (2024) found largely positive effects associated with such campaigns. This was observed through reduced internalised stigma, stigma towards others, general mental health awareness, and increased motivation towards help seeking (Tam et al 2024, p.916). Those engaging in anti-stigma campaigns have been found to report greater comfort in disclosing a mental health problem, and increased help-seeking (Henderson et al, 2018). </w:t>
      </w:r>
    </w:p>
    <w:p w:rsidR="00000000" w:rsidDel="00000000" w:rsidP="00000000" w:rsidRDefault="00000000" w:rsidRPr="00000000" w14:paraId="00000A4D">
      <w:pPr>
        <w:spacing w:line="480" w:lineRule="auto"/>
        <w:jc w:val="both"/>
        <w:rPr>
          <w:sz w:val="22"/>
          <w:szCs w:val="22"/>
        </w:rPr>
      </w:pPr>
      <w:r w:rsidDel="00000000" w:rsidR="00000000" w:rsidRPr="00000000">
        <w:rPr>
          <w:rtl w:val="0"/>
        </w:rPr>
      </w:r>
    </w:p>
    <w:p w:rsidR="00000000" w:rsidDel="00000000" w:rsidP="00000000" w:rsidRDefault="00000000" w:rsidRPr="00000000" w14:paraId="00000A4E">
      <w:pPr>
        <w:spacing w:line="480" w:lineRule="auto"/>
        <w:jc w:val="both"/>
        <w:rPr>
          <w:sz w:val="22"/>
          <w:szCs w:val="22"/>
        </w:rPr>
      </w:pPr>
      <w:r w:rsidDel="00000000" w:rsidR="00000000" w:rsidRPr="00000000">
        <w:rPr>
          <w:sz w:val="22"/>
          <w:szCs w:val="22"/>
          <w:rtl w:val="0"/>
        </w:rPr>
        <w:t xml:space="preserve">In practice, several local, national and international campaigns by advocacy groups have attempted to address male mental health and wellbeing. Examples include services such as ManHealth in the North East of England, providing peer support to men experiencing poor mental health and wellbeing. These are often peer led and underpin positive approaches towards both general health and mental health in men (ManHealth, 2024). Internationally, the widely known campaign by The Movember Foundation’s event “</w:t>
      </w:r>
      <w:r w:rsidDel="00000000" w:rsidR="00000000" w:rsidRPr="00000000">
        <w:rPr>
          <w:i w:val="1"/>
          <w:sz w:val="22"/>
          <w:szCs w:val="22"/>
          <w:rtl w:val="0"/>
        </w:rPr>
        <w:t xml:space="preserve">Movember</w:t>
      </w:r>
      <w:r w:rsidDel="00000000" w:rsidR="00000000" w:rsidRPr="00000000">
        <w:rPr>
          <w:sz w:val="22"/>
          <w:szCs w:val="22"/>
          <w:rtl w:val="0"/>
        </w:rPr>
        <w:t xml:space="preserve">”, originating in Australia, attempts to address male health concerns including mental health (The Movember Foundation, 2024). This campaign signposts users to support and hold fundraising events to raise money to support men’s health projects in four key areas – mental health, suicide prevention, prostate cancer and testicular cancer (The Movember Foundation, 2024). Since 2003, The Movember Foundation has funded more than 1,250 men’s health projects globally and addressed the way in which health services conduct outreach and support for males (The Movember Foundation, 2024).</w:t>
      </w:r>
    </w:p>
    <w:p w:rsidR="00000000" w:rsidDel="00000000" w:rsidP="00000000" w:rsidRDefault="00000000" w:rsidRPr="00000000" w14:paraId="00000A4F">
      <w:pPr>
        <w:spacing w:line="480" w:lineRule="auto"/>
        <w:jc w:val="both"/>
        <w:rPr>
          <w:sz w:val="22"/>
          <w:szCs w:val="22"/>
        </w:rPr>
      </w:pPr>
      <w:r w:rsidDel="00000000" w:rsidR="00000000" w:rsidRPr="00000000">
        <w:rPr>
          <w:rtl w:val="0"/>
        </w:rPr>
      </w:r>
    </w:p>
    <w:p w:rsidR="00000000" w:rsidDel="00000000" w:rsidP="00000000" w:rsidRDefault="00000000" w:rsidRPr="00000000" w14:paraId="00000A50">
      <w:pPr>
        <w:spacing w:line="480" w:lineRule="auto"/>
        <w:jc w:val="both"/>
        <w:rPr>
          <w:sz w:val="22"/>
          <w:szCs w:val="22"/>
        </w:rPr>
      </w:pPr>
      <w:r w:rsidDel="00000000" w:rsidR="00000000" w:rsidRPr="00000000">
        <w:rPr>
          <w:sz w:val="22"/>
          <w:szCs w:val="22"/>
          <w:rtl w:val="0"/>
        </w:rPr>
        <w:t xml:space="preserve">The Movember campaign has been identified as a key facilitator for men to access support for their mental health, reducing the stigma associated with help seeking (Freiberg, 2020). A report published by the UK mental health charity Mind (2020), found men are three times more likely to seek support from a therapist than in 2009 (Mind 2020, p.5). This report suggests men are also 10% more likely to accept antidepressant medication than in 2009 (Mind 2020, p.10). However, the same report suggest although men are increasingly seeking support for their mental wellbeing, the support is often absent (Mind 2020, p.9). This has led to informal peer support communities, such as “</w:t>
      </w:r>
      <w:r w:rsidDel="00000000" w:rsidR="00000000" w:rsidRPr="00000000">
        <w:rPr>
          <w:i w:val="1"/>
          <w:sz w:val="22"/>
          <w:szCs w:val="22"/>
          <w:rtl w:val="0"/>
        </w:rPr>
        <w:t xml:space="preserve">The Council of Bens</w:t>
      </w:r>
      <w:r w:rsidDel="00000000" w:rsidR="00000000" w:rsidRPr="00000000">
        <w:rPr>
          <w:sz w:val="22"/>
          <w:szCs w:val="22"/>
          <w:rtl w:val="0"/>
        </w:rPr>
        <w:t xml:space="preserve">”, which will be discussed later (</w:t>
      </w:r>
      <w:hyperlink w:anchor="_heading=h.3bj1y38">
        <w:r w:rsidDel="00000000" w:rsidR="00000000" w:rsidRPr="00000000">
          <w:rPr>
            <w:color w:val="467886"/>
            <w:sz w:val="22"/>
            <w:szCs w:val="22"/>
            <w:u w:val="single"/>
            <w:rtl w:val="0"/>
          </w:rPr>
          <w:t xml:space="preserve">Section 7.8.</w:t>
        </w:r>
      </w:hyperlink>
      <w:r w:rsidDel="00000000" w:rsidR="00000000" w:rsidRPr="00000000">
        <w:rPr>
          <w:sz w:val="22"/>
          <w:szCs w:val="22"/>
          <w:rtl w:val="0"/>
        </w:rPr>
        <w:t xml:space="preserve">, p. 253). </w:t>
      </w:r>
    </w:p>
    <w:p w:rsidR="00000000" w:rsidDel="00000000" w:rsidP="00000000" w:rsidRDefault="00000000" w:rsidRPr="00000000" w14:paraId="00000A51">
      <w:pPr>
        <w:spacing w:line="480" w:lineRule="auto"/>
        <w:jc w:val="both"/>
        <w:rPr>
          <w:sz w:val="22"/>
          <w:szCs w:val="22"/>
        </w:rPr>
      </w:pPr>
      <w:r w:rsidDel="00000000" w:rsidR="00000000" w:rsidRPr="00000000">
        <w:rPr>
          <w:rtl w:val="0"/>
        </w:rPr>
      </w:r>
    </w:p>
    <w:p w:rsidR="00000000" w:rsidDel="00000000" w:rsidP="00000000" w:rsidRDefault="00000000" w:rsidRPr="00000000" w14:paraId="00000A52">
      <w:pPr>
        <w:spacing w:line="480" w:lineRule="auto"/>
        <w:jc w:val="both"/>
        <w:rPr>
          <w:sz w:val="22"/>
          <w:szCs w:val="22"/>
        </w:rPr>
      </w:pPr>
      <w:r w:rsidDel="00000000" w:rsidR="00000000" w:rsidRPr="00000000">
        <w:rPr>
          <w:sz w:val="22"/>
          <w:szCs w:val="22"/>
          <w:rtl w:val="0"/>
        </w:rPr>
        <w:t xml:space="preserve">These campaigns can be adapted to meet the needs of the target audience, such as marginalised or hard to reach groups. Whilst research suggests peer support can improve engagement and wellbeing, groups created around race and culture can address this further (Chambers 2021). This is particularly important when discussing intersections of society, as noted in </w:t>
      </w:r>
      <w:hyperlink w:anchor="_heading=h.3as4poj">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51). As a reminder, intersectionality is defined as: </w:t>
      </w:r>
    </w:p>
    <w:p w:rsidR="00000000" w:rsidDel="00000000" w:rsidP="00000000" w:rsidRDefault="00000000" w:rsidRPr="00000000" w14:paraId="00000A53">
      <w:pPr>
        <w:spacing w:line="480" w:lineRule="auto"/>
        <w:jc w:val="both"/>
        <w:rPr>
          <w:sz w:val="22"/>
          <w:szCs w:val="22"/>
        </w:rPr>
      </w:pPr>
      <w:r w:rsidDel="00000000" w:rsidR="00000000" w:rsidRPr="00000000">
        <w:rPr>
          <w:rtl w:val="0"/>
        </w:rPr>
      </w:r>
    </w:p>
    <w:p w:rsidR="00000000" w:rsidDel="00000000" w:rsidP="00000000" w:rsidRDefault="00000000" w:rsidRPr="00000000" w14:paraId="00000A5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ways that multiple forms of inequality or disadvantage sometimes compound themselves and create obstacles that often are not understood among conventional ways of thinking</w:t>
      </w:r>
      <w:r w:rsidDel="00000000" w:rsidR="00000000" w:rsidRPr="00000000">
        <w:rPr>
          <w:sz w:val="22"/>
          <w:szCs w:val="22"/>
          <w:rtl w:val="0"/>
        </w:rPr>
        <w:t xml:space="preserve">.”</w:t>
      </w:r>
    </w:p>
    <w:p w:rsidR="00000000" w:rsidDel="00000000" w:rsidP="00000000" w:rsidRDefault="00000000" w:rsidRPr="00000000" w14:paraId="00000A55">
      <w:pPr>
        <w:spacing w:line="480" w:lineRule="auto"/>
        <w:ind w:left="709" w:firstLine="0"/>
        <w:jc w:val="right"/>
        <w:rPr>
          <w:sz w:val="22"/>
          <w:szCs w:val="22"/>
        </w:rPr>
      </w:pPr>
      <w:r w:rsidDel="00000000" w:rsidR="00000000" w:rsidRPr="00000000">
        <w:rPr>
          <w:sz w:val="22"/>
          <w:szCs w:val="22"/>
          <w:rtl w:val="0"/>
        </w:rPr>
        <w:t xml:space="preserve">(Crenshaw 1989, p.149)</w:t>
      </w:r>
    </w:p>
    <w:p w:rsidR="00000000" w:rsidDel="00000000" w:rsidP="00000000" w:rsidRDefault="00000000" w:rsidRPr="00000000" w14:paraId="00000A56">
      <w:pPr>
        <w:spacing w:line="480" w:lineRule="auto"/>
        <w:ind w:left="709" w:firstLine="0"/>
        <w:jc w:val="right"/>
        <w:rPr>
          <w:sz w:val="22"/>
          <w:szCs w:val="22"/>
        </w:rPr>
      </w:pPr>
      <w:r w:rsidDel="00000000" w:rsidR="00000000" w:rsidRPr="00000000">
        <w:rPr>
          <w:rtl w:val="0"/>
        </w:rPr>
      </w:r>
    </w:p>
    <w:p w:rsidR="00000000" w:rsidDel="00000000" w:rsidP="00000000" w:rsidRDefault="00000000" w:rsidRPr="00000000" w14:paraId="00000A57">
      <w:pPr>
        <w:spacing w:line="480" w:lineRule="auto"/>
        <w:jc w:val="both"/>
        <w:rPr>
          <w:sz w:val="22"/>
          <w:szCs w:val="22"/>
        </w:rPr>
      </w:pPr>
      <w:r w:rsidDel="00000000" w:rsidR="00000000" w:rsidRPr="00000000">
        <w:rPr>
          <w:sz w:val="22"/>
          <w:szCs w:val="22"/>
          <w:rtl w:val="0"/>
        </w:rPr>
        <w:t xml:space="preserve">Intersectionality is an important consideration when discussing the limitations of this research, as participants who were discussing mental health and antidepressants were mostly white and originate from a western culture - this will be discussed later in the </w:t>
      </w:r>
      <w:hyperlink w:anchor="_heading=h.47hxl2r">
        <w:r w:rsidDel="00000000" w:rsidR="00000000" w:rsidRPr="00000000">
          <w:rPr>
            <w:color w:val="467886"/>
            <w:sz w:val="22"/>
            <w:szCs w:val="22"/>
            <w:u w:val="single"/>
            <w:rtl w:val="0"/>
          </w:rPr>
          <w:t xml:space="preserve">Limitations</w:t>
        </w:r>
      </w:hyperlink>
      <w:r w:rsidDel="00000000" w:rsidR="00000000" w:rsidRPr="00000000">
        <w:rPr>
          <w:sz w:val="22"/>
          <w:szCs w:val="22"/>
          <w:rtl w:val="0"/>
        </w:rPr>
        <w:t xml:space="preserve"> section (p. 260. As noted in </w:t>
      </w:r>
      <w:hyperlink w:anchor="_heading=h.3as4poj">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51), those who identify with one or more protected characteristic, for example racial identity and gender, are more likely to face stigmatisation than other groups, and may find support challenging to access. This was reflected in </w:t>
      </w:r>
      <w:hyperlink w:anchor="_heading=h.3as4poj">
        <w:r w:rsidDel="00000000" w:rsidR="00000000" w:rsidRPr="00000000">
          <w:rPr>
            <w:color w:val="467886"/>
            <w:sz w:val="22"/>
            <w:szCs w:val="22"/>
            <w:u w:val="single"/>
            <w:rtl w:val="0"/>
          </w:rPr>
          <w:t xml:space="preserve">Chapter Six</w:t>
        </w:r>
      </w:hyperlink>
      <w:r w:rsidDel="00000000" w:rsidR="00000000" w:rsidRPr="00000000">
        <w:rPr>
          <w:sz w:val="22"/>
          <w:szCs w:val="22"/>
          <w:rtl w:val="0"/>
        </w:rPr>
        <w:t xml:space="preserve"> (p. 163), whereby </w:t>
      </w:r>
      <w:r w:rsidDel="00000000" w:rsidR="00000000" w:rsidRPr="00000000">
        <w:rPr>
          <w:i w:val="1"/>
          <w:sz w:val="22"/>
          <w:szCs w:val="22"/>
          <w:rtl w:val="0"/>
        </w:rPr>
        <w:t xml:space="preserve">Kirsty</w:t>
      </w:r>
      <w:r w:rsidDel="00000000" w:rsidR="00000000" w:rsidRPr="00000000">
        <w:rPr>
          <w:sz w:val="22"/>
          <w:szCs w:val="22"/>
          <w:rtl w:val="0"/>
        </w:rPr>
        <w:t xml:space="preserve"> identifies as female and was born in the Middle East. Compared to white male participants, she appeared to face more barriers to alternative treatments. It was reported accessing psychological interventions difficult since English is not her first language and communicating her feelings was perceived as challenging. </w:t>
      </w:r>
    </w:p>
    <w:p w:rsidR="00000000" w:rsidDel="00000000" w:rsidP="00000000" w:rsidRDefault="00000000" w:rsidRPr="00000000" w14:paraId="00000A58">
      <w:pPr>
        <w:spacing w:line="480" w:lineRule="auto"/>
        <w:jc w:val="both"/>
        <w:rPr>
          <w:sz w:val="22"/>
          <w:szCs w:val="22"/>
        </w:rPr>
      </w:pPr>
      <w:r w:rsidDel="00000000" w:rsidR="00000000" w:rsidRPr="00000000">
        <w:rPr>
          <w:rtl w:val="0"/>
        </w:rPr>
      </w:r>
    </w:p>
    <w:p w:rsidR="00000000" w:rsidDel="00000000" w:rsidP="00000000" w:rsidRDefault="00000000" w:rsidRPr="00000000" w14:paraId="00000A59">
      <w:pPr>
        <w:spacing w:line="480" w:lineRule="auto"/>
        <w:jc w:val="both"/>
        <w:rPr>
          <w:sz w:val="22"/>
          <w:szCs w:val="22"/>
        </w:rPr>
      </w:pPr>
      <w:r w:rsidDel="00000000" w:rsidR="00000000" w:rsidRPr="00000000">
        <w:rPr>
          <w:sz w:val="22"/>
          <w:szCs w:val="22"/>
          <w:rtl w:val="0"/>
        </w:rPr>
        <w:t xml:space="preserve">On a wider note, as previously described, Black Males have reportedly lower levels of mental ill health than White Males (Mind 2020, p. 15). It has been found systematic and institutional racism and discrimination have been identified as a significant factor in why Black males can experience poor mental health and does not occur in countries with a predominantly Black population, resulting in poorer health outcomes and an increased risk of suicidality (Mind 2020 p.15, Centre for Mental Health 2017, McManus et al 2016). To address the intersections of society, and the specific concerns these communities may experience, there are several specific peer support groups for the BAME community. These include, but are not limited to, Black Minds Matter, British Asian Trust, Therapy for Black Girls and The Black, African and Asian Therapy Network (BAATN) (Immigration Law Practitioners Association, 2024). Peer support in both informal spaces, and formal healthcare settings will be discussed in depth, and contextualised within the sick role in Section 7.8., “</w:t>
      </w:r>
      <w:hyperlink w:anchor="_heading=h.2981zbj">
        <w:r w:rsidDel="00000000" w:rsidR="00000000" w:rsidRPr="00000000">
          <w:rPr>
            <w:i w:val="1"/>
            <w:color w:val="467886"/>
            <w:sz w:val="22"/>
            <w:szCs w:val="22"/>
            <w:u w:val="single"/>
            <w:rtl w:val="0"/>
          </w:rPr>
          <w:t xml:space="preserve">Lay Knowledge and Peer Support”</w:t>
        </w:r>
      </w:hyperlink>
      <w:r w:rsidDel="00000000" w:rsidR="00000000" w:rsidRPr="00000000">
        <w:rPr>
          <w:sz w:val="22"/>
          <w:szCs w:val="22"/>
          <w:rtl w:val="0"/>
        </w:rPr>
        <w:t xml:space="preserve"> (p. 253). </w:t>
      </w:r>
    </w:p>
    <w:p w:rsidR="00000000" w:rsidDel="00000000" w:rsidP="00000000" w:rsidRDefault="00000000" w:rsidRPr="00000000" w14:paraId="00000A5A">
      <w:pPr>
        <w:spacing w:line="480" w:lineRule="auto"/>
        <w:jc w:val="both"/>
        <w:rPr>
          <w:sz w:val="22"/>
          <w:szCs w:val="22"/>
        </w:rPr>
      </w:pPr>
      <w:r w:rsidDel="00000000" w:rsidR="00000000" w:rsidRPr="00000000">
        <w:rPr>
          <w:rtl w:val="0"/>
        </w:rPr>
      </w:r>
    </w:p>
    <w:p w:rsidR="00000000" w:rsidDel="00000000" w:rsidP="00000000" w:rsidRDefault="00000000" w:rsidRPr="00000000" w14:paraId="00000A5B">
      <w:pPr>
        <w:spacing w:line="480" w:lineRule="auto"/>
        <w:jc w:val="both"/>
        <w:rPr>
          <w:sz w:val="22"/>
          <w:szCs w:val="22"/>
        </w:rPr>
      </w:pPr>
      <w:r w:rsidDel="00000000" w:rsidR="00000000" w:rsidRPr="00000000">
        <w:rPr>
          <w:sz w:val="22"/>
          <w:szCs w:val="22"/>
          <w:rtl w:val="0"/>
        </w:rPr>
        <w:t xml:space="preserve">A systematic review conducted by Du et al (2023) suggest those who identify as White, and those from western cultures, are less likely to self-stigmatise in the context of depression (Du et al 2023, p.333). The same review found self-stigma is positively associated with those who identify as male (Du et al 2023, p.333). Highlighted in </w:t>
      </w:r>
      <w:hyperlink w:anchor="_heading=h.3as4poj">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51), those who identify as male are subjected to the societal norms of “</w:t>
      </w:r>
      <w:r w:rsidDel="00000000" w:rsidR="00000000" w:rsidRPr="00000000">
        <w:rPr>
          <w:i w:val="1"/>
          <w:sz w:val="22"/>
          <w:szCs w:val="22"/>
          <w:rtl w:val="0"/>
        </w:rPr>
        <w:t xml:space="preserve">acting</w:t>
      </w:r>
      <w:r w:rsidDel="00000000" w:rsidR="00000000" w:rsidRPr="00000000">
        <w:rPr>
          <w:sz w:val="22"/>
          <w:szCs w:val="22"/>
          <w:rtl w:val="0"/>
        </w:rPr>
        <w:t xml:space="preserve"> </w:t>
      </w:r>
      <w:r w:rsidDel="00000000" w:rsidR="00000000" w:rsidRPr="00000000">
        <w:rPr>
          <w:i w:val="1"/>
          <w:sz w:val="22"/>
          <w:szCs w:val="22"/>
          <w:rtl w:val="0"/>
        </w:rPr>
        <w:t xml:space="preserve">tough</w:t>
      </w:r>
      <w:r w:rsidDel="00000000" w:rsidR="00000000" w:rsidRPr="00000000">
        <w:rPr>
          <w:sz w:val="22"/>
          <w:szCs w:val="22"/>
          <w:rtl w:val="0"/>
        </w:rPr>
        <w:t xml:space="preserve">”, self-sufficiency, and independence (Koenig 2018). Furthermore, men can be subject to “</w:t>
      </w:r>
      <w:r w:rsidDel="00000000" w:rsidR="00000000" w:rsidRPr="00000000">
        <w:rPr>
          <w:i w:val="1"/>
          <w:sz w:val="22"/>
          <w:szCs w:val="22"/>
          <w:rtl w:val="0"/>
        </w:rPr>
        <w:t xml:space="preserve">toxic masculinity</w:t>
      </w:r>
      <w:r w:rsidDel="00000000" w:rsidR="00000000" w:rsidRPr="00000000">
        <w:rPr>
          <w:sz w:val="22"/>
          <w:szCs w:val="22"/>
          <w:rtl w:val="0"/>
        </w:rPr>
        <w:t xml:space="preserve">”, whereby behaviours contradicting these societal norms, such as crying, are punished (Chatmon 2020, p.2). This can result in a difficulty in expressing emotion, with adherence to these “</w:t>
      </w:r>
      <w:r w:rsidDel="00000000" w:rsidR="00000000" w:rsidRPr="00000000">
        <w:rPr>
          <w:i w:val="1"/>
          <w:sz w:val="22"/>
          <w:szCs w:val="22"/>
          <w:rtl w:val="0"/>
        </w:rPr>
        <w:t xml:space="preserve">rigid</w:t>
      </w:r>
      <w:r w:rsidDel="00000000" w:rsidR="00000000" w:rsidRPr="00000000">
        <w:rPr>
          <w:sz w:val="22"/>
          <w:szCs w:val="22"/>
          <w:rtl w:val="0"/>
        </w:rPr>
        <w:t xml:space="preserve">” norms may lead to worsening of depression and anxiety, substance use and discouragement in help-seeking (Chatmon 2020, p.2). Despite a higher suicide rate, there are reportedly lower rates of depression amongst men (McKenzie et al 2022, p.2). This was not the experience of the white male participants in this study; however, it could be argued that those who hold these internally stigmatising beliefs may not be open to discussing their experiences in the context of research participation.</w:t>
      </w:r>
    </w:p>
    <w:p w:rsidR="00000000" w:rsidDel="00000000" w:rsidP="00000000" w:rsidRDefault="00000000" w:rsidRPr="00000000" w14:paraId="00000A5C">
      <w:pPr>
        <w:spacing w:line="480" w:lineRule="auto"/>
        <w:jc w:val="both"/>
        <w:rPr>
          <w:sz w:val="22"/>
          <w:szCs w:val="22"/>
        </w:rPr>
      </w:pPr>
      <w:r w:rsidDel="00000000" w:rsidR="00000000" w:rsidRPr="00000000">
        <w:rPr>
          <w:rtl w:val="0"/>
        </w:rPr>
      </w:r>
    </w:p>
    <w:p w:rsidR="00000000" w:rsidDel="00000000" w:rsidP="00000000" w:rsidRDefault="00000000" w:rsidRPr="00000000" w14:paraId="00000A5D">
      <w:pPr>
        <w:pStyle w:val="Heading3"/>
        <w:spacing w:line="480" w:lineRule="auto"/>
        <w:rPr/>
      </w:pPr>
      <w:bookmarkStart w:colFirst="0" w:colLast="0" w:name="_heading=h.3oy7u29" w:id="122"/>
      <w:bookmarkEnd w:id="122"/>
      <w:r w:rsidDel="00000000" w:rsidR="00000000" w:rsidRPr="00000000">
        <w:rPr>
          <w:rtl w:val="0"/>
        </w:rPr>
        <w:t xml:space="preserve">Summary</w:t>
      </w:r>
    </w:p>
    <w:p w:rsidR="00000000" w:rsidDel="00000000" w:rsidP="00000000" w:rsidRDefault="00000000" w:rsidRPr="00000000" w14:paraId="00000A5E">
      <w:pPr>
        <w:spacing w:line="480" w:lineRule="auto"/>
        <w:jc w:val="both"/>
        <w:rPr>
          <w:sz w:val="22"/>
          <w:szCs w:val="22"/>
        </w:rPr>
      </w:pPr>
      <w:r w:rsidDel="00000000" w:rsidR="00000000" w:rsidRPr="00000000">
        <w:rPr>
          <w:sz w:val="22"/>
          <w:szCs w:val="22"/>
          <w:rtl w:val="0"/>
        </w:rPr>
        <w:t xml:space="preserve">There was a dominance of antidepressants within the data. This section attempted to summarise some of the factors contributing to this trend, including the increase in disease prevalence, the attitudes held towards antidepressant medicines, and the reported reduction in stigma associated towards those with a mental health disorder. It has been shown that depression, and therefore antidepressant prescribing, has increased dramatically in comparison to the other four therapeutic groups studied. This has been associated with social issues, such as conflict or financial issues, however it has been further contextualised with attitudes towards those with depression and antidepressant use. </w:t>
      </w:r>
    </w:p>
    <w:p w:rsidR="00000000" w:rsidDel="00000000" w:rsidP="00000000" w:rsidRDefault="00000000" w:rsidRPr="00000000" w14:paraId="00000A5F">
      <w:pPr>
        <w:spacing w:line="480" w:lineRule="auto"/>
        <w:jc w:val="both"/>
        <w:rPr>
          <w:sz w:val="22"/>
          <w:szCs w:val="22"/>
        </w:rPr>
      </w:pPr>
      <w:r w:rsidDel="00000000" w:rsidR="00000000" w:rsidRPr="00000000">
        <w:rPr>
          <w:rtl w:val="0"/>
        </w:rPr>
      </w:r>
    </w:p>
    <w:p w:rsidR="00000000" w:rsidDel="00000000" w:rsidP="00000000" w:rsidRDefault="00000000" w:rsidRPr="00000000" w14:paraId="00000A60">
      <w:pPr>
        <w:spacing w:line="480" w:lineRule="auto"/>
        <w:jc w:val="both"/>
        <w:rPr>
          <w:sz w:val="22"/>
          <w:szCs w:val="22"/>
        </w:rPr>
      </w:pPr>
      <w:r w:rsidDel="00000000" w:rsidR="00000000" w:rsidRPr="00000000">
        <w:rPr>
          <w:sz w:val="22"/>
          <w:szCs w:val="22"/>
          <w:rtl w:val="0"/>
        </w:rPr>
        <w:t xml:space="preserve">It has been argued the biomedical approach, although contested, has supported help-seeking behaviour by reducing the stigma associated with antidepressant use (Moncrieff et al 2022, Olio et al 2020, p.5). Those who identify with this approach are more likely to access support, therefore entering the sick role. It has been noted in the data that those who are diagnosed with depression are not at fault for their illness due to their alignment with the biomedical approach, further fitting in the position of the sick role. Supported by the literature, participants describe their antidepressant as effective (Cipriani et al 2018, Read et al 2020 p.754, Yassen et al 2024 p.8). Where the biomedical approach, and therefore medicines, is favoured and are more likely to seek support (Brown et al 2007, Elwy et al 2024 p.11). This is particularly present in those who are experiencing milder symptoms (Johnson et al 2017, p. 6). </w:t>
      </w:r>
    </w:p>
    <w:p w:rsidR="00000000" w:rsidDel="00000000" w:rsidP="00000000" w:rsidRDefault="00000000" w:rsidRPr="00000000" w14:paraId="00000A61">
      <w:pPr>
        <w:spacing w:line="480" w:lineRule="auto"/>
        <w:jc w:val="both"/>
        <w:rPr>
          <w:sz w:val="22"/>
          <w:szCs w:val="22"/>
        </w:rPr>
      </w:pPr>
      <w:r w:rsidDel="00000000" w:rsidR="00000000" w:rsidRPr="00000000">
        <w:rPr>
          <w:rtl w:val="0"/>
        </w:rPr>
      </w:r>
    </w:p>
    <w:p w:rsidR="00000000" w:rsidDel="00000000" w:rsidP="00000000" w:rsidRDefault="00000000" w:rsidRPr="00000000" w14:paraId="00000A62">
      <w:pPr>
        <w:spacing w:line="480" w:lineRule="auto"/>
        <w:jc w:val="both"/>
        <w:rPr>
          <w:sz w:val="22"/>
          <w:szCs w:val="22"/>
        </w:rPr>
      </w:pPr>
      <w:r w:rsidDel="00000000" w:rsidR="00000000" w:rsidRPr="00000000">
        <w:rPr>
          <w:sz w:val="22"/>
          <w:szCs w:val="22"/>
          <w:rtl w:val="0"/>
        </w:rPr>
        <w:t xml:space="preserve">Stigmatisation has long been identified as a barrier to help-seeking in healthcare (Scott et al 2015, Corrigan 2004, Mahajan et al 2008), as a result of a stereotypical unpredictability and perceived difficulty to treat (Jacoby and Austin 2007). It has been argued the biomedical approach has removed some responsibility of depression from the individual, with such narrative reducing the stigma associated with antidepressant use (</w:t>
      </w:r>
      <w:r w:rsidDel="00000000" w:rsidR="00000000" w:rsidRPr="00000000">
        <w:rPr>
          <w:rFonts w:ascii="Aptos" w:cs="Aptos" w:eastAsia="Aptos" w:hAnsi="Aptos"/>
          <w:sz w:val="22"/>
          <w:szCs w:val="22"/>
          <w:rtl w:val="0"/>
        </w:rPr>
        <w:t xml:space="preserve">Kvaale et al 2013, Phelan et al 2023). The popularisation of the contested Serotonin Theory, and the normalisation of these discussions have had a positive impact on help-seeking behaviour (</w:t>
      </w:r>
      <w:r w:rsidDel="00000000" w:rsidR="00000000" w:rsidRPr="00000000">
        <w:rPr>
          <w:sz w:val="22"/>
          <w:szCs w:val="22"/>
          <w:rtl w:val="0"/>
        </w:rPr>
        <w:t xml:space="preserve">Donovan et al 2024). This is through mental health awareness campaigns and support groups, from local to international provision. These campaigns have led some patient groups, such as Males, to seek-support from medical professionals where appropriate.  The next section will discuss information sharing and informed consent. It will emphasise the importance of this concept, and the challenges a professional may experience when obtaining informed consent in the context of poor mental health and chronic pain. </w:t>
      </w:r>
    </w:p>
    <w:p w:rsidR="00000000" w:rsidDel="00000000" w:rsidP="00000000" w:rsidRDefault="00000000" w:rsidRPr="00000000" w14:paraId="00000A63">
      <w:pPr>
        <w:spacing w:line="480" w:lineRule="auto"/>
        <w:jc w:val="both"/>
        <w:rPr>
          <w:sz w:val="22"/>
          <w:szCs w:val="22"/>
        </w:rPr>
      </w:pPr>
      <w:r w:rsidDel="00000000" w:rsidR="00000000" w:rsidRPr="00000000">
        <w:rPr>
          <w:rtl w:val="0"/>
        </w:rPr>
      </w:r>
    </w:p>
    <w:p w:rsidR="00000000" w:rsidDel="00000000" w:rsidP="00000000" w:rsidRDefault="00000000" w:rsidRPr="00000000" w14:paraId="00000A64">
      <w:pPr>
        <w:pStyle w:val="Heading2"/>
        <w:numPr>
          <w:ilvl w:val="1"/>
          <w:numId w:val="19"/>
        </w:numPr>
        <w:spacing w:line="480" w:lineRule="auto"/>
        <w:ind w:left="720" w:hanging="720"/>
        <w:jc w:val="both"/>
        <w:rPr/>
      </w:pPr>
      <w:bookmarkStart w:colFirst="0" w:colLast="0" w:name="_heading=h.243i4a2" w:id="123"/>
      <w:bookmarkEnd w:id="123"/>
      <w:r w:rsidDel="00000000" w:rsidR="00000000" w:rsidRPr="00000000">
        <w:rPr>
          <w:rtl w:val="0"/>
        </w:rPr>
        <w:t xml:space="preserve">Information Sharing and Informed Consent</w:t>
      </w:r>
    </w:p>
    <w:p w:rsidR="00000000" w:rsidDel="00000000" w:rsidP="00000000" w:rsidRDefault="00000000" w:rsidRPr="00000000" w14:paraId="00000A65">
      <w:pPr>
        <w:spacing w:line="480" w:lineRule="auto"/>
        <w:jc w:val="both"/>
        <w:rPr>
          <w:sz w:val="22"/>
          <w:szCs w:val="22"/>
        </w:rPr>
      </w:pPr>
      <w:r w:rsidDel="00000000" w:rsidR="00000000" w:rsidRPr="00000000">
        <w:rPr>
          <w:sz w:val="22"/>
          <w:szCs w:val="22"/>
          <w:rtl w:val="0"/>
        </w:rPr>
        <w:t xml:space="preserve">Key features of  </w:t>
      </w:r>
      <w:hyperlink w:anchor="_heading=h.48pi1tg">
        <w:r w:rsidDel="00000000" w:rsidR="00000000" w:rsidRPr="00000000">
          <w:rPr>
            <w:color w:val="467886"/>
            <w:sz w:val="22"/>
            <w:szCs w:val="22"/>
            <w:u w:val="single"/>
            <w:rtl w:val="0"/>
          </w:rPr>
          <w:t xml:space="preserve">Chapter Five</w:t>
        </w:r>
      </w:hyperlink>
      <w:r w:rsidDel="00000000" w:rsidR="00000000" w:rsidRPr="00000000">
        <w:rPr>
          <w:sz w:val="22"/>
          <w:szCs w:val="22"/>
          <w:rtl w:val="0"/>
        </w:rPr>
        <w:t xml:space="preserve"> (p. 132) were the importance of informed consent and shared decision making for participants when choosing whether to either accept or refuse medicines, and as part of their ongoing evaluation of their treatment. Participants described several key issues that potentially impacted their ability to provide informed consent, such as their symptom severity, ability to retain information that was shared, and the practitioner’s perceived level of information sharing. </w:t>
      </w:r>
    </w:p>
    <w:p w:rsidR="00000000" w:rsidDel="00000000" w:rsidP="00000000" w:rsidRDefault="00000000" w:rsidRPr="00000000" w14:paraId="00000A66">
      <w:pPr>
        <w:spacing w:line="480" w:lineRule="auto"/>
        <w:jc w:val="both"/>
        <w:rPr>
          <w:sz w:val="22"/>
          <w:szCs w:val="22"/>
        </w:rPr>
      </w:pPr>
      <w:r w:rsidDel="00000000" w:rsidR="00000000" w:rsidRPr="00000000">
        <w:rPr>
          <w:rtl w:val="0"/>
        </w:rPr>
      </w:r>
    </w:p>
    <w:p w:rsidR="00000000" w:rsidDel="00000000" w:rsidP="00000000" w:rsidRDefault="00000000" w:rsidRPr="00000000" w14:paraId="00000A67">
      <w:pPr>
        <w:spacing w:line="480" w:lineRule="auto"/>
        <w:jc w:val="both"/>
        <w:rPr>
          <w:sz w:val="22"/>
          <w:szCs w:val="22"/>
        </w:rPr>
      </w:pPr>
      <w:r w:rsidDel="00000000" w:rsidR="00000000" w:rsidRPr="00000000">
        <w:rPr>
          <w:sz w:val="22"/>
          <w:szCs w:val="22"/>
          <w:rtl w:val="0"/>
        </w:rPr>
        <w:t xml:space="preserve">Information sharing is a key component in updated clinical guidelines and medical practice and has been emphasised as an imperative component of healthcare provision, particularly when discussing prescribed medicines. This is particularly important when engaging in discussions about side effects, the risk of dependence, and associated withdrawal symptoms. Although information sharing was reported by all participants, the quality and quantity of information shared, varied. This is reflected in the wider literature (see Anderson et al 2015 p.5, Cartwright et al 2015 p.1405, Kinnaird et al 2019 p.3, Kim et al 2020 p.238, Hamilton et al 2022 p.4089, Chahal et al 2023 p.6, Seddon et al 2024 p.3).</w:t>
      </w:r>
    </w:p>
    <w:p w:rsidR="00000000" w:rsidDel="00000000" w:rsidP="00000000" w:rsidRDefault="00000000" w:rsidRPr="00000000" w14:paraId="00000A68">
      <w:pPr>
        <w:spacing w:line="480" w:lineRule="auto"/>
        <w:jc w:val="both"/>
        <w:rPr>
          <w:sz w:val="22"/>
          <w:szCs w:val="22"/>
        </w:rPr>
      </w:pPr>
      <w:r w:rsidDel="00000000" w:rsidR="00000000" w:rsidRPr="00000000">
        <w:rPr>
          <w:rtl w:val="0"/>
        </w:rPr>
      </w:r>
    </w:p>
    <w:p w:rsidR="00000000" w:rsidDel="00000000" w:rsidP="00000000" w:rsidRDefault="00000000" w:rsidRPr="00000000" w14:paraId="00000A69">
      <w:pPr>
        <w:spacing w:line="480" w:lineRule="auto"/>
        <w:jc w:val="both"/>
        <w:rPr/>
      </w:pPr>
      <w:r w:rsidDel="00000000" w:rsidR="00000000" w:rsidRPr="00000000">
        <w:rPr>
          <w:sz w:val="22"/>
          <w:szCs w:val="22"/>
          <w:rtl w:val="0"/>
        </w:rPr>
        <w:t xml:space="preserve">Firstly, this section will draw upon a relatively recent legal challenge in the United Kingdom where clinical guidance was updated in response (O’Neill 2022, Montgomery versus Lanarkshire Health Board 2015). The challenges in providing informed consent, described by participants, will be explored in the context of the wider literature, such as the participant’s capacity and ability to retain information (Alfelo et al 2022, Bester et al 2016 p.871, Whitlock et al 2017, Mazza et al 2018, Waisman and Katz 2024). It will be shown that as a consequence of significant symptoms  and implications associated with an individual’s health condition, patients are willing to use medicines passively. This in part, supports the notion of a “</w:t>
      </w:r>
      <w:r w:rsidDel="00000000" w:rsidR="00000000" w:rsidRPr="00000000">
        <w:rPr>
          <w:i w:val="1"/>
          <w:sz w:val="22"/>
          <w:szCs w:val="22"/>
          <w:rtl w:val="0"/>
        </w:rPr>
        <w:t xml:space="preserve">passive acceptance</w:t>
      </w:r>
      <w:r w:rsidDel="00000000" w:rsidR="00000000" w:rsidRPr="00000000">
        <w:rPr>
          <w:sz w:val="22"/>
          <w:szCs w:val="22"/>
          <w:rtl w:val="0"/>
        </w:rPr>
        <w:t xml:space="preserve">” of treatment, per Parsons’ sick role, it does contradict the obligations of the practitioner (Parsons, 1951).</w:t>
      </w:r>
      <w:r w:rsidDel="00000000" w:rsidR="00000000" w:rsidRPr="00000000">
        <w:rPr>
          <w:rtl w:val="0"/>
        </w:rPr>
      </w:r>
    </w:p>
    <w:p w:rsidR="00000000" w:rsidDel="00000000" w:rsidP="00000000" w:rsidRDefault="00000000" w:rsidRPr="00000000" w14:paraId="00000A6A">
      <w:pPr>
        <w:spacing w:line="480" w:lineRule="auto"/>
        <w:jc w:val="both"/>
        <w:rPr>
          <w:sz w:val="22"/>
          <w:szCs w:val="22"/>
        </w:rPr>
      </w:pPr>
      <w:r w:rsidDel="00000000" w:rsidR="00000000" w:rsidRPr="00000000">
        <w:rPr>
          <w:rtl w:val="0"/>
        </w:rPr>
      </w:r>
    </w:p>
    <w:p w:rsidR="00000000" w:rsidDel="00000000" w:rsidP="00000000" w:rsidRDefault="00000000" w:rsidRPr="00000000" w14:paraId="00000A6B">
      <w:pPr>
        <w:spacing w:line="480" w:lineRule="auto"/>
        <w:jc w:val="both"/>
        <w:rPr>
          <w:sz w:val="22"/>
          <w:szCs w:val="22"/>
        </w:rPr>
      </w:pPr>
      <w:r w:rsidDel="00000000" w:rsidR="00000000" w:rsidRPr="00000000">
        <w:rPr>
          <w:sz w:val="22"/>
          <w:szCs w:val="22"/>
          <w:rtl w:val="0"/>
        </w:rPr>
        <w:t xml:space="preserve">This section will then explore how healthcare professionals’ information sharing practices can have an impact on the patient’s perceived, or indeed actual, ability to make decisions regarding their treatment plan and options.  It will be shown, that obtaining informed consent is not only integral to good clinical practice, but also to the sick role (Parsons, 1951). Per this theory, practitioners should be acting in line with “</w:t>
      </w:r>
      <w:r w:rsidDel="00000000" w:rsidR="00000000" w:rsidRPr="00000000">
        <w:rPr>
          <w:i w:val="1"/>
          <w:sz w:val="22"/>
          <w:szCs w:val="22"/>
          <w:rtl w:val="0"/>
        </w:rPr>
        <w:t xml:space="preserve">professional conduct</w:t>
      </w:r>
      <w:r w:rsidDel="00000000" w:rsidR="00000000" w:rsidRPr="00000000">
        <w:rPr>
          <w:sz w:val="22"/>
          <w:szCs w:val="22"/>
          <w:rtl w:val="0"/>
        </w:rPr>
        <w:t xml:space="preserve">” and in the “</w:t>
      </w:r>
      <w:r w:rsidDel="00000000" w:rsidR="00000000" w:rsidRPr="00000000">
        <w:rPr>
          <w:i w:val="1"/>
          <w:sz w:val="22"/>
          <w:szCs w:val="22"/>
          <w:rtl w:val="0"/>
        </w:rPr>
        <w:t xml:space="preserve">best interest</w:t>
      </w:r>
      <w:r w:rsidDel="00000000" w:rsidR="00000000" w:rsidRPr="00000000">
        <w:rPr>
          <w:sz w:val="22"/>
          <w:szCs w:val="22"/>
          <w:rtl w:val="0"/>
        </w:rPr>
        <w:t xml:space="preserve">” of the patient (Parsons, 1951).</w:t>
      </w:r>
    </w:p>
    <w:p w:rsidR="00000000" w:rsidDel="00000000" w:rsidP="00000000" w:rsidRDefault="00000000" w:rsidRPr="00000000" w14:paraId="00000A6C">
      <w:pPr>
        <w:spacing w:line="480" w:lineRule="auto"/>
        <w:jc w:val="both"/>
        <w:rPr>
          <w:sz w:val="22"/>
          <w:szCs w:val="22"/>
        </w:rPr>
      </w:pPr>
      <w:r w:rsidDel="00000000" w:rsidR="00000000" w:rsidRPr="00000000">
        <w:rPr>
          <w:rtl w:val="0"/>
        </w:rPr>
      </w:r>
    </w:p>
    <w:p w:rsidR="00000000" w:rsidDel="00000000" w:rsidP="00000000" w:rsidRDefault="00000000" w:rsidRPr="00000000" w14:paraId="00000A6D">
      <w:pPr>
        <w:pStyle w:val="Heading3"/>
        <w:spacing w:line="480" w:lineRule="auto"/>
        <w:jc w:val="both"/>
        <w:rPr/>
      </w:pPr>
      <w:bookmarkStart w:colFirst="0" w:colLast="0" w:name="_heading=h.j8sehv" w:id="124"/>
      <w:bookmarkEnd w:id="124"/>
      <w:r w:rsidDel="00000000" w:rsidR="00000000" w:rsidRPr="00000000">
        <w:rPr>
          <w:rtl w:val="0"/>
        </w:rPr>
        <w:t xml:space="preserve">The Importance of Informed Consent</w:t>
      </w:r>
    </w:p>
    <w:p w:rsidR="00000000" w:rsidDel="00000000" w:rsidP="00000000" w:rsidRDefault="00000000" w:rsidRPr="00000000" w14:paraId="00000A6E">
      <w:pPr>
        <w:spacing w:line="480" w:lineRule="auto"/>
        <w:jc w:val="both"/>
        <w:rPr>
          <w:sz w:val="22"/>
          <w:szCs w:val="22"/>
        </w:rPr>
      </w:pPr>
      <w:r w:rsidDel="00000000" w:rsidR="00000000" w:rsidRPr="00000000">
        <w:rPr>
          <w:sz w:val="22"/>
          <w:szCs w:val="22"/>
          <w:rtl w:val="0"/>
        </w:rPr>
        <w:t xml:space="preserve">Informed consent is an important consideration for healthcare professionals. Informed consent is defined by the National Health Service (2022), as where:</w:t>
      </w:r>
    </w:p>
    <w:p w:rsidR="00000000" w:rsidDel="00000000" w:rsidP="00000000" w:rsidRDefault="00000000" w:rsidRPr="00000000" w14:paraId="00000A6F">
      <w:pPr>
        <w:spacing w:line="480" w:lineRule="auto"/>
        <w:jc w:val="both"/>
        <w:rPr>
          <w:sz w:val="22"/>
          <w:szCs w:val="22"/>
        </w:rPr>
      </w:pPr>
      <w:r w:rsidDel="00000000" w:rsidR="00000000" w:rsidRPr="00000000">
        <w:rPr>
          <w:rtl w:val="0"/>
        </w:rPr>
      </w:r>
    </w:p>
    <w:p w:rsidR="00000000" w:rsidDel="00000000" w:rsidP="00000000" w:rsidRDefault="00000000" w:rsidRPr="00000000" w14:paraId="00000A70">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person must be given all of the information about what the treatment involves, including the benefits and risks, whether there are reasonable alternative treatments, and what will happen if treatment does not go ahead</w:t>
      </w:r>
      <w:r w:rsidDel="00000000" w:rsidR="00000000" w:rsidRPr="00000000">
        <w:rPr>
          <w:sz w:val="22"/>
          <w:szCs w:val="22"/>
          <w:rtl w:val="0"/>
        </w:rPr>
        <w:t xml:space="preserve">.”</w:t>
      </w:r>
    </w:p>
    <w:p w:rsidR="00000000" w:rsidDel="00000000" w:rsidP="00000000" w:rsidRDefault="00000000" w:rsidRPr="00000000" w14:paraId="00000A71">
      <w:pPr>
        <w:spacing w:line="480" w:lineRule="auto"/>
        <w:ind w:left="709" w:firstLine="0"/>
        <w:jc w:val="both"/>
        <w:rPr>
          <w:sz w:val="22"/>
          <w:szCs w:val="22"/>
        </w:rPr>
      </w:pPr>
      <w:r w:rsidDel="00000000" w:rsidR="00000000" w:rsidRPr="00000000">
        <w:rPr>
          <w:rtl w:val="0"/>
        </w:rPr>
      </w:r>
    </w:p>
    <w:p w:rsidR="00000000" w:rsidDel="00000000" w:rsidP="00000000" w:rsidRDefault="00000000" w:rsidRPr="00000000" w14:paraId="00000A72">
      <w:pPr>
        <w:spacing w:line="480" w:lineRule="auto"/>
        <w:jc w:val="both"/>
        <w:rPr>
          <w:sz w:val="22"/>
          <w:szCs w:val="22"/>
        </w:rPr>
      </w:pPr>
      <w:r w:rsidDel="00000000" w:rsidR="00000000" w:rsidRPr="00000000">
        <w:rPr>
          <w:sz w:val="22"/>
          <w:szCs w:val="22"/>
          <w:rtl w:val="0"/>
        </w:rPr>
        <w:t xml:space="preserve">Informed consent has three main components – information provision, assumption of capability, and the absence of coercion (Pozon, 2015). Informed consent must be given for healthcare professionals to do several things, ranging from physical examinations of the patient, to sharing their personal data. It is an important aspect of medical ethics and international human rights law. </w:t>
      </w:r>
    </w:p>
    <w:p w:rsidR="00000000" w:rsidDel="00000000" w:rsidP="00000000" w:rsidRDefault="00000000" w:rsidRPr="00000000" w14:paraId="00000A73">
      <w:pPr>
        <w:spacing w:line="480" w:lineRule="auto"/>
        <w:jc w:val="both"/>
        <w:rPr>
          <w:sz w:val="22"/>
          <w:szCs w:val="22"/>
        </w:rPr>
      </w:pPr>
      <w:r w:rsidDel="00000000" w:rsidR="00000000" w:rsidRPr="00000000">
        <w:rPr>
          <w:rtl w:val="0"/>
        </w:rPr>
      </w:r>
    </w:p>
    <w:p w:rsidR="00000000" w:rsidDel="00000000" w:rsidP="00000000" w:rsidRDefault="00000000" w:rsidRPr="00000000" w14:paraId="00000A74">
      <w:pPr>
        <w:spacing w:line="480" w:lineRule="auto"/>
        <w:jc w:val="both"/>
        <w:rPr>
          <w:sz w:val="22"/>
          <w:szCs w:val="22"/>
        </w:rPr>
      </w:pPr>
      <w:r w:rsidDel="00000000" w:rsidR="00000000" w:rsidRPr="00000000">
        <w:rPr>
          <w:sz w:val="22"/>
          <w:szCs w:val="22"/>
          <w:rtl w:val="0"/>
        </w:rPr>
        <w:t xml:space="preserve">A recent legal challenge in 2015 drew fresh attention to this concept, resulting in the British Medical Association and the General Pharmaceutical Council updating their guidance on informed consent and information sharing (O’Neill, 2022). This extends to prescribing. In 2015, a case was heard at the Supreme Court, Montgomery versus Lanarkshire Health Board (2015). The facts of the case described a diabetic woman experienced a high-risk pregnancy, including the risk of shoulder dystocia (common in diabetic pregnancies), or the inability of the baby’s shoulder to pass through the pelvis. This information was not shared with Montgomery, therefore elected to have a vaginal delivery despite elective caesarean sections being common practice. As a result, Montgomery’s baby obtained a hypoxic brain injury and consequently Cerebral Palsy. Montgomery sued Lanarkshire Health Board on the grounds of medical negligence, arguing if she understood the risks associated with shoulder dystocia, she would have elected for a caesarean section. </w:t>
      </w:r>
    </w:p>
    <w:p w:rsidR="00000000" w:rsidDel="00000000" w:rsidP="00000000" w:rsidRDefault="00000000" w:rsidRPr="00000000" w14:paraId="00000A75">
      <w:pPr>
        <w:spacing w:line="480" w:lineRule="auto"/>
        <w:jc w:val="both"/>
        <w:rPr>
          <w:sz w:val="22"/>
          <w:szCs w:val="22"/>
        </w:rPr>
      </w:pPr>
      <w:r w:rsidDel="00000000" w:rsidR="00000000" w:rsidRPr="00000000">
        <w:rPr>
          <w:rtl w:val="0"/>
        </w:rPr>
      </w:r>
    </w:p>
    <w:p w:rsidR="00000000" w:rsidDel="00000000" w:rsidP="00000000" w:rsidRDefault="00000000" w:rsidRPr="00000000" w14:paraId="00000A76">
      <w:pPr>
        <w:spacing w:line="480" w:lineRule="auto"/>
        <w:jc w:val="both"/>
        <w:rPr>
          <w:sz w:val="22"/>
          <w:szCs w:val="22"/>
        </w:rPr>
      </w:pPr>
      <w:r w:rsidDel="00000000" w:rsidR="00000000" w:rsidRPr="00000000">
        <w:rPr>
          <w:sz w:val="22"/>
          <w:szCs w:val="22"/>
          <w:rtl w:val="0"/>
        </w:rPr>
        <w:t xml:space="preserve">When discussing medical treatment, including prescribing, the healthcare professional must ensure informed consent has been given to make a decision. To gain informed consent, a discussion with the patient should take place. This discussion should communicate the risks, side effects, adverse outcomes of a procedure or medicine, and all information should be provided in an accessible way. It is considered an ongoing process, as updated by the General Medical Council as a response to Montgomery versus Lanarkshire Health Board (O’Neill, 2022). There are challenges healthcare professionals can face, however, when attempting to gain informed consent, and therefore informed decision making. The next section will discuss these issues in the context of this research. </w:t>
      </w:r>
    </w:p>
    <w:p w:rsidR="00000000" w:rsidDel="00000000" w:rsidP="00000000" w:rsidRDefault="00000000" w:rsidRPr="00000000" w14:paraId="00000A77">
      <w:pPr>
        <w:spacing w:line="480" w:lineRule="auto"/>
        <w:jc w:val="both"/>
        <w:rPr>
          <w:sz w:val="22"/>
          <w:szCs w:val="22"/>
        </w:rPr>
      </w:pPr>
      <w:r w:rsidDel="00000000" w:rsidR="00000000" w:rsidRPr="00000000">
        <w:rPr>
          <w:rtl w:val="0"/>
        </w:rPr>
      </w:r>
    </w:p>
    <w:p w:rsidR="00000000" w:rsidDel="00000000" w:rsidP="00000000" w:rsidRDefault="00000000" w:rsidRPr="00000000" w14:paraId="00000A78">
      <w:pPr>
        <w:pStyle w:val="Heading3"/>
        <w:spacing w:line="480" w:lineRule="auto"/>
        <w:jc w:val="both"/>
        <w:rPr/>
      </w:pPr>
      <w:bookmarkStart w:colFirst="0" w:colLast="0" w:name="_heading=h.338fx5o" w:id="125"/>
      <w:bookmarkEnd w:id="125"/>
      <w:r w:rsidDel="00000000" w:rsidR="00000000" w:rsidRPr="00000000">
        <w:rPr>
          <w:rtl w:val="0"/>
        </w:rPr>
        <w:t xml:space="preserve">Challenges in gaining Informed Consent</w:t>
      </w:r>
    </w:p>
    <w:p w:rsidR="00000000" w:rsidDel="00000000" w:rsidP="00000000" w:rsidRDefault="00000000" w:rsidRPr="00000000" w14:paraId="00000A79">
      <w:pPr>
        <w:spacing w:line="480" w:lineRule="auto"/>
        <w:jc w:val="both"/>
        <w:rPr>
          <w:sz w:val="22"/>
          <w:szCs w:val="22"/>
        </w:rPr>
      </w:pPr>
      <w:r w:rsidDel="00000000" w:rsidR="00000000" w:rsidRPr="00000000">
        <w:rPr>
          <w:sz w:val="22"/>
          <w:szCs w:val="22"/>
          <w:rtl w:val="0"/>
        </w:rPr>
        <w:t xml:space="preserve">Participants identified challenges when providing informed consent, including patient autonomy, the wider reaching implications of their health concern or medicine use, ability to retain or recall information, and the professional’s information sharing practices. Although not an exhaustive list, these are challenges that both patients and healthcare professionals may experience when attempting to gain informed consent and will now be discussed in turn. </w:t>
      </w:r>
    </w:p>
    <w:p w:rsidR="00000000" w:rsidDel="00000000" w:rsidP="00000000" w:rsidRDefault="00000000" w:rsidRPr="00000000" w14:paraId="00000A7A">
      <w:pPr>
        <w:pStyle w:val="Heading4"/>
        <w:spacing w:line="480" w:lineRule="auto"/>
        <w:jc w:val="both"/>
        <w:rPr/>
      </w:pPr>
      <w:bookmarkStart w:colFirst="0" w:colLast="0" w:name="_heading=h.1idq7dh" w:id="126"/>
      <w:bookmarkEnd w:id="126"/>
      <w:r w:rsidDel="00000000" w:rsidR="00000000" w:rsidRPr="00000000">
        <w:rPr>
          <w:rtl w:val="0"/>
        </w:rPr>
        <w:t xml:space="preserve">Patient Autonomy and Decision Making</w:t>
      </w:r>
    </w:p>
    <w:p w:rsidR="00000000" w:rsidDel="00000000" w:rsidP="00000000" w:rsidRDefault="00000000" w:rsidRPr="00000000" w14:paraId="00000A7B">
      <w:pPr>
        <w:spacing w:line="480" w:lineRule="auto"/>
        <w:jc w:val="both"/>
        <w:rPr>
          <w:sz w:val="22"/>
          <w:szCs w:val="22"/>
        </w:rPr>
      </w:pPr>
      <w:r w:rsidDel="00000000" w:rsidR="00000000" w:rsidRPr="00000000">
        <w:rPr>
          <w:sz w:val="22"/>
          <w:szCs w:val="22"/>
          <w:rtl w:val="0"/>
        </w:rPr>
        <w:t xml:space="preserve">Several participants describe experiences whereby they felt unable to make an informed decision due to the severity of their symptoms. This was a result of significant pain, or poor mental health that did not equate to a lack of mental capacity per the Mental Capacity Act (2005).</w:t>
      </w:r>
      <w:r w:rsidDel="00000000" w:rsidR="00000000" w:rsidRPr="00000000">
        <w:rPr>
          <w:i w:val="1"/>
          <w:sz w:val="22"/>
          <w:szCs w:val="22"/>
          <w:rtl w:val="0"/>
        </w:rPr>
        <w:t xml:space="preserve"> </w:t>
      </w:r>
      <w:r w:rsidDel="00000000" w:rsidR="00000000" w:rsidRPr="00000000">
        <w:rPr>
          <w:sz w:val="22"/>
          <w:szCs w:val="22"/>
          <w:rtl w:val="0"/>
        </w:rPr>
        <w:t xml:space="preserve">The ability to make informed decisions is an important aspect of formulating a treatment plan. </w:t>
      </w:r>
    </w:p>
    <w:p w:rsidR="00000000" w:rsidDel="00000000" w:rsidP="00000000" w:rsidRDefault="00000000" w:rsidRPr="00000000" w14:paraId="00000A7C">
      <w:pPr>
        <w:spacing w:line="480" w:lineRule="auto"/>
        <w:jc w:val="both"/>
        <w:rPr>
          <w:sz w:val="22"/>
          <w:szCs w:val="22"/>
        </w:rPr>
      </w:pPr>
      <w:r w:rsidDel="00000000" w:rsidR="00000000" w:rsidRPr="00000000">
        <w:rPr>
          <w:rtl w:val="0"/>
        </w:rPr>
      </w:r>
    </w:p>
    <w:p w:rsidR="00000000" w:rsidDel="00000000" w:rsidP="00000000" w:rsidRDefault="00000000" w:rsidRPr="00000000" w14:paraId="00000A7D">
      <w:pPr>
        <w:spacing w:line="480" w:lineRule="auto"/>
        <w:jc w:val="both"/>
        <w:rPr>
          <w:sz w:val="22"/>
          <w:szCs w:val="22"/>
        </w:rPr>
      </w:pPr>
      <w:r w:rsidDel="00000000" w:rsidR="00000000" w:rsidRPr="00000000">
        <w:rPr>
          <w:sz w:val="22"/>
          <w:szCs w:val="22"/>
          <w:rtl w:val="0"/>
        </w:rPr>
        <w:t xml:space="preserve">Age, chronic pain and poor mental health can present issues in decision making autonomy (D’Ussel et al 2024 p.8, Bergamin et al 2022 p.4). Autonomy is described as “</w:t>
      </w:r>
      <w:r w:rsidDel="00000000" w:rsidR="00000000" w:rsidRPr="00000000">
        <w:rPr>
          <w:i w:val="1"/>
          <w:sz w:val="22"/>
          <w:szCs w:val="22"/>
          <w:rtl w:val="0"/>
        </w:rPr>
        <w:t xml:space="preserve">the capacities of a person that enables them to live a meaningful life of their own making</w:t>
      </w:r>
      <w:r w:rsidDel="00000000" w:rsidR="00000000" w:rsidRPr="00000000">
        <w:rPr>
          <w:sz w:val="22"/>
          <w:szCs w:val="22"/>
          <w:rtl w:val="0"/>
        </w:rPr>
        <w:t xml:space="preserve">” (Bergamin et al, 2022). This differs to an individual’s mental capacity, which is commonly assessed in psychiatry. Capacity is defined as:</w:t>
      </w:r>
    </w:p>
    <w:p w:rsidR="00000000" w:rsidDel="00000000" w:rsidP="00000000" w:rsidRDefault="00000000" w:rsidRPr="00000000" w14:paraId="00000A7E">
      <w:pPr>
        <w:spacing w:line="480" w:lineRule="auto"/>
        <w:jc w:val="both"/>
        <w:rPr>
          <w:sz w:val="22"/>
          <w:szCs w:val="22"/>
        </w:rPr>
      </w:pPr>
      <w:r w:rsidDel="00000000" w:rsidR="00000000" w:rsidRPr="00000000">
        <w:rPr>
          <w:rtl w:val="0"/>
        </w:rPr>
      </w:r>
    </w:p>
    <w:p w:rsidR="00000000" w:rsidDel="00000000" w:rsidP="00000000" w:rsidRDefault="00000000" w:rsidRPr="00000000" w14:paraId="00000A7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ability to use and understand information to make a decision, and communicate any decision made</w:t>
      </w:r>
      <w:r w:rsidDel="00000000" w:rsidR="00000000" w:rsidRPr="00000000">
        <w:rPr>
          <w:sz w:val="22"/>
          <w:szCs w:val="22"/>
          <w:rtl w:val="0"/>
        </w:rPr>
        <w:t xml:space="preserve">.”</w:t>
      </w:r>
    </w:p>
    <w:p w:rsidR="00000000" w:rsidDel="00000000" w:rsidP="00000000" w:rsidRDefault="00000000" w:rsidRPr="00000000" w14:paraId="00000A80">
      <w:pPr>
        <w:spacing w:line="480" w:lineRule="auto"/>
        <w:ind w:left="709" w:firstLine="0"/>
        <w:jc w:val="right"/>
        <w:rPr>
          <w:sz w:val="22"/>
          <w:szCs w:val="22"/>
        </w:rPr>
      </w:pPr>
      <w:r w:rsidDel="00000000" w:rsidR="00000000" w:rsidRPr="00000000">
        <w:rPr>
          <w:sz w:val="22"/>
          <w:szCs w:val="22"/>
          <w:rtl w:val="0"/>
        </w:rPr>
        <w:t xml:space="preserve">(National Health Service, 2022)</w:t>
      </w:r>
    </w:p>
    <w:p w:rsidR="00000000" w:rsidDel="00000000" w:rsidP="00000000" w:rsidRDefault="00000000" w:rsidRPr="00000000" w14:paraId="00000A81">
      <w:pPr>
        <w:spacing w:line="480" w:lineRule="auto"/>
        <w:ind w:left="709" w:firstLine="0"/>
        <w:jc w:val="right"/>
        <w:rPr>
          <w:i w:val="1"/>
          <w:sz w:val="22"/>
          <w:szCs w:val="22"/>
        </w:rPr>
      </w:pPr>
      <w:r w:rsidDel="00000000" w:rsidR="00000000" w:rsidRPr="00000000">
        <w:rPr>
          <w:rtl w:val="0"/>
        </w:rPr>
      </w:r>
    </w:p>
    <w:p w:rsidR="00000000" w:rsidDel="00000000" w:rsidP="00000000" w:rsidRDefault="00000000" w:rsidRPr="00000000" w14:paraId="00000A82">
      <w:pPr>
        <w:spacing w:line="480" w:lineRule="auto"/>
        <w:jc w:val="both"/>
        <w:rPr>
          <w:sz w:val="22"/>
          <w:szCs w:val="22"/>
        </w:rPr>
      </w:pPr>
      <w:r w:rsidDel="00000000" w:rsidR="00000000" w:rsidRPr="00000000">
        <w:rPr>
          <w:sz w:val="22"/>
          <w:szCs w:val="22"/>
          <w:rtl w:val="0"/>
        </w:rPr>
        <w:t xml:space="preserve">A person can lack capacity if their “</w:t>
      </w:r>
      <w:r w:rsidDel="00000000" w:rsidR="00000000" w:rsidRPr="00000000">
        <w:rPr>
          <w:i w:val="1"/>
          <w:sz w:val="22"/>
          <w:szCs w:val="22"/>
          <w:rtl w:val="0"/>
        </w:rPr>
        <w:t xml:space="preserve">mind is impaired or disturbed in some way, which means they’re unable to make a decision at that time</w:t>
      </w:r>
      <w:r w:rsidDel="00000000" w:rsidR="00000000" w:rsidRPr="00000000">
        <w:rPr>
          <w:sz w:val="22"/>
          <w:szCs w:val="22"/>
          <w:rtl w:val="0"/>
        </w:rPr>
        <w:t xml:space="preserve">” (National Health Service, 2024). All participants in this study were deemed to have capacity to consent in research, and overall capacity (per the above definition) was assumed. When exploring experiences of the participants within this research, however, it is evident the implications of the participants health condition may have influenced their decision making in some way, and this was explicitly noted in some accounts. This does not equate to a lack of capacity per the Mental Capacity Act (2005). </w:t>
      </w:r>
    </w:p>
    <w:p w:rsidR="00000000" w:rsidDel="00000000" w:rsidP="00000000" w:rsidRDefault="00000000" w:rsidRPr="00000000" w14:paraId="00000A83">
      <w:pPr>
        <w:spacing w:line="480" w:lineRule="auto"/>
        <w:jc w:val="both"/>
        <w:rPr>
          <w:sz w:val="22"/>
          <w:szCs w:val="22"/>
        </w:rPr>
      </w:pPr>
      <w:r w:rsidDel="00000000" w:rsidR="00000000" w:rsidRPr="00000000">
        <w:rPr>
          <w:rtl w:val="0"/>
        </w:rPr>
      </w:r>
    </w:p>
    <w:p w:rsidR="00000000" w:rsidDel="00000000" w:rsidP="00000000" w:rsidRDefault="00000000" w:rsidRPr="00000000" w14:paraId="00000A84">
      <w:pPr>
        <w:spacing w:line="480" w:lineRule="auto"/>
        <w:jc w:val="both"/>
        <w:rPr>
          <w:sz w:val="22"/>
          <w:szCs w:val="22"/>
        </w:rPr>
      </w:pPr>
      <w:r w:rsidDel="00000000" w:rsidR="00000000" w:rsidRPr="00000000">
        <w:rPr>
          <w:sz w:val="22"/>
          <w:szCs w:val="22"/>
          <w:rtl w:val="0"/>
        </w:rPr>
        <w:t xml:space="preserve">Patient autonomy and therefore informed consent, however, can be impacted by the individual’s presenting health complaint (Timm et al 2020 p.2437, Bentivegna et al 2023 p.2513). The age of the participant was also alluded, in which case parents or guardians should be involved in the decision-making process where the patient is assessed to have limited understanding (National Health Service, 2022). This was found to be absent in this participant’s reports, however as this study does not explore children and adolescents experiences, age and capacity will not be explored in depth (per the </w:t>
      </w:r>
      <w:hyperlink w:anchor="_heading=h.3ygebqi">
        <w:r w:rsidDel="00000000" w:rsidR="00000000" w:rsidRPr="00000000">
          <w:rPr>
            <w:color w:val="467886"/>
            <w:sz w:val="22"/>
            <w:szCs w:val="22"/>
            <w:u w:val="single"/>
            <w:rtl w:val="0"/>
          </w:rPr>
          <w:t xml:space="preserve">Methodology</w:t>
        </w:r>
      </w:hyperlink>
      <w:r w:rsidDel="00000000" w:rsidR="00000000" w:rsidRPr="00000000">
        <w:rPr>
          <w:sz w:val="22"/>
          <w:szCs w:val="22"/>
          <w:rtl w:val="0"/>
        </w:rPr>
        <w:t xml:space="preserve"> section (p. 101).</w:t>
      </w:r>
    </w:p>
    <w:p w:rsidR="00000000" w:rsidDel="00000000" w:rsidP="00000000" w:rsidRDefault="00000000" w:rsidRPr="00000000" w14:paraId="00000A85">
      <w:pPr>
        <w:spacing w:line="480" w:lineRule="auto"/>
        <w:jc w:val="both"/>
        <w:rPr>
          <w:sz w:val="22"/>
          <w:szCs w:val="22"/>
        </w:rPr>
      </w:pPr>
      <w:r w:rsidDel="00000000" w:rsidR="00000000" w:rsidRPr="00000000">
        <w:rPr>
          <w:rtl w:val="0"/>
        </w:rPr>
      </w:r>
    </w:p>
    <w:p w:rsidR="00000000" w:rsidDel="00000000" w:rsidP="00000000" w:rsidRDefault="00000000" w:rsidRPr="00000000" w14:paraId="00000A86">
      <w:pPr>
        <w:spacing w:line="480" w:lineRule="auto"/>
        <w:jc w:val="both"/>
        <w:rPr>
          <w:sz w:val="22"/>
          <w:szCs w:val="22"/>
        </w:rPr>
      </w:pPr>
      <w:r w:rsidDel="00000000" w:rsidR="00000000" w:rsidRPr="00000000">
        <w:rPr>
          <w:sz w:val="22"/>
          <w:szCs w:val="22"/>
          <w:rtl w:val="0"/>
        </w:rPr>
        <w:t xml:space="preserve">Where alternative treatments and secondary care are perceived as inaccessible by participants, whether that be due to individual or wider systemic barriers, continued medicine use is perceived as essential by some in order to manage their symptoms. Where this is evident, some participants report accepting medicines passively, despite their preferences informed by previous treatment episodes, particularly when they were experiencing significant symptoms. This passivity is an important obligation within the sick role and therefore can go some way in supporting this aspect of Parsons’ theory (Parsons, 1951). It does not, however, support the responsibility of the practitioner who is obliged to provide all information per professional guidelines. This initial interaction somewhat contradicts a part of Varul’s argument, who suggests the sick role is not necessarily applicable to those who experience chronic illness (Varul, 2010). It will be argued that despite the acceptance of medicines being against personal preferences, the patient is still upholding their obligations by accepting a treatment plan.</w:t>
      </w:r>
    </w:p>
    <w:p w:rsidR="00000000" w:rsidDel="00000000" w:rsidP="00000000" w:rsidRDefault="00000000" w:rsidRPr="00000000" w14:paraId="00000A87">
      <w:pPr>
        <w:spacing w:line="480" w:lineRule="auto"/>
        <w:jc w:val="both"/>
        <w:rPr>
          <w:sz w:val="22"/>
          <w:szCs w:val="22"/>
        </w:rPr>
      </w:pPr>
      <w:r w:rsidDel="00000000" w:rsidR="00000000" w:rsidRPr="00000000">
        <w:rPr>
          <w:rtl w:val="0"/>
        </w:rPr>
      </w:r>
    </w:p>
    <w:p w:rsidR="00000000" w:rsidDel="00000000" w:rsidP="00000000" w:rsidRDefault="00000000" w:rsidRPr="00000000" w14:paraId="00000A88">
      <w:pPr>
        <w:spacing w:line="480" w:lineRule="auto"/>
        <w:jc w:val="both"/>
        <w:rPr>
          <w:sz w:val="22"/>
          <w:szCs w:val="22"/>
        </w:rPr>
      </w:pPr>
      <w:r w:rsidDel="00000000" w:rsidR="00000000" w:rsidRPr="00000000">
        <w:rPr>
          <w:sz w:val="22"/>
          <w:szCs w:val="22"/>
          <w:rtl w:val="0"/>
        </w:rPr>
        <w:t xml:space="preserve">Individual accounts describe symptoms associated with their mental health difficulties or physical health concerns, such as distress or high pain intensity. This has been found to lead to the passive acceptance of medicines, despite their personal preferences in terms of treatment options. The necessity of medication in these circumstances is further associated with the limited accessibility of alternative treatments and secondary care. This is supported by the literature, whereby chronic pain and poor mental health have been found to have an impact on the patient’s decision-making process (Timm et al 2020 p.2473, Bentivegna et al 2023 p.2513). In a study assessing the delay and effort attitudes within 654 chronic pain patients, those experiencing significant symptoms were found to be more likely to choose treatments that are perceived to be quicker in their therapeutic benefits, as opposed to longer term methods such as physiotherapy (Herman and Stanton 2022, p.496). They suggest this patient group are, therefore, likely to choose a treatment plan that is more immediate despite its perceived efficacy, negatively influencing treatment outcomes (Herman and Stanton 2022, p.496). </w:t>
      </w:r>
    </w:p>
    <w:p w:rsidR="00000000" w:rsidDel="00000000" w:rsidP="00000000" w:rsidRDefault="00000000" w:rsidRPr="00000000" w14:paraId="00000A89">
      <w:pPr>
        <w:spacing w:line="480" w:lineRule="auto"/>
        <w:jc w:val="both"/>
        <w:rPr>
          <w:sz w:val="22"/>
          <w:szCs w:val="22"/>
        </w:rPr>
      </w:pPr>
      <w:r w:rsidDel="00000000" w:rsidR="00000000" w:rsidRPr="00000000">
        <w:rPr>
          <w:rtl w:val="0"/>
        </w:rPr>
      </w:r>
    </w:p>
    <w:p w:rsidR="00000000" w:rsidDel="00000000" w:rsidP="00000000" w:rsidRDefault="00000000" w:rsidRPr="00000000" w14:paraId="00000A8A">
      <w:pPr>
        <w:spacing w:line="480" w:lineRule="auto"/>
        <w:jc w:val="both"/>
        <w:rPr>
          <w:sz w:val="22"/>
          <w:szCs w:val="22"/>
        </w:rPr>
      </w:pPr>
      <w:r w:rsidDel="00000000" w:rsidR="00000000" w:rsidRPr="00000000">
        <w:rPr>
          <w:sz w:val="22"/>
          <w:szCs w:val="22"/>
          <w:rtl w:val="0"/>
        </w:rPr>
        <w:t xml:space="preserve">Similarly, those who are experiencing poor mental health, yet are considered to have capacity, also experience implications for their decision making in a similar way to those experiencing chronic pain (Bentivegna et al 2023, p.2513). Participants also describe choosing medicines over alternatives as a result of poor mental health and wellbeing. Those who have been diagnosed with depression, or a depressive disorder can have lower confidence in their decision making (Yang and Gu 2023, p.5). This patient group are likely to be risk-averse compared to a control group, showing limited responsiveness to rewards (Minjun et al, 2018). As a result, the individual may experience more pressure to make decisions which may not align with their personal values. This has been reflected in several accounts.</w:t>
      </w:r>
    </w:p>
    <w:p w:rsidR="00000000" w:rsidDel="00000000" w:rsidP="00000000" w:rsidRDefault="00000000" w:rsidRPr="00000000" w14:paraId="00000A8B">
      <w:pPr>
        <w:spacing w:line="480" w:lineRule="auto"/>
        <w:jc w:val="both"/>
        <w:rPr>
          <w:sz w:val="22"/>
          <w:szCs w:val="22"/>
        </w:rPr>
      </w:pPr>
      <w:r w:rsidDel="00000000" w:rsidR="00000000" w:rsidRPr="00000000">
        <w:rPr>
          <w:rtl w:val="0"/>
        </w:rPr>
      </w:r>
    </w:p>
    <w:p w:rsidR="00000000" w:rsidDel="00000000" w:rsidP="00000000" w:rsidRDefault="00000000" w:rsidRPr="00000000" w14:paraId="00000A8C">
      <w:pPr>
        <w:spacing w:line="480" w:lineRule="auto"/>
        <w:jc w:val="both"/>
        <w:rPr>
          <w:sz w:val="22"/>
          <w:szCs w:val="22"/>
        </w:rPr>
      </w:pPr>
      <w:r w:rsidDel="00000000" w:rsidR="00000000" w:rsidRPr="00000000">
        <w:rPr>
          <w:sz w:val="22"/>
          <w:szCs w:val="22"/>
          <w:rtl w:val="0"/>
        </w:rPr>
        <w:t xml:space="preserve">However, participants describe barriers to alternative treatments such as physiotherapy or mental health support accessed through secondary care. Although these are oftentimes described as systemic or financial, there were instances whereby medication was preferred over these alternatives due to their perceived ease of access. The literature supports this finding, whereby medications are perceived to be less effort and can be perceived as more accessible these alternatives, where medication is preferred over physical therapy, despite it perhaps not being the most effective intervention (Herman and Stanton 2022, p.496). Furthermore, chronic pain patients are likely to have made adaptations in their lives to ensure pain is minimised and accessibility is maximised (Herman and Stanton 2022, p.496). Therefore, this patient group are more likely to prefer medications over these other interventions because of these lifestyle changes and the risk of disrupting routine and pain reducing practices (Herman and Stanton 2022, p.496). It is important to note, however, that Herman and Stanton’s study did not consider the views and experiences of those who had limited access to alternative treatments, therefore had limited choices in their treatment plan. </w:t>
      </w:r>
    </w:p>
    <w:p w:rsidR="00000000" w:rsidDel="00000000" w:rsidP="00000000" w:rsidRDefault="00000000" w:rsidRPr="00000000" w14:paraId="00000A8D">
      <w:pPr>
        <w:spacing w:line="480" w:lineRule="auto"/>
        <w:jc w:val="both"/>
        <w:rPr>
          <w:sz w:val="22"/>
          <w:szCs w:val="22"/>
        </w:rPr>
      </w:pPr>
      <w:r w:rsidDel="00000000" w:rsidR="00000000" w:rsidRPr="00000000">
        <w:rPr>
          <w:rtl w:val="0"/>
        </w:rPr>
      </w:r>
    </w:p>
    <w:p w:rsidR="00000000" w:rsidDel="00000000" w:rsidP="00000000" w:rsidRDefault="00000000" w:rsidRPr="00000000" w14:paraId="00000A8E">
      <w:pPr>
        <w:spacing w:line="480" w:lineRule="auto"/>
        <w:jc w:val="both"/>
        <w:rPr>
          <w:sz w:val="22"/>
          <w:szCs w:val="22"/>
          <w:highlight w:val="magenta"/>
        </w:rPr>
      </w:pPr>
      <w:r w:rsidDel="00000000" w:rsidR="00000000" w:rsidRPr="00000000">
        <w:rPr>
          <w:sz w:val="22"/>
          <w:szCs w:val="22"/>
          <w:rtl w:val="0"/>
        </w:rPr>
        <w:t xml:space="preserve">As outlined in </w:t>
      </w:r>
      <w:hyperlink w:anchor="_heading=h.2bn6wsx">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feminist critiques of the sick role suggest women are not privy to the exemptions afforded by the sick role (Oakley 1974, Nathanson et al 1975, Dixon-Woods et al 2006). It is assumed information will be used in an “</w:t>
      </w:r>
      <w:r w:rsidDel="00000000" w:rsidR="00000000" w:rsidRPr="00000000">
        <w:rPr>
          <w:i w:val="1"/>
          <w:sz w:val="22"/>
          <w:szCs w:val="22"/>
          <w:rtl w:val="0"/>
        </w:rPr>
        <w:t xml:space="preserve">autonomous and rational</w:t>
      </w:r>
      <w:r w:rsidDel="00000000" w:rsidR="00000000" w:rsidRPr="00000000">
        <w:rPr>
          <w:sz w:val="22"/>
          <w:szCs w:val="22"/>
          <w:rtl w:val="0"/>
        </w:rPr>
        <w:t xml:space="preserve">” way (Hall et al, 2012). However, this presumption is not always evident in practice. Social pressures can influence decision making in some demographics. Social pressures highlighted within the data include work and education commitments, familial responsibilities and the perceived need to lead a “</w:t>
      </w:r>
      <w:r w:rsidDel="00000000" w:rsidR="00000000" w:rsidRPr="00000000">
        <w:rPr>
          <w:i w:val="1"/>
          <w:sz w:val="22"/>
          <w:szCs w:val="22"/>
          <w:rtl w:val="0"/>
        </w:rPr>
        <w:t xml:space="preserve">normal life</w:t>
      </w:r>
      <w:r w:rsidDel="00000000" w:rsidR="00000000" w:rsidRPr="00000000">
        <w:rPr>
          <w:sz w:val="22"/>
          <w:szCs w:val="22"/>
          <w:rtl w:val="0"/>
        </w:rPr>
        <w:t xml:space="preserve">”. Hall et al (2012) suggest these social forces can undermine the efficacy of informed consent. A study highlighted in Hall et al’s paper found 30% of women consent to gynaecological procedures, despite not wanting surgery, as a result of becoming “</w:t>
      </w:r>
      <w:r w:rsidDel="00000000" w:rsidR="00000000" w:rsidRPr="00000000">
        <w:rPr>
          <w:i w:val="1"/>
          <w:sz w:val="22"/>
          <w:szCs w:val="22"/>
          <w:rtl w:val="0"/>
        </w:rPr>
        <w:t xml:space="preserve">enmeshed in the hospital structure of tacit, socially imposed rules of conduct</w:t>
      </w:r>
      <w:r w:rsidDel="00000000" w:rsidR="00000000" w:rsidRPr="00000000">
        <w:rPr>
          <w:sz w:val="22"/>
          <w:szCs w:val="22"/>
          <w:rtl w:val="0"/>
        </w:rPr>
        <w:t xml:space="preserve">” (Dixon-Woods et al, 2006). It was noted that female participants described wider social implications of their medication use and will be explored further in Section 7.6. “</w:t>
      </w:r>
      <w:hyperlink w:anchor="_heading=h.1vsw3ci">
        <w:r w:rsidDel="00000000" w:rsidR="00000000" w:rsidRPr="00000000">
          <w:rPr>
            <w:i w:val="1"/>
            <w:color w:val="467886"/>
            <w:sz w:val="22"/>
            <w:szCs w:val="22"/>
            <w:u w:val="single"/>
            <w:rtl w:val="0"/>
          </w:rPr>
          <w:t xml:space="preserve">Polypharmacy, Overprescribing and Inappropriate Prescribing</w:t>
        </w:r>
      </w:hyperlink>
      <w:r w:rsidDel="00000000" w:rsidR="00000000" w:rsidRPr="00000000">
        <w:rPr>
          <w:sz w:val="22"/>
          <w:szCs w:val="22"/>
          <w:rtl w:val="0"/>
        </w:rPr>
        <w:t xml:space="preserve">” (p. 232).</w:t>
      </w:r>
      <w:r w:rsidDel="00000000" w:rsidR="00000000" w:rsidRPr="00000000">
        <w:rPr>
          <w:rtl w:val="0"/>
        </w:rPr>
      </w:r>
    </w:p>
    <w:p w:rsidR="00000000" w:rsidDel="00000000" w:rsidP="00000000" w:rsidRDefault="00000000" w:rsidRPr="00000000" w14:paraId="00000A8F">
      <w:pPr>
        <w:spacing w:line="480" w:lineRule="auto"/>
        <w:jc w:val="both"/>
        <w:rPr>
          <w:sz w:val="22"/>
          <w:szCs w:val="22"/>
        </w:rPr>
      </w:pPr>
      <w:r w:rsidDel="00000000" w:rsidR="00000000" w:rsidRPr="00000000">
        <w:rPr>
          <w:rtl w:val="0"/>
        </w:rPr>
      </w:r>
    </w:p>
    <w:p w:rsidR="00000000" w:rsidDel="00000000" w:rsidP="00000000" w:rsidRDefault="00000000" w:rsidRPr="00000000" w14:paraId="00000A90">
      <w:pPr>
        <w:spacing w:line="480" w:lineRule="auto"/>
        <w:jc w:val="both"/>
        <w:rPr>
          <w:sz w:val="22"/>
          <w:szCs w:val="22"/>
        </w:rPr>
      </w:pPr>
      <w:r w:rsidDel="00000000" w:rsidR="00000000" w:rsidRPr="00000000">
        <w:rPr>
          <w:sz w:val="22"/>
          <w:szCs w:val="22"/>
          <w:rtl w:val="0"/>
        </w:rPr>
        <w:t xml:space="preserve">Although not exclusively reported by women, participants with a significant medical history describe this “</w:t>
      </w:r>
      <w:r w:rsidDel="00000000" w:rsidR="00000000" w:rsidRPr="00000000">
        <w:rPr>
          <w:i w:val="1"/>
          <w:sz w:val="22"/>
          <w:szCs w:val="22"/>
          <w:rtl w:val="0"/>
        </w:rPr>
        <w:t xml:space="preserve">enmeshment</w:t>
      </w:r>
      <w:r w:rsidDel="00000000" w:rsidR="00000000" w:rsidRPr="00000000">
        <w:rPr>
          <w:sz w:val="22"/>
          <w:szCs w:val="22"/>
          <w:rtl w:val="0"/>
        </w:rPr>
        <w:t xml:space="preserve">” in the “</w:t>
      </w:r>
      <w:r w:rsidDel="00000000" w:rsidR="00000000" w:rsidRPr="00000000">
        <w:rPr>
          <w:i w:val="1"/>
          <w:sz w:val="22"/>
          <w:szCs w:val="22"/>
          <w:rtl w:val="0"/>
        </w:rPr>
        <w:t xml:space="preserve">Medication Trap</w:t>
      </w:r>
      <w:r w:rsidDel="00000000" w:rsidR="00000000" w:rsidRPr="00000000">
        <w:rPr>
          <w:sz w:val="22"/>
          <w:szCs w:val="22"/>
          <w:rtl w:val="0"/>
        </w:rPr>
        <w:t xml:space="preserve">” discussed in </w:t>
      </w:r>
      <w:hyperlink w:anchor="_heading=h.4du1wux">
        <w:r w:rsidDel="00000000" w:rsidR="00000000" w:rsidRPr="00000000">
          <w:rPr>
            <w:color w:val="467886"/>
            <w:sz w:val="22"/>
            <w:szCs w:val="22"/>
            <w:u w:val="single"/>
            <w:rtl w:val="0"/>
          </w:rPr>
          <w:t xml:space="preserve">Chapter Six</w:t>
        </w:r>
      </w:hyperlink>
      <w:r w:rsidDel="00000000" w:rsidR="00000000" w:rsidRPr="00000000">
        <w:rPr>
          <w:sz w:val="22"/>
          <w:szCs w:val="22"/>
          <w:rtl w:val="0"/>
        </w:rPr>
        <w:t xml:space="preserve"> (p. 163). This experience is evidenced in participants that are using medicines for an extended timeframe, and therefore, are not able to transition out of the sick role. Reflections within the findings suggest this is due to the perceived lack of alternative treatments, secondary care, and therefore must maintain the obligations set by Parsons in order to continue with treatment, for example attending appointments despite feeling unwell. Although this supports the passive role expected of patients, per Parsons, it also supports the criticisms identified with this theory. Reflected in the data, participants describe using medicines as a result of a practitioner dominant interaction, where choices regarding other treatments were either not presented, or were interpreted as less effective. </w:t>
      </w:r>
    </w:p>
    <w:p w:rsidR="00000000" w:rsidDel="00000000" w:rsidP="00000000" w:rsidRDefault="00000000" w:rsidRPr="00000000" w14:paraId="00000A91">
      <w:pPr>
        <w:spacing w:line="480" w:lineRule="auto"/>
        <w:jc w:val="both"/>
        <w:rPr>
          <w:sz w:val="22"/>
          <w:szCs w:val="22"/>
        </w:rPr>
      </w:pPr>
      <w:r w:rsidDel="00000000" w:rsidR="00000000" w:rsidRPr="00000000">
        <w:rPr>
          <w:rtl w:val="0"/>
        </w:rPr>
      </w:r>
    </w:p>
    <w:p w:rsidR="00000000" w:rsidDel="00000000" w:rsidP="00000000" w:rsidRDefault="00000000" w:rsidRPr="00000000" w14:paraId="00000A92">
      <w:pPr>
        <w:pStyle w:val="Heading4"/>
        <w:spacing w:line="480" w:lineRule="auto"/>
        <w:rPr/>
      </w:pPr>
      <w:r w:rsidDel="00000000" w:rsidR="00000000" w:rsidRPr="00000000">
        <w:rPr>
          <w:rtl w:val="0"/>
        </w:rPr>
        <w:t xml:space="preserve">Information Retention</w:t>
      </w:r>
    </w:p>
    <w:p w:rsidR="00000000" w:rsidDel="00000000" w:rsidP="00000000" w:rsidRDefault="00000000" w:rsidRPr="00000000" w14:paraId="00000A93">
      <w:pPr>
        <w:spacing w:line="480" w:lineRule="auto"/>
        <w:jc w:val="both"/>
        <w:rPr>
          <w:sz w:val="22"/>
          <w:szCs w:val="22"/>
        </w:rPr>
      </w:pPr>
      <w:r w:rsidDel="00000000" w:rsidR="00000000" w:rsidRPr="00000000">
        <w:rPr>
          <w:sz w:val="22"/>
          <w:szCs w:val="22"/>
          <w:rtl w:val="0"/>
        </w:rPr>
        <w:t xml:space="preserve">Several participants describe not remembering if information was shared with them, and if it was, how much detail was offered. Although limited or brief information sharing was preferred by one participant, the overall preference within the data suggests information regarding side effects, dependency and associated withdrawal symptoms are essential. This is supported by clinical guidance and Good Clinical Prescribing guidelines (General Medical Council 2021, p.2). Information retention, and the issues that impact such retention, can also have implications for the provision of informed consent. </w:t>
      </w:r>
    </w:p>
    <w:p w:rsidR="00000000" w:rsidDel="00000000" w:rsidP="00000000" w:rsidRDefault="00000000" w:rsidRPr="00000000" w14:paraId="00000A94">
      <w:pPr>
        <w:spacing w:line="480" w:lineRule="auto"/>
        <w:jc w:val="both"/>
        <w:rPr>
          <w:sz w:val="22"/>
          <w:szCs w:val="22"/>
        </w:rPr>
      </w:pPr>
      <w:r w:rsidDel="00000000" w:rsidR="00000000" w:rsidRPr="00000000">
        <w:rPr>
          <w:rtl w:val="0"/>
        </w:rPr>
      </w:r>
    </w:p>
    <w:p w:rsidR="00000000" w:rsidDel="00000000" w:rsidP="00000000" w:rsidRDefault="00000000" w:rsidRPr="00000000" w14:paraId="00000A95">
      <w:pPr>
        <w:spacing w:line="480" w:lineRule="auto"/>
        <w:jc w:val="both"/>
        <w:rPr>
          <w:sz w:val="22"/>
          <w:szCs w:val="22"/>
        </w:rPr>
      </w:pPr>
      <w:r w:rsidDel="00000000" w:rsidR="00000000" w:rsidRPr="00000000">
        <w:rPr>
          <w:sz w:val="22"/>
          <w:szCs w:val="22"/>
          <w:rtl w:val="0"/>
        </w:rPr>
        <w:t xml:space="preserve">When discussing information retention in general terms, Hall et al (2012, p.535) found the amount of information retained can deteriorate from when the patient gave consent, as can the understanding of a procedure. Details about the interactions between the patient and practitioner, and the ability to recall such information, can also deteriorate as time progresses (Hall et al 2012, p.535). Specifically discussing the experiences of participants who described a long treatment history, the volume of information that is able to be recalled can be limited. This is particularly evident in those with chronic illness. Furthermore, as with decision making, the capacity for information retention can be negatively impacted by symptoms associated with ill health. When experiencing chronic pain or illness, however, repeated exposure to healthcare services can result in medical fatigue (Alfelo et al, 2022). The decision-making capacity of a patient can be affected due to this overwhelm, large amount of information required to retain, and the potential complexity of this information (Bester et al 2016, p.871). Research suggests persistent pain is associated with poor attention, accelerated memory decline, cognitive function and memory retrieval (Whitlock et al 2017, Mazza et al 2018, Waisman and Katz 2024). </w:t>
      </w:r>
    </w:p>
    <w:p w:rsidR="00000000" w:rsidDel="00000000" w:rsidP="00000000" w:rsidRDefault="00000000" w:rsidRPr="00000000" w14:paraId="00000A96">
      <w:pPr>
        <w:spacing w:line="480" w:lineRule="auto"/>
        <w:jc w:val="both"/>
        <w:rPr>
          <w:sz w:val="22"/>
          <w:szCs w:val="22"/>
        </w:rPr>
      </w:pPr>
      <w:r w:rsidDel="00000000" w:rsidR="00000000" w:rsidRPr="00000000">
        <w:rPr>
          <w:rtl w:val="0"/>
        </w:rPr>
      </w:r>
    </w:p>
    <w:p w:rsidR="00000000" w:rsidDel="00000000" w:rsidP="00000000" w:rsidRDefault="00000000" w:rsidRPr="00000000" w14:paraId="00000A97">
      <w:pPr>
        <w:spacing w:line="480" w:lineRule="auto"/>
        <w:jc w:val="both"/>
        <w:rPr>
          <w:sz w:val="22"/>
          <w:szCs w:val="22"/>
        </w:rPr>
      </w:pPr>
      <w:r w:rsidDel="00000000" w:rsidR="00000000" w:rsidRPr="00000000">
        <w:rPr>
          <w:sz w:val="22"/>
          <w:szCs w:val="22"/>
          <w:rtl w:val="0"/>
        </w:rPr>
        <w:t xml:space="preserve">Within the data, participants described situations where their ability to recall information from specific appointments, or from treatment received historically. One example includes </w:t>
      </w:r>
      <w:r w:rsidDel="00000000" w:rsidR="00000000" w:rsidRPr="00000000">
        <w:rPr>
          <w:i w:val="1"/>
          <w:sz w:val="22"/>
          <w:szCs w:val="22"/>
          <w:rtl w:val="0"/>
        </w:rPr>
        <w:t xml:space="preserve">Imogen’s</w:t>
      </w:r>
      <w:r w:rsidDel="00000000" w:rsidR="00000000" w:rsidRPr="00000000">
        <w:rPr>
          <w:sz w:val="22"/>
          <w:szCs w:val="22"/>
          <w:rtl w:val="0"/>
        </w:rPr>
        <w:t xml:space="preserve"> account, where her symptoms impacted her ability to recall information from appointments, and requests for a summary of each appointment and her note taking throughout. Other participants report poor recall regarding practitioner communication, and explanations around risks. The literature suggests those who are diagnosed with depression also typically show poor memory and impaired recollection of information (Dillon and Pizzagalli, 2018). Where this memory and recall is compromised, it can be argued that the patient cannot give informed consent. Although not in the scope of this research, there is a large literature base exploring memory recall and informed consent in patients with dementia. In the event memory and/or information recall is affected, by either chronic pain or poor mental health, yet the individual is still deemed to have capacity, strategies used with dementia patients could be implemented. This includes the practitioner explaining information in a focussed, concise and adapted to the individual’s needs whilst attempting to build rapport with the patient (Suver et al 2020, p.117 – 121).</w:t>
      </w:r>
    </w:p>
    <w:p w:rsidR="00000000" w:rsidDel="00000000" w:rsidP="00000000" w:rsidRDefault="00000000" w:rsidRPr="00000000" w14:paraId="00000A98">
      <w:pPr>
        <w:spacing w:line="480" w:lineRule="auto"/>
        <w:jc w:val="both"/>
        <w:rPr>
          <w:sz w:val="22"/>
          <w:szCs w:val="22"/>
        </w:rPr>
      </w:pPr>
      <w:r w:rsidDel="00000000" w:rsidR="00000000" w:rsidRPr="00000000">
        <w:rPr>
          <w:rtl w:val="0"/>
        </w:rPr>
      </w:r>
    </w:p>
    <w:p w:rsidR="00000000" w:rsidDel="00000000" w:rsidP="00000000" w:rsidRDefault="00000000" w:rsidRPr="00000000" w14:paraId="00000A99">
      <w:pPr>
        <w:spacing w:line="480" w:lineRule="auto"/>
        <w:jc w:val="both"/>
        <w:rPr>
          <w:sz w:val="22"/>
          <w:szCs w:val="22"/>
        </w:rPr>
      </w:pPr>
      <w:r w:rsidDel="00000000" w:rsidR="00000000" w:rsidRPr="00000000">
        <w:rPr>
          <w:sz w:val="22"/>
          <w:szCs w:val="22"/>
          <w:rtl w:val="0"/>
        </w:rPr>
        <w:t xml:space="preserve">The level of information the individual patient requires and prefers may also have an impact on the ability to make an informed decision. As noted previously, some participants prefer limited information. It is a “</w:t>
      </w:r>
      <w:r w:rsidDel="00000000" w:rsidR="00000000" w:rsidRPr="00000000">
        <w:rPr>
          <w:i w:val="1"/>
          <w:sz w:val="22"/>
          <w:szCs w:val="22"/>
          <w:rtl w:val="0"/>
        </w:rPr>
        <w:t xml:space="preserve">uniformed assumption</w:t>
      </w:r>
      <w:r w:rsidDel="00000000" w:rsidR="00000000" w:rsidRPr="00000000">
        <w:rPr>
          <w:sz w:val="22"/>
          <w:szCs w:val="22"/>
          <w:rtl w:val="0"/>
        </w:rPr>
        <w:t xml:space="preserve">” that all patients would like information regarding their treatment but as evidenced in the data, the level of detail patients require can vary (Hall et al 2012, p.535). This also encapsulates their decision-making process, with some participants preferring a linear decision-making process, others describing a risk versus benefit approach (Hall et al 2012, p.535). However, this tends to be apparent where the participant is knowledgeable about their health condition or can advocate for themselves. </w:t>
      </w:r>
    </w:p>
    <w:p w:rsidR="00000000" w:rsidDel="00000000" w:rsidP="00000000" w:rsidRDefault="00000000" w:rsidRPr="00000000" w14:paraId="00000A9A">
      <w:pPr>
        <w:spacing w:line="480" w:lineRule="auto"/>
        <w:jc w:val="both"/>
        <w:rPr>
          <w:sz w:val="22"/>
          <w:szCs w:val="22"/>
        </w:rPr>
      </w:pPr>
      <w:r w:rsidDel="00000000" w:rsidR="00000000" w:rsidRPr="00000000">
        <w:rPr>
          <w:rtl w:val="0"/>
        </w:rPr>
      </w:r>
    </w:p>
    <w:p w:rsidR="00000000" w:rsidDel="00000000" w:rsidP="00000000" w:rsidRDefault="00000000" w:rsidRPr="00000000" w14:paraId="00000A9B">
      <w:pPr>
        <w:spacing w:line="480" w:lineRule="auto"/>
        <w:jc w:val="both"/>
        <w:rPr>
          <w:sz w:val="22"/>
          <w:szCs w:val="22"/>
        </w:rPr>
      </w:pPr>
      <w:r w:rsidDel="00000000" w:rsidR="00000000" w:rsidRPr="00000000">
        <w:rPr>
          <w:sz w:val="22"/>
          <w:szCs w:val="22"/>
          <w:rtl w:val="0"/>
        </w:rPr>
        <w:t xml:space="preserve">Despite patient autonomy being a core component of modern-day healthcare, the issues raised within this section would in fact, support the notion of the sick role in practice. In the case where an individual’s ability to make an informed choice is impaired, such as in those experiencing significant symptoms, the passive acceptance of medicines supports Parsons (1951). As a result, the patient is obliged to follow the treatment plan outlined by their practitioner, per Parsons (1951). Furthermore, the practitioner is acting in the best interest of the patient, satisfying the responsibility of the patient situated within the sick role position. As described by Parsons, practitioners are granted authority over the patient. However, with authority comes the “</w:t>
      </w:r>
      <w:r w:rsidDel="00000000" w:rsidR="00000000" w:rsidRPr="00000000">
        <w:rPr>
          <w:i w:val="1"/>
          <w:sz w:val="22"/>
          <w:szCs w:val="22"/>
          <w:rtl w:val="0"/>
        </w:rPr>
        <w:t xml:space="preserve">right to be obeyed</w:t>
      </w:r>
      <w:r w:rsidDel="00000000" w:rsidR="00000000" w:rsidRPr="00000000">
        <w:rPr>
          <w:sz w:val="22"/>
          <w:szCs w:val="22"/>
          <w:rtl w:val="0"/>
        </w:rPr>
        <w:t xml:space="preserve">” (Wolff, 1970). The difference between authority and power, however, is often blurred. Contextualised within this research, the practitioner’s instruction to use medicines where there are no alternatives offered, the patient appears to accept the medication since the fate of not using medication is perceived to be worse than an unmanaged health condition. This solidifies the individual within this position, placing the individual at risk of forming a dependence on medicines, further pushing them into the sick role and therefore contradicting their responsibility to “</w:t>
      </w:r>
      <w:r w:rsidDel="00000000" w:rsidR="00000000" w:rsidRPr="00000000">
        <w:rPr>
          <w:i w:val="1"/>
          <w:sz w:val="22"/>
          <w:szCs w:val="22"/>
          <w:rtl w:val="0"/>
        </w:rPr>
        <w:t xml:space="preserve">get well as soon as possible</w:t>
      </w:r>
      <w:r w:rsidDel="00000000" w:rsidR="00000000" w:rsidRPr="00000000">
        <w:rPr>
          <w:sz w:val="22"/>
          <w:szCs w:val="22"/>
          <w:rtl w:val="0"/>
        </w:rPr>
        <w:t xml:space="preserve">” (Parsons, 1951).</w:t>
      </w:r>
    </w:p>
    <w:p w:rsidR="00000000" w:rsidDel="00000000" w:rsidP="00000000" w:rsidRDefault="00000000" w:rsidRPr="00000000" w14:paraId="00000A9C">
      <w:pPr>
        <w:spacing w:line="480" w:lineRule="auto"/>
        <w:jc w:val="both"/>
        <w:rPr>
          <w:sz w:val="22"/>
          <w:szCs w:val="22"/>
        </w:rPr>
      </w:pPr>
      <w:r w:rsidDel="00000000" w:rsidR="00000000" w:rsidRPr="00000000">
        <w:rPr>
          <w:rtl w:val="0"/>
        </w:rPr>
      </w:r>
    </w:p>
    <w:p w:rsidR="00000000" w:rsidDel="00000000" w:rsidP="00000000" w:rsidRDefault="00000000" w:rsidRPr="00000000" w14:paraId="00000A9D">
      <w:pPr>
        <w:pStyle w:val="Heading3"/>
        <w:spacing w:line="480" w:lineRule="auto"/>
        <w:rPr/>
      </w:pPr>
      <w:bookmarkStart w:colFirst="0" w:colLast="0" w:name="_heading=h.42ddq1a" w:id="127"/>
      <w:bookmarkEnd w:id="127"/>
      <w:r w:rsidDel="00000000" w:rsidR="00000000" w:rsidRPr="00000000">
        <w:rPr>
          <w:rtl w:val="0"/>
        </w:rPr>
        <w:t xml:space="preserve">Summary</w:t>
      </w:r>
    </w:p>
    <w:p w:rsidR="00000000" w:rsidDel="00000000" w:rsidP="00000000" w:rsidRDefault="00000000" w:rsidRPr="00000000" w14:paraId="00000A9E">
      <w:pPr>
        <w:spacing w:line="480" w:lineRule="auto"/>
        <w:jc w:val="both"/>
        <w:rPr>
          <w:sz w:val="22"/>
          <w:szCs w:val="22"/>
        </w:rPr>
      </w:pPr>
      <w:r w:rsidDel="00000000" w:rsidR="00000000" w:rsidRPr="00000000">
        <w:rPr>
          <w:sz w:val="22"/>
          <w:szCs w:val="22"/>
          <w:rtl w:val="0"/>
        </w:rPr>
        <w:t xml:space="preserve">To summarise, this section explored the concept of information sharing and informed consent. These terms were defined in the context of current clinical guidelines. Although all participants in this research were assumed to have capacity to participate in research and in a wider sense, however, there could have been instances whereby their decision making could have been influenced or affected by external sources. </w:t>
      </w:r>
    </w:p>
    <w:p w:rsidR="00000000" w:rsidDel="00000000" w:rsidP="00000000" w:rsidRDefault="00000000" w:rsidRPr="00000000" w14:paraId="00000A9F">
      <w:pPr>
        <w:spacing w:line="480" w:lineRule="auto"/>
        <w:jc w:val="both"/>
        <w:rPr>
          <w:sz w:val="22"/>
          <w:szCs w:val="22"/>
        </w:rPr>
      </w:pPr>
      <w:r w:rsidDel="00000000" w:rsidR="00000000" w:rsidRPr="00000000">
        <w:rPr>
          <w:sz w:val="22"/>
          <w:szCs w:val="22"/>
          <w:rtl w:val="0"/>
        </w:rPr>
        <w:t xml:space="preserve">It has been argued that chronic illness, pain and mental health difficulties can affect decision making processes. This could be due to the severity of their health concern, and the desperation to become well, which has been evidenced in the data. Therefore, patients may make decisions and exercise “</w:t>
      </w:r>
      <w:r w:rsidDel="00000000" w:rsidR="00000000" w:rsidRPr="00000000">
        <w:rPr>
          <w:i w:val="1"/>
          <w:sz w:val="22"/>
          <w:szCs w:val="22"/>
          <w:rtl w:val="0"/>
        </w:rPr>
        <w:t xml:space="preserve">superficial</w:t>
      </w:r>
      <w:r w:rsidDel="00000000" w:rsidR="00000000" w:rsidRPr="00000000">
        <w:rPr>
          <w:sz w:val="22"/>
          <w:szCs w:val="22"/>
          <w:rtl w:val="0"/>
        </w:rPr>
        <w:t xml:space="preserve">” autonomy, yet this could be contrary to their personal beliefs. The perceived lower risk and immediacy of medication could be a contributory factor, alongside other issues that will later be identified. This desire to get well, and the perceived practitioner dominance exhibited in the patient-practitioner hierarchy can lead some to feel they have no choice to accept a treatment plan. This is particularly evident in those who are treatment naïve or are experiencing significant implications from their condition.</w:t>
      </w:r>
    </w:p>
    <w:p w:rsidR="00000000" w:rsidDel="00000000" w:rsidP="00000000" w:rsidRDefault="00000000" w:rsidRPr="00000000" w14:paraId="00000AA0">
      <w:pPr>
        <w:spacing w:line="480" w:lineRule="auto"/>
        <w:jc w:val="both"/>
        <w:rPr>
          <w:sz w:val="22"/>
          <w:szCs w:val="22"/>
        </w:rPr>
      </w:pPr>
      <w:r w:rsidDel="00000000" w:rsidR="00000000" w:rsidRPr="00000000">
        <w:rPr>
          <w:rtl w:val="0"/>
        </w:rPr>
      </w:r>
    </w:p>
    <w:p w:rsidR="00000000" w:rsidDel="00000000" w:rsidP="00000000" w:rsidRDefault="00000000" w:rsidRPr="00000000" w14:paraId="00000AA1">
      <w:pPr>
        <w:spacing w:line="480" w:lineRule="auto"/>
        <w:jc w:val="both"/>
        <w:rPr>
          <w:sz w:val="22"/>
          <w:szCs w:val="22"/>
        </w:rPr>
      </w:pPr>
      <w:r w:rsidDel="00000000" w:rsidR="00000000" w:rsidRPr="00000000">
        <w:rPr>
          <w:sz w:val="22"/>
          <w:szCs w:val="22"/>
          <w:rtl w:val="0"/>
        </w:rPr>
        <w:t xml:space="preserve">Furthermore, the individual may be experiencing symptoms that have an impact on the level of information retention. In typical circumstances, patients’ recollection of information regarding a treatment plan or medication may deteriorate over time. When experiencing chronic illness, pain or poor mental health, this may be exacerbated. Therefore, it is imperative healthcare professionals are regularly reviewing the patients understanding of their treatment plan, and their consent to such treatment. The next section will discuss the role of the practitioner, and how they can play a part in the development of a dependency. It will discuss the relationship between the healthcare professional and the patient, and how the hierarchical nature of this relationship can influence the experiences of patients. </w:t>
      </w:r>
    </w:p>
    <w:p w:rsidR="00000000" w:rsidDel="00000000" w:rsidP="00000000" w:rsidRDefault="00000000" w:rsidRPr="00000000" w14:paraId="00000AA2">
      <w:pPr>
        <w:spacing w:line="480" w:lineRule="auto"/>
        <w:jc w:val="both"/>
        <w:rPr>
          <w:sz w:val="22"/>
          <w:szCs w:val="22"/>
        </w:rPr>
      </w:pPr>
      <w:r w:rsidDel="00000000" w:rsidR="00000000" w:rsidRPr="00000000">
        <w:rPr>
          <w:rtl w:val="0"/>
        </w:rPr>
      </w:r>
    </w:p>
    <w:p w:rsidR="00000000" w:rsidDel="00000000" w:rsidP="00000000" w:rsidRDefault="00000000" w:rsidRPr="00000000" w14:paraId="00000AA3">
      <w:pPr>
        <w:pStyle w:val="Heading2"/>
        <w:numPr>
          <w:ilvl w:val="1"/>
          <w:numId w:val="19"/>
        </w:numPr>
        <w:spacing w:line="480" w:lineRule="auto"/>
        <w:ind w:left="720" w:hanging="720"/>
        <w:rPr/>
      </w:pPr>
      <w:bookmarkStart w:colFirst="0" w:colLast="0" w:name="_heading=h.2hio093" w:id="128"/>
      <w:bookmarkEnd w:id="128"/>
      <w:r w:rsidDel="00000000" w:rsidR="00000000" w:rsidRPr="00000000">
        <w:rPr>
          <w:rtl w:val="0"/>
        </w:rPr>
        <w:t xml:space="preserve">Practitioner Roles</w:t>
      </w:r>
    </w:p>
    <w:p w:rsidR="00000000" w:rsidDel="00000000" w:rsidP="00000000" w:rsidRDefault="00000000" w:rsidRPr="00000000" w14:paraId="00000AA4">
      <w:pPr>
        <w:spacing w:line="480" w:lineRule="auto"/>
        <w:jc w:val="both"/>
        <w:rPr>
          <w:sz w:val="22"/>
          <w:szCs w:val="22"/>
        </w:rPr>
      </w:pPr>
      <w:r w:rsidDel="00000000" w:rsidR="00000000" w:rsidRPr="00000000">
        <w:rPr>
          <w:sz w:val="22"/>
          <w:szCs w:val="22"/>
          <w:rtl w:val="0"/>
        </w:rPr>
        <w:t xml:space="preserve">The practitioner may also have a responsibility in the formation and maintenance of a prescribed drug dependency. Participants describe varied relationships with their healthcare professionals, ranging from a positive relationship with no concerns, to a critical approach to formal healthcare services. These are characterised by Shared Decision Making and transparency, to practitioner dominant interactions that have negative implications for the participant’s perception of care.</w:t>
      </w:r>
    </w:p>
    <w:p w:rsidR="00000000" w:rsidDel="00000000" w:rsidP="00000000" w:rsidRDefault="00000000" w:rsidRPr="00000000" w14:paraId="00000AA5">
      <w:pPr>
        <w:spacing w:line="480" w:lineRule="auto"/>
        <w:jc w:val="both"/>
        <w:rPr>
          <w:sz w:val="22"/>
          <w:szCs w:val="22"/>
        </w:rPr>
      </w:pPr>
      <w:r w:rsidDel="00000000" w:rsidR="00000000" w:rsidRPr="00000000">
        <w:rPr>
          <w:rtl w:val="0"/>
        </w:rPr>
      </w:r>
    </w:p>
    <w:p w:rsidR="00000000" w:rsidDel="00000000" w:rsidP="00000000" w:rsidRDefault="00000000" w:rsidRPr="00000000" w14:paraId="00000AA6">
      <w:pPr>
        <w:spacing w:line="480" w:lineRule="auto"/>
        <w:jc w:val="both"/>
        <w:rPr>
          <w:sz w:val="22"/>
          <w:szCs w:val="22"/>
        </w:rPr>
      </w:pPr>
      <w:r w:rsidDel="00000000" w:rsidR="00000000" w:rsidRPr="00000000">
        <w:rPr>
          <w:sz w:val="22"/>
          <w:szCs w:val="22"/>
          <w:rtl w:val="0"/>
        </w:rPr>
        <w:t xml:space="preserve">The patient – practitioner relationship is an important consideration, since it has been found to have implications for the relationship between the patient and their healthcare professional. This is founded upon the perceived level of practitioner knowledge, their communication, and prescribing practices. Participants who describe a dominant practitioner associate this attitude with favouring a biomedical approach, ling to consider and dismissive of their wider psychosocial aspects of their condition (see Roque and Leanza 2015, Croft et al 2015, Murugesu et al 2022). Although this dominance is a right afforded to practitioners by Parsons, they are perceived to have limited knowledge which contradicts a right (Parsons 1951). </w:t>
      </w:r>
    </w:p>
    <w:p w:rsidR="00000000" w:rsidDel="00000000" w:rsidP="00000000" w:rsidRDefault="00000000" w:rsidRPr="00000000" w14:paraId="00000AA7">
      <w:pPr>
        <w:spacing w:line="480" w:lineRule="auto"/>
        <w:jc w:val="both"/>
        <w:rPr>
          <w:sz w:val="22"/>
          <w:szCs w:val="22"/>
        </w:rPr>
      </w:pPr>
      <w:r w:rsidDel="00000000" w:rsidR="00000000" w:rsidRPr="00000000">
        <w:rPr>
          <w:rtl w:val="0"/>
        </w:rPr>
      </w:r>
    </w:p>
    <w:p w:rsidR="00000000" w:rsidDel="00000000" w:rsidP="00000000" w:rsidRDefault="00000000" w:rsidRPr="00000000" w14:paraId="00000AA8">
      <w:pPr>
        <w:spacing w:line="480" w:lineRule="auto"/>
        <w:jc w:val="both"/>
        <w:rPr>
          <w:sz w:val="22"/>
          <w:szCs w:val="22"/>
        </w:rPr>
      </w:pPr>
      <w:r w:rsidDel="00000000" w:rsidR="00000000" w:rsidRPr="00000000">
        <w:rPr>
          <w:sz w:val="22"/>
          <w:szCs w:val="22"/>
          <w:rtl w:val="0"/>
        </w:rPr>
        <w:t xml:space="preserve">Where participants describe a supportive, knowledgeable practitioner that engages them in Shared Decision Making, their perception of care and treatment is positive and, per the wider literature, is associated with positive health outcomes (see Montag Schafer et al 2022 p.2407, Kosakowski et al 2022 p.1727). In accounts where these practices are not evident, participants describe looking for health information elsewhere, such as online health communities and peer-reviewed literature. This section will be summarised in the context of the practitioner rights and obligations defined by Parsons’ “</w:t>
      </w:r>
      <w:r w:rsidDel="00000000" w:rsidR="00000000" w:rsidRPr="00000000">
        <w:rPr>
          <w:i w:val="1"/>
          <w:sz w:val="22"/>
          <w:szCs w:val="22"/>
          <w:rtl w:val="0"/>
        </w:rPr>
        <w:t xml:space="preserve">sick role</w:t>
      </w:r>
      <w:r w:rsidDel="00000000" w:rsidR="00000000" w:rsidRPr="00000000">
        <w:rPr>
          <w:sz w:val="22"/>
          <w:szCs w:val="22"/>
          <w:rtl w:val="0"/>
        </w:rPr>
        <w:t xml:space="preserve">” (Parsons 1951).</w:t>
      </w:r>
    </w:p>
    <w:p w:rsidR="00000000" w:rsidDel="00000000" w:rsidP="00000000" w:rsidRDefault="00000000" w:rsidRPr="00000000" w14:paraId="00000AA9">
      <w:pPr>
        <w:spacing w:line="480" w:lineRule="auto"/>
        <w:jc w:val="both"/>
        <w:rPr>
          <w:sz w:val="22"/>
          <w:szCs w:val="22"/>
        </w:rPr>
      </w:pPr>
      <w:r w:rsidDel="00000000" w:rsidR="00000000" w:rsidRPr="00000000">
        <w:rPr>
          <w:rtl w:val="0"/>
        </w:rPr>
      </w:r>
    </w:p>
    <w:p w:rsidR="00000000" w:rsidDel="00000000" w:rsidP="00000000" w:rsidRDefault="00000000" w:rsidRPr="00000000" w14:paraId="00000AAA">
      <w:pPr>
        <w:pStyle w:val="Heading3"/>
        <w:spacing w:line="480" w:lineRule="auto"/>
        <w:rPr/>
      </w:pPr>
      <w:bookmarkStart w:colFirst="0" w:colLast="0" w:name="_heading=h.wnyagw" w:id="129"/>
      <w:bookmarkEnd w:id="129"/>
      <w:r w:rsidDel="00000000" w:rsidR="00000000" w:rsidRPr="00000000">
        <w:rPr>
          <w:rtl w:val="0"/>
        </w:rPr>
        <w:t xml:space="preserve">Practitioner Dominance </w:t>
      </w:r>
    </w:p>
    <w:p w:rsidR="00000000" w:rsidDel="00000000" w:rsidP="00000000" w:rsidRDefault="00000000" w:rsidRPr="00000000" w14:paraId="00000AAB">
      <w:pPr>
        <w:spacing w:line="480" w:lineRule="auto"/>
        <w:jc w:val="both"/>
        <w:rPr>
          <w:sz w:val="22"/>
          <w:szCs w:val="22"/>
        </w:rPr>
      </w:pPr>
      <w:r w:rsidDel="00000000" w:rsidR="00000000" w:rsidRPr="00000000">
        <w:rPr>
          <w:sz w:val="22"/>
          <w:szCs w:val="22"/>
          <w:rtl w:val="0"/>
        </w:rPr>
        <w:t xml:space="preserve">This section will explore the dominance of the practitioner within healthcare interactions, and their communication. Communication between the patient and the practitioner is also important and is associated with the issues raised in the section “</w:t>
      </w:r>
      <w:hyperlink w:anchor="_heading=h.1idq7dh">
        <w:r w:rsidDel="00000000" w:rsidR="00000000" w:rsidRPr="00000000">
          <w:rPr>
            <w:i w:val="1"/>
            <w:color w:val="467886"/>
            <w:sz w:val="22"/>
            <w:szCs w:val="22"/>
            <w:u w:val="single"/>
            <w:rtl w:val="0"/>
          </w:rPr>
          <w:t xml:space="preserve">Information Sharing and Informed Consent</w:t>
        </w:r>
      </w:hyperlink>
      <w:r w:rsidDel="00000000" w:rsidR="00000000" w:rsidRPr="00000000">
        <w:rPr>
          <w:sz w:val="22"/>
          <w:szCs w:val="22"/>
          <w:rtl w:val="0"/>
        </w:rPr>
        <w:t xml:space="preserve">” (p. 2120. As noted in Parsons’ sick role, healthcare professionals are afforded “</w:t>
      </w:r>
      <w:r w:rsidDel="00000000" w:rsidR="00000000" w:rsidRPr="00000000">
        <w:rPr>
          <w:i w:val="1"/>
          <w:sz w:val="22"/>
          <w:szCs w:val="22"/>
          <w:rtl w:val="0"/>
        </w:rPr>
        <w:t xml:space="preserve">considerable autonomy</w:t>
      </w:r>
      <w:r w:rsidDel="00000000" w:rsidR="00000000" w:rsidRPr="00000000">
        <w:rPr>
          <w:sz w:val="22"/>
          <w:szCs w:val="22"/>
          <w:rtl w:val="0"/>
        </w:rPr>
        <w:t xml:space="preserve">” in their practice and are “</w:t>
      </w:r>
      <w:r w:rsidDel="00000000" w:rsidR="00000000" w:rsidRPr="00000000">
        <w:rPr>
          <w:i w:val="1"/>
          <w:sz w:val="22"/>
          <w:szCs w:val="22"/>
          <w:rtl w:val="0"/>
        </w:rPr>
        <w:t xml:space="preserve">bound by professional conduct</w:t>
      </w:r>
      <w:r w:rsidDel="00000000" w:rsidR="00000000" w:rsidRPr="00000000">
        <w:rPr>
          <w:sz w:val="22"/>
          <w:szCs w:val="22"/>
          <w:rtl w:val="0"/>
        </w:rPr>
        <w:t xml:space="preserve">” (Parsons 1951). </w:t>
      </w:r>
      <w:hyperlink w:anchor="_heading=h.2bn6wsx">
        <w:r w:rsidDel="00000000" w:rsidR="00000000" w:rsidRPr="00000000">
          <w:rPr>
            <w:color w:val="467886"/>
            <w:sz w:val="22"/>
            <w:szCs w:val="22"/>
            <w:u w:val="single"/>
            <w:rtl w:val="0"/>
          </w:rPr>
          <w:t xml:space="preserve">Table One</w:t>
        </w:r>
      </w:hyperlink>
      <w:r w:rsidDel="00000000" w:rsidR="00000000" w:rsidRPr="00000000">
        <w:rPr>
          <w:sz w:val="22"/>
          <w:szCs w:val="22"/>
          <w:rtl w:val="0"/>
        </w:rPr>
        <w:t xml:space="preserve"> (p. 44) serves as a reminder of the rights and responsibilities afforded to healthcare professionals according to Parsons (1951). </w:t>
      </w:r>
    </w:p>
    <w:p w:rsidR="00000000" w:rsidDel="00000000" w:rsidP="00000000" w:rsidRDefault="00000000" w:rsidRPr="00000000" w14:paraId="00000AAC">
      <w:pPr>
        <w:spacing w:line="480" w:lineRule="auto"/>
        <w:jc w:val="both"/>
        <w:rPr>
          <w:sz w:val="22"/>
          <w:szCs w:val="22"/>
        </w:rPr>
      </w:pPr>
      <w:r w:rsidDel="00000000" w:rsidR="00000000" w:rsidRPr="00000000">
        <w:rPr>
          <w:rtl w:val="0"/>
        </w:rPr>
      </w:r>
    </w:p>
    <w:p w:rsidR="00000000" w:rsidDel="00000000" w:rsidP="00000000" w:rsidRDefault="00000000" w:rsidRPr="00000000" w14:paraId="00000AAD">
      <w:pPr>
        <w:spacing w:line="480" w:lineRule="auto"/>
        <w:jc w:val="both"/>
        <w:rPr>
          <w:sz w:val="22"/>
          <w:szCs w:val="22"/>
        </w:rPr>
      </w:pPr>
      <w:r w:rsidDel="00000000" w:rsidR="00000000" w:rsidRPr="00000000">
        <w:rPr>
          <w:sz w:val="22"/>
          <w:szCs w:val="22"/>
          <w:rtl w:val="0"/>
        </w:rPr>
        <w:t xml:space="preserve">It is evident in the data that healthcare interactions are predominantly practitioner-led, reinforcing and supporting the idea of the hierarchical nature of this relationship per Parsons (1951). Participants perceived their practitioners to favour pharmaceutical interventions, regardless of the patients’ own preferences. This supports the idea of the biomedical approach to illness, an approach that is considered a dominant culture within healthcare settings (Roque and Leanza, 2015). Roque and Leanza (2015) suggest this approach leads to non-person-centred practice, where practitioners fail to consider and even dismiss, the psychosocial aspects of the patient’s condition, focussing on the biological and physical symptomology. The findings of this research suggest that the limited discussion about their wider health and treatment preferences led to feelings of unsupportiveness and, to some extent, perceived lack of knowledge. These key concerns can result in patients feeling unable to discuss these aspects of their condition, therefore practitioners cannot obtain a “</w:t>
      </w:r>
      <w:r w:rsidDel="00000000" w:rsidR="00000000" w:rsidRPr="00000000">
        <w:rPr>
          <w:i w:val="1"/>
          <w:sz w:val="22"/>
          <w:szCs w:val="22"/>
          <w:rtl w:val="0"/>
        </w:rPr>
        <w:t xml:space="preserve">global understanding</w:t>
      </w:r>
      <w:r w:rsidDel="00000000" w:rsidR="00000000" w:rsidRPr="00000000">
        <w:rPr>
          <w:sz w:val="22"/>
          <w:szCs w:val="22"/>
          <w:rtl w:val="0"/>
        </w:rPr>
        <w:t xml:space="preserve">” of the patient, pertinent to successful treatment outcomes (Roque and Leanza 2015, Croft et al 2015, Murugesu et al 2022). Healthcare practitioners are bound by clinical governance and are important to standardise care and to ensure patient safety (General Medical Council 2021). </w:t>
      </w:r>
    </w:p>
    <w:p w:rsidR="00000000" w:rsidDel="00000000" w:rsidP="00000000" w:rsidRDefault="00000000" w:rsidRPr="00000000" w14:paraId="00000AAE">
      <w:pPr>
        <w:spacing w:line="480" w:lineRule="auto"/>
        <w:jc w:val="both"/>
        <w:rPr>
          <w:sz w:val="22"/>
          <w:szCs w:val="22"/>
        </w:rPr>
      </w:pPr>
      <w:r w:rsidDel="00000000" w:rsidR="00000000" w:rsidRPr="00000000">
        <w:rPr>
          <w:rtl w:val="0"/>
        </w:rPr>
      </w:r>
    </w:p>
    <w:p w:rsidR="00000000" w:rsidDel="00000000" w:rsidP="00000000" w:rsidRDefault="00000000" w:rsidRPr="00000000" w14:paraId="00000AAF">
      <w:pPr>
        <w:spacing w:line="480" w:lineRule="auto"/>
        <w:jc w:val="both"/>
        <w:rPr>
          <w:sz w:val="22"/>
          <w:szCs w:val="22"/>
        </w:rPr>
      </w:pPr>
      <w:r w:rsidDel="00000000" w:rsidR="00000000" w:rsidRPr="00000000">
        <w:rPr>
          <w:sz w:val="22"/>
          <w:szCs w:val="22"/>
          <w:rtl w:val="0"/>
        </w:rPr>
        <w:t xml:space="preserve">A non-person-centred approach was highlighted within the data, with “</w:t>
      </w:r>
      <w:r w:rsidDel="00000000" w:rsidR="00000000" w:rsidRPr="00000000">
        <w:rPr>
          <w:i w:val="1"/>
          <w:sz w:val="22"/>
          <w:szCs w:val="22"/>
          <w:rtl w:val="0"/>
        </w:rPr>
        <w:t xml:space="preserve">generic</w:t>
      </w:r>
      <w:r w:rsidDel="00000000" w:rsidR="00000000" w:rsidRPr="00000000">
        <w:rPr>
          <w:sz w:val="22"/>
          <w:szCs w:val="22"/>
          <w:rtl w:val="0"/>
        </w:rPr>
        <w:t xml:space="preserve">” and “</w:t>
      </w:r>
      <w:r w:rsidDel="00000000" w:rsidR="00000000" w:rsidRPr="00000000">
        <w:rPr>
          <w:i w:val="1"/>
          <w:sz w:val="22"/>
          <w:szCs w:val="22"/>
          <w:rtl w:val="0"/>
        </w:rPr>
        <w:t xml:space="preserve">vague</w:t>
      </w:r>
      <w:r w:rsidDel="00000000" w:rsidR="00000000" w:rsidRPr="00000000">
        <w:rPr>
          <w:sz w:val="22"/>
          <w:szCs w:val="22"/>
          <w:rtl w:val="0"/>
        </w:rPr>
        <w:t xml:space="preserve">” advice offered. To contextualise with these findings, one participant described being prescribed dependence forming medicines without having to provide a medical history, including a history of substance dependence. Prescribers can fail to consider, and even dismiss, psychosocial aspects of a patient’s condition, instead focussing on biological and physical symptomology, again, reflective of the biomedical approach often favoured by many healthcare professionals. This can have negative implications for the patients’ health outcome, as they are unable to obtain this “</w:t>
      </w:r>
      <w:r w:rsidDel="00000000" w:rsidR="00000000" w:rsidRPr="00000000">
        <w:rPr>
          <w:i w:val="1"/>
          <w:sz w:val="22"/>
          <w:szCs w:val="22"/>
          <w:rtl w:val="0"/>
        </w:rPr>
        <w:t xml:space="preserve">global understanding</w:t>
      </w:r>
      <w:r w:rsidDel="00000000" w:rsidR="00000000" w:rsidRPr="00000000">
        <w:rPr>
          <w:sz w:val="22"/>
          <w:szCs w:val="22"/>
          <w:rtl w:val="0"/>
        </w:rPr>
        <w:t xml:space="preserve">” of their patient and further contradicting the notion of patient-centred care. Where participants have reported insufficient information sharing about their medication or treatment, due to the practitioner’s perceived lack of knowledge and limited information sharing, they may feel they have no choice but to accept medicines at risk of having treatment revoked (Jimmy and Jose 2011, Giodano and Cardillo 2021). This could be contradictory of the shared decision-making policy and does not take into consideration patient-centred care. </w:t>
      </w:r>
    </w:p>
    <w:p w:rsidR="00000000" w:rsidDel="00000000" w:rsidP="00000000" w:rsidRDefault="00000000" w:rsidRPr="00000000" w14:paraId="00000AB0">
      <w:pPr>
        <w:spacing w:line="480" w:lineRule="auto"/>
        <w:jc w:val="both"/>
        <w:rPr>
          <w:sz w:val="22"/>
          <w:szCs w:val="22"/>
        </w:rPr>
      </w:pPr>
      <w:r w:rsidDel="00000000" w:rsidR="00000000" w:rsidRPr="00000000">
        <w:rPr>
          <w:rtl w:val="0"/>
        </w:rPr>
      </w:r>
    </w:p>
    <w:p w:rsidR="00000000" w:rsidDel="00000000" w:rsidP="00000000" w:rsidRDefault="00000000" w:rsidRPr="00000000" w14:paraId="00000AB1">
      <w:pPr>
        <w:spacing w:line="480" w:lineRule="auto"/>
        <w:jc w:val="both"/>
        <w:rPr>
          <w:sz w:val="22"/>
          <w:szCs w:val="22"/>
        </w:rPr>
      </w:pPr>
      <w:r w:rsidDel="00000000" w:rsidR="00000000" w:rsidRPr="00000000">
        <w:rPr>
          <w:sz w:val="22"/>
          <w:szCs w:val="22"/>
          <w:rtl w:val="0"/>
        </w:rPr>
        <w:t xml:space="preserve">Roque and Leanza (2015) found the differences in communication between patients and practitioners can lead the patient to experience three key concepts: negative experiences such as vulnerability, positive experiences such as integrity, and the subsequent outcome of the communication. Patients are inherently vulnerable, particularly when discussed in the context of the hierarchical nature of their relationship with healthcare professionals (Boldt 2019, Parsons 1951). This vulnerability is shown by participants within this research, with some describing desperation to become well, particularly when experiencing significant symptoms. These participants are more likely to be passive in their care, with the literature suggesting these patient groups can experience challenges when providing informed consent. </w:t>
      </w:r>
    </w:p>
    <w:p w:rsidR="00000000" w:rsidDel="00000000" w:rsidP="00000000" w:rsidRDefault="00000000" w:rsidRPr="00000000" w14:paraId="00000AB2">
      <w:pPr>
        <w:spacing w:line="480" w:lineRule="auto"/>
        <w:jc w:val="both"/>
        <w:rPr>
          <w:sz w:val="22"/>
          <w:szCs w:val="22"/>
        </w:rPr>
      </w:pPr>
      <w:r w:rsidDel="00000000" w:rsidR="00000000" w:rsidRPr="00000000">
        <w:rPr>
          <w:rtl w:val="0"/>
        </w:rPr>
      </w:r>
    </w:p>
    <w:p w:rsidR="00000000" w:rsidDel="00000000" w:rsidP="00000000" w:rsidRDefault="00000000" w:rsidRPr="00000000" w14:paraId="00000AB3">
      <w:pPr>
        <w:spacing w:line="480" w:lineRule="auto"/>
        <w:jc w:val="both"/>
        <w:rPr>
          <w:sz w:val="22"/>
          <w:szCs w:val="22"/>
        </w:rPr>
      </w:pPr>
      <w:r w:rsidDel="00000000" w:rsidR="00000000" w:rsidRPr="00000000">
        <w:rPr>
          <w:sz w:val="22"/>
          <w:szCs w:val="22"/>
          <w:rtl w:val="0"/>
        </w:rPr>
        <w:t xml:space="preserve">However, where patients feel listened to, respected, and experience shared-decision-making and patient centred care, their perception of treatment and their healthcare practitioner is positive, as reflected in </w:t>
      </w:r>
      <w:r w:rsidDel="00000000" w:rsidR="00000000" w:rsidRPr="00000000">
        <w:rPr>
          <w:i w:val="1"/>
          <w:sz w:val="22"/>
          <w:szCs w:val="22"/>
          <w:rtl w:val="0"/>
        </w:rPr>
        <w:t xml:space="preserve">Alice’s</w:t>
      </w:r>
      <w:r w:rsidDel="00000000" w:rsidR="00000000" w:rsidRPr="00000000">
        <w:rPr>
          <w:sz w:val="22"/>
          <w:szCs w:val="22"/>
          <w:rtl w:val="0"/>
        </w:rPr>
        <w:t xml:space="preserve"> account. This has positive associations with improved health outcomes, as noted in the wider </w:t>
      </w:r>
      <w:hyperlink w:anchor="_heading=h.111kx3o">
        <w:r w:rsidDel="00000000" w:rsidR="00000000" w:rsidRPr="00000000">
          <w:rPr>
            <w:color w:val="467886"/>
            <w:sz w:val="22"/>
            <w:szCs w:val="22"/>
            <w:u w:val="single"/>
            <w:rtl w:val="0"/>
          </w:rPr>
          <w:t xml:space="preserve">literature</w:t>
        </w:r>
      </w:hyperlink>
      <w:r w:rsidDel="00000000" w:rsidR="00000000" w:rsidRPr="00000000">
        <w:rPr>
          <w:sz w:val="22"/>
          <w:szCs w:val="22"/>
          <w:rtl w:val="0"/>
        </w:rPr>
        <w:t xml:space="preserve"> (p. 89) (see Montag Schafer et al 2022 p.2407, Kosakowski et al 2022 p.1727). The sick role, and the hierarchical nature of the patient – practitioner relationship obliges patients to follow instructions, including the instructions provided when using medicines (Parsons, 1951). Where these instructions are not followed, can lead to the patient being shamed as those who are positioned within the sick role are obliged to seek support, and comply with the practitioner, for their health complaint (Parsons, 1951). </w:t>
      </w:r>
    </w:p>
    <w:p w:rsidR="00000000" w:rsidDel="00000000" w:rsidP="00000000" w:rsidRDefault="00000000" w:rsidRPr="00000000" w14:paraId="00000AB4">
      <w:pPr>
        <w:spacing w:line="480" w:lineRule="auto"/>
        <w:jc w:val="both"/>
        <w:rPr>
          <w:sz w:val="22"/>
          <w:szCs w:val="22"/>
        </w:rPr>
      </w:pPr>
      <w:r w:rsidDel="00000000" w:rsidR="00000000" w:rsidRPr="00000000">
        <w:rPr>
          <w:rtl w:val="0"/>
        </w:rPr>
      </w:r>
    </w:p>
    <w:p w:rsidR="00000000" w:rsidDel="00000000" w:rsidP="00000000" w:rsidRDefault="00000000" w:rsidRPr="00000000" w14:paraId="00000AB5">
      <w:pPr>
        <w:spacing w:line="480" w:lineRule="auto"/>
        <w:jc w:val="both"/>
        <w:rPr>
          <w:sz w:val="22"/>
          <w:szCs w:val="22"/>
        </w:rPr>
      </w:pPr>
      <w:r w:rsidDel="00000000" w:rsidR="00000000" w:rsidRPr="00000000">
        <w:rPr>
          <w:sz w:val="22"/>
          <w:szCs w:val="22"/>
          <w:rtl w:val="0"/>
        </w:rPr>
        <w:t xml:space="preserve">Some participants, however, look for health advice elsewhere. This includes seeking alternative or complimentary therapies, such as those described in the data. As described by </w:t>
      </w:r>
      <w:r w:rsidDel="00000000" w:rsidR="00000000" w:rsidRPr="00000000">
        <w:rPr>
          <w:i w:val="1"/>
          <w:sz w:val="22"/>
          <w:szCs w:val="22"/>
          <w:rtl w:val="0"/>
        </w:rPr>
        <w:t xml:space="preserve">Georgina</w:t>
      </w:r>
      <w:r w:rsidDel="00000000" w:rsidR="00000000" w:rsidRPr="00000000">
        <w:rPr>
          <w:sz w:val="22"/>
          <w:szCs w:val="22"/>
          <w:rtl w:val="0"/>
        </w:rPr>
        <w:t xml:space="preserve">, who experienced repercussions from her healthcare practitioners for reducing her opioid dose independently, this can have negative implications for their treatment in formal healthcare settings. The literature suggests practitioners can perceive alternative treatments and complimentary therapies, such as those described by participants, as potentially dangerous (Weitz, 2013). Healthcare professionals identify as being the most qualified professional to manage their patients’ complaints (Weitz, 2013). Although alternative treatments were noted in the data by participants, the experiences of practitioners were not included, a limitation of this research that will be explored in the </w:t>
      </w:r>
      <w:hyperlink w:anchor="_heading=h.47hxl2r">
        <w:r w:rsidDel="00000000" w:rsidR="00000000" w:rsidRPr="00000000">
          <w:rPr>
            <w:color w:val="467886"/>
            <w:sz w:val="22"/>
            <w:szCs w:val="22"/>
            <w:u w:val="single"/>
            <w:rtl w:val="0"/>
          </w:rPr>
          <w:t xml:space="preserve">Limitations</w:t>
        </w:r>
      </w:hyperlink>
      <w:r w:rsidDel="00000000" w:rsidR="00000000" w:rsidRPr="00000000">
        <w:rPr>
          <w:sz w:val="22"/>
          <w:szCs w:val="22"/>
          <w:rtl w:val="0"/>
        </w:rPr>
        <w:t xml:space="preserve"> section of this research (p. 260). </w:t>
      </w:r>
    </w:p>
    <w:p w:rsidR="00000000" w:rsidDel="00000000" w:rsidP="00000000" w:rsidRDefault="00000000" w:rsidRPr="00000000" w14:paraId="00000AB6">
      <w:pPr>
        <w:spacing w:line="480" w:lineRule="auto"/>
        <w:jc w:val="both"/>
        <w:rPr>
          <w:sz w:val="22"/>
          <w:szCs w:val="22"/>
        </w:rPr>
      </w:pPr>
      <w:r w:rsidDel="00000000" w:rsidR="00000000" w:rsidRPr="00000000">
        <w:rPr>
          <w:rtl w:val="0"/>
        </w:rPr>
      </w:r>
    </w:p>
    <w:p w:rsidR="00000000" w:rsidDel="00000000" w:rsidP="00000000" w:rsidRDefault="00000000" w:rsidRPr="00000000" w14:paraId="00000AB7">
      <w:pPr>
        <w:spacing w:line="480" w:lineRule="auto"/>
        <w:jc w:val="both"/>
        <w:rPr>
          <w:sz w:val="22"/>
          <w:szCs w:val="22"/>
        </w:rPr>
      </w:pPr>
      <w:r w:rsidDel="00000000" w:rsidR="00000000" w:rsidRPr="00000000">
        <w:rPr>
          <w:sz w:val="22"/>
          <w:szCs w:val="22"/>
          <w:rtl w:val="0"/>
        </w:rPr>
        <w:t xml:space="preserve">Where medicines are concerned, a dependency can occur when using medicines as prescribed and are used per the instructions provided as explored in </w:t>
      </w:r>
      <w:hyperlink w:anchor="_heading=h.1pxezwc">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33). If used as prescribed, in which all participants assert was the case, side effects and subsequent iatrogenic dependence and withdrawal are neither the fault of the patient nor the healthcare professional, yet the healthcare professionals are obliged to inform patients of these risks (General medical Council 2021, p.4, Parsons 1951). However, this assumes the practitioner is aware of the risks associated with the medicines in which they are prescribing. The next section will explore the perceived level of practitioner knowledge. It will be shown that the practitioners’ limited understanding and knowledge of ones’ health condition, risks associated with prescribed medicines, and their prescribing practices can result in patients occupying the sick role for much longer than intended, despite the efforts of the patient to move away from this position. </w:t>
      </w:r>
    </w:p>
    <w:p w:rsidR="00000000" w:rsidDel="00000000" w:rsidP="00000000" w:rsidRDefault="00000000" w:rsidRPr="00000000" w14:paraId="00000AB8">
      <w:pPr>
        <w:pStyle w:val="Heading3"/>
        <w:spacing w:line="480" w:lineRule="auto"/>
        <w:rPr/>
      </w:pPr>
      <w:bookmarkStart w:colFirst="0" w:colLast="0" w:name="_heading=h.3gnlt4p" w:id="130"/>
      <w:bookmarkEnd w:id="130"/>
      <w:r w:rsidDel="00000000" w:rsidR="00000000" w:rsidRPr="00000000">
        <w:rPr>
          <w:rtl w:val="0"/>
        </w:rPr>
        <w:t xml:space="preserve">Practitioner Knowledge</w:t>
      </w:r>
    </w:p>
    <w:p w:rsidR="00000000" w:rsidDel="00000000" w:rsidP="00000000" w:rsidRDefault="00000000" w:rsidRPr="00000000" w14:paraId="00000AB9">
      <w:pPr>
        <w:spacing w:line="480" w:lineRule="auto"/>
        <w:jc w:val="both"/>
        <w:rPr>
          <w:sz w:val="22"/>
          <w:szCs w:val="22"/>
        </w:rPr>
      </w:pPr>
      <w:r w:rsidDel="00000000" w:rsidR="00000000" w:rsidRPr="00000000">
        <w:rPr>
          <w:sz w:val="22"/>
          <w:szCs w:val="22"/>
          <w:rtl w:val="0"/>
        </w:rPr>
        <w:t xml:space="preserve">There is a perception amongst some participants, that practitioners possess little knowledge or understanding of this patient group, as described in Section 6.3, “</w:t>
      </w:r>
      <w:hyperlink w:anchor="_heading=h.279ka65">
        <w:r w:rsidDel="00000000" w:rsidR="00000000" w:rsidRPr="00000000">
          <w:rPr>
            <w:i w:val="1"/>
            <w:color w:val="467886"/>
            <w:sz w:val="22"/>
            <w:szCs w:val="22"/>
            <w:u w:val="single"/>
            <w:rtl w:val="0"/>
          </w:rPr>
          <w:t xml:space="preserve">Is the Practitioner Responsible?</w:t>
        </w:r>
      </w:hyperlink>
      <w:r w:rsidDel="00000000" w:rsidR="00000000" w:rsidRPr="00000000">
        <w:rPr>
          <w:sz w:val="22"/>
          <w:szCs w:val="22"/>
          <w:rtl w:val="0"/>
        </w:rPr>
        <w:t xml:space="preserve">” (p. 177). This section will explore how practitioners can contribute to prescribed drug dependency, and the maintenance of patients’ occupancy of the sick role, through poor knowledge and understanding. </w:t>
      </w:r>
    </w:p>
    <w:p w:rsidR="00000000" w:rsidDel="00000000" w:rsidP="00000000" w:rsidRDefault="00000000" w:rsidRPr="00000000" w14:paraId="00000ABA">
      <w:pPr>
        <w:spacing w:line="480" w:lineRule="auto"/>
        <w:jc w:val="both"/>
        <w:rPr>
          <w:sz w:val="22"/>
          <w:szCs w:val="22"/>
        </w:rPr>
      </w:pPr>
      <w:r w:rsidDel="00000000" w:rsidR="00000000" w:rsidRPr="00000000">
        <w:rPr>
          <w:rtl w:val="0"/>
        </w:rPr>
      </w:r>
    </w:p>
    <w:p w:rsidR="00000000" w:rsidDel="00000000" w:rsidP="00000000" w:rsidRDefault="00000000" w:rsidRPr="00000000" w14:paraId="00000ABB">
      <w:pPr>
        <w:spacing w:line="480" w:lineRule="auto"/>
        <w:jc w:val="both"/>
        <w:rPr>
          <w:sz w:val="22"/>
          <w:szCs w:val="22"/>
        </w:rPr>
      </w:pPr>
      <w:r w:rsidDel="00000000" w:rsidR="00000000" w:rsidRPr="00000000">
        <w:rPr>
          <w:sz w:val="22"/>
          <w:szCs w:val="22"/>
          <w:rtl w:val="0"/>
        </w:rPr>
        <w:t xml:space="preserve">Participants describe a range of health conditions they experience both in terms of mental health presentations and physical health diagnoses, from short term illness such as a broken bone that the participant feel are easily managed by medicines, to long term chronic illness. Those who have a complex diagnosis, or a lack of formal diagnosis, perceive their treatment to be a management of symptoms as opposed to treatment of an underlying cause. Some participants perceived their practitioner as possessing minimal knowledge, particularly amongst those with more complex diagnoses. Perceived gaps in General Practitioner knowledge are not well understood (Muscat et al 2020, p.15). A content analysis conducted by Muscat and colleagues found 71% of questions GPs posed to an information service were regarding drug treatments, and 34% of questions queried current clinical guidelines (Muscat et al 2020, p.17). Although Muscat et al’s paper showed GPs’ desire to continue gaining knowledge, it is evidenced GPs are not well equipped to manage diverse health presentations (Muscat et al 2020, p.19). </w:t>
      </w:r>
    </w:p>
    <w:p w:rsidR="00000000" w:rsidDel="00000000" w:rsidP="00000000" w:rsidRDefault="00000000" w:rsidRPr="00000000" w14:paraId="00000ABC">
      <w:pPr>
        <w:spacing w:line="480" w:lineRule="auto"/>
        <w:jc w:val="both"/>
        <w:rPr>
          <w:sz w:val="22"/>
          <w:szCs w:val="22"/>
        </w:rPr>
      </w:pPr>
      <w:r w:rsidDel="00000000" w:rsidR="00000000" w:rsidRPr="00000000">
        <w:rPr>
          <w:rtl w:val="0"/>
        </w:rPr>
      </w:r>
    </w:p>
    <w:p w:rsidR="00000000" w:rsidDel="00000000" w:rsidP="00000000" w:rsidRDefault="00000000" w:rsidRPr="00000000" w14:paraId="00000ABD">
      <w:pPr>
        <w:spacing w:line="480" w:lineRule="auto"/>
        <w:jc w:val="both"/>
        <w:rPr>
          <w:sz w:val="22"/>
          <w:szCs w:val="22"/>
        </w:rPr>
      </w:pPr>
      <w:r w:rsidDel="00000000" w:rsidR="00000000" w:rsidRPr="00000000">
        <w:rPr>
          <w:sz w:val="22"/>
          <w:szCs w:val="22"/>
          <w:rtl w:val="0"/>
        </w:rPr>
        <w:t xml:space="preserve">A poor understanding of illnesses, particularly of chronic illnesses, can further exacerbate the persistence of the condition. This can be “</w:t>
      </w:r>
      <w:r w:rsidDel="00000000" w:rsidR="00000000" w:rsidRPr="00000000">
        <w:rPr>
          <w:i w:val="1"/>
          <w:sz w:val="22"/>
          <w:szCs w:val="22"/>
          <w:rtl w:val="0"/>
        </w:rPr>
        <w:t xml:space="preserve">de-legitimising</w:t>
      </w:r>
      <w:r w:rsidDel="00000000" w:rsidR="00000000" w:rsidRPr="00000000">
        <w:rPr>
          <w:sz w:val="22"/>
          <w:szCs w:val="22"/>
          <w:rtl w:val="0"/>
        </w:rPr>
        <w:t xml:space="preserve">” to the patient, resulting in increased stigma, therefore shame and isolation, which as previously discussed can limit the patient’s motivation towards help-seeking (Cheshire et al 2021 p. 304, Scott et al 2015, Corrigan 2004, Mahajan et al 2008). Furthermore, this lack of diagnosis, the perceived difficulties in accessing secondary treatment and “</w:t>
      </w:r>
      <w:r w:rsidDel="00000000" w:rsidR="00000000" w:rsidRPr="00000000">
        <w:rPr>
          <w:i w:val="1"/>
          <w:sz w:val="22"/>
          <w:szCs w:val="22"/>
          <w:rtl w:val="0"/>
        </w:rPr>
        <w:t xml:space="preserve">being taken seriously</w:t>
      </w:r>
      <w:r w:rsidDel="00000000" w:rsidR="00000000" w:rsidRPr="00000000">
        <w:rPr>
          <w:sz w:val="22"/>
          <w:szCs w:val="22"/>
          <w:rtl w:val="0"/>
        </w:rPr>
        <w:t xml:space="preserve">” can be problematic when attempting to move from the sick role (Cheshire et al 2021 p. 304, Pilkington et al 2020, Chew-Graham et al 2009). As a result, patients may define recovery as not the reduction of symptoms, but the ability to engage in activities of daily living (Cheshire et al 2021, p. 304). This will be discussed in the next section, “</w:t>
      </w:r>
      <w:hyperlink w:anchor="_heading=h.1vsw3ci">
        <w:r w:rsidDel="00000000" w:rsidR="00000000" w:rsidRPr="00000000">
          <w:rPr>
            <w:i w:val="1"/>
            <w:color w:val="467886"/>
            <w:sz w:val="22"/>
            <w:szCs w:val="22"/>
            <w:u w:val="single"/>
            <w:rtl w:val="0"/>
          </w:rPr>
          <w:t xml:space="preserve">Polypharmacy, Overprescribing and Inappropriate Prescribing</w:t>
        </w:r>
      </w:hyperlink>
      <w:r w:rsidDel="00000000" w:rsidR="00000000" w:rsidRPr="00000000">
        <w:rPr>
          <w:sz w:val="22"/>
          <w:szCs w:val="22"/>
          <w:rtl w:val="0"/>
        </w:rPr>
        <w:t xml:space="preserve">” (p. 232).</w:t>
      </w:r>
    </w:p>
    <w:p w:rsidR="00000000" w:rsidDel="00000000" w:rsidP="00000000" w:rsidRDefault="00000000" w:rsidRPr="00000000" w14:paraId="00000ABE">
      <w:pPr>
        <w:spacing w:line="480" w:lineRule="auto"/>
        <w:jc w:val="both"/>
        <w:rPr>
          <w:sz w:val="22"/>
          <w:szCs w:val="22"/>
        </w:rPr>
      </w:pPr>
      <w:r w:rsidDel="00000000" w:rsidR="00000000" w:rsidRPr="00000000">
        <w:rPr>
          <w:rtl w:val="0"/>
        </w:rPr>
      </w:r>
    </w:p>
    <w:p w:rsidR="00000000" w:rsidDel="00000000" w:rsidP="00000000" w:rsidRDefault="00000000" w:rsidRPr="00000000" w14:paraId="00000ABF">
      <w:pPr>
        <w:spacing w:line="480" w:lineRule="auto"/>
        <w:jc w:val="both"/>
        <w:rPr>
          <w:color w:val="7030a0"/>
          <w:sz w:val="22"/>
          <w:szCs w:val="22"/>
        </w:rPr>
      </w:pPr>
      <w:r w:rsidDel="00000000" w:rsidR="00000000" w:rsidRPr="00000000">
        <w:rPr>
          <w:sz w:val="22"/>
          <w:szCs w:val="22"/>
          <w:rtl w:val="0"/>
        </w:rPr>
        <w:t xml:space="preserve">As noted earlier (p. 42), Parsons (1951) suggests practitioners are “</w:t>
      </w:r>
      <w:r w:rsidDel="00000000" w:rsidR="00000000" w:rsidRPr="00000000">
        <w:rPr>
          <w:i w:val="1"/>
          <w:sz w:val="22"/>
          <w:szCs w:val="22"/>
          <w:rtl w:val="0"/>
        </w:rPr>
        <w:t xml:space="preserve">gatekeepers</w:t>
      </w:r>
      <w:r w:rsidDel="00000000" w:rsidR="00000000" w:rsidRPr="00000000">
        <w:rPr>
          <w:sz w:val="22"/>
          <w:szCs w:val="22"/>
          <w:rtl w:val="0"/>
        </w:rPr>
        <w:t xml:space="preserve">” of the sick role, which can include referrals to secondary services. This, however, has its limitations. Participants described inappropriate referrals to secondary services, for example referrals to services that did not align with the therapeutic preferences of patients. This included the use of Acceptance and Commitment training or group therapy. The requirement for professionals to obtain a “</w:t>
      </w:r>
      <w:r w:rsidDel="00000000" w:rsidR="00000000" w:rsidRPr="00000000">
        <w:rPr>
          <w:i w:val="1"/>
          <w:sz w:val="22"/>
          <w:szCs w:val="22"/>
          <w:rtl w:val="0"/>
        </w:rPr>
        <w:t xml:space="preserve">global understanding</w:t>
      </w:r>
      <w:r w:rsidDel="00000000" w:rsidR="00000000" w:rsidRPr="00000000">
        <w:rPr>
          <w:sz w:val="22"/>
          <w:szCs w:val="22"/>
          <w:rtl w:val="0"/>
        </w:rPr>
        <w:t xml:space="preserve">” would include a discussion around treatment preferences and therefore limit these inappropriate referrals (Roque and Leanza 2015). This, however, would only be evident if services were more accessible, which is often not the case due to systemic issues which will be discussed in Section 7.7, “</w:t>
      </w:r>
      <w:hyperlink w:anchor="_heading=h.1a346fx">
        <w:r w:rsidDel="00000000" w:rsidR="00000000" w:rsidRPr="00000000">
          <w:rPr>
            <w:i w:val="1"/>
            <w:color w:val="467886"/>
            <w:sz w:val="22"/>
            <w:szCs w:val="22"/>
            <w:u w:val="single"/>
            <w:rtl w:val="0"/>
          </w:rPr>
          <w:t xml:space="preserve">Limited Accessibility of Secondary Care</w:t>
        </w:r>
      </w:hyperlink>
      <w:r w:rsidDel="00000000" w:rsidR="00000000" w:rsidRPr="00000000">
        <w:rPr>
          <w:sz w:val="22"/>
          <w:szCs w:val="22"/>
          <w:rtl w:val="0"/>
        </w:rPr>
        <w:t xml:space="preserve">” (p. 247). Following this, information sharing is both an ethical and clinical responsibility of healthcare professionals, and therefore a responsibility of practitioners per Parsons’ obligation of “</w:t>
      </w:r>
      <w:r w:rsidDel="00000000" w:rsidR="00000000" w:rsidRPr="00000000">
        <w:rPr>
          <w:i w:val="1"/>
          <w:sz w:val="22"/>
          <w:szCs w:val="22"/>
          <w:rtl w:val="0"/>
        </w:rPr>
        <w:t xml:space="preserve">bound by professional conduct</w:t>
      </w:r>
      <w:r w:rsidDel="00000000" w:rsidR="00000000" w:rsidRPr="00000000">
        <w:rPr>
          <w:sz w:val="22"/>
          <w:szCs w:val="22"/>
          <w:rtl w:val="0"/>
        </w:rPr>
        <w:t xml:space="preserve">” (O’Sullivan et al 2020, Cocanour 2017, Parsons 1951). Failure to provide patients with “</w:t>
      </w:r>
      <w:r w:rsidDel="00000000" w:rsidR="00000000" w:rsidRPr="00000000">
        <w:rPr>
          <w:i w:val="1"/>
          <w:sz w:val="22"/>
          <w:szCs w:val="22"/>
          <w:rtl w:val="0"/>
        </w:rPr>
        <w:t xml:space="preserve">all the necessary information and withholding information about effective treatments</w:t>
      </w:r>
      <w:r w:rsidDel="00000000" w:rsidR="00000000" w:rsidRPr="00000000">
        <w:rPr>
          <w:sz w:val="22"/>
          <w:szCs w:val="22"/>
          <w:rtl w:val="0"/>
        </w:rPr>
        <w:t xml:space="preserve">” and not presenting risks is described as unethical practice (O’Sullivan et al 2020, Cocanour 2017). Further duties include ensuring patients can apply the information provided (Engelbrecht 2014).</w:t>
      </w:r>
      <w:r w:rsidDel="00000000" w:rsidR="00000000" w:rsidRPr="00000000">
        <w:rPr>
          <w:rtl w:val="0"/>
        </w:rPr>
      </w:r>
    </w:p>
    <w:p w:rsidR="00000000" w:rsidDel="00000000" w:rsidP="00000000" w:rsidRDefault="00000000" w:rsidRPr="00000000" w14:paraId="00000AC0">
      <w:pPr>
        <w:spacing w:line="480" w:lineRule="auto"/>
        <w:jc w:val="both"/>
        <w:rPr>
          <w:sz w:val="22"/>
          <w:szCs w:val="22"/>
        </w:rPr>
      </w:pPr>
      <w:r w:rsidDel="00000000" w:rsidR="00000000" w:rsidRPr="00000000">
        <w:rPr>
          <w:rtl w:val="0"/>
        </w:rPr>
      </w:r>
    </w:p>
    <w:p w:rsidR="00000000" w:rsidDel="00000000" w:rsidP="00000000" w:rsidRDefault="00000000" w:rsidRPr="00000000" w14:paraId="00000AC1">
      <w:pPr>
        <w:spacing w:line="480" w:lineRule="auto"/>
        <w:jc w:val="both"/>
        <w:rPr>
          <w:sz w:val="22"/>
          <w:szCs w:val="22"/>
        </w:rPr>
      </w:pPr>
      <w:r w:rsidDel="00000000" w:rsidR="00000000" w:rsidRPr="00000000">
        <w:rPr>
          <w:sz w:val="22"/>
          <w:szCs w:val="22"/>
          <w:rtl w:val="0"/>
        </w:rPr>
        <w:t xml:space="preserve">Having the knowledge to identify illnesses, and therefore referring patients to appropriate services, could further fall under the remit of being “</w:t>
      </w:r>
      <w:r w:rsidDel="00000000" w:rsidR="00000000" w:rsidRPr="00000000">
        <w:rPr>
          <w:i w:val="1"/>
          <w:sz w:val="22"/>
          <w:szCs w:val="22"/>
          <w:rtl w:val="0"/>
        </w:rPr>
        <w:t xml:space="preserve">highly trained</w:t>
      </w:r>
      <w:r w:rsidDel="00000000" w:rsidR="00000000" w:rsidRPr="00000000">
        <w:rPr>
          <w:sz w:val="22"/>
          <w:szCs w:val="22"/>
          <w:rtl w:val="0"/>
        </w:rPr>
        <w:t xml:space="preserve">” and acting within the boundaries of “</w:t>
      </w:r>
      <w:r w:rsidDel="00000000" w:rsidR="00000000" w:rsidRPr="00000000">
        <w:rPr>
          <w:i w:val="1"/>
          <w:sz w:val="22"/>
          <w:szCs w:val="22"/>
          <w:rtl w:val="0"/>
        </w:rPr>
        <w:t xml:space="preserve">professional conduct</w:t>
      </w:r>
      <w:r w:rsidDel="00000000" w:rsidR="00000000" w:rsidRPr="00000000">
        <w:rPr>
          <w:sz w:val="22"/>
          <w:szCs w:val="22"/>
          <w:rtl w:val="0"/>
        </w:rPr>
        <w:t xml:space="preserve">” (Parsons, 1951). General Practitioners are, by namesake, a professional that can work with a vast range of health conditions, but this means they may not always have adequate understanding of topics such as mental health or chronic pain (Muscat et al 2020, p.19). This includes dependence and withdrawal associated with medicines, evidenced by one participant who was mis-diagnosed with anxiety and depression where withdrawal from medicines was felt to be a more appropriate diagnosis, therefore began to move away from formal healthcare services. This is supported by the literature, with Guy et al (2020) suggesting professionals who fail to recognise withdrawal symptoms are likely to diagnose a relapse, leading 33% of participants to manage the withdrawal process alone. The non-adherence to treatment plans can have significant consequences for the patient such as disease progression, increased healthcare costs and fatalities (Jimmy and Jose 2011, Giodano and Cardillo 2021). </w:t>
      </w:r>
    </w:p>
    <w:p w:rsidR="00000000" w:rsidDel="00000000" w:rsidP="00000000" w:rsidRDefault="00000000" w:rsidRPr="00000000" w14:paraId="00000AC2">
      <w:pPr>
        <w:spacing w:line="480" w:lineRule="auto"/>
        <w:jc w:val="both"/>
        <w:rPr>
          <w:sz w:val="22"/>
          <w:szCs w:val="22"/>
        </w:rPr>
      </w:pPr>
      <w:r w:rsidDel="00000000" w:rsidR="00000000" w:rsidRPr="00000000">
        <w:rPr>
          <w:rtl w:val="0"/>
        </w:rPr>
      </w:r>
    </w:p>
    <w:p w:rsidR="00000000" w:rsidDel="00000000" w:rsidP="00000000" w:rsidRDefault="00000000" w:rsidRPr="00000000" w14:paraId="00000AC3">
      <w:pPr>
        <w:spacing w:line="480" w:lineRule="auto"/>
        <w:jc w:val="both"/>
        <w:rPr>
          <w:sz w:val="22"/>
          <w:szCs w:val="22"/>
        </w:rPr>
      </w:pPr>
      <w:r w:rsidDel="00000000" w:rsidR="00000000" w:rsidRPr="00000000">
        <w:rPr>
          <w:sz w:val="22"/>
          <w:szCs w:val="22"/>
          <w:rtl w:val="0"/>
        </w:rPr>
        <w:t xml:space="preserve">Allied healthcare practitioners, such as pharmacists and mental health professionals, were identified within the findings as professionals that were more appropriate in managing some health complaints. This was found to have a positive association with patient satisfaction, and an overall positive patient experience, consistent with the findings of the literature review (Montag Schafer et al 2022 p. 2407, Kosakowski et al 2022 p.1727, Nicols et al 2023 p.8, Seddon et al 2024 p.4).  Although some participants note these allied healthcare professionals were integrated in their general practice, this was not a universal experience. Practice – based professionals have been found to support GPs in the deprescribing and reduction in overprescribing by 19.5%, as found by Bosman et al (2015, p.710). This does have its limitations, since pharmacists feel they are less effective at patient support, however, their involvement in general practice would allow more time for GPs to engage in patient-facing care (Kinnaird et al 2019 p. 6, Bosman et al 2015 p.710, Mokhar et al 2018 p.21, Seddon et al 2024 p.4). </w:t>
      </w:r>
    </w:p>
    <w:p w:rsidR="00000000" w:rsidDel="00000000" w:rsidP="00000000" w:rsidRDefault="00000000" w:rsidRPr="00000000" w14:paraId="00000AC4">
      <w:pPr>
        <w:spacing w:line="480" w:lineRule="auto"/>
        <w:jc w:val="both"/>
        <w:rPr>
          <w:sz w:val="22"/>
          <w:szCs w:val="22"/>
        </w:rPr>
      </w:pPr>
      <w:r w:rsidDel="00000000" w:rsidR="00000000" w:rsidRPr="00000000">
        <w:rPr>
          <w:rtl w:val="0"/>
        </w:rPr>
      </w:r>
    </w:p>
    <w:p w:rsidR="00000000" w:rsidDel="00000000" w:rsidP="00000000" w:rsidRDefault="00000000" w:rsidRPr="00000000" w14:paraId="00000AC5">
      <w:pPr>
        <w:spacing w:line="480" w:lineRule="auto"/>
        <w:jc w:val="both"/>
        <w:rPr>
          <w:sz w:val="22"/>
          <w:szCs w:val="22"/>
        </w:rPr>
      </w:pPr>
      <w:r w:rsidDel="00000000" w:rsidR="00000000" w:rsidRPr="00000000">
        <w:rPr>
          <w:sz w:val="22"/>
          <w:szCs w:val="22"/>
          <w:rtl w:val="0"/>
        </w:rPr>
        <w:t xml:space="preserve">Where participants feel unsupported due to the perceived lack of practitioner knowledge, this patient group report finding support from online chronic pain communities. This is supported by the literature; whereby online health communities often describe being dismissed by their practitioners and identify this as a motivating factor towards alternative health advice (Guy et al, 2020). This actual and perceived lack of knowledge has been associated with poor rehabilitation outcomes (Stratil et al, 2018), with the lack of adequate information sharing resulting in a poor treatment plan adherence and seeking alternative resources for health information such as online health communities (Roque and Leanza, 2015). </w:t>
      </w:r>
    </w:p>
    <w:p w:rsidR="00000000" w:rsidDel="00000000" w:rsidP="00000000" w:rsidRDefault="00000000" w:rsidRPr="00000000" w14:paraId="00000AC6">
      <w:pPr>
        <w:spacing w:line="480" w:lineRule="auto"/>
        <w:jc w:val="both"/>
        <w:rPr>
          <w:sz w:val="22"/>
          <w:szCs w:val="22"/>
        </w:rPr>
      </w:pPr>
      <w:r w:rsidDel="00000000" w:rsidR="00000000" w:rsidRPr="00000000">
        <w:rPr>
          <w:rtl w:val="0"/>
        </w:rPr>
      </w:r>
    </w:p>
    <w:p w:rsidR="00000000" w:rsidDel="00000000" w:rsidP="00000000" w:rsidRDefault="00000000" w:rsidRPr="00000000" w14:paraId="00000AC7">
      <w:pPr>
        <w:pStyle w:val="Heading3"/>
        <w:spacing w:line="480" w:lineRule="auto"/>
        <w:rPr/>
      </w:pPr>
      <w:bookmarkStart w:colFirst="0" w:colLast="0" w:name="_heading=h.1vsw3ci" w:id="131"/>
      <w:bookmarkEnd w:id="131"/>
      <w:r w:rsidDel="00000000" w:rsidR="00000000" w:rsidRPr="00000000">
        <w:rPr>
          <w:rtl w:val="0"/>
        </w:rPr>
        <w:t xml:space="preserve">Polypharmacy, Overprescribing and Inappropriate Prescribing</w:t>
      </w:r>
    </w:p>
    <w:p w:rsidR="00000000" w:rsidDel="00000000" w:rsidP="00000000" w:rsidRDefault="00000000" w:rsidRPr="00000000" w14:paraId="00000AC8">
      <w:pPr>
        <w:spacing w:line="480" w:lineRule="auto"/>
        <w:jc w:val="both"/>
        <w:rPr>
          <w:sz w:val="22"/>
          <w:szCs w:val="22"/>
        </w:rPr>
      </w:pPr>
      <w:r w:rsidDel="00000000" w:rsidR="00000000" w:rsidRPr="00000000">
        <w:rPr>
          <w:sz w:val="22"/>
          <w:szCs w:val="22"/>
          <w:rtl w:val="0"/>
        </w:rPr>
        <w:t xml:space="preserve">Of the thirteen participants, seven participants report polypharmacy, as presented in Table Eleven. As defined previously, Polypharmacy is the “</w:t>
      </w:r>
      <w:r w:rsidDel="00000000" w:rsidR="00000000" w:rsidRPr="00000000">
        <w:rPr>
          <w:i w:val="1"/>
          <w:sz w:val="22"/>
          <w:szCs w:val="22"/>
          <w:rtl w:val="0"/>
        </w:rPr>
        <w:t xml:space="preserve">multimorbidity and the associated use of multiple medicines</w:t>
      </w:r>
      <w:r w:rsidDel="00000000" w:rsidR="00000000" w:rsidRPr="00000000">
        <w:rPr>
          <w:sz w:val="22"/>
          <w:szCs w:val="22"/>
          <w:rtl w:val="0"/>
        </w:rPr>
        <w:t xml:space="preserve">” (Masnoon et al, 2017). This was typically polypharmacy of antidepressant medicines and analgesia, with six of those describing polypharmacy reporting this combination of medicines.</w:t>
      </w:r>
    </w:p>
    <w:p w:rsidR="00000000" w:rsidDel="00000000" w:rsidP="00000000" w:rsidRDefault="00000000" w:rsidRPr="00000000" w14:paraId="00000AC9">
      <w:pPr>
        <w:spacing w:line="480" w:lineRule="auto"/>
        <w:jc w:val="both"/>
        <w:rPr>
          <w:sz w:val="22"/>
          <w:szCs w:val="22"/>
        </w:rPr>
      </w:pPr>
      <w:r w:rsidDel="00000000" w:rsidR="00000000" w:rsidRPr="00000000">
        <w:rPr>
          <w:rtl w:val="0"/>
        </w:rPr>
      </w:r>
    </w:p>
    <w:tbl>
      <w:tblPr>
        <w:tblStyle w:val="Table11"/>
        <w:tblW w:w="9026.0"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1270"/>
        <w:gridCol w:w="1747"/>
        <w:gridCol w:w="1795"/>
        <w:gridCol w:w="1792"/>
        <w:gridCol w:w="1378"/>
        <w:gridCol w:w="1044"/>
        <w:tblGridChange w:id="0">
          <w:tblGrid>
            <w:gridCol w:w="1270"/>
            <w:gridCol w:w="1747"/>
            <w:gridCol w:w="1795"/>
            <w:gridCol w:w="1792"/>
            <w:gridCol w:w="1378"/>
            <w:gridCol w:w="1044"/>
          </w:tblGrid>
        </w:tblGridChange>
      </w:tblGrid>
      <w:tr>
        <w:trPr>
          <w:cantSplit w:val="0"/>
          <w:trHeight w:val="269" w:hRule="atLeast"/>
          <w:tblHeader w:val="0"/>
        </w:trPr>
        <w:tc>
          <w:tcPr/>
          <w:p w:rsidR="00000000" w:rsidDel="00000000" w:rsidP="00000000" w:rsidRDefault="00000000" w:rsidRPr="00000000" w14:paraId="00000ACA">
            <w:pPr>
              <w:rPr>
                <w:sz w:val="22"/>
                <w:szCs w:val="22"/>
              </w:rPr>
            </w:pPr>
            <w:r w:rsidDel="00000000" w:rsidR="00000000" w:rsidRPr="00000000">
              <w:rPr>
                <w:rtl w:val="0"/>
              </w:rPr>
            </w:r>
          </w:p>
        </w:tc>
        <w:tc>
          <w:tcPr/>
          <w:p w:rsidR="00000000" w:rsidDel="00000000" w:rsidP="00000000" w:rsidRDefault="00000000" w:rsidRPr="00000000" w14:paraId="00000ACB">
            <w:pPr>
              <w:jc w:val="center"/>
              <w:rPr>
                <w:sz w:val="22"/>
                <w:szCs w:val="22"/>
              </w:rPr>
            </w:pPr>
            <w:r w:rsidDel="00000000" w:rsidR="00000000" w:rsidRPr="00000000">
              <w:rPr>
                <w:sz w:val="22"/>
                <w:szCs w:val="22"/>
                <w:rtl w:val="0"/>
              </w:rPr>
              <w:t xml:space="preserve">Antidepressant</w:t>
            </w:r>
          </w:p>
        </w:tc>
        <w:tc>
          <w:tcPr/>
          <w:p w:rsidR="00000000" w:rsidDel="00000000" w:rsidP="00000000" w:rsidRDefault="00000000" w:rsidRPr="00000000" w14:paraId="00000ACC">
            <w:pPr>
              <w:jc w:val="center"/>
              <w:rPr>
                <w:sz w:val="22"/>
                <w:szCs w:val="22"/>
              </w:rPr>
            </w:pPr>
            <w:r w:rsidDel="00000000" w:rsidR="00000000" w:rsidRPr="00000000">
              <w:rPr>
                <w:sz w:val="22"/>
                <w:szCs w:val="22"/>
                <w:rtl w:val="0"/>
              </w:rPr>
              <w:t xml:space="preserve">Benzodiazepine</w:t>
            </w:r>
          </w:p>
        </w:tc>
        <w:tc>
          <w:tcPr/>
          <w:p w:rsidR="00000000" w:rsidDel="00000000" w:rsidP="00000000" w:rsidRDefault="00000000" w:rsidRPr="00000000" w14:paraId="00000ACD">
            <w:pPr>
              <w:jc w:val="center"/>
              <w:rPr>
                <w:sz w:val="22"/>
                <w:szCs w:val="22"/>
              </w:rPr>
            </w:pPr>
            <w:r w:rsidDel="00000000" w:rsidR="00000000" w:rsidRPr="00000000">
              <w:rPr>
                <w:sz w:val="22"/>
                <w:szCs w:val="22"/>
                <w:rtl w:val="0"/>
              </w:rPr>
              <w:t xml:space="preserve">Gabapentinoid</w:t>
            </w:r>
          </w:p>
        </w:tc>
        <w:tc>
          <w:tcPr/>
          <w:p w:rsidR="00000000" w:rsidDel="00000000" w:rsidP="00000000" w:rsidRDefault="00000000" w:rsidRPr="00000000" w14:paraId="00000ACE">
            <w:pPr>
              <w:jc w:val="center"/>
              <w:rPr>
                <w:sz w:val="22"/>
                <w:szCs w:val="22"/>
              </w:rPr>
            </w:pPr>
            <w:r w:rsidDel="00000000" w:rsidR="00000000" w:rsidRPr="00000000">
              <w:rPr>
                <w:sz w:val="22"/>
                <w:szCs w:val="22"/>
                <w:rtl w:val="0"/>
              </w:rPr>
              <w:t xml:space="preserve">Opioid</w:t>
            </w:r>
          </w:p>
        </w:tc>
        <w:tc>
          <w:tcPr/>
          <w:p w:rsidR="00000000" w:rsidDel="00000000" w:rsidP="00000000" w:rsidRDefault="00000000" w:rsidRPr="00000000" w14:paraId="00000ACF">
            <w:pPr>
              <w:jc w:val="center"/>
              <w:rPr>
                <w:sz w:val="22"/>
                <w:szCs w:val="22"/>
              </w:rPr>
            </w:pPr>
            <w:r w:rsidDel="00000000" w:rsidR="00000000" w:rsidRPr="00000000">
              <w:rPr>
                <w:sz w:val="22"/>
                <w:szCs w:val="22"/>
                <w:rtl w:val="0"/>
              </w:rPr>
              <w:t xml:space="preserve">Z-Drug</w:t>
            </w:r>
          </w:p>
        </w:tc>
      </w:tr>
      <w:tr>
        <w:trPr>
          <w:cantSplit w:val="0"/>
          <w:trHeight w:val="269" w:hRule="atLeast"/>
          <w:tblHeader w:val="0"/>
        </w:trPr>
        <w:tc>
          <w:tcPr/>
          <w:p w:rsidR="00000000" w:rsidDel="00000000" w:rsidP="00000000" w:rsidRDefault="00000000" w:rsidRPr="00000000" w14:paraId="00000AD0">
            <w:pPr>
              <w:rPr>
                <w:sz w:val="22"/>
                <w:szCs w:val="22"/>
              </w:rPr>
            </w:pPr>
            <w:r w:rsidDel="00000000" w:rsidR="00000000" w:rsidRPr="00000000">
              <w:rPr>
                <w:sz w:val="22"/>
                <w:szCs w:val="22"/>
                <w:rtl w:val="0"/>
              </w:rPr>
              <w:t xml:space="preserve">Alice</w:t>
            </w:r>
          </w:p>
        </w:tc>
        <w:tc>
          <w:tcPr/>
          <w:p w:rsidR="00000000" w:rsidDel="00000000" w:rsidP="00000000" w:rsidRDefault="00000000" w:rsidRPr="00000000" w14:paraId="00000AD1">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D2">
            <w:pPr>
              <w:jc w:val="center"/>
              <w:rPr>
                <w:sz w:val="22"/>
                <w:szCs w:val="22"/>
              </w:rPr>
            </w:pPr>
            <w:r w:rsidDel="00000000" w:rsidR="00000000" w:rsidRPr="00000000">
              <w:rPr>
                <w:rtl w:val="0"/>
              </w:rPr>
            </w:r>
          </w:p>
        </w:tc>
        <w:tc>
          <w:tcPr/>
          <w:p w:rsidR="00000000" w:rsidDel="00000000" w:rsidP="00000000" w:rsidRDefault="00000000" w:rsidRPr="00000000" w14:paraId="00000AD3">
            <w:pPr>
              <w:jc w:val="center"/>
              <w:rPr>
                <w:sz w:val="22"/>
                <w:szCs w:val="22"/>
              </w:rPr>
            </w:pPr>
            <w:r w:rsidDel="00000000" w:rsidR="00000000" w:rsidRPr="00000000">
              <w:rPr>
                <w:rtl w:val="0"/>
              </w:rPr>
            </w:r>
          </w:p>
        </w:tc>
        <w:tc>
          <w:tcPr/>
          <w:p w:rsidR="00000000" w:rsidDel="00000000" w:rsidP="00000000" w:rsidRDefault="00000000" w:rsidRPr="00000000" w14:paraId="00000AD4">
            <w:pPr>
              <w:jc w:val="center"/>
              <w:rPr>
                <w:sz w:val="22"/>
                <w:szCs w:val="22"/>
              </w:rPr>
            </w:pPr>
            <w:r w:rsidDel="00000000" w:rsidR="00000000" w:rsidRPr="00000000">
              <w:rPr>
                <w:rtl w:val="0"/>
              </w:rPr>
            </w:r>
          </w:p>
        </w:tc>
        <w:tc>
          <w:tcPr/>
          <w:p w:rsidR="00000000" w:rsidDel="00000000" w:rsidP="00000000" w:rsidRDefault="00000000" w:rsidRPr="00000000" w14:paraId="00000AD5">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D6">
            <w:pPr>
              <w:rPr>
                <w:sz w:val="22"/>
                <w:szCs w:val="22"/>
              </w:rPr>
            </w:pPr>
            <w:r w:rsidDel="00000000" w:rsidR="00000000" w:rsidRPr="00000000">
              <w:rPr>
                <w:sz w:val="22"/>
                <w:szCs w:val="22"/>
                <w:rtl w:val="0"/>
              </w:rPr>
              <w:t xml:space="preserve">Brandon</w:t>
            </w:r>
          </w:p>
        </w:tc>
        <w:tc>
          <w:tcPr/>
          <w:p w:rsidR="00000000" w:rsidDel="00000000" w:rsidP="00000000" w:rsidRDefault="00000000" w:rsidRPr="00000000" w14:paraId="00000AD7">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D8">
            <w:pPr>
              <w:jc w:val="center"/>
              <w:rPr>
                <w:sz w:val="22"/>
                <w:szCs w:val="22"/>
              </w:rPr>
            </w:pPr>
            <w:r w:rsidDel="00000000" w:rsidR="00000000" w:rsidRPr="00000000">
              <w:rPr>
                <w:rtl w:val="0"/>
              </w:rPr>
            </w:r>
          </w:p>
        </w:tc>
        <w:tc>
          <w:tcPr/>
          <w:p w:rsidR="00000000" w:rsidDel="00000000" w:rsidP="00000000" w:rsidRDefault="00000000" w:rsidRPr="00000000" w14:paraId="00000AD9">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DA">
            <w:pPr>
              <w:jc w:val="center"/>
              <w:rPr>
                <w:sz w:val="22"/>
                <w:szCs w:val="22"/>
              </w:rPr>
            </w:pPr>
            <w:r w:rsidDel="00000000" w:rsidR="00000000" w:rsidRPr="00000000">
              <w:rPr>
                <w:rtl w:val="0"/>
              </w:rPr>
            </w:r>
          </w:p>
        </w:tc>
        <w:tc>
          <w:tcPr/>
          <w:p w:rsidR="00000000" w:rsidDel="00000000" w:rsidP="00000000" w:rsidRDefault="00000000" w:rsidRPr="00000000" w14:paraId="00000ADB">
            <w:pPr>
              <w:jc w:val="center"/>
              <w:rPr>
                <w:sz w:val="22"/>
                <w:szCs w:val="22"/>
              </w:rPr>
            </w:pPr>
            <w:r w:rsidDel="00000000" w:rsidR="00000000" w:rsidRPr="00000000">
              <w:rPr>
                <w:sz w:val="22"/>
                <w:szCs w:val="22"/>
                <w:rtl w:val="0"/>
              </w:rPr>
              <w:t xml:space="preserve">X</w:t>
            </w:r>
          </w:p>
        </w:tc>
      </w:tr>
      <w:tr>
        <w:trPr>
          <w:cantSplit w:val="0"/>
          <w:trHeight w:val="269" w:hRule="atLeast"/>
          <w:tblHeader w:val="0"/>
        </w:trPr>
        <w:tc>
          <w:tcPr/>
          <w:p w:rsidR="00000000" w:rsidDel="00000000" w:rsidP="00000000" w:rsidRDefault="00000000" w:rsidRPr="00000000" w14:paraId="00000ADC">
            <w:pPr>
              <w:rPr>
                <w:sz w:val="22"/>
                <w:szCs w:val="22"/>
              </w:rPr>
            </w:pPr>
            <w:r w:rsidDel="00000000" w:rsidR="00000000" w:rsidRPr="00000000">
              <w:rPr>
                <w:sz w:val="22"/>
                <w:szCs w:val="22"/>
                <w:rtl w:val="0"/>
              </w:rPr>
              <w:t xml:space="preserve">Charlotte</w:t>
            </w:r>
          </w:p>
        </w:tc>
        <w:tc>
          <w:tcPr/>
          <w:p w:rsidR="00000000" w:rsidDel="00000000" w:rsidP="00000000" w:rsidRDefault="00000000" w:rsidRPr="00000000" w14:paraId="00000ADD">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DE">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DF">
            <w:pPr>
              <w:jc w:val="center"/>
              <w:rPr>
                <w:sz w:val="22"/>
                <w:szCs w:val="22"/>
              </w:rPr>
            </w:pPr>
            <w:r w:rsidDel="00000000" w:rsidR="00000000" w:rsidRPr="00000000">
              <w:rPr>
                <w:rtl w:val="0"/>
              </w:rPr>
            </w:r>
          </w:p>
        </w:tc>
        <w:tc>
          <w:tcPr/>
          <w:p w:rsidR="00000000" w:rsidDel="00000000" w:rsidP="00000000" w:rsidRDefault="00000000" w:rsidRPr="00000000" w14:paraId="00000AE0">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1">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E2">
            <w:pPr>
              <w:rPr>
                <w:sz w:val="22"/>
                <w:szCs w:val="22"/>
              </w:rPr>
            </w:pPr>
            <w:r w:rsidDel="00000000" w:rsidR="00000000" w:rsidRPr="00000000">
              <w:rPr>
                <w:sz w:val="22"/>
                <w:szCs w:val="22"/>
                <w:rtl w:val="0"/>
              </w:rPr>
              <w:t xml:space="preserve">Georgina</w:t>
            </w:r>
          </w:p>
        </w:tc>
        <w:tc>
          <w:tcPr/>
          <w:p w:rsidR="00000000" w:rsidDel="00000000" w:rsidP="00000000" w:rsidRDefault="00000000" w:rsidRPr="00000000" w14:paraId="00000AE3">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4">
            <w:pPr>
              <w:jc w:val="center"/>
              <w:rPr>
                <w:sz w:val="22"/>
                <w:szCs w:val="22"/>
              </w:rPr>
            </w:pPr>
            <w:r w:rsidDel="00000000" w:rsidR="00000000" w:rsidRPr="00000000">
              <w:rPr>
                <w:rtl w:val="0"/>
              </w:rPr>
            </w:r>
          </w:p>
        </w:tc>
        <w:tc>
          <w:tcPr/>
          <w:p w:rsidR="00000000" w:rsidDel="00000000" w:rsidP="00000000" w:rsidRDefault="00000000" w:rsidRPr="00000000" w14:paraId="00000AE5">
            <w:pPr>
              <w:jc w:val="center"/>
              <w:rPr>
                <w:sz w:val="22"/>
                <w:szCs w:val="22"/>
              </w:rPr>
            </w:pPr>
            <w:r w:rsidDel="00000000" w:rsidR="00000000" w:rsidRPr="00000000">
              <w:rPr>
                <w:rtl w:val="0"/>
              </w:rPr>
            </w:r>
          </w:p>
        </w:tc>
        <w:tc>
          <w:tcPr/>
          <w:p w:rsidR="00000000" w:rsidDel="00000000" w:rsidP="00000000" w:rsidRDefault="00000000" w:rsidRPr="00000000" w14:paraId="00000AE6">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7">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E8">
            <w:pPr>
              <w:rPr>
                <w:sz w:val="22"/>
                <w:szCs w:val="22"/>
              </w:rPr>
            </w:pPr>
            <w:r w:rsidDel="00000000" w:rsidR="00000000" w:rsidRPr="00000000">
              <w:rPr>
                <w:sz w:val="22"/>
                <w:szCs w:val="22"/>
                <w:rtl w:val="0"/>
              </w:rPr>
              <w:t xml:space="preserve">Imogen</w:t>
            </w:r>
          </w:p>
        </w:tc>
        <w:tc>
          <w:tcPr/>
          <w:p w:rsidR="00000000" w:rsidDel="00000000" w:rsidP="00000000" w:rsidRDefault="00000000" w:rsidRPr="00000000" w14:paraId="00000AE9">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A">
            <w:pPr>
              <w:jc w:val="center"/>
              <w:rPr>
                <w:sz w:val="22"/>
                <w:szCs w:val="22"/>
              </w:rPr>
            </w:pPr>
            <w:r w:rsidDel="00000000" w:rsidR="00000000" w:rsidRPr="00000000">
              <w:rPr>
                <w:rtl w:val="0"/>
              </w:rPr>
            </w:r>
          </w:p>
        </w:tc>
        <w:tc>
          <w:tcPr/>
          <w:p w:rsidR="00000000" w:rsidDel="00000000" w:rsidP="00000000" w:rsidRDefault="00000000" w:rsidRPr="00000000" w14:paraId="00000AEB">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C">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ED">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EE">
            <w:pPr>
              <w:rPr>
                <w:sz w:val="22"/>
                <w:szCs w:val="22"/>
              </w:rPr>
            </w:pPr>
            <w:r w:rsidDel="00000000" w:rsidR="00000000" w:rsidRPr="00000000">
              <w:rPr>
                <w:sz w:val="22"/>
                <w:szCs w:val="22"/>
                <w:rtl w:val="0"/>
              </w:rPr>
              <w:t xml:space="preserve">Joanna</w:t>
            </w:r>
          </w:p>
        </w:tc>
        <w:tc>
          <w:tcPr/>
          <w:p w:rsidR="00000000" w:rsidDel="00000000" w:rsidP="00000000" w:rsidRDefault="00000000" w:rsidRPr="00000000" w14:paraId="00000AEF">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0">
            <w:pPr>
              <w:jc w:val="center"/>
              <w:rPr>
                <w:sz w:val="22"/>
                <w:szCs w:val="22"/>
              </w:rPr>
            </w:pPr>
            <w:r w:rsidDel="00000000" w:rsidR="00000000" w:rsidRPr="00000000">
              <w:rPr>
                <w:rtl w:val="0"/>
              </w:rPr>
            </w:r>
          </w:p>
        </w:tc>
        <w:tc>
          <w:tcPr/>
          <w:p w:rsidR="00000000" w:rsidDel="00000000" w:rsidP="00000000" w:rsidRDefault="00000000" w:rsidRPr="00000000" w14:paraId="00000AF1">
            <w:pPr>
              <w:jc w:val="center"/>
              <w:rPr>
                <w:sz w:val="22"/>
                <w:szCs w:val="22"/>
              </w:rPr>
            </w:pPr>
            <w:r w:rsidDel="00000000" w:rsidR="00000000" w:rsidRPr="00000000">
              <w:rPr>
                <w:rtl w:val="0"/>
              </w:rPr>
            </w:r>
          </w:p>
        </w:tc>
        <w:tc>
          <w:tcPr/>
          <w:p w:rsidR="00000000" w:rsidDel="00000000" w:rsidP="00000000" w:rsidRDefault="00000000" w:rsidRPr="00000000" w14:paraId="00000AF2">
            <w:pPr>
              <w:jc w:val="center"/>
              <w:rPr>
                <w:sz w:val="22"/>
                <w:szCs w:val="22"/>
              </w:rPr>
            </w:pPr>
            <w:r w:rsidDel="00000000" w:rsidR="00000000" w:rsidRPr="00000000">
              <w:rPr>
                <w:rtl w:val="0"/>
              </w:rPr>
            </w:r>
          </w:p>
        </w:tc>
        <w:tc>
          <w:tcPr/>
          <w:p w:rsidR="00000000" w:rsidDel="00000000" w:rsidP="00000000" w:rsidRDefault="00000000" w:rsidRPr="00000000" w14:paraId="00000AF3">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F4">
            <w:pPr>
              <w:rPr>
                <w:sz w:val="22"/>
                <w:szCs w:val="22"/>
              </w:rPr>
            </w:pPr>
            <w:r w:rsidDel="00000000" w:rsidR="00000000" w:rsidRPr="00000000">
              <w:rPr>
                <w:sz w:val="22"/>
                <w:szCs w:val="22"/>
                <w:rtl w:val="0"/>
              </w:rPr>
              <w:t xml:space="preserve">Kirsty</w:t>
            </w:r>
          </w:p>
        </w:tc>
        <w:tc>
          <w:tcPr/>
          <w:p w:rsidR="00000000" w:rsidDel="00000000" w:rsidP="00000000" w:rsidRDefault="00000000" w:rsidRPr="00000000" w14:paraId="00000AF5">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6">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7">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8">
            <w:pPr>
              <w:jc w:val="center"/>
              <w:rPr>
                <w:sz w:val="22"/>
                <w:szCs w:val="22"/>
              </w:rPr>
            </w:pPr>
            <w:r w:rsidDel="00000000" w:rsidR="00000000" w:rsidRPr="00000000">
              <w:rPr>
                <w:rtl w:val="0"/>
              </w:rPr>
            </w:r>
          </w:p>
        </w:tc>
        <w:tc>
          <w:tcPr/>
          <w:p w:rsidR="00000000" w:rsidDel="00000000" w:rsidP="00000000" w:rsidRDefault="00000000" w:rsidRPr="00000000" w14:paraId="00000AF9">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AFA">
            <w:pPr>
              <w:rPr>
                <w:sz w:val="22"/>
                <w:szCs w:val="22"/>
              </w:rPr>
            </w:pPr>
            <w:r w:rsidDel="00000000" w:rsidR="00000000" w:rsidRPr="00000000">
              <w:rPr>
                <w:sz w:val="22"/>
                <w:szCs w:val="22"/>
                <w:rtl w:val="0"/>
              </w:rPr>
              <w:t xml:space="preserve">Maggie</w:t>
            </w:r>
          </w:p>
        </w:tc>
        <w:tc>
          <w:tcPr/>
          <w:p w:rsidR="00000000" w:rsidDel="00000000" w:rsidP="00000000" w:rsidRDefault="00000000" w:rsidRPr="00000000" w14:paraId="00000AFB">
            <w:pPr>
              <w:jc w:val="center"/>
              <w:rPr>
                <w:sz w:val="22"/>
                <w:szCs w:val="22"/>
              </w:rPr>
            </w:pPr>
            <w:r w:rsidDel="00000000" w:rsidR="00000000" w:rsidRPr="00000000">
              <w:rPr>
                <w:rtl w:val="0"/>
              </w:rPr>
            </w:r>
          </w:p>
        </w:tc>
        <w:tc>
          <w:tcPr/>
          <w:p w:rsidR="00000000" w:rsidDel="00000000" w:rsidP="00000000" w:rsidRDefault="00000000" w:rsidRPr="00000000" w14:paraId="00000AFC">
            <w:pPr>
              <w:jc w:val="center"/>
              <w:rPr>
                <w:sz w:val="22"/>
                <w:szCs w:val="22"/>
              </w:rPr>
            </w:pPr>
            <w:r w:rsidDel="00000000" w:rsidR="00000000" w:rsidRPr="00000000">
              <w:rPr>
                <w:rtl w:val="0"/>
              </w:rPr>
            </w:r>
          </w:p>
        </w:tc>
        <w:tc>
          <w:tcPr/>
          <w:p w:rsidR="00000000" w:rsidDel="00000000" w:rsidP="00000000" w:rsidRDefault="00000000" w:rsidRPr="00000000" w14:paraId="00000AFD">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E">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AFF">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B00">
            <w:pPr>
              <w:rPr>
                <w:sz w:val="22"/>
                <w:szCs w:val="22"/>
              </w:rPr>
            </w:pPr>
            <w:r w:rsidDel="00000000" w:rsidR="00000000" w:rsidRPr="00000000">
              <w:rPr>
                <w:sz w:val="22"/>
                <w:szCs w:val="22"/>
                <w:rtl w:val="0"/>
              </w:rPr>
              <w:t xml:space="preserve">Nora</w:t>
            </w:r>
          </w:p>
        </w:tc>
        <w:tc>
          <w:tcPr/>
          <w:p w:rsidR="00000000" w:rsidDel="00000000" w:rsidP="00000000" w:rsidRDefault="00000000" w:rsidRPr="00000000" w14:paraId="00000B01">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02">
            <w:pPr>
              <w:jc w:val="center"/>
              <w:rPr>
                <w:sz w:val="22"/>
                <w:szCs w:val="22"/>
              </w:rPr>
            </w:pPr>
            <w:r w:rsidDel="00000000" w:rsidR="00000000" w:rsidRPr="00000000">
              <w:rPr>
                <w:rtl w:val="0"/>
              </w:rPr>
            </w:r>
          </w:p>
        </w:tc>
        <w:tc>
          <w:tcPr/>
          <w:p w:rsidR="00000000" w:rsidDel="00000000" w:rsidP="00000000" w:rsidRDefault="00000000" w:rsidRPr="00000000" w14:paraId="00000B03">
            <w:pPr>
              <w:jc w:val="center"/>
              <w:rPr>
                <w:sz w:val="22"/>
                <w:szCs w:val="22"/>
              </w:rPr>
            </w:pPr>
            <w:r w:rsidDel="00000000" w:rsidR="00000000" w:rsidRPr="00000000">
              <w:rPr>
                <w:rtl w:val="0"/>
              </w:rPr>
            </w:r>
          </w:p>
        </w:tc>
        <w:tc>
          <w:tcPr/>
          <w:p w:rsidR="00000000" w:rsidDel="00000000" w:rsidP="00000000" w:rsidRDefault="00000000" w:rsidRPr="00000000" w14:paraId="00000B04">
            <w:pPr>
              <w:jc w:val="center"/>
              <w:rPr>
                <w:sz w:val="22"/>
                <w:szCs w:val="22"/>
              </w:rPr>
            </w:pPr>
            <w:r w:rsidDel="00000000" w:rsidR="00000000" w:rsidRPr="00000000">
              <w:rPr>
                <w:rtl w:val="0"/>
              </w:rPr>
            </w:r>
          </w:p>
        </w:tc>
        <w:tc>
          <w:tcPr/>
          <w:p w:rsidR="00000000" w:rsidDel="00000000" w:rsidP="00000000" w:rsidRDefault="00000000" w:rsidRPr="00000000" w14:paraId="00000B05">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B06">
            <w:pPr>
              <w:rPr>
                <w:sz w:val="22"/>
                <w:szCs w:val="22"/>
              </w:rPr>
            </w:pPr>
            <w:r w:rsidDel="00000000" w:rsidR="00000000" w:rsidRPr="00000000">
              <w:rPr>
                <w:sz w:val="22"/>
                <w:szCs w:val="22"/>
                <w:rtl w:val="0"/>
              </w:rPr>
              <w:t xml:space="preserve">Oscar</w:t>
            </w:r>
          </w:p>
        </w:tc>
        <w:tc>
          <w:tcPr/>
          <w:p w:rsidR="00000000" w:rsidDel="00000000" w:rsidP="00000000" w:rsidRDefault="00000000" w:rsidRPr="00000000" w14:paraId="00000B07">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08">
            <w:pPr>
              <w:jc w:val="center"/>
              <w:rPr>
                <w:sz w:val="22"/>
                <w:szCs w:val="22"/>
              </w:rPr>
            </w:pPr>
            <w:r w:rsidDel="00000000" w:rsidR="00000000" w:rsidRPr="00000000">
              <w:rPr>
                <w:rtl w:val="0"/>
              </w:rPr>
            </w:r>
          </w:p>
        </w:tc>
        <w:tc>
          <w:tcPr/>
          <w:p w:rsidR="00000000" w:rsidDel="00000000" w:rsidP="00000000" w:rsidRDefault="00000000" w:rsidRPr="00000000" w14:paraId="00000B09">
            <w:pPr>
              <w:jc w:val="center"/>
              <w:rPr>
                <w:sz w:val="22"/>
                <w:szCs w:val="22"/>
              </w:rPr>
            </w:pPr>
            <w:r w:rsidDel="00000000" w:rsidR="00000000" w:rsidRPr="00000000">
              <w:rPr>
                <w:rtl w:val="0"/>
              </w:rPr>
            </w:r>
          </w:p>
        </w:tc>
        <w:tc>
          <w:tcPr/>
          <w:p w:rsidR="00000000" w:rsidDel="00000000" w:rsidP="00000000" w:rsidRDefault="00000000" w:rsidRPr="00000000" w14:paraId="00000B0A">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0B">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B0C">
            <w:pPr>
              <w:rPr>
                <w:sz w:val="22"/>
                <w:szCs w:val="22"/>
              </w:rPr>
            </w:pPr>
            <w:r w:rsidDel="00000000" w:rsidR="00000000" w:rsidRPr="00000000">
              <w:rPr>
                <w:sz w:val="22"/>
                <w:szCs w:val="22"/>
                <w:rtl w:val="0"/>
              </w:rPr>
              <w:t xml:space="preserve">Robert</w:t>
            </w:r>
          </w:p>
        </w:tc>
        <w:tc>
          <w:tcPr/>
          <w:p w:rsidR="00000000" w:rsidDel="00000000" w:rsidP="00000000" w:rsidRDefault="00000000" w:rsidRPr="00000000" w14:paraId="00000B0D">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0E">
            <w:pPr>
              <w:jc w:val="center"/>
              <w:rPr>
                <w:sz w:val="22"/>
                <w:szCs w:val="22"/>
              </w:rPr>
            </w:pPr>
            <w:r w:rsidDel="00000000" w:rsidR="00000000" w:rsidRPr="00000000">
              <w:rPr>
                <w:rtl w:val="0"/>
              </w:rPr>
            </w:r>
          </w:p>
        </w:tc>
        <w:tc>
          <w:tcPr/>
          <w:p w:rsidR="00000000" w:rsidDel="00000000" w:rsidP="00000000" w:rsidRDefault="00000000" w:rsidRPr="00000000" w14:paraId="00000B0F">
            <w:pPr>
              <w:jc w:val="center"/>
              <w:rPr>
                <w:sz w:val="22"/>
                <w:szCs w:val="22"/>
              </w:rPr>
            </w:pPr>
            <w:r w:rsidDel="00000000" w:rsidR="00000000" w:rsidRPr="00000000">
              <w:rPr>
                <w:rtl w:val="0"/>
              </w:rPr>
            </w:r>
          </w:p>
        </w:tc>
        <w:tc>
          <w:tcPr/>
          <w:p w:rsidR="00000000" w:rsidDel="00000000" w:rsidP="00000000" w:rsidRDefault="00000000" w:rsidRPr="00000000" w14:paraId="00000B10">
            <w:pPr>
              <w:jc w:val="center"/>
              <w:rPr>
                <w:sz w:val="22"/>
                <w:szCs w:val="22"/>
              </w:rPr>
            </w:pPr>
            <w:r w:rsidDel="00000000" w:rsidR="00000000" w:rsidRPr="00000000">
              <w:rPr>
                <w:rtl w:val="0"/>
              </w:rPr>
            </w:r>
          </w:p>
        </w:tc>
        <w:tc>
          <w:tcPr/>
          <w:p w:rsidR="00000000" w:rsidDel="00000000" w:rsidP="00000000" w:rsidRDefault="00000000" w:rsidRPr="00000000" w14:paraId="00000B11">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B12">
            <w:pPr>
              <w:rPr>
                <w:sz w:val="22"/>
                <w:szCs w:val="22"/>
              </w:rPr>
            </w:pPr>
            <w:r w:rsidDel="00000000" w:rsidR="00000000" w:rsidRPr="00000000">
              <w:rPr>
                <w:sz w:val="22"/>
                <w:szCs w:val="22"/>
                <w:rtl w:val="0"/>
              </w:rPr>
              <w:t xml:space="preserve">Tia</w:t>
            </w:r>
          </w:p>
        </w:tc>
        <w:tc>
          <w:tcPr/>
          <w:p w:rsidR="00000000" w:rsidDel="00000000" w:rsidP="00000000" w:rsidRDefault="00000000" w:rsidRPr="00000000" w14:paraId="00000B13">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14">
            <w:pPr>
              <w:jc w:val="center"/>
              <w:rPr>
                <w:sz w:val="22"/>
                <w:szCs w:val="22"/>
              </w:rPr>
            </w:pPr>
            <w:r w:rsidDel="00000000" w:rsidR="00000000" w:rsidRPr="00000000">
              <w:rPr>
                <w:rtl w:val="0"/>
              </w:rPr>
            </w:r>
          </w:p>
        </w:tc>
        <w:tc>
          <w:tcPr/>
          <w:p w:rsidR="00000000" w:rsidDel="00000000" w:rsidP="00000000" w:rsidRDefault="00000000" w:rsidRPr="00000000" w14:paraId="00000B15">
            <w:pPr>
              <w:jc w:val="center"/>
              <w:rPr>
                <w:sz w:val="22"/>
                <w:szCs w:val="22"/>
              </w:rPr>
            </w:pPr>
            <w:r w:rsidDel="00000000" w:rsidR="00000000" w:rsidRPr="00000000">
              <w:rPr>
                <w:rtl w:val="0"/>
              </w:rPr>
            </w:r>
          </w:p>
        </w:tc>
        <w:tc>
          <w:tcPr/>
          <w:p w:rsidR="00000000" w:rsidDel="00000000" w:rsidP="00000000" w:rsidRDefault="00000000" w:rsidRPr="00000000" w14:paraId="00000B16">
            <w:pPr>
              <w:jc w:val="center"/>
              <w:rPr>
                <w:sz w:val="22"/>
                <w:szCs w:val="22"/>
              </w:rPr>
            </w:pPr>
            <w:r w:rsidDel="00000000" w:rsidR="00000000" w:rsidRPr="00000000">
              <w:rPr>
                <w:rtl w:val="0"/>
              </w:rPr>
            </w:r>
          </w:p>
        </w:tc>
        <w:tc>
          <w:tcPr/>
          <w:p w:rsidR="00000000" w:rsidDel="00000000" w:rsidP="00000000" w:rsidRDefault="00000000" w:rsidRPr="00000000" w14:paraId="00000B17">
            <w:pPr>
              <w:jc w:val="center"/>
              <w:rPr>
                <w:sz w:val="22"/>
                <w:szCs w:val="22"/>
              </w:rPr>
            </w:pPr>
            <w:r w:rsidDel="00000000" w:rsidR="00000000" w:rsidRPr="00000000">
              <w:rPr>
                <w:rtl w:val="0"/>
              </w:rPr>
            </w:r>
          </w:p>
        </w:tc>
      </w:tr>
      <w:tr>
        <w:trPr>
          <w:cantSplit w:val="0"/>
          <w:trHeight w:val="269" w:hRule="atLeast"/>
          <w:tblHeader w:val="0"/>
        </w:trPr>
        <w:tc>
          <w:tcPr/>
          <w:p w:rsidR="00000000" w:rsidDel="00000000" w:rsidP="00000000" w:rsidRDefault="00000000" w:rsidRPr="00000000" w14:paraId="00000B18">
            <w:pPr>
              <w:rPr>
                <w:sz w:val="22"/>
                <w:szCs w:val="22"/>
              </w:rPr>
            </w:pPr>
            <w:r w:rsidDel="00000000" w:rsidR="00000000" w:rsidRPr="00000000">
              <w:rPr>
                <w:sz w:val="22"/>
                <w:szCs w:val="22"/>
                <w:rtl w:val="0"/>
              </w:rPr>
              <w:t xml:space="preserve">William</w:t>
            </w:r>
          </w:p>
        </w:tc>
        <w:tc>
          <w:tcPr/>
          <w:p w:rsidR="00000000" w:rsidDel="00000000" w:rsidP="00000000" w:rsidRDefault="00000000" w:rsidRPr="00000000" w14:paraId="00000B19">
            <w:pPr>
              <w:jc w:val="center"/>
              <w:rPr>
                <w:sz w:val="22"/>
                <w:szCs w:val="22"/>
              </w:rPr>
            </w:pPr>
            <w:r w:rsidDel="00000000" w:rsidR="00000000" w:rsidRPr="00000000">
              <w:rPr>
                <w:sz w:val="22"/>
                <w:szCs w:val="22"/>
                <w:rtl w:val="0"/>
              </w:rPr>
              <w:t xml:space="preserve">X</w:t>
            </w:r>
          </w:p>
        </w:tc>
        <w:tc>
          <w:tcPr/>
          <w:p w:rsidR="00000000" w:rsidDel="00000000" w:rsidP="00000000" w:rsidRDefault="00000000" w:rsidRPr="00000000" w14:paraId="00000B1A">
            <w:pPr>
              <w:jc w:val="center"/>
              <w:rPr>
                <w:sz w:val="22"/>
                <w:szCs w:val="22"/>
              </w:rPr>
            </w:pPr>
            <w:r w:rsidDel="00000000" w:rsidR="00000000" w:rsidRPr="00000000">
              <w:rPr>
                <w:rtl w:val="0"/>
              </w:rPr>
            </w:r>
          </w:p>
        </w:tc>
        <w:tc>
          <w:tcPr/>
          <w:p w:rsidR="00000000" w:rsidDel="00000000" w:rsidP="00000000" w:rsidRDefault="00000000" w:rsidRPr="00000000" w14:paraId="00000B1B">
            <w:pPr>
              <w:jc w:val="center"/>
              <w:rPr>
                <w:sz w:val="22"/>
                <w:szCs w:val="22"/>
              </w:rPr>
            </w:pPr>
            <w:r w:rsidDel="00000000" w:rsidR="00000000" w:rsidRPr="00000000">
              <w:rPr>
                <w:rtl w:val="0"/>
              </w:rPr>
            </w:r>
          </w:p>
        </w:tc>
        <w:tc>
          <w:tcPr/>
          <w:p w:rsidR="00000000" w:rsidDel="00000000" w:rsidP="00000000" w:rsidRDefault="00000000" w:rsidRPr="00000000" w14:paraId="00000B1C">
            <w:pPr>
              <w:jc w:val="center"/>
              <w:rPr>
                <w:sz w:val="22"/>
                <w:szCs w:val="22"/>
              </w:rPr>
            </w:pPr>
            <w:r w:rsidDel="00000000" w:rsidR="00000000" w:rsidRPr="00000000">
              <w:rPr>
                <w:rtl w:val="0"/>
              </w:rPr>
            </w:r>
          </w:p>
        </w:tc>
        <w:tc>
          <w:tcPr/>
          <w:p w:rsidR="00000000" w:rsidDel="00000000" w:rsidP="00000000" w:rsidRDefault="00000000" w:rsidRPr="00000000" w14:paraId="00000B1D">
            <w:pPr>
              <w:jc w:val="center"/>
              <w:rPr>
                <w:sz w:val="22"/>
                <w:szCs w:val="22"/>
              </w:rPr>
            </w:pPr>
            <w:r w:rsidDel="00000000" w:rsidR="00000000" w:rsidRPr="00000000">
              <w:rPr>
                <w:rtl w:val="0"/>
              </w:rPr>
            </w:r>
          </w:p>
        </w:tc>
      </w:tr>
    </w:tbl>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ptos" w:cs="Aptos" w:eastAsia="Aptos" w:hAnsi="Aptos"/>
          <w:b w:val="0"/>
          <w:i w:val="1"/>
          <w:smallCaps w:val="0"/>
          <w:strike w:val="0"/>
          <w:color w:val="0e2841"/>
          <w:sz w:val="18"/>
          <w:szCs w:val="18"/>
          <w:u w:val="none"/>
          <w:shd w:fill="auto" w:val="clear"/>
          <w:vertAlign w:val="baseline"/>
        </w:rPr>
      </w:pPr>
      <w:r w:rsidDel="00000000" w:rsidR="00000000" w:rsidRPr="00000000">
        <w:rPr>
          <w:rtl w:val="0"/>
        </w:rPr>
      </w:r>
    </w:p>
    <w:p w:rsidR="00000000" w:rsidDel="00000000" w:rsidP="00000000" w:rsidRDefault="00000000" w:rsidRPr="00000000" w14:paraId="00000B1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ptos" w:cs="Aptos" w:eastAsia="Aptos" w:hAnsi="Aptos"/>
          <w:b w:val="0"/>
          <w:i w:val="1"/>
          <w:smallCaps w:val="0"/>
          <w:strike w:val="0"/>
          <w:color w:val="0e2841"/>
          <w:sz w:val="18"/>
          <w:szCs w:val="18"/>
          <w:u w:val="none"/>
          <w:shd w:fill="auto" w:val="clear"/>
          <w:vertAlign w:val="baseline"/>
        </w:rPr>
      </w:pPr>
      <w:bookmarkStart w:colFirst="0" w:colLast="0" w:name="_heading=h.4fsjm0b" w:id="132"/>
      <w:bookmarkEnd w:id="132"/>
      <w:r w:rsidDel="00000000" w:rsidR="00000000" w:rsidRPr="00000000">
        <w:rPr>
          <w:rFonts w:ascii="Aptos" w:cs="Aptos" w:eastAsia="Aptos" w:hAnsi="Aptos"/>
          <w:b w:val="0"/>
          <w:i w:val="1"/>
          <w:smallCaps w:val="0"/>
          <w:strike w:val="0"/>
          <w:color w:val="0e2841"/>
          <w:sz w:val="18"/>
          <w:szCs w:val="18"/>
          <w:u w:val="none"/>
          <w:shd w:fill="auto" w:val="clear"/>
          <w:vertAlign w:val="baseline"/>
          <w:rtl w:val="0"/>
        </w:rPr>
        <w:t xml:space="preserve">Table 11: A table summarising the medication groups participants were prescribed to contextualise the polypharmacy. Note: Joanna and Kirsty were prescribed medicines that were not in the scope of this study.</w:t>
      </w:r>
    </w:p>
    <w:p w:rsidR="00000000" w:rsidDel="00000000" w:rsidP="00000000" w:rsidRDefault="00000000" w:rsidRPr="00000000" w14:paraId="00000B20">
      <w:pPr>
        <w:spacing w:line="480" w:lineRule="auto"/>
        <w:rPr>
          <w:sz w:val="22"/>
          <w:szCs w:val="22"/>
        </w:rPr>
      </w:pPr>
      <w:r w:rsidDel="00000000" w:rsidR="00000000" w:rsidRPr="00000000">
        <w:rPr>
          <w:rtl w:val="0"/>
        </w:rPr>
      </w:r>
    </w:p>
    <w:p w:rsidR="00000000" w:rsidDel="00000000" w:rsidP="00000000" w:rsidRDefault="00000000" w:rsidRPr="00000000" w14:paraId="00000B21">
      <w:pPr>
        <w:spacing w:line="480" w:lineRule="auto"/>
        <w:jc w:val="both"/>
        <w:rPr>
          <w:sz w:val="22"/>
          <w:szCs w:val="22"/>
        </w:rPr>
      </w:pPr>
      <w:r w:rsidDel="00000000" w:rsidR="00000000" w:rsidRPr="00000000">
        <w:rPr>
          <w:sz w:val="22"/>
          <w:szCs w:val="22"/>
          <w:rtl w:val="0"/>
        </w:rPr>
        <w:t xml:space="preserve">The risks associated with polypharmacy are extensive, as noted in the </w:t>
      </w:r>
      <w:hyperlink w:anchor="_heading=h.44sinio">
        <w:r w:rsidDel="00000000" w:rsidR="00000000" w:rsidRPr="00000000">
          <w:rPr>
            <w:color w:val="467886"/>
            <w:sz w:val="22"/>
            <w:szCs w:val="22"/>
            <w:u w:val="single"/>
            <w:rtl w:val="0"/>
          </w:rPr>
          <w:t xml:space="preserve">Introduction Chapter</w:t>
        </w:r>
      </w:hyperlink>
      <w:r w:rsidDel="00000000" w:rsidR="00000000" w:rsidRPr="00000000">
        <w:rPr>
          <w:sz w:val="22"/>
          <w:szCs w:val="22"/>
          <w:rtl w:val="0"/>
        </w:rPr>
        <w:t xml:space="preserve"> (p. 24). Of note, participants report experiencing the formation of a dependence and subsequent withdrawal symptoms, and wider social implications of their use The association between poor mental wellbeing and chronic pain is well documented (Versus Arthritis, 2017). According to Versus Arthritis, 15 – 100% of patients experiencing chronic pain will also have a diagnosis of depression (Cosio and Meshreki 2017, Versus Arthritis 2017).</w:t>
      </w:r>
    </w:p>
    <w:p w:rsidR="00000000" w:rsidDel="00000000" w:rsidP="00000000" w:rsidRDefault="00000000" w:rsidRPr="00000000" w14:paraId="00000B22">
      <w:pPr>
        <w:spacing w:line="480" w:lineRule="auto"/>
        <w:jc w:val="both"/>
        <w:rPr>
          <w:sz w:val="22"/>
          <w:szCs w:val="22"/>
        </w:rPr>
      </w:pPr>
      <w:r w:rsidDel="00000000" w:rsidR="00000000" w:rsidRPr="00000000">
        <w:rPr>
          <w:rtl w:val="0"/>
        </w:rPr>
      </w:r>
    </w:p>
    <w:p w:rsidR="00000000" w:rsidDel="00000000" w:rsidP="00000000" w:rsidRDefault="00000000" w:rsidRPr="00000000" w14:paraId="00000B23">
      <w:pPr>
        <w:spacing w:line="480" w:lineRule="auto"/>
        <w:jc w:val="both"/>
        <w:rPr>
          <w:sz w:val="22"/>
          <w:szCs w:val="22"/>
        </w:rPr>
      </w:pPr>
      <w:r w:rsidDel="00000000" w:rsidR="00000000" w:rsidRPr="00000000">
        <w:rPr>
          <w:sz w:val="22"/>
          <w:szCs w:val="22"/>
          <w:rtl w:val="0"/>
        </w:rPr>
        <w:t xml:space="preserve">It is important to consider, that of the seven participants reporting polypharmacy, five identify as women. Of these five women, four report the use of psychiatric medicines. Although this higher rate of psychiatric prescribing in women may be explained, to some extent, by the wider societal acceptability of women discussing their mental health due to gender norms and stereotypes, whereby women are typically thought to be more likely to seek support for their mental health than their male counterparts, it is important to consider the ‘over-medicalisation of women’s mental health. Medicalisation is defined as a process: </w:t>
      </w:r>
    </w:p>
    <w:p w:rsidR="00000000" w:rsidDel="00000000" w:rsidP="00000000" w:rsidRDefault="00000000" w:rsidRPr="00000000" w14:paraId="00000B24">
      <w:pPr>
        <w:spacing w:line="480" w:lineRule="auto"/>
        <w:jc w:val="both"/>
        <w:rPr>
          <w:sz w:val="22"/>
          <w:szCs w:val="22"/>
        </w:rPr>
      </w:pPr>
      <w:r w:rsidDel="00000000" w:rsidR="00000000" w:rsidRPr="00000000">
        <w:rPr>
          <w:rtl w:val="0"/>
        </w:rPr>
      </w:r>
    </w:p>
    <w:p w:rsidR="00000000" w:rsidDel="00000000" w:rsidP="00000000" w:rsidRDefault="00000000" w:rsidRPr="00000000" w14:paraId="00000B25">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Non-medical problems become defined and treated as medical problems often requiring medical treatment</w:t>
      </w:r>
      <w:r w:rsidDel="00000000" w:rsidR="00000000" w:rsidRPr="00000000">
        <w:rPr>
          <w:sz w:val="22"/>
          <w:szCs w:val="22"/>
          <w:rtl w:val="0"/>
        </w:rPr>
        <w:t xml:space="preserve">.”</w:t>
      </w:r>
    </w:p>
    <w:p w:rsidR="00000000" w:rsidDel="00000000" w:rsidP="00000000" w:rsidRDefault="00000000" w:rsidRPr="00000000" w14:paraId="00000B26">
      <w:pPr>
        <w:spacing w:line="480" w:lineRule="auto"/>
        <w:jc w:val="right"/>
        <w:rPr>
          <w:sz w:val="22"/>
          <w:szCs w:val="22"/>
        </w:rPr>
      </w:pPr>
      <w:r w:rsidDel="00000000" w:rsidR="00000000" w:rsidRPr="00000000">
        <w:rPr>
          <w:sz w:val="22"/>
          <w:szCs w:val="22"/>
          <w:rtl w:val="0"/>
        </w:rPr>
        <w:t xml:space="preserve">(Conrad and Bergey, 2015)</w:t>
      </w:r>
    </w:p>
    <w:p w:rsidR="00000000" w:rsidDel="00000000" w:rsidP="00000000" w:rsidRDefault="00000000" w:rsidRPr="00000000" w14:paraId="00000B27">
      <w:pPr>
        <w:spacing w:line="480" w:lineRule="auto"/>
        <w:jc w:val="right"/>
        <w:rPr>
          <w:sz w:val="22"/>
          <w:szCs w:val="22"/>
        </w:rPr>
      </w:pPr>
      <w:r w:rsidDel="00000000" w:rsidR="00000000" w:rsidRPr="00000000">
        <w:rPr>
          <w:rtl w:val="0"/>
        </w:rPr>
      </w:r>
    </w:p>
    <w:p w:rsidR="00000000" w:rsidDel="00000000" w:rsidP="00000000" w:rsidRDefault="00000000" w:rsidRPr="00000000" w14:paraId="00000B28">
      <w:pPr>
        <w:spacing w:line="480" w:lineRule="auto"/>
        <w:jc w:val="both"/>
        <w:rPr>
          <w:sz w:val="22"/>
          <w:szCs w:val="22"/>
        </w:rPr>
      </w:pPr>
      <w:r w:rsidDel="00000000" w:rsidR="00000000" w:rsidRPr="00000000">
        <w:rPr>
          <w:sz w:val="22"/>
          <w:szCs w:val="22"/>
          <w:rtl w:val="0"/>
        </w:rPr>
        <w:t xml:space="preserve">Alongside the historic assumption that those experiencing a mental health condition are “</w:t>
      </w:r>
      <w:r w:rsidDel="00000000" w:rsidR="00000000" w:rsidRPr="00000000">
        <w:rPr>
          <w:i w:val="1"/>
          <w:sz w:val="22"/>
          <w:szCs w:val="22"/>
          <w:rtl w:val="0"/>
        </w:rPr>
        <w:t xml:space="preserve">dangerous, volatile, weak, frail and unintelligent or lacking in self-control</w:t>
      </w:r>
      <w:r w:rsidDel="00000000" w:rsidR="00000000" w:rsidRPr="00000000">
        <w:rPr>
          <w:sz w:val="22"/>
          <w:szCs w:val="22"/>
          <w:rtl w:val="0"/>
        </w:rPr>
        <w:t xml:space="preserve">”, there is an over-medicalisation of women who experience mental health difficulties (Sadler et al 2012, Tasca et al 2012 p. 110). Historically, womens’ mental health has been associated with their reproductive organs, with the first mental health condition to be attributed to women being “</w:t>
      </w:r>
      <w:r w:rsidDel="00000000" w:rsidR="00000000" w:rsidRPr="00000000">
        <w:rPr>
          <w:i w:val="1"/>
          <w:sz w:val="22"/>
          <w:szCs w:val="22"/>
          <w:rtl w:val="0"/>
        </w:rPr>
        <w:t xml:space="preserve">hysteria</w:t>
      </w:r>
      <w:r w:rsidDel="00000000" w:rsidR="00000000" w:rsidRPr="00000000">
        <w:rPr>
          <w:sz w:val="22"/>
          <w:szCs w:val="22"/>
          <w:rtl w:val="0"/>
        </w:rPr>
        <w:t xml:space="preserve">”, a condition that is derived from the Latin word for uterus (Tasca et al 2012, p. 110). Until revisions to the Diagnostic and Statistical Manual (Third Edition) were made in 1980, women could be diagnosed with this condition (Tasca et al 2012, p.110, 116). A diagnosis of “</w:t>
      </w:r>
      <w:r w:rsidDel="00000000" w:rsidR="00000000" w:rsidRPr="00000000">
        <w:rPr>
          <w:i w:val="1"/>
          <w:sz w:val="22"/>
          <w:szCs w:val="22"/>
          <w:rtl w:val="0"/>
        </w:rPr>
        <w:t xml:space="preserve">hysteria</w:t>
      </w:r>
      <w:r w:rsidDel="00000000" w:rsidR="00000000" w:rsidRPr="00000000">
        <w:rPr>
          <w:sz w:val="22"/>
          <w:szCs w:val="22"/>
          <w:rtl w:val="0"/>
        </w:rPr>
        <w:t xml:space="preserve">” was linked to “</w:t>
      </w:r>
      <w:r w:rsidDel="00000000" w:rsidR="00000000" w:rsidRPr="00000000">
        <w:rPr>
          <w:i w:val="1"/>
          <w:sz w:val="22"/>
          <w:szCs w:val="22"/>
          <w:rtl w:val="0"/>
        </w:rPr>
        <w:t xml:space="preserve">the essence of femininity itself</w:t>
      </w:r>
      <w:r w:rsidDel="00000000" w:rsidR="00000000" w:rsidRPr="00000000">
        <w:rPr>
          <w:sz w:val="22"/>
          <w:szCs w:val="22"/>
          <w:rtl w:val="0"/>
        </w:rPr>
        <w:t xml:space="preserve">”, attributed to women who were considered “</w:t>
      </w:r>
      <w:r w:rsidDel="00000000" w:rsidR="00000000" w:rsidRPr="00000000">
        <w:rPr>
          <w:i w:val="1"/>
          <w:sz w:val="22"/>
          <w:szCs w:val="22"/>
          <w:rtl w:val="0"/>
        </w:rPr>
        <w:t xml:space="preserve">difficult</w:t>
      </w:r>
      <w:r w:rsidDel="00000000" w:rsidR="00000000" w:rsidRPr="00000000">
        <w:rPr>
          <w:sz w:val="22"/>
          <w:szCs w:val="22"/>
          <w:rtl w:val="0"/>
        </w:rPr>
        <w:t xml:space="preserve">,</w:t>
      </w:r>
      <w:r w:rsidDel="00000000" w:rsidR="00000000" w:rsidRPr="00000000">
        <w:rPr>
          <w:i w:val="1"/>
          <w:sz w:val="22"/>
          <w:szCs w:val="22"/>
          <w:rtl w:val="0"/>
        </w:rPr>
        <w:t xml:space="preserve"> narcissistic, impressionable, suggestible, egocentric and labile</w:t>
      </w:r>
      <w:r w:rsidDel="00000000" w:rsidR="00000000" w:rsidRPr="00000000">
        <w:rPr>
          <w:sz w:val="22"/>
          <w:szCs w:val="22"/>
          <w:rtl w:val="0"/>
        </w:rPr>
        <w:t xml:space="preserve">” (Showalter 1997, Smith-Rosenberg 1986, Donkin 1892, Ussher 2013 p. 63). Since such revisions, these symptoms are considered as a “</w:t>
      </w:r>
      <w:r w:rsidDel="00000000" w:rsidR="00000000" w:rsidRPr="00000000">
        <w:rPr>
          <w:i w:val="1"/>
          <w:sz w:val="22"/>
          <w:szCs w:val="22"/>
          <w:rtl w:val="0"/>
        </w:rPr>
        <w:t xml:space="preserve">manifestation of dissociative disorders</w:t>
      </w:r>
      <w:r w:rsidDel="00000000" w:rsidR="00000000" w:rsidRPr="00000000">
        <w:rPr>
          <w:sz w:val="22"/>
          <w:szCs w:val="22"/>
          <w:rtl w:val="0"/>
        </w:rPr>
        <w:t xml:space="preserve">” (Tasca et al 2012, p. 116). This has led to newer diagnoses that are intrinsically linked to women and their femininity, such as Borderline Personality Disorder, characterised by “</w:t>
      </w:r>
      <w:r w:rsidDel="00000000" w:rsidR="00000000" w:rsidRPr="00000000">
        <w:rPr>
          <w:i w:val="1"/>
          <w:sz w:val="22"/>
          <w:szCs w:val="22"/>
          <w:rtl w:val="0"/>
        </w:rPr>
        <w:t xml:space="preserve">depression and emotional liability…. Impulsiveness… substance abuse, sex, reckless driving and binge eating</w:t>
      </w:r>
      <w:r w:rsidDel="00000000" w:rsidR="00000000" w:rsidRPr="00000000">
        <w:rPr>
          <w:sz w:val="22"/>
          <w:szCs w:val="22"/>
          <w:rtl w:val="0"/>
        </w:rPr>
        <w:t xml:space="preserve">” (Ussher 2013, p. 65).</w:t>
      </w:r>
    </w:p>
    <w:p w:rsidR="00000000" w:rsidDel="00000000" w:rsidP="00000000" w:rsidRDefault="00000000" w:rsidRPr="00000000" w14:paraId="00000B29">
      <w:pPr>
        <w:spacing w:line="480" w:lineRule="auto"/>
        <w:jc w:val="both"/>
        <w:rPr>
          <w:sz w:val="22"/>
          <w:szCs w:val="22"/>
        </w:rPr>
      </w:pPr>
      <w:r w:rsidDel="00000000" w:rsidR="00000000" w:rsidRPr="00000000">
        <w:rPr>
          <w:rtl w:val="0"/>
        </w:rPr>
      </w:r>
    </w:p>
    <w:p w:rsidR="00000000" w:rsidDel="00000000" w:rsidP="00000000" w:rsidRDefault="00000000" w:rsidRPr="00000000" w14:paraId="00000B2A">
      <w:pPr>
        <w:spacing w:line="480" w:lineRule="auto"/>
        <w:jc w:val="both"/>
        <w:rPr>
          <w:sz w:val="22"/>
          <w:szCs w:val="22"/>
        </w:rPr>
      </w:pPr>
      <w:r w:rsidDel="00000000" w:rsidR="00000000" w:rsidRPr="00000000">
        <w:rPr>
          <w:sz w:val="22"/>
          <w:szCs w:val="22"/>
          <w:rtl w:val="0"/>
        </w:rPr>
        <w:t xml:space="preserve">It has been long been noted women are less likely to identify with their position in the sick role, as discussed in </w:t>
      </w:r>
      <w:hyperlink w:anchor="_heading=h.2bn6wsx">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42) and earlier within this discussion (Oakley 1974, Nathanson et al 1975). The over-medicalisation of women, however, naturally places these individuals within the sick role, and therefore affords them the societal exemptions per Parsons (1951). This, however, has its limitations. Per Dixon-Woods et al (2006), women are at risk of “</w:t>
      </w:r>
      <w:r w:rsidDel="00000000" w:rsidR="00000000" w:rsidRPr="00000000">
        <w:rPr>
          <w:i w:val="1"/>
          <w:sz w:val="22"/>
          <w:szCs w:val="22"/>
          <w:rtl w:val="0"/>
        </w:rPr>
        <w:t xml:space="preserve">enmeshed in the hospital structure of tacit, socially imposed rules of conduct</w:t>
      </w:r>
      <w:r w:rsidDel="00000000" w:rsidR="00000000" w:rsidRPr="00000000">
        <w:rPr>
          <w:sz w:val="22"/>
          <w:szCs w:val="22"/>
          <w:rtl w:val="0"/>
        </w:rPr>
        <w:t xml:space="preserve">”. Although Dixon-Wood et al’s paper focusses on the issue of consent to medical procedures, in the context of sex and gender, this “</w:t>
      </w:r>
      <w:r w:rsidDel="00000000" w:rsidR="00000000" w:rsidRPr="00000000">
        <w:rPr>
          <w:i w:val="1"/>
          <w:sz w:val="22"/>
          <w:szCs w:val="22"/>
          <w:rtl w:val="0"/>
        </w:rPr>
        <w:t xml:space="preserve">enmeshment</w:t>
      </w:r>
      <w:r w:rsidDel="00000000" w:rsidR="00000000" w:rsidRPr="00000000">
        <w:rPr>
          <w:sz w:val="22"/>
          <w:szCs w:val="22"/>
          <w:rtl w:val="0"/>
        </w:rPr>
        <w:t xml:space="preserve">” can be observed within the findings of this research (Dixon-Woods et al, 2006). </w:t>
      </w:r>
    </w:p>
    <w:p w:rsidR="00000000" w:rsidDel="00000000" w:rsidP="00000000" w:rsidRDefault="00000000" w:rsidRPr="00000000" w14:paraId="00000B2B">
      <w:pPr>
        <w:spacing w:line="480" w:lineRule="auto"/>
        <w:jc w:val="both"/>
        <w:rPr>
          <w:sz w:val="22"/>
          <w:szCs w:val="22"/>
        </w:rPr>
      </w:pPr>
      <w:r w:rsidDel="00000000" w:rsidR="00000000" w:rsidRPr="00000000">
        <w:rPr>
          <w:rtl w:val="0"/>
        </w:rPr>
      </w:r>
    </w:p>
    <w:p w:rsidR="00000000" w:rsidDel="00000000" w:rsidP="00000000" w:rsidRDefault="00000000" w:rsidRPr="00000000" w14:paraId="00000B2C">
      <w:pPr>
        <w:spacing w:line="480" w:lineRule="auto"/>
        <w:jc w:val="both"/>
        <w:rPr>
          <w:sz w:val="22"/>
          <w:szCs w:val="22"/>
        </w:rPr>
      </w:pPr>
      <w:r w:rsidDel="00000000" w:rsidR="00000000" w:rsidRPr="00000000">
        <w:rPr>
          <w:sz w:val="22"/>
          <w:szCs w:val="22"/>
          <w:rtl w:val="0"/>
        </w:rPr>
        <w:t xml:space="preserve">Female participants who describe extensive medical histories and polypharmacy describe symptomatic management due to the perceived complexity of their health condition, as opposed to the treatment of the underlying cause. It must be noted, however, that these participants report a complex or broad diagnosis, and these treatments may be perceived, or ipso fact, inaccessible. This perceived or actual inaccessibility of treatments to address the underlying origin of a health condition has been interpreted by some participants as delegitimising, which may have implications for their recovery (Hallowell et al 2015 p. 194, Cheshire et al 2021 p. 304, Scott et al 2015, Corrigan 2004, Mahajan et al 2008). The level of medical legitimisation a woman receives is positively associated with improved health outcomes, according to Hallowell et al (2015, p. 194). </w:t>
      </w:r>
    </w:p>
    <w:p w:rsidR="00000000" w:rsidDel="00000000" w:rsidP="00000000" w:rsidRDefault="00000000" w:rsidRPr="00000000" w14:paraId="00000B2D">
      <w:pPr>
        <w:spacing w:line="480" w:lineRule="auto"/>
        <w:jc w:val="both"/>
        <w:rPr>
          <w:sz w:val="22"/>
          <w:szCs w:val="22"/>
        </w:rPr>
      </w:pPr>
      <w:r w:rsidDel="00000000" w:rsidR="00000000" w:rsidRPr="00000000">
        <w:rPr>
          <w:rtl w:val="0"/>
        </w:rPr>
      </w:r>
    </w:p>
    <w:p w:rsidR="00000000" w:rsidDel="00000000" w:rsidP="00000000" w:rsidRDefault="00000000" w:rsidRPr="00000000" w14:paraId="00000B2E">
      <w:pPr>
        <w:spacing w:line="480" w:lineRule="auto"/>
        <w:jc w:val="both"/>
        <w:rPr>
          <w:sz w:val="22"/>
          <w:szCs w:val="22"/>
        </w:rPr>
      </w:pPr>
      <w:r w:rsidDel="00000000" w:rsidR="00000000" w:rsidRPr="00000000">
        <w:rPr>
          <w:sz w:val="22"/>
          <w:szCs w:val="22"/>
          <w:rtl w:val="0"/>
        </w:rPr>
        <w:t xml:space="preserve">The implications of the participant’s health condition, and the use of medicines, female participants appear to have greater concern regarding their wider social health, particularly in the case of </w:t>
      </w:r>
      <w:r w:rsidDel="00000000" w:rsidR="00000000" w:rsidRPr="00000000">
        <w:rPr>
          <w:i w:val="1"/>
          <w:sz w:val="22"/>
          <w:szCs w:val="22"/>
          <w:rtl w:val="0"/>
        </w:rPr>
        <w:t xml:space="preserve">Charlotte</w:t>
      </w:r>
      <w:r w:rsidDel="00000000" w:rsidR="00000000" w:rsidRPr="00000000">
        <w:rPr>
          <w:sz w:val="22"/>
          <w:szCs w:val="22"/>
          <w:rtl w:val="0"/>
        </w:rPr>
        <w:t xml:space="preserve">, who fears stigmatisation when she gives birth to her child, or </w:t>
      </w:r>
      <w:r w:rsidDel="00000000" w:rsidR="00000000" w:rsidRPr="00000000">
        <w:rPr>
          <w:i w:val="1"/>
          <w:sz w:val="22"/>
          <w:szCs w:val="22"/>
          <w:rtl w:val="0"/>
        </w:rPr>
        <w:t xml:space="preserve">Joanna</w:t>
      </w:r>
      <w:r w:rsidDel="00000000" w:rsidR="00000000" w:rsidRPr="00000000">
        <w:rPr>
          <w:sz w:val="22"/>
          <w:szCs w:val="22"/>
          <w:rtl w:val="0"/>
        </w:rPr>
        <w:t xml:space="preserve"> who expressed concern to her practitioner about her ability to conceive in the future. Compared to male participants, who appeared to express more concern surrounding their ability to work, could be described as reflective of stereotypical gender norms, and the gender-based critiques of the sick role. Furthermore, participants who identity as female reported more side effects and described these symptoms as having a wide-reaching impact on their lives with wider social implications, supporting the feminist critiques of the sick role position (Oakley 1974, Nathanson et al 1975, Dixon-Woods et al 2006). This can be associated with gender stereotypes, alongside limited representation in pharmaceutical research. </w:t>
      </w:r>
    </w:p>
    <w:p w:rsidR="00000000" w:rsidDel="00000000" w:rsidP="00000000" w:rsidRDefault="00000000" w:rsidRPr="00000000" w14:paraId="00000B2F">
      <w:pPr>
        <w:spacing w:line="480" w:lineRule="auto"/>
        <w:jc w:val="both"/>
        <w:rPr>
          <w:sz w:val="22"/>
          <w:szCs w:val="22"/>
        </w:rPr>
      </w:pPr>
      <w:r w:rsidDel="00000000" w:rsidR="00000000" w:rsidRPr="00000000">
        <w:rPr>
          <w:rtl w:val="0"/>
        </w:rPr>
      </w:r>
    </w:p>
    <w:p w:rsidR="00000000" w:rsidDel="00000000" w:rsidP="00000000" w:rsidRDefault="00000000" w:rsidRPr="00000000" w14:paraId="00000B30">
      <w:pPr>
        <w:spacing w:line="480" w:lineRule="auto"/>
        <w:jc w:val="both"/>
        <w:rPr>
          <w:sz w:val="22"/>
          <w:szCs w:val="22"/>
        </w:rPr>
      </w:pPr>
      <w:r w:rsidDel="00000000" w:rsidR="00000000" w:rsidRPr="00000000">
        <w:rPr>
          <w:sz w:val="22"/>
          <w:szCs w:val="22"/>
          <w:rtl w:val="0"/>
        </w:rPr>
        <w:t xml:space="preserve">When discussing side effects within the data, wider social concerns related to gender identity have been noted. Participants who describe significant side effects that were perceived to be difficult to manage, were typically women. Wider social concerns that arose from medication use and dependency were also reported more in female accounts. One side effect in particular, was weight gain. This was found to have wide reaching implications for the individual’s self-esteem and, in one account, employment. It is well understood that women are disproportionally affected by poor body image (Borowsky et al 2015, p. 311), and this has been represented in the findings of this research. The male participant discussing this side effect perceived this as having a positive impact on his life. The literature suggests women may experience twice as many adverse drug reactions compared to men (Zucker and Prendergast 2020, p. 4). Medicines are typically prescribed at the same dose for both men and women, which does not take into consideration sex differences for the absorption, bioavailability, metabolism and excretion of medicines (Harris et al 1995, Gandhi et al 2004, Zucker and Prendergast 2020 p.3).</w:t>
      </w:r>
    </w:p>
    <w:p w:rsidR="00000000" w:rsidDel="00000000" w:rsidP="00000000" w:rsidRDefault="00000000" w:rsidRPr="00000000" w14:paraId="00000B31">
      <w:pPr>
        <w:spacing w:line="480" w:lineRule="auto"/>
        <w:jc w:val="both"/>
        <w:rPr>
          <w:sz w:val="22"/>
          <w:szCs w:val="22"/>
        </w:rPr>
      </w:pPr>
      <w:r w:rsidDel="00000000" w:rsidR="00000000" w:rsidRPr="00000000">
        <w:rPr>
          <w:rtl w:val="0"/>
        </w:rPr>
      </w:r>
    </w:p>
    <w:p w:rsidR="00000000" w:rsidDel="00000000" w:rsidP="00000000" w:rsidRDefault="00000000" w:rsidRPr="00000000" w14:paraId="00000B32">
      <w:pPr>
        <w:spacing w:line="480" w:lineRule="auto"/>
        <w:jc w:val="both"/>
        <w:rPr>
          <w:sz w:val="22"/>
          <w:szCs w:val="22"/>
        </w:rPr>
      </w:pPr>
      <w:r w:rsidDel="00000000" w:rsidR="00000000" w:rsidRPr="00000000">
        <w:rPr>
          <w:sz w:val="22"/>
          <w:szCs w:val="22"/>
          <w:rtl w:val="0"/>
        </w:rPr>
        <w:t xml:space="preserve">It has been found that women are often overprescribed medicines and may experience more side effects from medicines due to a lack of representation in clinical trials. This is for several reasons. Until the 1990s, women of child-bearing age were excluded from drug trials in fear of medical liability and concerns regarding the exposure of drugs to pregnant women and foetuses (Anwar 2020). This was of particular concern when contextualised with the Thalidomide trails, resulting in limb defects in thousands of childbirths globally (Anwar, 2020). The National Institute of Health Revitalisation Act (1993) recommended clinical trials to be based upon the sex-prevalence of a disease (Mastroianni and Federman, 1994). The importance of including a representative sample of the sexes is vital in the development of clinical guidelines, and therefore individual treatment (Merone et al 2022, p. 56). Furthermore, the association between the sick role and the study of alcoholism in women has been suggested to have led to a high rate of sedative prescribing, resulting in high-risk polysubstance dependence (Sanders 2018, p. 136). More contemporary literature suggests that women are more likely to be prescribed antidepressants without reporting depression, than men, and has been described by Sundbom et al (2017, p. 148) as “</w:t>
      </w:r>
      <w:r w:rsidDel="00000000" w:rsidR="00000000" w:rsidRPr="00000000">
        <w:rPr>
          <w:i w:val="1"/>
          <w:sz w:val="22"/>
          <w:szCs w:val="22"/>
          <w:rtl w:val="0"/>
        </w:rPr>
        <w:t xml:space="preserve">over-treatment</w:t>
      </w:r>
      <w:r w:rsidDel="00000000" w:rsidR="00000000" w:rsidRPr="00000000">
        <w:rPr>
          <w:sz w:val="22"/>
          <w:szCs w:val="22"/>
          <w:rtl w:val="0"/>
        </w:rPr>
        <w:t xml:space="preserve">”. This includes overprescribing, and inappropriate prescribing. </w:t>
      </w:r>
    </w:p>
    <w:p w:rsidR="00000000" w:rsidDel="00000000" w:rsidP="00000000" w:rsidRDefault="00000000" w:rsidRPr="00000000" w14:paraId="00000B33">
      <w:pPr>
        <w:spacing w:line="480" w:lineRule="auto"/>
        <w:jc w:val="both"/>
        <w:rPr>
          <w:sz w:val="22"/>
          <w:szCs w:val="22"/>
        </w:rPr>
      </w:pPr>
      <w:r w:rsidDel="00000000" w:rsidR="00000000" w:rsidRPr="00000000">
        <w:rPr>
          <w:rtl w:val="0"/>
        </w:rPr>
      </w:r>
    </w:p>
    <w:p w:rsidR="00000000" w:rsidDel="00000000" w:rsidP="00000000" w:rsidRDefault="00000000" w:rsidRPr="00000000" w14:paraId="00000B34">
      <w:pPr>
        <w:spacing w:line="480" w:lineRule="auto"/>
        <w:jc w:val="both"/>
        <w:rPr>
          <w:sz w:val="22"/>
          <w:szCs w:val="22"/>
        </w:rPr>
      </w:pPr>
      <w:r w:rsidDel="00000000" w:rsidR="00000000" w:rsidRPr="00000000">
        <w:rPr>
          <w:sz w:val="22"/>
          <w:szCs w:val="22"/>
          <w:rtl w:val="0"/>
        </w:rPr>
        <w:t xml:space="preserve">Inappropriate prescribing is a key issue identified in both the literature review, and the data collected as part of this research. This also considers overprescribing. Overprescribing is defined as:</w:t>
      </w:r>
    </w:p>
    <w:p w:rsidR="00000000" w:rsidDel="00000000" w:rsidP="00000000" w:rsidRDefault="00000000" w:rsidRPr="00000000" w14:paraId="00000B35">
      <w:pPr>
        <w:spacing w:line="480" w:lineRule="auto"/>
        <w:jc w:val="both"/>
        <w:rPr>
          <w:sz w:val="22"/>
          <w:szCs w:val="22"/>
        </w:rPr>
      </w:pPr>
      <w:r w:rsidDel="00000000" w:rsidR="00000000" w:rsidRPr="00000000">
        <w:rPr>
          <w:rtl w:val="0"/>
        </w:rPr>
      </w:r>
    </w:p>
    <w:p w:rsidR="00000000" w:rsidDel="00000000" w:rsidP="00000000" w:rsidRDefault="00000000" w:rsidRPr="00000000" w14:paraId="00000B36">
      <w:pPr>
        <w:spacing w:line="480" w:lineRule="auto"/>
        <w:ind w:left="709" w:firstLine="0"/>
        <w:jc w:val="both"/>
        <w:rPr>
          <w:sz w:val="22"/>
          <w:szCs w:val="22"/>
        </w:rPr>
      </w:pPr>
      <w:r w:rsidDel="00000000" w:rsidR="00000000" w:rsidRPr="00000000">
        <w:rPr>
          <w:sz w:val="22"/>
          <w:szCs w:val="22"/>
          <w:rtl w:val="0"/>
        </w:rPr>
        <w:t xml:space="preserve"> “</w:t>
      </w:r>
      <w:r w:rsidDel="00000000" w:rsidR="00000000" w:rsidRPr="00000000">
        <w:rPr>
          <w:i w:val="1"/>
          <w:sz w:val="22"/>
          <w:szCs w:val="22"/>
          <w:rtl w:val="0"/>
        </w:rPr>
        <w:t xml:space="preserve">The use of a medicine where there is a better non-medicine alternative, or the use is inappropriate for that patients’ circumstances and wishes</w:t>
      </w:r>
      <w:r w:rsidDel="00000000" w:rsidR="00000000" w:rsidRPr="00000000">
        <w:rPr>
          <w:sz w:val="22"/>
          <w:szCs w:val="22"/>
          <w:rtl w:val="0"/>
        </w:rPr>
        <w:t xml:space="preserve">.” </w:t>
      </w:r>
    </w:p>
    <w:p w:rsidR="00000000" w:rsidDel="00000000" w:rsidP="00000000" w:rsidRDefault="00000000" w:rsidRPr="00000000" w14:paraId="00000B37">
      <w:pPr>
        <w:spacing w:line="480" w:lineRule="auto"/>
        <w:jc w:val="right"/>
        <w:rPr>
          <w:sz w:val="22"/>
          <w:szCs w:val="22"/>
        </w:rPr>
      </w:pPr>
      <w:r w:rsidDel="00000000" w:rsidR="00000000" w:rsidRPr="00000000">
        <w:rPr>
          <w:sz w:val="22"/>
          <w:szCs w:val="22"/>
          <w:rtl w:val="0"/>
        </w:rPr>
        <w:t xml:space="preserve">(Department of Health and Social Care, 2021)</w:t>
      </w:r>
    </w:p>
    <w:p w:rsidR="00000000" w:rsidDel="00000000" w:rsidP="00000000" w:rsidRDefault="00000000" w:rsidRPr="00000000" w14:paraId="00000B38">
      <w:pPr>
        <w:spacing w:line="480" w:lineRule="auto"/>
        <w:jc w:val="right"/>
        <w:rPr>
          <w:sz w:val="22"/>
          <w:szCs w:val="22"/>
        </w:rPr>
      </w:pPr>
      <w:r w:rsidDel="00000000" w:rsidR="00000000" w:rsidRPr="00000000">
        <w:rPr>
          <w:rtl w:val="0"/>
        </w:rPr>
      </w:r>
    </w:p>
    <w:p w:rsidR="00000000" w:rsidDel="00000000" w:rsidP="00000000" w:rsidRDefault="00000000" w:rsidRPr="00000000" w14:paraId="00000B39">
      <w:pPr>
        <w:spacing w:line="480" w:lineRule="auto"/>
        <w:jc w:val="both"/>
        <w:rPr>
          <w:sz w:val="22"/>
          <w:szCs w:val="22"/>
        </w:rPr>
      </w:pPr>
      <w:r w:rsidDel="00000000" w:rsidR="00000000" w:rsidRPr="00000000">
        <w:rPr>
          <w:sz w:val="22"/>
          <w:szCs w:val="22"/>
          <w:rtl w:val="0"/>
        </w:rPr>
        <w:t xml:space="preserve">Overprescribing is evident in both the data, and the wider literature. Participants also describe prescribing as “</w:t>
      </w:r>
      <w:r w:rsidDel="00000000" w:rsidR="00000000" w:rsidRPr="00000000">
        <w:rPr>
          <w:i w:val="1"/>
          <w:sz w:val="22"/>
          <w:szCs w:val="22"/>
          <w:rtl w:val="0"/>
        </w:rPr>
        <w:t xml:space="preserve">willy-nilly</w:t>
      </w:r>
      <w:r w:rsidDel="00000000" w:rsidR="00000000" w:rsidRPr="00000000">
        <w:rPr>
          <w:sz w:val="22"/>
          <w:szCs w:val="22"/>
          <w:rtl w:val="0"/>
        </w:rPr>
        <w:t xml:space="preserve">” and “</w:t>
      </w:r>
      <w:r w:rsidDel="00000000" w:rsidR="00000000" w:rsidRPr="00000000">
        <w:rPr>
          <w:i w:val="1"/>
          <w:sz w:val="22"/>
          <w:szCs w:val="22"/>
          <w:rtl w:val="0"/>
        </w:rPr>
        <w:t xml:space="preserve">reckless</w:t>
      </w:r>
      <w:r w:rsidDel="00000000" w:rsidR="00000000" w:rsidRPr="00000000">
        <w:rPr>
          <w:sz w:val="22"/>
          <w:szCs w:val="22"/>
          <w:rtl w:val="0"/>
        </w:rPr>
        <w:t xml:space="preserve">”. This is supported by the literature, whereby 10% of prescriptions were considered “</w:t>
      </w:r>
      <w:r w:rsidDel="00000000" w:rsidR="00000000" w:rsidRPr="00000000">
        <w:rPr>
          <w:i w:val="1"/>
          <w:sz w:val="22"/>
          <w:szCs w:val="22"/>
          <w:rtl w:val="0"/>
        </w:rPr>
        <w:t xml:space="preserve">unnecessary</w:t>
      </w:r>
      <w:r w:rsidDel="00000000" w:rsidR="00000000" w:rsidRPr="00000000">
        <w:rPr>
          <w:sz w:val="22"/>
          <w:szCs w:val="22"/>
          <w:rtl w:val="0"/>
        </w:rPr>
        <w:t xml:space="preserve">” by the Department of Health and Social Care (2021). Some participants describe receiving a prescription for medicines much longer than guidelines dictate, and with minimal explanations regarding their risks. For example, one participant reports being prescribed benzodiazepines for at least one year (Table Seven, p. 107). This may be clinically appropriate for some, however; therefore, one cannot generalise a culture of overprescribing from this point alone. This also includes the use of medicines where lifestyle changes may suffice, or where the medication is generally appropriate for the health condition, yet not appropriate for the individual patient (Department of Health and Social Care, 2021).</w:t>
      </w:r>
    </w:p>
    <w:p w:rsidR="00000000" w:rsidDel="00000000" w:rsidP="00000000" w:rsidRDefault="00000000" w:rsidRPr="00000000" w14:paraId="00000B3A">
      <w:pPr>
        <w:spacing w:line="480" w:lineRule="auto"/>
        <w:jc w:val="both"/>
        <w:rPr>
          <w:sz w:val="22"/>
          <w:szCs w:val="22"/>
        </w:rPr>
      </w:pPr>
      <w:r w:rsidDel="00000000" w:rsidR="00000000" w:rsidRPr="00000000">
        <w:rPr>
          <w:rtl w:val="0"/>
        </w:rPr>
      </w:r>
    </w:p>
    <w:p w:rsidR="00000000" w:rsidDel="00000000" w:rsidP="00000000" w:rsidRDefault="00000000" w:rsidRPr="00000000" w14:paraId="00000B3B">
      <w:pPr>
        <w:spacing w:line="480" w:lineRule="auto"/>
        <w:jc w:val="both"/>
        <w:rPr>
          <w:sz w:val="22"/>
          <w:szCs w:val="22"/>
        </w:rPr>
      </w:pPr>
      <w:r w:rsidDel="00000000" w:rsidR="00000000" w:rsidRPr="00000000">
        <w:rPr>
          <w:sz w:val="22"/>
          <w:szCs w:val="22"/>
          <w:rtl w:val="0"/>
        </w:rPr>
        <w:t xml:space="preserve">Good Clinical Prescribing, as outlined in the  </w:t>
      </w:r>
      <w:hyperlink w:anchor="_heading=h.17dp8vu">
        <w:r w:rsidDel="00000000" w:rsidR="00000000" w:rsidRPr="00000000">
          <w:rPr>
            <w:color w:val="467886"/>
            <w:sz w:val="22"/>
            <w:szCs w:val="22"/>
            <w:u w:val="single"/>
            <w:rtl w:val="0"/>
          </w:rPr>
          <w:t xml:space="preserve">Introduction</w:t>
        </w:r>
      </w:hyperlink>
      <w:r w:rsidDel="00000000" w:rsidR="00000000" w:rsidRPr="00000000">
        <w:rPr>
          <w:sz w:val="22"/>
          <w:szCs w:val="22"/>
          <w:rtl w:val="0"/>
        </w:rPr>
        <w:t xml:space="preserve"> chapter (p. 16), indicates a regular review of medication, whist maintaining and monitoring the patient’s wellbeing (General Medical Council 2021, p.2). Failure to comply may place the prescriber’s professional registration at risk (General Medical Council 2021, p.2). An example of this would be the use of psychosocial interventions alongside antidepressants, and the use of analgesia in combination with physical therapies such as physiotherapy for pain (National Institute for Health and Care Excellence, 2022). Overprescribing and inappropriate prescribing can have significant implications for the patient, as outlined in the “</w:t>
      </w:r>
      <w:hyperlink w:anchor="_heading=h.2jxsxqh">
        <w:r w:rsidDel="00000000" w:rsidR="00000000" w:rsidRPr="00000000">
          <w:rPr>
            <w:i w:val="1"/>
            <w:color w:val="467886"/>
            <w:sz w:val="22"/>
            <w:szCs w:val="22"/>
            <w:u w:val="single"/>
            <w:rtl w:val="0"/>
          </w:rPr>
          <w:t xml:space="preserve">Health Burden due to the Dependence on Medicines</w:t>
        </w:r>
      </w:hyperlink>
      <w:r w:rsidDel="00000000" w:rsidR="00000000" w:rsidRPr="00000000">
        <w:rPr>
          <w:sz w:val="22"/>
          <w:szCs w:val="22"/>
          <w:rtl w:val="0"/>
        </w:rPr>
        <w:t xml:space="preserve">” (p. 25) section of the introduction</w:t>
      </w:r>
      <w:r w:rsidDel="00000000" w:rsidR="00000000" w:rsidRPr="00000000">
        <w:rPr>
          <w:rtl w:val="0"/>
        </w:rPr>
        <w:t xml:space="preserve"> </w:t>
      </w:r>
      <w:r w:rsidDel="00000000" w:rsidR="00000000" w:rsidRPr="00000000">
        <w:rPr>
          <w:sz w:val="22"/>
          <w:szCs w:val="22"/>
          <w:rtl w:val="0"/>
        </w:rPr>
        <w:t xml:space="preserve">chapter (Hedna et al, 2015). The long term and overprescribing of medicines can lead to the formation of dependence, and subsequent withdrawal symptoms (Roughead et al 2019, Zin et al 2014, Marsden et al 2019). </w:t>
      </w:r>
    </w:p>
    <w:p w:rsidR="00000000" w:rsidDel="00000000" w:rsidP="00000000" w:rsidRDefault="00000000" w:rsidRPr="00000000" w14:paraId="00000B3C">
      <w:pPr>
        <w:spacing w:line="480" w:lineRule="auto"/>
        <w:jc w:val="both"/>
        <w:rPr>
          <w:sz w:val="22"/>
          <w:szCs w:val="22"/>
        </w:rPr>
      </w:pPr>
      <w:r w:rsidDel="00000000" w:rsidR="00000000" w:rsidRPr="00000000">
        <w:rPr>
          <w:rtl w:val="0"/>
        </w:rPr>
      </w:r>
    </w:p>
    <w:p w:rsidR="00000000" w:rsidDel="00000000" w:rsidP="00000000" w:rsidRDefault="00000000" w:rsidRPr="00000000" w14:paraId="00000B3D">
      <w:pPr>
        <w:spacing w:line="480" w:lineRule="auto"/>
        <w:jc w:val="both"/>
        <w:rPr>
          <w:sz w:val="22"/>
          <w:szCs w:val="22"/>
        </w:rPr>
      </w:pPr>
      <w:r w:rsidDel="00000000" w:rsidR="00000000" w:rsidRPr="00000000">
        <w:rPr>
          <w:sz w:val="22"/>
          <w:szCs w:val="22"/>
          <w:rtl w:val="0"/>
        </w:rPr>
        <w:t xml:space="preserve">The perceived inappropriate prescribing on an individual level can be interpreted as a lack of understanding of prescribed medicines, which has implications for the patients care, and the patient experience (Public Health England, 2019). This “</w:t>
      </w:r>
      <w:r w:rsidDel="00000000" w:rsidR="00000000" w:rsidRPr="00000000">
        <w:rPr>
          <w:i w:val="1"/>
          <w:sz w:val="22"/>
          <w:szCs w:val="22"/>
          <w:rtl w:val="0"/>
        </w:rPr>
        <w:t xml:space="preserve">reckless</w:t>
      </w:r>
      <w:r w:rsidDel="00000000" w:rsidR="00000000" w:rsidRPr="00000000">
        <w:rPr>
          <w:sz w:val="22"/>
          <w:szCs w:val="22"/>
          <w:rtl w:val="0"/>
        </w:rPr>
        <w:t xml:space="preserve">” and “</w:t>
      </w:r>
      <w:r w:rsidDel="00000000" w:rsidR="00000000" w:rsidRPr="00000000">
        <w:rPr>
          <w:i w:val="1"/>
          <w:sz w:val="22"/>
          <w:szCs w:val="22"/>
          <w:rtl w:val="0"/>
        </w:rPr>
        <w:t xml:space="preserve">unnecessary</w:t>
      </w:r>
      <w:r w:rsidDel="00000000" w:rsidR="00000000" w:rsidRPr="00000000">
        <w:rPr>
          <w:sz w:val="22"/>
          <w:szCs w:val="22"/>
          <w:rtl w:val="0"/>
        </w:rPr>
        <w:t xml:space="preserve">” prescribing numerous implications for the patient, including adverse drug events, hospital admissions, increased health costs and waste (NHS Southeast London Clinical Commissioning Group, 2023). However, overprescribing and inappropriate prescribing can stem from the lack of knowledge practitioners possess, particularly in primary care, time constraints, and external influences such as patient pressures (Rose et al, 2019). An important consideration, however, is that continued prescribing is symptomatic of the systemic challenges health and social care services face. Although Zgierska et al (2012) found that patients prefer a pharmacological intervention, for those who are open to accessing alternative approaches are experiencing extensive waiting times and systemic barriers to these services, which prolongs the use of medication. Despite this, several participants expressed their preference for an alternative treatment. Supported by the literature, systemic barriers and clinical factors have been associated with extended prescribing periods (Seddon et al 2024, p.4). However, systemic issues have been identified as a contributory factor to this issue. These will be discussed in Section 7.7., </w:t>
      </w:r>
      <w:r w:rsidDel="00000000" w:rsidR="00000000" w:rsidRPr="00000000">
        <w:rPr>
          <w:i w:val="1"/>
          <w:sz w:val="22"/>
          <w:szCs w:val="22"/>
          <w:rtl w:val="0"/>
        </w:rPr>
        <w:t xml:space="preserve">“</w:t>
      </w:r>
      <w:hyperlink w:anchor="_heading=h.1a346fx">
        <w:r w:rsidDel="00000000" w:rsidR="00000000" w:rsidRPr="00000000">
          <w:rPr>
            <w:i w:val="1"/>
            <w:color w:val="467886"/>
            <w:sz w:val="22"/>
            <w:szCs w:val="22"/>
            <w:u w:val="single"/>
            <w:rtl w:val="0"/>
          </w:rPr>
          <w:t xml:space="preserve">Limited Accessibility of Secondary Care</w:t>
        </w:r>
      </w:hyperlink>
      <w:r w:rsidDel="00000000" w:rsidR="00000000" w:rsidRPr="00000000">
        <w:rPr>
          <w:sz w:val="22"/>
          <w:szCs w:val="22"/>
          <w:rtl w:val="0"/>
        </w:rPr>
        <w:t xml:space="preserve">” (p. 247).</w:t>
      </w:r>
    </w:p>
    <w:p w:rsidR="00000000" w:rsidDel="00000000" w:rsidP="00000000" w:rsidRDefault="00000000" w:rsidRPr="00000000" w14:paraId="00000B3E">
      <w:pPr>
        <w:spacing w:line="480" w:lineRule="auto"/>
        <w:jc w:val="both"/>
        <w:rPr>
          <w:sz w:val="22"/>
          <w:szCs w:val="22"/>
        </w:rPr>
      </w:pPr>
      <w:r w:rsidDel="00000000" w:rsidR="00000000" w:rsidRPr="00000000">
        <w:rPr>
          <w:rtl w:val="0"/>
        </w:rPr>
      </w:r>
    </w:p>
    <w:p w:rsidR="00000000" w:rsidDel="00000000" w:rsidP="00000000" w:rsidRDefault="00000000" w:rsidRPr="00000000" w14:paraId="00000B3F">
      <w:pPr>
        <w:spacing w:line="480" w:lineRule="auto"/>
        <w:jc w:val="both"/>
        <w:rPr>
          <w:sz w:val="22"/>
          <w:szCs w:val="22"/>
        </w:rPr>
      </w:pPr>
      <w:r w:rsidDel="00000000" w:rsidR="00000000" w:rsidRPr="00000000">
        <w:rPr>
          <w:sz w:val="22"/>
          <w:szCs w:val="22"/>
          <w:rtl w:val="0"/>
        </w:rPr>
        <w:t xml:space="preserve">It is important to note, however, that continued prescribing outside of what could be considered appropriate prescribing, is still providing the patient with care. Managing an illness, whilst the patient waits for alternative treatments or secondary care, can partially support the individual to move out of the sick role. Cheshire et al (2021, p.301 – 302) suggest those with a chronic illness move away from this position in part, characterised by resuming paid employment and other activities of daily living. Recovery can be constructed to include “</w:t>
      </w:r>
      <w:r w:rsidDel="00000000" w:rsidR="00000000" w:rsidRPr="00000000">
        <w:rPr>
          <w:i w:val="1"/>
          <w:sz w:val="22"/>
          <w:szCs w:val="22"/>
          <w:rtl w:val="0"/>
        </w:rPr>
        <w:t xml:space="preserve">normality</w:t>
      </w:r>
      <w:r w:rsidDel="00000000" w:rsidR="00000000" w:rsidRPr="00000000">
        <w:rPr>
          <w:sz w:val="22"/>
          <w:szCs w:val="22"/>
          <w:rtl w:val="0"/>
        </w:rPr>
        <w:t xml:space="preserve">”, where the individual experiences “</w:t>
      </w:r>
      <w:r w:rsidDel="00000000" w:rsidR="00000000" w:rsidRPr="00000000">
        <w:rPr>
          <w:i w:val="1"/>
          <w:sz w:val="22"/>
          <w:szCs w:val="22"/>
          <w:rtl w:val="0"/>
        </w:rPr>
        <w:t xml:space="preserve">less interference from symptoms</w:t>
      </w:r>
      <w:r w:rsidDel="00000000" w:rsidR="00000000" w:rsidRPr="00000000">
        <w:rPr>
          <w:sz w:val="22"/>
          <w:szCs w:val="22"/>
          <w:rtl w:val="0"/>
        </w:rPr>
        <w:t xml:space="preserve">” or “</w:t>
      </w:r>
      <w:r w:rsidDel="00000000" w:rsidR="00000000" w:rsidRPr="00000000">
        <w:rPr>
          <w:i w:val="1"/>
          <w:sz w:val="22"/>
          <w:szCs w:val="22"/>
          <w:rtl w:val="0"/>
        </w:rPr>
        <w:t xml:space="preserve">effective management of symptoms</w:t>
      </w:r>
      <w:r w:rsidDel="00000000" w:rsidR="00000000" w:rsidRPr="00000000">
        <w:rPr>
          <w:sz w:val="22"/>
          <w:szCs w:val="22"/>
          <w:rtl w:val="0"/>
        </w:rPr>
        <w:t xml:space="preserve">” (Cheshire et al 2021, p. 302). This appears to be consistent with Parsons’ theory, where resuming social roles as opposed to the easing of symptoms (Cheshire et al 2021, p. 302). This is reflected in the findings of this research, where participants describe having the ability to manage their health condition whilst using medicines, often able to continue or resume paid employment, and engage in social and personal activities they previously had to limit. </w:t>
      </w:r>
    </w:p>
    <w:p w:rsidR="00000000" w:rsidDel="00000000" w:rsidP="00000000" w:rsidRDefault="00000000" w:rsidRPr="00000000" w14:paraId="00000B40">
      <w:pPr>
        <w:spacing w:line="480" w:lineRule="auto"/>
        <w:jc w:val="both"/>
        <w:rPr>
          <w:sz w:val="22"/>
          <w:szCs w:val="22"/>
        </w:rPr>
      </w:pPr>
      <w:r w:rsidDel="00000000" w:rsidR="00000000" w:rsidRPr="00000000">
        <w:rPr>
          <w:rtl w:val="0"/>
        </w:rPr>
      </w:r>
    </w:p>
    <w:p w:rsidR="00000000" w:rsidDel="00000000" w:rsidP="00000000" w:rsidRDefault="00000000" w:rsidRPr="00000000" w14:paraId="00000B41">
      <w:pPr>
        <w:spacing w:line="480" w:lineRule="auto"/>
        <w:jc w:val="both"/>
        <w:rPr>
          <w:sz w:val="22"/>
          <w:szCs w:val="22"/>
        </w:rPr>
      </w:pPr>
      <w:r w:rsidDel="00000000" w:rsidR="00000000" w:rsidRPr="00000000">
        <w:rPr>
          <w:sz w:val="22"/>
          <w:szCs w:val="22"/>
          <w:rtl w:val="0"/>
        </w:rPr>
        <w:t xml:space="preserve">It has been argued that individuals may not return to “</w:t>
      </w:r>
      <w:r w:rsidDel="00000000" w:rsidR="00000000" w:rsidRPr="00000000">
        <w:rPr>
          <w:i w:val="1"/>
          <w:sz w:val="22"/>
          <w:szCs w:val="22"/>
          <w:rtl w:val="0"/>
        </w:rPr>
        <w:t xml:space="preserve">pre-illness</w:t>
      </w:r>
      <w:r w:rsidDel="00000000" w:rsidR="00000000" w:rsidRPr="00000000">
        <w:rPr>
          <w:sz w:val="22"/>
          <w:szCs w:val="22"/>
          <w:rtl w:val="0"/>
        </w:rPr>
        <w:t xml:space="preserve">” levels, since the experience of being unwell can “</w:t>
      </w:r>
      <w:r w:rsidDel="00000000" w:rsidR="00000000" w:rsidRPr="00000000">
        <w:rPr>
          <w:i w:val="1"/>
          <w:sz w:val="22"/>
          <w:szCs w:val="22"/>
          <w:rtl w:val="0"/>
        </w:rPr>
        <w:t xml:space="preserve">inevitably alter</w:t>
      </w:r>
      <w:r w:rsidDel="00000000" w:rsidR="00000000" w:rsidRPr="00000000">
        <w:rPr>
          <w:sz w:val="22"/>
          <w:szCs w:val="22"/>
          <w:rtl w:val="0"/>
        </w:rPr>
        <w:t xml:space="preserve">” the patient (Canguilhem, 2012). This is particularly evident in those with illnesses that have no evidence – based cure, such as chronic pain or those with multimorbidity (Cheshire et al 2021, p. 303). Despite criticisms of the sick role, however, elements of this theory are useful. In line with Cheshire et al’s (2021, p. 304), participants in this research describe recovery as being able to resume normal activities as opposed to being symptom-free. This can be supported by the use of medicines long term, regardless of whether the individual has a treatment option that is available in secondary care. </w:t>
      </w:r>
    </w:p>
    <w:p w:rsidR="00000000" w:rsidDel="00000000" w:rsidP="00000000" w:rsidRDefault="00000000" w:rsidRPr="00000000" w14:paraId="00000B42">
      <w:pPr>
        <w:spacing w:line="480" w:lineRule="auto"/>
        <w:jc w:val="both"/>
        <w:rPr>
          <w:sz w:val="22"/>
          <w:szCs w:val="22"/>
        </w:rPr>
      </w:pPr>
      <w:r w:rsidDel="00000000" w:rsidR="00000000" w:rsidRPr="00000000">
        <w:rPr>
          <w:rtl w:val="0"/>
        </w:rPr>
      </w:r>
    </w:p>
    <w:p w:rsidR="00000000" w:rsidDel="00000000" w:rsidP="00000000" w:rsidRDefault="00000000" w:rsidRPr="00000000" w14:paraId="00000B43">
      <w:pPr>
        <w:pStyle w:val="Heading3"/>
        <w:spacing w:line="480" w:lineRule="auto"/>
        <w:jc w:val="both"/>
        <w:rPr/>
      </w:pPr>
      <w:bookmarkStart w:colFirst="0" w:colLast="0" w:name="_heading=h.2uxtw84" w:id="133"/>
      <w:bookmarkEnd w:id="133"/>
      <w:r w:rsidDel="00000000" w:rsidR="00000000" w:rsidRPr="00000000">
        <w:rPr>
          <w:rtl w:val="0"/>
        </w:rPr>
        <w:t xml:space="preserve">Summary</w:t>
      </w:r>
    </w:p>
    <w:p w:rsidR="00000000" w:rsidDel="00000000" w:rsidP="00000000" w:rsidRDefault="00000000" w:rsidRPr="00000000" w14:paraId="00000B44">
      <w:pPr>
        <w:spacing w:line="480" w:lineRule="auto"/>
        <w:jc w:val="both"/>
        <w:rPr>
          <w:sz w:val="22"/>
          <w:szCs w:val="22"/>
        </w:rPr>
      </w:pPr>
      <w:r w:rsidDel="00000000" w:rsidR="00000000" w:rsidRPr="00000000">
        <w:rPr>
          <w:sz w:val="22"/>
          <w:szCs w:val="22"/>
          <w:rtl w:val="0"/>
        </w:rPr>
        <w:t xml:space="preserve">It is evident that healthcare interactions are predominantly practitioner-led, supporting the autonomy of the practitioner afforded by Parsons (1951). This, combined with the dominance of the biomedical approach to illness, results in a perception healthcare professionals are pharmaceutical led. This has been evidenced by the data, whereby the dominance of a healthcare professional within a healthcare setting led to a participant with a history of substance misuse being prescribed dependence forming medicines. These interactions can also limit the validity of informed consent, as explored earlier. The autonomy afforded to professionals by Parsons has led to the dismissal of alternative treatments, which can be described as “</w:t>
      </w:r>
      <w:r w:rsidDel="00000000" w:rsidR="00000000" w:rsidRPr="00000000">
        <w:rPr>
          <w:i w:val="1"/>
          <w:sz w:val="22"/>
          <w:szCs w:val="22"/>
          <w:rtl w:val="0"/>
        </w:rPr>
        <w:t xml:space="preserve">dangerous</w:t>
      </w:r>
      <w:r w:rsidDel="00000000" w:rsidR="00000000" w:rsidRPr="00000000">
        <w:rPr>
          <w:sz w:val="22"/>
          <w:szCs w:val="22"/>
          <w:rtl w:val="0"/>
        </w:rPr>
        <w:t xml:space="preserve">”, therefore preferring a medication-based approach. If a patient is to use medicines as prescribed, per the instruction of the professional, and a dependence is formed, the patient could be considered as no longer responsible for this aspect of their illness.  </w:t>
      </w:r>
    </w:p>
    <w:p w:rsidR="00000000" w:rsidDel="00000000" w:rsidP="00000000" w:rsidRDefault="00000000" w:rsidRPr="00000000" w14:paraId="00000B45">
      <w:pPr>
        <w:spacing w:line="480" w:lineRule="auto"/>
        <w:jc w:val="both"/>
        <w:rPr>
          <w:sz w:val="22"/>
          <w:szCs w:val="22"/>
        </w:rPr>
      </w:pPr>
      <w:r w:rsidDel="00000000" w:rsidR="00000000" w:rsidRPr="00000000">
        <w:rPr>
          <w:rtl w:val="0"/>
        </w:rPr>
      </w:r>
    </w:p>
    <w:p w:rsidR="00000000" w:rsidDel="00000000" w:rsidP="00000000" w:rsidRDefault="00000000" w:rsidRPr="00000000" w14:paraId="00000B46">
      <w:pPr>
        <w:spacing w:line="480" w:lineRule="auto"/>
        <w:jc w:val="both"/>
        <w:rPr>
          <w:sz w:val="22"/>
          <w:szCs w:val="22"/>
        </w:rPr>
      </w:pPr>
      <w:r w:rsidDel="00000000" w:rsidR="00000000" w:rsidRPr="00000000">
        <w:rPr>
          <w:sz w:val="22"/>
          <w:szCs w:val="22"/>
          <w:rtl w:val="0"/>
        </w:rPr>
        <w:t xml:space="preserve">The practitioner is bound by their means, and if there is an extensive waiting list, or lack of appropriate service to refer the patient to, the practitioner has no choice but to continue prescribing medications that are potentially dependence forming, so the patient is receiving some form of treatment, and the potential advancement of illness is minimised. This is inherently in support of the sick role, despite the patient occupying this position for an extended time period, contrary to the “</w:t>
      </w:r>
      <w:r w:rsidDel="00000000" w:rsidR="00000000" w:rsidRPr="00000000">
        <w:rPr>
          <w:i w:val="1"/>
          <w:sz w:val="22"/>
          <w:szCs w:val="22"/>
          <w:rtl w:val="0"/>
        </w:rPr>
        <w:t xml:space="preserve">temporary</w:t>
      </w:r>
      <w:r w:rsidDel="00000000" w:rsidR="00000000" w:rsidRPr="00000000">
        <w:rPr>
          <w:sz w:val="22"/>
          <w:szCs w:val="22"/>
          <w:rtl w:val="0"/>
        </w:rPr>
        <w:t xml:space="preserve"> </w:t>
      </w:r>
      <w:r w:rsidDel="00000000" w:rsidR="00000000" w:rsidRPr="00000000">
        <w:rPr>
          <w:i w:val="1"/>
          <w:sz w:val="22"/>
          <w:szCs w:val="22"/>
          <w:rtl w:val="0"/>
        </w:rPr>
        <w:t xml:space="preserve">nature</w:t>
      </w:r>
      <w:r w:rsidDel="00000000" w:rsidR="00000000" w:rsidRPr="00000000">
        <w:rPr>
          <w:sz w:val="22"/>
          <w:szCs w:val="22"/>
          <w:rtl w:val="0"/>
        </w:rPr>
        <w:t xml:space="preserve">” of illness (Parsons 1951).  The accessibility of secondary services will now be discussed. </w:t>
      </w:r>
    </w:p>
    <w:p w:rsidR="00000000" w:rsidDel="00000000" w:rsidP="00000000" w:rsidRDefault="00000000" w:rsidRPr="00000000" w14:paraId="00000B47">
      <w:pPr>
        <w:spacing w:line="480" w:lineRule="auto"/>
        <w:jc w:val="both"/>
        <w:rPr>
          <w:sz w:val="22"/>
          <w:szCs w:val="22"/>
        </w:rPr>
      </w:pPr>
      <w:r w:rsidDel="00000000" w:rsidR="00000000" w:rsidRPr="00000000">
        <w:rPr>
          <w:rtl w:val="0"/>
        </w:rPr>
      </w:r>
    </w:p>
    <w:p w:rsidR="00000000" w:rsidDel="00000000" w:rsidP="00000000" w:rsidRDefault="00000000" w:rsidRPr="00000000" w14:paraId="00000B48">
      <w:pPr>
        <w:pStyle w:val="Heading2"/>
        <w:numPr>
          <w:ilvl w:val="1"/>
          <w:numId w:val="19"/>
        </w:numPr>
        <w:spacing w:line="480" w:lineRule="auto"/>
        <w:ind w:left="720" w:hanging="720"/>
        <w:rPr/>
      </w:pPr>
      <w:bookmarkStart w:colFirst="0" w:colLast="0" w:name="_heading=h.1a346fx" w:id="134"/>
      <w:bookmarkEnd w:id="134"/>
      <w:r w:rsidDel="00000000" w:rsidR="00000000" w:rsidRPr="00000000">
        <w:rPr>
          <w:rtl w:val="0"/>
        </w:rPr>
        <w:t xml:space="preserve">Limited Accessibility of Secondary Care</w:t>
      </w:r>
    </w:p>
    <w:p w:rsidR="00000000" w:rsidDel="00000000" w:rsidP="00000000" w:rsidRDefault="00000000" w:rsidRPr="00000000" w14:paraId="00000B49">
      <w:pPr>
        <w:spacing w:line="480" w:lineRule="auto"/>
        <w:jc w:val="both"/>
        <w:rPr>
          <w:sz w:val="22"/>
          <w:szCs w:val="22"/>
        </w:rPr>
      </w:pPr>
      <w:r w:rsidDel="00000000" w:rsidR="00000000" w:rsidRPr="00000000">
        <w:rPr>
          <w:sz w:val="22"/>
          <w:szCs w:val="22"/>
        </w:rPr>
        <mc:AlternateContent>
          <mc:Choice Requires="wpg">
            <w:drawing>
              <wp:anchor allowOverlap="1" behindDoc="0" distB="0" distT="0" distL="114300" distR="114300" hidden="0" layoutInCell="1" locked="0" relativeHeight="0" simplePos="0">
                <wp:simplePos x="0" y="0"/>
                <wp:positionH relativeFrom="margin">
                  <wp:posOffset>-89725</wp:posOffset>
                </wp:positionH>
                <wp:positionV relativeFrom="margin">
                  <wp:posOffset>3658553</wp:posOffset>
                </wp:positionV>
                <wp:extent cx="3074035" cy="3705225"/>
                <wp:effectExtent b="0" l="0" r="0" t="0"/>
                <wp:wrapSquare wrapText="bothSides" distB="0" distT="0" distL="114300" distR="114300"/>
                <wp:docPr id="2142794188" name=""/>
                <a:graphic>
                  <a:graphicData uri="http://schemas.microsoft.com/office/word/2010/wordprocessingShape">
                    <wps:wsp>
                      <wps:cNvSpPr/>
                      <wps:cNvPr id="29" name="Shape 29"/>
                      <wps:spPr>
                        <a:xfrm>
                          <a:off x="3813745" y="1932150"/>
                          <a:ext cx="3064510" cy="369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20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1"/>
                                <w:smallCaps w:val="0"/>
                                <w:strike w:val="0"/>
                                <w:color w:val="0e2841"/>
                                <w:sz w:val="18"/>
                                <w:vertAlign w:val="baseline"/>
                              </w:rPr>
                              <w:t xml:space="preserve">Figure : An illustration depicting how the tiers of Primary, Secondary and Tertiary care interact. Taken from NHS Digital (2022).</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e2841"/>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-89725</wp:posOffset>
                </wp:positionH>
                <wp:positionV relativeFrom="margin">
                  <wp:posOffset>3658553</wp:posOffset>
                </wp:positionV>
                <wp:extent cx="3074035" cy="3705225"/>
                <wp:effectExtent b="0" l="0" r="0" t="0"/>
                <wp:wrapSquare wrapText="bothSides" distB="0" distT="0" distL="114300" distR="114300"/>
                <wp:docPr id="2142794188"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3074035" cy="3705225"/>
                        </a:xfrm>
                        <a:prstGeom prst="rect"/>
                        <a:ln/>
                      </pic:spPr>
                    </pic:pic>
                  </a:graphicData>
                </a:graphic>
              </wp:anchor>
            </w:drawing>
          </mc:Fallback>
        </mc:AlternateContent>
      </w:r>
      <w:r w:rsidDel="00000000" w:rsidR="00000000" w:rsidRPr="00000000">
        <w:rPr>
          <w:sz w:val="22"/>
          <w:szCs w:val="22"/>
          <w:rtl w:val="0"/>
        </w:rPr>
        <w:t xml:space="preserve">Several participants describe a limited accessibility of appropriate secondary care services. It must be noted that all participants describe barriers to alternative treatments, including personal barriers and treatment preferences, whilst others describe systemic barriers. Secondary care and services are “</w:t>
      </w:r>
      <w:r w:rsidDel="00000000" w:rsidR="00000000" w:rsidRPr="00000000">
        <w:rPr>
          <w:i w:val="1"/>
          <w:sz w:val="22"/>
          <w:szCs w:val="22"/>
          <w:rtl w:val="0"/>
        </w:rPr>
        <w:t xml:space="preserve">services provided by medical specialists who in general do not have the first contact with the patient</w:t>
      </w:r>
      <w:r w:rsidDel="00000000" w:rsidR="00000000" w:rsidRPr="00000000">
        <w:rPr>
          <w:sz w:val="22"/>
          <w:szCs w:val="22"/>
          <w:rtl w:val="0"/>
        </w:rPr>
        <w:t xml:space="preserve">” (Leeds Health and Care Partnership, 2024). These include planned or elective care, urgent treatment and mental health services (NHS Digital, 2022). The way primary care, secondary care and other services interact is illustrated in Figure Nine.  GPs are considered gatekeepers of secondary care, responsible for managing the demand placed on secondary services (Ringberg et al 2014). </w:t>
      </w:r>
    </w:p>
    <w:p w:rsidR="00000000" w:rsidDel="00000000" w:rsidP="00000000" w:rsidRDefault="00000000" w:rsidRPr="00000000" w14:paraId="00000B4A">
      <w:pPr>
        <w:spacing w:line="480" w:lineRule="auto"/>
        <w:jc w:val="both"/>
        <w:rPr>
          <w:sz w:val="22"/>
          <w:szCs w:val="22"/>
        </w:rPr>
      </w:pPr>
      <w:r w:rsidDel="00000000" w:rsidR="00000000" w:rsidRPr="00000000">
        <w:rPr>
          <w:rtl w:val="0"/>
        </w:rPr>
      </w:r>
    </w:p>
    <w:p w:rsidR="00000000" w:rsidDel="00000000" w:rsidP="00000000" w:rsidRDefault="00000000" w:rsidRPr="00000000" w14:paraId="00000B4B">
      <w:pPr>
        <w:spacing w:line="480" w:lineRule="auto"/>
        <w:jc w:val="both"/>
        <w:rPr>
          <w:sz w:val="22"/>
          <w:szCs w:val="22"/>
        </w:rPr>
      </w:pPr>
      <w:r w:rsidDel="00000000" w:rsidR="00000000" w:rsidRPr="00000000">
        <w:rPr>
          <w:sz w:val="22"/>
          <w:szCs w:val="22"/>
          <w:rtl w:val="0"/>
        </w:rPr>
        <w:t xml:space="preserve">These systemic issues as a barrier to alternative treatments and secondary care report waiting times or a lack of available services as a barrier; however, the individual barriers participants have experienced differ between the type of health condition they are diagnosed with. There appears to be a clearer treatment progression with participants describing physical health complaints in comparison to those diagnosed with a mental health difficulty. The barriers to alternative treatments and secondary care described by these participants are typically associated with the financial burdens, such as time off work, or the significance of the procedure, such as surgeries. The barriers experienced by participants diagnosed with a mental health difficulty describe barriers such as finding the most appropriate and suitable therapeutic approach. Those with complex health conditions describe not being referred to specialist care where appropriate. There are several limitations associated with onward referrals to secondary care, however, which will be discussed in within this section. Ringberg et al (2014) suggest 93% of referrals to secondary care are out of medical necessity, with 27.5% of referrals to ensure they avoided overlooking anything of significance. Often, patients are referred to secondary care during their initial appointment with the GP (39%), yet 18% of patients have been seen by their GP at least four times prior to referral (Healthwatch England 2023, p.4). </w:t>
      </w:r>
    </w:p>
    <w:p w:rsidR="00000000" w:rsidDel="00000000" w:rsidP="00000000" w:rsidRDefault="00000000" w:rsidRPr="00000000" w14:paraId="00000B4C">
      <w:pPr>
        <w:spacing w:line="480" w:lineRule="auto"/>
        <w:jc w:val="both"/>
        <w:rPr>
          <w:sz w:val="22"/>
          <w:szCs w:val="22"/>
        </w:rPr>
      </w:pPr>
      <w:r w:rsidDel="00000000" w:rsidR="00000000" w:rsidRPr="00000000">
        <w:rPr>
          <w:rtl w:val="0"/>
        </w:rPr>
      </w:r>
    </w:p>
    <w:p w:rsidR="00000000" w:rsidDel="00000000" w:rsidP="00000000" w:rsidRDefault="00000000" w:rsidRPr="00000000" w14:paraId="00000B4D">
      <w:pPr>
        <w:spacing w:line="480" w:lineRule="auto"/>
        <w:jc w:val="both"/>
        <w:rPr>
          <w:sz w:val="22"/>
          <w:szCs w:val="22"/>
        </w:rPr>
      </w:pPr>
      <w:r w:rsidDel="00000000" w:rsidR="00000000" w:rsidRPr="00000000">
        <w:rPr>
          <w:sz w:val="22"/>
          <w:szCs w:val="22"/>
          <w:rtl w:val="0"/>
        </w:rPr>
        <w:t xml:space="preserve">Firstly, waiting times have been identified by several participants in this research. This is supported by the findings of the literature review, both in which suggest a negative association between the patient experience and waiting times, supported by the wider literature (Davies et al 2023 p. 5, Hamilton et al 2022 p. 4088, Nichols et al 2023 p. 7). Increased, or extensive, waiting times are negatively associated with clinical satisfaction outcome measures (Bleustien et al, 2014). Furthermore, these delays in treatment are associated with a reduction in the patient’s quality of life, and a deterioration in their condition (Reichert and Jacobs 2018 p.1799, Krelle et al 2021). The extensive waiting times associated with secondary care referrals have resulted in negative health outcomes in 78% of patients (Healthwatch England 2023, p.14). </w:t>
      </w:r>
    </w:p>
    <w:p w:rsidR="00000000" w:rsidDel="00000000" w:rsidP="00000000" w:rsidRDefault="00000000" w:rsidRPr="00000000" w14:paraId="00000B4E">
      <w:pPr>
        <w:spacing w:line="480" w:lineRule="auto"/>
        <w:jc w:val="both"/>
        <w:rPr>
          <w:sz w:val="22"/>
          <w:szCs w:val="22"/>
        </w:rPr>
      </w:pPr>
      <w:r w:rsidDel="00000000" w:rsidR="00000000" w:rsidRPr="00000000">
        <w:rPr>
          <w:rtl w:val="0"/>
        </w:rPr>
      </w:r>
    </w:p>
    <w:p w:rsidR="00000000" w:rsidDel="00000000" w:rsidP="00000000" w:rsidRDefault="00000000" w:rsidRPr="00000000" w14:paraId="00000B4F">
      <w:pPr>
        <w:spacing w:line="480" w:lineRule="auto"/>
        <w:jc w:val="both"/>
        <w:rPr>
          <w:sz w:val="22"/>
          <w:szCs w:val="22"/>
        </w:rPr>
      </w:pPr>
      <w:r w:rsidDel="00000000" w:rsidR="00000000" w:rsidRPr="00000000">
        <w:rPr>
          <w:sz w:val="22"/>
          <w:szCs w:val="22"/>
          <w:rtl w:val="0"/>
        </w:rPr>
        <w:t xml:space="preserve">Patients tolerate these waiting times due, in part, to receive the correct treatment, the perceived value of treatment, the fear of being refused treatment later, or being taken off waiting lists completely (Reichart and Jacobs 2018, Chu et al 2019, Davies 2019). This exhibits the willing compliance expected of patients, per Parsons (1951). The perceived inaccessibility of, and extensive waiting times for, secondary care services has been identified by GPs as a contributing factor to the overprescribing of prescribed drugs (Gill et al 2022, p.9). It is well established that long term use of prescribed medicines, particularly analgesia, is associated with the formation of a dependence and subsequent withdrawal symptoms (Roughead et al 2019, Zin et al 2014, Marsden et al 2019), despite these drugs managing symptoms to some extent (Punton et al, 2022).</w:t>
      </w:r>
    </w:p>
    <w:p w:rsidR="00000000" w:rsidDel="00000000" w:rsidP="00000000" w:rsidRDefault="00000000" w:rsidRPr="00000000" w14:paraId="00000B50">
      <w:pPr>
        <w:spacing w:line="480" w:lineRule="auto"/>
        <w:jc w:val="both"/>
        <w:rPr>
          <w:sz w:val="22"/>
          <w:szCs w:val="22"/>
        </w:rPr>
      </w:pPr>
      <w:r w:rsidDel="00000000" w:rsidR="00000000" w:rsidRPr="00000000">
        <w:rPr>
          <w:rtl w:val="0"/>
        </w:rPr>
      </w:r>
    </w:p>
    <w:p w:rsidR="00000000" w:rsidDel="00000000" w:rsidP="00000000" w:rsidRDefault="00000000" w:rsidRPr="00000000" w14:paraId="00000B51">
      <w:pPr>
        <w:spacing w:line="480" w:lineRule="auto"/>
        <w:jc w:val="both"/>
        <w:rPr>
          <w:sz w:val="22"/>
          <w:szCs w:val="22"/>
        </w:rPr>
      </w:pPr>
      <w:r w:rsidDel="00000000" w:rsidR="00000000" w:rsidRPr="00000000">
        <w:rPr>
          <w:sz w:val="22"/>
          <w:szCs w:val="22"/>
          <w:rtl w:val="0"/>
        </w:rPr>
        <w:t xml:space="preserve">Waiting times for secondary care have increased dramatically in recent years (British Medical Association, 2022). In August 2022, there were over 7 million patients waiting for treatment (British Medical Association, 2022). According to NHS England, patients should wait no longer than 18 weeks from GP referral to specialist treatment (NHS England, 2016). In October 2022, however, a record 2.91 million patients’ waiting times exceeded these guidelines (British Medical Association 2022), with 2,646 of these patients waiting over two years (NHS Digital, 2022). Although the COVID-19 pandemic has contributed to this backlog, the number of elective procedures and outpatient attendances are significantly below pre-pandemic levels (British Medical Association, 2022). An estimated 3.3 million patients did not seek treatment due to the pandemic, and therefore, are not included in the data pertaining to waiting times (Nepogodiev et al, 2022).</w:t>
      </w:r>
    </w:p>
    <w:p w:rsidR="00000000" w:rsidDel="00000000" w:rsidP="00000000" w:rsidRDefault="00000000" w:rsidRPr="00000000" w14:paraId="00000B52">
      <w:pPr>
        <w:spacing w:line="480" w:lineRule="auto"/>
        <w:jc w:val="both"/>
        <w:rPr>
          <w:sz w:val="22"/>
          <w:szCs w:val="22"/>
        </w:rPr>
      </w:pPr>
      <w:r w:rsidDel="00000000" w:rsidR="00000000" w:rsidRPr="00000000">
        <w:rPr>
          <w:rtl w:val="0"/>
        </w:rPr>
      </w:r>
    </w:p>
    <w:p w:rsidR="00000000" w:rsidDel="00000000" w:rsidP="00000000" w:rsidRDefault="00000000" w:rsidRPr="00000000" w14:paraId="00000B53">
      <w:pPr>
        <w:spacing w:line="480" w:lineRule="auto"/>
        <w:jc w:val="both"/>
        <w:rPr>
          <w:sz w:val="22"/>
          <w:szCs w:val="22"/>
        </w:rPr>
      </w:pPr>
      <w:r w:rsidDel="00000000" w:rsidR="00000000" w:rsidRPr="00000000">
        <w:rPr>
          <w:sz w:val="22"/>
          <w:szCs w:val="22"/>
          <w:rtl w:val="0"/>
        </w:rPr>
        <w:t xml:space="preserve">Secondly, there has been a reduction in funding for the National Health Service and the Department for Health and Social Care (Trade Union Congress, 2022). Specific services, such as secondary mental health and chronic pain services are also experiencing a reduction in funding (Taylor 2022, Connelly 2020). As a result, waiting times are increasing and services are being decommissioned, for example mental health services have seen real terms cut of £105million since 2011-2012 (Trade Union Congress 2022). The Royal College of Psychiatrists found 43% of adults with a mental health difficulty feel as though waiting times exacerbate their condition (Gregory, 2022), with 38% of participants reporting presenting at A&amp;E in mental health crisis (Royal College of Psychiatrists, 2020). In regard to chronic pain services, NHS England has withdrawn two treatments that are effective managing pain, meaning patients are now unable to access deep brain stimulation and intrathecal drug delivery systems (Pain Concern, 2015). </w:t>
      </w:r>
    </w:p>
    <w:p w:rsidR="00000000" w:rsidDel="00000000" w:rsidP="00000000" w:rsidRDefault="00000000" w:rsidRPr="00000000" w14:paraId="00000B54">
      <w:pPr>
        <w:spacing w:line="480" w:lineRule="auto"/>
        <w:jc w:val="both"/>
        <w:rPr>
          <w:sz w:val="22"/>
          <w:szCs w:val="22"/>
        </w:rPr>
      </w:pPr>
      <w:r w:rsidDel="00000000" w:rsidR="00000000" w:rsidRPr="00000000">
        <w:rPr>
          <w:rtl w:val="0"/>
        </w:rPr>
      </w:r>
    </w:p>
    <w:p w:rsidR="00000000" w:rsidDel="00000000" w:rsidP="00000000" w:rsidRDefault="00000000" w:rsidRPr="00000000" w14:paraId="00000B55">
      <w:pPr>
        <w:spacing w:line="480" w:lineRule="auto"/>
        <w:jc w:val="both"/>
        <w:rPr>
          <w:sz w:val="22"/>
          <w:szCs w:val="22"/>
        </w:rPr>
      </w:pPr>
      <w:r w:rsidDel="00000000" w:rsidR="00000000" w:rsidRPr="00000000">
        <w:rPr>
          <w:sz w:val="22"/>
          <w:szCs w:val="22"/>
          <w:rtl w:val="0"/>
        </w:rPr>
        <w:t xml:space="preserve">In defence of General Practice, however, there are limitations to secondary care referrals that are out of the control of the practitioner. Where patients are referred to secondary care, 46% of GPs had experienced referral barriers, with 58% of respondents stating these barriers caused patients harm (Bostock, 2022). The success of referrals varied greatly between specialisms, with only 60% of mental health related referrals leading to an appointment compared to those relating to cancer (90%) (Healthwatch England 2023, p.5). A project commissioned by the National Institute of Health Research, conducted by Chalkley et al (2017) found not all patients are referred to secondary care. This is because the cost of fully diagnosing a patient who has a low probability of benefiting from specialist care, is greater than the potential health benefits (Chalkley et al, 2017). </w:t>
      </w:r>
    </w:p>
    <w:p w:rsidR="00000000" w:rsidDel="00000000" w:rsidP="00000000" w:rsidRDefault="00000000" w:rsidRPr="00000000" w14:paraId="00000B56">
      <w:pPr>
        <w:spacing w:line="480" w:lineRule="auto"/>
        <w:jc w:val="both"/>
        <w:rPr>
          <w:sz w:val="22"/>
          <w:szCs w:val="22"/>
        </w:rPr>
      </w:pPr>
      <w:r w:rsidDel="00000000" w:rsidR="00000000" w:rsidRPr="00000000">
        <w:rPr>
          <w:rtl w:val="0"/>
        </w:rPr>
      </w:r>
    </w:p>
    <w:p w:rsidR="00000000" w:rsidDel="00000000" w:rsidP="00000000" w:rsidRDefault="00000000" w:rsidRPr="00000000" w14:paraId="00000B57">
      <w:pPr>
        <w:spacing w:line="480" w:lineRule="auto"/>
        <w:jc w:val="both"/>
        <w:rPr>
          <w:sz w:val="22"/>
          <w:szCs w:val="22"/>
        </w:rPr>
      </w:pPr>
      <w:r w:rsidDel="00000000" w:rsidR="00000000" w:rsidRPr="00000000">
        <w:rPr>
          <w:sz w:val="22"/>
          <w:szCs w:val="22"/>
          <w:rtl w:val="0"/>
        </w:rPr>
        <w:t xml:space="preserve">As argued in the introduction section “</w:t>
      </w:r>
      <w:hyperlink w:anchor="_heading=h.2jxsxqh">
        <w:r w:rsidDel="00000000" w:rsidR="00000000" w:rsidRPr="00000000">
          <w:rPr>
            <w:i w:val="1"/>
            <w:color w:val="467886"/>
            <w:sz w:val="22"/>
            <w:szCs w:val="22"/>
            <w:u w:val="single"/>
            <w:rtl w:val="0"/>
          </w:rPr>
          <w:t xml:space="preserve">Health Burden due to the Dependence on Medicines</w:t>
        </w:r>
      </w:hyperlink>
      <w:r w:rsidDel="00000000" w:rsidR="00000000" w:rsidRPr="00000000">
        <w:rPr>
          <w:sz w:val="22"/>
          <w:szCs w:val="22"/>
          <w:rtl w:val="0"/>
        </w:rPr>
        <w:t xml:space="preserve">” (p. 25) overprescribing and inappropriate prescribing is associated with prescribed drug dependence and associated withdrawal symptoms (Roughead et al 2019, Zin et al 2014, Marsden et al 2019). When a patient identifies a support need for prescribed drug dependence and withdrawal, many GPs are unsure how to manage this (Public Health England 2019, Gill et al 2022). Services such as specialist substance misuse services are not set up to manage prescribed drug dependence, unless these drugs are diverted medication (Public Health England, 2019). Although there are some localised services spread sporadically across England and Wales, most local authorities do not have a dedicated service to manage prescribed drug dependence (Public Health England, 2019). Therefore, it is challenging for practitioners to identify an appropriate service to manage this issue if they feel unable to (Public Health England 2019, Gill et al 2022).</w:t>
      </w:r>
    </w:p>
    <w:p w:rsidR="00000000" w:rsidDel="00000000" w:rsidP="00000000" w:rsidRDefault="00000000" w:rsidRPr="00000000" w14:paraId="00000B58">
      <w:pPr>
        <w:spacing w:line="480" w:lineRule="auto"/>
        <w:jc w:val="both"/>
        <w:rPr>
          <w:sz w:val="22"/>
          <w:szCs w:val="22"/>
        </w:rPr>
      </w:pPr>
      <w:r w:rsidDel="00000000" w:rsidR="00000000" w:rsidRPr="00000000">
        <w:rPr>
          <w:rtl w:val="0"/>
        </w:rPr>
      </w:r>
    </w:p>
    <w:p w:rsidR="00000000" w:rsidDel="00000000" w:rsidP="00000000" w:rsidRDefault="00000000" w:rsidRPr="00000000" w14:paraId="00000B59">
      <w:pPr>
        <w:spacing w:line="480" w:lineRule="auto"/>
        <w:jc w:val="both"/>
        <w:rPr>
          <w:sz w:val="22"/>
          <w:szCs w:val="22"/>
        </w:rPr>
      </w:pPr>
      <w:r w:rsidDel="00000000" w:rsidR="00000000" w:rsidRPr="00000000">
        <w:rPr>
          <w:sz w:val="22"/>
          <w:szCs w:val="22"/>
          <w:rtl w:val="0"/>
        </w:rPr>
        <w:t xml:space="preserve">The cost of secondary care, and health and social care provision overall, is a topic of contention (Wickens and Brown, 2023). A reduction in NHS and social care funding and expenditure, a growing demand for healthcare and a workforce shortage has increased the waiting times for patients, as outlined earlier (Kings Fund, 2022). This was a key issue identified within the data, with </w:t>
      </w:r>
      <w:r w:rsidDel="00000000" w:rsidR="00000000" w:rsidRPr="00000000">
        <w:rPr>
          <w:i w:val="1"/>
          <w:sz w:val="22"/>
          <w:szCs w:val="22"/>
          <w:rtl w:val="0"/>
        </w:rPr>
        <w:t xml:space="preserve">Brandon</w:t>
      </w:r>
      <w:r w:rsidDel="00000000" w:rsidR="00000000" w:rsidRPr="00000000">
        <w:rPr>
          <w:sz w:val="22"/>
          <w:szCs w:val="22"/>
          <w:rtl w:val="0"/>
        </w:rPr>
        <w:t xml:space="preserve"> stating, “</w:t>
      </w:r>
      <w:r w:rsidDel="00000000" w:rsidR="00000000" w:rsidRPr="00000000">
        <w:rPr>
          <w:i w:val="1"/>
          <w:sz w:val="22"/>
          <w:szCs w:val="22"/>
          <w:rtl w:val="0"/>
        </w:rPr>
        <w:t xml:space="preserve">they need more funding, and they need more staff</w:t>
      </w:r>
      <w:r w:rsidDel="00000000" w:rsidR="00000000" w:rsidRPr="00000000">
        <w:rPr>
          <w:sz w:val="22"/>
          <w:szCs w:val="22"/>
          <w:rtl w:val="0"/>
        </w:rPr>
        <w:t xml:space="preserve">” (p. 173). The NHS is facing real terms cut in funding between £4 billion and £9.4 billion in 2022-2023, which has been described as the largest since 1997 (NHS Confederation, 2022). This extends to all areas of the health service, including GP surgeries and specialist cancer treatment. As with the NHS, there has been a reduction in budgets for five consecutive years, despite governmental pledges otherwise (Crawford et al, 2020). This has led to the per-person spending on social care for over sixty-fives to have fallen by 31% (Crawford et al, 2020). </w:t>
      </w:r>
    </w:p>
    <w:p w:rsidR="00000000" w:rsidDel="00000000" w:rsidP="00000000" w:rsidRDefault="00000000" w:rsidRPr="00000000" w14:paraId="00000B5A">
      <w:pPr>
        <w:spacing w:line="480" w:lineRule="auto"/>
        <w:jc w:val="both"/>
        <w:rPr>
          <w:sz w:val="22"/>
          <w:szCs w:val="22"/>
        </w:rPr>
      </w:pPr>
      <w:r w:rsidDel="00000000" w:rsidR="00000000" w:rsidRPr="00000000">
        <w:rPr>
          <w:rtl w:val="0"/>
        </w:rPr>
      </w:r>
    </w:p>
    <w:p w:rsidR="00000000" w:rsidDel="00000000" w:rsidP="00000000" w:rsidRDefault="00000000" w:rsidRPr="00000000" w14:paraId="00000B5B">
      <w:pPr>
        <w:spacing w:line="480" w:lineRule="auto"/>
        <w:jc w:val="both"/>
        <w:rPr>
          <w:sz w:val="22"/>
          <w:szCs w:val="22"/>
        </w:rPr>
      </w:pPr>
      <w:r w:rsidDel="00000000" w:rsidR="00000000" w:rsidRPr="00000000">
        <w:rPr>
          <w:sz w:val="22"/>
          <w:szCs w:val="22"/>
          <w:rtl w:val="0"/>
        </w:rPr>
        <w:t xml:space="preserve">Despite the new Labour Government’s budget published in October 2024 announcing a further £22billion increase in health and social care funding, it is unclear how much health providers will be able to spend on service improvements (Barron and Williamson, 2024). Although welcomed, the chief analyst at The Kings Fund, Siva Anandaciva, suggests the new budget for the Department for Health and Social Care is “</w:t>
      </w:r>
      <w:r w:rsidDel="00000000" w:rsidR="00000000" w:rsidRPr="00000000">
        <w:rPr>
          <w:i w:val="1"/>
          <w:sz w:val="22"/>
          <w:szCs w:val="22"/>
          <w:rtl w:val="0"/>
        </w:rPr>
        <w:t xml:space="preserve">unlikely to drastically improve care over the rest of this year</w:t>
      </w:r>
      <w:r w:rsidDel="00000000" w:rsidR="00000000" w:rsidRPr="00000000">
        <w:rPr>
          <w:sz w:val="22"/>
          <w:szCs w:val="22"/>
          <w:rtl w:val="0"/>
        </w:rPr>
        <w:t xml:space="preserve">” (Kings Fund 2024). </w:t>
      </w:r>
    </w:p>
    <w:p w:rsidR="00000000" w:rsidDel="00000000" w:rsidP="00000000" w:rsidRDefault="00000000" w:rsidRPr="00000000" w14:paraId="00000B5C">
      <w:pPr>
        <w:spacing w:line="480" w:lineRule="auto"/>
        <w:jc w:val="both"/>
        <w:rPr>
          <w:sz w:val="22"/>
          <w:szCs w:val="22"/>
        </w:rPr>
      </w:pPr>
      <w:r w:rsidDel="00000000" w:rsidR="00000000" w:rsidRPr="00000000">
        <w:rPr>
          <w:rtl w:val="0"/>
        </w:rPr>
      </w:r>
    </w:p>
    <w:p w:rsidR="00000000" w:rsidDel="00000000" w:rsidP="00000000" w:rsidRDefault="00000000" w:rsidRPr="00000000" w14:paraId="00000B5D">
      <w:pPr>
        <w:pStyle w:val="Heading3"/>
        <w:spacing w:line="480" w:lineRule="auto"/>
        <w:rPr/>
      </w:pPr>
      <w:bookmarkStart w:colFirst="0" w:colLast="0" w:name="_heading=h.3u2rp3q" w:id="135"/>
      <w:bookmarkEnd w:id="135"/>
      <w:r w:rsidDel="00000000" w:rsidR="00000000" w:rsidRPr="00000000">
        <w:rPr>
          <w:rtl w:val="0"/>
        </w:rPr>
        <w:t xml:space="preserve">Summary</w:t>
      </w:r>
    </w:p>
    <w:p w:rsidR="00000000" w:rsidDel="00000000" w:rsidP="00000000" w:rsidRDefault="00000000" w:rsidRPr="00000000" w14:paraId="00000B5E">
      <w:pPr>
        <w:spacing w:line="480" w:lineRule="auto"/>
        <w:jc w:val="both"/>
        <w:rPr>
          <w:sz w:val="22"/>
          <w:szCs w:val="22"/>
        </w:rPr>
      </w:pPr>
      <w:r w:rsidDel="00000000" w:rsidR="00000000" w:rsidRPr="00000000">
        <w:rPr>
          <w:sz w:val="22"/>
          <w:szCs w:val="22"/>
          <w:rtl w:val="0"/>
        </w:rPr>
        <w:t xml:space="preserve">There is a limited accessibly of alternative treatments typically accessed through secondary care. These include chronic pain and mental health services. Since these services are accessed via the patient’s GP, the role of a “</w:t>
      </w:r>
      <w:r w:rsidDel="00000000" w:rsidR="00000000" w:rsidRPr="00000000">
        <w:rPr>
          <w:i w:val="1"/>
          <w:sz w:val="22"/>
          <w:szCs w:val="22"/>
          <w:rtl w:val="0"/>
        </w:rPr>
        <w:t xml:space="preserve">gatekeeper</w:t>
      </w:r>
      <w:r w:rsidDel="00000000" w:rsidR="00000000" w:rsidRPr="00000000">
        <w:rPr>
          <w:sz w:val="22"/>
          <w:szCs w:val="22"/>
          <w:rtl w:val="0"/>
        </w:rPr>
        <w:t xml:space="preserve">” of care is emphasised (Parsons 1951, Ringberg et al 2014). The literature suggests referrals are made during the initial appointment with the patient’s GP, however nearly 1 in 5 patients were seen at least four times prior to referrals being made. This supports the findings of this research, supporting the participant’s perceived inaccessibility of secondary services. Services to manage patients who are dependent on prescribed medicines specifically, are not provided nationwide (Public Health England 2019, Gill et al 2022). Practitioners who are managing these patients are not designed to manage this patient group, and therefore may find it challenging to support this group (Public Health England 2019, Gill et al 2022).</w:t>
      </w:r>
    </w:p>
    <w:p w:rsidR="00000000" w:rsidDel="00000000" w:rsidP="00000000" w:rsidRDefault="00000000" w:rsidRPr="00000000" w14:paraId="00000B5F">
      <w:pPr>
        <w:spacing w:line="480" w:lineRule="auto"/>
        <w:jc w:val="both"/>
        <w:rPr>
          <w:sz w:val="22"/>
          <w:szCs w:val="22"/>
        </w:rPr>
      </w:pPr>
      <w:r w:rsidDel="00000000" w:rsidR="00000000" w:rsidRPr="00000000">
        <w:rPr>
          <w:rtl w:val="0"/>
        </w:rPr>
      </w:r>
    </w:p>
    <w:p w:rsidR="00000000" w:rsidDel="00000000" w:rsidP="00000000" w:rsidRDefault="00000000" w:rsidRPr="00000000" w14:paraId="00000B60">
      <w:pPr>
        <w:spacing w:line="480" w:lineRule="auto"/>
        <w:jc w:val="both"/>
        <w:rPr>
          <w:sz w:val="22"/>
          <w:szCs w:val="22"/>
        </w:rPr>
      </w:pPr>
      <w:r w:rsidDel="00000000" w:rsidR="00000000" w:rsidRPr="00000000">
        <w:rPr>
          <w:sz w:val="22"/>
          <w:szCs w:val="22"/>
          <w:rtl w:val="0"/>
        </w:rPr>
        <w:t xml:space="preserve">This perceived, and oftentimes actual, inaccessibility of secondary services, however, can be attributed to the systemic issues in which the National Health Service and the Department for Health and Social Care are experiencing. Significant funding cuts and reduction in spending has resulted in several specialist services being decommissioned, and the waiting lists for services that have remained open being described as “</w:t>
      </w:r>
      <w:r w:rsidDel="00000000" w:rsidR="00000000" w:rsidRPr="00000000">
        <w:rPr>
          <w:i w:val="1"/>
          <w:sz w:val="22"/>
          <w:szCs w:val="22"/>
          <w:rtl w:val="0"/>
        </w:rPr>
        <w:t xml:space="preserve">extensive</w:t>
      </w:r>
      <w:r w:rsidDel="00000000" w:rsidR="00000000" w:rsidRPr="00000000">
        <w:rPr>
          <w:sz w:val="22"/>
          <w:szCs w:val="22"/>
          <w:rtl w:val="0"/>
        </w:rPr>
        <w:t xml:space="preserve">”. These waiting lists are tolerated by patients, and this “</w:t>
      </w:r>
      <w:r w:rsidDel="00000000" w:rsidR="00000000" w:rsidRPr="00000000">
        <w:rPr>
          <w:i w:val="1"/>
          <w:sz w:val="22"/>
          <w:szCs w:val="22"/>
          <w:rtl w:val="0"/>
        </w:rPr>
        <w:t xml:space="preserve">willing compliance</w:t>
      </w:r>
      <w:r w:rsidDel="00000000" w:rsidR="00000000" w:rsidRPr="00000000">
        <w:rPr>
          <w:sz w:val="22"/>
          <w:szCs w:val="22"/>
          <w:rtl w:val="0"/>
        </w:rPr>
        <w:t xml:space="preserve">” is further supported by the literature (Reichart and Jacobs 2018, Chu et al 2019, Davies 2019). This can lead to long-term prescribing, and as noted several times throughout this thesis, long-term prescribing is associated with the formation of a dependence (Roughead et al 2019, Zin et al 2014, Marsden et al 2019). Although these concerns regarding the funding allocated to health services are being somewhat alleviated with the new Labour budget, the issues faced by the National Health Service and the Department for Health and Social Care are not expected to improve immediately (Kings Fund, 2022).</w:t>
      </w:r>
    </w:p>
    <w:p w:rsidR="00000000" w:rsidDel="00000000" w:rsidP="00000000" w:rsidRDefault="00000000" w:rsidRPr="00000000" w14:paraId="00000B61">
      <w:pPr>
        <w:spacing w:line="480" w:lineRule="auto"/>
        <w:jc w:val="both"/>
        <w:rPr>
          <w:sz w:val="22"/>
          <w:szCs w:val="22"/>
        </w:rPr>
      </w:pPr>
      <w:r w:rsidDel="00000000" w:rsidR="00000000" w:rsidRPr="00000000">
        <w:rPr>
          <w:rtl w:val="0"/>
        </w:rPr>
      </w:r>
    </w:p>
    <w:p w:rsidR="00000000" w:rsidDel="00000000" w:rsidP="00000000" w:rsidRDefault="00000000" w:rsidRPr="00000000" w14:paraId="00000B62">
      <w:pPr>
        <w:spacing w:line="480" w:lineRule="auto"/>
        <w:jc w:val="both"/>
        <w:rPr>
          <w:sz w:val="22"/>
          <w:szCs w:val="22"/>
        </w:rPr>
      </w:pPr>
      <w:r w:rsidDel="00000000" w:rsidR="00000000" w:rsidRPr="00000000">
        <w:rPr>
          <w:sz w:val="22"/>
          <w:szCs w:val="22"/>
          <w:rtl w:val="0"/>
        </w:rPr>
        <w:t xml:space="preserve">Whilst the individual is waiting for alternative treatment or secondary services, prescribing continues. The practitioner is bound by their means, and if there is an extensive waiting list, or lack of appropriate service to refer the patient to, the practitioner has no choice but to continue prescribing medications that are potentially dependence forming, so the patient is receiving some form of treatment, and the potential advancement of illness is minimised. The findings of this research suggest that where the accessibility of alternative treatment and secondary care is perceived to be, or is indeed, limited, patients will look outside of formal healthcare channels for support. The development of “</w:t>
      </w:r>
      <w:r w:rsidDel="00000000" w:rsidR="00000000" w:rsidRPr="00000000">
        <w:rPr>
          <w:i w:val="1"/>
          <w:sz w:val="22"/>
          <w:szCs w:val="22"/>
          <w:rtl w:val="0"/>
        </w:rPr>
        <w:t xml:space="preserve">lay knowledge</w:t>
      </w:r>
      <w:r w:rsidDel="00000000" w:rsidR="00000000" w:rsidRPr="00000000">
        <w:rPr>
          <w:sz w:val="22"/>
          <w:szCs w:val="22"/>
          <w:rtl w:val="0"/>
        </w:rPr>
        <w:t xml:space="preserve">”, and the use of this within peer support provision will be discussed in the next section. </w:t>
      </w:r>
    </w:p>
    <w:p w:rsidR="00000000" w:rsidDel="00000000" w:rsidP="00000000" w:rsidRDefault="00000000" w:rsidRPr="00000000" w14:paraId="00000B63">
      <w:pPr>
        <w:spacing w:line="480" w:lineRule="auto"/>
        <w:jc w:val="both"/>
        <w:rPr>
          <w:sz w:val="22"/>
          <w:szCs w:val="22"/>
        </w:rPr>
      </w:pPr>
      <w:r w:rsidDel="00000000" w:rsidR="00000000" w:rsidRPr="00000000">
        <w:rPr>
          <w:rtl w:val="0"/>
        </w:rPr>
      </w:r>
    </w:p>
    <w:p w:rsidR="00000000" w:rsidDel="00000000" w:rsidP="00000000" w:rsidRDefault="00000000" w:rsidRPr="00000000" w14:paraId="00000B64">
      <w:pPr>
        <w:pStyle w:val="Heading2"/>
        <w:numPr>
          <w:ilvl w:val="1"/>
          <w:numId w:val="19"/>
        </w:numPr>
        <w:spacing w:line="480" w:lineRule="auto"/>
        <w:ind w:left="720" w:hanging="720"/>
        <w:rPr/>
      </w:pPr>
      <w:bookmarkStart w:colFirst="0" w:colLast="0" w:name="_heading=h.2981zbj" w:id="136"/>
      <w:bookmarkEnd w:id="136"/>
      <w:r w:rsidDel="00000000" w:rsidR="00000000" w:rsidRPr="00000000">
        <w:rPr>
          <w:rtl w:val="0"/>
        </w:rPr>
        <w:t xml:space="preserve">Lay Knowledge and Peer Support</w:t>
      </w:r>
    </w:p>
    <w:p w:rsidR="00000000" w:rsidDel="00000000" w:rsidP="00000000" w:rsidRDefault="00000000" w:rsidRPr="00000000" w14:paraId="00000B65">
      <w:pPr>
        <w:spacing w:line="480" w:lineRule="auto"/>
        <w:jc w:val="both"/>
        <w:rPr>
          <w:sz w:val="22"/>
          <w:szCs w:val="22"/>
        </w:rPr>
      </w:pPr>
      <w:r w:rsidDel="00000000" w:rsidR="00000000" w:rsidRPr="00000000">
        <w:rPr>
          <w:sz w:val="22"/>
          <w:szCs w:val="22"/>
          <w:rtl w:val="0"/>
        </w:rPr>
        <w:t xml:space="preserve">As noted in the findings of this research, patients who report a long history of medicine use are typically more experienced in treatment. This is evidenced through in the “</w:t>
      </w:r>
      <w:hyperlink w:anchor="_heading=h.3vac5uf">
        <w:r w:rsidDel="00000000" w:rsidR="00000000" w:rsidRPr="00000000">
          <w:rPr>
            <w:i w:val="1"/>
            <w:color w:val="467886"/>
            <w:sz w:val="22"/>
            <w:szCs w:val="22"/>
            <w:u w:val="single"/>
            <w:rtl w:val="0"/>
          </w:rPr>
          <w:t xml:space="preserve">Acceptance and Evaluation of Medicines</w:t>
        </w:r>
      </w:hyperlink>
      <w:r w:rsidDel="00000000" w:rsidR="00000000" w:rsidRPr="00000000">
        <w:rPr>
          <w:sz w:val="22"/>
          <w:szCs w:val="22"/>
          <w:rtl w:val="0"/>
        </w:rPr>
        <w:t xml:space="preserve">” chapter (p. 132), particularly in the “</w:t>
      </w:r>
      <w:hyperlink w:anchor="_heading=h.1opuj5n">
        <w:r w:rsidDel="00000000" w:rsidR="00000000" w:rsidRPr="00000000">
          <w:rPr>
            <w:i w:val="1"/>
            <w:color w:val="467886"/>
            <w:sz w:val="22"/>
            <w:szCs w:val="22"/>
            <w:u w:val="single"/>
            <w:rtl w:val="0"/>
          </w:rPr>
          <w:t xml:space="preserve">Choices</w:t>
        </w:r>
      </w:hyperlink>
      <w:r w:rsidDel="00000000" w:rsidR="00000000" w:rsidRPr="00000000">
        <w:rPr>
          <w:sz w:val="22"/>
          <w:szCs w:val="22"/>
          <w:rtl w:val="0"/>
        </w:rPr>
        <w:t xml:space="preserve">” subtheme (p. 135).   Where participants have experience in using medicines, they report understanding what is appropriate for their treatment. This is sometimes referred to as “</w:t>
      </w:r>
      <w:r w:rsidDel="00000000" w:rsidR="00000000" w:rsidRPr="00000000">
        <w:rPr>
          <w:i w:val="1"/>
          <w:sz w:val="22"/>
          <w:szCs w:val="22"/>
          <w:rtl w:val="0"/>
        </w:rPr>
        <w:t xml:space="preserve">Lay Knowledge</w:t>
      </w:r>
      <w:r w:rsidDel="00000000" w:rsidR="00000000" w:rsidRPr="00000000">
        <w:rPr>
          <w:sz w:val="22"/>
          <w:szCs w:val="22"/>
          <w:rtl w:val="0"/>
        </w:rPr>
        <w:t xml:space="preserve">” (Williamson 2018, p.39). This “</w:t>
      </w:r>
      <w:r w:rsidDel="00000000" w:rsidR="00000000" w:rsidRPr="00000000">
        <w:rPr>
          <w:i w:val="1"/>
          <w:sz w:val="22"/>
          <w:szCs w:val="22"/>
          <w:rtl w:val="0"/>
        </w:rPr>
        <w:t xml:space="preserve">lay knowledge</w:t>
      </w:r>
      <w:r w:rsidDel="00000000" w:rsidR="00000000" w:rsidRPr="00000000">
        <w:rPr>
          <w:sz w:val="22"/>
          <w:szCs w:val="22"/>
          <w:rtl w:val="0"/>
        </w:rPr>
        <w:t xml:space="preserve">” is informed by previous medicine use, where these medicines may be necessary, and alternative treatments that may be more appropriate. Williamson (2018, p.39) suggests lay knowledge is a loose body of knowledge originating from:</w:t>
      </w:r>
    </w:p>
    <w:p w:rsidR="00000000" w:rsidDel="00000000" w:rsidP="00000000" w:rsidRDefault="00000000" w:rsidRPr="00000000" w14:paraId="00000B66">
      <w:pPr>
        <w:spacing w:line="480" w:lineRule="auto"/>
        <w:jc w:val="both"/>
        <w:rPr>
          <w:sz w:val="22"/>
          <w:szCs w:val="22"/>
        </w:rPr>
      </w:pPr>
      <w:r w:rsidDel="00000000" w:rsidR="00000000" w:rsidRPr="00000000">
        <w:rPr>
          <w:rtl w:val="0"/>
        </w:rPr>
      </w:r>
    </w:p>
    <w:p w:rsidR="00000000" w:rsidDel="00000000" w:rsidP="00000000" w:rsidRDefault="00000000" w:rsidRPr="00000000" w14:paraId="00000B67">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The experiential aspect of specialised lay knowledge is about the details of patient’ particular experiences, judgements, and wishes in specific specialties or clinical situations.</w:t>
      </w:r>
      <w:r w:rsidDel="00000000" w:rsidR="00000000" w:rsidRPr="00000000">
        <w:rPr>
          <w:sz w:val="22"/>
          <w:szCs w:val="22"/>
          <w:rtl w:val="0"/>
        </w:rPr>
        <w:t xml:space="preserve">”</w:t>
      </w:r>
    </w:p>
    <w:p w:rsidR="00000000" w:rsidDel="00000000" w:rsidP="00000000" w:rsidRDefault="00000000" w:rsidRPr="00000000" w14:paraId="00000B68">
      <w:pPr>
        <w:spacing w:line="480" w:lineRule="auto"/>
        <w:ind w:left="709" w:firstLine="0"/>
        <w:jc w:val="right"/>
        <w:rPr>
          <w:sz w:val="22"/>
          <w:szCs w:val="22"/>
        </w:rPr>
      </w:pPr>
      <w:r w:rsidDel="00000000" w:rsidR="00000000" w:rsidRPr="00000000">
        <w:rPr>
          <w:sz w:val="22"/>
          <w:szCs w:val="22"/>
          <w:rtl w:val="0"/>
        </w:rPr>
        <w:t xml:space="preserve">(Williamson 2018, p.39)</w:t>
      </w:r>
    </w:p>
    <w:p w:rsidR="00000000" w:rsidDel="00000000" w:rsidP="00000000" w:rsidRDefault="00000000" w:rsidRPr="00000000" w14:paraId="00000B69">
      <w:pPr>
        <w:spacing w:line="480" w:lineRule="auto"/>
        <w:jc w:val="both"/>
        <w:rPr>
          <w:sz w:val="22"/>
          <w:szCs w:val="22"/>
        </w:rPr>
      </w:pPr>
      <w:r w:rsidDel="00000000" w:rsidR="00000000" w:rsidRPr="00000000">
        <w:rPr>
          <w:sz w:val="22"/>
          <w:szCs w:val="22"/>
          <w:rtl w:val="0"/>
        </w:rPr>
        <w:t xml:space="preserve">Emphasised in </w:t>
      </w:r>
      <w:hyperlink w:anchor="_heading=h.1302m92">
        <w:r w:rsidDel="00000000" w:rsidR="00000000" w:rsidRPr="00000000">
          <w:rPr>
            <w:color w:val="467886"/>
            <w:sz w:val="22"/>
            <w:szCs w:val="22"/>
            <w:u w:val="single"/>
            <w:rtl w:val="0"/>
          </w:rPr>
          <w:t xml:space="preserve">Chapter Five</w:t>
        </w:r>
      </w:hyperlink>
      <w:r w:rsidDel="00000000" w:rsidR="00000000" w:rsidRPr="00000000">
        <w:rPr>
          <w:sz w:val="22"/>
          <w:szCs w:val="22"/>
          <w:rtl w:val="0"/>
        </w:rPr>
        <w:t xml:space="preserve"> (p. 132), participants who describe a longer treatment history than others report understanding what has “</w:t>
      </w:r>
      <w:r w:rsidDel="00000000" w:rsidR="00000000" w:rsidRPr="00000000">
        <w:rPr>
          <w:i w:val="1"/>
          <w:sz w:val="22"/>
          <w:szCs w:val="22"/>
          <w:rtl w:val="0"/>
        </w:rPr>
        <w:t xml:space="preserve">suited them</w:t>
      </w:r>
      <w:r w:rsidDel="00000000" w:rsidR="00000000" w:rsidRPr="00000000">
        <w:rPr>
          <w:sz w:val="22"/>
          <w:szCs w:val="22"/>
          <w:rtl w:val="0"/>
        </w:rPr>
        <w:t xml:space="preserve">” in the past, whether that be medication or alternative treatments. This knowledge tends to have been gained through the patients’ own experiences of the therapeutic benefits, side effects or withdrawal symptoms, and the wider personal and social implications associated with previous medication use. This knowledge and understanding of the risks and implications of medicines can result in patients seeking out alternative interventions such as mindfulness, lifestyle changes, herbal remedies, and over-the-counter drugs (Cho et al 2021 p.5, Sirdifield et al 2017 p.8, Cheung et al 2015 p.939). This is also apparent when exploring alternatives with their practitioners, as several participants report having engaged in alternative treatments for their health condition that were offered by their healthcare professional. Although these treatments were generally appreciated by participants, they were considered either ineffective or inappropriate. These issues, in turn, have been found to inform future or current decision making in regard to their treatment.</w:t>
      </w:r>
    </w:p>
    <w:p w:rsidR="00000000" w:rsidDel="00000000" w:rsidP="00000000" w:rsidRDefault="00000000" w:rsidRPr="00000000" w14:paraId="00000B6A">
      <w:pPr>
        <w:spacing w:line="480" w:lineRule="auto"/>
        <w:jc w:val="both"/>
        <w:rPr>
          <w:sz w:val="22"/>
          <w:szCs w:val="22"/>
        </w:rPr>
      </w:pPr>
      <w:r w:rsidDel="00000000" w:rsidR="00000000" w:rsidRPr="00000000">
        <w:rPr>
          <w:rtl w:val="0"/>
        </w:rPr>
      </w:r>
    </w:p>
    <w:p w:rsidR="00000000" w:rsidDel="00000000" w:rsidP="00000000" w:rsidRDefault="00000000" w:rsidRPr="00000000" w14:paraId="00000B6B">
      <w:pPr>
        <w:spacing w:line="480" w:lineRule="auto"/>
        <w:jc w:val="both"/>
        <w:rPr>
          <w:color w:val="ff0000"/>
          <w:sz w:val="22"/>
          <w:szCs w:val="22"/>
        </w:rPr>
      </w:pPr>
      <w:r w:rsidDel="00000000" w:rsidR="00000000" w:rsidRPr="00000000">
        <w:rPr>
          <w:sz w:val="22"/>
          <w:szCs w:val="22"/>
          <w:rtl w:val="0"/>
        </w:rPr>
        <w:t xml:space="preserve">This lay knowledge and the patient’s previous history is an important aspect to consider when practicing patient-centred care and shared decision making (Britten and Maguire, 2016). Gaining a “</w:t>
      </w:r>
      <w:r w:rsidDel="00000000" w:rsidR="00000000" w:rsidRPr="00000000">
        <w:rPr>
          <w:i w:val="1"/>
          <w:sz w:val="22"/>
          <w:szCs w:val="22"/>
          <w:rtl w:val="0"/>
        </w:rPr>
        <w:t xml:space="preserve">global understanding</w:t>
      </w:r>
      <w:r w:rsidDel="00000000" w:rsidR="00000000" w:rsidRPr="00000000">
        <w:rPr>
          <w:sz w:val="22"/>
          <w:szCs w:val="22"/>
          <w:rtl w:val="0"/>
        </w:rPr>
        <w:t xml:space="preserve">” of the patient not only takes into consideration the social, psychological, economic and physical environment of the patient, but their “</w:t>
      </w:r>
      <w:r w:rsidDel="00000000" w:rsidR="00000000" w:rsidRPr="00000000">
        <w:rPr>
          <w:i w:val="1"/>
          <w:sz w:val="22"/>
          <w:szCs w:val="22"/>
          <w:rtl w:val="0"/>
        </w:rPr>
        <w:t xml:space="preserve">ideas, concerns and expectations</w:t>
      </w:r>
      <w:r w:rsidDel="00000000" w:rsidR="00000000" w:rsidRPr="00000000">
        <w:rPr>
          <w:sz w:val="22"/>
          <w:szCs w:val="22"/>
          <w:rtl w:val="0"/>
        </w:rPr>
        <w:t xml:space="preserve">” (Roque and Leanza 2015, Tate 2003, Britten and Maguire 2016). Patient centred care, however, has been described as having “</w:t>
      </w:r>
      <w:r w:rsidDel="00000000" w:rsidR="00000000" w:rsidRPr="00000000">
        <w:rPr>
          <w:i w:val="1"/>
          <w:sz w:val="22"/>
          <w:szCs w:val="22"/>
          <w:rtl w:val="0"/>
        </w:rPr>
        <w:t xml:space="preserve">many evangelists but few practitioners</w:t>
      </w:r>
      <w:r w:rsidDel="00000000" w:rsidR="00000000" w:rsidRPr="00000000">
        <w:rPr>
          <w:sz w:val="22"/>
          <w:szCs w:val="22"/>
          <w:rtl w:val="0"/>
        </w:rPr>
        <w:t xml:space="preserve">” (Hawkes 2015, Britten and Maguire 2016). Despite participants reporting some level of practitioner communication in regard to understanding their individual treatment needs, it is evident within the findings that practitioners are perceived to be dominant in their approach, sometimes failing to consider the patient preferences or past experiences. This has led to some participants feeling unsupported, and therefore found healthcare information outside of formal channels. Where this support is perceived to be lacking, peer support has been noted as a valuable resource and is an important avenue for support for those experiencing long-term health conditions, as evidenced in </w:t>
      </w:r>
      <w:r w:rsidDel="00000000" w:rsidR="00000000" w:rsidRPr="00000000">
        <w:rPr>
          <w:i w:val="1"/>
          <w:sz w:val="22"/>
          <w:szCs w:val="22"/>
          <w:rtl w:val="0"/>
        </w:rPr>
        <w:t xml:space="preserve">Georgina</w:t>
      </w:r>
      <w:r w:rsidDel="00000000" w:rsidR="00000000" w:rsidRPr="00000000">
        <w:rPr>
          <w:sz w:val="22"/>
          <w:szCs w:val="22"/>
          <w:rtl w:val="0"/>
        </w:rPr>
        <w:t xml:space="preserve"> and </w:t>
      </w:r>
      <w:r w:rsidDel="00000000" w:rsidR="00000000" w:rsidRPr="00000000">
        <w:rPr>
          <w:i w:val="1"/>
          <w:sz w:val="22"/>
          <w:szCs w:val="22"/>
          <w:rtl w:val="0"/>
        </w:rPr>
        <w:t xml:space="preserve">Imogen’s</w:t>
      </w:r>
      <w:r w:rsidDel="00000000" w:rsidR="00000000" w:rsidRPr="00000000">
        <w:rPr>
          <w:sz w:val="22"/>
          <w:szCs w:val="22"/>
          <w:rtl w:val="0"/>
        </w:rPr>
        <w:t xml:space="preserve"> accounts (NHS England, 2023).</w:t>
      </w:r>
      <w:r w:rsidDel="00000000" w:rsidR="00000000" w:rsidRPr="00000000">
        <w:rPr>
          <w:rtl w:val="0"/>
        </w:rPr>
      </w:r>
    </w:p>
    <w:p w:rsidR="00000000" w:rsidDel="00000000" w:rsidP="00000000" w:rsidRDefault="00000000" w:rsidRPr="00000000" w14:paraId="00000B6C">
      <w:pPr>
        <w:spacing w:line="480" w:lineRule="auto"/>
        <w:jc w:val="both"/>
        <w:rPr>
          <w:sz w:val="22"/>
          <w:szCs w:val="22"/>
        </w:rPr>
      </w:pPr>
      <w:r w:rsidDel="00000000" w:rsidR="00000000" w:rsidRPr="00000000">
        <w:rPr>
          <w:rtl w:val="0"/>
        </w:rPr>
      </w:r>
    </w:p>
    <w:p w:rsidR="00000000" w:rsidDel="00000000" w:rsidP="00000000" w:rsidRDefault="00000000" w:rsidRPr="00000000" w14:paraId="00000B6D">
      <w:pPr>
        <w:spacing w:line="480" w:lineRule="auto"/>
        <w:jc w:val="both"/>
        <w:rPr>
          <w:sz w:val="22"/>
          <w:szCs w:val="22"/>
        </w:rPr>
      </w:pPr>
      <w:r w:rsidDel="00000000" w:rsidR="00000000" w:rsidRPr="00000000">
        <w:rPr>
          <w:sz w:val="22"/>
          <w:szCs w:val="22"/>
          <w:rtl w:val="0"/>
        </w:rPr>
        <w:t xml:space="preserve">Peer support has been found to promote recovery and enhance self-determination and patient choice (Zisman-Ilani and Byrne 2023, p.4). This may be in formal settings, as suggested by </w:t>
      </w:r>
      <w:r w:rsidDel="00000000" w:rsidR="00000000" w:rsidRPr="00000000">
        <w:rPr>
          <w:i w:val="1"/>
          <w:sz w:val="22"/>
          <w:szCs w:val="22"/>
          <w:rtl w:val="0"/>
        </w:rPr>
        <w:t xml:space="preserve">Georgina</w:t>
      </w:r>
      <w:r w:rsidDel="00000000" w:rsidR="00000000" w:rsidRPr="00000000">
        <w:rPr>
          <w:sz w:val="22"/>
          <w:szCs w:val="22"/>
          <w:rtl w:val="0"/>
        </w:rPr>
        <w:t xml:space="preserve">, or through informal channels such as chronic pain communities online as noted by </w:t>
      </w:r>
      <w:r w:rsidDel="00000000" w:rsidR="00000000" w:rsidRPr="00000000">
        <w:rPr>
          <w:i w:val="1"/>
          <w:sz w:val="22"/>
          <w:szCs w:val="22"/>
          <w:rtl w:val="0"/>
        </w:rPr>
        <w:t xml:space="preserve">Imogen.</w:t>
      </w:r>
      <w:r w:rsidDel="00000000" w:rsidR="00000000" w:rsidRPr="00000000">
        <w:rPr>
          <w:sz w:val="22"/>
          <w:szCs w:val="22"/>
          <w:rtl w:val="0"/>
        </w:rPr>
        <w:t xml:space="preserve"> In clinical practice, there is a movement within health services to utilise the lived experience of individuals through peer support schemes. Lived experience is defined as: </w:t>
      </w:r>
    </w:p>
    <w:p w:rsidR="00000000" w:rsidDel="00000000" w:rsidP="00000000" w:rsidRDefault="00000000" w:rsidRPr="00000000" w14:paraId="00000B6E">
      <w:pPr>
        <w:spacing w:line="480" w:lineRule="auto"/>
        <w:jc w:val="both"/>
        <w:rPr>
          <w:sz w:val="22"/>
          <w:szCs w:val="22"/>
        </w:rPr>
      </w:pPr>
      <w:r w:rsidDel="00000000" w:rsidR="00000000" w:rsidRPr="00000000">
        <w:rPr>
          <w:rtl w:val="0"/>
        </w:rPr>
      </w:r>
    </w:p>
    <w:p w:rsidR="00000000" w:rsidDel="00000000" w:rsidP="00000000" w:rsidRDefault="00000000" w:rsidRPr="00000000" w14:paraId="00000B6F">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Personal knowledge about the world gained through direct, first-hand involvement in everyday events rather than through representations constructed by other people</w:t>
      </w:r>
      <w:r w:rsidDel="00000000" w:rsidR="00000000" w:rsidRPr="00000000">
        <w:rPr>
          <w:sz w:val="22"/>
          <w:szCs w:val="22"/>
          <w:rtl w:val="0"/>
        </w:rPr>
        <w:t xml:space="preserve">.”</w:t>
      </w:r>
    </w:p>
    <w:p w:rsidR="00000000" w:rsidDel="00000000" w:rsidP="00000000" w:rsidRDefault="00000000" w:rsidRPr="00000000" w14:paraId="00000B70">
      <w:pPr>
        <w:spacing w:line="480" w:lineRule="auto"/>
        <w:jc w:val="right"/>
        <w:rPr>
          <w:sz w:val="22"/>
          <w:szCs w:val="22"/>
        </w:rPr>
      </w:pPr>
      <w:r w:rsidDel="00000000" w:rsidR="00000000" w:rsidRPr="00000000">
        <w:rPr>
          <w:sz w:val="22"/>
          <w:szCs w:val="22"/>
          <w:rtl w:val="0"/>
        </w:rPr>
        <w:t xml:space="preserve">(Oxford Reference, 2023)</w:t>
      </w:r>
    </w:p>
    <w:p w:rsidR="00000000" w:rsidDel="00000000" w:rsidP="00000000" w:rsidRDefault="00000000" w:rsidRPr="00000000" w14:paraId="00000B71">
      <w:pPr>
        <w:spacing w:line="480" w:lineRule="auto"/>
        <w:jc w:val="right"/>
        <w:rPr>
          <w:sz w:val="22"/>
          <w:szCs w:val="22"/>
        </w:rPr>
      </w:pPr>
      <w:r w:rsidDel="00000000" w:rsidR="00000000" w:rsidRPr="00000000">
        <w:rPr>
          <w:rtl w:val="0"/>
        </w:rPr>
      </w:r>
    </w:p>
    <w:p w:rsidR="00000000" w:rsidDel="00000000" w:rsidP="00000000" w:rsidRDefault="00000000" w:rsidRPr="00000000" w14:paraId="00000B72">
      <w:pPr>
        <w:spacing w:line="480" w:lineRule="auto"/>
        <w:jc w:val="both"/>
        <w:rPr>
          <w:sz w:val="22"/>
          <w:szCs w:val="22"/>
        </w:rPr>
      </w:pPr>
      <w:r w:rsidDel="00000000" w:rsidR="00000000" w:rsidRPr="00000000">
        <w:rPr>
          <w:sz w:val="22"/>
          <w:szCs w:val="22"/>
          <w:rtl w:val="0"/>
        </w:rPr>
        <w:t xml:space="preserve">The use of lived experience and peer support has gained popularity in recent years, particularly in the field of mental health, suicide prevention, and substance misuse services (Schlinchthorst et al 2020). Peer support has been associated with improvements in mental health and treatment engagement, a reduction in isolation and stigma, mitigate unhelpful medical experiences, and can “</w:t>
      </w:r>
      <w:r w:rsidDel="00000000" w:rsidR="00000000" w:rsidRPr="00000000">
        <w:rPr>
          <w:i w:val="1"/>
          <w:sz w:val="22"/>
          <w:szCs w:val="22"/>
          <w:rtl w:val="0"/>
        </w:rPr>
        <w:t xml:space="preserve">promote recovery at an individual and organisational level</w:t>
      </w:r>
      <w:r w:rsidDel="00000000" w:rsidR="00000000" w:rsidRPr="00000000">
        <w:rPr>
          <w:sz w:val="22"/>
          <w:szCs w:val="22"/>
          <w:rtl w:val="0"/>
        </w:rPr>
        <w:t xml:space="preserve">” (Richard et al 2022, Tracey and Wallace 2016, Sun et al 2022, Rice et al 2022, Watson 2017, Kinnaird et al 2019, p. 6). This support can go further, towards patient activism. These patient activists, defined as somebody who:</w:t>
      </w:r>
    </w:p>
    <w:p w:rsidR="00000000" w:rsidDel="00000000" w:rsidP="00000000" w:rsidRDefault="00000000" w:rsidRPr="00000000" w14:paraId="00000B73">
      <w:pPr>
        <w:spacing w:line="480" w:lineRule="auto"/>
        <w:jc w:val="both"/>
        <w:rPr>
          <w:sz w:val="22"/>
          <w:szCs w:val="22"/>
        </w:rPr>
      </w:pPr>
      <w:r w:rsidDel="00000000" w:rsidR="00000000" w:rsidRPr="00000000">
        <w:rPr>
          <w:rtl w:val="0"/>
        </w:rPr>
      </w:r>
    </w:p>
    <w:p w:rsidR="00000000" w:rsidDel="00000000" w:rsidP="00000000" w:rsidRDefault="00000000" w:rsidRPr="00000000" w14:paraId="00000B74">
      <w:pPr>
        <w:spacing w:line="480" w:lineRule="auto"/>
        <w:ind w:left="709" w:firstLine="0"/>
        <w:jc w:val="both"/>
        <w:rPr>
          <w:sz w:val="22"/>
          <w:szCs w:val="22"/>
        </w:rPr>
      </w:pPr>
      <w:r w:rsidDel="00000000" w:rsidR="00000000" w:rsidRPr="00000000">
        <w:rPr>
          <w:sz w:val="22"/>
          <w:szCs w:val="22"/>
          <w:rtl w:val="0"/>
        </w:rPr>
        <w:t xml:space="preserve">“</w:t>
      </w:r>
      <w:r w:rsidDel="00000000" w:rsidR="00000000" w:rsidRPr="00000000">
        <w:rPr>
          <w:i w:val="1"/>
          <w:sz w:val="22"/>
          <w:szCs w:val="22"/>
          <w:rtl w:val="0"/>
        </w:rPr>
        <w:t xml:space="preserve">Consistently engage[s] in opposing the status quo of current healthcare practices and standards, if they think that they harm patients’ interests.</w:t>
      </w:r>
      <w:r w:rsidDel="00000000" w:rsidR="00000000" w:rsidRPr="00000000">
        <w:rPr>
          <w:sz w:val="22"/>
          <w:szCs w:val="22"/>
          <w:rtl w:val="0"/>
        </w:rPr>
        <w:t xml:space="preserve">” </w:t>
      </w:r>
    </w:p>
    <w:p w:rsidR="00000000" w:rsidDel="00000000" w:rsidP="00000000" w:rsidRDefault="00000000" w:rsidRPr="00000000" w14:paraId="00000B75">
      <w:pPr>
        <w:spacing w:line="480" w:lineRule="auto"/>
        <w:jc w:val="right"/>
        <w:rPr>
          <w:b w:val="1"/>
          <w:sz w:val="22"/>
          <w:szCs w:val="22"/>
        </w:rPr>
      </w:pPr>
      <w:r w:rsidDel="00000000" w:rsidR="00000000" w:rsidRPr="00000000">
        <w:rPr>
          <w:sz w:val="22"/>
          <w:szCs w:val="22"/>
          <w:rtl w:val="0"/>
        </w:rPr>
        <w:t xml:space="preserve">(Williamson, 2010)</w:t>
      </w:r>
      <w:r w:rsidDel="00000000" w:rsidR="00000000" w:rsidRPr="00000000">
        <w:rPr>
          <w:rtl w:val="0"/>
        </w:rPr>
      </w:r>
    </w:p>
    <w:p w:rsidR="00000000" w:rsidDel="00000000" w:rsidP="00000000" w:rsidRDefault="00000000" w:rsidRPr="00000000" w14:paraId="00000B76">
      <w:pPr>
        <w:spacing w:line="480" w:lineRule="auto"/>
        <w:jc w:val="right"/>
        <w:rPr>
          <w:b w:val="1"/>
          <w:sz w:val="22"/>
          <w:szCs w:val="22"/>
        </w:rPr>
      </w:pPr>
      <w:r w:rsidDel="00000000" w:rsidR="00000000" w:rsidRPr="00000000">
        <w:rPr>
          <w:rtl w:val="0"/>
        </w:rPr>
      </w:r>
    </w:p>
    <w:p w:rsidR="00000000" w:rsidDel="00000000" w:rsidP="00000000" w:rsidRDefault="00000000" w:rsidRPr="00000000" w14:paraId="00000B77">
      <w:pPr>
        <w:spacing w:line="480" w:lineRule="auto"/>
        <w:jc w:val="both"/>
        <w:rPr>
          <w:sz w:val="22"/>
          <w:szCs w:val="22"/>
        </w:rPr>
      </w:pPr>
      <w:r w:rsidDel="00000000" w:rsidR="00000000" w:rsidRPr="00000000">
        <w:rPr>
          <w:sz w:val="22"/>
          <w:szCs w:val="22"/>
          <w:rtl w:val="0"/>
        </w:rPr>
        <w:t xml:space="preserve">When discussing the use of medicines, Maguire (in Britten and Maguire, 2016) found one patient interviewed for her PhD study moved towards patient activism, as a result of harms associated with her medicine use (Maguire, 2014). Williamson (2010) argue these patient activists do constitute a recognised social movement, however, typically focus on a “</w:t>
      </w:r>
      <w:r w:rsidDel="00000000" w:rsidR="00000000" w:rsidRPr="00000000">
        <w:rPr>
          <w:i w:val="1"/>
          <w:sz w:val="22"/>
          <w:szCs w:val="22"/>
          <w:rtl w:val="0"/>
        </w:rPr>
        <w:t xml:space="preserve">narrow range of patient issues</w:t>
      </w:r>
      <w:r w:rsidDel="00000000" w:rsidR="00000000" w:rsidRPr="00000000">
        <w:rPr>
          <w:sz w:val="22"/>
          <w:szCs w:val="22"/>
          <w:rtl w:val="0"/>
        </w:rPr>
        <w:t xml:space="preserve">” (Britten and Maguire, 2016). This has been evidenced in the findings of this research, with </w:t>
      </w:r>
      <w:r w:rsidDel="00000000" w:rsidR="00000000" w:rsidRPr="00000000">
        <w:rPr>
          <w:i w:val="1"/>
          <w:sz w:val="22"/>
          <w:szCs w:val="22"/>
          <w:rtl w:val="0"/>
        </w:rPr>
        <w:t xml:space="preserve">Georgina’s</w:t>
      </w:r>
      <w:r w:rsidDel="00000000" w:rsidR="00000000" w:rsidRPr="00000000">
        <w:rPr>
          <w:sz w:val="22"/>
          <w:szCs w:val="22"/>
          <w:rtl w:val="0"/>
        </w:rPr>
        <w:t xml:space="preserve"> movement towards a career in pain management coaching and patient advocacy, due to the perceived lack of support for this patient group (p. 189).</w:t>
      </w:r>
      <w:r w:rsidDel="00000000" w:rsidR="00000000" w:rsidRPr="00000000">
        <w:rPr>
          <w:b w:val="1"/>
          <w:sz w:val="22"/>
          <w:szCs w:val="22"/>
          <w:rtl w:val="0"/>
        </w:rPr>
        <w:t xml:space="preserve"> </w:t>
      </w:r>
      <w:r w:rsidDel="00000000" w:rsidR="00000000" w:rsidRPr="00000000">
        <w:rPr>
          <w:sz w:val="22"/>
          <w:szCs w:val="22"/>
          <w:rtl w:val="0"/>
        </w:rPr>
        <w:t xml:space="preserve">The literature suggests utilising those with lived experience should be an integral component of deprescribing services, in order to provide both patients and practitioners support in the tapering process (Cooper et al 2023, p. 12-14).  </w:t>
      </w:r>
    </w:p>
    <w:p w:rsidR="00000000" w:rsidDel="00000000" w:rsidP="00000000" w:rsidRDefault="00000000" w:rsidRPr="00000000" w14:paraId="00000B78">
      <w:pPr>
        <w:spacing w:line="480" w:lineRule="auto"/>
        <w:jc w:val="both"/>
        <w:rPr>
          <w:b w:val="1"/>
          <w:sz w:val="22"/>
          <w:szCs w:val="22"/>
        </w:rPr>
      </w:pPr>
      <w:r w:rsidDel="00000000" w:rsidR="00000000" w:rsidRPr="00000000">
        <w:rPr>
          <w:rtl w:val="0"/>
        </w:rPr>
      </w:r>
    </w:p>
    <w:p w:rsidR="00000000" w:rsidDel="00000000" w:rsidP="00000000" w:rsidRDefault="00000000" w:rsidRPr="00000000" w14:paraId="00000B79">
      <w:pPr>
        <w:spacing w:line="480" w:lineRule="auto"/>
        <w:jc w:val="both"/>
        <w:rPr>
          <w:sz w:val="22"/>
          <w:szCs w:val="22"/>
        </w:rPr>
      </w:pPr>
      <w:r w:rsidDel="00000000" w:rsidR="00000000" w:rsidRPr="00000000">
        <w:rPr>
          <w:sz w:val="22"/>
          <w:szCs w:val="22"/>
          <w:rtl w:val="0"/>
        </w:rPr>
        <w:t xml:space="preserve">The benefits of peer support are also evident when discussing online peer support, again evidenced by </w:t>
      </w:r>
      <w:r w:rsidDel="00000000" w:rsidR="00000000" w:rsidRPr="00000000">
        <w:rPr>
          <w:i w:val="1"/>
          <w:sz w:val="22"/>
          <w:szCs w:val="22"/>
          <w:rtl w:val="0"/>
        </w:rPr>
        <w:t xml:space="preserve">Imogen</w:t>
      </w:r>
      <w:r w:rsidDel="00000000" w:rsidR="00000000" w:rsidRPr="00000000">
        <w:rPr>
          <w:sz w:val="22"/>
          <w:szCs w:val="22"/>
          <w:rtl w:val="0"/>
        </w:rPr>
        <w:t xml:space="preserve"> who notes the benefits of chronic illness communities. Moorhead et al (2013) found six overarching benefits of online health communities:</w:t>
      </w:r>
    </w:p>
    <w:p w:rsidR="00000000" w:rsidDel="00000000" w:rsidP="00000000" w:rsidRDefault="00000000" w:rsidRPr="00000000" w14:paraId="00000B7A">
      <w:pPr>
        <w:spacing w:line="480" w:lineRule="auto"/>
        <w:jc w:val="both"/>
        <w:rPr>
          <w:sz w:val="22"/>
          <w:szCs w:val="22"/>
        </w:rPr>
      </w:pPr>
      <w:r w:rsidDel="00000000" w:rsidR="00000000" w:rsidRPr="00000000">
        <w:rPr>
          <w:rtl w:val="0"/>
        </w:rPr>
      </w:r>
    </w:p>
    <w:p w:rsidR="00000000" w:rsidDel="00000000" w:rsidP="00000000" w:rsidRDefault="00000000" w:rsidRPr="00000000" w14:paraId="00000B7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Increased interactions with others</w:t>
      </w:r>
      <w:r w:rsidDel="00000000" w:rsidR="00000000" w:rsidRPr="00000000">
        <w:rPr>
          <w:rtl w:val="0"/>
        </w:rPr>
      </w:r>
    </w:p>
    <w:p w:rsidR="00000000" w:rsidDel="00000000" w:rsidP="00000000" w:rsidRDefault="00000000" w:rsidRPr="00000000" w14:paraId="00000B7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More available, shared, and tailored information</w:t>
      </w:r>
      <w:r w:rsidDel="00000000" w:rsidR="00000000" w:rsidRPr="00000000">
        <w:rPr>
          <w:rtl w:val="0"/>
        </w:rPr>
      </w:r>
    </w:p>
    <w:p w:rsidR="00000000" w:rsidDel="00000000" w:rsidP="00000000" w:rsidRDefault="00000000" w:rsidRPr="00000000" w14:paraId="00000B7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Increased accessibility and widening access to health information</w:t>
      </w:r>
      <w:r w:rsidDel="00000000" w:rsidR="00000000" w:rsidRPr="00000000">
        <w:rPr>
          <w:rtl w:val="0"/>
        </w:rPr>
      </w:r>
    </w:p>
    <w:p w:rsidR="00000000" w:rsidDel="00000000" w:rsidP="00000000" w:rsidRDefault="00000000" w:rsidRPr="00000000" w14:paraId="00000B7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Peer/social/emotional support</w:t>
      </w:r>
      <w:r w:rsidDel="00000000" w:rsidR="00000000" w:rsidRPr="00000000">
        <w:rPr>
          <w:rtl w:val="0"/>
        </w:rPr>
      </w:r>
    </w:p>
    <w:p w:rsidR="00000000" w:rsidDel="00000000" w:rsidP="00000000" w:rsidRDefault="00000000" w:rsidRPr="00000000" w14:paraId="00000B7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Public health surveillance, and </w:t>
      </w:r>
      <w:r w:rsidDel="00000000" w:rsidR="00000000" w:rsidRPr="00000000">
        <w:rPr>
          <w:rtl w:val="0"/>
        </w:rPr>
      </w:r>
    </w:p>
    <w:p w:rsidR="00000000" w:rsidDel="00000000" w:rsidP="00000000" w:rsidRDefault="00000000" w:rsidRPr="00000000" w14:paraId="00000B8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highlight w:val="white"/>
          <w:u w:val="none"/>
          <w:vertAlign w:val="baseline"/>
          <w:rtl w:val="0"/>
        </w:rPr>
        <w:t xml:space="preserve">Potential to influence</w:t>
      </w:r>
      <w:r w:rsidDel="00000000" w:rsidR="00000000" w:rsidRPr="00000000">
        <w:rPr>
          <w:rtl w:val="0"/>
        </w:rPr>
      </w:r>
    </w:p>
    <w:p w:rsidR="00000000" w:rsidDel="00000000" w:rsidP="00000000" w:rsidRDefault="00000000" w:rsidRPr="00000000" w14:paraId="00000B81">
      <w:pPr>
        <w:spacing w:line="480" w:lineRule="auto"/>
        <w:jc w:val="right"/>
        <w:rPr>
          <w:sz w:val="22"/>
          <w:szCs w:val="22"/>
        </w:rPr>
      </w:pPr>
      <w:r w:rsidDel="00000000" w:rsidR="00000000" w:rsidRPr="00000000">
        <w:rPr>
          <w:sz w:val="22"/>
          <w:szCs w:val="22"/>
          <w:rtl w:val="0"/>
        </w:rPr>
        <w:t xml:space="preserve">(Moorhead et al, 2013)</w:t>
      </w:r>
    </w:p>
    <w:p w:rsidR="00000000" w:rsidDel="00000000" w:rsidP="00000000" w:rsidRDefault="00000000" w:rsidRPr="00000000" w14:paraId="00000B82">
      <w:pPr>
        <w:spacing w:line="480" w:lineRule="auto"/>
        <w:jc w:val="right"/>
        <w:rPr>
          <w:sz w:val="22"/>
          <w:szCs w:val="22"/>
        </w:rPr>
      </w:pPr>
      <w:r w:rsidDel="00000000" w:rsidR="00000000" w:rsidRPr="00000000">
        <w:rPr>
          <w:rtl w:val="0"/>
        </w:rPr>
      </w:r>
    </w:p>
    <w:p w:rsidR="00000000" w:rsidDel="00000000" w:rsidP="00000000" w:rsidRDefault="00000000" w:rsidRPr="00000000" w14:paraId="00000B83">
      <w:pPr>
        <w:spacing w:line="480" w:lineRule="auto"/>
        <w:jc w:val="both"/>
        <w:rPr>
          <w:sz w:val="22"/>
          <w:szCs w:val="22"/>
        </w:rPr>
      </w:pPr>
      <w:r w:rsidDel="00000000" w:rsidR="00000000" w:rsidRPr="00000000">
        <w:rPr>
          <w:sz w:val="22"/>
          <w:szCs w:val="22"/>
          <w:rtl w:val="0"/>
        </w:rPr>
        <w:t xml:space="preserve">Accessing online support has been found to extend to all aspects of healthcare (Chu et al, 2017), and even discourse around harm reduction advice in illicit drug use (El-Bassel et al, 2022). Examples of online peer support communities include informatic videos on YouTube or engaging in conversation with other social media users (Naslund et al, 2016). Online health community users report receiving emotional support and advice from others, as evidenced by </w:t>
      </w:r>
      <w:r w:rsidDel="00000000" w:rsidR="00000000" w:rsidRPr="00000000">
        <w:rPr>
          <w:i w:val="1"/>
          <w:sz w:val="22"/>
          <w:szCs w:val="22"/>
          <w:rtl w:val="0"/>
        </w:rPr>
        <w:t xml:space="preserve">Georgina </w:t>
      </w:r>
      <w:r w:rsidDel="00000000" w:rsidR="00000000" w:rsidRPr="00000000">
        <w:rPr>
          <w:sz w:val="22"/>
          <w:szCs w:val="22"/>
          <w:rtl w:val="0"/>
        </w:rPr>
        <w:t xml:space="preserve">and </w:t>
      </w:r>
      <w:r w:rsidDel="00000000" w:rsidR="00000000" w:rsidRPr="00000000">
        <w:rPr>
          <w:i w:val="1"/>
          <w:sz w:val="22"/>
          <w:szCs w:val="22"/>
          <w:rtl w:val="0"/>
        </w:rPr>
        <w:t xml:space="preserve">Imogen’s </w:t>
      </w:r>
      <w:r w:rsidDel="00000000" w:rsidR="00000000" w:rsidRPr="00000000">
        <w:rPr>
          <w:sz w:val="22"/>
          <w:szCs w:val="22"/>
          <w:rtl w:val="0"/>
        </w:rPr>
        <w:t xml:space="preserve">discussion around online peer support for pain management (Wicks et al, 2010). Since the beginning of the COVID-19 pandemic, there was a 50% increase in the daily use of online peer support communities (Merchant et al, 2022). Online peer support is generally accessible, and for those who are unable to attend medical appointments or are unable or feel uncomfortable accessing traditional peer support services (Gerritzen et al 2023, Rodrigues-Cayro 2017). </w:t>
      </w:r>
    </w:p>
    <w:p w:rsidR="00000000" w:rsidDel="00000000" w:rsidP="00000000" w:rsidRDefault="00000000" w:rsidRPr="00000000" w14:paraId="00000B84">
      <w:pPr>
        <w:spacing w:line="480" w:lineRule="auto"/>
        <w:jc w:val="both"/>
        <w:rPr>
          <w:sz w:val="22"/>
          <w:szCs w:val="22"/>
        </w:rPr>
      </w:pPr>
      <w:r w:rsidDel="00000000" w:rsidR="00000000" w:rsidRPr="00000000">
        <w:rPr>
          <w:rtl w:val="0"/>
        </w:rPr>
      </w:r>
    </w:p>
    <w:p w:rsidR="00000000" w:rsidDel="00000000" w:rsidP="00000000" w:rsidRDefault="00000000" w:rsidRPr="00000000" w14:paraId="00000B85">
      <w:pPr>
        <w:spacing w:line="480" w:lineRule="auto"/>
        <w:jc w:val="both"/>
        <w:rPr>
          <w:sz w:val="22"/>
          <w:szCs w:val="22"/>
        </w:rPr>
      </w:pPr>
      <w:r w:rsidDel="00000000" w:rsidR="00000000" w:rsidRPr="00000000">
        <w:rPr>
          <w:sz w:val="22"/>
          <w:szCs w:val="22"/>
          <w:rtl w:val="0"/>
        </w:rPr>
        <w:t xml:space="preserve">One example of an online peer support group includes a collective known as “</w:t>
      </w:r>
      <w:r w:rsidDel="00000000" w:rsidR="00000000" w:rsidRPr="00000000">
        <w:rPr>
          <w:i w:val="1"/>
          <w:sz w:val="22"/>
          <w:szCs w:val="22"/>
          <w:rtl w:val="0"/>
        </w:rPr>
        <w:t xml:space="preserve">The Council of Bens</w:t>
      </w:r>
      <w:r w:rsidDel="00000000" w:rsidR="00000000" w:rsidRPr="00000000">
        <w:rPr>
          <w:sz w:val="22"/>
          <w:szCs w:val="22"/>
          <w:rtl w:val="0"/>
        </w:rPr>
        <w:t xml:space="preserve">”, that initially came together at a music festival in 2023, has grown into a nationwide community of three thousand members (DJ Mag, 2024). Within this, there are subgroups supporting intersections of society, such as the LGBTQ+ community to “</w:t>
      </w:r>
      <w:r w:rsidDel="00000000" w:rsidR="00000000" w:rsidRPr="00000000">
        <w:rPr>
          <w:i w:val="1"/>
          <w:sz w:val="22"/>
          <w:szCs w:val="22"/>
          <w:rtl w:val="0"/>
        </w:rPr>
        <w:t xml:space="preserve">express their interests and ideas in a healthy and supportive space</w:t>
      </w:r>
      <w:r w:rsidDel="00000000" w:rsidR="00000000" w:rsidRPr="00000000">
        <w:rPr>
          <w:sz w:val="22"/>
          <w:szCs w:val="22"/>
          <w:rtl w:val="0"/>
        </w:rPr>
        <w:t xml:space="preserve">” (DJ Mag, 2024). Members of this group are encouraged to reach out to other members for support around their mental health, or “</w:t>
      </w:r>
      <w:r w:rsidDel="00000000" w:rsidR="00000000" w:rsidRPr="00000000">
        <w:rPr>
          <w:i w:val="1"/>
          <w:sz w:val="22"/>
          <w:szCs w:val="22"/>
          <w:rtl w:val="0"/>
        </w:rPr>
        <w:t xml:space="preserve">Bental Health</w:t>
      </w:r>
      <w:r w:rsidDel="00000000" w:rsidR="00000000" w:rsidRPr="00000000">
        <w:rPr>
          <w:sz w:val="22"/>
          <w:szCs w:val="22"/>
          <w:rtl w:val="0"/>
        </w:rPr>
        <w:t xml:space="preserve">”, which is a key area of concern for the group’s founder (Skolnick, 2024). This community has organised several events, focussed on raising money for the mental health charity Mind, and a community centre based in Sheffield supporting those experiencing poor mental health and substance use difficulties (DJ Mag, 2024).  Furthermore, marginalised communities and those who identify as belonging to several intersections of society can experience more stigma (Carr 2014, Meridian 2023). Examples of these communities that can benefit hugely from peer support include the BAMER (Black, Asian Minority Ethnic and Refugee), and the LGBTQIA+ communities (Carr 2014, Meridian 2023).</w:t>
      </w:r>
    </w:p>
    <w:p w:rsidR="00000000" w:rsidDel="00000000" w:rsidP="00000000" w:rsidRDefault="00000000" w:rsidRPr="00000000" w14:paraId="00000B86">
      <w:pPr>
        <w:spacing w:line="480" w:lineRule="auto"/>
        <w:jc w:val="both"/>
        <w:rPr>
          <w:sz w:val="22"/>
          <w:szCs w:val="22"/>
        </w:rPr>
      </w:pPr>
      <w:r w:rsidDel="00000000" w:rsidR="00000000" w:rsidRPr="00000000">
        <w:rPr>
          <w:rtl w:val="0"/>
        </w:rPr>
      </w:r>
    </w:p>
    <w:p w:rsidR="00000000" w:rsidDel="00000000" w:rsidP="00000000" w:rsidRDefault="00000000" w:rsidRPr="00000000" w14:paraId="00000B87">
      <w:pPr>
        <w:spacing w:line="480" w:lineRule="auto"/>
        <w:jc w:val="both"/>
        <w:rPr>
          <w:sz w:val="22"/>
          <w:szCs w:val="22"/>
        </w:rPr>
      </w:pPr>
      <w:r w:rsidDel="00000000" w:rsidR="00000000" w:rsidRPr="00000000">
        <w:rPr>
          <w:sz w:val="22"/>
          <w:szCs w:val="22"/>
          <w:rtl w:val="0"/>
        </w:rPr>
        <w:t xml:space="preserve">In the context of the sick role, however, this lay knowledge and peer support can in fact erode medical authenticity. It moves the validation emphasised by Parsons from medical professionals to the wider community. As noted in </w:t>
      </w:r>
      <w:hyperlink w:anchor="_heading=h.1pxezwc">
        <w:r w:rsidDel="00000000" w:rsidR="00000000" w:rsidRPr="00000000">
          <w:rPr>
            <w:color w:val="467886"/>
            <w:sz w:val="22"/>
            <w:szCs w:val="22"/>
            <w:u w:val="single"/>
            <w:rtl w:val="0"/>
          </w:rPr>
          <w:t xml:space="preserve">Chapter Two</w:t>
        </w:r>
      </w:hyperlink>
      <w:r w:rsidDel="00000000" w:rsidR="00000000" w:rsidRPr="00000000">
        <w:rPr>
          <w:sz w:val="22"/>
          <w:szCs w:val="22"/>
          <w:rtl w:val="0"/>
        </w:rPr>
        <w:t xml:space="preserve"> (p. 51), this concept of peer-validation supports the notion of “</w:t>
      </w:r>
      <w:r w:rsidDel="00000000" w:rsidR="00000000" w:rsidRPr="00000000">
        <w:rPr>
          <w:i w:val="1"/>
          <w:sz w:val="22"/>
          <w:szCs w:val="22"/>
          <w:rtl w:val="0"/>
        </w:rPr>
        <w:t xml:space="preserve">lay referrals</w:t>
      </w:r>
      <w:r w:rsidDel="00000000" w:rsidR="00000000" w:rsidRPr="00000000">
        <w:rPr>
          <w:sz w:val="22"/>
          <w:szCs w:val="22"/>
          <w:rtl w:val="0"/>
        </w:rPr>
        <w:t xml:space="preserve">” as described by Friedson (1970), who suggested individuals seek advice from their friends and family members. Peer support and “</w:t>
      </w:r>
      <w:r w:rsidDel="00000000" w:rsidR="00000000" w:rsidRPr="00000000">
        <w:rPr>
          <w:i w:val="1"/>
          <w:sz w:val="22"/>
          <w:szCs w:val="22"/>
          <w:rtl w:val="0"/>
        </w:rPr>
        <w:t xml:space="preserve">lay referrals</w:t>
      </w:r>
      <w:r w:rsidDel="00000000" w:rsidR="00000000" w:rsidRPr="00000000">
        <w:rPr>
          <w:sz w:val="22"/>
          <w:szCs w:val="22"/>
          <w:rtl w:val="0"/>
        </w:rPr>
        <w:t xml:space="preserve">” cannot, however, provide legitimisation for those who require exemption from social obligations. As previously explored, individuals in the United Kingdom can “</w:t>
      </w:r>
      <w:r w:rsidDel="00000000" w:rsidR="00000000" w:rsidRPr="00000000">
        <w:rPr>
          <w:i w:val="1"/>
          <w:sz w:val="22"/>
          <w:szCs w:val="22"/>
          <w:rtl w:val="0"/>
        </w:rPr>
        <w:t xml:space="preserve">self-certify</w:t>
      </w:r>
      <w:r w:rsidDel="00000000" w:rsidR="00000000" w:rsidRPr="00000000">
        <w:rPr>
          <w:sz w:val="22"/>
          <w:szCs w:val="22"/>
          <w:rtl w:val="0"/>
        </w:rPr>
        <w:t xml:space="preserve">” as unwell without consulting a medical professional, for up to seven days </w:t>
      </w:r>
      <w:r w:rsidDel="00000000" w:rsidR="00000000" w:rsidRPr="00000000">
        <w:rPr>
          <w:rFonts w:ascii="Aptos" w:cs="Aptos" w:eastAsia="Aptos" w:hAnsi="Aptos"/>
          <w:sz w:val="22"/>
          <w:szCs w:val="22"/>
          <w:rtl w:val="0"/>
        </w:rPr>
        <w:t xml:space="preserve">(Higgins et al 2014, p.53). I</w:t>
      </w:r>
      <w:r w:rsidDel="00000000" w:rsidR="00000000" w:rsidRPr="00000000">
        <w:rPr>
          <w:sz w:val="22"/>
          <w:szCs w:val="22"/>
          <w:rtl w:val="0"/>
        </w:rPr>
        <w:t xml:space="preserve">t therefore dismisses the need for medical legitimisation; however, this does not maintain </w:t>
      </w:r>
      <w:r w:rsidDel="00000000" w:rsidR="00000000" w:rsidRPr="00000000">
        <w:rPr>
          <w:rFonts w:ascii="Aptos" w:cs="Aptos" w:eastAsia="Aptos" w:hAnsi="Aptos"/>
          <w:sz w:val="22"/>
          <w:szCs w:val="22"/>
          <w:rtl w:val="0"/>
        </w:rPr>
        <w:t xml:space="preserve">job security, nor can the individual receive health related benefits (Higgins et al 2014, p.53). This does require medical validation and evidence from a professional (Higgins et al 2014, p.53).</w:t>
      </w:r>
      <w:r w:rsidDel="00000000" w:rsidR="00000000" w:rsidRPr="00000000">
        <w:rPr>
          <w:sz w:val="22"/>
          <w:szCs w:val="22"/>
          <w:rtl w:val="0"/>
        </w:rPr>
        <w:t xml:space="preserve"> Following this, medicines and some aspects of healthcare such as secondary services are not accessible to those without a referral. This supports Becker’s description of healthcare professionals as “</w:t>
      </w:r>
      <w:r w:rsidDel="00000000" w:rsidR="00000000" w:rsidRPr="00000000">
        <w:rPr>
          <w:i w:val="1"/>
          <w:sz w:val="22"/>
          <w:szCs w:val="22"/>
          <w:rtl w:val="0"/>
        </w:rPr>
        <w:t xml:space="preserve">gatekeepers</w:t>
      </w:r>
      <w:r w:rsidDel="00000000" w:rsidR="00000000" w:rsidRPr="00000000">
        <w:rPr>
          <w:sz w:val="22"/>
          <w:szCs w:val="22"/>
          <w:rtl w:val="0"/>
        </w:rPr>
        <w:t xml:space="preserve">” of the sick role and are the only ones responsible for “</w:t>
      </w:r>
      <w:r w:rsidDel="00000000" w:rsidR="00000000" w:rsidRPr="00000000">
        <w:rPr>
          <w:rFonts w:ascii="Aptos" w:cs="Aptos" w:eastAsia="Aptos" w:hAnsi="Aptos"/>
          <w:i w:val="1"/>
          <w:sz w:val="22"/>
          <w:szCs w:val="22"/>
          <w:rtl w:val="0"/>
        </w:rPr>
        <w:t xml:space="preserve">legitimising and labelling illness</w:t>
      </w:r>
      <w:r w:rsidDel="00000000" w:rsidR="00000000" w:rsidRPr="00000000">
        <w:rPr>
          <w:rFonts w:ascii="Aptos" w:cs="Aptos" w:eastAsia="Aptos" w:hAnsi="Aptos"/>
          <w:sz w:val="22"/>
          <w:szCs w:val="22"/>
          <w:rtl w:val="0"/>
        </w:rPr>
        <w:t xml:space="preserve">” (Becker 1963, Mik-Meyer and Obling 2012 p.1028). </w:t>
      </w:r>
      <w:r w:rsidDel="00000000" w:rsidR="00000000" w:rsidRPr="00000000">
        <w:rPr>
          <w:rtl w:val="0"/>
        </w:rPr>
      </w:r>
    </w:p>
    <w:p w:rsidR="00000000" w:rsidDel="00000000" w:rsidP="00000000" w:rsidRDefault="00000000" w:rsidRPr="00000000" w14:paraId="00000B88">
      <w:pPr>
        <w:spacing w:line="480" w:lineRule="auto"/>
        <w:jc w:val="both"/>
        <w:rPr>
          <w:sz w:val="22"/>
          <w:szCs w:val="22"/>
        </w:rPr>
      </w:pPr>
      <w:r w:rsidDel="00000000" w:rsidR="00000000" w:rsidRPr="00000000">
        <w:rPr>
          <w:rtl w:val="0"/>
        </w:rPr>
      </w:r>
    </w:p>
    <w:p w:rsidR="00000000" w:rsidDel="00000000" w:rsidP="00000000" w:rsidRDefault="00000000" w:rsidRPr="00000000" w14:paraId="00000B89">
      <w:pPr>
        <w:spacing w:line="480" w:lineRule="auto"/>
        <w:jc w:val="both"/>
        <w:rPr>
          <w:sz w:val="22"/>
          <w:szCs w:val="22"/>
        </w:rPr>
      </w:pPr>
      <w:r w:rsidDel="00000000" w:rsidR="00000000" w:rsidRPr="00000000">
        <w:rPr>
          <w:sz w:val="22"/>
          <w:szCs w:val="22"/>
          <w:rtl w:val="0"/>
        </w:rPr>
        <w:t xml:space="preserve">Peer support and “</w:t>
      </w:r>
      <w:r w:rsidDel="00000000" w:rsidR="00000000" w:rsidRPr="00000000">
        <w:rPr>
          <w:i w:val="1"/>
          <w:sz w:val="22"/>
          <w:szCs w:val="22"/>
          <w:rtl w:val="0"/>
        </w:rPr>
        <w:t xml:space="preserve">lay referrals</w:t>
      </w:r>
      <w:r w:rsidDel="00000000" w:rsidR="00000000" w:rsidRPr="00000000">
        <w:rPr>
          <w:sz w:val="22"/>
          <w:szCs w:val="22"/>
          <w:rtl w:val="0"/>
        </w:rPr>
        <w:t xml:space="preserve">” could, however, limit and prevent some entering the sick role. In cases whereby one seeks a “</w:t>
      </w:r>
      <w:r w:rsidDel="00000000" w:rsidR="00000000" w:rsidRPr="00000000">
        <w:rPr>
          <w:i w:val="1"/>
          <w:sz w:val="22"/>
          <w:szCs w:val="22"/>
          <w:rtl w:val="0"/>
        </w:rPr>
        <w:t xml:space="preserve">lay referral</w:t>
      </w:r>
      <w:r w:rsidDel="00000000" w:rsidR="00000000" w:rsidRPr="00000000">
        <w:rPr>
          <w:sz w:val="22"/>
          <w:szCs w:val="22"/>
          <w:rtl w:val="0"/>
        </w:rPr>
        <w:t xml:space="preserve">” from their peers, this support may suffice. In this instance, the individual may not feel the need to seek medical advice, and therefore not entering the sick role. Thus, peer support can go some way in preventing this deviancy, per Parsons (1951). Where this support is not perceived to be enough, or the individual providing said “</w:t>
      </w:r>
      <w:r w:rsidDel="00000000" w:rsidR="00000000" w:rsidRPr="00000000">
        <w:rPr>
          <w:i w:val="1"/>
          <w:sz w:val="22"/>
          <w:szCs w:val="22"/>
          <w:rtl w:val="0"/>
        </w:rPr>
        <w:t xml:space="preserve">lay referral</w:t>
      </w:r>
      <w:r w:rsidDel="00000000" w:rsidR="00000000" w:rsidRPr="00000000">
        <w:rPr>
          <w:sz w:val="22"/>
          <w:szCs w:val="22"/>
          <w:rtl w:val="0"/>
        </w:rPr>
        <w:t xml:space="preserve">” feels they cannot support the individual, there may be encouragement to access professional support. Although peer support and “</w:t>
      </w:r>
      <w:r w:rsidDel="00000000" w:rsidR="00000000" w:rsidRPr="00000000">
        <w:rPr>
          <w:i w:val="1"/>
          <w:sz w:val="22"/>
          <w:szCs w:val="22"/>
          <w:rtl w:val="0"/>
        </w:rPr>
        <w:t xml:space="preserve">lay referrals</w:t>
      </w:r>
      <w:r w:rsidDel="00000000" w:rsidR="00000000" w:rsidRPr="00000000">
        <w:rPr>
          <w:sz w:val="22"/>
          <w:szCs w:val="22"/>
          <w:rtl w:val="0"/>
        </w:rPr>
        <w:t xml:space="preserve">” can undermine the medical authenticity of illness, since it moves the legitimisation sought by some from the medical profession to their peers, it can both prevent and encourage those entering the sick role, depending on the individual’s perceived sufficiency of such support. </w:t>
      </w:r>
    </w:p>
    <w:p w:rsidR="00000000" w:rsidDel="00000000" w:rsidP="00000000" w:rsidRDefault="00000000" w:rsidRPr="00000000" w14:paraId="00000B8A">
      <w:pPr>
        <w:spacing w:line="480" w:lineRule="auto"/>
        <w:jc w:val="both"/>
        <w:rPr>
          <w:sz w:val="22"/>
          <w:szCs w:val="22"/>
        </w:rPr>
      </w:pPr>
      <w:r w:rsidDel="00000000" w:rsidR="00000000" w:rsidRPr="00000000">
        <w:rPr>
          <w:rtl w:val="0"/>
        </w:rPr>
      </w:r>
    </w:p>
    <w:p w:rsidR="00000000" w:rsidDel="00000000" w:rsidP="00000000" w:rsidRDefault="00000000" w:rsidRPr="00000000" w14:paraId="00000B8B">
      <w:pPr>
        <w:spacing w:line="480" w:lineRule="auto"/>
        <w:jc w:val="both"/>
        <w:rPr>
          <w:sz w:val="22"/>
          <w:szCs w:val="22"/>
        </w:rPr>
      </w:pPr>
      <w:r w:rsidDel="00000000" w:rsidR="00000000" w:rsidRPr="00000000">
        <w:rPr>
          <w:sz w:val="22"/>
          <w:szCs w:val="22"/>
          <w:rtl w:val="0"/>
        </w:rPr>
        <w:t xml:space="preserve">This in part, however, can be addressed. Away from online support, clinical training programmes routinely involve “</w:t>
      </w:r>
      <w:r w:rsidDel="00000000" w:rsidR="00000000" w:rsidRPr="00000000">
        <w:rPr>
          <w:i w:val="1"/>
          <w:sz w:val="22"/>
          <w:szCs w:val="22"/>
          <w:rtl w:val="0"/>
        </w:rPr>
        <w:t xml:space="preserve">experts by experience</w:t>
      </w:r>
      <w:r w:rsidDel="00000000" w:rsidR="00000000" w:rsidRPr="00000000">
        <w:rPr>
          <w:sz w:val="22"/>
          <w:szCs w:val="22"/>
          <w:rtl w:val="0"/>
        </w:rPr>
        <w:t xml:space="preserve">”, situating those with lived experience as both producers and sources of information (Toikko, 2016). Involving the perspective of lived experience improves patient centred care and is now a core principle in Liaison and Diversion programmes within the National Health Service (Greever-Rice et al 2020, NHS 2017). In some cases, individuals with lived experience are invited to participate in policy decisions and have been noted to extend to human rights advisory boards (Scottish Government, 2023). Paid and voluntary roles for those with lived experience, such as peer support workers, allow these individuals to support others through their journey of recovery (Byrne et al, 2021).</w:t>
      </w:r>
    </w:p>
    <w:p w:rsidR="00000000" w:rsidDel="00000000" w:rsidP="00000000" w:rsidRDefault="00000000" w:rsidRPr="00000000" w14:paraId="00000B8C">
      <w:pPr>
        <w:spacing w:line="480" w:lineRule="auto"/>
        <w:jc w:val="both"/>
        <w:rPr>
          <w:sz w:val="22"/>
          <w:szCs w:val="22"/>
        </w:rPr>
      </w:pPr>
      <w:r w:rsidDel="00000000" w:rsidR="00000000" w:rsidRPr="00000000">
        <w:rPr>
          <w:rtl w:val="0"/>
        </w:rPr>
      </w:r>
    </w:p>
    <w:p w:rsidR="00000000" w:rsidDel="00000000" w:rsidP="00000000" w:rsidRDefault="00000000" w:rsidRPr="00000000" w14:paraId="00000B8D">
      <w:pPr>
        <w:spacing w:line="480" w:lineRule="auto"/>
        <w:jc w:val="both"/>
        <w:rPr>
          <w:sz w:val="22"/>
          <w:szCs w:val="22"/>
        </w:rPr>
      </w:pPr>
      <w:r w:rsidDel="00000000" w:rsidR="00000000" w:rsidRPr="00000000">
        <w:rPr>
          <w:sz w:val="22"/>
          <w:szCs w:val="22"/>
          <w:rtl w:val="0"/>
        </w:rPr>
        <w:t xml:space="preserve">These professionals understand the difficulties faced by those accessing services and use their experiential knowledge to engage with service users (Cleary and Armour, 2022) and can bring valuable insights that may inform new methods of working (Terry and Cardwell, 2016). It is well understood that recovery narratives are important in healthcare, whether that be a beneficial positive narrative, or a harmful negative narrative (Rennick-Egglestone et al, 2019). Peer support workers’ abilities to share personal narratives can enhance understanding that belief systems can be changed, and an enhanced ability to make personal change is pertinent to those in recovery are widely noted benefits of peer support and a shared lived experience (Rennick-Egglestone et al, 2019). Peer support workers can also help in addressing the stigma associated with accessing support services, particularly in hard-to-reach groups (Black, 2016). Although there are several barriers for those with lived experience into the workforce, individuals with lived experience can help bridge a gap between services and service users, showing that recovery is possible (Welford et al 2021, Terry and Cardwell 2016).</w:t>
      </w:r>
    </w:p>
    <w:p w:rsidR="00000000" w:rsidDel="00000000" w:rsidP="00000000" w:rsidRDefault="00000000" w:rsidRPr="00000000" w14:paraId="00000B8E">
      <w:pPr>
        <w:spacing w:line="480" w:lineRule="auto"/>
        <w:jc w:val="both"/>
        <w:rPr>
          <w:sz w:val="22"/>
          <w:szCs w:val="22"/>
        </w:rPr>
      </w:pPr>
      <w:r w:rsidDel="00000000" w:rsidR="00000000" w:rsidRPr="00000000">
        <w:rPr>
          <w:rtl w:val="0"/>
        </w:rPr>
      </w:r>
    </w:p>
    <w:p w:rsidR="00000000" w:rsidDel="00000000" w:rsidP="00000000" w:rsidRDefault="00000000" w:rsidRPr="00000000" w14:paraId="00000B8F">
      <w:pPr>
        <w:pStyle w:val="Heading3"/>
        <w:spacing w:line="480" w:lineRule="auto"/>
        <w:rPr/>
      </w:pPr>
      <w:bookmarkStart w:colFirst="0" w:colLast="0" w:name="_heading=h.odc9jc" w:id="137"/>
      <w:bookmarkEnd w:id="137"/>
      <w:r w:rsidDel="00000000" w:rsidR="00000000" w:rsidRPr="00000000">
        <w:rPr>
          <w:rtl w:val="0"/>
        </w:rPr>
        <w:t xml:space="preserve">Summary</w:t>
      </w:r>
    </w:p>
    <w:p w:rsidR="00000000" w:rsidDel="00000000" w:rsidP="00000000" w:rsidRDefault="00000000" w:rsidRPr="00000000" w14:paraId="00000B90">
      <w:pPr>
        <w:spacing w:line="480" w:lineRule="auto"/>
        <w:jc w:val="both"/>
        <w:rPr>
          <w:sz w:val="22"/>
          <w:szCs w:val="22"/>
        </w:rPr>
      </w:pPr>
      <w:r w:rsidDel="00000000" w:rsidR="00000000" w:rsidRPr="00000000">
        <w:rPr>
          <w:sz w:val="22"/>
          <w:szCs w:val="22"/>
          <w:rtl w:val="0"/>
        </w:rPr>
        <w:t xml:space="preserve">Supported by the literature, peer support has been found to be valuable for those experiencing complex health conditions, where formal medical advice is perceived to be lacking. This type of support can promote recovery, as evidenced in </w:t>
      </w:r>
      <w:r w:rsidDel="00000000" w:rsidR="00000000" w:rsidRPr="00000000">
        <w:rPr>
          <w:i w:val="1"/>
          <w:sz w:val="22"/>
          <w:szCs w:val="22"/>
          <w:rtl w:val="0"/>
        </w:rPr>
        <w:t xml:space="preserve">Georgina’s</w:t>
      </w:r>
      <w:r w:rsidDel="00000000" w:rsidR="00000000" w:rsidRPr="00000000">
        <w:rPr>
          <w:sz w:val="22"/>
          <w:szCs w:val="22"/>
          <w:rtl w:val="0"/>
        </w:rPr>
        <w:t xml:space="preserve"> accounts, and can support those who are experiencing chronic illness, such as </w:t>
      </w:r>
      <w:r w:rsidDel="00000000" w:rsidR="00000000" w:rsidRPr="00000000">
        <w:rPr>
          <w:i w:val="1"/>
          <w:sz w:val="22"/>
          <w:szCs w:val="22"/>
          <w:rtl w:val="0"/>
        </w:rPr>
        <w:t xml:space="preserve">Imogen</w:t>
      </w:r>
      <w:r w:rsidDel="00000000" w:rsidR="00000000" w:rsidRPr="00000000">
        <w:rPr>
          <w:sz w:val="22"/>
          <w:szCs w:val="22"/>
          <w:rtl w:val="0"/>
        </w:rPr>
        <w:t xml:space="preserve">. Popularised in recent years, peer support can improve patient engagement, reduce isolation and stigma and mitigate unhelpful medical experiences. This is particularly important for those who are part of marginalised communities, and those who belong to several intersections of society, for example the BAMER (Black, Asian Minority Ethnic and Refugee), and the LGBTQIA+ communities (Carr 2014, Meridian 2023). This support can be found online and in-person and can offer both formal and informal support. Peer support, however, could be described as an erosion of the medical authenticity suggested by Parsons (1951). As described by Friedson (1970), “</w:t>
      </w:r>
      <w:r w:rsidDel="00000000" w:rsidR="00000000" w:rsidRPr="00000000">
        <w:rPr>
          <w:i w:val="1"/>
          <w:sz w:val="22"/>
          <w:szCs w:val="22"/>
          <w:rtl w:val="0"/>
        </w:rPr>
        <w:t xml:space="preserve">lay referrals</w:t>
      </w:r>
      <w:r w:rsidDel="00000000" w:rsidR="00000000" w:rsidRPr="00000000">
        <w:rPr>
          <w:sz w:val="22"/>
          <w:szCs w:val="22"/>
          <w:rtl w:val="0"/>
        </w:rPr>
        <w:t xml:space="preserve">” and peer-validation does not constitute medical legitimisation, and the individuals who access such “</w:t>
      </w:r>
      <w:r w:rsidDel="00000000" w:rsidR="00000000" w:rsidRPr="00000000">
        <w:rPr>
          <w:i w:val="1"/>
          <w:sz w:val="22"/>
          <w:szCs w:val="22"/>
          <w:rtl w:val="0"/>
        </w:rPr>
        <w:t xml:space="preserve">lay referrals</w:t>
      </w:r>
      <w:r w:rsidDel="00000000" w:rsidR="00000000" w:rsidRPr="00000000">
        <w:rPr>
          <w:sz w:val="22"/>
          <w:szCs w:val="22"/>
          <w:rtl w:val="0"/>
        </w:rPr>
        <w:t xml:space="preserve">” are not privy to an exemption from social obligations, nor are these individuals afforded benefits such as job security (Higgins et al 2014, p.53). </w:t>
      </w:r>
    </w:p>
    <w:p w:rsidR="00000000" w:rsidDel="00000000" w:rsidP="00000000" w:rsidRDefault="00000000" w:rsidRPr="00000000" w14:paraId="00000B91">
      <w:pPr>
        <w:spacing w:line="480" w:lineRule="auto"/>
        <w:jc w:val="both"/>
        <w:rPr>
          <w:sz w:val="22"/>
          <w:szCs w:val="22"/>
        </w:rPr>
      </w:pPr>
      <w:r w:rsidDel="00000000" w:rsidR="00000000" w:rsidRPr="00000000">
        <w:rPr>
          <w:rtl w:val="0"/>
        </w:rPr>
      </w:r>
    </w:p>
    <w:p w:rsidR="00000000" w:rsidDel="00000000" w:rsidP="00000000" w:rsidRDefault="00000000" w:rsidRPr="00000000" w14:paraId="00000B92">
      <w:pPr>
        <w:spacing w:line="480" w:lineRule="auto"/>
        <w:jc w:val="both"/>
        <w:rPr>
          <w:sz w:val="22"/>
          <w:szCs w:val="22"/>
        </w:rPr>
      </w:pPr>
      <w:r w:rsidDel="00000000" w:rsidR="00000000" w:rsidRPr="00000000">
        <w:rPr>
          <w:sz w:val="22"/>
          <w:szCs w:val="22"/>
          <w:rtl w:val="0"/>
        </w:rPr>
        <w:t xml:space="preserve">Recently, peer support and lived experience has been formalised through clinical training programmes. Despite its limitations, lived experience is now a core principle in Liaison and Diversion programmes within the National Health Service (Greever-Rice et al 2020, NHS 2017). Formalising peer support could perhaps reduce the number of patients accessing formal healthcare services, therefore go some way in reducing the health burden associated with lower-level and lower-intensity illnesses. This would allow practitioners, such as Doctors, more time and resources to see patients whom peer support does not suffice. The next section will discuss the strengths and limitations associated with this research.</w:t>
      </w:r>
    </w:p>
    <w:p w:rsidR="00000000" w:rsidDel="00000000" w:rsidP="00000000" w:rsidRDefault="00000000" w:rsidRPr="00000000" w14:paraId="00000B93">
      <w:pPr>
        <w:spacing w:line="480" w:lineRule="auto"/>
        <w:jc w:val="both"/>
        <w:rPr>
          <w:sz w:val="22"/>
          <w:szCs w:val="22"/>
        </w:rPr>
      </w:pPr>
      <w:r w:rsidDel="00000000" w:rsidR="00000000" w:rsidRPr="00000000">
        <w:rPr>
          <w:rtl w:val="0"/>
        </w:rPr>
      </w:r>
    </w:p>
    <w:p w:rsidR="00000000" w:rsidDel="00000000" w:rsidP="00000000" w:rsidRDefault="00000000" w:rsidRPr="00000000" w14:paraId="00000B94">
      <w:pPr>
        <w:pStyle w:val="Heading2"/>
        <w:numPr>
          <w:ilvl w:val="1"/>
          <w:numId w:val="20"/>
        </w:numPr>
        <w:spacing w:line="480" w:lineRule="auto"/>
        <w:ind w:left="720" w:hanging="720"/>
        <w:rPr/>
      </w:pPr>
      <w:bookmarkStart w:colFirst="0" w:colLast="0" w:name="_heading=h.38czs75" w:id="138"/>
      <w:bookmarkEnd w:id="138"/>
      <w:r w:rsidDel="00000000" w:rsidR="00000000" w:rsidRPr="00000000">
        <w:rPr>
          <w:rtl w:val="0"/>
        </w:rPr>
        <w:t xml:space="preserve">Strengths and Limitations</w:t>
      </w:r>
    </w:p>
    <w:p w:rsidR="00000000" w:rsidDel="00000000" w:rsidP="00000000" w:rsidRDefault="00000000" w:rsidRPr="00000000" w14:paraId="00000B95">
      <w:pPr>
        <w:spacing w:line="480" w:lineRule="auto"/>
        <w:jc w:val="both"/>
        <w:rPr>
          <w:sz w:val="22"/>
          <w:szCs w:val="22"/>
        </w:rPr>
      </w:pPr>
      <w:r w:rsidDel="00000000" w:rsidR="00000000" w:rsidRPr="00000000">
        <w:rPr>
          <w:sz w:val="22"/>
          <w:szCs w:val="22"/>
          <w:rtl w:val="0"/>
        </w:rPr>
        <w:t xml:space="preserve">This section will discuss the strengths and limitations associated with this research. The strengths include the exploration of an identified gap in the literature, allowing participants to discuss their care freely, and the positionality I hold. The limitations of this research are heavily associated with external factors, particularly the COVID-19 pandemic.  It also will discuss the methodology and the dominance of antidepressants within the data, such as the sampling method and the limitations associated with the sampling sites.</w:t>
      </w:r>
    </w:p>
    <w:p w:rsidR="00000000" w:rsidDel="00000000" w:rsidP="00000000" w:rsidRDefault="00000000" w:rsidRPr="00000000" w14:paraId="00000B96">
      <w:pPr>
        <w:pStyle w:val="Heading3"/>
        <w:spacing w:line="480" w:lineRule="auto"/>
        <w:rPr/>
      </w:pPr>
      <w:bookmarkStart w:colFirst="0" w:colLast="0" w:name="_heading=h.1nia2ey" w:id="139"/>
      <w:bookmarkEnd w:id="139"/>
      <w:r w:rsidDel="00000000" w:rsidR="00000000" w:rsidRPr="00000000">
        <w:rPr>
          <w:rtl w:val="0"/>
        </w:rPr>
        <w:t xml:space="preserve">Strengths</w:t>
      </w:r>
    </w:p>
    <w:p w:rsidR="00000000" w:rsidDel="00000000" w:rsidP="00000000" w:rsidRDefault="00000000" w:rsidRPr="00000000" w14:paraId="00000B97">
      <w:pPr>
        <w:pStyle w:val="Heading4"/>
        <w:spacing w:line="480" w:lineRule="auto"/>
        <w:rPr/>
      </w:pPr>
      <w:r w:rsidDel="00000000" w:rsidR="00000000" w:rsidRPr="00000000">
        <w:rPr>
          <w:rtl w:val="0"/>
        </w:rPr>
        <w:t xml:space="preserve">Addressed a Gap in the Literature</w:t>
      </w:r>
    </w:p>
    <w:p w:rsidR="00000000" w:rsidDel="00000000" w:rsidP="00000000" w:rsidRDefault="00000000" w:rsidRPr="00000000" w14:paraId="00000B98">
      <w:pPr>
        <w:spacing w:line="480" w:lineRule="auto"/>
        <w:jc w:val="both"/>
        <w:rPr>
          <w:sz w:val="22"/>
          <w:szCs w:val="22"/>
        </w:rPr>
      </w:pPr>
      <w:r w:rsidDel="00000000" w:rsidR="00000000" w:rsidRPr="00000000">
        <w:rPr>
          <w:sz w:val="22"/>
          <w:szCs w:val="22"/>
          <w:rtl w:val="0"/>
        </w:rPr>
        <w:t xml:space="preserve">The main strength of this research is that it addressed a gap in knowledge, identified by both Public Health England (2019) and the existing literature. This work has added detail to the limited understanding of the experiences of those dependent on prescribed medicines, and those who have experienced associated withdrawal symptoms. </w:t>
      </w:r>
    </w:p>
    <w:p w:rsidR="00000000" w:rsidDel="00000000" w:rsidP="00000000" w:rsidRDefault="00000000" w:rsidRPr="00000000" w14:paraId="00000B99">
      <w:pPr>
        <w:spacing w:line="480" w:lineRule="auto"/>
        <w:jc w:val="both"/>
        <w:rPr>
          <w:sz w:val="22"/>
          <w:szCs w:val="22"/>
        </w:rPr>
      </w:pPr>
      <w:r w:rsidDel="00000000" w:rsidR="00000000" w:rsidRPr="00000000">
        <w:rPr>
          <w:rtl w:val="0"/>
        </w:rPr>
      </w:r>
    </w:p>
    <w:p w:rsidR="00000000" w:rsidDel="00000000" w:rsidP="00000000" w:rsidRDefault="00000000" w:rsidRPr="00000000" w14:paraId="00000B9A">
      <w:pPr>
        <w:pStyle w:val="Heading4"/>
        <w:spacing w:line="480" w:lineRule="auto"/>
        <w:rPr/>
      </w:pPr>
      <w:r w:rsidDel="00000000" w:rsidR="00000000" w:rsidRPr="00000000">
        <w:rPr>
          <w:rtl w:val="0"/>
        </w:rPr>
        <w:t xml:space="preserve">Several Sampling Methodologies</w:t>
      </w:r>
    </w:p>
    <w:p w:rsidR="00000000" w:rsidDel="00000000" w:rsidP="00000000" w:rsidRDefault="00000000" w:rsidRPr="00000000" w14:paraId="00000B9B">
      <w:pPr>
        <w:spacing w:line="480" w:lineRule="auto"/>
        <w:jc w:val="both"/>
        <w:rPr>
          <w:sz w:val="22"/>
          <w:szCs w:val="22"/>
        </w:rPr>
      </w:pPr>
      <w:r w:rsidDel="00000000" w:rsidR="00000000" w:rsidRPr="00000000">
        <w:rPr>
          <w:sz w:val="22"/>
          <w:szCs w:val="22"/>
          <w:rtl w:val="0"/>
        </w:rPr>
        <w:t xml:space="preserve">Despite the challenges experienced throughout the sampling and data collection phase of this research, using two sampling methods was beneficial. Using both posters and a circular distributed to staff and students at the University of Sheffield allowed for a wider range of participants in terms of demographics and medicine use, and therefore a wider range of experiences to explore. </w:t>
      </w:r>
    </w:p>
    <w:p w:rsidR="00000000" w:rsidDel="00000000" w:rsidP="00000000" w:rsidRDefault="00000000" w:rsidRPr="00000000" w14:paraId="00000B9C">
      <w:pPr>
        <w:spacing w:line="480" w:lineRule="auto"/>
        <w:jc w:val="both"/>
        <w:rPr>
          <w:sz w:val="22"/>
          <w:szCs w:val="22"/>
        </w:rPr>
      </w:pPr>
      <w:r w:rsidDel="00000000" w:rsidR="00000000" w:rsidRPr="00000000">
        <w:rPr>
          <w:rtl w:val="0"/>
        </w:rPr>
      </w:r>
    </w:p>
    <w:p w:rsidR="00000000" w:rsidDel="00000000" w:rsidP="00000000" w:rsidRDefault="00000000" w:rsidRPr="00000000" w14:paraId="00000B9D">
      <w:pPr>
        <w:pStyle w:val="Heading4"/>
        <w:spacing w:line="480" w:lineRule="auto"/>
        <w:rPr/>
      </w:pPr>
      <w:r w:rsidDel="00000000" w:rsidR="00000000" w:rsidRPr="00000000">
        <w:rPr>
          <w:rtl w:val="0"/>
        </w:rPr>
        <w:t xml:space="preserve">Data Collection Methodology</w:t>
      </w:r>
    </w:p>
    <w:p w:rsidR="00000000" w:rsidDel="00000000" w:rsidP="00000000" w:rsidRDefault="00000000" w:rsidRPr="00000000" w14:paraId="00000B9E">
      <w:pPr>
        <w:spacing w:line="480" w:lineRule="auto"/>
        <w:jc w:val="both"/>
        <w:rPr>
          <w:sz w:val="22"/>
          <w:szCs w:val="22"/>
        </w:rPr>
      </w:pPr>
      <w:r w:rsidDel="00000000" w:rsidR="00000000" w:rsidRPr="00000000">
        <w:rPr>
          <w:sz w:val="22"/>
          <w:szCs w:val="22"/>
          <w:rtl w:val="0"/>
        </w:rPr>
        <w:t xml:space="preserve">Exploring these individual accounts using</w:t>
      </w:r>
      <w:r w:rsidDel="00000000" w:rsidR="00000000" w:rsidRPr="00000000">
        <w:rPr>
          <w:rtl w:val="0"/>
        </w:rPr>
        <w:t xml:space="preserve"> </w:t>
      </w:r>
      <w:r w:rsidDel="00000000" w:rsidR="00000000" w:rsidRPr="00000000">
        <w:rPr>
          <w:sz w:val="22"/>
          <w:szCs w:val="22"/>
          <w:rtl w:val="0"/>
        </w:rPr>
        <w:t xml:space="preserve">semi-structured interviews allowed participants to describe their experiences of prescribed drug dependence and withdrawal, which for some, appeared to be cathartic. Some participants were able to discuss aspects of their care that ordinarily would not feel able to with their practitioners, such as the risk of dependence or pessimism towards their care. This demonstrated rapport, even when discussing sensitive topics. </w:t>
      </w:r>
    </w:p>
    <w:p w:rsidR="00000000" w:rsidDel="00000000" w:rsidP="00000000" w:rsidRDefault="00000000" w:rsidRPr="00000000" w14:paraId="00000B9F">
      <w:pPr>
        <w:pStyle w:val="Heading4"/>
        <w:spacing w:line="480" w:lineRule="auto"/>
        <w:rPr/>
      </w:pPr>
      <w:r w:rsidDel="00000000" w:rsidR="00000000" w:rsidRPr="00000000">
        <w:rPr>
          <w:rtl w:val="0"/>
        </w:rPr>
        <w:t xml:space="preserve">Positionality</w:t>
      </w:r>
    </w:p>
    <w:p w:rsidR="00000000" w:rsidDel="00000000" w:rsidP="00000000" w:rsidRDefault="00000000" w:rsidRPr="00000000" w14:paraId="00000BA0">
      <w:pPr>
        <w:spacing w:line="480" w:lineRule="auto"/>
        <w:jc w:val="both"/>
        <w:rPr>
          <w:sz w:val="22"/>
          <w:szCs w:val="22"/>
        </w:rPr>
      </w:pPr>
      <w:r w:rsidDel="00000000" w:rsidR="00000000" w:rsidRPr="00000000">
        <w:rPr>
          <w:sz w:val="22"/>
          <w:szCs w:val="22"/>
          <w:rtl w:val="0"/>
        </w:rPr>
        <w:t xml:space="preserve">As discussed earlier in </w:t>
      </w:r>
      <w:hyperlink w:anchor="_heading=h.1x0gk37">
        <w:r w:rsidDel="00000000" w:rsidR="00000000" w:rsidRPr="00000000">
          <w:rPr>
            <w:color w:val="467886"/>
            <w:sz w:val="22"/>
            <w:szCs w:val="22"/>
            <w:u w:val="single"/>
            <w:rtl w:val="0"/>
          </w:rPr>
          <w:t xml:space="preserve">Chapter Four</w:t>
        </w:r>
      </w:hyperlink>
      <w:r w:rsidDel="00000000" w:rsidR="00000000" w:rsidRPr="00000000">
        <w:rPr>
          <w:sz w:val="22"/>
          <w:szCs w:val="22"/>
          <w:rtl w:val="0"/>
        </w:rPr>
        <w:t xml:space="preserve"> (p. 121), I hold several positions – researcher, practitioner, and patient. It was important to remain objective whilst conducting research, maintaining the professionalism expected as a researcher and practitioner, yet holding insider knowledge in my position as a patient. </w:t>
      </w:r>
    </w:p>
    <w:p w:rsidR="00000000" w:rsidDel="00000000" w:rsidP="00000000" w:rsidRDefault="00000000" w:rsidRPr="00000000" w14:paraId="00000BA1">
      <w:pPr>
        <w:spacing w:line="480" w:lineRule="auto"/>
        <w:jc w:val="both"/>
        <w:rPr>
          <w:sz w:val="22"/>
          <w:szCs w:val="22"/>
        </w:rPr>
      </w:pPr>
      <w:r w:rsidDel="00000000" w:rsidR="00000000" w:rsidRPr="00000000">
        <w:rPr>
          <w:rtl w:val="0"/>
        </w:rPr>
      </w:r>
    </w:p>
    <w:p w:rsidR="00000000" w:rsidDel="00000000" w:rsidP="00000000" w:rsidRDefault="00000000" w:rsidRPr="00000000" w14:paraId="00000BA2">
      <w:pPr>
        <w:spacing w:line="480" w:lineRule="auto"/>
        <w:jc w:val="both"/>
        <w:rPr>
          <w:sz w:val="22"/>
          <w:szCs w:val="22"/>
        </w:rPr>
      </w:pPr>
      <w:r w:rsidDel="00000000" w:rsidR="00000000" w:rsidRPr="00000000">
        <w:rPr>
          <w:sz w:val="22"/>
          <w:szCs w:val="22"/>
          <w:rtl w:val="0"/>
        </w:rPr>
        <w:t xml:space="preserve">The findings of the data were reflective of some experiences in which I was familiar with in my own treatment journey. Upon reflection, the passive role in healthcare interactions some participants described is something that I resonate with. I also reflected on this passive acceptance of medicines, since when I was experiencing symptoms that impacted my university work, particularly when I considered myself treatment naïve in my early interactions with healthcare services. Following this, the “</w:t>
      </w:r>
      <w:r w:rsidDel="00000000" w:rsidR="00000000" w:rsidRPr="00000000">
        <w:rPr>
          <w:i w:val="1"/>
          <w:sz w:val="22"/>
          <w:szCs w:val="22"/>
          <w:rtl w:val="0"/>
        </w:rPr>
        <w:t xml:space="preserve">trial and error</w:t>
      </w:r>
      <w:r w:rsidDel="00000000" w:rsidR="00000000" w:rsidRPr="00000000">
        <w:rPr>
          <w:sz w:val="22"/>
          <w:szCs w:val="22"/>
          <w:rtl w:val="0"/>
        </w:rPr>
        <w:t xml:space="preserve">” approach some participants described is something that I too experienced. This assessment of medicines against their side effects, and the evaluation of medicines as an ongoing aspect of my treatment is also something I recognise in my treatment journey. </w:t>
      </w:r>
    </w:p>
    <w:p w:rsidR="00000000" w:rsidDel="00000000" w:rsidP="00000000" w:rsidRDefault="00000000" w:rsidRPr="00000000" w14:paraId="00000BA3">
      <w:pPr>
        <w:spacing w:line="480" w:lineRule="auto"/>
        <w:jc w:val="both"/>
        <w:rPr>
          <w:sz w:val="22"/>
          <w:szCs w:val="22"/>
        </w:rPr>
      </w:pPr>
      <w:r w:rsidDel="00000000" w:rsidR="00000000" w:rsidRPr="00000000">
        <w:rPr>
          <w:rtl w:val="0"/>
        </w:rPr>
      </w:r>
    </w:p>
    <w:p w:rsidR="00000000" w:rsidDel="00000000" w:rsidP="00000000" w:rsidRDefault="00000000" w:rsidRPr="00000000" w14:paraId="00000BA4">
      <w:pPr>
        <w:spacing w:line="480" w:lineRule="auto"/>
        <w:jc w:val="both"/>
        <w:rPr>
          <w:sz w:val="22"/>
          <w:szCs w:val="22"/>
        </w:rPr>
      </w:pPr>
      <w:r w:rsidDel="00000000" w:rsidR="00000000" w:rsidRPr="00000000">
        <w:rPr>
          <w:sz w:val="22"/>
          <w:szCs w:val="22"/>
          <w:rtl w:val="0"/>
        </w:rPr>
        <w:t xml:space="preserve">Furthermore, the systemic barriers some participants describe are also familiar to me, both as a patient and a healthcare professional. I shared some of the concerns these participants had and understood their frustrations despite having an overall positive perception of the National Health Service. Although I chose not to disclose these statuses and positions, my understanding of the patients’ experiences supported my ability to empathise with the participant. This potentially supported the rapport between the participant and I, allowing for richer answers and therefore, richer data.</w:t>
      </w:r>
    </w:p>
    <w:p w:rsidR="00000000" w:rsidDel="00000000" w:rsidP="00000000" w:rsidRDefault="00000000" w:rsidRPr="00000000" w14:paraId="00000BA5">
      <w:pPr>
        <w:spacing w:line="480" w:lineRule="auto"/>
        <w:jc w:val="both"/>
        <w:rPr>
          <w:sz w:val="22"/>
          <w:szCs w:val="22"/>
        </w:rPr>
      </w:pPr>
      <w:r w:rsidDel="00000000" w:rsidR="00000000" w:rsidRPr="00000000">
        <w:rPr>
          <w:rtl w:val="0"/>
        </w:rPr>
      </w:r>
    </w:p>
    <w:p w:rsidR="00000000" w:rsidDel="00000000" w:rsidP="00000000" w:rsidRDefault="00000000" w:rsidRPr="00000000" w14:paraId="00000BA6">
      <w:pPr>
        <w:pStyle w:val="Heading3"/>
        <w:spacing w:line="480" w:lineRule="auto"/>
        <w:rPr/>
      </w:pPr>
      <w:bookmarkStart w:colFirst="0" w:colLast="0" w:name="_heading=h.47hxl2r" w:id="140"/>
      <w:bookmarkEnd w:id="140"/>
      <w:r w:rsidDel="00000000" w:rsidR="00000000" w:rsidRPr="00000000">
        <w:rPr>
          <w:rtl w:val="0"/>
        </w:rPr>
        <w:t xml:space="preserve">Limitations</w:t>
      </w:r>
    </w:p>
    <w:p w:rsidR="00000000" w:rsidDel="00000000" w:rsidP="00000000" w:rsidRDefault="00000000" w:rsidRPr="00000000" w14:paraId="00000BA7">
      <w:pPr>
        <w:pStyle w:val="Heading4"/>
        <w:spacing w:line="480" w:lineRule="auto"/>
        <w:rPr/>
      </w:pPr>
      <w:r w:rsidDel="00000000" w:rsidR="00000000" w:rsidRPr="00000000">
        <w:rPr>
          <w:rtl w:val="0"/>
        </w:rPr>
        <w:t xml:space="preserve">Challenges in Sampling</w:t>
      </w:r>
    </w:p>
    <w:p w:rsidR="00000000" w:rsidDel="00000000" w:rsidP="00000000" w:rsidRDefault="00000000" w:rsidRPr="00000000" w14:paraId="00000BA8">
      <w:pPr>
        <w:spacing w:line="480" w:lineRule="auto"/>
        <w:jc w:val="both"/>
        <w:rPr>
          <w:sz w:val="22"/>
          <w:szCs w:val="22"/>
        </w:rPr>
      </w:pPr>
      <w:r w:rsidDel="00000000" w:rsidR="00000000" w:rsidRPr="00000000">
        <w:rPr>
          <w:sz w:val="22"/>
          <w:szCs w:val="22"/>
          <w:rtl w:val="0"/>
        </w:rPr>
        <w:t xml:space="preserve">Initially, this research was solely advertised in medical settings such as pain clinics, pharmacies, and doctors’ surgeries. The majority of this PhD and research was conducted during the COVID-19 pandemic. Contacting pharmacies by phone was the predominant contact method. Most pharmacies are “</w:t>
      </w:r>
      <w:r w:rsidDel="00000000" w:rsidR="00000000" w:rsidRPr="00000000">
        <w:rPr>
          <w:i w:val="1"/>
          <w:sz w:val="22"/>
          <w:szCs w:val="22"/>
          <w:rtl w:val="0"/>
        </w:rPr>
        <w:t xml:space="preserve">chain pharmacies</w:t>
      </w:r>
      <w:r w:rsidDel="00000000" w:rsidR="00000000" w:rsidRPr="00000000">
        <w:rPr>
          <w:sz w:val="22"/>
          <w:szCs w:val="22"/>
          <w:rtl w:val="0"/>
        </w:rPr>
        <w:t xml:space="preserve">”, such as Boots and Lloyds Pharmacy, meaning independent pharmacies were not as visible on internet searches. Although I approached some pharmacies in person, this was not always possible due to the fluctuations in both local and national guidance pertaining to COVID-19.</w:t>
      </w:r>
    </w:p>
    <w:p w:rsidR="00000000" w:rsidDel="00000000" w:rsidP="00000000" w:rsidRDefault="00000000" w:rsidRPr="00000000" w14:paraId="00000BA9">
      <w:pPr>
        <w:spacing w:line="480" w:lineRule="auto"/>
        <w:jc w:val="both"/>
        <w:rPr>
          <w:sz w:val="22"/>
          <w:szCs w:val="22"/>
        </w:rPr>
      </w:pPr>
      <w:r w:rsidDel="00000000" w:rsidR="00000000" w:rsidRPr="00000000">
        <w:rPr>
          <w:rtl w:val="0"/>
        </w:rPr>
      </w:r>
    </w:p>
    <w:p w:rsidR="00000000" w:rsidDel="00000000" w:rsidP="00000000" w:rsidRDefault="00000000" w:rsidRPr="00000000" w14:paraId="00000BAA">
      <w:pPr>
        <w:spacing w:line="480" w:lineRule="auto"/>
        <w:jc w:val="both"/>
        <w:rPr>
          <w:i w:val="1"/>
          <w:color w:val="0f4761"/>
        </w:rPr>
      </w:pPr>
      <w:r w:rsidDel="00000000" w:rsidR="00000000" w:rsidRPr="00000000">
        <w:rPr>
          <w:sz w:val="22"/>
          <w:szCs w:val="22"/>
          <w:rtl w:val="0"/>
        </w:rPr>
        <w:t xml:space="preserve">As outlined in the ethical considerations section of the </w:t>
      </w:r>
      <w:hyperlink w:anchor="_heading=h.2w5ecyt">
        <w:r w:rsidDel="00000000" w:rsidR="00000000" w:rsidRPr="00000000">
          <w:rPr>
            <w:color w:val="467886"/>
            <w:sz w:val="22"/>
            <w:szCs w:val="22"/>
            <w:u w:val="single"/>
            <w:rtl w:val="0"/>
          </w:rPr>
          <w:t xml:space="preserve">Methodology</w:t>
        </w:r>
      </w:hyperlink>
      <w:r w:rsidDel="00000000" w:rsidR="00000000" w:rsidRPr="00000000">
        <w:rPr>
          <w:sz w:val="22"/>
          <w:szCs w:val="22"/>
          <w:rtl w:val="0"/>
        </w:rPr>
        <w:t xml:space="preserve"> (p. 125). it was deemed unethical to contact doctors’ surgeries during the height of a pandemic, due to the increased workload on healthcare practitioners, particularly in the early and peak stages of the pandemic, and now when services are managing the backlog of patients. Further limitations within this study that are associated with the COVID-19 pandemic are well documented throughout this thesis, including the: </w:t>
      </w:r>
      <w:r w:rsidDel="00000000" w:rsidR="00000000" w:rsidRPr="00000000">
        <w:rPr>
          <w:rtl w:val="0"/>
        </w:rPr>
      </w:r>
    </w:p>
    <w:p w:rsidR="00000000" w:rsidDel="00000000" w:rsidP="00000000" w:rsidRDefault="00000000" w:rsidRPr="00000000" w14:paraId="00000BAB">
      <w:pPr>
        <w:spacing w:line="480" w:lineRule="auto"/>
        <w:jc w:val="both"/>
        <w:rPr>
          <w:sz w:val="22"/>
          <w:szCs w:val="22"/>
        </w:rPr>
      </w:pPr>
      <w:r w:rsidDel="00000000" w:rsidR="00000000" w:rsidRPr="00000000">
        <w:rPr>
          <w:rtl w:val="0"/>
        </w:rPr>
      </w:r>
    </w:p>
    <w:p w:rsidR="00000000" w:rsidDel="00000000" w:rsidP="00000000" w:rsidRDefault="00000000" w:rsidRPr="00000000" w14:paraId="00000BA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Reduced ability to advertise in </w:t>
      </w:r>
    </w:p>
    <w:p w:rsidR="00000000" w:rsidDel="00000000" w:rsidP="00000000" w:rsidRDefault="00000000" w:rsidRPr="00000000" w14:paraId="00000BA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Limited number of participants</w:t>
      </w:r>
    </w:p>
    <w:p w:rsidR="00000000" w:rsidDel="00000000" w:rsidP="00000000" w:rsidRDefault="00000000" w:rsidRPr="00000000" w14:paraId="00000BA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069" w:right="0" w:hanging="360"/>
        <w:jc w:val="both"/>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tl w:val="0"/>
        </w:rPr>
        <w:t xml:space="preserve">Inability to use focus groups as a methodology as intended.</w:t>
      </w:r>
    </w:p>
    <w:p w:rsidR="00000000" w:rsidDel="00000000" w:rsidP="00000000" w:rsidRDefault="00000000" w:rsidRPr="00000000" w14:paraId="00000BAF">
      <w:pPr>
        <w:spacing w:line="480" w:lineRule="auto"/>
        <w:jc w:val="both"/>
        <w:rPr>
          <w:sz w:val="22"/>
          <w:szCs w:val="22"/>
        </w:rPr>
      </w:pPr>
      <w:r w:rsidDel="00000000" w:rsidR="00000000" w:rsidRPr="00000000">
        <w:rPr>
          <w:rtl w:val="0"/>
        </w:rPr>
      </w:r>
    </w:p>
    <w:p w:rsidR="00000000" w:rsidDel="00000000" w:rsidP="00000000" w:rsidRDefault="00000000" w:rsidRPr="00000000" w14:paraId="00000BB0">
      <w:pPr>
        <w:spacing w:line="480" w:lineRule="auto"/>
        <w:jc w:val="both"/>
        <w:rPr>
          <w:sz w:val="22"/>
          <w:szCs w:val="22"/>
        </w:rPr>
      </w:pPr>
      <w:r w:rsidDel="00000000" w:rsidR="00000000" w:rsidRPr="00000000">
        <w:rPr>
          <w:sz w:val="22"/>
          <w:szCs w:val="22"/>
          <w:rtl w:val="0"/>
        </w:rPr>
        <w:t xml:space="preserve">Social media was used to advertise the study, using Twitter, Facebook, Instagram, and LinkedIn. Twitter generated huge interest, however due to the global nature of social media, many were not eligible as they were not UK based. As this advertising was done using the researcher’s personal Facebook and Instagram, only those who the researcher knew were reached. Those who may be eligible may not feel comfortable discussing their health with someone they know, which would influence their decision whether to participate or not. Furthermore, the potential participant pool is largely limited to those based in Nottingham and Sheffield. This unintentionally excludes any potential participants from other areas which may have different services, local guidelines, and trends, limiting the range of experiences explored.</w:t>
      </w:r>
    </w:p>
    <w:p w:rsidR="00000000" w:rsidDel="00000000" w:rsidP="00000000" w:rsidRDefault="00000000" w:rsidRPr="00000000" w14:paraId="00000BB1">
      <w:pPr>
        <w:spacing w:line="480" w:lineRule="auto"/>
        <w:jc w:val="both"/>
        <w:rPr>
          <w:sz w:val="22"/>
          <w:szCs w:val="22"/>
        </w:rPr>
      </w:pPr>
      <w:r w:rsidDel="00000000" w:rsidR="00000000" w:rsidRPr="00000000">
        <w:rPr>
          <w:rtl w:val="0"/>
        </w:rPr>
      </w:r>
    </w:p>
    <w:p w:rsidR="00000000" w:rsidDel="00000000" w:rsidP="00000000" w:rsidRDefault="00000000" w:rsidRPr="00000000" w14:paraId="00000BB2">
      <w:pPr>
        <w:spacing w:line="480" w:lineRule="auto"/>
        <w:jc w:val="both"/>
        <w:rPr>
          <w:sz w:val="22"/>
          <w:szCs w:val="22"/>
        </w:rPr>
      </w:pPr>
      <w:r w:rsidDel="00000000" w:rsidR="00000000" w:rsidRPr="00000000">
        <w:rPr>
          <w:i w:val="1"/>
          <w:color w:val="0f4761"/>
          <w:rtl w:val="0"/>
        </w:rPr>
        <w:t xml:space="preserve">Subject Matter</w:t>
      </w:r>
      <w:r w:rsidDel="00000000" w:rsidR="00000000" w:rsidRPr="00000000">
        <w:rPr>
          <w:rtl w:val="0"/>
        </w:rPr>
      </w:r>
    </w:p>
    <w:p w:rsidR="00000000" w:rsidDel="00000000" w:rsidP="00000000" w:rsidRDefault="00000000" w:rsidRPr="00000000" w14:paraId="00000BB3">
      <w:pPr>
        <w:spacing w:line="480" w:lineRule="auto"/>
        <w:jc w:val="both"/>
        <w:rPr>
          <w:sz w:val="22"/>
          <w:szCs w:val="22"/>
        </w:rPr>
      </w:pPr>
      <w:r w:rsidDel="00000000" w:rsidR="00000000" w:rsidRPr="00000000">
        <w:rPr>
          <w:sz w:val="22"/>
          <w:szCs w:val="22"/>
          <w:rtl w:val="0"/>
        </w:rPr>
        <w:t xml:space="preserve">Secondly, the focus of this research was considered controversial by some pharmacists. When approached, services felt that the topic was inappropriate since children were accessing the service with their families.  Furthermore, some services felt uncomfortable since they considered this research challenging prescribing practices and declined to participate. </w:t>
      </w:r>
    </w:p>
    <w:p w:rsidR="00000000" w:rsidDel="00000000" w:rsidP="00000000" w:rsidRDefault="00000000" w:rsidRPr="00000000" w14:paraId="00000BB4">
      <w:pPr>
        <w:spacing w:line="480" w:lineRule="auto"/>
        <w:jc w:val="both"/>
        <w:rPr>
          <w:sz w:val="22"/>
          <w:szCs w:val="22"/>
        </w:rPr>
      </w:pPr>
      <w:r w:rsidDel="00000000" w:rsidR="00000000" w:rsidRPr="00000000">
        <w:rPr>
          <w:rtl w:val="0"/>
        </w:rPr>
      </w:r>
    </w:p>
    <w:p w:rsidR="00000000" w:rsidDel="00000000" w:rsidP="00000000" w:rsidRDefault="00000000" w:rsidRPr="00000000" w14:paraId="00000BB5">
      <w:pPr>
        <w:pStyle w:val="Heading4"/>
        <w:spacing w:line="480" w:lineRule="auto"/>
        <w:rPr/>
      </w:pPr>
      <w:r w:rsidDel="00000000" w:rsidR="00000000" w:rsidRPr="00000000">
        <w:rPr>
          <w:rtl w:val="0"/>
        </w:rPr>
        <w:t xml:space="preserve">Dominance of Antidepressants within the Data</w:t>
      </w:r>
    </w:p>
    <w:p w:rsidR="00000000" w:rsidDel="00000000" w:rsidP="00000000" w:rsidRDefault="00000000" w:rsidRPr="00000000" w14:paraId="00000BB6">
      <w:pPr>
        <w:spacing w:line="480" w:lineRule="auto"/>
        <w:jc w:val="both"/>
        <w:rPr>
          <w:sz w:val="22"/>
          <w:szCs w:val="22"/>
        </w:rPr>
      </w:pPr>
      <w:r w:rsidDel="00000000" w:rsidR="00000000" w:rsidRPr="00000000">
        <w:rPr>
          <w:sz w:val="22"/>
          <w:szCs w:val="22"/>
          <w:rtl w:val="0"/>
        </w:rPr>
        <w:t xml:space="preserve">Finally, due to the dominance of antidepressants within the data, the findings and resulting conclusions are particularly pertinent to mental health and psychiatric treatment and may not be generalisable to other therapeutic groups. As outlined in the Public Health England report (2019), there was a lack of literature into the experiences of those dependent on or experiencing withdrawal symptoms associated with gabapentinoids. This is supported by this research. </w:t>
      </w:r>
    </w:p>
    <w:p w:rsidR="00000000" w:rsidDel="00000000" w:rsidP="00000000" w:rsidRDefault="00000000" w:rsidRPr="00000000" w14:paraId="00000BB7">
      <w:pPr>
        <w:spacing w:line="480" w:lineRule="auto"/>
        <w:jc w:val="both"/>
        <w:rPr>
          <w:sz w:val="22"/>
          <w:szCs w:val="22"/>
        </w:rPr>
      </w:pPr>
      <w:r w:rsidDel="00000000" w:rsidR="00000000" w:rsidRPr="00000000">
        <w:rPr>
          <w:rtl w:val="0"/>
        </w:rPr>
      </w:r>
    </w:p>
    <w:p w:rsidR="00000000" w:rsidDel="00000000" w:rsidP="00000000" w:rsidRDefault="00000000" w:rsidRPr="00000000" w14:paraId="00000BB8">
      <w:pPr>
        <w:pStyle w:val="Heading3"/>
        <w:spacing w:line="480" w:lineRule="auto"/>
        <w:rPr/>
      </w:pPr>
      <w:bookmarkStart w:colFirst="0" w:colLast="0" w:name="_heading=h.2mn7vak" w:id="141"/>
      <w:bookmarkEnd w:id="141"/>
      <w:r w:rsidDel="00000000" w:rsidR="00000000" w:rsidRPr="00000000">
        <w:rPr>
          <w:rtl w:val="0"/>
        </w:rPr>
        <w:t xml:space="preserve">Summary</w:t>
      </w:r>
    </w:p>
    <w:p w:rsidR="00000000" w:rsidDel="00000000" w:rsidP="00000000" w:rsidRDefault="00000000" w:rsidRPr="00000000" w14:paraId="00000BB9">
      <w:pPr>
        <w:spacing w:line="480" w:lineRule="auto"/>
        <w:jc w:val="both"/>
        <w:rPr>
          <w:sz w:val="22"/>
          <w:szCs w:val="22"/>
        </w:rPr>
      </w:pPr>
      <w:r w:rsidDel="00000000" w:rsidR="00000000" w:rsidRPr="00000000">
        <w:rPr>
          <w:sz w:val="22"/>
          <w:szCs w:val="22"/>
          <w:rtl w:val="0"/>
        </w:rPr>
        <w:t xml:space="preserve">In summary, this research addressed a gap in the literature, using methodologies that allowed those who have experienced a dependence or withdrawal symptoms from prescribed medicines a space to discuss their experiences. My positionality may have gone some way in supporting the rapport between myself and the participant, despite choosing not to disclose my positionality as, in part, a patient myself. </w:t>
      </w:r>
    </w:p>
    <w:p w:rsidR="00000000" w:rsidDel="00000000" w:rsidP="00000000" w:rsidRDefault="00000000" w:rsidRPr="00000000" w14:paraId="00000BBA">
      <w:pPr>
        <w:spacing w:line="480" w:lineRule="auto"/>
        <w:jc w:val="both"/>
        <w:rPr>
          <w:sz w:val="22"/>
          <w:szCs w:val="22"/>
        </w:rPr>
      </w:pPr>
      <w:r w:rsidDel="00000000" w:rsidR="00000000" w:rsidRPr="00000000">
        <w:rPr>
          <w:sz w:val="22"/>
          <w:szCs w:val="22"/>
          <w:rtl w:val="0"/>
        </w:rPr>
        <w:t xml:space="preserve">However, there was a reduced ability to advertise in physical services due to COVID-19. The researcher and their supervisors felt it unethical to approach healthcare practices repeatedly due to the heavy workload placed upon them, particularly in the height of the pandemic. This was followed by the high workload managing the backlog of patients waiting to be seen. Secondly, there was a limited number of participants due to the lower number of patients accessing healthcare services due to restrictions and the increase in home deliveries of medication and appliances, and the transition to remote healthcare. </w:t>
      </w:r>
    </w:p>
    <w:p w:rsidR="00000000" w:rsidDel="00000000" w:rsidP="00000000" w:rsidRDefault="00000000" w:rsidRPr="00000000" w14:paraId="00000BBB">
      <w:pPr>
        <w:spacing w:line="480" w:lineRule="auto"/>
        <w:jc w:val="both"/>
        <w:rPr>
          <w:sz w:val="22"/>
          <w:szCs w:val="22"/>
        </w:rPr>
      </w:pPr>
      <w:r w:rsidDel="00000000" w:rsidR="00000000" w:rsidRPr="00000000">
        <w:rPr>
          <w:rtl w:val="0"/>
        </w:rPr>
      </w:r>
    </w:p>
    <w:p w:rsidR="00000000" w:rsidDel="00000000" w:rsidP="00000000" w:rsidRDefault="00000000" w:rsidRPr="00000000" w14:paraId="00000BBC">
      <w:pPr>
        <w:pStyle w:val="Heading2"/>
        <w:numPr>
          <w:ilvl w:val="1"/>
          <w:numId w:val="20"/>
        </w:numPr>
        <w:spacing w:line="480" w:lineRule="auto"/>
        <w:ind w:left="720" w:hanging="720"/>
        <w:rPr/>
      </w:pPr>
      <w:bookmarkStart w:colFirst="0" w:colLast="0" w:name="_heading=h.11si5id" w:id="142"/>
      <w:bookmarkEnd w:id="142"/>
      <w:r w:rsidDel="00000000" w:rsidR="00000000" w:rsidRPr="00000000">
        <w:rPr>
          <w:rtl w:val="0"/>
        </w:rPr>
        <w:t xml:space="preserve">Recommendations for Further Research and Practice</w:t>
      </w:r>
    </w:p>
    <w:p w:rsidR="00000000" w:rsidDel="00000000" w:rsidP="00000000" w:rsidRDefault="00000000" w:rsidRPr="00000000" w14:paraId="00000BBD">
      <w:pPr>
        <w:spacing w:line="480" w:lineRule="auto"/>
        <w:jc w:val="both"/>
        <w:rPr>
          <w:sz w:val="22"/>
          <w:szCs w:val="22"/>
        </w:rPr>
      </w:pPr>
      <w:r w:rsidDel="00000000" w:rsidR="00000000" w:rsidRPr="00000000">
        <w:rPr>
          <w:sz w:val="22"/>
          <w:szCs w:val="22"/>
          <w:rtl w:val="0"/>
        </w:rPr>
        <w:t xml:space="preserve">This section will outline the recommendations for further research and practice. The recommendations for further research include pilot schemes to improve training for medical professionals who work with this patient group, to enable them to better identify at risk patients. It is also recommended to conduct trials exploring those with lived experience within clinical practice as evidenced in Scottish healthcare systems. Finally, further research should be conducted to explore the experiences of those who are dependent on, or have experienced withdrawal symptoms from, gabapentinoids. The recommendations for practice that have been identified from this research include continuing professional development for practitioners who manage this patient group and encouraging patients to access formal peer support.  </w:t>
      </w:r>
    </w:p>
    <w:p w:rsidR="00000000" w:rsidDel="00000000" w:rsidP="00000000" w:rsidRDefault="00000000" w:rsidRPr="00000000" w14:paraId="00000BBE">
      <w:pPr>
        <w:spacing w:line="480" w:lineRule="auto"/>
        <w:jc w:val="both"/>
        <w:rPr>
          <w:sz w:val="22"/>
          <w:szCs w:val="22"/>
        </w:rPr>
      </w:pPr>
      <w:r w:rsidDel="00000000" w:rsidR="00000000" w:rsidRPr="00000000">
        <w:rPr>
          <w:rtl w:val="0"/>
        </w:rPr>
      </w:r>
    </w:p>
    <w:p w:rsidR="00000000" w:rsidDel="00000000" w:rsidP="00000000" w:rsidRDefault="00000000" w:rsidRPr="00000000" w14:paraId="00000BBF">
      <w:pPr>
        <w:pStyle w:val="Heading3"/>
        <w:spacing w:line="480" w:lineRule="auto"/>
        <w:rPr/>
      </w:pPr>
      <w:bookmarkStart w:colFirst="0" w:colLast="0" w:name="_heading=h.3ls5o66" w:id="143"/>
      <w:bookmarkEnd w:id="143"/>
      <w:r w:rsidDel="00000000" w:rsidR="00000000" w:rsidRPr="00000000">
        <w:rPr>
          <w:rtl w:val="0"/>
        </w:rPr>
        <w:t xml:space="preserve">Recommendations for Further Research</w:t>
      </w:r>
    </w:p>
    <w:p w:rsidR="00000000" w:rsidDel="00000000" w:rsidP="00000000" w:rsidRDefault="00000000" w:rsidRPr="00000000" w14:paraId="00000BC0">
      <w:pPr>
        <w:pStyle w:val="Heading4"/>
        <w:spacing w:line="480" w:lineRule="auto"/>
        <w:rPr/>
      </w:pPr>
      <w:r w:rsidDel="00000000" w:rsidR="00000000" w:rsidRPr="00000000">
        <w:rPr>
          <w:rtl w:val="0"/>
        </w:rPr>
        <w:t xml:space="preserve">Pilot Schemes for Continuing Professional Development for Practitioners</w:t>
      </w:r>
    </w:p>
    <w:p w:rsidR="00000000" w:rsidDel="00000000" w:rsidP="00000000" w:rsidRDefault="00000000" w:rsidRPr="00000000" w14:paraId="00000BC1">
      <w:pPr>
        <w:spacing w:line="480" w:lineRule="auto"/>
        <w:jc w:val="both"/>
        <w:rPr>
          <w:sz w:val="22"/>
          <w:szCs w:val="22"/>
        </w:rPr>
      </w:pPr>
      <w:r w:rsidDel="00000000" w:rsidR="00000000" w:rsidRPr="00000000">
        <w:rPr>
          <w:sz w:val="22"/>
          <w:szCs w:val="22"/>
          <w:rtl w:val="0"/>
        </w:rPr>
        <w:t xml:space="preserve">Although not a suggestion of novel research, this research supports the notion of schemes to support professional development. There should be a development of a pilot training scheme for primary care practitioners such as GPs and nurses, to support the identification and management of prescribed drug dependence and withdrawal. This is particularly pertinent when discussing antidepressants. This is supportive of Read et al’s survey findings, whereby 68% of GPs report a desire for more training on antidepressant withdrawal (Read et al 2020). The literature suggests that both patients and GPs feel the understanding of antidepressant withdrawal is insufficient, and when taken into consideration against the yearly increase in prescribing. </w:t>
      </w:r>
    </w:p>
    <w:p w:rsidR="00000000" w:rsidDel="00000000" w:rsidP="00000000" w:rsidRDefault="00000000" w:rsidRPr="00000000" w14:paraId="00000BC2">
      <w:pPr>
        <w:spacing w:line="480" w:lineRule="auto"/>
        <w:jc w:val="both"/>
        <w:rPr>
          <w:sz w:val="22"/>
          <w:szCs w:val="22"/>
        </w:rPr>
      </w:pPr>
      <w:r w:rsidDel="00000000" w:rsidR="00000000" w:rsidRPr="00000000">
        <w:rPr>
          <w:rtl w:val="0"/>
        </w:rPr>
      </w:r>
    </w:p>
    <w:p w:rsidR="00000000" w:rsidDel="00000000" w:rsidP="00000000" w:rsidRDefault="00000000" w:rsidRPr="00000000" w14:paraId="00000BC3">
      <w:pPr>
        <w:spacing w:line="480" w:lineRule="auto"/>
        <w:jc w:val="both"/>
        <w:rPr>
          <w:sz w:val="22"/>
          <w:szCs w:val="22"/>
        </w:rPr>
      </w:pPr>
      <w:r w:rsidDel="00000000" w:rsidR="00000000" w:rsidRPr="00000000">
        <w:rPr>
          <w:sz w:val="22"/>
          <w:szCs w:val="22"/>
          <w:rtl w:val="0"/>
        </w:rPr>
        <w:t xml:space="preserve">Again, supported by the literature, pharmacists could also be included in this pilot, as it would be a natural progression to their existing role (Jebra et al, 2017). This could include seminars at all levels of medical education, from university level to the continued learning practitioners must engage in. Alternatively, information given to patients who are prescribed dependence forming medicines should be in an accessible format, such as informational posters and leaflets as piloted in Tannenbaum et al (2014) (Mokhar et al, 2018). </w:t>
      </w:r>
    </w:p>
    <w:p w:rsidR="00000000" w:rsidDel="00000000" w:rsidP="00000000" w:rsidRDefault="00000000" w:rsidRPr="00000000" w14:paraId="00000BC4">
      <w:pPr>
        <w:spacing w:line="480" w:lineRule="auto"/>
        <w:jc w:val="both"/>
        <w:rPr>
          <w:sz w:val="22"/>
          <w:szCs w:val="22"/>
        </w:rPr>
      </w:pPr>
      <w:r w:rsidDel="00000000" w:rsidR="00000000" w:rsidRPr="00000000">
        <w:rPr>
          <w:rtl w:val="0"/>
        </w:rPr>
      </w:r>
    </w:p>
    <w:p w:rsidR="00000000" w:rsidDel="00000000" w:rsidP="00000000" w:rsidRDefault="00000000" w:rsidRPr="00000000" w14:paraId="00000BC5">
      <w:pPr>
        <w:pStyle w:val="Heading4"/>
        <w:spacing w:line="480" w:lineRule="auto"/>
        <w:rPr/>
      </w:pPr>
      <w:r w:rsidDel="00000000" w:rsidR="00000000" w:rsidRPr="00000000">
        <w:rPr>
          <w:rtl w:val="0"/>
        </w:rPr>
        <w:t xml:space="preserve">Utilising Lived Experience Representatives in Formal Healthcare Services</w:t>
      </w:r>
    </w:p>
    <w:p w:rsidR="00000000" w:rsidDel="00000000" w:rsidP="00000000" w:rsidRDefault="00000000" w:rsidRPr="00000000" w14:paraId="00000BC6">
      <w:pPr>
        <w:spacing w:line="480" w:lineRule="auto"/>
        <w:jc w:val="both"/>
        <w:rPr>
          <w:sz w:val="22"/>
          <w:szCs w:val="22"/>
        </w:rPr>
      </w:pPr>
      <w:r w:rsidDel="00000000" w:rsidR="00000000" w:rsidRPr="00000000">
        <w:rPr>
          <w:sz w:val="22"/>
          <w:szCs w:val="22"/>
          <w:rtl w:val="0"/>
        </w:rPr>
        <w:t xml:space="preserve">Furthermore, trials for those with lived experience representatives within formal healthcare settings should be piloted. Including those with lived experience in healthcare settings would be beneficial, particularly in the development of psychosocial interventions. The development of psychosocial interventions should be evidence-based, including contributions of those lived experience. As discussed, lived experience is invaluable in engaging individuals who would be considered marginalised and has the capacity to improve health outcomes long after pharmaceutical interventions have stopped. Recommendations based on these suggestions, and the findings that informed these suggestions are explored in the final section of this thesis, as follows. </w:t>
      </w:r>
    </w:p>
    <w:p w:rsidR="00000000" w:rsidDel="00000000" w:rsidP="00000000" w:rsidRDefault="00000000" w:rsidRPr="00000000" w14:paraId="00000BC7">
      <w:pPr>
        <w:spacing w:line="480" w:lineRule="auto"/>
        <w:jc w:val="both"/>
        <w:rPr>
          <w:sz w:val="22"/>
          <w:szCs w:val="22"/>
        </w:rPr>
      </w:pPr>
      <w:r w:rsidDel="00000000" w:rsidR="00000000" w:rsidRPr="00000000">
        <w:rPr>
          <w:rtl w:val="0"/>
        </w:rPr>
      </w:r>
    </w:p>
    <w:p w:rsidR="00000000" w:rsidDel="00000000" w:rsidP="00000000" w:rsidRDefault="00000000" w:rsidRPr="00000000" w14:paraId="00000BC8">
      <w:pPr>
        <w:pStyle w:val="Heading4"/>
        <w:spacing w:line="480" w:lineRule="auto"/>
        <w:rPr/>
      </w:pPr>
      <w:r w:rsidDel="00000000" w:rsidR="00000000" w:rsidRPr="00000000">
        <w:rPr>
          <w:rtl w:val="0"/>
        </w:rPr>
        <w:t xml:space="preserve">Specific Research into Patients Dependent on Gabapentinoids</w:t>
      </w:r>
    </w:p>
    <w:p w:rsidR="00000000" w:rsidDel="00000000" w:rsidP="00000000" w:rsidRDefault="00000000" w:rsidRPr="00000000" w14:paraId="00000BC9">
      <w:pPr>
        <w:spacing w:line="480" w:lineRule="auto"/>
        <w:jc w:val="both"/>
        <w:rPr>
          <w:sz w:val="22"/>
          <w:szCs w:val="22"/>
        </w:rPr>
      </w:pPr>
      <w:r w:rsidDel="00000000" w:rsidR="00000000" w:rsidRPr="00000000">
        <w:rPr>
          <w:sz w:val="22"/>
          <w:szCs w:val="22"/>
          <w:rtl w:val="0"/>
        </w:rPr>
        <w:t xml:space="preserve">As noted in the Public Health England report (2019, p. 126), there is a gap in the research surrounding those dependent on prescribed gabapentinoids, and those who have experienced withdrawal symptoms from these medicines. Although this was explored in this research, the number of participants using these medicines were minimal in comparison to other therapeutic groups. </w:t>
      </w:r>
    </w:p>
    <w:p w:rsidR="00000000" w:rsidDel="00000000" w:rsidP="00000000" w:rsidRDefault="00000000" w:rsidRPr="00000000" w14:paraId="00000BCA">
      <w:pPr>
        <w:spacing w:line="480" w:lineRule="auto"/>
        <w:jc w:val="both"/>
        <w:rPr>
          <w:sz w:val="22"/>
          <w:szCs w:val="22"/>
        </w:rPr>
      </w:pPr>
      <w:r w:rsidDel="00000000" w:rsidR="00000000" w:rsidRPr="00000000">
        <w:rPr>
          <w:rtl w:val="0"/>
        </w:rPr>
      </w:r>
    </w:p>
    <w:p w:rsidR="00000000" w:rsidDel="00000000" w:rsidP="00000000" w:rsidRDefault="00000000" w:rsidRPr="00000000" w14:paraId="00000BCB">
      <w:pPr>
        <w:pStyle w:val="Heading3"/>
        <w:spacing w:line="480" w:lineRule="auto"/>
        <w:rPr/>
      </w:pPr>
      <w:bookmarkStart w:colFirst="0" w:colLast="0" w:name="_heading=h.20xfydz" w:id="144"/>
      <w:bookmarkEnd w:id="144"/>
      <w:r w:rsidDel="00000000" w:rsidR="00000000" w:rsidRPr="00000000">
        <w:rPr>
          <w:rtl w:val="0"/>
        </w:rPr>
        <w:t xml:space="preserve">Recommendations for Practice</w:t>
      </w:r>
    </w:p>
    <w:p w:rsidR="00000000" w:rsidDel="00000000" w:rsidP="00000000" w:rsidRDefault="00000000" w:rsidRPr="00000000" w14:paraId="00000BCC">
      <w:pPr>
        <w:pStyle w:val="Heading4"/>
        <w:spacing w:line="480" w:lineRule="auto"/>
        <w:rPr/>
      </w:pPr>
      <w:r w:rsidDel="00000000" w:rsidR="00000000" w:rsidRPr="00000000">
        <w:rPr>
          <w:rtl w:val="0"/>
        </w:rPr>
        <w:t xml:space="preserve">Training for Practitioners on Prescribed Drug Dependence</w:t>
      </w:r>
    </w:p>
    <w:p w:rsidR="00000000" w:rsidDel="00000000" w:rsidP="00000000" w:rsidRDefault="00000000" w:rsidRPr="00000000" w14:paraId="00000BCD">
      <w:pPr>
        <w:spacing w:line="480" w:lineRule="auto"/>
        <w:jc w:val="both"/>
        <w:rPr>
          <w:sz w:val="22"/>
          <w:szCs w:val="22"/>
        </w:rPr>
      </w:pPr>
      <w:r w:rsidDel="00000000" w:rsidR="00000000" w:rsidRPr="00000000">
        <w:rPr>
          <w:sz w:val="22"/>
          <w:szCs w:val="22"/>
          <w:rtl w:val="0"/>
        </w:rPr>
        <w:t xml:space="preserve">It has become apparent that in both the literature review, and the data collected in this study, that medical professionals are perceived to have limited knowledge around the dependence and withdrawal from prescribed medicines. Therefore, it can be suggested that medical professionals should have training in order to feel comfortable in identifying and managing this patient group. This further training could be facilitated in education settings, such as universities in the first instance, either in medical or nursing school, and extend to the non-medical prescribing courses. Alternatively, this could be offered as part of medical professional’s Continuous Professional Development obligations, as outlined in Mokhar et al (2018). This will allow practitioners to offer greater information to patients, including these risks, so patients can make an informed decision about their healthcare.</w:t>
      </w:r>
    </w:p>
    <w:p w:rsidR="00000000" w:rsidDel="00000000" w:rsidP="00000000" w:rsidRDefault="00000000" w:rsidRPr="00000000" w14:paraId="00000BCE">
      <w:pPr>
        <w:spacing w:line="480" w:lineRule="auto"/>
        <w:jc w:val="both"/>
        <w:rPr>
          <w:sz w:val="22"/>
          <w:szCs w:val="22"/>
        </w:rPr>
      </w:pPr>
      <w:r w:rsidDel="00000000" w:rsidR="00000000" w:rsidRPr="00000000">
        <w:rPr>
          <w:rtl w:val="0"/>
        </w:rPr>
      </w:r>
    </w:p>
    <w:p w:rsidR="00000000" w:rsidDel="00000000" w:rsidP="00000000" w:rsidRDefault="00000000" w:rsidRPr="00000000" w14:paraId="00000BCF">
      <w:pPr>
        <w:spacing w:line="480" w:lineRule="auto"/>
        <w:jc w:val="both"/>
        <w:rPr>
          <w:sz w:val="22"/>
          <w:szCs w:val="22"/>
        </w:rPr>
      </w:pPr>
      <w:r w:rsidDel="00000000" w:rsidR="00000000" w:rsidRPr="00000000">
        <w:rPr>
          <w:sz w:val="22"/>
          <w:szCs w:val="22"/>
          <w:rtl w:val="0"/>
        </w:rPr>
        <w:t xml:space="preserve">This may improve the adopt a patient-centred approach, which has been shown not to be present in some participant’s experiences. Although healthcare professionals undertake potentially years of training, they are perceived to have limited understanding of the experiences of the patient sat in front of them, and how their body “</w:t>
      </w:r>
      <w:r w:rsidDel="00000000" w:rsidR="00000000" w:rsidRPr="00000000">
        <w:rPr>
          <w:i w:val="1"/>
          <w:sz w:val="22"/>
          <w:szCs w:val="22"/>
          <w:rtl w:val="0"/>
        </w:rPr>
        <w:t xml:space="preserve">normally</w:t>
      </w:r>
      <w:r w:rsidDel="00000000" w:rsidR="00000000" w:rsidRPr="00000000">
        <w:rPr>
          <w:sz w:val="22"/>
          <w:szCs w:val="22"/>
          <w:rtl w:val="0"/>
        </w:rPr>
        <w:t xml:space="preserve">” functions. There are numerous reports in the literature and the findings of this research that suggest healthcare practitioners adopt a “</w:t>
      </w:r>
      <w:r w:rsidDel="00000000" w:rsidR="00000000" w:rsidRPr="00000000">
        <w:rPr>
          <w:i w:val="1"/>
          <w:sz w:val="22"/>
          <w:szCs w:val="22"/>
          <w:rtl w:val="0"/>
        </w:rPr>
        <w:t xml:space="preserve">one-size fits all</w:t>
      </w:r>
      <w:r w:rsidDel="00000000" w:rsidR="00000000" w:rsidRPr="00000000">
        <w:rPr>
          <w:sz w:val="22"/>
          <w:szCs w:val="22"/>
          <w:rtl w:val="0"/>
        </w:rPr>
        <w:t xml:space="preserve">” approach to medicine, particularly in the case of pain and psychiatric care. </w:t>
      </w:r>
    </w:p>
    <w:p w:rsidR="00000000" w:rsidDel="00000000" w:rsidP="00000000" w:rsidRDefault="00000000" w:rsidRPr="00000000" w14:paraId="00000BD0">
      <w:pPr>
        <w:spacing w:line="480" w:lineRule="auto"/>
        <w:jc w:val="both"/>
        <w:rPr>
          <w:sz w:val="22"/>
          <w:szCs w:val="22"/>
        </w:rPr>
      </w:pPr>
      <w:r w:rsidDel="00000000" w:rsidR="00000000" w:rsidRPr="00000000">
        <w:rPr>
          <w:rtl w:val="0"/>
        </w:rPr>
      </w:r>
    </w:p>
    <w:p w:rsidR="00000000" w:rsidDel="00000000" w:rsidP="00000000" w:rsidRDefault="00000000" w:rsidRPr="00000000" w14:paraId="00000BD1">
      <w:pPr>
        <w:pStyle w:val="Heading4"/>
        <w:spacing w:line="480" w:lineRule="auto"/>
        <w:rPr/>
      </w:pPr>
      <w:r w:rsidDel="00000000" w:rsidR="00000000" w:rsidRPr="00000000">
        <w:rPr>
          <w:rtl w:val="0"/>
        </w:rPr>
        <w:t xml:space="preserve">Encourage Patients to Access Peer Support</w:t>
      </w:r>
    </w:p>
    <w:p w:rsidR="00000000" w:rsidDel="00000000" w:rsidP="00000000" w:rsidRDefault="00000000" w:rsidRPr="00000000" w14:paraId="00000BD2">
      <w:pPr>
        <w:spacing w:line="480" w:lineRule="auto"/>
        <w:jc w:val="both"/>
        <w:rPr>
          <w:sz w:val="22"/>
          <w:szCs w:val="22"/>
        </w:rPr>
      </w:pPr>
      <w:r w:rsidDel="00000000" w:rsidR="00000000" w:rsidRPr="00000000">
        <w:rPr>
          <w:sz w:val="22"/>
          <w:szCs w:val="22"/>
          <w:rtl w:val="0"/>
        </w:rPr>
        <w:t xml:space="preserve">Where there are substantial waiting times for secondary care, encouraging patients to access peer support may be beneficial in the interim. This may bridge the gap between the initial healthcare interaction, where patients are referred to alternative treatments. It could also go some way in encouraging those who are hesitant about accessing alternative treatments and psychosocial interventions, either due to the perceived inefficacy or patient preference for pharmaceutical interventions, to access these services. The appropriate management of withdrawal symptoms can also be conducted. This will have a direct impact on the perception of the practitioner, where perceived knowledge and understanding is held at a great importance to patients, and ultimately improve the patient experience. </w:t>
      </w:r>
    </w:p>
    <w:p w:rsidR="00000000" w:rsidDel="00000000" w:rsidP="00000000" w:rsidRDefault="00000000" w:rsidRPr="00000000" w14:paraId="00000BD3">
      <w:pPr>
        <w:spacing w:line="480" w:lineRule="auto"/>
        <w:jc w:val="both"/>
        <w:rPr>
          <w:sz w:val="22"/>
          <w:szCs w:val="22"/>
        </w:rPr>
      </w:pPr>
      <w:r w:rsidDel="00000000" w:rsidR="00000000" w:rsidRPr="00000000">
        <w:rPr>
          <w:rtl w:val="0"/>
        </w:rPr>
      </w:r>
    </w:p>
    <w:p w:rsidR="00000000" w:rsidDel="00000000" w:rsidP="00000000" w:rsidRDefault="00000000" w:rsidRPr="00000000" w14:paraId="00000BD4">
      <w:pPr>
        <w:pStyle w:val="Heading2"/>
        <w:numPr>
          <w:ilvl w:val="1"/>
          <w:numId w:val="20"/>
        </w:numPr>
        <w:spacing w:line="480" w:lineRule="auto"/>
        <w:ind w:left="720" w:hanging="720"/>
        <w:rPr/>
      </w:pPr>
      <w:bookmarkStart w:colFirst="0" w:colLast="0" w:name="_heading=h.4kx3h1s" w:id="145"/>
      <w:bookmarkEnd w:id="145"/>
      <w:r w:rsidDel="00000000" w:rsidR="00000000" w:rsidRPr="00000000">
        <w:rPr>
          <w:rtl w:val="0"/>
        </w:rPr>
        <w:t xml:space="preserve">Conclusion</w:t>
      </w:r>
    </w:p>
    <w:p w:rsidR="00000000" w:rsidDel="00000000" w:rsidP="00000000" w:rsidRDefault="00000000" w:rsidRPr="00000000" w14:paraId="00000BD5">
      <w:pPr>
        <w:spacing w:line="480" w:lineRule="auto"/>
        <w:jc w:val="both"/>
        <w:rPr>
          <w:sz w:val="22"/>
          <w:szCs w:val="22"/>
        </w:rPr>
      </w:pPr>
      <w:r w:rsidDel="00000000" w:rsidR="00000000" w:rsidRPr="00000000">
        <w:rPr>
          <w:sz w:val="22"/>
          <w:szCs w:val="22"/>
          <w:rtl w:val="0"/>
        </w:rPr>
        <w:t xml:space="preserve">This study aimed to explore patient experiences of prescribed drug dependence and withdrawal, specifically antidepressants, benzodiazepines, gabapentinoids, opioids (for non-cancer pain) and z-drugs. It follows a report published by Public Health England (2019), in response to healthcare professionals’ concerns regarding the dependence on, and those who experience withdrawal symptoms associated with, prescribed medicines. Public Health England’s report, however, was unable to accurately assess the patient’s experiences of this phenomena. This research used qualitative methodologies to explore the experiences of this patient group, using semi-structured interviews, conducted with thirteen participants who self-identified as dependent on their medications or have experienced withdrawal symptoms. Their experiences were analysed using Thematic Analysis (Braun and Clarke, 2006). These interviews were based upon the findings of the narrative review, completed in October 2021 and further updated in February 2024.  Two separate chapters presented findings from six themes. </w:t>
      </w:r>
    </w:p>
    <w:p w:rsidR="00000000" w:rsidDel="00000000" w:rsidP="00000000" w:rsidRDefault="00000000" w:rsidRPr="00000000" w14:paraId="00000BD6">
      <w:pPr>
        <w:spacing w:line="480" w:lineRule="auto"/>
        <w:jc w:val="both"/>
        <w:rPr>
          <w:sz w:val="22"/>
          <w:szCs w:val="22"/>
        </w:rPr>
      </w:pPr>
      <w:r w:rsidDel="00000000" w:rsidR="00000000" w:rsidRPr="00000000">
        <w:rPr>
          <w:rtl w:val="0"/>
        </w:rPr>
      </w:r>
    </w:p>
    <w:p w:rsidR="00000000" w:rsidDel="00000000" w:rsidP="00000000" w:rsidRDefault="00000000" w:rsidRPr="00000000" w14:paraId="00000BD7">
      <w:pPr>
        <w:spacing w:line="480" w:lineRule="auto"/>
        <w:jc w:val="both"/>
        <w:rPr>
          <w:sz w:val="22"/>
          <w:szCs w:val="22"/>
        </w:rPr>
      </w:pPr>
      <w:r w:rsidDel="00000000" w:rsidR="00000000" w:rsidRPr="00000000">
        <w:rPr>
          <w:sz w:val="22"/>
          <w:szCs w:val="22"/>
          <w:rtl w:val="0"/>
        </w:rPr>
        <w:t xml:space="preserve">The findings of this research suggest the experiences of this patient group is complex and multifaceted, resulting from a combination of factors. These include personal beliefs, communication with healthcare professionals and perceived benefits of medications. Accepting medicines is a complex decision that encompasses several factors, including previous experiences of practitioner communication and their perceived necessity. In patients that could be described as “</w:t>
      </w:r>
      <w:r w:rsidDel="00000000" w:rsidR="00000000" w:rsidRPr="00000000">
        <w:rPr>
          <w:i w:val="1"/>
          <w:sz w:val="22"/>
          <w:szCs w:val="22"/>
          <w:rtl w:val="0"/>
        </w:rPr>
        <w:t xml:space="preserve">treatment naïve</w:t>
      </w:r>
      <w:r w:rsidDel="00000000" w:rsidR="00000000" w:rsidRPr="00000000">
        <w:rPr>
          <w:sz w:val="22"/>
          <w:szCs w:val="22"/>
          <w:rtl w:val="0"/>
        </w:rPr>
        <w:t xml:space="preserve">”, there appears to be a passive acceptance of medicines, and therefore treatment, a central responsibility of patients per Parsons (1951). Those who describe a previous positive experience with medicines, for example an alleviation of symptoms, alongside a perception their practitioner is open and honest, were more likely to accept medicines. This patient group continuously evaluated their use against the emergence of side effects, their perceived efficacy and therapeutic benefit, and the wider implications of their use. This was often described as a “</w:t>
      </w:r>
      <w:r w:rsidDel="00000000" w:rsidR="00000000" w:rsidRPr="00000000">
        <w:rPr>
          <w:i w:val="1"/>
          <w:sz w:val="22"/>
          <w:szCs w:val="22"/>
          <w:rtl w:val="0"/>
        </w:rPr>
        <w:t xml:space="preserve">trial and error</w:t>
      </w:r>
      <w:r w:rsidDel="00000000" w:rsidR="00000000" w:rsidRPr="00000000">
        <w:rPr>
          <w:sz w:val="22"/>
          <w:szCs w:val="22"/>
          <w:rtl w:val="0"/>
        </w:rPr>
        <w:t xml:space="preserve">” approach. Some, however, report becoming “</w:t>
      </w:r>
      <w:r w:rsidDel="00000000" w:rsidR="00000000" w:rsidRPr="00000000">
        <w:rPr>
          <w:i w:val="1"/>
          <w:sz w:val="22"/>
          <w:szCs w:val="22"/>
          <w:rtl w:val="0"/>
        </w:rPr>
        <w:t xml:space="preserve">trapped</w:t>
      </w:r>
      <w:r w:rsidDel="00000000" w:rsidR="00000000" w:rsidRPr="00000000">
        <w:rPr>
          <w:sz w:val="22"/>
          <w:szCs w:val="22"/>
          <w:rtl w:val="0"/>
        </w:rPr>
        <w:t xml:space="preserve">” in their use. This is a result of concerns regarding side effects or a decompensation in their health condition yet are worried about associated withdrawal symptoms if they begin to reduce. This again, is typically informed by previous experiences of medicine use and previous attempts at cessation. </w:t>
      </w:r>
    </w:p>
    <w:p w:rsidR="00000000" w:rsidDel="00000000" w:rsidP="00000000" w:rsidRDefault="00000000" w:rsidRPr="00000000" w14:paraId="00000BD8">
      <w:pPr>
        <w:spacing w:line="480" w:lineRule="auto"/>
        <w:jc w:val="both"/>
        <w:rPr>
          <w:sz w:val="22"/>
          <w:szCs w:val="22"/>
        </w:rPr>
      </w:pPr>
      <w:r w:rsidDel="00000000" w:rsidR="00000000" w:rsidRPr="00000000">
        <w:rPr>
          <w:rtl w:val="0"/>
        </w:rPr>
      </w:r>
    </w:p>
    <w:p w:rsidR="00000000" w:rsidDel="00000000" w:rsidP="00000000" w:rsidRDefault="00000000" w:rsidRPr="00000000" w14:paraId="00000BD9">
      <w:pPr>
        <w:spacing w:line="480" w:lineRule="auto"/>
        <w:jc w:val="both"/>
        <w:rPr>
          <w:sz w:val="22"/>
          <w:szCs w:val="22"/>
        </w:rPr>
      </w:pPr>
      <w:r w:rsidDel="00000000" w:rsidR="00000000" w:rsidRPr="00000000">
        <w:rPr>
          <w:sz w:val="22"/>
          <w:szCs w:val="22"/>
          <w:rtl w:val="0"/>
        </w:rPr>
        <w:t xml:space="preserve">Patients are generally open to using medicines, permitting they are given adequate information in order to make an informed choice. Several participants reported a lack of adequate information to make informed choices about their treatment. This included limited, or no, disclosure of side effects and risks associated with their medications. In such instances, obtaining Informed Consent becomes problematic, potentially contradicting a responsibility of practitioners, working outside the bounds of “</w:t>
      </w:r>
      <w:r w:rsidDel="00000000" w:rsidR="00000000" w:rsidRPr="00000000">
        <w:rPr>
          <w:i w:val="1"/>
          <w:sz w:val="22"/>
          <w:szCs w:val="22"/>
          <w:rtl w:val="0"/>
        </w:rPr>
        <w:t xml:space="preserve">professional conduct</w:t>
      </w:r>
      <w:r w:rsidDel="00000000" w:rsidR="00000000" w:rsidRPr="00000000">
        <w:rPr>
          <w:sz w:val="22"/>
          <w:szCs w:val="22"/>
          <w:rtl w:val="0"/>
        </w:rPr>
        <w:t xml:space="preserve">”. Informed Consent is a fundamental principle in contemporary healthcare. Moreover, a holistic understanding of the patient is imperative, but this is often lacking. This, again, could be interpreted as going against the remit of professional conduct, contradicting the responsibilities of the practitioner as outlined by Parsons (1951) and the tenets of Shared Decision Making. </w:t>
      </w:r>
    </w:p>
    <w:p w:rsidR="00000000" w:rsidDel="00000000" w:rsidP="00000000" w:rsidRDefault="00000000" w:rsidRPr="00000000" w14:paraId="00000BDA">
      <w:pPr>
        <w:spacing w:line="480" w:lineRule="auto"/>
        <w:jc w:val="both"/>
        <w:rPr>
          <w:sz w:val="22"/>
          <w:szCs w:val="22"/>
        </w:rPr>
      </w:pPr>
      <w:r w:rsidDel="00000000" w:rsidR="00000000" w:rsidRPr="00000000">
        <w:rPr>
          <w:rtl w:val="0"/>
        </w:rPr>
      </w:r>
    </w:p>
    <w:p w:rsidR="00000000" w:rsidDel="00000000" w:rsidP="00000000" w:rsidRDefault="00000000" w:rsidRPr="00000000" w14:paraId="00000BDB">
      <w:pPr>
        <w:spacing w:line="480" w:lineRule="auto"/>
        <w:jc w:val="both"/>
        <w:rPr>
          <w:sz w:val="22"/>
          <w:szCs w:val="22"/>
        </w:rPr>
      </w:pPr>
      <w:r w:rsidDel="00000000" w:rsidR="00000000" w:rsidRPr="00000000">
        <w:rPr>
          <w:sz w:val="22"/>
          <w:szCs w:val="22"/>
          <w:rtl w:val="0"/>
        </w:rPr>
        <w:t xml:space="preserve">Healthcare practitioners may have a role to play in the formation and maintenance of prescribed drug dependency and illness. Healthcare professionals who reportedly offer little support or access to alternative treatments and secondary care also have a role to play in the “</w:t>
      </w:r>
      <w:r w:rsidDel="00000000" w:rsidR="00000000" w:rsidRPr="00000000">
        <w:rPr>
          <w:i w:val="1"/>
          <w:sz w:val="22"/>
          <w:szCs w:val="22"/>
          <w:rtl w:val="0"/>
        </w:rPr>
        <w:t xml:space="preserve">Medication Trap</w:t>
      </w:r>
      <w:r w:rsidDel="00000000" w:rsidR="00000000" w:rsidRPr="00000000">
        <w:rPr>
          <w:sz w:val="22"/>
          <w:szCs w:val="22"/>
          <w:rtl w:val="0"/>
        </w:rPr>
        <w:t xml:space="preserve">”, and therefore prescribed drug dependence. Access to alternative treatments and secondary care was described as challenging for some participants. This was particularly evident in participants who describe a complex health condition, or lack of formal diagnosis. This has led to a perception that medicines are the only treatment option, despite their concerns regarding risks. Whilst some participants report being offered and satisfied with alternative therapies, others found them unsuitable or inaccessible. Some participants were denied access to these treatments due to the complexity of their health conditions, while others faced substantial wait times. This has led to extended prescribing periods beyond clinical guidelines, often with further prescriptions to manage the side effects of the primary medication. As discussed throughout this research, these prolonged prescribing periods are associated with a dependence on prescribed medications. Overprescribing and risky polypharmacy has been identified, often to manage symptoms associated with other medicines or a complex patient presentation.</w:t>
      </w:r>
    </w:p>
    <w:p w:rsidR="00000000" w:rsidDel="00000000" w:rsidP="00000000" w:rsidRDefault="00000000" w:rsidRPr="00000000" w14:paraId="00000BDC">
      <w:pPr>
        <w:spacing w:line="480" w:lineRule="auto"/>
        <w:jc w:val="both"/>
        <w:rPr>
          <w:sz w:val="22"/>
          <w:szCs w:val="22"/>
        </w:rPr>
      </w:pPr>
      <w:r w:rsidDel="00000000" w:rsidR="00000000" w:rsidRPr="00000000">
        <w:rPr>
          <w:rtl w:val="0"/>
        </w:rPr>
      </w:r>
    </w:p>
    <w:p w:rsidR="00000000" w:rsidDel="00000000" w:rsidP="00000000" w:rsidRDefault="00000000" w:rsidRPr="00000000" w14:paraId="00000BDD">
      <w:pPr>
        <w:spacing w:line="480" w:lineRule="auto"/>
        <w:jc w:val="both"/>
        <w:rPr>
          <w:sz w:val="22"/>
          <w:szCs w:val="22"/>
        </w:rPr>
      </w:pPr>
      <w:r w:rsidDel="00000000" w:rsidR="00000000" w:rsidRPr="00000000">
        <w:rPr>
          <w:sz w:val="22"/>
          <w:szCs w:val="22"/>
          <w:rtl w:val="0"/>
        </w:rPr>
        <w:t xml:space="preserve">Practitioners may, however, encounter systemic constraints that limit the availability of secondary care, such as reduced funding for the National Health Service and the Department for Health and Social Care. This can result in prolonged waiting times and diminished access to services. In instances where services are unavailable or have extensive waiting times, continued prescribing may be viewed as acting in the best interests of the patient, a responsibility outlined by Parsons (1951). While this approach ensures that patients receive some form of treatment, it can complicate the practitioner-patient relationship, as there may be a perception that pharmaceutical interventions are prioritised over alternative therapeutic treatments.</w:t>
      </w:r>
    </w:p>
    <w:p w:rsidR="00000000" w:rsidDel="00000000" w:rsidP="00000000" w:rsidRDefault="00000000" w:rsidRPr="00000000" w14:paraId="00000BDE">
      <w:pPr>
        <w:spacing w:line="480" w:lineRule="auto"/>
        <w:jc w:val="both"/>
        <w:rPr>
          <w:sz w:val="22"/>
          <w:szCs w:val="22"/>
        </w:rPr>
      </w:pPr>
      <w:r w:rsidDel="00000000" w:rsidR="00000000" w:rsidRPr="00000000">
        <w:rPr>
          <w:rtl w:val="0"/>
        </w:rPr>
      </w:r>
    </w:p>
    <w:p w:rsidR="00000000" w:rsidDel="00000000" w:rsidP="00000000" w:rsidRDefault="00000000" w:rsidRPr="00000000" w14:paraId="00000BDF">
      <w:pPr>
        <w:spacing w:line="480" w:lineRule="auto"/>
        <w:jc w:val="both"/>
        <w:rPr>
          <w:sz w:val="22"/>
          <w:szCs w:val="22"/>
        </w:rPr>
      </w:pPr>
      <w:r w:rsidDel="00000000" w:rsidR="00000000" w:rsidRPr="00000000">
        <w:rPr>
          <w:sz w:val="22"/>
          <w:szCs w:val="22"/>
          <w:rtl w:val="0"/>
        </w:rPr>
        <w:t xml:space="preserve">To conclude, although considered outdated by some, Parsons’ sick role can still be applicable. Parsons (1951) emphasised the temporary nature of illness, where individuals are expected to recover “</w:t>
      </w:r>
      <w:r w:rsidDel="00000000" w:rsidR="00000000" w:rsidRPr="00000000">
        <w:rPr>
          <w:i w:val="1"/>
          <w:sz w:val="22"/>
          <w:szCs w:val="22"/>
          <w:rtl w:val="0"/>
        </w:rPr>
        <w:t xml:space="preserve">as quickly as possible</w:t>
      </w:r>
      <w:r w:rsidDel="00000000" w:rsidR="00000000" w:rsidRPr="00000000">
        <w:rPr>
          <w:sz w:val="22"/>
          <w:szCs w:val="22"/>
          <w:rtl w:val="0"/>
        </w:rPr>
        <w:t xml:space="preserve">”. This research supports this assertion, as no participants expressed contentment with their ongoing illness. Patients access treatment and appear to fulfil their obligations by acknowledging their illness and seeking medical attention. These patients access healthcare in order to become well, at the soonest opportunity, but they are, however, unable to fully comply with the obligations set by Parsons (1951), since there appears to be a limited capacity for patients to move away from medicines, and therefore move out of their position in the sick role. Yet, due to barriers experienced by both patients and practitioners within the healthcare system, they are unable to recover and leave the sick role as quickly as Parsons asserts they should.</w:t>
      </w:r>
    </w:p>
    <w:p w:rsidR="00000000" w:rsidDel="00000000" w:rsidP="00000000" w:rsidRDefault="00000000" w:rsidRPr="00000000" w14:paraId="00000BE0">
      <w:pPr>
        <w:spacing w:line="480" w:lineRule="auto"/>
        <w:jc w:val="both"/>
        <w:rPr>
          <w:sz w:val="22"/>
          <w:szCs w:val="22"/>
        </w:rPr>
      </w:pPr>
      <w:r w:rsidDel="00000000" w:rsidR="00000000" w:rsidRPr="00000000">
        <w:rPr>
          <w:rtl w:val="0"/>
        </w:rPr>
      </w:r>
    </w:p>
    <w:p w:rsidR="00000000" w:rsidDel="00000000" w:rsidP="00000000" w:rsidRDefault="00000000" w:rsidRPr="00000000" w14:paraId="00000BE1">
      <w:pPr>
        <w:tabs>
          <w:tab w:val="right" w:leader="none" w:pos="9026"/>
        </w:tabs>
        <w:spacing w:line="480" w:lineRule="auto"/>
        <w:jc w:val="both"/>
        <w:rPr>
          <w:sz w:val="22"/>
          <w:szCs w:val="22"/>
        </w:rPr>
      </w:pPr>
      <w:r w:rsidDel="00000000" w:rsidR="00000000" w:rsidRPr="00000000">
        <w:rPr>
          <w:sz w:val="22"/>
          <w:szCs w:val="22"/>
          <w:rtl w:val="0"/>
        </w:rPr>
        <w:t xml:space="preserve">Healthcare practitioners appear to assert their rights, as evidenced by their perceived control and autonomy in their practice, yet, they are also seen as dismissing their responsibilities, particularly when dealing with complex patients, due to perceived limitations within in their skill set or knowledge. Furthermore, healthcare professionals may experience perceived or actual barriers to providing alternative treatments and secondary care may impede their patient’s ability to recover within a reasonable timeframe. These treatments often offer more effective and appropriate solutions, but practitioners may lack the capacity to provide them, as a consequence of the systemic issues discussed. Therefore, continued prescribing to manage the symptoms of a health complaint, such as chronic pain and poor mental health, may allow partial alleviation to the patient and their position within the sick role.</w:t>
      </w:r>
    </w:p>
    <w:p w:rsidR="00000000" w:rsidDel="00000000" w:rsidP="00000000" w:rsidRDefault="00000000" w:rsidRPr="00000000" w14:paraId="00000BE2">
      <w:pPr>
        <w:tabs>
          <w:tab w:val="right" w:leader="none" w:pos="9026"/>
        </w:tabs>
        <w:spacing w:line="480" w:lineRule="auto"/>
        <w:jc w:val="both"/>
        <w:rPr>
          <w:sz w:val="22"/>
          <w:szCs w:val="22"/>
        </w:rPr>
      </w:pPr>
      <w:r w:rsidDel="00000000" w:rsidR="00000000" w:rsidRPr="00000000">
        <w:rPr>
          <w:rtl w:val="0"/>
        </w:rPr>
      </w:r>
    </w:p>
    <w:p w:rsidR="00000000" w:rsidDel="00000000" w:rsidP="00000000" w:rsidRDefault="00000000" w:rsidRPr="00000000" w14:paraId="00000BE3">
      <w:pPr>
        <w:pStyle w:val="Heading1"/>
        <w:spacing w:line="480" w:lineRule="auto"/>
        <w:jc w:val="both"/>
        <w:rPr/>
      </w:pPr>
      <w:bookmarkStart w:colFirst="0" w:colLast="0" w:name="_heading=h.302dr9l" w:id="146"/>
      <w:bookmarkEnd w:id="146"/>
      <w:r w:rsidDel="00000000" w:rsidR="00000000" w:rsidRPr="00000000">
        <w:rPr>
          <w:rtl w:val="0"/>
        </w:rPr>
        <w:t xml:space="preserve">References</w:t>
      </w:r>
    </w:p>
    <w:p w:rsidR="00000000" w:rsidDel="00000000" w:rsidP="00000000" w:rsidRDefault="00000000" w:rsidRPr="00000000" w14:paraId="00000BE4">
      <w:pPr>
        <w:jc w:val="both"/>
        <w:rPr>
          <w:sz w:val="22"/>
          <w:szCs w:val="22"/>
        </w:rPr>
      </w:pPr>
      <w:r w:rsidDel="00000000" w:rsidR="00000000" w:rsidRPr="00000000">
        <w:rPr>
          <w:sz w:val="22"/>
          <w:szCs w:val="22"/>
          <w:rtl w:val="0"/>
        </w:rPr>
        <w:t xml:space="preserve">Achterberg J. (1991). Woman as Healer: A Comprehensive Survey from Prehistoric Times to the Present Day. London, Rider.</w:t>
      </w:r>
    </w:p>
    <w:p w:rsidR="00000000" w:rsidDel="00000000" w:rsidP="00000000" w:rsidRDefault="00000000" w:rsidRPr="00000000" w14:paraId="00000BE5">
      <w:pPr>
        <w:jc w:val="both"/>
        <w:rPr>
          <w:sz w:val="22"/>
          <w:szCs w:val="22"/>
        </w:rPr>
      </w:pPr>
      <w:r w:rsidDel="00000000" w:rsidR="00000000" w:rsidRPr="00000000">
        <w:rPr>
          <w:rtl w:val="0"/>
        </w:rPr>
      </w:r>
    </w:p>
    <w:p w:rsidR="00000000" w:rsidDel="00000000" w:rsidP="00000000" w:rsidRDefault="00000000" w:rsidRPr="00000000" w14:paraId="00000BE6">
      <w:pPr>
        <w:jc w:val="both"/>
        <w:rPr>
          <w:sz w:val="22"/>
          <w:szCs w:val="22"/>
        </w:rPr>
      </w:pPr>
      <w:r w:rsidDel="00000000" w:rsidR="00000000" w:rsidRPr="00000000">
        <w:rPr>
          <w:sz w:val="22"/>
          <w:szCs w:val="22"/>
          <w:rtl w:val="0"/>
        </w:rPr>
        <w:t xml:space="preserve">Adams J. Hillier-Brown FC. Moore HJ. Lake AA. Araujo-Soares V. White M. Summerbell C. (2016). "Searching and synthesising ‘grey literature’ and ‘grey information’ in public health: critical reflections on three case studies." </w:t>
      </w:r>
      <w:r w:rsidDel="00000000" w:rsidR="00000000" w:rsidRPr="00000000">
        <w:rPr>
          <w:i w:val="1"/>
          <w:sz w:val="22"/>
          <w:szCs w:val="22"/>
          <w:rtl w:val="0"/>
        </w:rPr>
        <w:t xml:space="preserve">Systematic Reviews</w:t>
      </w:r>
      <w:r w:rsidDel="00000000" w:rsidR="00000000" w:rsidRPr="00000000">
        <w:rPr>
          <w:sz w:val="22"/>
          <w:szCs w:val="22"/>
          <w:rtl w:val="0"/>
        </w:rPr>
        <w:t xml:space="preserve"> 51(4): 164-164.</w:t>
      </w:r>
    </w:p>
    <w:p w:rsidR="00000000" w:rsidDel="00000000" w:rsidP="00000000" w:rsidRDefault="00000000" w:rsidRPr="00000000" w14:paraId="00000BE7">
      <w:pPr>
        <w:jc w:val="both"/>
        <w:rPr>
          <w:sz w:val="22"/>
          <w:szCs w:val="22"/>
        </w:rPr>
      </w:pPr>
      <w:r w:rsidDel="00000000" w:rsidR="00000000" w:rsidRPr="00000000">
        <w:rPr>
          <w:rtl w:val="0"/>
        </w:rPr>
      </w:r>
    </w:p>
    <w:p w:rsidR="00000000" w:rsidDel="00000000" w:rsidP="00000000" w:rsidRDefault="00000000" w:rsidRPr="00000000" w14:paraId="00000BE8">
      <w:pPr>
        <w:jc w:val="both"/>
        <w:rPr>
          <w:sz w:val="22"/>
          <w:szCs w:val="22"/>
        </w:rPr>
      </w:pPr>
      <w:r w:rsidDel="00000000" w:rsidR="00000000" w:rsidRPr="00000000">
        <w:rPr>
          <w:sz w:val="22"/>
          <w:szCs w:val="22"/>
          <w:rtl w:val="0"/>
        </w:rPr>
        <w:t xml:space="preserve">Advisory Council on the Misuse of Drugs (2021). Consumer cannabidiol (CBD) products report. Advisory Council on the Misuse of Drugs. Available at:  </w:t>
      </w:r>
      <w:hyperlink r:id="rId9">
        <w:r w:rsidDel="00000000" w:rsidR="00000000" w:rsidRPr="00000000">
          <w:rPr>
            <w:color w:val="467886"/>
            <w:sz w:val="22"/>
            <w:szCs w:val="22"/>
            <w:u w:val="single"/>
            <w:rtl w:val="0"/>
          </w:rPr>
          <w:t xml:space="preserve">https://www.gov.uk/government/publications/acmd-advice-on-consumer-cannabidiol-cbd-products/consumer-cannabidiol-cbd-products-report-accessible-version</w:t>
        </w:r>
      </w:hyperlink>
      <w:r w:rsidDel="00000000" w:rsidR="00000000" w:rsidRPr="00000000">
        <w:rPr>
          <w:sz w:val="22"/>
          <w:szCs w:val="22"/>
          <w:rtl w:val="0"/>
        </w:rPr>
        <w:t xml:space="preserve"> (02/02/2023)</w:t>
      </w:r>
    </w:p>
    <w:p w:rsidR="00000000" w:rsidDel="00000000" w:rsidP="00000000" w:rsidRDefault="00000000" w:rsidRPr="00000000" w14:paraId="00000BE9">
      <w:pPr>
        <w:jc w:val="both"/>
        <w:rPr>
          <w:sz w:val="22"/>
          <w:szCs w:val="22"/>
        </w:rPr>
      </w:pPr>
      <w:r w:rsidDel="00000000" w:rsidR="00000000" w:rsidRPr="00000000">
        <w:rPr>
          <w:rtl w:val="0"/>
        </w:rPr>
      </w:r>
    </w:p>
    <w:p w:rsidR="00000000" w:rsidDel="00000000" w:rsidP="00000000" w:rsidRDefault="00000000" w:rsidRPr="00000000" w14:paraId="00000BEA">
      <w:pPr>
        <w:jc w:val="both"/>
        <w:rPr>
          <w:sz w:val="22"/>
          <w:szCs w:val="22"/>
        </w:rPr>
      </w:pPr>
      <w:r w:rsidDel="00000000" w:rsidR="00000000" w:rsidRPr="00000000">
        <w:rPr>
          <w:sz w:val="22"/>
          <w:szCs w:val="22"/>
          <w:rtl w:val="0"/>
        </w:rPr>
        <w:t xml:space="preserve">Agenagnew L. Kassaw C. (2020). "The Lifetime Prevalence and Factors Associated with Relapse Among Mentally Ill Patients at Jimma University Medical Center, Ethiopia: Cross Sectional Study." </w:t>
      </w:r>
      <w:r w:rsidDel="00000000" w:rsidR="00000000" w:rsidRPr="00000000">
        <w:rPr>
          <w:i w:val="1"/>
          <w:sz w:val="22"/>
          <w:szCs w:val="22"/>
          <w:rtl w:val="0"/>
        </w:rPr>
        <w:t xml:space="preserve">Journal of Psychosocial Rehabilitation and Mental Health</w:t>
      </w:r>
      <w:r w:rsidDel="00000000" w:rsidR="00000000" w:rsidRPr="00000000">
        <w:rPr>
          <w:sz w:val="22"/>
          <w:szCs w:val="22"/>
          <w:rtl w:val="0"/>
        </w:rPr>
        <w:t xml:space="preserve"> 7: 211-220.</w:t>
      </w:r>
    </w:p>
    <w:p w:rsidR="00000000" w:rsidDel="00000000" w:rsidP="00000000" w:rsidRDefault="00000000" w:rsidRPr="00000000" w14:paraId="00000BEB">
      <w:pPr>
        <w:jc w:val="both"/>
        <w:rPr>
          <w:sz w:val="22"/>
          <w:szCs w:val="22"/>
        </w:rPr>
      </w:pPr>
      <w:r w:rsidDel="00000000" w:rsidR="00000000" w:rsidRPr="00000000">
        <w:rPr>
          <w:rtl w:val="0"/>
        </w:rPr>
      </w:r>
    </w:p>
    <w:p w:rsidR="00000000" w:rsidDel="00000000" w:rsidP="00000000" w:rsidRDefault="00000000" w:rsidRPr="00000000" w14:paraId="00000BEC">
      <w:pPr>
        <w:jc w:val="both"/>
        <w:rPr>
          <w:sz w:val="22"/>
          <w:szCs w:val="22"/>
        </w:rPr>
      </w:pPr>
      <w:r w:rsidDel="00000000" w:rsidR="00000000" w:rsidRPr="00000000">
        <w:rPr>
          <w:sz w:val="22"/>
          <w:szCs w:val="22"/>
          <w:rtl w:val="0"/>
        </w:rPr>
        <w:t xml:space="preserve">Agency for Healthcare Research and Quality (2022). What is Patient Experience? </w:t>
      </w:r>
      <w:hyperlink r:id="rId10">
        <w:r w:rsidDel="00000000" w:rsidR="00000000" w:rsidRPr="00000000">
          <w:rPr>
            <w:color w:val="467886"/>
            <w:sz w:val="22"/>
            <w:szCs w:val="22"/>
            <w:u w:val="single"/>
            <w:rtl w:val="0"/>
          </w:rPr>
          <w:t xml:space="preserve">https://www.ahrq.gov/cahps/about-cahps/patient-experience/index.html</w:t>
        </w:r>
      </w:hyperlink>
      <w:r w:rsidDel="00000000" w:rsidR="00000000" w:rsidRPr="00000000">
        <w:rPr>
          <w:sz w:val="22"/>
          <w:szCs w:val="22"/>
          <w:rtl w:val="0"/>
        </w:rPr>
        <w:t xml:space="preserve">. Date Accessed: 20/05/2022</w:t>
      </w:r>
    </w:p>
    <w:p w:rsidR="00000000" w:rsidDel="00000000" w:rsidP="00000000" w:rsidRDefault="00000000" w:rsidRPr="00000000" w14:paraId="00000BED">
      <w:pPr>
        <w:jc w:val="both"/>
        <w:rPr>
          <w:sz w:val="22"/>
          <w:szCs w:val="22"/>
        </w:rPr>
      </w:pPr>
      <w:r w:rsidDel="00000000" w:rsidR="00000000" w:rsidRPr="00000000">
        <w:rPr>
          <w:rtl w:val="0"/>
        </w:rPr>
      </w:r>
    </w:p>
    <w:p w:rsidR="00000000" w:rsidDel="00000000" w:rsidP="00000000" w:rsidRDefault="00000000" w:rsidRPr="00000000" w14:paraId="00000BEE">
      <w:pPr>
        <w:jc w:val="both"/>
        <w:rPr>
          <w:sz w:val="22"/>
          <w:szCs w:val="22"/>
        </w:rPr>
      </w:pPr>
      <w:r w:rsidDel="00000000" w:rsidR="00000000" w:rsidRPr="00000000">
        <w:rPr>
          <w:sz w:val="22"/>
          <w:szCs w:val="22"/>
          <w:rtl w:val="0"/>
        </w:rPr>
        <w:t xml:space="preserve">Agrawal R. (2020). "Careful Prescribing of Benzodiazepines during COVID-19 Pandemic: A Review." </w:t>
      </w:r>
      <w:r w:rsidDel="00000000" w:rsidR="00000000" w:rsidRPr="00000000">
        <w:rPr>
          <w:i w:val="1"/>
          <w:sz w:val="22"/>
          <w:szCs w:val="22"/>
          <w:rtl w:val="0"/>
        </w:rPr>
        <w:t xml:space="preserve">Journal of Mental Health and Clinical Psychology</w:t>
      </w:r>
      <w:r w:rsidDel="00000000" w:rsidR="00000000" w:rsidRPr="00000000">
        <w:rPr>
          <w:sz w:val="22"/>
          <w:szCs w:val="22"/>
          <w:rtl w:val="0"/>
        </w:rPr>
        <w:t xml:space="preserve">.</w:t>
      </w:r>
    </w:p>
    <w:p w:rsidR="00000000" w:rsidDel="00000000" w:rsidP="00000000" w:rsidRDefault="00000000" w:rsidRPr="00000000" w14:paraId="00000BEF">
      <w:pPr>
        <w:jc w:val="both"/>
        <w:rPr>
          <w:sz w:val="22"/>
          <w:szCs w:val="22"/>
        </w:rPr>
      </w:pPr>
      <w:r w:rsidDel="00000000" w:rsidR="00000000" w:rsidRPr="00000000">
        <w:rPr>
          <w:rtl w:val="0"/>
        </w:rPr>
      </w:r>
    </w:p>
    <w:p w:rsidR="00000000" w:rsidDel="00000000" w:rsidP="00000000" w:rsidRDefault="00000000" w:rsidRPr="00000000" w14:paraId="00000BF0">
      <w:pPr>
        <w:jc w:val="both"/>
        <w:rPr>
          <w:sz w:val="22"/>
          <w:szCs w:val="22"/>
        </w:rPr>
      </w:pPr>
      <w:r w:rsidDel="00000000" w:rsidR="00000000" w:rsidRPr="00000000">
        <w:rPr>
          <w:sz w:val="22"/>
          <w:szCs w:val="22"/>
          <w:rtl w:val="0"/>
        </w:rPr>
        <w:t xml:space="preserve">Ait-Daoud N. Hamby AS. Sharma S. Blevins D. (2018). "A Review of Alprazolam Use, Misuse, and Withdrawal." </w:t>
      </w:r>
      <w:r w:rsidDel="00000000" w:rsidR="00000000" w:rsidRPr="00000000">
        <w:rPr>
          <w:i w:val="1"/>
          <w:sz w:val="22"/>
          <w:szCs w:val="22"/>
          <w:rtl w:val="0"/>
        </w:rPr>
        <w:t xml:space="preserve">J Addict Med</w:t>
      </w:r>
      <w:r w:rsidDel="00000000" w:rsidR="00000000" w:rsidRPr="00000000">
        <w:rPr>
          <w:sz w:val="22"/>
          <w:szCs w:val="22"/>
          <w:rtl w:val="0"/>
        </w:rPr>
        <w:t xml:space="preserve"> 12(1): 4-10.</w:t>
      </w:r>
    </w:p>
    <w:p w:rsidR="00000000" w:rsidDel="00000000" w:rsidP="00000000" w:rsidRDefault="00000000" w:rsidRPr="00000000" w14:paraId="00000BF1">
      <w:pPr>
        <w:jc w:val="both"/>
        <w:rPr>
          <w:sz w:val="22"/>
          <w:szCs w:val="22"/>
        </w:rPr>
      </w:pPr>
      <w:r w:rsidDel="00000000" w:rsidR="00000000" w:rsidRPr="00000000">
        <w:rPr>
          <w:rtl w:val="0"/>
        </w:rPr>
      </w:r>
    </w:p>
    <w:p w:rsidR="00000000" w:rsidDel="00000000" w:rsidP="00000000" w:rsidRDefault="00000000" w:rsidRPr="00000000" w14:paraId="00000BF2">
      <w:pPr>
        <w:jc w:val="both"/>
        <w:rPr>
          <w:sz w:val="22"/>
          <w:szCs w:val="22"/>
        </w:rPr>
      </w:pPr>
      <w:r w:rsidDel="00000000" w:rsidR="00000000" w:rsidRPr="00000000">
        <w:rPr>
          <w:sz w:val="22"/>
          <w:szCs w:val="22"/>
          <w:rtl w:val="0"/>
        </w:rPr>
        <w:t xml:space="preserve">Aja B. (2017). "The Effects Of Pain On Informed Consent." </w:t>
      </w:r>
      <w:r w:rsidDel="00000000" w:rsidR="00000000" w:rsidRPr="00000000">
        <w:rPr>
          <w:i w:val="1"/>
          <w:sz w:val="22"/>
          <w:szCs w:val="22"/>
          <w:rtl w:val="0"/>
        </w:rPr>
        <w:t xml:space="preserve">Nurse Anaesthesia Capstones</w:t>
      </w:r>
      <w:r w:rsidDel="00000000" w:rsidR="00000000" w:rsidRPr="00000000">
        <w:rPr>
          <w:sz w:val="22"/>
          <w:szCs w:val="22"/>
          <w:rtl w:val="0"/>
        </w:rPr>
        <w:t xml:space="preserve">: 1-32.</w:t>
      </w:r>
    </w:p>
    <w:p w:rsidR="00000000" w:rsidDel="00000000" w:rsidP="00000000" w:rsidRDefault="00000000" w:rsidRPr="00000000" w14:paraId="00000BF3">
      <w:pPr>
        <w:jc w:val="both"/>
        <w:rPr>
          <w:sz w:val="22"/>
          <w:szCs w:val="22"/>
        </w:rPr>
      </w:pPr>
      <w:r w:rsidDel="00000000" w:rsidR="00000000" w:rsidRPr="00000000">
        <w:rPr>
          <w:rtl w:val="0"/>
        </w:rPr>
      </w:r>
    </w:p>
    <w:p w:rsidR="00000000" w:rsidDel="00000000" w:rsidP="00000000" w:rsidRDefault="00000000" w:rsidRPr="00000000" w14:paraId="00000BF4">
      <w:pPr>
        <w:jc w:val="both"/>
        <w:rPr>
          <w:sz w:val="22"/>
          <w:szCs w:val="22"/>
        </w:rPr>
      </w:pPr>
      <w:r w:rsidDel="00000000" w:rsidR="00000000" w:rsidRPr="00000000">
        <w:rPr>
          <w:sz w:val="22"/>
          <w:szCs w:val="22"/>
          <w:rtl w:val="0"/>
        </w:rPr>
        <w:t xml:space="preserve">Akrich, M. (2009). "From communities of practice to epistemic communities: health mobilizations on the internet." </w:t>
      </w:r>
      <w:r w:rsidDel="00000000" w:rsidR="00000000" w:rsidRPr="00000000">
        <w:rPr>
          <w:i w:val="1"/>
          <w:sz w:val="22"/>
          <w:szCs w:val="22"/>
          <w:rtl w:val="0"/>
        </w:rPr>
        <w:t xml:space="preserve">Sociological Research Online</w:t>
      </w:r>
      <w:r w:rsidDel="00000000" w:rsidR="00000000" w:rsidRPr="00000000">
        <w:rPr>
          <w:sz w:val="22"/>
          <w:szCs w:val="22"/>
          <w:rtl w:val="0"/>
        </w:rPr>
        <w:t xml:space="preserve"> 15(2): 10-27.</w:t>
      </w:r>
    </w:p>
    <w:p w:rsidR="00000000" w:rsidDel="00000000" w:rsidP="00000000" w:rsidRDefault="00000000" w:rsidRPr="00000000" w14:paraId="00000BF5">
      <w:pPr>
        <w:jc w:val="both"/>
        <w:rPr>
          <w:sz w:val="22"/>
          <w:szCs w:val="22"/>
        </w:rPr>
      </w:pPr>
      <w:r w:rsidDel="00000000" w:rsidR="00000000" w:rsidRPr="00000000">
        <w:rPr>
          <w:rtl w:val="0"/>
        </w:rPr>
      </w:r>
    </w:p>
    <w:p w:rsidR="00000000" w:rsidDel="00000000" w:rsidP="00000000" w:rsidRDefault="00000000" w:rsidRPr="00000000" w14:paraId="00000BF6">
      <w:pPr>
        <w:jc w:val="both"/>
        <w:rPr>
          <w:sz w:val="22"/>
          <w:szCs w:val="22"/>
        </w:rPr>
      </w:pPr>
      <w:r w:rsidDel="00000000" w:rsidR="00000000" w:rsidRPr="00000000">
        <w:rPr>
          <w:sz w:val="22"/>
          <w:szCs w:val="22"/>
          <w:rtl w:val="0"/>
        </w:rPr>
        <w:t xml:space="preserve">Al Dhaheri AS. Bataineh MD. Mohamad MN. Ajab A. Al Marzouqi A. Jarrar AH. Habib-Mourad C. Abu Jamous DO. Ali HI. Al Sabbah H. Hasan H. Stojanovska L. Hashim M. Abd Elhameed OA. Shaker Obaid RR. ElFeky S. Saleh ST. Osaili TM. Cheikh Ismail L. (2021). "Impact of COVID-19 on mental health and quality of life: Is there any effect? A cross-sectional study of the MENA region." </w:t>
      </w:r>
      <w:r w:rsidDel="00000000" w:rsidR="00000000" w:rsidRPr="00000000">
        <w:rPr>
          <w:i w:val="1"/>
          <w:sz w:val="22"/>
          <w:szCs w:val="22"/>
          <w:rtl w:val="0"/>
        </w:rPr>
        <w:t xml:space="preserve">PLOS ONE</w:t>
      </w:r>
      <w:r w:rsidDel="00000000" w:rsidR="00000000" w:rsidRPr="00000000">
        <w:rPr>
          <w:sz w:val="22"/>
          <w:szCs w:val="22"/>
          <w:rtl w:val="0"/>
        </w:rPr>
        <w:t xml:space="preserve">.</w:t>
      </w:r>
    </w:p>
    <w:p w:rsidR="00000000" w:rsidDel="00000000" w:rsidP="00000000" w:rsidRDefault="00000000" w:rsidRPr="00000000" w14:paraId="00000BF7">
      <w:pPr>
        <w:jc w:val="both"/>
        <w:rPr>
          <w:sz w:val="22"/>
          <w:szCs w:val="22"/>
        </w:rPr>
      </w:pPr>
      <w:r w:rsidDel="00000000" w:rsidR="00000000" w:rsidRPr="00000000">
        <w:rPr>
          <w:rtl w:val="0"/>
        </w:rPr>
      </w:r>
    </w:p>
    <w:p w:rsidR="00000000" w:rsidDel="00000000" w:rsidP="00000000" w:rsidRDefault="00000000" w:rsidRPr="00000000" w14:paraId="00000BF8">
      <w:pPr>
        <w:jc w:val="both"/>
        <w:rPr>
          <w:sz w:val="22"/>
          <w:szCs w:val="22"/>
        </w:rPr>
      </w:pPr>
      <w:r w:rsidDel="00000000" w:rsidR="00000000" w:rsidRPr="00000000">
        <w:rPr>
          <w:sz w:val="22"/>
          <w:szCs w:val="22"/>
          <w:rtl w:val="0"/>
        </w:rPr>
        <w:t xml:space="preserve">Al-Husseini A. Van Hout MC. Mayyada, W. (2018). "Pregabalin Misuse and Abuse: A Scoping Review of Extant Literature." </w:t>
      </w:r>
      <w:r w:rsidDel="00000000" w:rsidR="00000000" w:rsidRPr="00000000">
        <w:rPr>
          <w:i w:val="1"/>
          <w:sz w:val="22"/>
          <w:szCs w:val="22"/>
          <w:rtl w:val="0"/>
        </w:rPr>
        <w:t xml:space="preserve">Journal of Drug Issues</w:t>
      </w:r>
      <w:r w:rsidDel="00000000" w:rsidR="00000000" w:rsidRPr="00000000">
        <w:rPr>
          <w:sz w:val="22"/>
          <w:szCs w:val="22"/>
          <w:rtl w:val="0"/>
        </w:rPr>
        <w:t xml:space="preserve"> 48(3): 356-376.</w:t>
      </w:r>
    </w:p>
    <w:p w:rsidR="00000000" w:rsidDel="00000000" w:rsidP="00000000" w:rsidRDefault="00000000" w:rsidRPr="00000000" w14:paraId="00000BF9">
      <w:pPr>
        <w:jc w:val="both"/>
        <w:rPr>
          <w:sz w:val="22"/>
          <w:szCs w:val="22"/>
        </w:rPr>
      </w:pPr>
      <w:r w:rsidDel="00000000" w:rsidR="00000000" w:rsidRPr="00000000">
        <w:rPr>
          <w:rtl w:val="0"/>
        </w:rPr>
      </w:r>
    </w:p>
    <w:p w:rsidR="00000000" w:rsidDel="00000000" w:rsidP="00000000" w:rsidRDefault="00000000" w:rsidRPr="00000000" w14:paraId="00000BFA">
      <w:pPr>
        <w:jc w:val="both"/>
        <w:rPr>
          <w:sz w:val="22"/>
          <w:szCs w:val="22"/>
        </w:rPr>
      </w:pPr>
      <w:r w:rsidDel="00000000" w:rsidR="00000000" w:rsidRPr="00000000">
        <w:rPr>
          <w:sz w:val="22"/>
          <w:szCs w:val="22"/>
          <w:rtl w:val="0"/>
        </w:rPr>
        <w:t xml:space="preserve">Al-Makhamreh S. Lewando-Hundt G. (2008). "“Researching ‘At Home’ as an Insider/outsider Gender Culture in an Ethnographic Study of Social Work Practice in an Arab Society.”." </w:t>
      </w:r>
      <w:r w:rsidDel="00000000" w:rsidR="00000000" w:rsidRPr="00000000">
        <w:rPr>
          <w:i w:val="1"/>
          <w:sz w:val="22"/>
          <w:szCs w:val="22"/>
          <w:rtl w:val="0"/>
        </w:rPr>
        <w:t xml:space="preserve">Qualitative Social Work</w:t>
      </w:r>
      <w:r w:rsidDel="00000000" w:rsidR="00000000" w:rsidRPr="00000000">
        <w:rPr>
          <w:sz w:val="22"/>
          <w:szCs w:val="22"/>
          <w:rtl w:val="0"/>
        </w:rPr>
        <w:t xml:space="preserve"> 7(1): 9-23.</w:t>
      </w:r>
    </w:p>
    <w:p w:rsidR="00000000" w:rsidDel="00000000" w:rsidP="00000000" w:rsidRDefault="00000000" w:rsidRPr="00000000" w14:paraId="00000BFB">
      <w:pPr>
        <w:jc w:val="both"/>
        <w:rPr>
          <w:sz w:val="22"/>
          <w:szCs w:val="22"/>
        </w:rPr>
      </w:pPr>
      <w:r w:rsidDel="00000000" w:rsidR="00000000" w:rsidRPr="00000000">
        <w:rPr>
          <w:rtl w:val="0"/>
        </w:rPr>
      </w:r>
    </w:p>
    <w:p w:rsidR="00000000" w:rsidDel="00000000" w:rsidP="00000000" w:rsidRDefault="00000000" w:rsidRPr="00000000" w14:paraId="00000BFC">
      <w:pPr>
        <w:jc w:val="both"/>
        <w:rPr>
          <w:sz w:val="22"/>
          <w:szCs w:val="22"/>
        </w:rPr>
      </w:pPr>
      <w:r w:rsidDel="00000000" w:rsidR="00000000" w:rsidRPr="00000000">
        <w:rPr>
          <w:sz w:val="22"/>
          <w:szCs w:val="22"/>
          <w:rtl w:val="0"/>
        </w:rPr>
        <w:t xml:space="preserve">Ali F. Russell C. Nafeh F. Rehm J. LeBlanc S. Elton-J. Marshall T. (2022). "Decision Making and Fibromyalgia: A Systematic Review." </w:t>
      </w:r>
      <w:r w:rsidDel="00000000" w:rsidR="00000000" w:rsidRPr="00000000">
        <w:rPr>
          <w:i w:val="1"/>
          <w:sz w:val="22"/>
          <w:szCs w:val="22"/>
          <w:rtl w:val="0"/>
        </w:rPr>
        <w:t xml:space="preserve">Brain Sci</w:t>
      </w:r>
      <w:r w:rsidDel="00000000" w:rsidR="00000000" w:rsidRPr="00000000">
        <w:rPr>
          <w:sz w:val="22"/>
          <w:szCs w:val="22"/>
          <w:rtl w:val="0"/>
        </w:rPr>
        <w:t xml:space="preserve"> 12(11): 1425-1425.</w:t>
      </w:r>
    </w:p>
    <w:p w:rsidR="00000000" w:rsidDel="00000000" w:rsidP="00000000" w:rsidRDefault="00000000" w:rsidRPr="00000000" w14:paraId="00000BFD">
      <w:pPr>
        <w:jc w:val="both"/>
        <w:rPr>
          <w:sz w:val="22"/>
          <w:szCs w:val="22"/>
        </w:rPr>
      </w:pPr>
      <w:r w:rsidDel="00000000" w:rsidR="00000000" w:rsidRPr="00000000">
        <w:rPr>
          <w:sz w:val="22"/>
          <w:szCs w:val="22"/>
          <w:rtl w:val="0"/>
        </w:rPr>
        <w:t xml:space="preserve">Ali F. Russell C. Nafeh F. Rehm J. LeBlanc S. Elton-J. Marshall T. (2021). "Changes in substance supply and use characteristics among people who use drugs (PWUD) during the COVID-19 global pandemic: a national qualitative assessment in Canada." </w:t>
      </w:r>
      <w:r w:rsidDel="00000000" w:rsidR="00000000" w:rsidRPr="00000000">
        <w:rPr>
          <w:i w:val="1"/>
          <w:sz w:val="22"/>
          <w:szCs w:val="22"/>
          <w:rtl w:val="0"/>
        </w:rPr>
        <w:t xml:space="preserve">International Journal of Drug Policy</w:t>
      </w:r>
      <w:r w:rsidDel="00000000" w:rsidR="00000000" w:rsidRPr="00000000">
        <w:rPr>
          <w:sz w:val="22"/>
          <w:szCs w:val="22"/>
          <w:rtl w:val="0"/>
        </w:rPr>
        <w:t xml:space="preserve">.</w:t>
      </w:r>
    </w:p>
    <w:p w:rsidR="00000000" w:rsidDel="00000000" w:rsidP="00000000" w:rsidRDefault="00000000" w:rsidRPr="00000000" w14:paraId="00000BFE">
      <w:pPr>
        <w:jc w:val="both"/>
        <w:rPr>
          <w:sz w:val="22"/>
          <w:szCs w:val="22"/>
        </w:rPr>
      </w:pPr>
      <w:r w:rsidDel="00000000" w:rsidR="00000000" w:rsidRPr="00000000">
        <w:rPr>
          <w:rtl w:val="0"/>
        </w:rPr>
      </w:r>
    </w:p>
    <w:p w:rsidR="00000000" w:rsidDel="00000000" w:rsidP="00000000" w:rsidRDefault="00000000" w:rsidRPr="00000000" w14:paraId="00000BFF">
      <w:pPr>
        <w:jc w:val="both"/>
        <w:rPr>
          <w:sz w:val="22"/>
          <w:szCs w:val="22"/>
        </w:rPr>
      </w:pPr>
      <w:r w:rsidDel="00000000" w:rsidR="00000000" w:rsidRPr="00000000">
        <w:rPr>
          <w:sz w:val="22"/>
          <w:szCs w:val="22"/>
          <w:rtl w:val="0"/>
        </w:rPr>
        <w:t xml:space="preserve">American Addiction Centers (2022). Post Acute Withdrawal Syndrome (PAWS). American Addiction Centers.</w:t>
      </w:r>
    </w:p>
    <w:p w:rsidR="00000000" w:rsidDel="00000000" w:rsidP="00000000" w:rsidRDefault="00000000" w:rsidRPr="00000000" w14:paraId="00000C00">
      <w:pPr>
        <w:jc w:val="both"/>
        <w:rPr>
          <w:sz w:val="22"/>
          <w:szCs w:val="22"/>
        </w:rPr>
      </w:pPr>
      <w:r w:rsidDel="00000000" w:rsidR="00000000" w:rsidRPr="00000000">
        <w:rPr>
          <w:rtl w:val="0"/>
        </w:rPr>
      </w:r>
    </w:p>
    <w:p w:rsidR="00000000" w:rsidDel="00000000" w:rsidP="00000000" w:rsidRDefault="00000000" w:rsidRPr="00000000" w14:paraId="00000C01">
      <w:pPr>
        <w:jc w:val="both"/>
        <w:rPr>
          <w:sz w:val="22"/>
          <w:szCs w:val="22"/>
        </w:rPr>
      </w:pPr>
      <w:r w:rsidDel="00000000" w:rsidR="00000000" w:rsidRPr="00000000">
        <w:rPr>
          <w:sz w:val="22"/>
          <w:szCs w:val="22"/>
          <w:rtl w:val="0"/>
        </w:rPr>
        <w:t xml:space="preserve">American Psychiatric Association. (2013). Diagnostic and Statistical Manual 5th Edition, American Psychiatric Association.</w:t>
      </w:r>
    </w:p>
    <w:p w:rsidR="00000000" w:rsidDel="00000000" w:rsidP="00000000" w:rsidRDefault="00000000" w:rsidRPr="00000000" w14:paraId="00000C02">
      <w:pPr>
        <w:jc w:val="both"/>
        <w:rPr>
          <w:sz w:val="22"/>
          <w:szCs w:val="22"/>
        </w:rPr>
      </w:pPr>
      <w:r w:rsidDel="00000000" w:rsidR="00000000" w:rsidRPr="00000000">
        <w:rPr>
          <w:rtl w:val="0"/>
        </w:rPr>
      </w:r>
    </w:p>
    <w:p w:rsidR="00000000" w:rsidDel="00000000" w:rsidP="00000000" w:rsidRDefault="00000000" w:rsidRPr="00000000" w14:paraId="00000C03">
      <w:pPr>
        <w:jc w:val="both"/>
        <w:rPr>
          <w:sz w:val="22"/>
          <w:szCs w:val="22"/>
        </w:rPr>
      </w:pPr>
      <w:r w:rsidDel="00000000" w:rsidR="00000000" w:rsidRPr="00000000">
        <w:rPr>
          <w:sz w:val="22"/>
          <w:szCs w:val="22"/>
          <w:rtl w:val="0"/>
        </w:rPr>
        <w:t xml:space="preserve">American Psychiatric Association. (2019). Americans Becoming More Open About Mental Health.</w:t>
      </w:r>
    </w:p>
    <w:p w:rsidR="00000000" w:rsidDel="00000000" w:rsidP="00000000" w:rsidRDefault="00000000" w:rsidRPr="00000000" w14:paraId="00000C04">
      <w:pPr>
        <w:jc w:val="both"/>
        <w:rPr>
          <w:sz w:val="22"/>
          <w:szCs w:val="22"/>
        </w:rPr>
      </w:pPr>
      <w:r w:rsidDel="00000000" w:rsidR="00000000" w:rsidRPr="00000000">
        <w:rPr>
          <w:rtl w:val="0"/>
        </w:rPr>
      </w:r>
    </w:p>
    <w:p w:rsidR="00000000" w:rsidDel="00000000" w:rsidP="00000000" w:rsidRDefault="00000000" w:rsidRPr="00000000" w14:paraId="00000C05">
      <w:pPr>
        <w:jc w:val="both"/>
        <w:rPr>
          <w:sz w:val="22"/>
          <w:szCs w:val="22"/>
        </w:rPr>
      </w:pPr>
      <w:r w:rsidDel="00000000" w:rsidR="00000000" w:rsidRPr="00000000">
        <w:rPr>
          <w:sz w:val="22"/>
          <w:szCs w:val="22"/>
          <w:rtl w:val="0"/>
        </w:rPr>
        <w:t xml:space="preserve">American Psychiatric Association. (2023). Prejudice and Discrimination Against People with Mental Illness. American Psychiatric Association.</w:t>
      </w:r>
    </w:p>
    <w:p w:rsidR="00000000" w:rsidDel="00000000" w:rsidP="00000000" w:rsidRDefault="00000000" w:rsidRPr="00000000" w14:paraId="00000C06">
      <w:pPr>
        <w:jc w:val="both"/>
        <w:rPr>
          <w:sz w:val="22"/>
          <w:szCs w:val="22"/>
        </w:rPr>
      </w:pPr>
      <w:r w:rsidDel="00000000" w:rsidR="00000000" w:rsidRPr="00000000">
        <w:rPr>
          <w:rtl w:val="0"/>
        </w:rPr>
      </w:r>
    </w:p>
    <w:p w:rsidR="00000000" w:rsidDel="00000000" w:rsidP="00000000" w:rsidRDefault="00000000" w:rsidRPr="00000000" w14:paraId="00000C07">
      <w:pPr>
        <w:jc w:val="both"/>
        <w:rPr>
          <w:sz w:val="22"/>
          <w:szCs w:val="22"/>
        </w:rPr>
      </w:pPr>
      <w:r w:rsidDel="00000000" w:rsidR="00000000" w:rsidRPr="00000000">
        <w:rPr>
          <w:sz w:val="22"/>
          <w:szCs w:val="22"/>
          <w:rtl w:val="0"/>
        </w:rPr>
        <w:t xml:space="preserve">Amzat J. Razum O. (2014). "Health, Disease, and Illness as Conceptual Tools." </w:t>
      </w:r>
      <w:r w:rsidDel="00000000" w:rsidR="00000000" w:rsidRPr="00000000">
        <w:rPr>
          <w:i w:val="1"/>
          <w:sz w:val="22"/>
          <w:szCs w:val="22"/>
          <w:rtl w:val="0"/>
        </w:rPr>
        <w:t xml:space="preserve">Medical Sociology in Africa</w:t>
      </w:r>
      <w:r w:rsidDel="00000000" w:rsidR="00000000" w:rsidRPr="00000000">
        <w:rPr>
          <w:sz w:val="22"/>
          <w:szCs w:val="22"/>
          <w:rtl w:val="0"/>
        </w:rPr>
        <w:t xml:space="preserve">: 21-37.</w:t>
      </w:r>
    </w:p>
    <w:p w:rsidR="00000000" w:rsidDel="00000000" w:rsidP="00000000" w:rsidRDefault="00000000" w:rsidRPr="00000000" w14:paraId="00000C08">
      <w:pPr>
        <w:jc w:val="both"/>
        <w:rPr>
          <w:sz w:val="22"/>
          <w:szCs w:val="22"/>
        </w:rPr>
      </w:pPr>
      <w:r w:rsidDel="00000000" w:rsidR="00000000" w:rsidRPr="00000000">
        <w:rPr>
          <w:rtl w:val="0"/>
        </w:rPr>
      </w:r>
    </w:p>
    <w:p w:rsidR="00000000" w:rsidDel="00000000" w:rsidP="00000000" w:rsidRDefault="00000000" w:rsidRPr="00000000" w14:paraId="00000C09">
      <w:pPr>
        <w:jc w:val="both"/>
        <w:rPr>
          <w:sz w:val="22"/>
          <w:szCs w:val="22"/>
        </w:rPr>
      </w:pPr>
      <w:r w:rsidDel="00000000" w:rsidR="00000000" w:rsidRPr="00000000">
        <w:rPr>
          <w:sz w:val="22"/>
          <w:szCs w:val="22"/>
          <w:rtl w:val="0"/>
        </w:rPr>
        <w:t xml:space="preserve">Anderson C. Kirkpatrick S. Ridge D. Kokanovic R. Tanner C. (2015). "Starting antidepressant use: a qualitative synthesis of UK and Australian data." </w:t>
      </w:r>
      <w:r w:rsidDel="00000000" w:rsidR="00000000" w:rsidRPr="00000000">
        <w:rPr>
          <w:i w:val="1"/>
          <w:sz w:val="22"/>
          <w:szCs w:val="22"/>
          <w:rtl w:val="0"/>
        </w:rPr>
        <w:t xml:space="preserve">BMJ Journals</w:t>
      </w:r>
      <w:r w:rsidDel="00000000" w:rsidR="00000000" w:rsidRPr="00000000">
        <w:rPr>
          <w:sz w:val="22"/>
          <w:szCs w:val="22"/>
          <w:rtl w:val="0"/>
        </w:rPr>
        <w:t xml:space="preserve">. 5(12): 1-9.</w:t>
      </w:r>
    </w:p>
    <w:p w:rsidR="00000000" w:rsidDel="00000000" w:rsidP="00000000" w:rsidRDefault="00000000" w:rsidRPr="00000000" w14:paraId="00000C0A">
      <w:pPr>
        <w:jc w:val="both"/>
        <w:rPr>
          <w:sz w:val="22"/>
          <w:szCs w:val="22"/>
        </w:rPr>
      </w:pPr>
      <w:r w:rsidDel="00000000" w:rsidR="00000000" w:rsidRPr="00000000">
        <w:rPr>
          <w:rtl w:val="0"/>
        </w:rPr>
      </w:r>
    </w:p>
    <w:p w:rsidR="00000000" w:rsidDel="00000000" w:rsidP="00000000" w:rsidRDefault="00000000" w:rsidRPr="00000000" w14:paraId="00000C0B">
      <w:pPr>
        <w:jc w:val="both"/>
        <w:rPr>
          <w:sz w:val="22"/>
          <w:szCs w:val="22"/>
        </w:rPr>
      </w:pPr>
      <w:r w:rsidDel="00000000" w:rsidR="00000000" w:rsidRPr="00000000">
        <w:rPr>
          <w:sz w:val="22"/>
          <w:szCs w:val="22"/>
          <w:rtl w:val="0"/>
        </w:rPr>
        <w:t xml:space="preserve">Anderson T. Petranker R. Christopher A. Rosenbaum D. Weissman C. Dinh-Williams LA. Hui K. Hapke E. (2019). "Psychedelic microdosing benefits and challenges: an empirical codebook." </w:t>
      </w:r>
      <w:r w:rsidDel="00000000" w:rsidR="00000000" w:rsidRPr="00000000">
        <w:rPr>
          <w:i w:val="1"/>
          <w:sz w:val="22"/>
          <w:szCs w:val="22"/>
          <w:rtl w:val="0"/>
        </w:rPr>
        <w:t xml:space="preserve">Harm Reduction Journal</w:t>
      </w:r>
      <w:r w:rsidDel="00000000" w:rsidR="00000000" w:rsidRPr="00000000">
        <w:rPr>
          <w:sz w:val="22"/>
          <w:szCs w:val="22"/>
          <w:rtl w:val="0"/>
        </w:rPr>
        <w:t xml:space="preserve">. 16(43).</w:t>
      </w:r>
    </w:p>
    <w:p w:rsidR="00000000" w:rsidDel="00000000" w:rsidP="00000000" w:rsidRDefault="00000000" w:rsidRPr="00000000" w14:paraId="00000C0C">
      <w:pPr>
        <w:jc w:val="both"/>
        <w:rPr>
          <w:sz w:val="22"/>
          <w:szCs w:val="22"/>
        </w:rPr>
      </w:pPr>
      <w:r w:rsidDel="00000000" w:rsidR="00000000" w:rsidRPr="00000000">
        <w:rPr>
          <w:rtl w:val="0"/>
        </w:rPr>
      </w:r>
    </w:p>
    <w:p w:rsidR="00000000" w:rsidDel="00000000" w:rsidP="00000000" w:rsidRDefault="00000000" w:rsidRPr="00000000" w14:paraId="00000C0D">
      <w:pPr>
        <w:jc w:val="both"/>
        <w:rPr>
          <w:sz w:val="22"/>
          <w:szCs w:val="22"/>
        </w:rPr>
      </w:pPr>
      <w:r w:rsidDel="00000000" w:rsidR="00000000" w:rsidRPr="00000000">
        <w:rPr>
          <w:sz w:val="22"/>
          <w:szCs w:val="22"/>
          <w:rtl w:val="0"/>
        </w:rPr>
        <w:t xml:space="preserve">Anwar Y. (2020). Lack of females in drug dose trials leads to overmedicated women [online]. Available at: </w:t>
      </w:r>
      <w:hyperlink r:id="rId11">
        <w:r w:rsidDel="00000000" w:rsidR="00000000" w:rsidRPr="00000000">
          <w:rPr>
            <w:color w:val="467886"/>
            <w:sz w:val="22"/>
            <w:szCs w:val="22"/>
            <w:u w:val="single"/>
            <w:rtl w:val="0"/>
          </w:rPr>
          <w:t xml:space="preserve">https://vcresearch.berkeley.edu/news/lack-females-drug-dose-trials-leads-overmedicated-women</w:t>
        </w:r>
      </w:hyperlink>
      <w:r w:rsidDel="00000000" w:rsidR="00000000" w:rsidRPr="00000000">
        <w:rPr>
          <w:sz w:val="22"/>
          <w:szCs w:val="22"/>
          <w:rtl w:val="0"/>
        </w:rPr>
        <w:t xml:space="preserve"> (03/12/2024)</w:t>
      </w:r>
    </w:p>
    <w:p w:rsidR="00000000" w:rsidDel="00000000" w:rsidP="00000000" w:rsidRDefault="00000000" w:rsidRPr="00000000" w14:paraId="00000C0E">
      <w:pPr>
        <w:jc w:val="both"/>
        <w:rPr>
          <w:sz w:val="22"/>
          <w:szCs w:val="22"/>
        </w:rPr>
      </w:pPr>
      <w:r w:rsidDel="00000000" w:rsidR="00000000" w:rsidRPr="00000000">
        <w:rPr>
          <w:rtl w:val="0"/>
        </w:rPr>
      </w:r>
    </w:p>
    <w:p w:rsidR="00000000" w:rsidDel="00000000" w:rsidP="00000000" w:rsidRDefault="00000000" w:rsidRPr="00000000" w14:paraId="00000C0F">
      <w:pPr>
        <w:jc w:val="both"/>
        <w:rPr>
          <w:sz w:val="22"/>
          <w:szCs w:val="22"/>
        </w:rPr>
      </w:pPr>
      <w:r w:rsidDel="00000000" w:rsidR="00000000" w:rsidRPr="00000000">
        <w:rPr>
          <w:sz w:val="22"/>
          <w:szCs w:val="22"/>
          <w:rtl w:val="0"/>
        </w:rPr>
        <w:t xml:space="preserve">Aquino C. (2021). UK healthcare system vs US healthcare system [online]. Available at: </w:t>
      </w:r>
      <w:hyperlink r:id="rId12">
        <w:r w:rsidDel="00000000" w:rsidR="00000000" w:rsidRPr="00000000">
          <w:rPr>
            <w:color w:val="467886"/>
            <w:sz w:val="22"/>
            <w:szCs w:val="22"/>
            <w:u w:val="single"/>
            <w:rtl w:val="0"/>
          </w:rPr>
          <w:t xml:space="preserve">http://www.healthcareadministration.com/brief-comparison-uk-healthcare-system-vs-u-s-healthcare-system/</w:t>
        </w:r>
      </w:hyperlink>
      <w:r w:rsidDel="00000000" w:rsidR="00000000" w:rsidRPr="00000000">
        <w:rPr>
          <w:sz w:val="22"/>
          <w:szCs w:val="22"/>
          <w:rtl w:val="0"/>
        </w:rPr>
        <w:t xml:space="preserve"> (27/01/2022)</w:t>
      </w:r>
    </w:p>
    <w:p w:rsidR="00000000" w:rsidDel="00000000" w:rsidP="00000000" w:rsidRDefault="00000000" w:rsidRPr="00000000" w14:paraId="00000C10">
      <w:pPr>
        <w:jc w:val="both"/>
        <w:rPr>
          <w:sz w:val="22"/>
          <w:szCs w:val="22"/>
        </w:rPr>
      </w:pPr>
      <w:r w:rsidDel="00000000" w:rsidR="00000000" w:rsidRPr="00000000">
        <w:rPr>
          <w:rtl w:val="0"/>
        </w:rPr>
      </w:r>
    </w:p>
    <w:p w:rsidR="00000000" w:rsidDel="00000000" w:rsidP="00000000" w:rsidRDefault="00000000" w:rsidRPr="00000000" w14:paraId="00000C11">
      <w:pPr>
        <w:jc w:val="both"/>
        <w:rPr>
          <w:sz w:val="22"/>
          <w:szCs w:val="22"/>
        </w:rPr>
      </w:pPr>
      <w:r w:rsidDel="00000000" w:rsidR="00000000" w:rsidRPr="00000000">
        <w:rPr>
          <w:sz w:val="22"/>
          <w:szCs w:val="22"/>
          <w:rtl w:val="0"/>
        </w:rPr>
        <w:t xml:space="preserve">Archer C. MacNeill SJ. Mars B. Turner K. Kessler D. Wiles N. (2022). "Rise in prescribing for anxiety in UK primary care between 2003 and 2018: a population-based cohort study using Clinical Practice Research Datalink."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w:t>
      </w:r>
    </w:p>
    <w:p w:rsidR="00000000" w:rsidDel="00000000" w:rsidP="00000000" w:rsidRDefault="00000000" w:rsidRPr="00000000" w14:paraId="00000C12">
      <w:pPr>
        <w:jc w:val="both"/>
        <w:rPr>
          <w:sz w:val="22"/>
          <w:szCs w:val="22"/>
        </w:rPr>
      </w:pPr>
      <w:r w:rsidDel="00000000" w:rsidR="00000000" w:rsidRPr="00000000">
        <w:rPr>
          <w:rtl w:val="0"/>
        </w:rPr>
      </w:r>
    </w:p>
    <w:p w:rsidR="00000000" w:rsidDel="00000000" w:rsidP="00000000" w:rsidRDefault="00000000" w:rsidRPr="00000000" w14:paraId="00000C13">
      <w:pPr>
        <w:jc w:val="both"/>
        <w:rPr>
          <w:sz w:val="22"/>
          <w:szCs w:val="22"/>
        </w:rPr>
      </w:pPr>
      <w:r w:rsidDel="00000000" w:rsidR="00000000" w:rsidRPr="00000000">
        <w:rPr>
          <w:sz w:val="22"/>
          <w:szCs w:val="22"/>
          <w:rtl w:val="0"/>
        </w:rPr>
        <w:t xml:space="preserve">Arksey H. (1994). "Expert and lay participation in the construction of medical knowledge." </w:t>
      </w:r>
      <w:r w:rsidDel="00000000" w:rsidR="00000000" w:rsidRPr="00000000">
        <w:rPr>
          <w:i w:val="1"/>
          <w:sz w:val="22"/>
          <w:szCs w:val="22"/>
          <w:rtl w:val="0"/>
        </w:rPr>
        <w:t xml:space="preserve">Sociology of Health and Illness</w:t>
      </w:r>
      <w:r w:rsidDel="00000000" w:rsidR="00000000" w:rsidRPr="00000000">
        <w:rPr>
          <w:sz w:val="22"/>
          <w:szCs w:val="22"/>
          <w:rtl w:val="0"/>
        </w:rPr>
        <w:t xml:space="preserve"> 16(4): 488-468.</w:t>
      </w:r>
    </w:p>
    <w:p w:rsidR="00000000" w:rsidDel="00000000" w:rsidP="00000000" w:rsidRDefault="00000000" w:rsidRPr="00000000" w14:paraId="00000C14">
      <w:pPr>
        <w:jc w:val="both"/>
        <w:rPr>
          <w:sz w:val="22"/>
          <w:szCs w:val="22"/>
        </w:rPr>
      </w:pPr>
      <w:r w:rsidDel="00000000" w:rsidR="00000000" w:rsidRPr="00000000">
        <w:rPr>
          <w:rtl w:val="0"/>
        </w:rPr>
      </w:r>
    </w:p>
    <w:p w:rsidR="00000000" w:rsidDel="00000000" w:rsidP="00000000" w:rsidRDefault="00000000" w:rsidRPr="00000000" w14:paraId="00000C15">
      <w:pPr>
        <w:jc w:val="both"/>
        <w:rPr>
          <w:sz w:val="22"/>
          <w:szCs w:val="22"/>
        </w:rPr>
      </w:pPr>
      <w:r w:rsidDel="00000000" w:rsidR="00000000" w:rsidRPr="00000000">
        <w:rPr>
          <w:sz w:val="22"/>
          <w:szCs w:val="22"/>
          <w:rtl w:val="0"/>
        </w:rPr>
        <w:t xml:space="preserve">Armitage R. (2021). "Antidepressants, primary care, and adult mental health services in England during COVID-19." </w:t>
      </w:r>
      <w:r w:rsidDel="00000000" w:rsidR="00000000" w:rsidRPr="00000000">
        <w:rPr>
          <w:i w:val="1"/>
          <w:sz w:val="22"/>
          <w:szCs w:val="22"/>
          <w:rtl w:val="0"/>
        </w:rPr>
        <w:t xml:space="preserve">The Lancet</w:t>
      </w:r>
      <w:r w:rsidDel="00000000" w:rsidR="00000000" w:rsidRPr="00000000">
        <w:rPr>
          <w:sz w:val="22"/>
          <w:szCs w:val="22"/>
          <w:rtl w:val="0"/>
        </w:rPr>
        <w:t xml:space="preserve"> 8(12).</w:t>
      </w:r>
    </w:p>
    <w:p w:rsidR="00000000" w:rsidDel="00000000" w:rsidP="00000000" w:rsidRDefault="00000000" w:rsidRPr="00000000" w14:paraId="00000C16">
      <w:pPr>
        <w:jc w:val="both"/>
        <w:rPr>
          <w:sz w:val="22"/>
          <w:szCs w:val="22"/>
        </w:rPr>
      </w:pPr>
      <w:r w:rsidDel="00000000" w:rsidR="00000000" w:rsidRPr="00000000">
        <w:rPr>
          <w:rtl w:val="0"/>
        </w:rPr>
      </w:r>
    </w:p>
    <w:p w:rsidR="00000000" w:rsidDel="00000000" w:rsidP="00000000" w:rsidRDefault="00000000" w:rsidRPr="00000000" w14:paraId="00000C17">
      <w:pPr>
        <w:jc w:val="both"/>
        <w:rPr>
          <w:sz w:val="22"/>
          <w:szCs w:val="22"/>
        </w:rPr>
      </w:pPr>
      <w:r w:rsidDel="00000000" w:rsidR="00000000" w:rsidRPr="00000000">
        <w:rPr>
          <w:sz w:val="22"/>
          <w:szCs w:val="22"/>
          <w:rtl w:val="0"/>
        </w:rPr>
        <w:t xml:space="preserve">Artino AR. (2012). "Academic self-efficacy: from educational theory to instructional practice." </w:t>
      </w:r>
      <w:r w:rsidDel="00000000" w:rsidR="00000000" w:rsidRPr="00000000">
        <w:rPr>
          <w:i w:val="1"/>
          <w:sz w:val="22"/>
          <w:szCs w:val="22"/>
          <w:rtl w:val="0"/>
        </w:rPr>
        <w:t xml:space="preserve">Perspectives on Medical Education</w:t>
      </w:r>
      <w:r w:rsidDel="00000000" w:rsidR="00000000" w:rsidRPr="00000000">
        <w:rPr>
          <w:sz w:val="22"/>
          <w:szCs w:val="22"/>
          <w:rtl w:val="0"/>
        </w:rPr>
        <w:t xml:space="preserve"> 1(2): 76-85.</w:t>
      </w:r>
    </w:p>
    <w:p w:rsidR="00000000" w:rsidDel="00000000" w:rsidP="00000000" w:rsidRDefault="00000000" w:rsidRPr="00000000" w14:paraId="00000C18">
      <w:pPr>
        <w:jc w:val="both"/>
        <w:rPr>
          <w:sz w:val="22"/>
          <w:szCs w:val="22"/>
        </w:rPr>
      </w:pPr>
      <w:r w:rsidDel="00000000" w:rsidR="00000000" w:rsidRPr="00000000">
        <w:rPr>
          <w:rtl w:val="0"/>
        </w:rPr>
      </w:r>
    </w:p>
    <w:p w:rsidR="00000000" w:rsidDel="00000000" w:rsidP="00000000" w:rsidRDefault="00000000" w:rsidRPr="00000000" w14:paraId="00000C19">
      <w:pPr>
        <w:jc w:val="both"/>
        <w:rPr>
          <w:sz w:val="22"/>
          <w:szCs w:val="22"/>
        </w:rPr>
      </w:pPr>
      <w:r w:rsidDel="00000000" w:rsidR="00000000" w:rsidRPr="00000000">
        <w:rPr>
          <w:sz w:val="22"/>
          <w:szCs w:val="22"/>
          <w:rtl w:val="0"/>
        </w:rPr>
        <w:t xml:space="preserve">Ashworth J. Bajpal R. Muller S. Bailey J. Helliwell T. Harrisson SA. Whittle R. Mallen CD. (2023). Trends in gabapentinoid prescribing in UK primary care using the Clinical Practice Research Datalink: an observational study. </w:t>
      </w:r>
      <w:r w:rsidDel="00000000" w:rsidR="00000000" w:rsidRPr="00000000">
        <w:rPr>
          <w:i w:val="1"/>
          <w:sz w:val="22"/>
          <w:szCs w:val="22"/>
          <w:rtl w:val="0"/>
        </w:rPr>
        <w:t xml:space="preserve">The Lancet Regional Health</w:t>
      </w:r>
      <w:r w:rsidDel="00000000" w:rsidR="00000000" w:rsidRPr="00000000">
        <w:rPr>
          <w:sz w:val="22"/>
          <w:szCs w:val="22"/>
          <w:rtl w:val="0"/>
        </w:rPr>
        <w:t xml:space="preserve">: 27(100579). 1-10</w:t>
      </w:r>
    </w:p>
    <w:p w:rsidR="00000000" w:rsidDel="00000000" w:rsidP="00000000" w:rsidRDefault="00000000" w:rsidRPr="00000000" w14:paraId="00000C1A">
      <w:pPr>
        <w:jc w:val="both"/>
        <w:rPr>
          <w:sz w:val="22"/>
          <w:szCs w:val="22"/>
        </w:rPr>
      </w:pPr>
      <w:r w:rsidDel="00000000" w:rsidR="00000000" w:rsidRPr="00000000">
        <w:rPr>
          <w:sz w:val="22"/>
          <w:szCs w:val="22"/>
          <w:rtl w:val="0"/>
        </w:rPr>
        <w:t xml:space="preserve">Australian Government Department of Health. (2021). Pharmaceutical Benefits Scheme. Australian Government Department of Health [online]. Available at: </w:t>
      </w:r>
      <w:hyperlink r:id="rId13">
        <w:r w:rsidDel="00000000" w:rsidR="00000000" w:rsidRPr="00000000">
          <w:rPr>
            <w:color w:val="467886"/>
            <w:sz w:val="22"/>
            <w:szCs w:val="22"/>
            <w:u w:val="single"/>
            <w:rtl w:val="0"/>
          </w:rPr>
          <w:t xml:space="preserve">https://www.pbs.gov.au/pbs/home</w:t>
        </w:r>
      </w:hyperlink>
      <w:r w:rsidDel="00000000" w:rsidR="00000000" w:rsidRPr="00000000">
        <w:rPr>
          <w:sz w:val="22"/>
          <w:szCs w:val="22"/>
          <w:rtl w:val="0"/>
        </w:rPr>
        <w:t xml:space="preserve">. (27/01/2022)</w:t>
      </w:r>
    </w:p>
    <w:p w:rsidR="00000000" w:rsidDel="00000000" w:rsidP="00000000" w:rsidRDefault="00000000" w:rsidRPr="00000000" w14:paraId="00000C1B">
      <w:pPr>
        <w:jc w:val="both"/>
        <w:rPr>
          <w:sz w:val="22"/>
          <w:szCs w:val="22"/>
        </w:rPr>
      </w:pPr>
      <w:r w:rsidDel="00000000" w:rsidR="00000000" w:rsidRPr="00000000">
        <w:rPr>
          <w:rtl w:val="0"/>
        </w:rPr>
      </w:r>
    </w:p>
    <w:p w:rsidR="00000000" w:rsidDel="00000000" w:rsidP="00000000" w:rsidRDefault="00000000" w:rsidRPr="00000000" w14:paraId="00000C1C">
      <w:pPr>
        <w:jc w:val="both"/>
        <w:rPr>
          <w:sz w:val="22"/>
          <w:szCs w:val="22"/>
        </w:rPr>
      </w:pPr>
      <w:r w:rsidDel="00000000" w:rsidR="00000000" w:rsidRPr="00000000">
        <w:rPr>
          <w:sz w:val="22"/>
          <w:szCs w:val="22"/>
          <w:rtl w:val="0"/>
        </w:rPr>
        <w:t xml:space="preserve">Australian Institute of Health and Welfare (2020). Alcohol, tobacco % other drugs in Australia. Australian Institute of Health and Welfare.</w:t>
      </w:r>
    </w:p>
    <w:p w:rsidR="00000000" w:rsidDel="00000000" w:rsidP="00000000" w:rsidRDefault="00000000" w:rsidRPr="00000000" w14:paraId="00000C1D">
      <w:pPr>
        <w:jc w:val="both"/>
        <w:rPr>
          <w:sz w:val="22"/>
          <w:szCs w:val="22"/>
        </w:rPr>
      </w:pPr>
      <w:r w:rsidDel="00000000" w:rsidR="00000000" w:rsidRPr="00000000">
        <w:rPr>
          <w:rtl w:val="0"/>
        </w:rPr>
      </w:r>
    </w:p>
    <w:p w:rsidR="00000000" w:rsidDel="00000000" w:rsidP="00000000" w:rsidRDefault="00000000" w:rsidRPr="00000000" w14:paraId="00000C1E">
      <w:pPr>
        <w:jc w:val="both"/>
        <w:rPr>
          <w:sz w:val="22"/>
          <w:szCs w:val="22"/>
        </w:rPr>
      </w:pPr>
      <w:r w:rsidDel="00000000" w:rsidR="00000000" w:rsidRPr="00000000">
        <w:rPr>
          <w:sz w:val="22"/>
          <w:szCs w:val="22"/>
          <w:rtl w:val="0"/>
        </w:rPr>
        <w:t xml:space="preserve">Awofeso N. (2012). Redefining 'Health'. World Health Organisation.</w:t>
      </w:r>
    </w:p>
    <w:p w:rsidR="00000000" w:rsidDel="00000000" w:rsidP="00000000" w:rsidRDefault="00000000" w:rsidRPr="00000000" w14:paraId="00000C1F">
      <w:pPr>
        <w:jc w:val="both"/>
        <w:rPr>
          <w:sz w:val="22"/>
          <w:szCs w:val="22"/>
        </w:rPr>
      </w:pPr>
      <w:r w:rsidDel="00000000" w:rsidR="00000000" w:rsidRPr="00000000">
        <w:rPr>
          <w:rtl w:val="0"/>
        </w:rPr>
      </w:r>
    </w:p>
    <w:p w:rsidR="00000000" w:rsidDel="00000000" w:rsidP="00000000" w:rsidRDefault="00000000" w:rsidRPr="00000000" w14:paraId="00000C20">
      <w:pPr>
        <w:jc w:val="both"/>
        <w:rPr>
          <w:i w:val="1"/>
          <w:sz w:val="22"/>
          <w:szCs w:val="22"/>
        </w:rPr>
      </w:pPr>
      <w:r w:rsidDel="00000000" w:rsidR="00000000" w:rsidRPr="00000000">
        <w:rPr>
          <w:sz w:val="22"/>
          <w:szCs w:val="22"/>
          <w:rtl w:val="0"/>
        </w:rPr>
        <w:t xml:space="preserve">Ayanyemi T. (2023). Quota Sampling: Definition, Types, Pros, Cons &amp; Examples [online]. </w:t>
      </w:r>
      <w:r w:rsidDel="00000000" w:rsidR="00000000" w:rsidRPr="00000000">
        <w:rPr>
          <w:i w:val="1"/>
          <w:sz w:val="22"/>
          <w:szCs w:val="22"/>
          <w:rtl w:val="0"/>
        </w:rPr>
        <w:t xml:space="preserve">FormPl. </w:t>
      </w:r>
      <w:r w:rsidDel="00000000" w:rsidR="00000000" w:rsidRPr="00000000">
        <w:rPr>
          <w:sz w:val="22"/>
          <w:szCs w:val="22"/>
          <w:rtl w:val="0"/>
        </w:rPr>
        <w:t xml:space="preserve">Available at: </w:t>
      </w:r>
      <w:hyperlink r:id="rId14">
        <w:r w:rsidDel="00000000" w:rsidR="00000000" w:rsidRPr="00000000">
          <w:rPr>
            <w:color w:val="467886"/>
            <w:sz w:val="22"/>
            <w:szCs w:val="22"/>
            <w:u w:val="single"/>
            <w:rtl w:val="0"/>
          </w:rPr>
          <w:t xml:space="preserve">https://www.formpl.us/blog/quota-sampling</w:t>
        </w:r>
      </w:hyperlink>
      <w:r w:rsidDel="00000000" w:rsidR="00000000" w:rsidRPr="00000000">
        <w:rPr>
          <w:sz w:val="22"/>
          <w:szCs w:val="22"/>
          <w:rtl w:val="0"/>
        </w:rPr>
        <w:t xml:space="preserve"> (13/07/2023)</w:t>
      </w:r>
      <w:r w:rsidDel="00000000" w:rsidR="00000000" w:rsidRPr="00000000">
        <w:rPr>
          <w:rtl w:val="0"/>
        </w:rPr>
      </w:r>
    </w:p>
    <w:p w:rsidR="00000000" w:rsidDel="00000000" w:rsidP="00000000" w:rsidRDefault="00000000" w:rsidRPr="00000000" w14:paraId="00000C21">
      <w:pPr>
        <w:jc w:val="both"/>
        <w:rPr>
          <w:i w:val="1"/>
          <w:sz w:val="22"/>
          <w:szCs w:val="22"/>
        </w:rPr>
      </w:pPr>
      <w:r w:rsidDel="00000000" w:rsidR="00000000" w:rsidRPr="00000000">
        <w:rPr>
          <w:rtl w:val="0"/>
        </w:rPr>
      </w:r>
    </w:p>
    <w:p w:rsidR="00000000" w:rsidDel="00000000" w:rsidP="00000000" w:rsidRDefault="00000000" w:rsidRPr="00000000" w14:paraId="00000C22">
      <w:pPr>
        <w:jc w:val="both"/>
        <w:rPr>
          <w:sz w:val="22"/>
          <w:szCs w:val="22"/>
        </w:rPr>
      </w:pPr>
      <w:r w:rsidDel="00000000" w:rsidR="00000000" w:rsidRPr="00000000">
        <w:rPr>
          <w:sz w:val="22"/>
          <w:szCs w:val="22"/>
          <w:rtl w:val="0"/>
        </w:rPr>
        <w:t xml:space="preserve">Bachman J. Wadsworth K. O'Malley P. Johnston L. Schulenberg J. (1997). Smoking, Drinking and Drug use in Young Adulthood: The impacts of new freedoms and new responsibilities. Mahwah, NJ, Lawrence Erlbaum.</w:t>
      </w:r>
    </w:p>
    <w:p w:rsidR="00000000" w:rsidDel="00000000" w:rsidP="00000000" w:rsidRDefault="00000000" w:rsidRPr="00000000" w14:paraId="00000C23">
      <w:pPr>
        <w:jc w:val="both"/>
        <w:rPr>
          <w:sz w:val="22"/>
          <w:szCs w:val="22"/>
        </w:rPr>
      </w:pPr>
      <w:r w:rsidDel="00000000" w:rsidR="00000000" w:rsidRPr="00000000">
        <w:rPr>
          <w:rtl w:val="0"/>
        </w:rPr>
      </w:r>
    </w:p>
    <w:p w:rsidR="00000000" w:rsidDel="00000000" w:rsidP="00000000" w:rsidRDefault="00000000" w:rsidRPr="00000000" w14:paraId="00000C24">
      <w:pPr>
        <w:jc w:val="both"/>
        <w:rPr>
          <w:sz w:val="22"/>
          <w:szCs w:val="22"/>
        </w:rPr>
      </w:pPr>
      <w:r w:rsidDel="00000000" w:rsidR="00000000" w:rsidRPr="00000000">
        <w:rPr>
          <w:sz w:val="22"/>
          <w:szCs w:val="22"/>
          <w:rtl w:val="0"/>
        </w:rPr>
        <w:t xml:space="preserve">Balbi J. (2008). "Epistemological and theoretical foundations of constructivist cognitive therapies: post- rationalist developments." </w:t>
      </w:r>
      <w:r w:rsidDel="00000000" w:rsidR="00000000" w:rsidRPr="00000000">
        <w:rPr>
          <w:i w:val="1"/>
          <w:sz w:val="22"/>
          <w:szCs w:val="22"/>
          <w:rtl w:val="0"/>
        </w:rPr>
        <w:t xml:space="preserve">Dialogues in Philosophy, Mental and Neurosciences</w:t>
      </w:r>
      <w:r w:rsidDel="00000000" w:rsidR="00000000" w:rsidRPr="00000000">
        <w:rPr>
          <w:sz w:val="22"/>
          <w:szCs w:val="22"/>
          <w:rtl w:val="0"/>
        </w:rPr>
        <w:t xml:space="preserve"> 1(1): 15-27.</w:t>
      </w:r>
    </w:p>
    <w:p w:rsidR="00000000" w:rsidDel="00000000" w:rsidP="00000000" w:rsidRDefault="00000000" w:rsidRPr="00000000" w14:paraId="00000C25">
      <w:pPr>
        <w:jc w:val="both"/>
        <w:rPr>
          <w:sz w:val="22"/>
          <w:szCs w:val="22"/>
        </w:rPr>
      </w:pPr>
      <w:r w:rsidDel="00000000" w:rsidR="00000000" w:rsidRPr="00000000">
        <w:rPr>
          <w:rtl w:val="0"/>
        </w:rPr>
      </w:r>
    </w:p>
    <w:p w:rsidR="00000000" w:rsidDel="00000000" w:rsidP="00000000" w:rsidRDefault="00000000" w:rsidRPr="00000000" w14:paraId="00000C26">
      <w:pPr>
        <w:jc w:val="both"/>
        <w:rPr>
          <w:sz w:val="22"/>
          <w:szCs w:val="22"/>
        </w:rPr>
      </w:pPr>
      <w:r w:rsidDel="00000000" w:rsidR="00000000" w:rsidRPr="00000000">
        <w:rPr>
          <w:sz w:val="22"/>
          <w:szCs w:val="22"/>
          <w:rtl w:val="0"/>
        </w:rPr>
        <w:t xml:space="preserve">Bandaranayake WM. (2006). Quality control, screening, toxicity and regulation of herbal drugs. Modern Phytomedicine. </w:t>
      </w:r>
      <w:r w:rsidDel="00000000" w:rsidR="00000000" w:rsidRPr="00000000">
        <w:rPr>
          <w:i w:val="1"/>
          <w:sz w:val="22"/>
          <w:szCs w:val="22"/>
          <w:rtl w:val="0"/>
        </w:rPr>
        <w:t xml:space="preserve">Turning Medicinal Plants into Drugs</w:t>
      </w:r>
      <w:r w:rsidDel="00000000" w:rsidR="00000000" w:rsidRPr="00000000">
        <w:rPr>
          <w:sz w:val="22"/>
          <w:szCs w:val="22"/>
          <w:rtl w:val="0"/>
        </w:rPr>
        <w:t xml:space="preserve">: 25-57.</w:t>
      </w:r>
    </w:p>
    <w:p w:rsidR="00000000" w:rsidDel="00000000" w:rsidP="00000000" w:rsidRDefault="00000000" w:rsidRPr="00000000" w14:paraId="00000C27">
      <w:pPr>
        <w:jc w:val="both"/>
        <w:rPr>
          <w:sz w:val="22"/>
          <w:szCs w:val="22"/>
        </w:rPr>
      </w:pPr>
      <w:r w:rsidDel="00000000" w:rsidR="00000000" w:rsidRPr="00000000">
        <w:rPr>
          <w:rtl w:val="0"/>
        </w:rPr>
      </w:r>
    </w:p>
    <w:p w:rsidR="00000000" w:rsidDel="00000000" w:rsidP="00000000" w:rsidRDefault="00000000" w:rsidRPr="00000000" w14:paraId="00000C28">
      <w:pPr>
        <w:jc w:val="both"/>
        <w:rPr>
          <w:sz w:val="22"/>
          <w:szCs w:val="22"/>
        </w:rPr>
      </w:pPr>
      <w:r w:rsidDel="00000000" w:rsidR="00000000" w:rsidRPr="00000000">
        <w:rPr>
          <w:sz w:val="22"/>
          <w:szCs w:val="22"/>
          <w:rtl w:val="0"/>
        </w:rPr>
        <w:t xml:space="preserve">Barron, J. W. S. (2024). Autumn Budget 2024: what you need to know [online]. NHS Confederation. Available at: </w:t>
      </w:r>
      <w:hyperlink r:id="rId15">
        <w:r w:rsidDel="00000000" w:rsidR="00000000" w:rsidRPr="00000000">
          <w:rPr>
            <w:color w:val="467886"/>
            <w:sz w:val="22"/>
            <w:szCs w:val="22"/>
            <w:u w:val="single"/>
            <w:rtl w:val="0"/>
          </w:rPr>
          <w:t xml:space="preserve">https://www.nhsconfed.org/publications/autumn-budget-2024-what-you-need-know#:~:text=The%20Chancellor%20announced%20a%20£,year%20to%20£192%20billion</w:t>
        </w:r>
      </w:hyperlink>
      <w:r w:rsidDel="00000000" w:rsidR="00000000" w:rsidRPr="00000000">
        <w:rPr>
          <w:sz w:val="22"/>
          <w:szCs w:val="22"/>
          <w:rtl w:val="0"/>
        </w:rPr>
        <w:t xml:space="preserve">. (31/10/2024)</w:t>
      </w:r>
    </w:p>
    <w:p w:rsidR="00000000" w:rsidDel="00000000" w:rsidP="00000000" w:rsidRDefault="00000000" w:rsidRPr="00000000" w14:paraId="00000C29">
      <w:pPr>
        <w:jc w:val="both"/>
        <w:rPr>
          <w:sz w:val="22"/>
          <w:szCs w:val="22"/>
        </w:rPr>
      </w:pPr>
      <w:r w:rsidDel="00000000" w:rsidR="00000000" w:rsidRPr="00000000">
        <w:rPr>
          <w:rtl w:val="0"/>
        </w:rPr>
      </w:r>
    </w:p>
    <w:p w:rsidR="00000000" w:rsidDel="00000000" w:rsidP="00000000" w:rsidRDefault="00000000" w:rsidRPr="00000000" w14:paraId="00000C2A">
      <w:pPr>
        <w:jc w:val="both"/>
        <w:rPr>
          <w:sz w:val="22"/>
          <w:szCs w:val="22"/>
        </w:rPr>
      </w:pPr>
      <w:r w:rsidDel="00000000" w:rsidR="00000000" w:rsidRPr="00000000">
        <w:rPr>
          <w:sz w:val="22"/>
          <w:szCs w:val="22"/>
          <w:rtl w:val="0"/>
        </w:rPr>
        <w:t xml:space="preserve">Barry CL. McGinty EE. Pescosolido B. Goldman HH. (2014). ". Stigma, Discrimination, Treatment Effectiveness and Policy Support: Comparing Public Views about Drug Addiction with Mental Illness." </w:t>
      </w:r>
      <w:r w:rsidDel="00000000" w:rsidR="00000000" w:rsidRPr="00000000">
        <w:rPr>
          <w:i w:val="1"/>
          <w:sz w:val="22"/>
          <w:szCs w:val="22"/>
          <w:rtl w:val="0"/>
        </w:rPr>
        <w:t xml:space="preserve">Psychiatric Services</w:t>
      </w:r>
      <w:r w:rsidDel="00000000" w:rsidR="00000000" w:rsidRPr="00000000">
        <w:rPr>
          <w:sz w:val="22"/>
          <w:szCs w:val="22"/>
          <w:rtl w:val="0"/>
        </w:rPr>
        <w:t xml:space="preserve"> 65(10): 1269-1272.</w:t>
      </w:r>
    </w:p>
    <w:p w:rsidR="00000000" w:rsidDel="00000000" w:rsidP="00000000" w:rsidRDefault="00000000" w:rsidRPr="00000000" w14:paraId="00000C2B">
      <w:pPr>
        <w:jc w:val="both"/>
        <w:rPr>
          <w:sz w:val="22"/>
          <w:szCs w:val="22"/>
        </w:rPr>
      </w:pPr>
      <w:r w:rsidDel="00000000" w:rsidR="00000000" w:rsidRPr="00000000">
        <w:rPr>
          <w:rtl w:val="0"/>
        </w:rPr>
      </w:r>
    </w:p>
    <w:p w:rsidR="00000000" w:rsidDel="00000000" w:rsidP="00000000" w:rsidRDefault="00000000" w:rsidRPr="00000000" w14:paraId="00000C2C">
      <w:pPr>
        <w:jc w:val="both"/>
        <w:rPr>
          <w:sz w:val="22"/>
          <w:szCs w:val="22"/>
        </w:rPr>
      </w:pPr>
      <w:r w:rsidDel="00000000" w:rsidR="00000000" w:rsidRPr="00000000">
        <w:rPr>
          <w:sz w:val="22"/>
          <w:szCs w:val="22"/>
          <w:rtl w:val="0"/>
        </w:rPr>
        <w:t xml:space="preserve">Bayliss P. Holttun S. (2015). "Experiences of antidepressant medication and cognitive-behavioural therapy for depression. A grounded theory study." Psychology and Psychotherapy: </w:t>
      </w:r>
      <w:r w:rsidDel="00000000" w:rsidR="00000000" w:rsidRPr="00000000">
        <w:rPr>
          <w:i w:val="1"/>
          <w:sz w:val="22"/>
          <w:szCs w:val="22"/>
          <w:rtl w:val="0"/>
        </w:rPr>
        <w:t xml:space="preserve">Theory, Research and Practice</w:t>
      </w:r>
      <w:r w:rsidDel="00000000" w:rsidR="00000000" w:rsidRPr="00000000">
        <w:rPr>
          <w:sz w:val="22"/>
          <w:szCs w:val="22"/>
          <w:rtl w:val="0"/>
        </w:rPr>
        <w:t xml:space="preserve">. 88: 317-334.</w:t>
      </w:r>
    </w:p>
    <w:p w:rsidR="00000000" w:rsidDel="00000000" w:rsidP="00000000" w:rsidRDefault="00000000" w:rsidRPr="00000000" w14:paraId="00000C2D">
      <w:pPr>
        <w:jc w:val="both"/>
        <w:rPr>
          <w:sz w:val="22"/>
          <w:szCs w:val="22"/>
        </w:rPr>
      </w:pPr>
      <w:r w:rsidDel="00000000" w:rsidR="00000000" w:rsidRPr="00000000">
        <w:rPr>
          <w:rtl w:val="0"/>
        </w:rPr>
      </w:r>
    </w:p>
    <w:p w:rsidR="00000000" w:rsidDel="00000000" w:rsidP="00000000" w:rsidRDefault="00000000" w:rsidRPr="00000000" w14:paraId="00000C2E">
      <w:pPr>
        <w:jc w:val="both"/>
        <w:rPr>
          <w:sz w:val="22"/>
          <w:szCs w:val="22"/>
        </w:rPr>
      </w:pPr>
      <w:r w:rsidDel="00000000" w:rsidR="00000000" w:rsidRPr="00000000">
        <w:rPr>
          <w:sz w:val="22"/>
          <w:szCs w:val="22"/>
          <w:rtl w:val="0"/>
        </w:rPr>
        <w:t xml:space="preserve">Becona, E. (2018). "Brain disease or biopsychosocial model in addiction? Remembering the Vietnam Veteran Study." </w:t>
      </w:r>
      <w:r w:rsidDel="00000000" w:rsidR="00000000" w:rsidRPr="00000000">
        <w:rPr>
          <w:i w:val="1"/>
          <w:sz w:val="22"/>
          <w:szCs w:val="22"/>
          <w:rtl w:val="0"/>
        </w:rPr>
        <w:t xml:space="preserve">Psicothema</w:t>
      </w:r>
      <w:r w:rsidDel="00000000" w:rsidR="00000000" w:rsidRPr="00000000">
        <w:rPr>
          <w:sz w:val="22"/>
          <w:szCs w:val="22"/>
          <w:rtl w:val="0"/>
        </w:rPr>
        <w:t xml:space="preserve">. 30(3): 270-275.</w:t>
      </w:r>
    </w:p>
    <w:p w:rsidR="00000000" w:rsidDel="00000000" w:rsidP="00000000" w:rsidRDefault="00000000" w:rsidRPr="00000000" w14:paraId="00000C2F">
      <w:pPr>
        <w:jc w:val="both"/>
        <w:rPr>
          <w:sz w:val="22"/>
          <w:szCs w:val="22"/>
        </w:rPr>
      </w:pPr>
      <w:r w:rsidDel="00000000" w:rsidR="00000000" w:rsidRPr="00000000">
        <w:rPr>
          <w:rtl w:val="0"/>
        </w:rPr>
      </w:r>
    </w:p>
    <w:p w:rsidR="00000000" w:rsidDel="00000000" w:rsidP="00000000" w:rsidRDefault="00000000" w:rsidRPr="00000000" w14:paraId="00000C30">
      <w:pPr>
        <w:jc w:val="both"/>
        <w:rPr>
          <w:sz w:val="22"/>
          <w:szCs w:val="22"/>
        </w:rPr>
      </w:pPr>
      <w:r w:rsidDel="00000000" w:rsidR="00000000" w:rsidRPr="00000000">
        <w:rPr>
          <w:sz w:val="22"/>
          <w:szCs w:val="22"/>
          <w:rtl w:val="0"/>
        </w:rPr>
        <w:t xml:space="preserve">Bedson J. Chen Y. Hayward RA. Ashworth J. Walters K. Dunn KM. (2016). "Trends in Long-Term Opioid Prescribing in Primary Care Patients with Musculoskeletal Conditions: an Observational Database Study." </w:t>
      </w:r>
      <w:r w:rsidDel="00000000" w:rsidR="00000000" w:rsidRPr="00000000">
        <w:rPr>
          <w:i w:val="1"/>
          <w:sz w:val="22"/>
          <w:szCs w:val="22"/>
          <w:rtl w:val="0"/>
        </w:rPr>
        <w:t xml:space="preserve">Pain</w:t>
      </w:r>
      <w:r w:rsidDel="00000000" w:rsidR="00000000" w:rsidRPr="00000000">
        <w:rPr>
          <w:sz w:val="22"/>
          <w:szCs w:val="22"/>
          <w:rtl w:val="0"/>
        </w:rPr>
        <w:t xml:space="preserve"> 15(7): 1525-1531.</w:t>
      </w:r>
    </w:p>
    <w:p w:rsidR="00000000" w:rsidDel="00000000" w:rsidP="00000000" w:rsidRDefault="00000000" w:rsidRPr="00000000" w14:paraId="00000C31">
      <w:pPr>
        <w:jc w:val="both"/>
        <w:rPr>
          <w:sz w:val="22"/>
          <w:szCs w:val="22"/>
        </w:rPr>
      </w:pPr>
      <w:r w:rsidDel="00000000" w:rsidR="00000000" w:rsidRPr="00000000">
        <w:rPr>
          <w:rtl w:val="0"/>
        </w:rPr>
      </w:r>
    </w:p>
    <w:p w:rsidR="00000000" w:rsidDel="00000000" w:rsidP="00000000" w:rsidRDefault="00000000" w:rsidRPr="00000000" w14:paraId="00000C32">
      <w:pPr>
        <w:jc w:val="both"/>
        <w:rPr>
          <w:sz w:val="22"/>
          <w:szCs w:val="22"/>
        </w:rPr>
      </w:pPr>
      <w:r w:rsidDel="00000000" w:rsidR="00000000" w:rsidRPr="00000000">
        <w:rPr>
          <w:sz w:val="22"/>
          <w:szCs w:val="22"/>
          <w:rtl w:val="0"/>
        </w:rPr>
        <w:t xml:space="preserve">Benenden, H. (2023). Gender Health Gap.</w:t>
      </w:r>
    </w:p>
    <w:p w:rsidR="00000000" w:rsidDel="00000000" w:rsidP="00000000" w:rsidRDefault="00000000" w:rsidRPr="00000000" w14:paraId="00000C33">
      <w:pPr>
        <w:jc w:val="both"/>
        <w:rPr>
          <w:sz w:val="22"/>
          <w:szCs w:val="22"/>
        </w:rPr>
      </w:pPr>
      <w:r w:rsidDel="00000000" w:rsidR="00000000" w:rsidRPr="00000000">
        <w:rPr>
          <w:rtl w:val="0"/>
        </w:rPr>
      </w:r>
    </w:p>
    <w:p w:rsidR="00000000" w:rsidDel="00000000" w:rsidP="00000000" w:rsidRDefault="00000000" w:rsidRPr="00000000" w14:paraId="00000C34">
      <w:pPr>
        <w:jc w:val="both"/>
        <w:rPr>
          <w:sz w:val="22"/>
          <w:szCs w:val="22"/>
        </w:rPr>
      </w:pPr>
      <w:r w:rsidDel="00000000" w:rsidR="00000000" w:rsidRPr="00000000">
        <w:rPr>
          <w:sz w:val="22"/>
          <w:szCs w:val="22"/>
          <w:rtl w:val="0"/>
        </w:rPr>
        <w:t xml:space="preserve">Benintendi A. Kosakowski S. Lagisetty P. larochelle M. Bohner ASB. Bazzi AR. (2021). ""I felt like I had a scarlet letter” “Recurring experience of structural stigma surrounding opioid tapers among patients with chronic, non-cancer pain." </w:t>
      </w:r>
      <w:r w:rsidDel="00000000" w:rsidR="00000000" w:rsidRPr="00000000">
        <w:rPr>
          <w:i w:val="1"/>
          <w:sz w:val="22"/>
          <w:szCs w:val="22"/>
          <w:rtl w:val="0"/>
        </w:rPr>
        <w:t xml:space="preserve">Drug and Alcohol Dependence</w:t>
      </w:r>
      <w:r w:rsidDel="00000000" w:rsidR="00000000" w:rsidRPr="00000000">
        <w:rPr>
          <w:sz w:val="22"/>
          <w:szCs w:val="22"/>
          <w:rtl w:val="0"/>
        </w:rPr>
        <w:t xml:space="preserve"> 1222(2021): 1-6.</w:t>
      </w:r>
    </w:p>
    <w:p w:rsidR="00000000" w:rsidDel="00000000" w:rsidP="00000000" w:rsidRDefault="00000000" w:rsidRPr="00000000" w14:paraId="00000C35">
      <w:pPr>
        <w:jc w:val="both"/>
        <w:rPr>
          <w:sz w:val="22"/>
          <w:szCs w:val="22"/>
        </w:rPr>
      </w:pPr>
      <w:r w:rsidDel="00000000" w:rsidR="00000000" w:rsidRPr="00000000">
        <w:rPr>
          <w:rtl w:val="0"/>
        </w:rPr>
      </w:r>
    </w:p>
    <w:p w:rsidR="00000000" w:rsidDel="00000000" w:rsidP="00000000" w:rsidRDefault="00000000" w:rsidRPr="00000000" w14:paraId="00000C36">
      <w:pPr>
        <w:jc w:val="both"/>
        <w:rPr>
          <w:sz w:val="22"/>
          <w:szCs w:val="22"/>
        </w:rPr>
      </w:pPr>
      <w:r w:rsidDel="00000000" w:rsidR="00000000" w:rsidRPr="00000000">
        <w:rPr>
          <w:sz w:val="22"/>
          <w:szCs w:val="22"/>
          <w:rtl w:val="0"/>
        </w:rPr>
        <w:t xml:space="preserve">Benowitz NL. (2009). "Pharmacology of Nicotine: Addiction, Smoking-Induced Disease, and Therapeutics." </w:t>
      </w:r>
      <w:r w:rsidDel="00000000" w:rsidR="00000000" w:rsidRPr="00000000">
        <w:rPr>
          <w:i w:val="1"/>
          <w:sz w:val="22"/>
          <w:szCs w:val="22"/>
          <w:rtl w:val="0"/>
        </w:rPr>
        <w:t xml:space="preserve">Annual Review of Pharmacology and Toxicology</w:t>
      </w:r>
      <w:r w:rsidDel="00000000" w:rsidR="00000000" w:rsidRPr="00000000">
        <w:rPr>
          <w:sz w:val="22"/>
          <w:szCs w:val="22"/>
          <w:rtl w:val="0"/>
        </w:rPr>
        <w:t xml:space="preserve"> 49: 57-71.</w:t>
      </w:r>
    </w:p>
    <w:p w:rsidR="00000000" w:rsidDel="00000000" w:rsidP="00000000" w:rsidRDefault="00000000" w:rsidRPr="00000000" w14:paraId="00000C37">
      <w:pPr>
        <w:jc w:val="both"/>
        <w:rPr>
          <w:sz w:val="22"/>
          <w:szCs w:val="22"/>
        </w:rPr>
      </w:pPr>
      <w:r w:rsidDel="00000000" w:rsidR="00000000" w:rsidRPr="00000000">
        <w:rPr>
          <w:sz w:val="22"/>
          <w:szCs w:val="22"/>
          <w:rtl w:val="0"/>
        </w:rPr>
        <w:t xml:space="preserve">Bentivegna F. Flouri E. Papachristou E. (2023). "Reciprocal associations between affective decision</w:t>
      </w:r>
      <w:r w:rsidDel="00000000" w:rsidR="00000000" w:rsidRPr="00000000">
        <w:rPr>
          <w:rFonts w:ascii="Cambria Math" w:cs="Cambria Math" w:eastAsia="Cambria Math" w:hAnsi="Cambria Math"/>
          <w:sz w:val="22"/>
          <w:szCs w:val="22"/>
          <w:rtl w:val="0"/>
        </w:rPr>
        <w:t xml:space="preserve">‐</w:t>
      </w:r>
      <w:r w:rsidDel="00000000" w:rsidR="00000000" w:rsidRPr="00000000">
        <w:rPr>
          <w:sz w:val="22"/>
          <w:szCs w:val="22"/>
          <w:rtl w:val="0"/>
        </w:rPr>
        <w:t xml:space="preserve">making and mental health in adolescence." </w:t>
      </w:r>
      <w:r w:rsidDel="00000000" w:rsidR="00000000" w:rsidRPr="00000000">
        <w:rPr>
          <w:i w:val="1"/>
          <w:sz w:val="22"/>
          <w:szCs w:val="22"/>
          <w:rtl w:val="0"/>
        </w:rPr>
        <w:t xml:space="preserve">European Child and Adolescent Psychiatry</w:t>
      </w:r>
      <w:r w:rsidDel="00000000" w:rsidR="00000000" w:rsidRPr="00000000">
        <w:rPr>
          <w:sz w:val="22"/>
          <w:szCs w:val="22"/>
          <w:rtl w:val="0"/>
        </w:rPr>
        <w:t xml:space="preserve"> 32: 2413-2522.</w:t>
      </w:r>
    </w:p>
    <w:p w:rsidR="00000000" w:rsidDel="00000000" w:rsidP="00000000" w:rsidRDefault="00000000" w:rsidRPr="00000000" w14:paraId="00000C38">
      <w:pPr>
        <w:jc w:val="both"/>
        <w:rPr>
          <w:sz w:val="22"/>
          <w:szCs w:val="22"/>
        </w:rPr>
      </w:pPr>
      <w:r w:rsidDel="00000000" w:rsidR="00000000" w:rsidRPr="00000000">
        <w:rPr>
          <w:rtl w:val="0"/>
        </w:rPr>
      </w:r>
    </w:p>
    <w:p w:rsidR="00000000" w:rsidDel="00000000" w:rsidP="00000000" w:rsidRDefault="00000000" w:rsidRPr="00000000" w14:paraId="00000C39">
      <w:pPr>
        <w:jc w:val="both"/>
        <w:rPr>
          <w:sz w:val="22"/>
          <w:szCs w:val="22"/>
        </w:rPr>
      </w:pPr>
      <w:r w:rsidDel="00000000" w:rsidR="00000000" w:rsidRPr="00000000">
        <w:rPr>
          <w:sz w:val="22"/>
          <w:szCs w:val="22"/>
          <w:rtl w:val="0"/>
        </w:rPr>
        <w:t xml:space="preserve">Berber MJ. (1998). "FINISH: remembering the discontinuation syndrome. Flu-like symptoms, Insomnia, Nausea, Imbalance, Sensory disturbances and Hyperarousal (anxiety/agitation)." </w:t>
      </w:r>
      <w:r w:rsidDel="00000000" w:rsidR="00000000" w:rsidRPr="00000000">
        <w:rPr>
          <w:i w:val="1"/>
          <w:sz w:val="22"/>
          <w:szCs w:val="22"/>
          <w:rtl w:val="0"/>
        </w:rPr>
        <w:t xml:space="preserve">J Clin Psychiatry </w:t>
      </w:r>
      <w:r w:rsidDel="00000000" w:rsidR="00000000" w:rsidRPr="00000000">
        <w:rPr>
          <w:sz w:val="22"/>
          <w:szCs w:val="22"/>
          <w:rtl w:val="0"/>
        </w:rPr>
        <w:t xml:space="preserve">59(5): 255-255.</w:t>
      </w:r>
    </w:p>
    <w:p w:rsidR="00000000" w:rsidDel="00000000" w:rsidP="00000000" w:rsidRDefault="00000000" w:rsidRPr="00000000" w14:paraId="00000C3A">
      <w:pPr>
        <w:jc w:val="both"/>
        <w:rPr>
          <w:sz w:val="22"/>
          <w:szCs w:val="22"/>
        </w:rPr>
      </w:pPr>
      <w:r w:rsidDel="00000000" w:rsidR="00000000" w:rsidRPr="00000000">
        <w:rPr>
          <w:rtl w:val="0"/>
        </w:rPr>
      </w:r>
    </w:p>
    <w:p w:rsidR="00000000" w:rsidDel="00000000" w:rsidP="00000000" w:rsidRDefault="00000000" w:rsidRPr="00000000" w14:paraId="00000C3B">
      <w:pPr>
        <w:jc w:val="both"/>
        <w:rPr>
          <w:sz w:val="22"/>
          <w:szCs w:val="22"/>
        </w:rPr>
      </w:pPr>
      <w:r w:rsidDel="00000000" w:rsidR="00000000" w:rsidRPr="00000000">
        <w:rPr>
          <w:sz w:val="22"/>
          <w:szCs w:val="22"/>
          <w:rtl w:val="0"/>
        </w:rPr>
        <w:t xml:space="preserve">Bergamaschi MM. Costa Queiroz RH. Nisihara Chagas MH (2011). "Cannabidiol reduces the anxiety induced by simulated public speaking in treatment-naïve social phobia patients." </w:t>
      </w:r>
      <w:r w:rsidDel="00000000" w:rsidR="00000000" w:rsidRPr="00000000">
        <w:rPr>
          <w:i w:val="1"/>
          <w:sz w:val="22"/>
          <w:szCs w:val="22"/>
          <w:rtl w:val="0"/>
        </w:rPr>
        <w:t xml:space="preserve">Neurospychopharmacology</w:t>
      </w:r>
      <w:r w:rsidDel="00000000" w:rsidR="00000000" w:rsidRPr="00000000">
        <w:rPr>
          <w:sz w:val="22"/>
          <w:szCs w:val="22"/>
          <w:rtl w:val="0"/>
        </w:rPr>
        <w:t xml:space="preserve"> 36(6): 1219-1226.</w:t>
      </w:r>
    </w:p>
    <w:p w:rsidR="00000000" w:rsidDel="00000000" w:rsidP="00000000" w:rsidRDefault="00000000" w:rsidRPr="00000000" w14:paraId="00000C3C">
      <w:pPr>
        <w:jc w:val="both"/>
        <w:rPr>
          <w:sz w:val="22"/>
          <w:szCs w:val="22"/>
        </w:rPr>
      </w:pPr>
      <w:r w:rsidDel="00000000" w:rsidR="00000000" w:rsidRPr="00000000">
        <w:rPr>
          <w:rtl w:val="0"/>
        </w:rPr>
      </w:r>
    </w:p>
    <w:p w:rsidR="00000000" w:rsidDel="00000000" w:rsidP="00000000" w:rsidRDefault="00000000" w:rsidRPr="00000000" w14:paraId="00000C3D">
      <w:pPr>
        <w:jc w:val="both"/>
        <w:rPr>
          <w:sz w:val="22"/>
          <w:szCs w:val="22"/>
        </w:rPr>
      </w:pPr>
      <w:r w:rsidDel="00000000" w:rsidR="00000000" w:rsidRPr="00000000">
        <w:rPr>
          <w:sz w:val="22"/>
          <w:szCs w:val="22"/>
          <w:rtl w:val="0"/>
        </w:rPr>
        <w:t xml:space="preserve">Bergamin J. Luigjes J. Kiverstein J. Bockting CL. Denys D. (2022). "Defining Autonomy in Psychiatry." </w:t>
      </w:r>
      <w:r w:rsidDel="00000000" w:rsidR="00000000" w:rsidRPr="00000000">
        <w:rPr>
          <w:i w:val="1"/>
          <w:sz w:val="22"/>
          <w:szCs w:val="22"/>
          <w:rtl w:val="0"/>
        </w:rPr>
        <w:t xml:space="preserve">Frontiers in Psychiatry</w:t>
      </w:r>
      <w:r w:rsidDel="00000000" w:rsidR="00000000" w:rsidRPr="00000000">
        <w:rPr>
          <w:sz w:val="22"/>
          <w:szCs w:val="22"/>
          <w:rtl w:val="0"/>
        </w:rPr>
        <w:t xml:space="preserve"> 13(801415): 1-11.</w:t>
      </w:r>
    </w:p>
    <w:p w:rsidR="00000000" w:rsidDel="00000000" w:rsidP="00000000" w:rsidRDefault="00000000" w:rsidRPr="00000000" w14:paraId="00000C3E">
      <w:pPr>
        <w:jc w:val="both"/>
        <w:rPr>
          <w:sz w:val="22"/>
          <w:szCs w:val="22"/>
        </w:rPr>
      </w:pPr>
      <w:r w:rsidDel="00000000" w:rsidR="00000000" w:rsidRPr="00000000">
        <w:rPr>
          <w:rtl w:val="0"/>
        </w:rPr>
      </w:r>
    </w:p>
    <w:p w:rsidR="00000000" w:rsidDel="00000000" w:rsidP="00000000" w:rsidRDefault="00000000" w:rsidRPr="00000000" w14:paraId="00000C3F">
      <w:pPr>
        <w:jc w:val="both"/>
        <w:rPr>
          <w:sz w:val="22"/>
          <w:szCs w:val="22"/>
        </w:rPr>
      </w:pPr>
      <w:r w:rsidDel="00000000" w:rsidR="00000000" w:rsidRPr="00000000">
        <w:rPr>
          <w:sz w:val="22"/>
          <w:szCs w:val="22"/>
          <w:rtl w:val="0"/>
        </w:rPr>
        <w:t xml:space="preserve">Berkowitz B. (2016). "The patient experience and patient satisfaction: Measurement of a complex dynamic." </w:t>
      </w:r>
      <w:r w:rsidDel="00000000" w:rsidR="00000000" w:rsidRPr="00000000">
        <w:rPr>
          <w:i w:val="1"/>
          <w:sz w:val="22"/>
          <w:szCs w:val="22"/>
          <w:rtl w:val="0"/>
        </w:rPr>
        <w:t xml:space="preserve">Online J Issues</w:t>
      </w:r>
      <w:r w:rsidDel="00000000" w:rsidR="00000000" w:rsidRPr="00000000">
        <w:rPr>
          <w:sz w:val="22"/>
          <w:szCs w:val="22"/>
          <w:rtl w:val="0"/>
        </w:rPr>
        <w:t xml:space="preserve"> </w:t>
      </w:r>
      <w:r w:rsidDel="00000000" w:rsidR="00000000" w:rsidRPr="00000000">
        <w:rPr>
          <w:i w:val="1"/>
          <w:sz w:val="22"/>
          <w:szCs w:val="22"/>
          <w:rtl w:val="0"/>
        </w:rPr>
        <w:t xml:space="preserve">Nurs</w:t>
      </w:r>
      <w:r w:rsidDel="00000000" w:rsidR="00000000" w:rsidRPr="00000000">
        <w:rPr>
          <w:sz w:val="22"/>
          <w:szCs w:val="22"/>
          <w:rtl w:val="0"/>
        </w:rPr>
        <w:t xml:space="preserve"> 1(1).</w:t>
      </w:r>
    </w:p>
    <w:p w:rsidR="00000000" w:rsidDel="00000000" w:rsidP="00000000" w:rsidRDefault="00000000" w:rsidRPr="00000000" w14:paraId="00000C40">
      <w:pPr>
        <w:jc w:val="both"/>
        <w:rPr>
          <w:sz w:val="22"/>
          <w:szCs w:val="22"/>
        </w:rPr>
      </w:pPr>
      <w:r w:rsidDel="00000000" w:rsidR="00000000" w:rsidRPr="00000000">
        <w:rPr>
          <w:rtl w:val="0"/>
        </w:rPr>
      </w:r>
    </w:p>
    <w:p w:rsidR="00000000" w:rsidDel="00000000" w:rsidP="00000000" w:rsidRDefault="00000000" w:rsidRPr="00000000" w14:paraId="00000C41">
      <w:pPr>
        <w:jc w:val="both"/>
        <w:rPr>
          <w:sz w:val="22"/>
          <w:szCs w:val="22"/>
        </w:rPr>
      </w:pPr>
      <w:r w:rsidDel="00000000" w:rsidR="00000000" w:rsidRPr="00000000">
        <w:rPr>
          <w:sz w:val="22"/>
          <w:szCs w:val="22"/>
          <w:rtl w:val="0"/>
        </w:rPr>
        <w:t xml:space="preserve">Best D. (2001). "Overdosing on opiates." </w:t>
      </w:r>
      <w:r w:rsidDel="00000000" w:rsidR="00000000" w:rsidRPr="00000000">
        <w:rPr>
          <w:i w:val="1"/>
          <w:sz w:val="22"/>
          <w:szCs w:val="22"/>
          <w:rtl w:val="0"/>
        </w:rPr>
        <w:t xml:space="preserve">Drug and Alcohol Findings</w:t>
      </w:r>
      <w:r w:rsidDel="00000000" w:rsidR="00000000" w:rsidRPr="00000000">
        <w:rPr>
          <w:sz w:val="22"/>
          <w:szCs w:val="22"/>
          <w:rtl w:val="0"/>
        </w:rPr>
        <w:t xml:space="preserve"> 5: 5-18.</w:t>
      </w:r>
    </w:p>
    <w:p w:rsidR="00000000" w:rsidDel="00000000" w:rsidP="00000000" w:rsidRDefault="00000000" w:rsidRPr="00000000" w14:paraId="00000C42">
      <w:pPr>
        <w:jc w:val="both"/>
        <w:rPr>
          <w:sz w:val="22"/>
          <w:szCs w:val="22"/>
        </w:rPr>
      </w:pPr>
      <w:r w:rsidDel="00000000" w:rsidR="00000000" w:rsidRPr="00000000">
        <w:rPr>
          <w:rtl w:val="0"/>
        </w:rPr>
      </w:r>
    </w:p>
    <w:p w:rsidR="00000000" w:rsidDel="00000000" w:rsidP="00000000" w:rsidRDefault="00000000" w:rsidRPr="00000000" w14:paraId="00000C43">
      <w:pPr>
        <w:jc w:val="both"/>
        <w:rPr>
          <w:sz w:val="22"/>
          <w:szCs w:val="22"/>
        </w:rPr>
      </w:pPr>
      <w:r w:rsidDel="00000000" w:rsidR="00000000" w:rsidRPr="00000000">
        <w:rPr>
          <w:sz w:val="22"/>
          <w:szCs w:val="22"/>
          <w:rtl w:val="0"/>
        </w:rPr>
        <w:t xml:space="preserve">Bester J. Cole CM. Kodish E. (2016). "The Limits of Informed Consent for an Overwhelmed Patient: Clinicians’ Role in Protecting Patients and Preventing Overwhelm." </w:t>
      </w:r>
      <w:r w:rsidDel="00000000" w:rsidR="00000000" w:rsidRPr="00000000">
        <w:rPr>
          <w:i w:val="1"/>
          <w:sz w:val="22"/>
          <w:szCs w:val="22"/>
          <w:rtl w:val="0"/>
        </w:rPr>
        <w:t xml:space="preserve">AMA Journal of Ethics</w:t>
      </w:r>
      <w:r w:rsidDel="00000000" w:rsidR="00000000" w:rsidRPr="00000000">
        <w:rPr>
          <w:sz w:val="22"/>
          <w:szCs w:val="22"/>
          <w:rtl w:val="0"/>
        </w:rPr>
        <w:t xml:space="preserve"> 18(9): 869-886.</w:t>
      </w:r>
    </w:p>
    <w:p w:rsidR="00000000" w:rsidDel="00000000" w:rsidP="00000000" w:rsidRDefault="00000000" w:rsidRPr="00000000" w14:paraId="00000C44">
      <w:pPr>
        <w:jc w:val="both"/>
        <w:rPr>
          <w:sz w:val="22"/>
          <w:szCs w:val="22"/>
        </w:rPr>
      </w:pPr>
      <w:r w:rsidDel="00000000" w:rsidR="00000000" w:rsidRPr="00000000">
        <w:rPr>
          <w:rtl w:val="0"/>
        </w:rPr>
      </w:r>
    </w:p>
    <w:p w:rsidR="00000000" w:rsidDel="00000000" w:rsidP="00000000" w:rsidRDefault="00000000" w:rsidRPr="00000000" w14:paraId="00000C45">
      <w:pPr>
        <w:jc w:val="both"/>
        <w:rPr>
          <w:sz w:val="22"/>
          <w:szCs w:val="22"/>
        </w:rPr>
      </w:pPr>
      <w:r w:rsidDel="00000000" w:rsidR="00000000" w:rsidRPr="00000000">
        <w:rPr>
          <w:sz w:val="22"/>
          <w:szCs w:val="22"/>
          <w:rtl w:val="0"/>
        </w:rPr>
        <w:t xml:space="preserve">Billieux J. Maurage P. Lopez-Fernandex O. Kuss DJ. (2015). "Can disordered mobile phone use be considered a behavioural addiction?" </w:t>
      </w:r>
      <w:r w:rsidDel="00000000" w:rsidR="00000000" w:rsidRPr="00000000">
        <w:rPr>
          <w:i w:val="1"/>
          <w:sz w:val="22"/>
          <w:szCs w:val="22"/>
          <w:rtl w:val="0"/>
        </w:rPr>
        <w:t xml:space="preserve">Current Addiction Reports</w:t>
      </w:r>
      <w:r w:rsidDel="00000000" w:rsidR="00000000" w:rsidRPr="00000000">
        <w:rPr>
          <w:sz w:val="22"/>
          <w:szCs w:val="22"/>
          <w:rtl w:val="0"/>
        </w:rPr>
        <w:t xml:space="preserve"> 2(2): 156-162.</w:t>
      </w:r>
    </w:p>
    <w:p w:rsidR="00000000" w:rsidDel="00000000" w:rsidP="00000000" w:rsidRDefault="00000000" w:rsidRPr="00000000" w14:paraId="00000C46">
      <w:pPr>
        <w:jc w:val="both"/>
        <w:rPr>
          <w:sz w:val="22"/>
          <w:szCs w:val="22"/>
        </w:rPr>
      </w:pPr>
      <w:r w:rsidDel="00000000" w:rsidR="00000000" w:rsidRPr="00000000">
        <w:rPr>
          <w:rtl w:val="0"/>
        </w:rPr>
      </w:r>
    </w:p>
    <w:p w:rsidR="00000000" w:rsidDel="00000000" w:rsidP="00000000" w:rsidRDefault="00000000" w:rsidRPr="00000000" w14:paraId="00000C47">
      <w:pPr>
        <w:jc w:val="both"/>
        <w:rPr>
          <w:sz w:val="22"/>
          <w:szCs w:val="22"/>
        </w:rPr>
      </w:pPr>
      <w:r w:rsidDel="00000000" w:rsidR="00000000" w:rsidRPr="00000000">
        <w:rPr>
          <w:sz w:val="22"/>
          <w:szCs w:val="22"/>
          <w:rtl w:val="0"/>
        </w:rPr>
        <w:t xml:space="preserve">Bird CM. (2005). "How I stopped dreading and learned to love transcription." </w:t>
      </w:r>
      <w:r w:rsidDel="00000000" w:rsidR="00000000" w:rsidRPr="00000000">
        <w:rPr>
          <w:i w:val="1"/>
          <w:sz w:val="22"/>
          <w:szCs w:val="22"/>
          <w:rtl w:val="0"/>
        </w:rPr>
        <w:t xml:space="preserve">Qualitative Inquiry</w:t>
      </w:r>
      <w:r w:rsidDel="00000000" w:rsidR="00000000" w:rsidRPr="00000000">
        <w:rPr>
          <w:sz w:val="22"/>
          <w:szCs w:val="22"/>
          <w:rtl w:val="0"/>
        </w:rPr>
        <w:t xml:space="preserve"> 11: 226-248.</w:t>
      </w:r>
    </w:p>
    <w:p w:rsidR="00000000" w:rsidDel="00000000" w:rsidP="00000000" w:rsidRDefault="00000000" w:rsidRPr="00000000" w14:paraId="00000C48">
      <w:pPr>
        <w:jc w:val="both"/>
        <w:rPr>
          <w:sz w:val="22"/>
          <w:szCs w:val="22"/>
        </w:rPr>
      </w:pPr>
      <w:r w:rsidDel="00000000" w:rsidR="00000000" w:rsidRPr="00000000">
        <w:rPr>
          <w:rtl w:val="0"/>
        </w:rPr>
      </w:r>
    </w:p>
    <w:p w:rsidR="00000000" w:rsidDel="00000000" w:rsidP="00000000" w:rsidRDefault="00000000" w:rsidRPr="00000000" w14:paraId="00000C49">
      <w:pPr>
        <w:jc w:val="both"/>
        <w:rPr>
          <w:sz w:val="22"/>
          <w:szCs w:val="22"/>
        </w:rPr>
      </w:pPr>
      <w:r w:rsidDel="00000000" w:rsidR="00000000" w:rsidRPr="00000000">
        <w:rPr>
          <w:sz w:val="22"/>
          <w:szCs w:val="22"/>
          <w:rtl w:val="0"/>
        </w:rPr>
        <w:t xml:space="preserve">Black C. (2016). An Independent Review into the impact on employment outcomes of drug or alcohol addiction, and obesity.</w:t>
      </w:r>
    </w:p>
    <w:p w:rsidR="00000000" w:rsidDel="00000000" w:rsidP="00000000" w:rsidRDefault="00000000" w:rsidRPr="00000000" w14:paraId="00000C4A">
      <w:pPr>
        <w:jc w:val="both"/>
        <w:rPr>
          <w:sz w:val="22"/>
          <w:szCs w:val="22"/>
        </w:rPr>
      </w:pPr>
      <w:r w:rsidDel="00000000" w:rsidR="00000000" w:rsidRPr="00000000">
        <w:rPr>
          <w:rtl w:val="0"/>
        </w:rPr>
      </w:r>
    </w:p>
    <w:p w:rsidR="00000000" w:rsidDel="00000000" w:rsidP="00000000" w:rsidRDefault="00000000" w:rsidRPr="00000000" w14:paraId="00000C4B">
      <w:pPr>
        <w:jc w:val="both"/>
        <w:rPr>
          <w:sz w:val="22"/>
          <w:szCs w:val="22"/>
        </w:rPr>
      </w:pPr>
      <w:r w:rsidDel="00000000" w:rsidR="00000000" w:rsidRPr="00000000">
        <w:rPr>
          <w:sz w:val="22"/>
          <w:szCs w:val="22"/>
          <w:rtl w:val="0"/>
        </w:rPr>
        <w:t xml:space="preserve">Blaikie N. (2007). Approaches to Social Inquiry. Cambridge, Policy.</w:t>
      </w:r>
    </w:p>
    <w:p w:rsidR="00000000" w:rsidDel="00000000" w:rsidP="00000000" w:rsidRDefault="00000000" w:rsidRPr="00000000" w14:paraId="00000C4C">
      <w:pPr>
        <w:jc w:val="both"/>
        <w:rPr>
          <w:sz w:val="22"/>
          <w:szCs w:val="22"/>
        </w:rPr>
      </w:pPr>
      <w:r w:rsidDel="00000000" w:rsidR="00000000" w:rsidRPr="00000000">
        <w:rPr>
          <w:rtl w:val="0"/>
        </w:rPr>
      </w:r>
    </w:p>
    <w:p w:rsidR="00000000" w:rsidDel="00000000" w:rsidP="00000000" w:rsidRDefault="00000000" w:rsidRPr="00000000" w14:paraId="00000C4D">
      <w:pPr>
        <w:jc w:val="both"/>
        <w:rPr>
          <w:sz w:val="22"/>
          <w:szCs w:val="22"/>
        </w:rPr>
      </w:pPr>
      <w:r w:rsidDel="00000000" w:rsidR="00000000" w:rsidRPr="00000000">
        <w:rPr>
          <w:sz w:val="22"/>
          <w:szCs w:val="22"/>
          <w:rtl w:val="0"/>
        </w:rPr>
        <w:t xml:space="preserve">Bleustein C. Rothschild DB. Valen A. Valatis E. Schweitzer L. Jones R. (2014). "Wait times, patient satisfaction scores, and the perception of care." Am J Manag Care 20(5): 393-400.</w:t>
      </w:r>
    </w:p>
    <w:p w:rsidR="00000000" w:rsidDel="00000000" w:rsidP="00000000" w:rsidRDefault="00000000" w:rsidRPr="00000000" w14:paraId="00000C4E">
      <w:pPr>
        <w:jc w:val="both"/>
        <w:rPr>
          <w:sz w:val="22"/>
          <w:szCs w:val="22"/>
        </w:rPr>
      </w:pPr>
      <w:r w:rsidDel="00000000" w:rsidR="00000000" w:rsidRPr="00000000">
        <w:rPr>
          <w:rtl w:val="0"/>
        </w:rPr>
      </w:r>
    </w:p>
    <w:p w:rsidR="00000000" w:rsidDel="00000000" w:rsidP="00000000" w:rsidRDefault="00000000" w:rsidRPr="00000000" w14:paraId="00000C4F">
      <w:pPr>
        <w:jc w:val="both"/>
        <w:rPr>
          <w:sz w:val="22"/>
          <w:szCs w:val="22"/>
        </w:rPr>
      </w:pPr>
      <w:r w:rsidDel="00000000" w:rsidR="00000000" w:rsidRPr="00000000">
        <w:rPr>
          <w:sz w:val="22"/>
          <w:szCs w:val="22"/>
          <w:rtl w:val="0"/>
        </w:rPr>
        <w:t xml:space="preserve">Borkman T. (1983). A Social-Experiential Model in Programs for Alcoholism Recovery: A Research Report on a New Treatment Design. Besthesda MD.</w:t>
      </w:r>
    </w:p>
    <w:p w:rsidR="00000000" w:rsidDel="00000000" w:rsidP="00000000" w:rsidRDefault="00000000" w:rsidRPr="00000000" w14:paraId="00000C50">
      <w:pPr>
        <w:jc w:val="both"/>
        <w:rPr>
          <w:sz w:val="22"/>
          <w:szCs w:val="22"/>
        </w:rPr>
      </w:pPr>
      <w:r w:rsidDel="00000000" w:rsidR="00000000" w:rsidRPr="00000000">
        <w:rPr>
          <w:rtl w:val="0"/>
        </w:rPr>
      </w:r>
    </w:p>
    <w:p w:rsidR="00000000" w:rsidDel="00000000" w:rsidP="00000000" w:rsidRDefault="00000000" w:rsidRPr="00000000" w14:paraId="00000C51">
      <w:pPr>
        <w:jc w:val="both"/>
        <w:rPr>
          <w:sz w:val="22"/>
          <w:szCs w:val="22"/>
        </w:rPr>
      </w:pPr>
      <w:r w:rsidDel="00000000" w:rsidR="00000000" w:rsidRPr="00000000">
        <w:rPr>
          <w:sz w:val="22"/>
          <w:szCs w:val="22"/>
          <w:rtl w:val="0"/>
        </w:rPr>
        <w:t xml:space="preserve">Bosman RC. Hujibregts KM. Vergaak PFM. Ruhe HG. van Marwijk HWJ. van Balkom AJLM. Batelaan NM. (2016). "Long term antidepressant use: a qualitative study on perspectives of patients and GPs in primary care."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 66(651): 708-719.</w:t>
      </w:r>
    </w:p>
    <w:p w:rsidR="00000000" w:rsidDel="00000000" w:rsidP="00000000" w:rsidRDefault="00000000" w:rsidRPr="00000000" w14:paraId="00000C52">
      <w:pPr>
        <w:jc w:val="both"/>
        <w:rPr>
          <w:sz w:val="22"/>
          <w:szCs w:val="22"/>
        </w:rPr>
      </w:pPr>
      <w:r w:rsidDel="00000000" w:rsidR="00000000" w:rsidRPr="00000000">
        <w:rPr>
          <w:rtl w:val="0"/>
        </w:rPr>
      </w:r>
    </w:p>
    <w:p w:rsidR="00000000" w:rsidDel="00000000" w:rsidP="00000000" w:rsidRDefault="00000000" w:rsidRPr="00000000" w14:paraId="00000C53">
      <w:pPr>
        <w:jc w:val="both"/>
        <w:rPr>
          <w:sz w:val="22"/>
          <w:szCs w:val="22"/>
        </w:rPr>
      </w:pPr>
      <w:r w:rsidDel="00000000" w:rsidR="00000000" w:rsidRPr="00000000">
        <w:rPr>
          <w:sz w:val="22"/>
          <w:szCs w:val="22"/>
          <w:rtl w:val="0"/>
        </w:rPr>
        <w:t xml:space="preserve">Bostock N. (2022). Barriers to hospital referral are harming patients, GPs warn [online]. GP Online. Available at: </w:t>
      </w:r>
      <w:hyperlink r:id="rId16">
        <w:r w:rsidDel="00000000" w:rsidR="00000000" w:rsidRPr="00000000">
          <w:rPr>
            <w:color w:val="467886"/>
            <w:sz w:val="22"/>
            <w:szCs w:val="22"/>
            <w:u w:val="single"/>
            <w:rtl w:val="0"/>
          </w:rPr>
          <w:t xml:space="preserve">https://www.gponline.com/barriers-hospital-referral-harming-patients-gps-warn/article/1748233</w:t>
        </w:r>
      </w:hyperlink>
      <w:r w:rsidDel="00000000" w:rsidR="00000000" w:rsidRPr="00000000">
        <w:rPr>
          <w:sz w:val="22"/>
          <w:szCs w:val="22"/>
          <w:rtl w:val="0"/>
        </w:rPr>
        <w:t xml:space="preserve"> (31/10/2024)</w:t>
      </w:r>
    </w:p>
    <w:p w:rsidR="00000000" w:rsidDel="00000000" w:rsidP="00000000" w:rsidRDefault="00000000" w:rsidRPr="00000000" w14:paraId="00000C54">
      <w:pPr>
        <w:jc w:val="both"/>
        <w:rPr>
          <w:sz w:val="22"/>
          <w:szCs w:val="22"/>
        </w:rPr>
      </w:pPr>
      <w:r w:rsidDel="00000000" w:rsidR="00000000" w:rsidRPr="00000000">
        <w:rPr>
          <w:rtl w:val="0"/>
        </w:rPr>
      </w:r>
    </w:p>
    <w:p w:rsidR="00000000" w:rsidDel="00000000" w:rsidP="00000000" w:rsidRDefault="00000000" w:rsidRPr="00000000" w14:paraId="00000C55">
      <w:pPr>
        <w:jc w:val="both"/>
        <w:rPr>
          <w:sz w:val="22"/>
          <w:szCs w:val="22"/>
        </w:rPr>
      </w:pPr>
      <w:r w:rsidDel="00000000" w:rsidR="00000000" w:rsidRPr="00000000">
        <w:rPr>
          <w:sz w:val="22"/>
          <w:szCs w:val="22"/>
          <w:rtl w:val="0"/>
        </w:rPr>
        <w:t xml:space="preserve">Borowsky HM. Eisenberg ME. Bucchianeri MM. Piran N. Neumark-Sztainer D. (2017). Feminist identity, body image, and disordered eating. </w:t>
      </w:r>
      <w:r w:rsidDel="00000000" w:rsidR="00000000" w:rsidRPr="00000000">
        <w:rPr>
          <w:i w:val="1"/>
          <w:sz w:val="22"/>
          <w:szCs w:val="22"/>
          <w:rtl w:val="0"/>
        </w:rPr>
        <w:t xml:space="preserve">Eat Disord. </w:t>
      </w:r>
      <w:r w:rsidDel="00000000" w:rsidR="00000000" w:rsidRPr="00000000">
        <w:rPr>
          <w:sz w:val="22"/>
          <w:szCs w:val="22"/>
          <w:rtl w:val="0"/>
        </w:rPr>
        <w:t xml:space="preserve">24(4): 297-311</w:t>
      </w:r>
    </w:p>
    <w:p w:rsidR="00000000" w:rsidDel="00000000" w:rsidP="00000000" w:rsidRDefault="00000000" w:rsidRPr="00000000" w14:paraId="00000C56">
      <w:pPr>
        <w:jc w:val="both"/>
        <w:rPr>
          <w:sz w:val="22"/>
          <w:szCs w:val="22"/>
        </w:rPr>
      </w:pPr>
      <w:r w:rsidDel="00000000" w:rsidR="00000000" w:rsidRPr="00000000">
        <w:rPr>
          <w:sz w:val="22"/>
          <w:szCs w:val="22"/>
          <w:rtl w:val="0"/>
        </w:rPr>
        <w:t xml:space="preserve">Bourne T. Wynants L. Peters M. van Audenhove C. Timmerman D. van Calster B. Jalmbrant M. (2015). "The impact of complaints procedures on the welfare, health and clinical practice of 7926 doctors in the UK: a cross-sectional survey." </w:t>
      </w:r>
      <w:r w:rsidDel="00000000" w:rsidR="00000000" w:rsidRPr="00000000">
        <w:rPr>
          <w:i w:val="1"/>
          <w:sz w:val="22"/>
          <w:szCs w:val="22"/>
          <w:rtl w:val="0"/>
        </w:rPr>
        <w:t xml:space="preserve">British Medical Journal</w:t>
      </w:r>
      <w:r w:rsidDel="00000000" w:rsidR="00000000" w:rsidRPr="00000000">
        <w:rPr>
          <w:sz w:val="22"/>
          <w:szCs w:val="22"/>
          <w:rtl w:val="0"/>
        </w:rPr>
        <w:t xml:space="preserve">.</w:t>
      </w:r>
    </w:p>
    <w:p w:rsidR="00000000" w:rsidDel="00000000" w:rsidP="00000000" w:rsidRDefault="00000000" w:rsidRPr="00000000" w14:paraId="00000C57">
      <w:pPr>
        <w:jc w:val="both"/>
        <w:rPr>
          <w:sz w:val="22"/>
          <w:szCs w:val="22"/>
        </w:rPr>
      </w:pPr>
      <w:r w:rsidDel="00000000" w:rsidR="00000000" w:rsidRPr="00000000">
        <w:rPr>
          <w:rtl w:val="0"/>
        </w:rPr>
      </w:r>
    </w:p>
    <w:p w:rsidR="00000000" w:rsidDel="00000000" w:rsidP="00000000" w:rsidRDefault="00000000" w:rsidRPr="00000000" w14:paraId="00000C58">
      <w:pPr>
        <w:jc w:val="both"/>
        <w:rPr>
          <w:sz w:val="22"/>
          <w:szCs w:val="22"/>
        </w:rPr>
      </w:pPr>
      <w:r w:rsidDel="00000000" w:rsidR="00000000" w:rsidRPr="00000000">
        <w:rPr>
          <w:sz w:val="22"/>
          <w:szCs w:val="22"/>
          <w:rtl w:val="0"/>
        </w:rPr>
        <w:t xml:space="preserve">Bowler GM. (2010). "Netnography: A Method Specifically Designed to Study Cultures and Communities Online." </w:t>
      </w:r>
      <w:r w:rsidDel="00000000" w:rsidR="00000000" w:rsidRPr="00000000">
        <w:rPr>
          <w:i w:val="1"/>
          <w:sz w:val="22"/>
          <w:szCs w:val="22"/>
          <w:rtl w:val="0"/>
        </w:rPr>
        <w:t xml:space="preserve">The Qualitative Report</w:t>
      </w:r>
      <w:r w:rsidDel="00000000" w:rsidR="00000000" w:rsidRPr="00000000">
        <w:rPr>
          <w:sz w:val="22"/>
          <w:szCs w:val="22"/>
          <w:rtl w:val="0"/>
        </w:rPr>
        <w:t xml:space="preserve"> 15(5): 1270-1275.</w:t>
      </w:r>
    </w:p>
    <w:p w:rsidR="00000000" w:rsidDel="00000000" w:rsidP="00000000" w:rsidRDefault="00000000" w:rsidRPr="00000000" w14:paraId="00000C59">
      <w:pPr>
        <w:jc w:val="both"/>
        <w:rPr>
          <w:sz w:val="22"/>
          <w:szCs w:val="22"/>
        </w:rPr>
      </w:pPr>
      <w:r w:rsidDel="00000000" w:rsidR="00000000" w:rsidRPr="00000000">
        <w:rPr>
          <w:rtl w:val="0"/>
        </w:rPr>
      </w:r>
    </w:p>
    <w:p w:rsidR="00000000" w:rsidDel="00000000" w:rsidP="00000000" w:rsidRDefault="00000000" w:rsidRPr="00000000" w14:paraId="00000C5A">
      <w:pPr>
        <w:jc w:val="both"/>
        <w:rPr>
          <w:sz w:val="22"/>
          <w:szCs w:val="22"/>
        </w:rPr>
      </w:pPr>
      <w:r w:rsidDel="00000000" w:rsidR="00000000" w:rsidRPr="00000000">
        <w:rPr>
          <w:sz w:val="22"/>
          <w:szCs w:val="22"/>
          <w:rtl w:val="0"/>
        </w:rPr>
        <w:t xml:space="preserve">Bowling (2014). Research Methods in Health: Investigating Health and Health Services, McGraw-Hill Education.</w:t>
      </w:r>
    </w:p>
    <w:p w:rsidR="00000000" w:rsidDel="00000000" w:rsidP="00000000" w:rsidRDefault="00000000" w:rsidRPr="00000000" w14:paraId="00000C5B">
      <w:pPr>
        <w:jc w:val="both"/>
        <w:rPr>
          <w:sz w:val="22"/>
          <w:szCs w:val="22"/>
        </w:rPr>
      </w:pPr>
      <w:r w:rsidDel="00000000" w:rsidR="00000000" w:rsidRPr="00000000">
        <w:rPr>
          <w:rtl w:val="0"/>
        </w:rPr>
      </w:r>
    </w:p>
    <w:p w:rsidR="00000000" w:rsidDel="00000000" w:rsidP="00000000" w:rsidRDefault="00000000" w:rsidRPr="00000000" w14:paraId="00000C5C">
      <w:pPr>
        <w:jc w:val="both"/>
        <w:rPr>
          <w:sz w:val="22"/>
          <w:szCs w:val="22"/>
        </w:rPr>
      </w:pPr>
      <w:r w:rsidDel="00000000" w:rsidR="00000000" w:rsidRPr="00000000">
        <w:rPr>
          <w:sz w:val="22"/>
          <w:szCs w:val="22"/>
          <w:rtl w:val="0"/>
        </w:rPr>
        <w:t xml:space="preserve">Boyatzis RE. (1998). Transforming qualitative information: thematic analysis and code development, Sage.</w:t>
      </w:r>
    </w:p>
    <w:p w:rsidR="00000000" w:rsidDel="00000000" w:rsidP="00000000" w:rsidRDefault="00000000" w:rsidRPr="00000000" w14:paraId="00000C5D">
      <w:pPr>
        <w:jc w:val="both"/>
        <w:rPr>
          <w:sz w:val="22"/>
          <w:szCs w:val="22"/>
        </w:rPr>
      </w:pPr>
      <w:r w:rsidDel="00000000" w:rsidR="00000000" w:rsidRPr="00000000">
        <w:rPr>
          <w:rtl w:val="0"/>
        </w:rPr>
      </w:r>
    </w:p>
    <w:p w:rsidR="00000000" w:rsidDel="00000000" w:rsidP="00000000" w:rsidRDefault="00000000" w:rsidRPr="00000000" w14:paraId="00000C5E">
      <w:pPr>
        <w:jc w:val="both"/>
        <w:rPr>
          <w:sz w:val="22"/>
          <w:szCs w:val="22"/>
        </w:rPr>
      </w:pPr>
      <w:r w:rsidDel="00000000" w:rsidR="00000000" w:rsidRPr="00000000">
        <w:rPr>
          <w:sz w:val="22"/>
          <w:szCs w:val="22"/>
          <w:rtl w:val="0"/>
        </w:rPr>
        <w:t xml:space="preserve">Boyd J. Boyd S. Kerr T. (2015). "Visual and Narrative Representations of Mental Health and Addiction by Law Enforcement." Int J Drug Policy 26(7): 636-644.</w:t>
      </w:r>
    </w:p>
    <w:p w:rsidR="00000000" w:rsidDel="00000000" w:rsidP="00000000" w:rsidRDefault="00000000" w:rsidRPr="00000000" w14:paraId="00000C5F">
      <w:pPr>
        <w:jc w:val="both"/>
        <w:rPr>
          <w:sz w:val="22"/>
          <w:szCs w:val="22"/>
        </w:rPr>
      </w:pPr>
      <w:r w:rsidDel="00000000" w:rsidR="00000000" w:rsidRPr="00000000">
        <w:rPr>
          <w:rtl w:val="0"/>
        </w:rPr>
      </w:r>
    </w:p>
    <w:p w:rsidR="00000000" w:rsidDel="00000000" w:rsidP="00000000" w:rsidRDefault="00000000" w:rsidRPr="00000000" w14:paraId="00000C60">
      <w:pPr>
        <w:jc w:val="both"/>
        <w:rPr>
          <w:sz w:val="22"/>
          <w:szCs w:val="22"/>
        </w:rPr>
      </w:pPr>
      <w:r w:rsidDel="00000000" w:rsidR="00000000" w:rsidRPr="00000000">
        <w:rPr>
          <w:sz w:val="22"/>
          <w:szCs w:val="22"/>
          <w:rtl w:val="0"/>
        </w:rPr>
        <w:t xml:space="preserve">Braun V. Clarke V. "What can “thematic analysis” offer health and wellbeing researchers?" </w:t>
      </w:r>
      <w:r w:rsidDel="00000000" w:rsidR="00000000" w:rsidRPr="00000000">
        <w:rPr>
          <w:i w:val="1"/>
          <w:sz w:val="22"/>
          <w:szCs w:val="22"/>
          <w:rtl w:val="0"/>
        </w:rPr>
        <w:t xml:space="preserve">International Journal of Qualitative Studies on Health and Wellbeing</w:t>
      </w:r>
      <w:r w:rsidDel="00000000" w:rsidR="00000000" w:rsidRPr="00000000">
        <w:rPr>
          <w:sz w:val="22"/>
          <w:szCs w:val="22"/>
          <w:rtl w:val="0"/>
        </w:rPr>
        <w:t xml:space="preserve"> 9(10).</w:t>
      </w:r>
    </w:p>
    <w:p w:rsidR="00000000" w:rsidDel="00000000" w:rsidP="00000000" w:rsidRDefault="00000000" w:rsidRPr="00000000" w14:paraId="00000C61">
      <w:pPr>
        <w:jc w:val="both"/>
        <w:rPr>
          <w:sz w:val="22"/>
          <w:szCs w:val="22"/>
        </w:rPr>
      </w:pPr>
      <w:r w:rsidDel="00000000" w:rsidR="00000000" w:rsidRPr="00000000">
        <w:rPr>
          <w:rtl w:val="0"/>
        </w:rPr>
      </w:r>
    </w:p>
    <w:p w:rsidR="00000000" w:rsidDel="00000000" w:rsidP="00000000" w:rsidRDefault="00000000" w:rsidRPr="00000000" w14:paraId="00000C62">
      <w:pPr>
        <w:jc w:val="both"/>
        <w:rPr>
          <w:sz w:val="22"/>
          <w:szCs w:val="22"/>
        </w:rPr>
      </w:pPr>
      <w:r w:rsidDel="00000000" w:rsidR="00000000" w:rsidRPr="00000000">
        <w:rPr>
          <w:sz w:val="22"/>
          <w:szCs w:val="22"/>
          <w:rtl w:val="0"/>
        </w:rPr>
        <w:t xml:space="preserve">Braun V. Clarke V. (2006). "Using thematic analysis in psychology." </w:t>
      </w:r>
      <w:r w:rsidDel="00000000" w:rsidR="00000000" w:rsidRPr="00000000">
        <w:rPr>
          <w:i w:val="1"/>
          <w:sz w:val="22"/>
          <w:szCs w:val="22"/>
          <w:rtl w:val="0"/>
        </w:rPr>
        <w:t xml:space="preserve">Qualitative Research in Psychology</w:t>
      </w:r>
      <w:r w:rsidDel="00000000" w:rsidR="00000000" w:rsidRPr="00000000">
        <w:rPr>
          <w:sz w:val="22"/>
          <w:szCs w:val="22"/>
          <w:rtl w:val="0"/>
        </w:rPr>
        <w:t xml:space="preserve"> 3: 77-101.</w:t>
      </w:r>
    </w:p>
    <w:p w:rsidR="00000000" w:rsidDel="00000000" w:rsidP="00000000" w:rsidRDefault="00000000" w:rsidRPr="00000000" w14:paraId="00000C63">
      <w:pPr>
        <w:jc w:val="both"/>
        <w:rPr>
          <w:sz w:val="22"/>
          <w:szCs w:val="22"/>
        </w:rPr>
      </w:pPr>
      <w:r w:rsidDel="00000000" w:rsidR="00000000" w:rsidRPr="00000000">
        <w:rPr>
          <w:rtl w:val="0"/>
        </w:rPr>
      </w:r>
    </w:p>
    <w:p w:rsidR="00000000" w:rsidDel="00000000" w:rsidP="00000000" w:rsidRDefault="00000000" w:rsidRPr="00000000" w14:paraId="00000C64">
      <w:pPr>
        <w:jc w:val="both"/>
        <w:rPr>
          <w:sz w:val="22"/>
          <w:szCs w:val="22"/>
        </w:rPr>
      </w:pPr>
      <w:r w:rsidDel="00000000" w:rsidR="00000000" w:rsidRPr="00000000">
        <w:rPr>
          <w:sz w:val="22"/>
          <w:szCs w:val="22"/>
          <w:rtl w:val="0"/>
        </w:rPr>
        <w:t xml:space="preserve">Breen LJ. (2007). "“The Researcher ‘In the Middle’: Negotiating the Insider/outsider Dichotomy.”." </w:t>
      </w:r>
      <w:r w:rsidDel="00000000" w:rsidR="00000000" w:rsidRPr="00000000">
        <w:rPr>
          <w:i w:val="1"/>
          <w:sz w:val="22"/>
          <w:szCs w:val="22"/>
          <w:rtl w:val="0"/>
        </w:rPr>
        <w:t xml:space="preserve">The Australian Community Psychologist</w:t>
      </w:r>
      <w:r w:rsidDel="00000000" w:rsidR="00000000" w:rsidRPr="00000000">
        <w:rPr>
          <w:sz w:val="22"/>
          <w:szCs w:val="22"/>
          <w:rtl w:val="0"/>
        </w:rPr>
        <w:t xml:space="preserve"> 19(1): 163-174.</w:t>
      </w:r>
    </w:p>
    <w:p w:rsidR="00000000" w:rsidDel="00000000" w:rsidP="00000000" w:rsidRDefault="00000000" w:rsidRPr="00000000" w14:paraId="00000C65">
      <w:pPr>
        <w:jc w:val="both"/>
        <w:rPr>
          <w:sz w:val="22"/>
          <w:szCs w:val="22"/>
        </w:rPr>
      </w:pPr>
      <w:r w:rsidDel="00000000" w:rsidR="00000000" w:rsidRPr="00000000">
        <w:rPr>
          <w:rtl w:val="0"/>
        </w:rPr>
      </w:r>
    </w:p>
    <w:p w:rsidR="00000000" w:rsidDel="00000000" w:rsidP="00000000" w:rsidRDefault="00000000" w:rsidRPr="00000000" w14:paraId="00000C66">
      <w:pPr>
        <w:jc w:val="both"/>
        <w:rPr>
          <w:sz w:val="22"/>
          <w:szCs w:val="22"/>
        </w:rPr>
      </w:pPr>
      <w:r w:rsidDel="00000000" w:rsidR="00000000" w:rsidRPr="00000000">
        <w:rPr>
          <w:sz w:val="22"/>
          <w:szCs w:val="22"/>
          <w:rtl w:val="0"/>
        </w:rPr>
        <w:t xml:space="preserve">Briggs GG. Freeman RK. Yaffe SJ (2011). Drugs in pregnancy and lactation: A reference guide and neonatal risk. Philadelphia, PA, Lippincott Williams &amp; Wilkens.</w:t>
      </w:r>
    </w:p>
    <w:p w:rsidR="00000000" w:rsidDel="00000000" w:rsidP="00000000" w:rsidRDefault="00000000" w:rsidRPr="00000000" w14:paraId="00000C67">
      <w:pPr>
        <w:jc w:val="both"/>
        <w:rPr>
          <w:sz w:val="22"/>
          <w:szCs w:val="22"/>
        </w:rPr>
      </w:pPr>
      <w:r w:rsidDel="00000000" w:rsidR="00000000" w:rsidRPr="00000000">
        <w:rPr>
          <w:rtl w:val="0"/>
        </w:rPr>
      </w:r>
    </w:p>
    <w:p w:rsidR="00000000" w:rsidDel="00000000" w:rsidP="00000000" w:rsidRDefault="00000000" w:rsidRPr="00000000" w14:paraId="00000C68">
      <w:pPr>
        <w:jc w:val="both"/>
        <w:rPr>
          <w:sz w:val="22"/>
          <w:szCs w:val="22"/>
        </w:rPr>
      </w:pPr>
      <w:r w:rsidDel="00000000" w:rsidR="00000000" w:rsidRPr="00000000">
        <w:rPr>
          <w:sz w:val="22"/>
          <w:szCs w:val="22"/>
          <w:rtl w:val="0"/>
        </w:rPr>
        <w:t xml:space="preserve">Britten N. Maguire K. 2016. Lay knowledge, social movements and the use of medicines: Personal reflections. Health. 20(2): 77-93</w:t>
      </w:r>
    </w:p>
    <w:p w:rsidR="00000000" w:rsidDel="00000000" w:rsidP="00000000" w:rsidRDefault="00000000" w:rsidRPr="00000000" w14:paraId="00000C69">
      <w:pPr>
        <w:jc w:val="both"/>
        <w:rPr>
          <w:sz w:val="22"/>
          <w:szCs w:val="22"/>
        </w:rPr>
      </w:pPr>
      <w:r w:rsidDel="00000000" w:rsidR="00000000" w:rsidRPr="00000000">
        <w:rPr>
          <w:rtl w:val="0"/>
        </w:rPr>
      </w:r>
    </w:p>
    <w:p w:rsidR="00000000" w:rsidDel="00000000" w:rsidP="00000000" w:rsidRDefault="00000000" w:rsidRPr="00000000" w14:paraId="00000C6A">
      <w:pPr>
        <w:jc w:val="both"/>
        <w:rPr>
          <w:sz w:val="22"/>
          <w:szCs w:val="22"/>
        </w:rPr>
      </w:pPr>
      <w:r w:rsidDel="00000000" w:rsidR="00000000" w:rsidRPr="00000000">
        <w:rPr>
          <w:sz w:val="22"/>
          <w:szCs w:val="22"/>
          <w:rtl w:val="0"/>
        </w:rPr>
        <w:t xml:space="preserve">Brinkmann S. Kvale S. (2018). "Ethics in qualitative psychological research." The Sage Handbook of </w:t>
      </w:r>
      <w:r w:rsidDel="00000000" w:rsidR="00000000" w:rsidRPr="00000000">
        <w:rPr>
          <w:i w:val="1"/>
          <w:sz w:val="22"/>
          <w:szCs w:val="22"/>
          <w:rtl w:val="0"/>
        </w:rPr>
        <w:t xml:space="preserve">Qualitative Research in Psychology</w:t>
      </w:r>
      <w:r w:rsidDel="00000000" w:rsidR="00000000" w:rsidRPr="00000000">
        <w:rPr>
          <w:sz w:val="22"/>
          <w:szCs w:val="22"/>
          <w:rtl w:val="0"/>
        </w:rPr>
        <w:t xml:space="preserve">: 263-279.</w:t>
      </w:r>
    </w:p>
    <w:p w:rsidR="00000000" w:rsidDel="00000000" w:rsidP="00000000" w:rsidRDefault="00000000" w:rsidRPr="00000000" w14:paraId="00000C6B">
      <w:pPr>
        <w:jc w:val="both"/>
        <w:rPr>
          <w:sz w:val="22"/>
          <w:szCs w:val="22"/>
        </w:rPr>
      </w:pPr>
      <w:r w:rsidDel="00000000" w:rsidR="00000000" w:rsidRPr="00000000">
        <w:rPr>
          <w:rtl w:val="0"/>
        </w:rPr>
      </w:r>
    </w:p>
    <w:p w:rsidR="00000000" w:rsidDel="00000000" w:rsidP="00000000" w:rsidRDefault="00000000" w:rsidRPr="00000000" w14:paraId="00000C6C">
      <w:pPr>
        <w:jc w:val="both"/>
        <w:rPr>
          <w:sz w:val="22"/>
          <w:szCs w:val="22"/>
        </w:rPr>
      </w:pPr>
      <w:r w:rsidDel="00000000" w:rsidR="00000000" w:rsidRPr="00000000">
        <w:rPr>
          <w:sz w:val="22"/>
          <w:szCs w:val="22"/>
          <w:rtl w:val="0"/>
        </w:rPr>
        <w:t xml:space="preserve">British Medical Association (2015). "Prescribed drugs associated with dependence and withdrawal- building a consensus for action." [online]. British Medical Association. Available at: </w:t>
      </w:r>
      <w:hyperlink r:id="rId17">
        <w:r w:rsidDel="00000000" w:rsidR="00000000" w:rsidRPr="00000000">
          <w:rPr>
            <w:color w:val="467886"/>
            <w:sz w:val="22"/>
            <w:szCs w:val="22"/>
            <w:u w:val="single"/>
            <w:rtl w:val="0"/>
          </w:rPr>
          <w:t xml:space="preserve">https://www.drugsandalcohol.ie/24620/1/BMA_Prescribed_drugs_associated_with_dependence.pdf</w:t>
        </w:r>
      </w:hyperlink>
      <w:r w:rsidDel="00000000" w:rsidR="00000000" w:rsidRPr="00000000">
        <w:rPr>
          <w:sz w:val="22"/>
          <w:szCs w:val="22"/>
          <w:rtl w:val="0"/>
        </w:rPr>
        <w:t xml:space="preserve"> (18/04/2024)</w:t>
      </w:r>
    </w:p>
    <w:p w:rsidR="00000000" w:rsidDel="00000000" w:rsidP="00000000" w:rsidRDefault="00000000" w:rsidRPr="00000000" w14:paraId="00000C6D">
      <w:pPr>
        <w:jc w:val="both"/>
        <w:rPr>
          <w:sz w:val="22"/>
          <w:szCs w:val="22"/>
        </w:rPr>
      </w:pPr>
      <w:r w:rsidDel="00000000" w:rsidR="00000000" w:rsidRPr="00000000">
        <w:rPr>
          <w:rtl w:val="0"/>
        </w:rPr>
      </w:r>
    </w:p>
    <w:p w:rsidR="00000000" w:rsidDel="00000000" w:rsidP="00000000" w:rsidRDefault="00000000" w:rsidRPr="00000000" w14:paraId="00000C6E">
      <w:pPr>
        <w:jc w:val="both"/>
        <w:rPr>
          <w:sz w:val="22"/>
          <w:szCs w:val="22"/>
        </w:rPr>
      </w:pPr>
      <w:r w:rsidDel="00000000" w:rsidR="00000000" w:rsidRPr="00000000">
        <w:rPr>
          <w:sz w:val="22"/>
          <w:szCs w:val="22"/>
          <w:rtl w:val="0"/>
        </w:rPr>
        <w:t xml:space="preserve">British Medical Journal (2022). "Social prescribing, fraudulent data… and other stories." </w:t>
      </w:r>
      <w:r w:rsidDel="00000000" w:rsidR="00000000" w:rsidRPr="00000000">
        <w:rPr>
          <w:i w:val="1"/>
          <w:sz w:val="22"/>
          <w:szCs w:val="22"/>
          <w:rtl w:val="0"/>
        </w:rPr>
        <w:t xml:space="preserve">British Medical Journal</w:t>
      </w:r>
      <w:r w:rsidDel="00000000" w:rsidR="00000000" w:rsidRPr="00000000">
        <w:rPr>
          <w:sz w:val="22"/>
          <w:szCs w:val="22"/>
          <w:rtl w:val="0"/>
        </w:rPr>
        <w:t xml:space="preserve"> 379.</w:t>
      </w:r>
    </w:p>
    <w:p w:rsidR="00000000" w:rsidDel="00000000" w:rsidP="00000000" w:rsidRDefault="00000000" w:rsidRPr="00000000" w14:paraId="00000C6F">
      <w:pPr>
        <w:jc w:val="both"/>
        <w:rPr>
          <w:sz w:val="22"/>
          <w:szCs w:val="22"/>
        </w:rPr>
      </w:pPr>
      <w:r w:rsidDel="00000000" w:rsidR="00000000" w:rsidRPr="00000000">
        <w:rPr>
          <w:rtl w:val="0"/>
        </w:rPr>
      </w:r>
    </w:p>
    <w:p w:rsidR="00000000" w:rsidDel="00000000" w:rsidP="00000000" w:rsidRDefault="00000000" w:rsidRPr="00000000" w14:paraId="00000C70">
      <w:pPr>
        <w:jc w:val="both"/>
        <w:rPr>
          <w:sz w:val="22"/>
          <w:szCs w:val="22"/>
        </w:rPr>
      </w:pPr>
      <w:r w:rsidDel="00000000" w:rsidR="00000000" w:rsidRPr="00000000">
        <w:rPr>
          <w:sz w:val="22"/>
          <w:szCs w:val="22"/>
          <w:rtl w:val="0"/>
        </w:rPr>
        <w:t xml:space="preserve">Brohan E. Thornicroft G. (2010). "Stigma and discrimination of mental health problems: workplace implications." </w:t>
      </w:r>
      <w:r w:rsidDel="00000000" w:rsidR="00000000" w:rsidRPr="00000000">
        <w:rPr>
          <w:i w:val="1"/>
          <w:sz w:val="22"/>
          <w:szCs w:val="22"/>
          <w:rtl w:val="0"/>
        </w:rPr>
        <w:t xml:space="preserve">Occupational Medicine</w:t>
      </w:r>
      <w:r w:rsidDel="00000000" w:rsidR="00000000" w:rsidRPr="00000000">
        <w:rPr>
          <w:sz w:val="22"/>
          <w:szCs w:val="22"/>
          <w:rtl w:val="0"/>
        </w:rPr>
        <w:t xml:space="preserve"> 60(6): 414-415.</w:t>
      </w:r>
    </w:p>
    <w:p w:rsidR="00000000" w:rsidDel="00000000" w:rsidP="00000000" w:rsidRDefault="00000000" w:rsidRPr="00000000" w14:paraId="00000C71">
      <w:pPr>
        <w:jc w:val="both"/>
        <w:rPr>
          <w:sz w:val="22"/>
          <w:szCs w:val="22"/>
        </w:rPr>
      </w:pPr>
      <w:r w:rsidDel="00000000" w:rsidR="00000000" w:rsidRPr="00000000">
        <w:rPr>
          <w:rtl w:val="0"/>
        </w:rPr>
      </w:r>
    </w:p>
    <w:p w:rsidR="00000000" w:rsidDel="00000000" w:rsidP="00000000" w:rsidRDefault="00000000" w:rsidRPr="00000000" w14:paraId="00000C72">
      <w:pPr>
        <w:jc w:val="both"/>
        <w:rPr>
          <w:sz w:val="22"/>
          <w:szCs w:val="22"/>
        </w:rPr>
      </w:pPr>
      <w:r w:rsidDel="00000000" w:rsidR="00000000" w:rsidRPr="00000000">
        <w:rPr>
          <w:sz w:val="22"/>
          <w:szCs w:val="22"/>
          <w:rtl w:val="0"/>
        </w:rPr>
        <w:t xml:space="preserve">Broverman IK. Vogel SR. Broverman DM. Clarkson FE. Rosenkrantz PS. (1972). "Sex-Role Stereotypes: A Current Appraisal." </w:t>
      </w:r>
      <w:r w:rsidDel="00000000" w:rsidR="00000000" w:rsidRPr="00000000">
        <w:rPr>
          <w:i w:val="1"/>
          <w:sz w:val="22"/>
          <w:szCs w:val="22"/>
          <w:rtl w:val="0"/>
        </w:rPr>
        <w:t xml:space="preserve">Journal of Social Issues</w:t>
      </w:r>
      <w:r w:rsidDel="00000000" w:rsidR="00000000" w:rsidRPr="00000000">
        <w:rPr>
          <w:sz w:val="22"/>
          <w:szCs w:val="22"/>
          <w:rtl w:val="0"/>
        </w:rPr>
        <w:t xml:space="preserve"> 28(2): 59-78.</w:t>
      </w:r>
    </w:p>
    <w:p w:rsidR="00000000" w:rsidDel="00000000" w:rsidP="00000000" w:rsidRDefault="00000000" w:rsidRPr="00000000" w14:paraId="00000C73">
      <w:pPr>
        <w:jc w:val="both"/>
        <w:rPr>
          <w:sz w:val="22"/>
          <w:szCs w:val="22"/>
        </w:rPr>
      </w:pPr>
      <w:r w:rsidDel="00000000" w:rsidR="00000000" w:rsidRPr="00000000">
        <w:rPr>
          <w:rtl w:val="0"/>
        </w:rPr>
      </w:r>
    </w:p>
    <w:p w:rsidR="00000000" w:rsidDel="00000000" w:rsidP="00000000" w:rsidRDefault="00000000" w:rsidRPr="00000000" w14:paraId="00000C74">
      <w:pPr>
        <w:jc w:val="both"/>
        <w:rPr>
          <w:sz w:val="22"/>
          <w:szCs w:val="22"/>
        </w:rPr>
      </w:pPr>
      <w:r w:rsidDel="00000000" w:rsidR="00000000" w:rsidRPr="00000000">
        <w:rPr>
          <w:sz w:val="22"/>
          <w:szCs w:val="22"/>
          <w:rtl w:val="0"/>
        </w:rPr>
        <w:t xml:space="preserve">Bryman, A. (2015). Social Research Methods. Oxford, OUP Oxford.</w:t>
      </w:r>
    </w:p>
    <w:p w:rsidR="00000000" w:rsidDel="00000000" w:rsidP="00000000" w:rsidRDefault="00000000" w:rsidRPr="00000000" w14:paraId="00000C75">
      <w:pPr>
        <w:jc w:val="both"/>
        <w:rPr>
          <w:sz w:val="22"/>
          <w:szCs w:val="22"/>
        </w:rPr>
      </w:pPr>
      <w:r w:rsidDel="00000000" w:rsidR="00000000" w:rsidRPr="00000000">
        <w:rPr>
          <w:rtl w:val="0"/>
        </w:rPr>
      </w:r>
    </w:p>
    <w:p w:rsidR="00000000" w:rsidDel="00000000" w:rsidP="00000000" w:rsidRDefault="00000000" w:rsidRPr="00000000" w14:paraId="00000C76">
      <w:pPr>
        <w:jc w:val="both"/>
        <w:rPr>
          <w:sz w:val="22"/>
          <w:szCs w:val="22"/>
        </w:rPr>
      </w:pPr>
      <w:r w:rsidDel="00000000" w:rsidR="00000000" w:rsidRPr="00000000">
        <w:rPr>
          <w:sz w:val="22"/>
          <w:szCs w:val="22"/>
          <w:rtl w:val="0"/>
        </w:rPr>
        <w:t xml:space="preserve">Bubonya M. Cobb-Clark DA. Wooden M. (2017). "Mental health and productivity and work: Does what you do matter?" </w:t>
      </w:r>
      <w:r w:rsidDel="00000000" w:rsidR="00000000" w:rsidRPr="00000000">
        <w:rPr>
          <w:i w:val="1"/>
          <w:sz w:val="22"/>
          <w:szCs w:val="22"/>
          <w:rtl w:val="0"/>
        </w:rPr>
        <w:t xml:space="preserve">Labour Economics</w:t>
      </w:r>
      <w:r w:rsidDel="00000000" w:rsidR="00000000" w:rsidRPr="00000000">
        <w:rPr>
          <w:sz w:val="22"/>
          <w:szCs w:val="22"/>
          <w:rtl w:val="0"/>
        </w:rPr>
        <w:t xml:space="preserve"> 46: 150-165.</w:t>
      </w:r>
    </w:p>
    <w:p w:rsidR="00000000" w:rsidDel="00000000" w:rsidP="00000000" w:rsidRDefault="00000000" w:rsidRPr="00000000" w14:paraId="00000C77">
      <w:pPr>
        <w:jc w:val="both"/>
        <w:rPr>
          <w:sz w:val="22"/>
          <w:szCs w:val="22"/>
        </w:rPr>
      </w:pPr>
      <w:r w:rsidDel="00000000" w:rsidR="00000000" w:rsidRPr="00000000">
        <w:rPr>
          <w:rtl w:val="0"/>
        </w:rPr>
      </w:r>
    </w:p>
    <w:p w:rsidR="00000000" w:rsidDel="00000000" w:rsidP="00000000" w:rsidRDefault="00000000" w:rsidRPr="00000000" w14:paraId="00000C78">
      <w:pPr>
        <w:jc w:val="both"/>
        <w:rPr>
          <w:sz w:val="22"/>
          <w:szCs w:val="22"/>
        </w:rPr>
      </w:pPr>
      <w:r w:rsidDel="00000000" w:rsidR="00000000" w:rsidRPr="00000000">
        <w:rPr>
          <w:sz w:val="22"/>
          <w:szCs w:val="22"/>
          <w:rtl w:val="0"/>
        </w:rPr>
        <w:t xml:space="preserve">Buchmueller TC. Valletta RG (2017). "Work, health, and insurance: a shifting landscape for employers and workers alike." </w:t>
      </w:r>
      <w:r w:rsidDel="00000000" w:rsidR="00000000" w:rsidRPr="00000000">
        <w:rPr>
          <w:i w:val="1"/>
          <w:sz w:val="22"/>
          <w:szCs w:val="22"/>
          <w:rtl w:val="0"/>
        </w:rPr>
        <w:t xml:space="preserve">Health Aff</w:t>
      </w:r>
      <w:r w:rsidDel="00000000" w:rsidR="00000000" w:rsidRPr="00000000">
        <w:rPr>
          <w:sz w:val="22"/>
          <w:szCs w:val="22"/>
          <w:rtl w:val="0"/>
        </w:rPr>
        <w:t xml:space="preserve"> (Millwood) 36(2): 214-221.</w:t>
      </w:r>
    </w:p>
    <w:p w:rsidR="00000000" w:rsidDel="00000000" w:rsidP="00000000" w:rsidRDefault="00000000" w:rsidRPr="00000000" w14:paraId="00000C79">
      <w:pPr>
        <w:jc w:val="both"/>
        <w:rPr>
          <w:sz w:val="22"/>
          <w:szCs w:val="22"/>
        </w:rPr>
      </w:pPr>
      <w:r w:rsidDel="00000000" w:rsidR="00000000" w:rsidRPr="00000000">
        <w:rPr>
          <w:rtl w:val="0"/>
        </w:rPr>
      </w:r>
    </w:p>
    <w:p w:rsidR="00000000" w:rsidDel="00000000" w:rsidP="00000000" w:rsidRDefault="00000000" w:rsidRPr="00000000" w14:paraId="00000C7A">
      <w:pPr>
        <w:jc w:val="both"/>
        <w:rPr>
          <w:sz w:val="22"/>
          <w:szCs w:val="22"/>
        </w:rPr>
      </w:pPr>
      <w:r w:rsidDel="00000000" w:rsidR="00000000" w:rsidRPr="00000000">
        <w:rPr>
          <w:sz w:val="22"/>
          <w:szCs w:val="22"/>
          <w:rtl w:val="0"/>
        </w:rPr>
        <w:t xml:space="preserve">Bunn T. Bush A. Slavova S.. (2014). "Drug overdose deaths by specific employment industry, occupation and drug type." </w:t>
      </w:r>
      <w:r w:rsidDel="00000000" w:rsidR="00000000" w:rsidRPr="00000000">
        <w:rPr>
          <w:i w:val="1"/>
          <w:sz w:val="22"/>
          <w:szCs w:val="22"/>
          <w:rtl w:val="0"/>
        </w:rPr>
        <w:t xml:space="preserve">J Ky Med Assoc</w:t>
      </w:r>
      <w:r w:rsidDel="00000000" w:rsidR="00000000" w:rsidRPr="00000000">
        <w:rPr>
          <w:sz w:val="22"/>
          <w:szCs w:val="22"/>
          <w:rtl w:val="0"/>
        </w:rPr>
        <w:t xml:space="preserve"> 112: 201-211.</w:t>
      </w:r>
    </w:p>
    <w:p w:rsidR="00000000" w:rsidDel="00000000" w:rsidP="00000000" w:rsidRDefault="00000000" w:rsidRPr="00000000" w14:paraId="00000C7B">
      <w:pPr>
        <w:jc w:val="both"/>
        <w:rPr>
          <w:sz w:val="22"/>
          <w:szCs w:val="22"/>
        </w:rPr>
      </w:pPr>
      <w:r w:rsidDel="00000000" w:rsidR="00000000" w:rsidRPr="00000000">
        <w:rPr>
          <w:rtl w:val="0"/>
        </w:rPr>
      </w:r>
    </w:p>
    <w:p w:rsidR="00000000" w:rsidDel="00000000" w:rsidP="00000000" w:rsidRDefault="00000000" w:rsidRPr="00000000" w14:paraId="00000C7C">
      <w:pPr>
        <w:jc w:val="both"/>
        <w:rPr>
          <w:sz w:val="22"/>
          <w:szCs w:val="22"/>
        </w:rPr>
      </w:pPr>
      <w:r w:rsidDel="00000000" w:rsidR="00000000" w:rsidRPr="00000000">
        <w:rPr>
          <w:sz w:val="22"/>
          <w:szCs w:val="22"/>
          <w:rtl w:val="0"/>
        </w:rPr>
        <w:t xml:space="preserve">Burjek NE. Hafeman M. Guthrie D. Desai A. Jin X. Brockel M. Moore R. (2023). "Perioperative use of gabapentinoids in paediatric patients." </w:t>
      </w:r>
      <w:r w:rsidDel="00000000" w:rsidR="00000000" w:rsidRPr="00000000">
        <w:rPr>
          <w:i w:val="1"/>
          <w:sz w:val="22"/>
          <w:szCs w:val="22"/>
          <w:rtl w:val="0"/>
        </w:rPr>
        <w:t xml:space="preserve">Anaesthesiology and Perioperative Science</w:t>
      </w:r>
      <w:r w:rsidDel="00000000" w:rsidR="00000000" w:rsidRPr="00000000">
        <w:rPr>
          <w:sz w:val="22"/>
          <w:szCs w:val="22"/>
          <w:rtl w:val="0"/>
        </w:rPr>
        <w:t xml:space="preserve"> 1(21).</w:t>
      </w:r>
    </w:p>
    <w:p w:rsidR="00000000" w:rsidDel="00000000" w:rsidP="00000000" w:rsidRDefault="00000000" w:rsidRPr="00000000" w14:paraId="00000C7D">
      <w:pPr>
        <w:jc w:val="both"/>
        <w:rPr>
          <w:sz w:val="22"/>
          <w:szCs w:val="22"/>
        </w:rPr>
      </w:pPr>
      <w:r w:rsidDel="00000000" w:rsidR="00000000" w:rsidRPr="00000000">
        <w:rPr>
          <w:rtl w:val="0"/>
        </w:rPr>
      </w:r>
    </w:p>
    <w:p w:rsidR="00000000" w:rsidDel="00000000" w:rsidP="00000000" w:rsidRDefault="00000000" w:rsidRPr="00000000" w14:paraId="00000C7E">
      <w:pPr>
        <w:jc w:val="both"/>
        <w:rPr>
          <w:sz w:val="22"/>
          <w:szCs w:val="22"/>
        </w:rPr>
      </w:pPr>
      <w:r w:rsidDel="00000000" w:rsidR="00000000" w:rsidRPr="00000000">
        <w:rPr>
          <w:sz w:val="22"/>
          <w:szCs w:val="22"/>
          <w:rtl w:val="0"/>
        </w:rPr>
        <w:t xml:space="preserve">Burr V. (2015). Social Constructionism, Routlege.</w:t>
      </w:r>
    </w:p>
    <w:p w:rsidR="00000000" w:rsidDel="00000000" w:rsidP="00000000" w:rsidRDefault="00000000" w:rsidRPr="00000000" w14:paraId="00000C7F">
      <w:pPr>
        <w:jc w:val="both"/>
        <w:rPr>
          <w:sz w:val="22"/>
          <w:szCs w:val="22"/>
        </w:rPr>
      </w:pPr>
      <w:r w:rsidDel="00000000" w:rsidR="00000000" w:rsidRPr="00000000">
        <w:rPr>
          <w:rtl w:val="0"/>
        </w:rPr>
      </w:r>
    </w:p>
    <w:p w:rsidR="00000000" w:rsidDel="00000000" w:rsidP="00000000" w:rsidRDefault="00000000" w:rsidRPr="00000000" w14:paraId="00000C80">
      <w:pPr>
        <w:jc w:val="both"/>
        <w:rPr>
          <w:sz w:val="22"/>
          <w:szCs w:val="22"/>
        </w:rPr>
      </w:pPr>
      <w:r w:rsidDel="00000000" w:rsidR="00000000" w:rsidRPr="00000000">
        <w:rPr>
          <w:sz w:val="22"/>
          <w:szCs w:val="22"/>
          <w:rtl w:val="0"/>
        </w:rPr>
        <w:t xml:space="preserve">Burr V. Dick P. (2017). Social Constructionism. The Palgrave Handbook of Critical Social Psychology. London, Palgrave Macmillan: 59-80.</w:t>
      </w:r>
    </w:p>
    <w:p w:rsidR="00000000" w:rsidDel="00000000" w:rsidP="00000000" w:rsidRDefault="00000000" w:rsidRPr="00000000" w14:paraId="00000C81">
      <w:pPr>
        <w:jc w:val="both"/>
        <w:rPr>
          <w:sz w:val="22"/>
          <w:szCs w:val="22"/>
        </w:rPr>
      </w:pPr>
      <w:r w:rsidDel="00000000" w:rsidR="00000000" w:rsidRPr="00000000">
        <w:rPr>
          <w:rtl w:val="0"/>
        </w:rPr>
      </w:r>
    </w:p>
    <w:p w:rsidR="00000000" w:rsidDel="00000000" w:rsidP="00000000" w:rsidRDefault="00000000" w:rsidRPr="00000000" w14:paraId="00000C82">
      <w:pPr>
        <w:jc w:val="both"/>
        <w:rPr>
          <w:sz w:val="22"/>
          <w:szCs w:val="22"/>
        </w:rPr>
      </w:pPr>
      <w:r w:rsidDel="00000000" w:rsidR="00000000" w:rsidRPr="00000000">
        <w:rPr>
          <w:sz w:val="22"/>
          <w:szCs w:val="22"/>
          <w:rtl w:val="0"/>
        </w:rPr>
        <w:t xml:space="preserve">Burton Shepard, A. (2018). "The importance of medication reviews in a primary care setting." </w:t>
      </w:r>
      <w:r w:rsidDel="00000000" w:rsidR="00000000" w:rsidRPr="00000000">
        <w:rPr>
          <w:i w:val="1"/>
          <w:sz w:val="22"/>
          <w:szCs w:val="22"/>
          <w:rtl w:val="0"/>
        </w:rPr>
        <w:t xml:space="preserve">Nurse Prescribing</w:t>
      </w:r>
      <w:r w:rsidDel="00000000" w:rsidR="00000000" w:rsidRPr="00000000">
        <w:rPr>
          <w:sz w:val="22"/>
          <w:szCs w:val="22"/>
          <w:rtl w:val="0"/>
        </w:rPr>
        <w:t xml:space="preserve"> 16(6).</w:t>
      </w:r>
    </w:p>
    <w:p w:rsidR="00000000" w:rsidDel="00000000" w:rsidP="00000000" w:rsidRDefault="00000000" w:rsidRPr="00000000" w14:paraId="00000C83">
      <w:pPr>
        <w:jc w:val="both"/>
        <w:rPr>
          <w:sz w:val="22"/>
          <w:szCs w:val="22"/>
        </w:rPr>
      </w:pPr>
      <w:r w:rsidDel="00000000" w:rsidR="00000000" w:rsidRPr="00000000">
        <w:rPr>
          <w:rtl w:val="0"/>
        </w:rPr>
      </w:r>
    </w:p>
    <w:p w:rsidR="00000000" w:rsidDel="00000000" w:rsidP="00000000" w:rsidRDefault="00000000" w:rsidRPr="00000000" w14:paraId="00000C84">
      <w:pPr>
        <w:jc w:val="both"/>
        <w:rPr>
          <w:sz w:val="22"/>
          <w:szCs w:val="22"/>
        </w:rPr>
      </w:pPr>
      <w:r w:rsidDel="00000000" w:rsidR="00000000" w:rsidRPr="00000000">
        <w:rPr>
          <w:sz w:val="22"/>
          <w:szCs w:val="22"/>
          <w:rtl w:val="0"/>
        </w:rPr>
        <w:t xml:space="preserve">BusinessWire (2021). Antidepressants Market Report 2021: COVID-19 Causes a Surge in Demand for Antidepressant Drugs as Mental Health Problems Rise [online]. BusinessWire. Available at: </w:t>
      </w:r>
      <w:hyperlink r:id="rId18">
        <w:r w:rsidDel="00000000" w:rsidR="00000000" w:rsidRPr="00000000">
          <w:rPr>
            <w:color w:val="467886"/>
            <w:sz w:val="22"/>
            <w:szCs w:val="22"/>
            <w:u w:val="single"/>
            <w:rtl w:val="0"/>
          </w:rPr>
          <w:t xml:space="preserve">https://www.businesswire.com/news/home/20210426005303/en/Global-Antidepressants-Market-Report-2021-COVID-19-Causes-a-Surge-in-Demand-for-Antidepressant-Drugs-as-Mental-Health-Problems-Rise---ResearchAndMarkets.com</w:t>
        </w:r>
      </w:hyperlink>
      <w:r w:rsidDel="00000000" w:rsidR="00000000" w:rsidRPr="00000000">
        <w:rPr>
          <w:sz w:val="22"/>
          <w:szCs w:val="22"/>
          <w:rtl w:val="0"/>
        </w:rPr>
        <w:t xml:space="preserve"> (30/11/2021)</w:t>
      </w:r>
    </w:p>
    <w:p w:rsidR="00000000" w:rsidDel="00000000" w:rsidP="00000000" w:rsidRDefault="00000000" w:rsidRPr="00000000" w14:paraId="00000C85">
      <w:pPr>
        <w:jc w:val="both"/>
        <w:rPr>
          <w:sz w:val="22"/>
          <w:szCs w:val="22"/>
        </w:rPr>
      </w:pPr>
      <w:r w:rsidDel="00000000" w:rsidR="00000000" w:rsidRPr="00000000">
        <w:rPr>
          <w:rtl w:val="0"/>
        </w:rPr>
      </w:r>
    </w:p>
    <w:p w:rsidR="00000000" w:rsidDel="00000000" w:rsidP="00000000" w:rsidRDefault="00000000" w:rsidRPr="00000000" w14:paraId="00000C86">
      <w:pPr>
        <w:jc w:val="both"/>
        <w:rPr>
          <w:sz w:val="22"/>
          <w:szCs w:val="22"/>
        </w:rPr>
      </w:pPr>
      <w:r w:rsidDel="00000000" w:rsidR="00000000" w:rsidRPr="00000000">
        <w:rPr>
          <w:sz w:val="22"/>
          <w:szCs w:val="22"/>
          <w:rtl w:val="0"/>
        </w:rPr>
        <w:t xml:space="preserve">Byrne L. Roper C. Happell B. Reid-Searl K. (2019). "The stigma of identifying as having a lived experience runs before me: Challenges for lived experience roles." </w:t>
      </w:r>
      <w:r w:rsidDel="00000000" w:rsidR="00000000" w:rsidRPr="00000000">
        <w:rPr>
          <w:i w:val="1"/>
          <w:sz w:val="22"/>
          <w:szCs w:val="22"/>
          <w:rtl w:val="0"/>
        </w:rPr>
        <w:t xml:space="preserve">Journal of Mental Health</w:t>
      </w:r>
      <w:r w:rsidDel="00000000" w:rsidR="00000000" w:rsidRPr="00000000">
        <w:rPr>
          <w:sz w:val="22"/>
          <w:szCs w:val="22"/>
          <w:rtl w:val="0"/>
        </w:rPr>
        <w:t xml:space="preserve"> 28(3): 260-266.</w:t>
      </w:r>
    </w:p>
    <w:p w:rsidR="00000000" w:rsidDel="00000000" w:rsidP="00000000" w:rsidRDefault="00000000" w:rsidRPr="00000000" w14:paraId="00000C87">
      <w:pPr>
        <w:jc w:val="both"/>
        <w:rPr>
          <w:sz w:val="22"/>
          <w:szCs w:val="22"/>
        </w:rPr>
      </w:pPr>
      <w:r w:rsidDel="00000000" w:rsidR="00000000" w:rsidRPr="00000000">
        <w:rPr>
          <w:rtl w:val="0"/>
        </w:rPr>
      </w:r>
    </w:p>
    <w:p w:rsidR="00000000" w:rsidDel="00000000" w:rsidP="00000000" w:rsidRDefault="00000000" w:rsidRPr="00000000" w14:paraId="00000C88">
      <w:pPr>
        <w:jc w:val="both"/>
        <w:rPr>
          <w:sz w:val="22"/>
          <w:szCs w:val="22"/>
        </w:rPr>
      </w:pPr>
      <w:r w:rsidDel="00000000" w:rsidR="00000000" w:rsidRPr="00000000">
        <w:rPr>
          <w:sz w:val="22"/>
          <w:szCs w:val="22"/>
          <w:rtl w:val="0"/>
        </w:rPr>
        <w:t xml:space="preserve">Cairns R. Schaffer AL. Ryan N. Pearson SA. Buckley NA. (2019). "Rising pregabalin use and misuse in Australia: trends in utilisation and intentional poisonings." </w:t>
      </w:r>
      <w:r w:rsidDel="00000000" w:rsidR="00000000" w:rsidRPr="00000000">
        <w:rPr>
          <w:i w:val="1"/>
          <w:sz w:val="22"/>
          <w:szCs w:val="22"/>
          <w:rtl w:val="0"/>
        </w:rPr>
        <w:t xml:space="preserve">Addiction</w:t>
      </w:r>
      <w:r w:rsidDel="00000000" w:rsidR="00000000" w:rsidRPr="00000000">
        <w:rPr>
          <w:sz w:val="22"/>
          <w:szCs w:val="22"/>
          <w:rtl w:val="0"/>
        </w:rPr>
        <w:t xml:space="preserve"> 114: 1026-1034.</w:t>
      </w:r>
    </w:p>
    <w:p w:rsidR="00000000" w:rsidDel="00000000" w:rsidP="00000000" w:rsidRDefault="00000000" w:rsidRPr="00000000" w14:paraId="00000C89">
      <w:pPr>
        <w:jc w:val="both"/>
        <w:rPr>
          <w:sz w:val="22"/>
          <w:szCs w:val="22"/>
        </w:rPr>
      </w:pPr>
      <w:r w:rsidDel="00000000" w:rsidR="00000000" w:rsidRPr="00000000">
        <w:rPr>
          <w:rtl w:val="0"/>
        </w:rPr>
      </w:r>
    </w:p>
    <w:p w:rsidR="00000000" w:rsidDel="00000000" w:rsidP="00000000" w:rsidRDefault="00000000" w:rsidRPr="00000000" w14:paraId="00000C8A">
      <w:pPr>
        <w:jc w:val="both"/>
        <w:rPr>
          <w:sz w:val="22"/>
          <w:szCs w:val="22"/>
        </w:rPr>
      </w:pPr>
      <w:r w:rsidDel="00000000" w:rsidR="00000000" w:rsidRPr="00000000">
        <w:rPr>
          <w:sz w:val="22"/>
          <w:szCs w:val="22"/>
          <w:rtl w:val="0"/>
        </w:rPr>
        <w:t xml:space="preserve">Campbell EG. Gruen RL. Mountford J. Miller LG. Cleary PD. Blumenthal D. (2007). "A national survey of physician-industry relationships." </w:t>
      </w:r>
      <w:r w:rsidDel="00000000" w:rsidR="00000000" w:rsidRPr="00000000">
        <w:rPr>
          <w:i w:val="1"/>
          <w:sz w:val="22"/>
          <w:szCs w:val="22"/>
          <w:rtl w:val="0"/>
        </w:rPr>
        <w:t xml:space="preserve">N Engl J Med</w:t>
      </w:r>
      <w:r w:rsidDel="00000000" w:rsidR="00000000" w:rsidRPr="00000000">
        <w:rPr>
          <w:sz w:val="22"/>
          <w:szCs w:val="22"/>
          <w:rtl w:val="0"/>
        </w:rPr>
        <w:t xml:space="preserve">. 356: 1742-1750.</w:t>
      </w:r>
    </w:p>
    <w:p w:rsidR="00000000" w:rsidDel="00000000" w:rsidP="00000000" w:rsidRDefault="00000000" w:rsidRPr="00000000" w14:paraId="00000C8B">
      <w:pPr>
        <w:jc w:val="both"/>
        <w:rPr>
          <w:sz w:val="22"/>
          <w:szCs w:val="22"/>
        </w:rPr>
      </w:pPr>
      <w:r w:rsidDel="00000000" w:rsidR="00000000" w:rsidRPr="00000000">
        <w:rPr>
          <w:rtl w:val="0"/>
        </w:rPr>
      </w:r>
    </w:p>
    <w:p w:rsidR="00000000" w:rsidDel="00000000" w:rsidP="00000000" w:rsidRDefault="00000000" w:rsidRPr="00000000" w14:paraId="00000C8C">
      <w:pPr>
        <w:jc w:val="both"/>
        <w:rPr>
          <w:sz w:val="22"/>
          <w:szCs w:val="22"/>
        </w:rPr>
      </w:pPr>
      <w:r w:rsidDel="00000000" w:rsidR="00000000" w:rsidRPr="00000000">
        <w:rPr>
          <w:sz w:val="22"/>
          <w:szCs w:val="22"/>
          <w:rtl w:val="0"/>
        </w:rPr>
        <w:t xml:space="preserve">Canham SL. Gallo J. Simoni-Wastila L. (2014). "Perceptions of Benzodiazepine Dependence Among Women Age 65 and Older." </w:t>
      </w:r>
      <w:r w:rsidDel="00000000" w:rsidR="00000000" w:rsidRPr="00000000">
        <w:rPr>
          <w:i w:val="1"/>
          <w:sz w:val="22"/>
          <w:szCs w:val="22"/>
          <w:rtl w:val="0"/>
        </w:rPr>
        <w:t xml:space="preserve">Journal of Gerontological Social Work</w:t>
      </w:r>
      <w:r w:rsidDel="00000000" w:rsidR="00000000" w:rsidRPr="00000000">
        <w:rPr>
          <w:sz w:val="22"/>
          <w:szCs w:val="22"/>
          <w:rtl w:val="0"/>
        </w:rPr>
        <w:t xml:space="preserve"> 57(8): 872-888.</w:t>
      </w:r>
    </w:p>
    <w:p w:rsidR="00000000" w:rsidDel="00000000" w:rsidP="00000000" w:rsidRDefault="00000000" w:rsidRPr="00000000" w14:paraId="00000C8D">
      <w:pPr>
        <w:jc w:val="both"/>
        <w:rPr>
          <w:sz w:val="22"/>
          <w:szCs w:val="22"/>
        </w:rPr>
      </w:pPr>
      <w:r w:rsidDel="00000000" w:rsidR="00000000" w:rsidRPr="00000000">
        <w:rPr>
          <w:rtl w:val="0"/>
        </w:rPr>
      </w:r>
    </w:p>
    <w:p w:rsidR="00000000" w:rsidDel="00000000" w:rsidP="00000000" w:rsidRDefault="00000000" w:rsidRPr="00000000" w14:paraId="00000C8E">
      <w:pPr>
        <w:jc w:val="both"/>
        <w:rPr>
          <w:sz w:val="22"/>
          <w:szCs w:val="22"/>
        </w:rPr>
      </w:pPr>
      <w:r w:rsidDel="00000000" w:rsidR="00000000" w:rsidRPr="00000000">
        <w:rPr>
          <w:sz w:val="22"/>
          <w:szCs w:val="22"/>
          <w:rtl w:val="0"/>
        </w:rPr>
        <w:t xml:space="preserve">Care Quality Commission (2018). Brief guide: substance misuse services people in vulnerable circumstances [online]. </w:t>
      </w:r>
    </w:p>
    <w:p w:rsidR="00000000" w:rsidDel="00000000" w:rsidP="00000000" w:rsidRDefault="00000000" w:rsidRPr="00000000" w14:paraId="00000C8F">
      <w:pPr>
        <w:jc w:val="both"/>
        <w:rPr>
          <w:sz w:val="22"/>
          <w:szCs w:val="22"/>
        </w:rPr>
      </w:pPr>
      <w:r w:rsidDel="00000000" w:rsidR="00000000" w:rsidRPr="00000000">
        <w:rPr>
          <w:rtl w:val="0"/>
        </w:rPr>
      </w:r>
    </w:p>
    <w:p w:rsidR="00000000" w:rsidDel="00000000" w:rsidP="00000000" w:rsidRDefault="00000000" w:rsidRPr="00000000" w14:paraId="00000C90">
      <w:pPr>
        <w:jc w:val="both"/>
        <w:rPr>
          <w:sz w:val="22"/>
          <w:szCs w:val="22"/>
        </w:rPr>
      </w:pPr>
      <w:r w:rsidDel="00000000" w:rsidR="00000000" w:rsidRPr="00000000">
        <w:rPr>
          <w:sz w:val="22"/>
          <w:szCs w:val="22"/>
          <w:rtl w:val="0"/>
        </w:rPr>
        <w:t xml:space="preserve">Care Quality Commission. (2022). Adult inpatient survey 2022 [online]. Care Quality Commission. Available at: </w:t>
      </w:r>
      <w:hyperlink r:id="rId19">
        <w:r w:rsidDel="00000000" w:rsidR="00000000" w:rsidRPr="00000000">
          <w:rPr>
            <w:color w:val="467886"/>
            <w:sz w:val="22"/>
            <w:szCs w:val="22"/>
            <w:u w:val="single"/>
            <w:rtl w:val="0"/>
          </w:rPr>
          <w:t xml:space="preserve">https://nhssurveys.org/surveys/survey/02-adults-inpatients/</w:t>
        </w:r>
      </w:hyperlink>
      <w:r w:rsidDel="00000000" w:rsidR="00000000" w:rsidRPr="00000000">
        <w:rPr>
          <w:sz w:val="22"/>
          <w:szCs w:val="22"/>
          <w:rtl w:val="0"/>
        </w:rPr>
        <w:t xml:space="preserve"> (22/01/2023)</w:t>
      </w:r>
    </w:p>
    <w:p w:rsidR="00000000" w:rsidDel="00000000" w:rsidP="00000000" w:rsidRDefault="00000000" w:rsidRPr="00000000" w14:paraId="00000C91">
      <w:pPr>
        <w:jc w:val="both"/>
        <w:rPr>
          <w:sz w:val="22"/>
          <w:szCs w:val="22"/>
        </w:rPr>
      </w:pPr>
      <w:r w:rsidDel="00000000" w:rsidR="00000000" w:rsidRPr="00000000">
        <w:rPr>
          <w:rtl w:val="0"/>
        </w:rPr>
      </w:r>
    </w:p>
    <w:p w:rsidR="00000000" w:rsidDel="00000000" w:rsidP="00000000" w:rsidRDefault="00000000" w:rsidRPr="00000000" w14:paraId="00000C92">
      <w:pPr>
        <w:jc w:val="both"/>
        <w:rPr>
          <w:sz w:val="22"/>
          <w:szCs w:val="22"/>
        </w:rPr>
      </w:pPr>
      <w:r w:rsidDel="00000000" w:rsidR="00000000" w:rsidRPr="00000000">
        <w:rPr>
          <w:sz w:val="22"/>
          <w:szCs w:val="22"/>
          <w:rtl w:val="0"/>
        </w:rPr>
        <w:t xml:space="preserve">Carey E. Moore KJ. Young JC. Bhattacharya M. Schiff LD. Louie MY. Park J. Strassle J. Paula D. (2021). "Association of Preoperative Depression and Anxiety With Long Term Opioid Use After Hysterectomy for Benign Indications." </w:t>
      </w:r>
      <w:r w:rsidDel="00000000" w:rsidR="00000000" w:rsidRPr="00000000">
        <w:rPr>
          <w:i w:val="1"/>
          <w:sz w:val="22"/>
          <w:szCs w:val="22"/>
          <w:rtl w:val="0"/>
        </w:rPr>
        <w:t xml:space="preserve">Obstetrics and Gynaecology</w:t>
      </w:r>
      <w:r w:rsidDel="00000000" w:rsidR="00000000" w:rsidRPr="00000000">
        <w:rPr>
          <w:sz w:val="22"/>
          <w:szCs w:val="22"/>
          <w:rtl w:val="0"/>
        </w:rPr>
        <w:t xml:space="preserve"> 138(5): 715-724.</w:t>
      </w:r>
    </w:p>
    <w:p w:rsidR="00000000" w:rsidDel="00000000" w:rsidP="00000000" w:rsidRDefault="00000000" w:rsidRPr="00000000" w14:paraId="00000C93">
      <w:pPr>
        <w:jc w:val="both"/>
        <w:rPr>
          <w:sz w:val="22"/>
          <w:szCs w:val="22"/>
        </w:rPr>
      </w:pPr>
      <w:r w:rsidDel="00000000" w:rsidR="00000000" w:rsidRPr="00000000">
        <w:rPr>
          <w:rtl w:val="0"/>
        </w:rPr>
      </w:r>
    </w:p>
    <w:p w:rsidR="00000000" w:rsidDel="00000000" w:rsidP="00000000" w:rsidRDefault="00000000" w:rsidRPr="00000000" w14:paraId="00000C94">
      <w:pPr>
        <w:jc w:val="both"/>
        <w:rPr>
          <w:sz w:val="22"/>
          <w:szCs w:val="22"/>
        </w:rPr>
      </w:pPr>
      <w:r w:rsidDel="00000000" w:rsidR="00000000" w:rsidRPr="00000000">
        <w:rPr>
          <w:sz w:val="22"/>
          <w:szCs w:val="22"/>
          <w:rtl w:val="0"/>
        </w:rPr>
        <w:t xml:space="preserve">Carroll KM. Onken LS (2005). "Behavioural therapies for drug abuse." </w:t>
      </w:r>
      <w:r w:rsidDel="00000000" w:rsidR="00000000" w:rsidRPr="00000000">
        <w:rPr>
          <w:i w:val="1"/>
          <w:sz w:val="22"/>
          <w:szCs w:val="22"/>
          <w:rtl w:val="0"/>
        </w:rPr>
        <w:t xml:space="preserve">AM J Psychiatry</w:t>
      </w:r>
      <w:r w:rsidDel="00000000" w:rsidR="00000000" w:rsidRPr="00000000">
        <w:rPr>
          <w:sz w:val="22"/>
          <w:szCs w:val="22"/>
          <w:rtl w:val="0"/>
        </w:rPr>
        <w:t xml:space="preserve">: 1452-1460.</w:t>
      </w:r>
    </w:p>
    <w:p w:rsidR="00000000" w:rsidDel="00000000" w:rsidP="00000000" w:rsidRDefault="00000000" w:rsidRPr="00000000" w14:paraId="00000C95">
      <w:pPr>
        <w:jc w:val="both"/>
        <w:rPr>
          <w:sz w:val="22"/>
          <w:szCs w:val="22"/>
        </w:rPr>
      </w:pPr>
      <w:r w:rsidDel="00000000" w:rsidR="00000000" w:rsidRPr="00000000">
        <w:rPr>
          <w:sz w:val="22"/>
          <w:szCs w:val="22"/>
          <w:rtl w:val="0"/>
        </w:rPr>
        <w:t xml:space="preserve">Carey E. Moore KJ. Young JC. Bhattacharya M. Schiff LD. Louie MY. Park J. Strassle J. Paula D. (2016). ". Long-term antidepressant use: patient perspectives of benefits and adverse effects." </w:t>
      </w:r>
      <w:r w:rsidDel="00000000" w:rsidR="00000000" w:rsidRPr="00000000">
        <w:rPr>
          <w:i w:val="1"/>
          <w:sz w:val="22"/>
          <w:szCs w:val="22"/>
          <w:rtl w:val="0"/>
        </w:rPr>
        <w:t xml:space="preserve">Patient Preference and Adherence</w:t>
      </w:r>
      <w:r w:rsidDel="00000000" w:rsidR="00000000" w:rsidRPr="00000000">
        <w:rPr>
          <w:sz w:val="22"/>
          <w:szCs w:val="22"/>
          <w:rtl w:val="0"/>
        </w:rPr>
        <w:t xml:space="preserve">: 1401-1407.</w:t>
      </w:r>
    </w:p>
    <w:p w:rsidR="00000000" w:rsidDel="00000000" w:rsidP="00000000" w:rsidRDefault="00000000" w:rsidRPr="00000000" w14:paraId="00000C96">
      <w:pPr>
        <w:jc w:val="both"/>
        <w:rPr>
          <w:sz w:val="22"/>
          <w:szCs w:val="22"/>
        </w:rPr>
      </w:pPr>
      <w:r w:rsidDel="00000000" w:rsidR="00000000" w:rsidRPr="00000000">
        <w:rPr>
          <w:rtl w:val="0"/>
        </w:rPr>
      </w:r>
    </w:p>
    <w:p w:rsidR="00000000" w:rsidDel="00000000" w:rsidP="00000000" w:rsidRDefault="00000000" w:rsidRPr="00000000" w14:paraId="00000C97">
      <w:pPr>
        <w:jc w:val="both"/>
        <w:rPr>
          <w:sz w:val="22"/>
          <w:szCs w:val="22"/>
        </w:rPr>
      </w:pPr>
      <w:r w:rsidDel="00000000" w:rsidR="00000000" w:rsidRPr="00000000">
        <w:rPr>
          <w:sz w:val="22"/>
          <w:szCs w:val="22"/>
          <w:rtl w:val="0"/>
        </w:rPr>
        <w:t xml:space="preserve">Centre for Mental Health (2017). Against the odds: Evaluation of the Mind Birmingham Up My Street Programme. Against the odds: Evaluation of the Mind Birmingham Up My Street Programme. Available at: </w:t>
      </w:r>
      <w:hyperlink r:id="rId20">
        <w:r w:rsidDel="00000000" w:rsidR="00000000" w:rsidRPr="00000000">
          <w:rPr>
            <w:color w:val="467886"/>
            <w:sz w:val="22"/>
            <w:szCs w:val="22"/>
            <w:u w:val="single"/>
            <w:rtl w:val="0"/>
          </w:rPr>
          <w:t xml:space="preserve">https://www.centreformentalhealth.org.uk/against-the-odds</w:t>
        </w:r>
      </w:hyperlink>
      <w:r w:rsidDel="00000000" w:rsidR="00000000" w:rsidRPr="00000000">
        <w:rPr>
          <w:sz w:val="22"/>
          <w:szCs w:val="22"/>
          <w:rtl w:val="0"/>
        </w:rPr>
        <w:t xml:space="preserve"> (10/10/2024) </w:t>
      </w:r>
    </w:p>
    <w:p w:rsidR="00000000" w:rsidDel="00000000" w:rsidP="00000000" w:rsidRDefault="00000000" w:rsidRPr="00000000" w14:paraId="00000C98">
      <w:pPr>
        <w:jc w:val="both"/>
        <w:rPr>
          <w:sz w:val="22"/>
          <w:szCs w:val="22"/>
        </w:rPr>
      </w:pPr>
      <w:r w:rsidDel="00000000" w:rsidR="00000000" w:rsidRPr="00000000">
        <w:rPr>
          <w:rtl w:val="0"/>
        </w:rPr>
      </w:r>
    </w:p>
    <w:p w:rsidR="00000000" w:rsidDel="00000000" w:rsidP="00000000" w:rsidRDefault="00000000" w:rsidRPr="00000000" w14:paraId="00000C99">
      <w:pPr>
        <w:jc w:val="both"/>
        <w:rPr>
          <w:sz w:val="22"/>
          <w:szCs w:val="22"/>
        </w:rPr>
      </w:pPr>
      <w:r w:rsidDel="00000000" w:rsidR="00000000" w:rsidRPr="00000000">
        <w:rPr>
          <w:sz w:val="22"/>
          <w:szCs w:val="22"/>
          <w:rtl w:val="0"/>
        </w:rPr>
        <w:t xml:space="preserve">Chafe R. Born KB. Slutsky AS. Laupacis A. (2011). "The rise of people power." </w:t>
      </w:r>
      <w:r w:rsidDel="00000000" w:rsidR="00000000" w:rsidRPr="00000000">
        <w:rPr>
          <w:i w:val="1"/>
          <w:sz w:val="22"/>
          <w:szCs w:val="22"/>
          <w:rtl w:val="0"/>
        </w:rPr>
        <w:t xml:space="preserve">Nature</w:t>
      </w:r>
      <w:r w:rsidDel="00000000" w:rsidR="00000000" w:rsidRPr="00000000">
        <w:rPr>
          <w:sz w:val="22"/>
          <w:szCs w:val="22"/>
          <w:rtl w:val="0"/>
        </w:rPr>
        <w:t xml:space="preserve"> 472: 410-411.</w:t>
      </w:r>
    </w:p>
    <w:p w:rsidR="00000000" w:rsidDel="00000000" w:rsidP="00000000" w:rsidRDefault="00000000" w:rsidRPr="00000000" w14:paraId="00000C9A">
      <w:pPr>
        <w:jc w:val="both"/>
        <w:rPr>
          <w:sz w:val="22"/>
          <w:szCs w:val="22"/>
        </w:rPr>
      </w:pPr>
      <w:r w:rsidDel="00000000" w:rsidR="00000000" w:rsidRPr="00000000">
        <w:rPr>
          <w:rtl w:val="0"/>
        </w:rPr>
      </w:r>
    </w:p>
    <w:p w:rsidR="00000000" w:rsidDel="00000000" w:rsidP="00000000" w:rsidRDefault="00000000" w:rsidRPr="00000000" w14:paraId="00000C9B">
      <w:pPr>
        <w:jc w:val="both"/>
        <w:rPr>
          <w:sz w:val="22"/>
          <w:szCs w:val="22"/>
        </w:rPr>
      </w:pPr>
      <w:r w:rsidDel="00000000" w:rsidR="00000000" w:rsidRPr="00000000">
        <w:rPr>
          <w:sz w:val="22"/>
          <w:szCs w:val="22"/>
          <w:rtl w:val="0"/>
        </w:rPr>
        <w:t xml:space="preserve">Chalkley M. McCormick B. Anderson R. (2017). "Elective hospital admissions: secondary data analysis and modelling with an emphasis on policies to moderate growth." </w:t>
      </w:r>
      <w:r w:rsidDel="00000000" w:rsidR="00000000" w:rsidRPr="00000000">
        <w:rPr>
          <w:i w:val="1"/>
          <w:sz w:val="22"/>
          <w:szCs w:val="22"/>
          <w:rtl w:val="0"/>
        </w:rPr>
        <w:t xml:space="preserve">Health Services and Delivery Research</w:t>
      </w:r>
      <w:r w:rsidDel="00000000" w:rsidR="00000000" w:rsidRPr="00000000">
        <w:rPr>
          <w:sz w:val="22"/>
          <w:szCs w:val="22"/>
          <w:rtl w:val="0"/>
        </w:rPr>
        <w:t xml:space="preserve"> 5(7).</w:t>
      </w:r>
    </w:p>
    <w:p w:rsidR="00000000" w:rsidDel="00000000" w:rsidP="00000000" w:rsidRDefault="00000000" w:rsidRPr="00000000" w14:paraId="00000C9C">
      <w:pPr>
        <w:jc w:val="both"/>
        <w:rPr>
          <w:sz w:val="22"/>
          <w:szCs w:val="22"/>
        </w:rPr>
      </w:pPr>
      <w:r w:rsidDel="00000000" w:rsidR="00000000" w:rsidRPr="00000000">
        <w:rPr>
          <w:rtl w:val="0"/>
        </w:rPr>
      </w:r>
    </w:p>
    <w:p w:rsidR="00000000" w:rsidDel="00000000" w:rsidP="00000000" w:rsidRDefault="00000000" w:rsidRPr="00000000" w14:paraId="00000C9D">
      <w:pPr>
        <w:jc w:val="both"/>
        <w:rPr>
          <w:sz w:val="22"/>
          <w:szCs w:val="22"/>
        </w:rPr>
      </w:pPr>
      <w:r w:rsidDel="00000000" w:rsidR="00000000" w:rsidRPr="00000000">
        <w:rPr>
          <w:sz w:val="22"/>
          <w:szCs w:val="22"/>
          <w:rtl w:val="0"/>
        </w:rPr>
        <w:t xml:space="preserve">Chambers V. (2021). Black peer support: A role in mental health recovery. HARVARD HEALTH BLOG. Available at: </w:t>
      </w:r>
      <w:hyperlink r:id="rId21">
        <w:r w:rsidDel="00000000" w:rsidR="00000000" w:rsidRPr="00000000">
          <w:rPr>
            <w:color w:val="467886"/>
            <w:sz w:val="22"/>
            <w:szCs w:val="22"/>
            <w:u w:val="single"/>
            <w:rtl w:val="0"/>
          </w:rPr>
          <w:t xml:space="preserve">https://www.health.harvard.edu/blog/black-peer-support-a-role-in-mental-health-recovery-2021040822340#:~:text=Studies%20suggest%20peer%20support%20in,of%20discrimination%20in%20treatment%20settings</w:t>
        </w:r>
      </w:hyperlink>
      <w:r w:rsidDel="00000000" w:rsidR="00000000" w:rsidRPr="00000000">
        <w:rPr>
          <w:sz w:val="22"/>
          <w:szCs w:val="22"/>
          <w:rtl w:val="0"/>
        </w:rPr>
        <w:t xml:space="preserve">. (10/10/2024)</w:t>
      </w:r>
    </w:p>
    <w:p w:rsidR="00000000" w:rsidDel="00000000" w:rsidP="00000000" w:rsidRDefault="00000000" w:rsidRPr="00000000" w14:paraId="00000C9E">
      <w:pPr>
        <w:jc w:val="both"/>
        <w:rPr>
          <w:sz w:val="22"/>
          <w:szCs w:val="22"/>
        </w:rPr>
      </w:pPr>
      <w:r w:rsidDel="00000000" w:rsidR="00000000" w:rsidRPr="00000000">
        <w:rPr>
          <w:rtl w:val="0"/>
        </w:rPr>
      </w:r>
    </w:p>
    <w:p w:rsidR="00000000" w:rsidDel="00000000" w:rsidP="00000000" w:rsidRDefault="00000000" w:rsidRPr="00000000" w14:paraId="00000C9F">
      <w:pPr>
        <w:jc w:val="both"/>
        <w:rPr>
          <w:sz w:val="22"/>
          <w:szCs w:val="22"/>
        </w:rPr>
      </w:pPr>
      <w:r w:rsidDel="00000000" w:rsidR="00000000" w:rsidRPr="00000000">
        <w:rPr>
          <w:sz w:val="22"/>
          <w:szCs w:val="22"/>
          <w:rtl w:val="0"/>
        </w:rPr>
        <w:t xml:space="preserve">Chang TI. Park H. Kin DW. Jeon EK. Rhee CM. Kalantar-Zadeh K. Kang EW. Kang SW. Han SH. (2020). "Polypharmacy, hospitalization, and mortality risk: a nationwide cohort study." </w:t>
      </w:r>
      <w:r w:rsidDel="00000000" w:rsidR="00000000" w:rsidRPr="00000000">
        <w:rPr>
          <w:i w:val="1"/>
          <w:sz w:val="22"/>
          <w:szCs w:val="22"/>
          <w:rtl w:val="0"/>
        </w:rPr>
        <w:t xml:space="preserve">Nature</w:t>
      </w:r>
      <w:r w:rsidDel="00000000" w:rsidR="00000000" w:rsidRPr="00000000">
        <w:rPr>
          <w:sz w:val="22"/>
          <w:szCs w:val="22"/>
          <w:rtl w:val="0"/>
        </w:rPr>
        <w:t xml:space="preserve"> 10(18964): 1-9.</w:t>
      </w:r>
    </w:p>
    <w:p w:rsidR="00000000" w:rsidDel="00000000" w:rsidP="00000000" w:rsidRDefault="00000000" w:rsidRPr="00000000" w14:paraId="00000CA0">
      <w:pPr>
        <w:jc w:val="both"/>
        <w:rPr>
          <w:sz w:val="22"/>
          <w:szCs w:val="22"/>
        </w:rPr>
      </w:pPr>
      <w:r w:rsidDel="00000000" w:rsidR="00000000" w:rsidRPr="00000000">
        <w:rPr>
          <w:rtl w:val="0"/>
        </w:rPr>
      </w:r>
    </w:p>
    <w:p w:rsidR="00000000" w:rsidDel="00000000" w:rsidP="00000000" w:rsidRDefault="00000000" w:rsidRPr="00000000" w14:paraId="00000CA1">
      <w:pPr>
        <w:jc w:val="both"/>
        <w:rPr>
          <w:sz w:val="22"/>
          <w:szCs w:val="22"/>
        </w:rPr>
      </w:pPr>
      <w:r w:rsidDel="00000000" w:rsidR="00000000" w:rsidRPr="00000000">
        <w:rPr>
          <w:sz w:val="22"/>
          <w:szCs w:val="22"/>
          <w:rtl w:val="0"/>
        </w:rPr>
        <w:t xml:space="preserve">Chapman AL. Hadfield M. Chapman CJ. (2015). "Qualitative research in healthcare: an introduction to grounded theory using thematic analysis." </w:t>
      </w:r>
      <w:r w:rsidDel="00000000" w:rsidR="00000000" w:rsidRPr="00000000">
        <w:rPr>
          <w:i w:val="1"/>
          <w:sz w:val="22"/>
          <w:szCs w:val="22"/>
          <w:rtl w:val="0"/>
        </w:rPr>
        <w:t xml:space="preserve">Journal of Royal College of Physicians Edinburg</w:t>
      </w:r>
      <w:r w:rsidDel="00000000" w:rsidR="00000000" w:rsidRPr="00000000">
        <w:rPr>
          <w:sz w:val="22"/>
          <w:szCs w:val="22"/>
          <w:rtl w:val="0"/>
        </w:rPr>
        <w:t xml:space="preserve">h.</w:t>
      </w:r>
    </w:p>
    <w:p w:rsidR="00000000" w:rsidDel="00000000" w:rsidP="00000000" w:rsidRDefault="00000000" w:rsidRPr="00000000" w14:paraId="00000CA2">
      <w:pPr>
        <w:jc w:val="both"/>
        <w:rPr>
          <w:sz w:val="22"/>
          <w:szCs w:val="22"/>
        </w:rPr>
      </w:pPr>
      <w:r w:rsidDel="00000000" w:rsidR="00000000" w:rsidRPr="00000000">
        <w:rPr>
          <w:rtl w:val="0"/>
        </w:rPr>
      </w:r>
    </w:p>
    <w:p w:rsidR="00000000" w:rsidDel="00000000" w:rsidP="00000000" w:rsidRDefault="00000000" w:rsidRPr="00000000" w14:paraId="00000CA3">
      <w:pPr>
        <w:jc w:val="both"/>
        <w:rPr>
          <w:sz w:val="22"/>
          <w:szCs w:val="22"/>
        </w:rPr>
      </w:pPr>
      <w:r w:rsidDel="00000000" w:rsidR="00000000" w:rsidRPr="00000000">
        <w:rPr>
          <w:sz w:val="22"/>
          <w:szCs w:val="22"/>
          <w:rtl w:val="0"/>
        </w:rPr>
        <w:t xml:space="preserve">Chater KH. (2021). Living with advanced cancer and using medicines at home: exploring experiences and support opportunities. </w:t>
      </w:r>
      <w:r w:rsidDel="00000000" w:rsidR="00000000" w:rsidRPr="00000000">
        <w:rPr>
          <w:i w:val="1"/>
          <w:sz w:val="22"/>
          <w:szCs w:val="22"/>
          <w:rtl w:val="0"/>
        </w:rPr>
        <w:t xml:space="preserve">Leeds</w:t>
      </w:r>
      <w:r w:rsidDel="00000000" w:rsidR="00000000" w:rsidRPr="00000000">
        <w:rPr>
          <w:sz w:val="22"/>
          <w:szCs w:val="22"/>
          <w:rtl w:val="0"/>
        </w:rPr>
        <w:t xml:space="preserve">: 63-63.</w:t>
      </w:r>
    </w:p>
    <w:p w:rsidR="00000000" w:rsidDel="00000000" w:rsidP="00000000" w:rsidRDefault="00000000" w:rsidRPr="00000000" w14:paraId="00000CA4">
      <w:pPr>
        <w:jc w:val="both"/>
        <w:rPr>
          <w:sz w:val="22"/>
          <w:szCs w:val="22"/>
        </w:rPr>
      </w:pPr>
      <w:r w:rsidDel="00000000" w:rsidR="00000000" w:rsidRPr="00000000">
        <w:rPr>
          <w:rtl w:val="0"/>
        </w:rPr>
      </w:r>
    </w:p>
    <w:p w:rsidR="00000000" w:rsidDel="00000000" w:rsidP="00000000" w:rsidRDefault="00000000" w:rsidRPr="00000000" w14:paraId="00000CA5">
      <w:pPr>
        <w:jc w:val="both"/>
        <w:rPr>
          <w:sz w:val="22"/>
          <w:szCs w:val="22"/>
        </w:rPr>
      </w:pPr>
      <w:r w:rsidDel="00000000" w:rsidR="00000000" w:rsidRPr="00000000">
        <w:rPr>
          <w:sz w:val="22"/>
          <w:szCs w:val="22"/>
          <w:rtl w:val="0"/>
        </w:rPr>
        <w:t xml:space="preserve">Chatmon BN. (2020). "Males and Mental Health Stigma." </w:t>
      </w:r>
      <w:r w:rsidDel="00000000" w:rsidR="00000000" w:rsidRPr="00000000">
        <w:rPr>
          <w:i w:val="1"/>
          <w:sz w:val="22"/>
          <w:szCs w:val="22"/>
          <w:rtl w:val="0"/>
        </w:rPr>
        <w:t xml:space="preserve">American Journal of Men’s Health</w:t>
      </w:r>
      <w:r w:rsidDel="00000000" w:rsidR="00000000" w:rsidRPr="00000000">
        <w:rPr>
          <w:sz w:val="22"/>
          <w:szCs w:val="22"/>
          <w:rtl w:val="0"/>
        </w:rPr>
        <w:t xml:space="preserve">: 1-3.</w:t>
      </w:r>
    </w:p>
    <w:p w:rsidR="00000000" w:rsidDel="00000000" w:rsidP="00000000" w:rsidRDefault="00000000" w:rsidRPr="00000000" w14:paraId="00000CA6">
      <w:pPr>
        <w:jc w:val="both"/>
        <w:rPr>
          <w:sz w:val="22"/>
          <w:szCs w:val="22"/>
        </w:rPr>
      </w:pPr>
      <w:r w:rsidDel="00000000" w:rsidR="00000000" w:rsidRPr="00000000">
        <w:rPr>
          <w:rtl w:val="0"/>
        </w:rPr>
      </w:r>
    </w:p>
    <w:p w:rsidR="00000000" w:rsidDel="00000000" w:rsidP="00000000" w:rsidRDefault="00000000" w:rsidRPr="00000000" w14:paraId="00000CA7">
      <w:pPr>
        <w:jc w:val="both"/>
        <w:rPr>
          <w:sz w:val="22"/>
          <w:szCs w:val="22"/>
        </w:rPr>
      </w:pPr>
      <w:r w:rsidDel="00000000" w:rsidR="00000000" w:rsidRPr="00000000">
        <w:rPr>
          <w:sz w:val="22"/>
          <w:szCs w:val="22"/>
          <w:rtl w:val="0"/>
        </w:rPr>
        <w:t xml:space="preserve">Chavez M. (2008). "“Conceptualizing from the Inside: Advantages, Complication, and Demands on Insider Positionality." </w:t>
      </w:r>
      <w:r w:rsidDel="00000000" w:rsidR="00000000" w:rsidRPr="00000000">
        <w:rPr>
          <w:i w:val="1"/>
          <w:sz w:val="22"/>
          <w:szCs w:val="22"/>
          <w:rtl w:val="0"/>
        </w:rPr>
        <w:t xml:space="preserve">The Qualitative Report</w:t>
      </w:r>
      <w:r w:rsidDel="00000000" w:rsidR="00000000" w:rsidRPr="00000000">
        <w:rPr>
          <w:sz w:val="22"/>
          <w:szCs w:val="22"/>
          <w:rtl w:val="0"/>
        </w:rPr>
        <w:t xml:space="preserve"> 13(3): 474-494.</w:t>
      </w:r>
    </w:p>
    <w:p w:rsidR="00000000" w:rsidDel="00000000" w:rsidP="00000000" w:rsidRDefault="00000000" w:rsidRPr="00000000" w14:paraId="00000CA8">
      <w:pPr>
        <w:jc w:val="both"/>
        <w:rPr>
          <w:sz w:val="22"/>
          <w:szCs w:val="22"/>
        </w:rPr>
      </w:pPr>
      <w:r w:rsidDel="00000000" w:rsidR="00000000" w:rsidRPr="00000000">
        <w:rPr>
          <w:rtl w:val="0"/>
        </w:rPr>
      </w:r>
    </w:p>
    <w:p w:rsidR="00000000" w:rsidDel="00000000" w:rsidP="00000000" w:rsidRDefault="00000000" w:rsidRPr="00000000" w14:paraId="00000CA9">
      <w:pPr>
        <w:jc w:val="both"/>
        <w:rPr>
          <w:sz w:val="22"/>
          <w:szCs w:val="22"/>
        </w:rPr>
      </w:pPr>
      <w:r w:rsidDel="00000000" w:rsidR="00000000" w:rsidRPr="00000000">
        <w:rPr>
          <w:sz w:val="22"/>
          <w:szCs w:val="22"/>
          <w:rtl w:val="0"/>
        </w:rPr>
        <w:t xml:space="preserve">Cheshire A. Ridge D. Clark LV. White PD. (2021). Sick of the sick role: Narratives of What “Recovery” Means to People With CFS/ME. </w:t>
      </w:r>
      <w:r w:rsidDel="00000000" w:rsidR="00000000" w:rsidRPr="00000000">
        <w:rPr>
          <w:i w:val="1"/>
          <w:sz w:val="22"/>
          <w:szCs w:val="22"/>
          <w:rtl w:val="0"/>
        </w:rPr>
        <w:t xml:space="preserve">Qualitative Health Research. </w:t>
      </w:r>
      <w:r w:rsidDel="00000000" w:rsidR="00000000" w:rsidRPr="00000000">
        <w:rPr>
          <w:sz w:val="22"/>
          <w:szCs w:val="22"/>
          <w:rtl w:val="0"/>
        </w:rPr>
        <w:t xml:space="preserve">3(12): 998 - 308</w:t>
      </w:r>
    </w:p>
    <w:p w:rsidR="00000000" w:rsidDel="00000000" w:rsidP="00000000" w:rsidRDefault="00000000" w:rsidRPr="00000000" w14:paraId="00000CAA">
      <w:pPr>
        <w:jc w:val="both"/>
        <w:rPr>
          <w:sz w:val="22"/>
          <w:szCs w:val="22"/>
        </w:rPr>
      </w:pPr>
      <w:r w:rsidDel="00000000" w:rsidR="00000000" w:rsidRPr="00000000">
        <w:rPr>
          <w:rtl w:val="0"/>
        </w:rPr>
      </w:r>
    </w:p>
    <w:p w:rsidR="00000000" w:rsidDel="00000000" w:rsidP="00000000" w:rsidRDefault="00000000" w:rsidRPr="00000000" w14:paraId="00000CAB">
      <w:pPr>
        <w:jc w:val="both"/>
        <w:rPr>
          <w:sz w:val="22"/>
          <w:szCs w:val="22"/>
        </w:rPr>
      </w:pPr>
      <w:r w:rsidDel="00000000" w:rsidR="00000000" w:rsidRPr="00000000">
        <w:rPr>
          <w:sz w:val="22"/>
          <w:szCs w:val="22"/>
          <w:rtl w:val="0"/>
        </w:rPr>
        <w:t xml:space="preserve">Chen YY. Shek DTL. Fei-Fei B. (2011). "Applications of interpretive and constructionist research methods in adolescent research: philosophy, principles and examples." </w:t>
      </w:r>
      <w:r w:rsidDel="00000000" w:rsidR="00000000" w:rsidRPr="00000000">
        <w:rPr>
          <w:i w:val="1"/>
          <w:sz w:val="22"/>
          <w:szCs w:val="22"/>
          <w:rtl w:val="0"/>
        </w:rPr>
        <w:t xml:space="preserve">Int J Adolesc Med Health 23(</w:t>
      </w:r>
      <w:r w:rsidDel="00000000" w:rsidR="00000000" w:rsidRPr="00000000">
        <w:rPr>
          <w:sz w:val="22"/>
          <w:szCs w:val="22"/>
          <w:rtl w:val="0"/>
        </w:rPr>
        <w:t xml:space="preserve">2): 129-139.</w:t>
      </w:r>
    </w:p>
    <w:p w:rsidR="00000000" w:rsidDel="00000000" w:rsidP="00000000" w:rsidRDefault="00000000" w:rsidRPr="00000000" w14:paraId="00000CAC">
      <w:pPr>
        <w:jc w:val="both"/>
        <w:rPr>
          <w:sz w:val="22"/>
          <w:szCs w:val="22"/>
        </w:rPr>
      </w:pPr>
      <w:r w:rsidDel="00000000" w:rsidR="00000000" w:rsidRPr="00000000">
        <w:rPr>
          <w:rtl w:val="0"/>
        </w:rPr>
      </w:r>
    </w:p>
    <w:p w:rsidR="00000000" w:rsidDel="00000000" w:rsidP="00000000" w:rsidRDefault="00000000" w:rsidRPr="00000000" w14:paraId="00000CAD">
      <w:pPr>
        <w:jc w:val="both"/>
        <w:rPr>
          <w:sz w:val="22"/>
          <w:szCs w:val="22"/>
        </w:rPr>
      </w:pPr>
      <w:r w:rsidDel="00000000" w:rsidR="00000000" w:rsidRPr="00000000">
        <w:rPr>
          <w:sz w:val="22"/>
          <w:szCs w:val="22"/>
          <w:rtl w:val="0"/>
        </w:rPr>
        <w:t xml:space="preserve">Cheng HG. Phillips MR. (2014). "Secondary analysis of existing data: opportunities and implementation." </w:t>
      </w:r>
      <w:r w:rsidDel="00000000" w:rsidR="00000000" w:rsidRPr="00000000">
        <w:rPr>
          <w:i w:val="1"/>
          <w:sz w:val="22"/>
          <w:szCs w:val="22"/>
          <w:rtl w:val="0"/>
        </w:rPr>
        <w:t xml:space="preserve">Shanghai Archives of Psychiatry</w:t>
      </w:r>
      <w:r w:rsidDel="00000000" w:rsidR="00000000" w:rsidRPr="00000000">
        <w:rPr>
          <w:sz w:val="22"/>
          <w:szCs w:val="22"/>
          <w:rtl w:val="0"/>
        </w:rPr>
        <w:t xml:space="preserve">. 26(6): 371-375.</w:t>
      </w:r>
    </w:p>
    <w:p w:rsidR="00000000" w:rsidDel="00000000" w:rsidP="00000000" w:rsidRDefault="00000000" w:rsidRPr="00000000" w14:paraId="00000CAE">
      <w:pPr>
        <w:jc w:val="both"/>
        <w:rPr>
          <w:sz w:val="22"/>
          <w:szCs w:val="22"/>
        </w:rPr>
      </w:pPr>
      <w:r w:rsidDel="00000000" w:rsidR="00000000" w:rsidRPr="00000000">
        <w:rPr>
          <w:rtl w:val="0"/>
        </w:rPr>
      </w:r>
    </w:p>
    <w:p w:rsidR="00000000" w:rsidDel="00000000" w:rsidP="00000000" w:rsidRDefault="00000000" w:rsidRPr="00000000" w14:paraId="00000CAF">
      <w:pPr>
        <w:jc w:val="both"/>
        <w:rPr>
          <w:sz w:val="22"/>
          <w:szCs w:val="22"/>
        </w:rPr>
      </w:pPr>
      <w:r w:rsidDel="00000000" w:rsidR="00000000" w:rsidRPr="00000000">
        <w:rPr>
          <w:sz w:val="22"/>
          <w:szCs w:val="22"/>
          <w:rtl w:val="0"/>
        </w:rPr>
        <w:t xml:space="preserve">Cheung JMY. Bartlett DJ. Armour CL. Ellis JG. Saini B. (2015). "People with insomnia: experiences with sedative hypnotics and risk perception." </w:t>
      </w:r>
      <w:r w:rsidDel="00000000" w:rsidR="00000000" w:rsidRPr="00000000">
        <w:rPr>
          <w:i w:val="1"/>
          <w:sz w:val="22"/>
          <w:szCs w:val="22"/>
          <w:rtl w:val="0"/>
        </w:rPr>
        <w:t xml:space="preserve">Health Expectations</w:t>
      </w:r>
      <w:r w:rsidDel="00000000" w:rsidR="00000000" w:rsidRPr="00000000">
        <w:rPr>
          <w:sz w:val="22"/>
          <w:szCs w:val="22"/>
          <w:rtl w:val="0"/>
        </w:rPr>
        <w:t xml:space="preserve"> 19: 935-947.</w:t>
      </w:r>
    </w:p>
    <w:p w:rsidR="00000000" w:rsidDel="00000000" w:rsidP="00000000" w:rsidRDefault="00000000" w:rsidRPr="00000000" w14:paraId="00000CB0">
      <w:pPr>
        <w:jc w:val="both"/>
        <w:rPr>
          <w:sz w:val="22"/>
          <w:szCs w:val="22"/>
        </w:rPr>
      </w:pPr>
      <w:r w:rsidDel="00000000" w:rsidR="00000000" w:rsidRPr="00000000">
        <w:rPr>
          <w:sz w:val="22"/>
          <w:szCs w:val="22"/>
          <w:rtl w:val="0"/>
        </w:rPr>
        <w:t xml:space="preserve">Chew-Graham CA. May CR. Perry MS. (2021). "Qualitative research and the problem of judgement: lessons from interviewing fellow professionals." </w:t>
      </w:r>
      <w:r w:rsidDel="00000000" w:rsidR="00000000" w:rsidRPr="00000000">
        <w:rPr>
          <w:i w:val="1"/>
          <w:sz w:val="22"/>
          <w:szCs w:val="22"/>
          <w:rtl w:val="0"/>
        </w:rPr>
        <w:t xml:space="preserve">Family Practice</w:t>
      </w:r>
      <w:r w:rsidDel="00000000" w:rsidR="00000000" w:rsidRPr="00000000">
        <w:rPr>
          <w:sz w:val="22"/>
          <w:szCs w:val="22"/>
          <w:rtl w:val="0"/>
        </w:rPr>
        <w:t xml:space="preserve"> 19(3): 285-289.</w:t>
      </w:r>
    </w:p>
    <w:p w:rsidR="00000000" w:rsidDel="00000000" w:rsidP="00000000" w:rsidRDefault="00000000" w:rsidRPr="00000000" w14:paraId="00000CB1">
      <w:pPr>
        <w:jc w:val="both"/>
        <w:rPr>
          <w:sz w:val="22"/>
          <w:szCs w:val="22"/>
        </w:rPr>
      </w:pPr>
      <w:r w:rsidDel="00000000" w:rsidR="00000000" w:rsidRPr="00000000">
        <w:rPr>
          <w:rtl w:val="0"/>
        </w:rPr>
      </w:r>
    </w:p>
    <w:p w:rsidR="00000000" w:rsidDel="00000000" w:rsidP="00000000" w:rsidRDefault="00000000" w:rsidRPr="00000000" w14:paraId="00000CB2">
      <w:pPr>
        <w:jc w:val="both"/>
        <w:rPr>
          <w:i w:val="1"/>
          <w:sz w:val="22"/>
          <w:szCs w:val="22"/>
        </w:rPr>
      </w:pPr>
      <w:r w:rsidDel="00000000" w:rsidR="00000000" w:rsidRPr="00000000">
        <w:rPr>
          <w:sz w:val="22"/>
          <w:szCs w:val="22"/>
          <w:rtl w:val="0"/>
        </w:rPr>
        <w:t xml:space="preserve">Chiappini S. Guirguis A. Corker JM. Schifano F. (2020). "Misuse of prescription and over the counter drugs to obtain illicit hights: how pharmacists can prevent abuse." </w:t>
      </w:r>
      <w:r w:rsidDel="00000000" w:rsidR="00000000" w:rsidRPr="00000000">
        <w:rPr>
          <w:i w:val="1"/>
          <w:sz w:val="22"/>
          <w:szCs w:val="22"/>
          <w:rtl w:val="0"/>
        </w:rPr>
        <w:t xml:space="preserve">The Pharmaceutical Journal.</w:t>
      </w:r>
    </w:p>
    <w:p w:rsidR="00000000" w:rsidDel="00000000" w:rsidP="00000000" w:rsidRDefault="00000000" w:rsidRPr="00000000" w14:paraId="00000CB3">
      <w:pPr>
        <w:jc w:val="both"/>
        <w:rPr>
          <w:sz w:val="22"/>
          <w:szCs w:val="22"/>
        </w:rPr>
      </w:pPr>
      <w:r w:rsidDel="00000000" w:rsidR="00000000" w:rsidRPr="00000000">
        <w:rPr>
          <w:rtl w:val="0"/>
        </w:rPr>
      </w:r>
    </w:p>
    <w:p w:rsidR="00000000" w:rsidDel="00000000" w:rsidP="00000000" w:rsidRDefault="00000000" w:rsidRPr="00000000" w14:paraId="00000CB4">
      <w:pPr>
        <w:jc w:val="both"/>
        <w:rPr>
          <w:i w:val="1"/>
          <w:sz w:val="22"/>
          <w:szCs w:val="22"/>
        </w:rPr>
      </w:pPr>
      <w:r w:rsidDel="00000000" w:rsidR="00000000" w:rsidRPr="00000000">
        <w:rPr>
          <w:sz w:val="22"/>
          <w:szCs w:val="22"/>
          <w:rtl w:val="0"/>
        </w:rPr>
        <w:t xml:space="preserve">Chiappini S. Guirguis A. John A. Corker JM. Schifano F. (2020). "COVID-19: The Hidden Impact on Mental Health and Drug Addiction." </w:t>
      </w:r>
      <w:r w:rsidDel="00000000" w:rsidR="00000000" w:rsidRPr="00000000">
        <w:rPr>
          <w:i w:val="1"/>
          <w:sz w:val="22"/>
          <w:szCs w:val="22"/>
          <w:rtl w:val="0"/>
        </w:rPr>
        <w:t xml:space="preserve">Frontiers In.</w:t>
      </w:r>
    </w:p>
    <w:p w:rsidR="00000000" w:rsidDel="00000000" w:rsidP="00000000" w:rsidRDefault="00000000" w:rsidRPr="00000000" w14:paraId="00000CB5">
      <w:pPr>
        <w:jc w:val="both"/>
        <w:rPr>
          <w:i w:val="1"/>
          <w:sz w:val="22"/>
          <w:szCs w:val="22"/>
        </w:rPr>
      </w:pPr>
      <w:r w:rsidDel="00000000" w:rsidR="00000000" w:rsidRPr="00000000">
        <w:rPr>
          <w:rtl w:val="0"/>
        </w:rPr>
      </w:r>
    </w:p>
    <w:p w:rsidR="00000000" w:rsidDel="00000000" w:rsidP="00000000" w:rsidRDefault="00000000" w:rsidRPr="00000000" w14:paraId="00000CB6">
      <w:pPr>
        <w:jc w:val="both"/>
        <w:rPr>
          <w:sz w:val="22"/>
          <w:szCs w:val="22"/>
        </w:rPr>
      </w:pPr>
      <w:r w:rsidDel="00000000" w:rsidR="00000000" w:rsidRPr="00000000">
        <w:rPr>
          <w:sz w:val="22"/>
          <w:szCs w:val="22"/>
          <w:rtl w:val="0"/>
        </w:rPr>
        <w:t xml:space="preserve">Chilvers C. Dewey M. Fielding K. Gretton V. Miller P. Palmer B. (2001). "Counselling versus Antidepressants in Primary Care Study Group. Antidepressant drugs and generic counselling for treatment of major depression in primary care: randomised trial with patient preference arms." </w:t>
      </w:r>
      <w:r w:rsidDel="00000000" w:rsidR="00000000" w:rsidRPr="00000000">
        <w:rPr>
          <w:i w:val="1"/>
          <w:sz w:val="22"/>
          <w:szCs w:val="22"/>
          <w:rtl w:val="0"/>
        </w:rPr>
        <w:t xml:space="preserve">British Medical Journal</w:t>
      </w:r>
      <w:r w:rsidDel="00000000" w:rsidR="00000000" w:rsidRPr="00000000">
        <w:rPr>
          <w:sz w:val="22"/>
          <w:szCs w:val="22"/>
          <w:rtl w:val="0"/>
        </w:rPr>
        <w:t xml:space="preserve">: 772-775.</w:t>
      </w:r>
    </w:p>
    <w:p w:rsidR="00000000" w:rsidDel="00000000" w:rsidP="00000000" w:rsidRDefault="00000000" w:rsidRPr="00000000" w14:paraId="00000CB7">
      <w:pPr>
        <w:jc w:val="both"/>
        <w:rPr>
          <w:sz w:val="22"/>
          <w:szCs w:val="22"/>
        </w:rPr>
      </w:pPr>
      <w:r w:rsidDel="00000000" w:rsidR="00000000" w:rsidRPr="00000000">
        <w:rPr>
          <w:rtl w:val="0"/>
        </w:rPr>
      </w:r>
    </w:p>
    <w:p w:rsidR="00000000" w:rsidDel="00000000" w:rsidP="00000000" w:rsidRDefault="00000000" w:rsidRPr="00000000" w14:paraId="00000CB8">
      <w:pPr>
        <w:jc w:val="both"/>
        <w:rPr>
          <w:sz w:val="22"/>
          <w:szCs w:val="22"/>
        </w:rPr>
      </w:pPr>
      <w:r w:rsidDel="00000000" w:rsidR="00000000" w:rsidRPr="00000000">
        <w:rPr>
          <w:sz w:val="22"/>
          <w:szCs w:val="22"/>
          <w:rtl w:val="0"/>
        </w:rPr>
        <w:t xml:space="preserve">Cho HE. Billig JI. Byrnes ME. Nasser JS. Kocherill AP. Haase SC. Waljee JF. Chung KC. (2021). "A Qualitative Study of Patient Protection Against Postoperative Opioid Addiction: A Thematic Analysis of Self-Agency." </w:t>
      </w:r>
      <w:r w:rsidDel="00000000" w:rsidR="00000000" w:rsidRPr="00000000">
        <w:rPr>
          <w:i w:val="1"/>
          <w:sz w:val="22"/>
          <w:szCs w:val="22"/>
          <w:rtl w:val="0"/>
        </w:rPr>
        <w:t xml:space="preserve">American Society of Plastic Surgeons</w:t>
      </w:r>
      <w:r w:rsidDel="00000000" w:rsidR="00000000" w:rsidRPr="00000000">
        <w:rPr>
          <w:sz w:val="22"/>
          <w:szCs w:val="22"/>
          <w:rtl w:val="0"/>
        </w:rPr>
        <w:t xml:space="preserve"> 147(5): 1124-1131.</w:t>
      </w:r>
    </w:p>
    <w:p w:rsidR="00000000" w:rsidDel="00000000" w:rsidP="00000000" w:rsidRDefault="00000000" w:rsidRPr="00000000" w14:paraId="00000CB9">
      <w:pPr>
        <w:jc w:val="both"/>
        <w:rPr>
          <w:sz w:val="22"/>
          <w:szCs w:val="22"/>
        </w:rPr>
      </w:pPr>
      <w:r w:rsidDel="00000000" w:rsidR="00000000" w:rsidRPr="00000000">
        <w:rPr>
          <w:rtl w:val="0"/>
        </w:rPr>
      </w:r>
    </w:p>
    <w:p w:rsidR="00000000" w:rsidDel="00000000" w:rsidP="00000000" w:rsidRDefault="00000000" w:rsidRPr="00000000" w14:paraId="00000CBA">
      <w:pPr>
        <w:jc w:val="both"/>
        <w:rPr>
          <w:sz w:val="22"/>
          <w:szCs w:val="22"/>
        </w:rPr>
      </w:pPr>
      <w:r w:rsidDel="00000000" w:rsidR="00000000" w:rsidRPr="00000000">
        <w:rPr>
          <w:sz w:val="22"/>
          <w:szCs w:val="22"/>
          <w:rtl w:val="0"/>
        </w:rPr>
        <w:t xml:space="preserve">Chu H. Westbrook RA. Njue-Marendes S. Giordano TP. Dang BN. (2019). "The psychology of the wait time experience – what clinics can do to manage the waiting experience for patients: a longitudinal, qualitative study." </w:t>
      </w:r>
      <w:r w:rsidDel="00000000" w:rsidR="00000000" w:rsidRPr="00000000">
        <w:rPr>
          <w:i w:val="1"/>
          <w:sz w:val="22"/>
          <w:szCs w:val="22"/>
          <w:rtl w:val="0"/>
        </w:rPr>
        <w:t xml:space="preserve">BMC Health Services</w:t>
      </w:r>
      <w:r w:rsidDel="00000000" w:rsidR="00000000" w:rsidRPr="00000000">
        <w:rPr>
          <w:sz w:val="22"/>
          <w:szCs w:val="22"/>
          <w:rtl w:val="0"/>
        </w:rPr>
        <w:t xml:space="preserve"> Research 19(495).</w:t>
      </w:r>
    </w:p>
    <w:p w:rsidR="00000000" w:rsidDel="00000000" w:rsidP="00000000" w:rsidRDefault="00000000" w:rsidRPr="00000000" w14:paraId="00000CBB">
      <w:pPr>
        <w:jc w:val="both"/>
        <w:rPr>
          <w:sz w:val="22"/>
          <w:szCs w:val="22"/>
        </w:rPr>
      </w:pPr>
      <w:r w:rsidDel="00000000" w:rsidR="00000000" w:rsidRPr="00000000">
        <w:rPr>
          <w:rtl w:val="0"/>
        </w:rPr>
      </w:r>
    </w:p>
    <w:p w:rsidR="00000000" w:rsidDel="00000000" w:rsidP="00000000" w:rsidRDefault="00000000" w:rsidRPr="00000000" w14:paraId="00000CBC">
      <w:pPr>
        <w:jc w:val="both"/>
        <w:rPr>
          <w:sz w:val="22"/>
          <w:szCs w:val="22"/>
        </w:rPr>
      </w:pPr>
      <w:r w:rsidDel="00000000" w:rsidR="00000000" w:rsidRPr="00000000">
        <w:rPr>
          <w:sz w:val="22"/>
          <w:szCs w:val="22"/>
          <w:rtl w:val="0"/>
        </w:rPr>
        <w:t xml:space="preserve">Chu JT. Wang MP. Shen C. Viswanath K. Lam TH. Chan SSC. C. (2017). "Chu JT, Wang MP, Shen C, Viswanath K, Lam TH, Chan SSC. How, When and Why People Seek Health Information Online: Qualitative Study in Hong Kong. Interact J Med Res. 2017;6(2):e24. Published 2017 Dec 12. doi:10.2196/ijmr.7000." </w:t>
      </w:r>
      <w:r w:rsidDel="00000000" w:rsidR="00000000" w:rsidRPr="00000000">
        <w:rPr>
          <w:i w:val="1"/>
          <w:sz w:val="22"/>
          <w:szCs w:val="22"/>
          <w:rtl w:val="0"/>
        </w:rPr>
        <w:t xml:space="preserve">Interact J Med Res</w:t>
      </w:r>
      <w:r w:rsidDel="00000000" w:rsidR="00000000" w:rsidRPr="00000000">
        <w:rPr>
          <w:sz w:val="22"/>
          <w:szCs w:val="22"/>
          <w:rtl w:val="0"/>
        </w:rPr>
        <w:t xml:space="preserve"> 6(2): 24-24.</w:t>
      </w:r>
    </w:p>
    <w:p w:rsidR="00000000" w:rsidDel="00000000" w:rsidP="00000000" w:rsidRDefault="00000000" w:rsidRPr="00000000" w14:paraId="00000CBD">
      <w:pPr>
        <w:jc w:val="both"/>
        <w:rPr>
          <w:sz w:val="22"/>
          <w:szCs w:val="22"/>
        </w:rPr>
      </w:pPr>
      <w:r w:rsidDel="00000000" w:rsidR="00000000" w:rsidRPr="00000000">
        <w:rPr>
          <w:rtl w:val="0"/>
        </w:rPr>
      </w:r>
    </w:p>
    <w:p w:rsidR="00000000" w:rsidDel="00000000" w:rsidP="00000000" w:rsidRDefault="00000000" w:rsidRPr="00000000" w14:paraId="00000CBE">
      <w:pPr>
        <w:jc w:val="both"/>
        <w:rPr>
          <w:sz w:val="22"/>
          <w:szCs w:val="22"/>
        </w:rPr>
      </w:pPr>
      <w:r w:rsidDel="00000000" w:rsidR="00000000" w:rsidRPr="00000000">
        <w:rPr>
          <w:sz w:val="22"/>
          <w:szCs w:val="22"/>
          <w:rtl w:val="0"/>
        </w:rPr>
        <w:t xml:space="preserve">Churchill N. (2013). Domain 4. Ensuring that people have a positive experience of care [online]. NHS England. Available at: </w:t>
      </w:r>
      <w:hyperlink r:id="rId22">
        <w:r w:rsidDel="00000000" w:rsidR="00000000" w:rsidRPr="00000000">
          <w:rPr>
            <w:color w:val="467886"/>
            <w:sz w:val="22"/>
            <w:szCs w:val="22"/>
            <w:u w:val="single"/>
            <w:rtl w:val="0"/>
          </w:rPr>
          <w:t xml:space="preserve">https://www.england.nhs.uk/wp-content/uploads/2013/11/pat-expe.pdf</w:t>
        </w:r>
      </w:hyperlink>
      <w:r w:rsidDel="00000000" w:rsidR="00000000" w:rsidRPr="00000000">
        <w:rPr>
          <w:sz w:val="22"/>
          <w:szCs w:val="22"/>
          <w:rtl w:val="0"/>
        </w:rPr>
        <w:t xml:space="preserve"> (27/01/2021)</w:t>
      </w:r>
    </w:p>
    <w:p w:rsidR="00000000" w:rsidDel="00000000" w:rsidP="00000000" w:rsidRDefault="00000000" w:rsidRPr="00000000" w14:paraId="00000CBF">
      <w:pPr>
        <w:jc w:val="both"/>
        <w:rPr>
          <w:sz w:val="22"/>
          <w:szCs w:val="22"/>
        </w:rPr>
      </w:pPr>
      <w:r w:rsidDel="00000000" w:rsidR="00000000" w:rsidRPr="00000000">
        <w:rPr>
          <w:rtl w:val="0"/>
        </w:rPr>
      </w:r>
    </w:p>
    <w:p w:rsidR="00000000" w:rsidDel="00000000" w:rsidP="00000000" w:rsidRDefault="00000000" w:rsidRPr="00000000" w14:paraId="00000CC0">
      <w:pPr>
        <w:jc w:val="both"/>
        <w:rPr>
          <w:sz w:val="22"/>
          <w:szCs w:val="22"/>
        </w:rPr>
      </w:pPr>
      <w:r w:rsidDel="00000000" w:rsidR="00000000" w:rsidRPr="00000000">
        <w:rPr>
          <w:sz w:val="22"/>
          <w:szCs w:val="22"/>
          <w:rtl w:val="0"/>
        </w:rPr>
        <w:t xml:space="preserve">Cipriani A. Furukawa TA. Salanti G. Chaimani A. Atkinson LZ. Ogawa Y. Leucht S. Ruhe HG. Turner EH. Higgins JPT. Egger M. Takeshima N. Hayasaka Y. Imai H. Shinohara K. Tajika A. Ioannidis JPA. Geddes JR. (2018). "Comparative efficacy and acceptability of 21 antidepressant drugs for the acute treatment of adults with major depressive disorder: a systematic review and network meta-analysis." </w:t>
      </w:r>
      <w:r w:rsidDel="00000000" w:rsidR="00000000" w:rsidRPr="00000000">
        <w:rPr>
          <w:i w:val="1"/>
          <w:sz w:val="22"/>
          <w:szCs w:val="22"/>
          <w:rtl w:val="0"/>
        </w:rPr>
        <w:t xml:space="preserve">The Lancet</w:t>
      </w:r>
      <w:r w:rsidDel="00000000" w:rsidR="00000000" w:rsidRPr="00000000">
        <w:rPr>
          <w:sz w:val="22"/>
          <w:szCs w:val="22"/>
          <w:rtl w:val="0"/>
        </w:rPr>
        <w:t xml:space="preserve"> 391: 1357-1366.</w:t>
      </w:r>
    </w:p>
    <w:p w:rsidR="00000000" w:rsidDel="00000000" w:rsidP="00000000" w:rsidRDefault="00000000" w:rsidRPr="00000000" w14:paraId="00000CC1">
      <w:pPr>
        <w:jc w:val="both"/>
        <w:rPr>
          <w:sz w:val="22"/>
          <w:szCs w:val="22"/>
        </w:rPr>
      </w:pPr>
      <w:r w:rsidDel="00000000" w:rsidR="00000000" w:rsidRPr="00000000">
        <w:rPr>
          <w:rtl w:val="0"/>
        </w:rPr>
      </w:r>
    </w:p>
    <w:p w:rsidR="00000000" w:rsidDel="00000000" w:rsidP="00000000" w:rsidRDefault="00000000" w:rsidRPr="00000000" w14:paraId="00000CC2">
      <w:pPr>
        <w:jc w:val="both"/>
        <w:rPr>
          <w:sz w:val="22"/>
          <w:szCs w:val="22"/>
        </w:rPr>
      </w:pPr>
      <w:r w:rsidDel="00000000" w:rsidR="00000000" w:rsidRPr="00000000">
        <w:rPr>
          <w:sz w:val="22"/>
          <w:szCs w:val="22"/>
          <w:rtl w:val="0"/>
        </w:rPr>
        <w:t xml:space="preserve">Cleary R. Armour C. (2022). "Exploring the role of practitioner lived experience of mental health issues in counselling and psychotherapy." </w:t>
      </w:r>
      <w:r w:rsidDel="00000000" w:rsidR="00000000" w:rsidRPr="00000000">
        <w:rPr>
          <w:i w:val="1"/>
          <w:sz w:val="22"/>
          <w:szCs w:val="22"/>
          <w:rtl w:val="0"/>
        </w:rPr>
        <w:t xml:space="preserve">Counselling and Psychotherapy Research</w:t>
      </w:r>
      <w:r w:rsidDel="00000000" w:rsidR="00000000" w:rsidRPr="00000000">
        <w:rPr>
          <w:sz w:val="22"/>
          <w:szCs w:val="22"/>
          <w:rtl w:val="0"/>
        </w:rPr>
        <w:t xml:space="preserve"> 22(4): 1100-1111.</w:t>
      </w:r>
    </w:p>
    <w:p w:rsidR="00000000" w:rsidDel="00000000" w:rsidP="00000000" w:rsidRDefault="00000000" w:rsidRPr="00000000" w14:paraId="00000CC3">
      <w:pPr>
        <w:jc w:val="both"/>
        <w:rPr>
          <w:sz w:val="22"/>
          <w:szCs w:val="22"/>
        </w:rPr>
      </w:pPr>
      <w:r w:rsidDel="00000000" w:rsidR="00000000" w:rsidRPr="00000000">
        <w:rPr>
          <w:rtl w:val="0"/>
        </w:rPr>
      </w:r>
    </w:p>
    <w:p w:rsidR="00000000" w:rsidDel="00000000" w:rsidP="00000000" w:rsidRDefault="00000000" w:rsidRPr="00000000" w14:paraId="00000CC4">
      <w:pPr>
        <w:jc w:val="both"/>
        <w:rPr>
          <w:sz w:val="22"/>
          <w:szCs w:val="22"/>
        </w:rPr>
      </w:pPr>
      <w:r w:rsidDel="00000000" w:rsidR="00000000" w:rsidRPr="00000000">
        <w:rPr>
          <w:sz w:val="22"/>
          <w:szCs w:val="22"/>
          <w:rtl w:val="0"/>
        </w:rPr>
        <w:t xml:space="preserve">Cocanour CS. (2017). "Informed consent- it's more than a signature on a piece of paper." </w:t>
      </w:r>
      <w:r w:rsidDel="00000000" w:rsidR="00000000" w:rsidRPr="00000000">
        <w:rPr>
          <w:i w:val="1"/>
          <w:sz w:val="22"/>
          <w:szCs w:val="22"/>
          <w:rtl w:val="0"/>
        </w:rPr>
        <w:t xml:space="preserve">Bioethics</w:t>
      </w:r>
      <w:r w:rsidDel="00000000" w:rsidR="00000000" w:rsidRPr="00000000">
        <w:rPr>
          <w:sz w:val="22"/>
          <w:szCs w:val="22"/>
          <w:rtl w:val="0"/>
        </w:rPr>
        <w:t xml:space="preserve"> 214: 993-997.</w:t>
      </w:r>
    </w:p>
    <w:p w:rsidR="00000000" w:rsidDel="00000000" w:rsidP="00000000" w:rsidRDefault="00000000" w:rsidRPr="00000000" w14:paraId="00000CC5">
      <w:pPr>
        <w:jc w:val="both"/>
        <w:rPr>
          <w:sz w:val="22"/>
          <w:szCs w:val="22"/>
        </w:rPr>
      </w:pPr>
      <w:r w:rsidDel="00000000" w:rsidR="00000000" w:rsidRPr="00000000">
        <w:rPr>
          <w:rtl w:val="0"/>
        </w:rPr>
      </w:r>
    </w:p>
    <w:p w:rsidR="00000000" w:rsidDel="00000000" w:rsidP="00000000" w:rsidRDefault="00000000" w:rsidRPr="00000000" w14:paraId="00000CC6">
      <w:pPr>
        <w:jc w:val="both"/>
        <w:rPr>
          <w:sz w:val="22"/>
          <w:szCs w:val="22"/>
        </w:rPr>
      </w:pPr>
      <w:r w:rsidDel="00000000" w:rsidR="00000000" w:rsidRPr="00000000">
        <w:rPr>
          <w:sz w:val="22"/>
          <w:szCs w:val="22"/>
          <w:rtl w:val="0"/>
        </w:rPr>
        <w:t xml:space="preserve">Cohen L. Manion L. Morrison K. (2018). Research Methods in Education. London, Routledge.</w:t>
      </w:r>
    </w:p>
    <w:p w:rsidR="00000000" w:rsidDel="00000000" w:rsidP="00000000" w:rsidRDefault="00000000" w:rsidRPr="00000000" w14:paraId="00000CC7">
      <w:pPr>
        <w:jc w:val="both"/>
        <w:rPr>
          <w:sz w:val="22"/>
          <w:szCs w:val="22"/>
        </w:rPr>
      </w:pPr>
      <w:r w:rsidDel="00000000" w:rsidR="00000000" w:rsidRPr="00000000">
        <w:rPr>
          <w:rtl w:val="0"/>
        </w:rPr>
      </w:r>
    </w:p>
    <w:p w:rsidR="00000000" w:rsidDel="00000000" w:rsidP="00000000" w:rsidRDefault="00000000" w:rsidRPr="00000000" w14:paraId="00000CC8">
      <w:pPr>
        <w:jc w:val="both"/>
        <w:rPr>
          <w:sz w:val="22"/>
          <w:szCs w:val="22"/>
        </w:rPr>
      </w:pPr>
      <w:r w:rsidDel="00000000" w:rsidR="00000000" w:rsidRPr="00000000">
        <w:rPr>
          <w:sz w:val="22"/>
          <w:szCs w:val="22"/>
          <w:rtl w:val="0"/>
        </w:rPr>
        <w:t xml:space="preserve">Coleman JJ. Ferner RE. Evans SJW. (2005). "Monitoring for adverse drug reactions." </w:t>
      </w:r>
      <w:r w:rsidDel="00000000" w:rsidR="00000000" w:rsidRPr="00000000">
        <w:rPr>
          <w:i w:val="1"/>
          <w:sz w:val="22"/>
          <w:szCs w:val="22"/>
          <w:rtl w:val="0"/>
        </w:rPr>
        <w:t xml:space="preserve">British Journal of Clinical Pharmacology</w:t>
      </w:r>
      <w:r w:rsidDel="00000000" w:rsidR="00000000" w:rsidRPr="00000000">
        <w:rPr>
          <w:sz w:val="22"/>
          <w:szCs w:val="22"/>
          <w:rtl w:val="0"/>
        </w:rPr>
        <w:t xml:space="preserve"> 61(4): 371-378.</w:t>
      </w:r>
    </w:p>
    <w:p w:rsidR="00000000" w:rsidDel="00000000" w:rsidP="00000000" w:rsidRDefault="00000000" w:rsidRPr="00000000" w14:paraId="00000CC9">
      <w:pPr>
        <w:jc w:val="both"/>
        <w:rPr>
          <w:sz w:val="22"/>
          <w:szCs w:val="22"/>
        </w:rPr>
      </w:pPr>
      <w:r w:rsidDel="00000000" w:rsidR="00000000" w:rsidRPr="00000000">
        <w:rPr>
          <w:rtl w:val="0"/>
        </w:rPr>
      </w:r>
    </w:p>
    <w:p w:rsidR="00000000" w:rsidDel="00000000" w:rsidP="00000000" w:rsidRDefault="00000000" w:rsidRPr="00000000" w14:paraId="00000CCA">
      <w:pPr>
        <w:jc w:val="both"/>
        <w:rPr>
          <w:sz w:val="22"/>
          <w:szCs w:val="22"/>
        </w:rPr>
      </w:pPr>
      <w:r w:rsidDel="00000000" w:rsidR="00000000" w:rsidRPr="00000000">
        <w:rPr>
          <w:sz w:val="22"/>
          <w:szCs w:val="22"/>
          <w:rtl w:val="0"/>
        </w:rPr>
        <w:t xml:space="preserve">Committee on Safety of Medicines. (2004). Report of the CSM Expert Working Group on the safety of selective serotonin reuptake inhibitor antidepressants. London.</w:t>
      </w:r>
    </w:p>
    <w:p w:rsidR="00000000" w:rsidDel="00000000" w:rsidP="00000000" w:rsidRDefault="00000000" w:rsidRPr="00000000" w14:paraId="00000CCB">
      <w:pPr>
        <w:jc w:val="both"/>
        <w:rPr>
          <w:sz w:val="22"/>
          <w:szCs w:val="22"/>
        </w:rPr>
      </w:pPr>
      <w:r w:rsidDel="00000000" w:rsidR="00000000" w:rsidRPr="00000000">
        <w:rPr>
          <w:rtl w:val="0"/>
        </w:rPr>
      </w:r>
    </w:p>
    <w:p w:rsidR="00000000" w:rsidDel="00000000" w:rsidP="00000000" w:rsidRDefault="00000000" w:rsidRPr="00000000" w14:paraId="00000CCC">
      <w:pPr>
        <w:jc w:val="both"/>
        <w:rPr>
          <w:sz w:val="22"/>
          <w:szCs w:val="22"/>
        </w:rPr>
      </w:pPr>
      <w:r w:rsidDel="00000000" w:rsidR="00000000" w:rsidRPr="00000000">
        <w:rPr>
          <w:sz w:val="22"/>
          <w:szCs w:val="22"/>
          <w:rtl w:val="0"/>
        </w:rPr>
        <w:t xml:space="preserve">Conrad P. Bergey M. (2015). Medicalisation: Sociological and Anthropological Perspectives.  International Encyclopaedia of the Social and Behavioural Sciences. </w:t>
      </w:r>
    </w:p>
    <w:p w:rsidR="00000000" w:rsidDel="00000000" w:rsidP="00000000" w:rsidRDefault="00000000" w:rsidRPr="00000000" w14:paraId="00000CCD">
      <w:pPr>
        <w:jc w:val="both"/>
        <w:rPr>
          <w:sz w:val="22"/>
          <w:szCs w:val="22"/>
        </w:rPr>
      </w:pPr>
      <w:r w:rsidDel="00000000" w:rsidR="00000000" w:rsidRPr="00000000">
        <w:rPr>
          <w:rtl w:val="0"/>
        </w:rPr>
      </w:r>
    </w:p>
    <w:p w:rsidR="00000000" w:rsidDel="00000000" w:rsidP="00000000" w:rsidRDefault="00000000" w:rsidRPr="00000000" w14:paraId="00000CCE">
      <w:pPr>
        <w:jc w:val="both"/>
        <w:rPr>
          <w:i w:val="1"/>
          <w:sz w:val="22"/>
          <w:szCs w:val="22"/>
        </w:rPr>
      </w:pPr>
      <w:r w:rsidDel="00000000" w:rsidR="00000000" w:rsidRPr="00000000">
        <w:rPr>
          <w:sz w:val="22"/>
          <w:szCs w:val="22"/>
          <w:rtl w:val="0"/>
        </w:rPr>
        <w:t xml:space="preserve">Connelly D. (2020). Losing faith: the patients waiting years for specialist pain treatment. </w:t>
      </w:r>
      <w:r w:rsidDel="00000000" w:rsidR="00000000" w:rsidRPr="00000000">
        <w:rPr>
          <w:i w:val="1"/>
          <w:sz w:val="22"/>
          <w:szCs w:val="22"/>
          <w:rtl w:val="0"/>
        </w:rPr>
        <w:t xml:space="preserve">Pharmaceutical Journal.</w:t>
      </w:r>
    </w:p>
    <w:p w:rsidR="00000000" w:rsidDel="00000000" w:rsidP="00000000" w:rsidRDefault="00000000" w:rsidRPr="00000000" w14:paraId="00000CCF">
      <w:pPr>
        <w:jc w:val="both"/>
        <w:rPr>
          <w:i w:val="1"/>
          <w:sz w:val="22"/>
          <w:szCs w:val="22"/>
        </w:rPr>
      </w:pPr>
      <w:r w:rsidDel="00000000" w:rsidR="00000000" w:rsidRPr="00000000">
        <w:rPr>
          <w:rtl w:val="0"/>
        </w:rPr>
      </w:r>
    </w:p>
    <w:p w:rsidR="00000000" w:rsidDel="00000000" w:rsidP="00000000" w:rsidRDefault="00000000" w:rsidRPr="00000000" w14:paraId="00000CD0">
      <w:pPr>
        <w:jc w:val="both"/>
        <w:rPr>
          <w:sz w:val="22"/>
          <w:szCs w:val="22"/>
        </w:rPr>
      </w:pPr>
      <w:r w:rsidDel="00000000" w:rsidR="00000000" w:rsidRPr="00000000">
        <w:rPr>
          <w:sz w:val="22"/>
          <w:szCs w:val="22"/>
          <w:rtl w:val="0"/>
        </w:rPr>
        <w:t xml:space="preserve">Cook TM. Wang JL. (2011). "Causation beliefs and stigma against depression: Results from a population-based study." </w:t>
      </w:r>
      <w:r w:rsidDel="00000000" w:rsidR="00000000" w:rsidRPr="00000000">
        <w:rPr>
          <w:i w:val="1"/>
          <w:sz w:val="22"/>
          <w:szCs w:val="22"/>
          <w:rtl w:val="0"/>
        </w:rPr>
        <w:t xml:space="preserve">Journal of Affective Disorders</w:t>
      </w:r>
      <w:r w:rsidDel="00000000" w:rsidR="00000000" w:rsidRPr="00000000">
        <w:rPr>
          <w:sz w:val="22"/>
          <w:szCs w:val="22"/>
          <w:rtl w:val="0"/>
        </w:rPr>
        <w:t xml:space="preserve"> 133(1): 86-92.</w:t>
      </w:r>
    </w:p>
    <w:p w:rsidR="00000000" w:rsidDel="00000000" w:rsidP="00000000" w:rsidRDefault="00000000" w:rsidRPr="00000000" w14:paraId="00000CD1">
      <w:pPr>
        <w:jc w:val="both"/>
        <w:rPr>
          <w:sz w:val="22"/>
          <w:szCs w:val="22"/>
        </w:rPr>
      </w:pPr>
      <w:r w:rsidDel="00000000" w:rsidR="00000000" w:rsidRPr="00000000">
        <w:rPr>
          <w:sz w:val="22"/>
          <w:szCs w:val="22"/>
          <w:rtl w:val="0"/>
        </w:rPr>
        <w:tab/>
      </w:r>
    </w:p>
    <w:p w:rsidR="00000000" w:rsidDel="00000000" w:rsidP="00000000" w:rsidRDefault="00000000" w:rsidRPr="00000000" w14:paraId="00000CD2">
      <w:pPr>
        <w:jc w:val="both"/>
        <w:rPr>
          <w:sz w:val="22"/>
          <w:szCs w:val="22"/>
        </w:rPr>
      </w:pPr>
      <w:r w:rsidDel="00000000" w:rsidR="00000000" w:rsidRPr="00000000">
        <w:rPr>
          <w:sz w:val="22"/>
          <w:szCs w:val="22"/>
          <w:rtl w:val="0"/>
        </w:rPr>
        <w:t xml:space="preserve">Cornwall and P. Isles of Scilly Safeguarding Children Partnership (2019). Children of Parents who Misuse Substances [online]. Available at: </w:t>
      </w:r>
      <w:hyperlink r:id="rId23">
        <w:r w:rsidDel="00000000" w:rsidR="00000000" w:rsidRPr="00000000">
          <w:rPr>
            <w:color w:val="467886"/>
            <w:sz w:val="22"/>
            <w:szCs w:val="22"/>
            <w:u w:val="single"/>
            <w:rtl w:val="0"/>
          </w:rPr>
          <w:t xml:space="preserve">https://www.proceduresonline.com/swcpp/cornwall_scilly/p_ch_par_misuse_subs.html</w:t>
        </w:r>
      </w:hyperlink>
      <w:r w:rsidDel="00000000" w:rsidR="00000000" w:rsidRPr="00000000">
        <w:rPr>
          <w:sz w:val="22"/>
          <w:szCs w:val="22"/>
          <w:rtl w:val="0"/>
        </w:rPr>
        <w:t xml:space="preserve"> (28/04/2022) </w:t>
      </w:r>
    </w:p>
    <w:p w:rsidR="00000000" w:rsidDel="00000000" w:rsidP="00000000" w:rsidRDefault="00000000" w:rsidRPr="00000000" w14:paraId="00000CD3">
      <w:pPr>
        <w:jc w:val="both"/>
        <w:rPr>
          <w:sz w:val="22"/>
          <w:szCs w:val="22"/>
        </w:rPr>
      </w:pPr>
      <w:r w:rsidDel="00000000" w:rsidR="00000000" w:rsidRPr="00000000">
        <w:rPr>
          <w:rtl w:val="0"/>
        </w:rPr>
      </w:r>
    </w:p>
    <w:p w:rsidR="00000000" w:rsidDel="00000000" w:rsidP="00000000" w:rsidRDefault="00000000" w:rsidRPr="00000000" w14:paraId="00000CD4">
      <w:pPr>
        <w:jc w:val="both"/>
        <w:rPr>
          <w:sz w:val="22"/>
          <w:szCs w:val="22"/>
        </w:rPr>
      </w:pPr>
      <w:r w:rsidDel="00000000" w:rsidR="00000000" w:rsidRPr="00000000">
        <w:rPr>
          <w:sz w:val="22"/>
          <w:szCs w:val="22"/>
          <w:rtl w:val="0"/>
        </w:rPr>
        <w:t xml:space="preserve">Corrigan PW. Larson JE. Kuwabara SA. (2010). Social psychology of the stigma of mental illness: Public and self-stigma models. New York, The Guildford Press.</w:t>
      </w:r>
    </w:p>
    <w:p w:rsidR="00000000" w:rsidDel="00000000" w:rsidP="00000000" w:rsidRDefault="00000000" w:rsidRPr="00000000" w14:paraId="00000CD5">
      <w:pPr>
        <w:jc w:val="both"/>
        <w:rPr>
          <w:sz w:val="22"/>
          <w:szCs w:val="22"/>
        </w:rPr>
      </w:pPr>
      <w:r w:rsidDel="00000000" w:rsidR="00000000" w:rsidRPr="00000000">
        <w:rPr>
          <w:rtl w:val="0"/>
        </w:rPr>
      </w:r>
    </w:p>
    <w:p w:rsidR="00000000" w:rsidDel="00000000" w:rsidP="00000000" w:rsidRDefault="00000000" w:rsidRPr="00000000" w14:paraId="00000CD6">
      <w:pPr>
        <w:jc w:val="both"/>
        <w:rPr>
          <w:sz w:val="22"/>
          <w:szCs w:val="22"/>
        </w:rPr>
      </w:pPr>
      <w:r w:rsidDel="00000000" w:rsidR="00000000" w:rsidRPr="00000000">
        <w:rPr>
          <w:sz w:val="22"/>
          <w:szCs w:val="22"/>
          <w:rtl w:val="0"/>
        </w:rPr>
        <w:t xml:space="preserve">Corrigan PW. Rao D. (2012). "On the Self-Stigma of Mental Illness: Stages, Discourse and Strategies for Change." </w:t>
      </w:r>
      <w:r w:rsidDel="00000000" w:rsidR="00000000" w:rsidRPr="00000000">
        <w:rPr>
          <w:i w:val="1"/>
          <w:sz w:val="22"/>
          <w:szCs w:val="22"/>
          <w:rtl w:val="0"/>
        </w:rPr>
        <w:t xml:space="preserve">Can J Psychiatry</w:t>
      </w:r>
      <w:r w:rsidDel="00000000" w:rsidR="00000000" w:rsidRPr="00000000">
        <w:rPr>
          <w:sz w:val="22"/>
          <w:szCs w:val="22"/>
          <w:rtl w:val="0"/>
        </w:rPr>
        <w:t xml:space="preserve"> 57(8): 464-469.</w:t>
      </w:r>
    </w:p>
    <w:p w:rsidR="00000000" w:rsidDel="00000000" w:rsidP="00000000" w:rsidRDefault="00000000" w:rsidRPr="00000000" w14:paraId="00000CD7">
      <w:pPr>
        <w:jc w:val="both"/>
        <w:rPr>
          <w:sz w:val="22"/>
          <w:szCs w:val="22"/>
        </w:rPr>
      </w:pPr>
      <w:r w:rsidDel="00000000" w:rsidR="00000000" w:rsidRPr="00000000">
        <w:rPr>
          <w:rtl w:val="0"/>
        </w:rPr>
      </w:r>
    </w:p>
    <w:p w:rsidR="00000000" w:rsidDel="00000000" w:rsidP="00000000" w:rsidRDefault="00000000" w:rsidRPr="00000000" w14:paraId="00000CD8">
      <w:pPr>
        <w:jc w:val="both"/>
        <w:rPr>
          <w:sz w:val="22"/>
          <w:szCs w:val="22"/>
        </w:rPr>
      </w:pPr>
      <w:r w:rsidDel="00000000" w:rsidR="00000000" w:rsidRPr="00000000">
        <w:rPr>
          <w:sz w:val="22"/>
          <w:szCs w:val="22"/>
          <w:rtl w:val="0"/>
        </w:rPr>
        <w:t xml:space="preserve">Cosadine C. (2023). "Autonomy and Paternalism." </w:t>
      </w:r>
      <w:r w:rsidDel="00000000" w:rsidR="00000000" w:rsidRPr="00000000">
        <w:rPr>
          <w:i w:val="1"/>
          <w:sz w:val="22"/>
          <w:szCs w:val="22"/>
          <w:rtl w:val="0"/>
        </w:rPr>
        <w:t xml:space="preserve">Soaring: A Journal of Undergraduate Research</w:t>
      </w:r>
      <w:r w:rsidDel="00000000" w:rsidR="00000000" w:rsidRPr="00000000">
        <w:rPr>
          <w:sz w:val="22"/>
          <w:szCs w:val="22"/>
          <w:rtl w:val="0"/>
        </w:rPr>
        <w:t xml:space="preserve"> 2023(3).</w:t>
      </w:r>
    </w:p>
    <w:p w:rsidR="00000000" w:rsidDel="00000000" w:rsidP="00000000" w:rsidRDefault="00000000" w:rsidRPr="00000000" w14:paraId="00000CD9">
      <w:pPr>
        <w:jc w:val="both"/>
        <w:rPr>
          <w:sz w:val="22"/>
          <w:szCs w:val="22"/>
        </w:rPr>
      </w:pPr>
      <w:r w:rsidDel="00000000" w:rsidR="00000000" w:rsidRPr="00000000">
        <w:rPr>
          <w:rtl w:val="0"/>
        </w:rPr>
      </w:r>
    </w:p>
    <w:p w:rsidR="00000000" w:rsidDel="00000000" w:rsidP="00000000" w:rsidRDefault="00000000" w:rsidRPr="00000000" w14:paraId="00000CDA">
      <w:pPr>
        <w:jc w:val="both"/>
        <w:rPr>
          <w:sz w:val="22"/>
          <w:szCs w:val="22"/>
        </w:rPr>
      </w:pPr>
      <w:r w:rsidDel="00000000" w:rsidR="00000000" w:rsidRPr="00000000">
        <w:rPr>
          <w:sz w:val="22"/>
          <w:szCs w:val="22"/>
          <w:rtl w:val="0"/>
        </w:rPr>
        <w:t xml:space="preserve">Cosci F. Chouinard G. (2020). "Acute and Persistent Withdrawal Syndromes Following Discontinuation of Psychotropic Medications." </w:t>
      </w:r>
      <w:r w:rsidDel="00000000" w:rsidR="00000000" w:rsidRPr="00000000">
        <w:rPr>
          <w:i w:val="1"/>
          <w:sz w:val="22"/>
          <w:szCs w:val="22"/>
          <w:rtl w:val="0"/>
        </w:rPr>
        <w:t xml:space="preserve">Psychotherapy and Psychosomatics</w:t>
      </w:r>
      <w:r w:rsidDel="00000000" w:rsidR="00000000" w:rsidRPr="00000000">
        <w:rPr>
          <w:sz w:val="22"/>
          <w:szCs w:val="22"/>
          <w:rtl w:val="0"/>
        </w:rPr>
        <w:t xml:space="preserve"> 89: 283-306.</w:t>
      </w:r>
    </w:p>
    <w:p w:rsidR="00000000" w:rsidDel="00000000" w:rsidP="00000000" w:rsidRDefault="00000000" w:rsidRPr="00000000" w14:paraId="00000CDB">
      <w:pPr>
        <w:jc w:val="both"/>
        <w:rPr>
          <w:sz w:val="22"/>
          <w:szCs w:val="22"/>
        </w:rPr>
      </w:pPr>
      <w:r w:rsidDel="00000000" w:rsidR="00000000" w:rsidRPr="00000000">
        <w:rPr>
          <w:rtl w:val="0"/>
        </w:rPr>
      </w:r>
    </w:p>
    <w:p w:rsidR="00000000" w:rsidDel="00000000" w:rsidP="00000000" w:rsidRDefault="00000000" w:rsidRPr="00000000" w14:paraId="00000CDC">
      <w:pPr>
        <w:jc w:val="both"/>
        <w:rPr>
          <w:sz w:val="22"/>
          <w:szCs w:val="22"/>
        </w:rPr>
      </w:pPr>
      <w:r w:rsidDel="00000000" w:rsidR="00000000" w:rsidRPr="00000000">
        <w:rPr>
          <w:sz w:val="22"/>
          <w:szCs w:val="22"/>
          <w:rtl w:val="0"/>
        </w:rPr>
        <w:t xml:space="preserve">Coulter S. (2011). Engaging patients in healthcare. Maidenhead, Berkshire, Open University Press.</w:t>
      </w:r>
    </w:p>
    <w:p w:rsidR="00000000" w:rsidDel="00000000" w:rsidP="00000000" w:rsidRDefault="00000000" w:rsidRPr="00000000" w14:paraId="00000CDD">
      <w:pPr>
        <w:jc w:val="both"/>
        <w:rPr>
          <w:sz w:val="22"/>
          <w:szCs w:val="22"/>
        </w:rPr>
      </w:pPr>
      <w:r w:rsidDel="00000000" w:rsidR="00000000" w:rsidRPr="00000000">
        <w:rPr>
          <w:rtl w:val="0"/>
        </w:rPr>
      </w:r>
    </w:p>
    <w:p w:rsidR="00000000" w:rsidDel="00000000" w:rsidP="00000000" w:rsidRDefault="00000000" w:rsidRPr="00000000" w14:paraId="00000CDE">
      <w:pPr>
        <w:jc w:val="both"/>
        <w:rPr>
          <w:sz w:val="22"/>
          <w:szCs w:val="22"/>
        </w:rPr>
      </w:pPr>
      <w:r w:rsidDel="00000000" w:rsidR="00000000" w:rsidRPr="00000000">
        <w:rPr>
          <w:sz w:val="22"/>
          <w:szCs w:val="22"/>
          <w:rtl w:val="0"/>
        </w:rPr>
        <w:t xml:space="preserve">Courts and Justice Tribunals (2022). Michelle Whitehead: Prevention of future deaths report [online]. Nottingham. Available at: </w:t>
      </w:r>
      <w:hyperlink r:id="rId24">
        <w:r w:rsidDel="00000000" w:rsidR="00000000" w:rsidRPr="00000000">
          <w:rPr>
            <w:color w:val="467886"/>
            <w:sz w:val="22"/>
            <w:szCs w:val="22"/>
            <w:u w:val="single"/>
            <w:rtl w:val="0"/>
          </w:rPr>
          <w:t xml:space="preserve">https://www.judiciary.uk/wp-content/uploads/2022/01/Michelle-Whitehead-Prevention-of-future-deaths-report-2022-0016_Published.pdf</w:t>
        </w:r>
      </w:hyperlink>
      <w:r w:rsidDel="00000000" w:rsidR="00000000" w:rsidRPr="00000000">
        <w:rPr>
          <w:sz w:val="22"/>
          <w:szCs w:val="22"/>
          <w:rtl w:val="0"/>
        </w:rPr>
        <w:t xml:space="preserve"> (17/03/2022) </w:t>
      </w:r>
    </w:p>
    <w:p w:rsidR="00000000" w:rsidDel="00000000" w:rsidP="00000000" w:rsidRDefault="00000000" w:rsidRPr="00000000" w14:paraId="00000CDF">
      <w:pPr>
        <w:jc w:val="both"/>
        <w:rPr>
          <w:sz w:val="22"/>
          <w:szCs w:val="22"/>
        </w:rPr>
      </w:pPr>
      <w:r w:rsidDel="00000000" w:rsidR="00000000" w:rsidRPr="00000000">
        <w:rPr>
          <w:rtl w:val="0"/>
        </w:rPr>
      </w:r>
    </w:p>
    <w:p w:rsidR="00000000" w:rsidDel="00000000" w:rsidP="00000000" w:rsidRDefault="00000000" w:rsidRPr="00000000" w14:paraId="00000CE0">
      <w:pPr>
        <w:jc w:val="both"/>
        <w:rPr>
          <w:sz w:val="22"/>
          <w:szCs w:val="22"/>
        </w:rPr>
      </w:pPr>
      <w:r w:rsidDel="00000000" w:rsidR="00000000" w:rsidRPr="00000000">
        <w:rPr>
          <w:sz w:val="22"/>
          <w:szCs w:val="22"/>
          <w:rtl w:val="0"/>
        </w:rPr>
        <w:t xml:space="preserve">Cowther ME. Ferguson SA. Vincent GE. Reynolds AC. (2021). "Non-Pharmacological Interventions to Improve Chronic Disease Risk Factors and Sleep in Shift Workers: A Systematic Review and Meta-Analysis." </w:t>
      </w:r>
      <w:r w:rsidDel="00000000" w:rsidR="00000000" w:rsidRPr="00000000">
        <w:rPr>
          <w:i w:val="1"/>
          <w:sz w:val="22"/>
          <w:szCs w:val="22"/>
          <w:rtl w:val="0"/>
        </w:rPr>
        <w:t xml:space="preserve">Clocks Sleep</w:t>
      </w:r>
      <w:r w:rsidDel="00000000" w:rsidR="00000000" w:rsidRPr="00000000">
        <w:rPr>
          <w:sz w:val="22"/>
          <w:szCs w:val="22"/>
          <w:rtl w:val="0"/>
        </w:rPr>
        <w:t xml:space="preserve"> 3(1).</w:t>
      </w:r>
    </w:p>
    <w:p w:rsidR="00000000" w:rsidDel="00000000" w:rsidP="00000000" w:rsidRDefault="00000000" w:rsidRPr="00000000" w14:paraId="00000CE1">
      <w:pPr>
        <w:jc w:val="both"/>
        <w:rPr>
          <w:sz w:val="22"/>
          <w:szCs w:val="22"/>
        </w:rPr>
      </w:pPr>
      <w:r w:rsidDel="00000000" w:rsidR="00000000" w:rsidRPr="00000000">
        <w:rPr>
          <w:rtl w:val="0"/>
        </w:rPr>
      </w:r>
    </w:p>
    <w:p w:rsidR="00000000" w:rsidDel="00000000" w:rsidP="00000000" w:rsidRDefault="00000000" w:rsidRPr="00000000" w14:paraId="00000CE2">
      <w:pPr>
        <w:jc w:val="both"/>
        <w:rPr>
          <w:sz w:val="22"/>
          <w:szCs w:val="22"/>
        </w:rPr>
      </w:pPr>
      <w:r w:rsidDel="00000000" w:rsidR="00000000" w:rsidRPr="00000000">
        <w:rPr>
          <w:sz w:val="22"/>
          <w:szCs w:val="22"/>
          <w:rtl w:val="0"/>
        </w:rPr>
        <w:t xml:space="preserve">Crapanzano KA. Hammarlund B. Ahmad B. Hunsinger N. Kullar R. (2019). "The association between perceived stigma and substance use disorder treatment outcomes: a review." </w:t>
      </w:r>
      <w:r w:rsidDel="00000000" w:rsidR="00000000" w:rsidRPr="00000000">
        <w:rPr>
          <w:i w:val="1"/>
          <w:sz w:val="22"/>
          <w:szCs w:val="22"/>
          <w:rtl w:val="0"/>
        </w:rPr>
        <w:t xml:space="preserve">Substance Abuse and Rehabilitation</w:t>
      </w:r>
      <w:r w:rsidDel="00000000" w:rsidR="00000000" w:rsidRPr="00000000">
        <w:rPr>
          <w:sz w:val="22"/>
          <w:szCs w:val="22"/>
          <w:rtl w:val="0"/>
        </w:rPr>
        <w:t xml:space="preserve"> 10: 1-12.</w:t>
      </w:r>
    </w:p>
    <w:p w:rsidR="00000000" w:rsidDel="00000000" w:rsidP="00000000" w:rsidRDefault="00000000" w:rsidRPr="00000000" w14:paraId="00000CE3">
      <w:pPr>
        <w:jc w:val="both"/>
        <w:rPr>
          <w:sz w:val="22"/>
          <w:szCs w:val="22"/>
        </w:rPr>
      </w:pPr>
      <w:r w:rsidDel="00000000" w:rsidR="00000000" w:rsidRPr="00000000">
        <w:rPr>
          <w:rtl w:val="0"/>
        </w:rPr>
      </w:r>
    </w:p>
    <w:p w:rsidR="00000000" w:rsidDel="00000000" w:rsidP="00000000" w:rsidRDefault="00000000" w:rsidRPr="00000000" w14:paraId="00000CE4">
      <w:pPr>
        <w:jc w:val="both"/>
        <w:rPr>
          <w:sz w:val="22"/>
          <w:szCs w:val="22"/>
        </w:rPr>
      </w:pPr>
      <w:r w:rsidDel="00000000" w:rsidR="00000000" w:rsidRPr="00000000">
        <w:rPr>
          <w:sz w:val="22"/>
          <w:szCs w:val="22"/>
          <w:rtl w:val="0"/>
        </w:rPr>
        <w:t xml:space="preserve">Crenshaw KW. (1989). "Demarginalizing the Intersection of Race and Sex: A Black Feminist Critique of Antidiscrimination Doctrine, Feminist Theory and Antiracist Politics." </w:t>
      </w:r>
      <w:r w:rsidDel="00000000" w:rsidR="00000000" w:rsidRPr="00000000">
        <w:rPr>
          <w:i w:val="1"/>
          <w:sz w:val="22"/>
          <w:szCs w:val="22"/>
          <w:rtl w:val="0"/>
        </w:rPr>
        <w:t xml:space="preserve">University of Chicago Legal Forum</w:t>
      </w:r>
      <w:r w:rsidDel="00000000" w:rsidR="00000000" w:rsidRPr="00000000">
        <w:rPr>
          <w:sz w:val="22"/>
          <w:szCs w:val="22"/>
          <w:rtl w:val="0"/>
        </w:rPr>
        <w:t xml:space="preserve">: 139-167.</w:t>
      </w:r>
    </w:p>
    <w:p w:rsidR="00000000" w:rsidDel="00000000" w:rsidP="00000000" w:rsidRDefault="00000000" w:rsidRPr="00000000" w14:paraId="00000CE5">
      <w:pPr>
        <w:jc w:val="both"/>
        <w:rPr>
          <w:sz w:val="22"/>
          <w:szCs w:val="22"/>
        </w:rPr>
      </w:pPr>
      <w:r w:rsidDel="00000000" w:rsidR="00000000" w:rsidRPr="00000000">
        <w:rPr>
          <w:rtl w:val="0"/>
        </w:rPr>
      </w:r>
    </w:p>
    <w:p w:rsidR="00000000" w:rsidDel="00000000" w:rsidP="00000000" w:rsidRDefault="00000000" w:rsidRPr="00000000" w14:paraId="00000CE6">
      <w:pPr>
        <w:jc w:val="both"/>
        <w:rPr>
          <w:sz w:val="22"/>
          <w:szCs w:val="22"/>
        </w:rPr>
      </w:pPr>
      <w:r w:rsidDel="00000000" w:rsidR="00000000" w:rsidRPr="00000000">
        <w:rPr>
          <w:sz w:val="22"/>
          <w:szCs w:val="22"/>
          <w:rtl w:val="0"/>
        </w:rPr>
        <w:t xml:space="preserve">Crotty M. (1998). The foundations of social research. Meaning and perspective in the research process. London, Sage Publications Ltd.</w:t>
      </w:r>
    </w:p>
    <w:p w:rsidR="00000000" w:rsidDel="00000000" w:rsidP="00000000" w:rsidRDefault="00000000" w:rsidRPr="00000000" w14:paraId="00000CE7">
      <w:pPr>
        <w:jc w:val="both"/>
        <w:rPr>
          <w:sz w:val="22"/>
          <w:szCs w:val="22"/>
        </w:rPr>
      </w:pPr>
      <w:r w:rsidDel="00000000" w:rsidR="00000000" w:rsidRPr="00000000">
        <w:rPr>
          <w:sz w:val="22"/>
          <w:szCs w:val="22"/>
          <w:rtl w:val="0"/>
        </w:rPr>
        <w:t xml:space="preserve">Crowe M. Inder M. Porter R. (2015). "Conducting qualitative research in mental health: Thematic and content analyses." </w:t>
      </w:r>
      <w:r w:rsidDel="00000000" w:rsidR="00000000" w:rsidRPr="00000000">
        <w:rPr>
          <w:i w:val="1"/>
          <w:sz w:val="22"/>
          <w:szCs w:val="22"/>
          <w:rtl w:val="0"/>
        </w:rPr>
        <w:t xml:space="preserve">Australian and New Zealand Journal of Psychiatry</w:t>
      </w:r>
      <w:r w:rsidDel="00000000" w:rsidR="00000000" w:rsidRPr="00000000">
        <w:rPr>
          <w:sz w:val="22"/>
          <w:szCs w:val="22"/>
          <w:rtl w:val="0"/>
        </w:rPr>
        <w:t xml:space="preserve"> 49(7): 616-623.</w:t>
      </w:r>
    </w:p>
    <w:p w:rsidR="00000000" w:rsidDel="00000000" w:rsidP="00000000" w:rsidRDefault="00000000" w:rsidRPr="00000000" w14:paraId="00000CE8">
      <w:pPr>
        <w:jc w:val="both"/>
        <w:rPr>
          <w:sz w:val="22"/>
          <w:szCs w:val="22"/>
        </w:rPr>
      </w:pPr>
      <w:r w:rsidDel="00000000" w:rsidR="00000000" w:rsidRPr="00000000">
        <w:rPr>
          <w:rtl w:val="0"/>
        </w:rPr>
      </w:r>
    </w:p>
    <w:p w:rsidR="00000000" w:rsidDel="00000000" w:rsidP="00000000" w:rsidRDefault="00000000" w:rsidRPr="00000000" w14:paraId="00000CE9">
      <w:pPr>
        <w:jc w:val="both"/>
        <w:rPr>
          <w:sz w:val="22"/>
          <w:szCs w:val="22"/>
        </w:rPr>
      </w:pPr>
      <w:r w:rsidDel="00000000" w:rsidR="00000000" w:rsidRPr="00000000">
        <w:rPr>
          <w:sz w:val="22"/>
          <w:szCs w:val="22"/>
          <w:rtl w:val="0"/>
        </w:rPr>
        <w:t xml:space="preserve">Cui K. (2015). "“The Insider-outsider Role of a Chinese Researcher Doing Fieldwork in China: The Implications of Cultural Context.”." Qualitative Social Work 14(3): 356-369.</w:t>
      </w:r>
    </w:p>
    <w:p w:rsidR="00000000" w:rsidDel="00000000" w:rsidP="00000000" w:rsidRDefault="00000000" w:rsidRPr="00000000" w14:paraId="00000CEA">
      <w:pPr>
        <w:jc w:val="both"/>
        <w:rPr>
          <w:sz w:val="22"/>
          <w:szCs w:val="22"/>
        </w:rPr>
      </w:pPr>
      <w:r w:rsidDel="00000000" w:rsidR="00000000" w:rsidRPr="00000000">
        <w:rPr>
          <w:rtl w:val="0"/>
        </w:rPr>
      </w:r>
    </w:p>
    <w:p w:rsidR="00000000" w:rsidDel="00000000" w:rsidP="00000000" w:rsidRDefault="00000000" w:rsidRPr="00000000" w14:paraId="00000CEB">
      <w:pPr>
        <w:jc w:val="both"/>
        <w:rPr>
          <w:sz w:val="22"/>
          <w:szCs w:val="22"/>
        </w:rPr>
      </w:pPr>
      <w:r w:rsidDel="00000000" w:rsidR="00000000" w:rsidRPr="00000000">
        <w:rPr>
          <w:sz w:val="22"/>
          <w:szCs w:val="22"/>
          <w:rtl w:val="0"/>
        </w:rPr>
        <w:t xml:space="preserve">Curran J. Parry GD. Hardy GE. Darling J. Mason AM. Chambers E. (2019). "How Does Therapy Harm? A Model of Adverse Process Using Task Analysis in the Meta-Synthesis of Service Users' Experience." </w:t>
      </w:r>
      <w:r w:rsidDel="00000000" w:rsidR="00000000" w:rsidRPr="00000000">
        <w:rPr>
          <w:i w:val="1"/>
          <w:sz w:val="22"/>
          <w:szCs w:val="22"/>
          <w:rtl w:val="0"/>
        </w:rPr>
        <w:t xml:space="preserve">Front. Psychol</w:t>
      </w:r>
      <w:r w:rsidDel="00000000" w:rsidR="00000000" w:rsidRPr="00000000">
        <w:rPr>
          <w:sz w:val="22"/>
          <w:szCs w:val="22"/>
          <w:rtl w:val="0"/>
        </w:rPr>
        <w:t xml:space="preserve">. 10(347): 1-13.</w:t>
      </w:r>
    </w:p>
    <w:p w:rsidR="00000000" w:rsidDel="00000000" w:rsidP="00000000" w:rsidRDefault="00000000" w:rsidRPr="00000000" w14:paraId="00000CEC">
      <w:pPr>
        <w:jc w:val="both"/>
        <w:rPr>
          <w:sz w:val="22"/>
          <w:szCs w:val="22"/>
        </w:rPr>
      </w:pPr>
      <w:r w:rsidDel="00000000" w:rsidR="00000000" w:rsidRPr="00000000">
        <w:rPr>
          <w:rtl w:val="0"/>
        </w:rPr>
      </w:r>
    </w:p>
    <w:p w:rsidR="00000000" w:rsidDel="00000000" w:rsidP="00000000" w:rsidRDefault="00000000" w:rsidRPr="00000000" w14:paraId="00000CED">
      <w:pPr>
        <w:jc w:val="both"/>
        <w:rPr>
          <w:sz w:val="22"/>
          <w:szCs w:val="22"/>
        </w:rPr>
      </w:pPr>
      <w:r w:rsidDel="00000000" w:rsidR="00000000" w:rsidRPr="00000000">
        <w:rPr>
          <w:sz w:val="22"/>
          <w:szCs w:val="22"/>
          <w:rtl w:val="0"/>
        </w:rPr>
        <w:t xml:space="preserve">Curreen M. Lidmila J. (2014). "Zopiclone: Is there cause for concern in addiction services and general practice?" </w:t>
      </w:r>
      <w:r w:rsidDel="00000000" w:rsidR="00000000" w:rsidRPr="00000000">
        <w:rPr>
          <w:i w:val="1"/>
          <w:sz w:val="22"/>
          <w:szCs w:val="22"/>
          <w:rtl w:val="0"/>
        </w:rPr>
        <w:t xml:space="preserve">Int J Risk Saf Med</w:t>
      </w:r>
      <w:r w:rsidDel="00000000" w:rsidR="00000000" w:rsidRPr="00000000">
        <w:rPr>
          <w:sz w:val="22"/>
          <w:szCs w:val="22"/>
          <w:rtl w:val="0"/>
        </w:rPr>
        <w:t xml:space="preserve"> 26(4).</w:t>
      </w:r>
    </w:p>
    <w:p w:rsidR="00000000" w:rsidDel="00000000" w:rsidP="00000000" w:rsidRDefault="00000000" w:rsidRPr="00000000" w14:paraId="00000CEE">
      <w:pPr>
        <w:jc w:val="both"/>
        <w:rPr>
          <w:sz w:val="22"/>
          <w:szCs w:val="22"/>
        </w:rPr>
      </w:pPr>
      <w:r w:rsidDel="00000000" w:rsidR="00000000" w:rsidRPr="00000000">
        <w:rPr>
          <w:rtl w:val="0"/>
        </w:rPr>
      </w:r>
    </w:p>
    <w:p w:rsidR="00000000" w:rsidDel="00000000" w:rsidP="00000000" w:rsidRDefault="00000000" w:rsidRPr="00000000" w14:paraId="00000CEF">
      <w:pPr>
        <w:jc w:val="both"/>
        <w:rPr>
          <w:i w:val="1"/>
          <w:sz w:val="22"/>
          <w:szCs w:val="22"/>
        </w:rPr>
      </w:pPr>
      <w:r w:rsidDel="00000000" w:rsidR="00000000" w:rsidRPr="00000000">
        <w:rPr>
          <w:sz w:val="22"/>
          <w:szCs w:val="22"/>
          <w:rtl w:val="0"/>
        </w:rPr>
        <w:t xml:space="preserve">Curtis HJ. Craker R. Walker AJ. Richards GC. Quinlan J. Goldcare B. (2019). "Opioid prescribing trends and geographical variation in England, 1998-2018: a retrospective database study." </w:t>
      </w:r>
      <w:r w:rsidDel="00000000" w:rsidR="00000000" w:rsidRPr="00000000">
        <w:rPr>
          <w:i w:val="1"/>
          <w:sz w:val="22"/>
          <w:szCs w:val="22"/>
          <w:rtl w:val="0"/>
        </w:rPr>
        <w:t xml:space="preserve">The Lancet 6: 140-150.</w:t>
      </w:r>
    </w:p>
    <w:p w:rsidR="00000000" w:rsidDel="00000000" w:rsidP="00000000" w:rsidRDefault="00000000" w:rsidRPr="00000000" w14:paraId="00000CF0">
      <w:pPr>
        <w:jc w:val="both"/>
        <w:rPr>
          <w:i w:val="1"/>
          <w:sz w:val="22"/>
          <w:szCs w:val="22"/>
        </w:rPr>
      </w:pPr>
      <w:r w:rsidDel="00000000" w:rsidR="00000000" w:rsidRPr="00000000">
        <w:rPr>
          <w:rtl w:val="0"/>
        </w:rPr>
      </w:r>
    </w:p>
    <w:p w:rsidR="00000000" w:rsidDel="00000000" w:rsidP="00000000" w:rsidRDefault="00000000" w:rsidRPr="00000000" w14:paraId="00000CF1">
      <w:pPr>
        <w:jc w:val="both"/>
        <w:rPr>
          <w:sz w:val="22"/>
          <w:szCs w:val="22"/>
        </w:rPr>
      </w:pPr>
      <w:r w:rsidDel="00000000" w:rsidR="00000000" w:rsidRPr="00000000">
        <w:rPr>
          <w:sz w:val="22"/>
          <w:szCs w:val="22"/>
          <w:rtl w:val="0"/>
        </w:rPr>
        <w:t xml:space="preserve">d'Ussel M. Sacco E. Moreau N. Nizard J. Durand G. (2024). "Assessment of decision-making autonomy in chronic pain patients: a pilot study." </w:t>
      </w:r>
      <w:r w:rsidDel="00000000" w:rsidR="00000000" w:rsidRPr="00000000">
        <w:rPr>
          <w:i w:val="1"/>
          <w:sz w:val="22"/>
          <w:szCs w:val="22"/>
          <w:rtl w:val="0"/>
        </w:rPr>
        <w:t xml:space="preserve">BMC Medical Ethics</w:t>
      </w:r>
      <w:r w:rsidDel="00000000" w:rsidR="00000000" w:rsidRPr="00000000">
        <w:rPr>
          <w:sz w:val="22"/>
          <w:szCs w:val="22"/>
          <w:rtl w:val="0"/>
        </w:rPr>
        <w:t xml:space="preserve"> 25(97): 1-14.</w:t>
      </w:r>
    </w:p>
    <w:p w:rsidR="00000000" w:rsidDel="00000000" w:rsidP="00000000" w:rsidRDefault="00000000" w:rsidRPr="00000000" w14:paraId="00000CF2">
      <w:pPr>
        <w:jc w:val="both"/>
        <w:rPr>
          <w:i w:val="1"/>
          <w:sz w:val="22"/>
          <w:szCs w:val="22"/>
        </w:rPr>
      </w:pPr>
      <w:r w:rsidDel="00000000" w:rsidR="00000000" w:rsidRPr="00000000">
        <w:rPr>
          <w:rtl w:val="0"/>
        </w:rPr>
      </w:r>
    </w:p>
    <w:p w:rsidR="00000000" w:rsidDel="00000000" w:rsidP="00000000" w:rsidRDefault="00000000" w:rsidRPr="00000000" w14:paraId="00000CF3">
      <w:pPr>
        <w:jc w:val="both"/>
        <w:rPr>
          <w:sz w:val="22"/>
          <w:szCs w:val="22"/>
        </w:rPr>
      </w:pPr>
      <w:r w:rsidDel="00000000" w:rsidR="00000000" w:rsidRPr="00000000">
        <w:rPr>
          <w:sz w:val="22"/>
          <w:szCs w:val="22"/>
          <w:rtl w:val="0"/>
        </w:rPr>
        <w:t xml:space="preserve">Darke S. Ross J. (2000). "The use of antidepressants among injecting drug users in Sydney Australia." </w:t>
      </w:r>
      <w:r w:rsidDel="00000000" w:rsidR="00000000" w:rsidRPr="00000000">
        <w:rPr>
          <w:i w:val="1"/>
          <w:sz w:val="22"/>
          <w:szCs w:val="22"/>
          <w:rtl w:val="0"/>
        </w:rPr>
        <w:t xml:space="preserve">Addiction</w:t>
      </w:r>
      <w:r w:rsidDel="00000000" w:rsidR="00000000" w:rsidRPr="00000000">
        <w:rPr>
          <w:sz w:val="22"/>
          <w:szCs w:val="22"/>
          <w:rtl w:val="0"/>
        </w:rPr>
        <w:t xml:space="preserve"> 95(3): 407-417.</w:t>
      </w:r>
    </w:p>
    <w:p w:rsidR="00000000" w:rsidDel="00000000" w:rsidP="00000000" w:rsidRDefault="00000000" w:rsidRPr="00000000" w14:paraId="00000CF4">
      <w:pPr>
        <w:jc w:val="both"/>
        <w:rPr>
          <w:sz w:val="22"/>
          <w:szCs w:val="22"/>
        </w:rPr>
      </w:pPr>
      <w:r w:rsidDel="00000000" w:rsidR="00000000" w:rsidRPr="00000000">
        <w:rPr>
          <w:rtl w:val="0"/>
        </w:rPr>
      </w:r>
    </w:p>
    <w:p w:rsidR="00000000" w:rsidDel="00000000" w:rsidP="00000000" w:rsidRDefault="00000000" w:rsidRPr="00000000" w14:paraId="00000CF5">
      <w:pPr>
        <w:jc w:val="both"/>
        <w:rPr>
          <w:sz w:val="22"/>
          <w:szCs w:val="22"/>
        </w:rPr>
      </w:pPr>
      <w:r w:rsidDel="00000000" w:rsidR="00000000" w:rsidRPr="00000000">
        <w:rPr>
          <w:sz w:val="22"/>
          <w:szCs w:val="22"/>
          <w:rtl w:val="0"/>
        </w:rPr>
        <w:t xml:space="preserve">Dasgupta N. Beletsky L. Ciccarone D. (2018). "Opioid crisis: no easy fix to its social and economic determinants." </w:t>
      </w:r>
      <w:r w:rsidDel="00000000" w:rsidR="00000000" w:rsidRPr="00000000">
        <w:rPr>
          <w:i w:val="1"/>
          <w:sz w:val="22"/>
          <w:szCs w:val="22"/>
          <w:rtl w:val="0"/>
        </w:rPr>
        <w:t xml:space="preserve">Am I Public Health</w:t>
      </w:r>
      <w:r w:rsidDel="00000000" w:rsidR="00000000" w:rsidRPr="00000000">
        <w:rPr>
          <w:sz w:val="22"/>
          <w:szCs w:val="22"/>
          <w:rtl w:val="0"/>
        </w:rPr>
        <w:t xml:space="preserve"> 108(2): 182-186.</w:t>
      </w:r>
    </w:p>
    <w:p w:rsidR="00000000" w:rsidDel="00000000" w:rsidP="00000000" w:rsidRDefault="00000000" w:rsidRPr="00000000" w14:paraId="00000CF6">
      <w:pPr>
        <w:jc w:val="both"/>
        <w:rPr>
          <w:sz w:val="22"/>
          <w:szCs w:val="22"/>
        </w:rPr>
      </w:pPr>
      <w:r w:rsidDel="00000000" w:rsidR="00000000" w:rsidRPr="00000000">
        <w:rPr>
          <w:rtl w:val="0"/>
        </w:rPr>
      </w:r>
    </w:p>
    <w:p w:rsidR="00000000" w:rsidDel="00000000" w:rsidP="00000000" w:rsidRDefault="00000000" w:rsidRPr="00000000" w14:paraId="00000CF7">
      <w:pPr>
        <w:jc w:val="both"/>
        <w:rPr>
          <w:sz w:val="22"/>
          <w:szCs w:val="22"/>
        </w:rPr>
      </w:pPr>
      <w:r w:rsidDel="00000000" w:rsidR="00000000" w:rsidRPr="00000000">
        <w:rPr>
          <w:sz w:val="22"/>
          <w:szCs w:val="22"/>
          <w:rtl w:val="0"/>
        </w:rPr>
        <w:t xml:space="preserve">Davies B. (2019). "Responsibility and the limits of patient choice." </w:t>
      </w:r>
      <w:r w:rsidDel="00000000" w:rsidR="00000000" w:rsidRPr="00000000">
        <w:rPr>
          <w:i w:val="1"/>
          <w:sz w:val="22"/>
          <w:szCs w:val="22"/>
          <w:rtl w:val="0"/>
        </w:rPr>
        <w:t xml:space="preserve">Bioethics</w:t>
      </w:r>
      <w:r w:rsidDel="00000000" w:rsidR="00000000" w:rsidRPr="00000000">
        <w:rPr>
          <w:sz w:val="22"/>
          <w:szCs w:val="22"/>
          <w:rtl w:val="0"/>
        </w:rPr>
        <w:t xml:space="preserve"> 34: 459-466.</w:t>
      </w:r>
    </w:p>
    <w:p w:rsidR="00000000" w:rsidDel="00000000" w:rsidP="00000000" w:rsidRDefault="00000000" w:rsidRPr="00000000" w14:paraId="00000CF8">
      <w:pPr>
        <w:jc w:val="both"/>
        <w:rPr>
          <w:sz w:val="22"/>
          <w:szCs w:val="22"/>
        </w:rPr>
      </w:pPr>
      <w:r w:rsidDel="00000000" w:rsidR="00000000" w:rsidRPr="00000000">
        <w:rPr>
          <w:rtl w:val="0"/>
        </w:rPr>
      </w:r>
    </w:p>
    <w:p w:rsidR="00000000" w:rsidDel="00000000" w:rsidP="00000000" w:rsidRDefault="00000000" w:rsidRPr="00000000" w14:paraId="00000CF9">
      <w:pPr>
        <w:jc w:val="both"/>
        <w:rPr>
          <w:sz w:val="22"/>
          <w:szCs w:val="22"/>
        </w:rPr>
      </w:pPr>
      <w:r w:rsidDel="00000000" w:rsidR="00000000" w:rsidRPr="00000000">
        <w:rPr>
          <w:sz w:val="22"/>
          <w:szCs w:val="22"/>
          <w:rtl w:val="0"/>
        </w:rPr>
        <w:t xml:space="preserve">Davies LEM. Koster ES. Damen KFM. Beurmanjer H. van Dam VWT. Bouvy ML. Schellekens AFA. (2024). "Patients' perspectives on tapering programmes for prescription opioid use disorder: a qualitative study." </w:t>
      </w:r>
      <w:r w:rsidDel="00000000" w:rsidR="00000000" w:rsidRPr="00000000">
        <w:rPr>
          <w:i w:val="1"/>
          <w:sz w:val="22"/>
          <w:szCs w:val="22"/>
          <w:rtl w:val="0"/>
        </w:rPr>
        <w:t xml:space="preserve">BMJ Open </w:t>
      </w:r>
      <w:r w:rsidDel="00000000" w:rsidR="00000000" w:rsidRPr="00000000">
        <w:rPr>
          <w:sz w:val="22"/>
          <w:szCs w:val="22"/>
          <w:rtl w:val="0"/>
        </w:rPr>
        <w:t xml:space="preserve">13(2).</w:t>
      </w:r>
    </w:p>
    <w:p w:rsidR="00000000" w:rsidDel="00000000" w:rsidP="00000000" w:rsidRDefault="00000000" w:rsidRPr="00000000" w14:paraId="00000CFA">
      <w:pPr>
        <w:jc w:val="both"/>
        <w:rPr>
          <w:sz w:val="22"/>
          <w:szCs w:val="22"/>
        </w:rPr>
      </w:pPr>
      <w:r w:rsidDel="00000000" w:rsidR="00000000" w:rsidRPr="00000000">
        <w:rPr>
          <w:rtl w:val="0"/>
        </w:rPr>
      </w:r>
    </w:p>
    <w:p w:rsidR="00000000" w:rsidDel="00000000" w:rsidP="00000000" w:rsidRDefault="00000000" w:rsidRPr="00000000" w14:paraId="00000CFB">
      <w:pPr>
        <w:jc w:val="both"/>
        <w:rPr>
          <w:sz w:val="22"/>
          <w:szCs w:val="22"/>
        </w:rPr>
      </w:pPr>
      <w:r w:rsidDel="00000000" w:rsidR="00000000" w:rsidRPr="00000000">
        <w:rPr>
          <w:sz w:val="22"/>
          <w:szCs w:val="22"/>
          <w:rtl w:val="0"/>
        </w:rPr>
        <w:t xml:space="preserve">Daws RE. Timmerman C. Giribaldi B. Sexton JD. Wall MB. Errizoe D. Roseman L. Nutt D. Carhart-Harris R. (2022). "Increased global integration in the brain after psilocybin therapy for depression." </w:t>
      </w:r>
      <w:r w:rsidDel="00000000" w:rsidR="00000000" w:rsidRPr="00000000">
        <w:rPr>
          <w:i w:val="1"/>
          <w:sz w:val="22"/>
          <w:szCs w:val="22"/>
          <w:rtl w:val="0"/>
        </w:rPr>
        <w:t xml:space="preserve">Nature Medicine</w:t>
      </w:r>
      <w:r w:rsidDel="00000000" w:rsidR="00000000" w:rsidRPr="00000000">
        <w:rPr>
          <w:sz w:val="22"/>
          <w:szCs w:val="22"/>
          <w:rtl w:val="0"/>
        </w:rPr>
        <w:t xml:space="preserve"> 28: 844-851.</w:t>
      </w:r>
    </w:p>
    <w:p w:rsidR="00000000" w:rsidDel="00000000" w:rsidP="00000000" w:rsidRDefault="00000000" w:rsidRPr="00000000" w14:paraId="00000CFC">
      <w:pPr>
        <w:jc w:val="both"/>
        <w:rPr>
          <w:sz w:val="22"/>
          <w:szCs w:val="22"/>
        </w:rPr>
      </w:pPr>
      <w:r w:rsidDel="00000000" w:rsidR="00000000" w:rsidRPr="00000000">
        <w:rPr>
          <w:rtl w:val="0"/>
        </w:rPr>
      </w:r>
    </w:p>
    <w:p w:rsidR="00000000" w:rsidDel="00000000" w:rsidP="00000000" w:rsidRDefault="00000000" w:rsidRPr="00000000" w14:paraId="00000CFD">
      <w:pPr>
        <w:jc w:val="both"/>
        <w:rPr>
          <w:sz w:val="22"/>
          <w:szCs w:val="22"/>
        </w:rPr>
      </w:pPr>
      <w:r w:rsidDel="00000000" w:rsidR="00000000" w:rsidRPr="00000000">
        <w:rPr>
          <w:sz w:val="22"/>
          <w:szCs w:val="22"/>
          <w:rtl w:val="0"/>
        </w:rPr>
        <w:t xml:space="preserve">de Alarcon R. de la Iglesia JI. Casado NM. Montejo AL. (2019). "Online Porn Addiction: What We Know and What We Don’t- A Systematic Review." </w:t>
      </w:r>
      <w:r w:rsidDel="00000000" w:rsidR="00000000" w:rsidRPr="00000000">
        <w:rPr>
          <w:i w:val="1"/>
          <w:sz w:val="22"/>
          <w:szCs w:val="22"/>
          <w:rtl w:val="0"/>
        </w:rPr>
        <w:t xml:space="preserve">Journal of Clinical Medicine</w:t>
      </w:r>
      <w:r w:rsidDel="00000000" w:rsidR="00000000" w:rsidRPr="00000000">
        <w:rPr>
          <w:sz w:val="22"/>
          <w:szCs w:val="22"/>
          <w:rtl w:val="0"/>
        </w:rPr>
        <w:t xml:space="preserve"> 8(91).</w:t>
      </w:r>
    </w:p>
    <w:p w:rsidR="00000000" w:rsidDel="00000000" w:rsidP="00000000" w:rsidRDefault="00000000" w:rsidRPr="00000000" w14:paraId="00000CFE">
      <w:pPr>
        <w:jc w:val="both"/>
        <w:rPr>
          <w:sz w:val="22"/>
          <w:szCs w:val="22"/>
        </w:rPr>
      </w:pPr>
      <w:r w:rsidDel="00000000" w:rsidR="00000000" w:rsidRPr="00000000">
        <w:rPr>
          <w:rtl w:val="0"/>
        </w:rPr>
      </w:r>
    </w:p>
    <w:p w:rsidR="00000000" w:rsidDel="00000000" w:rsidP="00000000" w:rsidRDefault="00000000" w:rsidRPr="00000000" w14:paraId="00000CFF">
      <w:pPr>
        <w:jc w:val="both"/>
        <w:rPr>
          <w:sz w:val="22"/>
          <w:szCs w:val="22"/>
        </w:rPr>
      </w:pPr>
      <w:r w:rsidDel="00000000" w:rsidR="00000000" w:rsidRPr="00000000">
        <w:rPr>
          <w:sz w:val="22"/>
          <w:szCs w:val="22"/>
          <w:rtl w:val="0"/>
        </w:rPr>
        <w:t xml:space="preserve">de Alarcon R. de la Iglesia JI. Casado NM. Montejo AL. 2021). "Prevalence and age patterns of depression in the United Kingdom. A population-based study." </w:t>
      </w:r>
      <w:r w:rsidDel="00000000" w:rsidR="00000000" w:rsidRPr="00000000">
        <w:rPr>
          <w:i w:val="1"/>
          <w:sz w:val="22"/>
          <w:szCs w:val="22"/>
          <w:rtl w:val="0"/>
        </w:rPr>
        <w:t xml:space="preserve">Journal of Affective Disorders</w:t>
      </w:r>
      <w:r w:rsidDel="00000000" w:rsidR="00000000" w:rsidRPr="00000000">
        <w:rPr>
          <w:sz w:val="22"/>
          <w:szCs w:val="22"/>
          <w:rtl w:val="0"/>
        </w:rPr>
        <w:t xml:space="preserve">: 164-172.</w:t>
      </w:r>
    </w:p>
    <w:p w:rsidR="00000000" w:rsidDel="00000000" w:rsidP="00000000" w:rsidRDefault="00000000" w:rsidRPr="00000000" w14:paraId="00000D00">
      <w:pPr>
        <w:jc w:val="both"/>
        <w:rPr>
          <w:sz w:val="22"/>
          <w:szCs w:val="22"/>
        </w:rPr>
      </w:pPr>
      <w:r w:rsidDel="00000000" w:rsidR="00000000" w:rsidRPr="00000000">
        <w:rPr>
          <w:rtl w:val="0"/>
        </w:rPr>
      </w:r>
    </w:p>
    <w:p w:rsidR="00000000" w:rsidDel="00000000" w:rsidP="00000000" w:rsidRDefault="00000000" w:rsidRPr="00000000" w14:paraId="00000D01">
      <w:pPr>
        <w:jc w:val="both"/>
        <w:rPr>
          <w:sz w:val="22"/>
          <w:szCs w:val="22"/>
        </w:rPr>
      </w:pPr>
      <w:r w:rsidDel="00000000" w:rsidR="00000000" w:rsidRPr="00000000">
        <w:rPr>
          <w:sz w:val="22"/>
          <w:szCs w:val="22"/>
          <w:rtl w:val="0"/>
        </w:rPr>
        <w:t xml:space="preserve">Deacon BJ. (2013). "The biomedical model of mental disorder: A critical analysis of its validity, utility, and effects on psychotherapy research." </w:t>
      </w:r>
      <w:r w:rsidDel="00000000" w:rsidR="00000000" w:rsidRPr="00000000">
        <w:rPr>
          <w:i w:val="1"/>
          <w:sz w:val="22"/>
          <w:szCs w:val="22"/>
          <w:rtl w:val="0"/>
        </w:rPr>
        <w:t xml:space="preserve">Clinical Psychology Review</w:t>
      </w:r>
      <w:r w:rsidDel="00000000" w:rsidR="00000000" w:rsidRPr="00000000">
        <w:rPr>
          <w:sz w:val="22"/>
          <w:szCs w:val="22"/>
          <w:rtl w:val="0"/>
        </w:rPr>
        <w:t xml:space="preserve"> 33: 846-861.</w:t>
      </w:r>
    </w:p>
    <w:p w:rsidR="00000000" w:rsidDel="00000000" w:rsidP="00000000" w:rsidRDefault="00000000" w:rsidRPr="00000000" w14:paraId="00000D02">
      <w:pPr>
        <w:jc w:val="both"/>
        <w:rPr>
          <w:sz w:val="22"/>
          <w:szCs w:val="22"/>
        </w:rPr>
      </w:pPr>
      <w:r w:rsidDel="00000000" w:rsidR="00000000" w:rsidRPr="00000000">
        <w:rPr>
          <w:rtl w:val="0"/>
        </w:rPr>
      </w:r>
    </w:p>
    <w:p w:rsidR="00000000" w:rsidDel="00000000" w:rsidP="00000000" w:rsidRDefault="00000000" w:rsidRPr="00000000" w14:paraId="00000D03">
      <w:pPr>
        <w:jc w:val="both"/>
        <w:rPr>
          <w:sz w:val="22"/>
          <w:szCs w:val="22"/>
        </w:rPr>
      </w:pPr>
      <w:r w:rsidDel="00000000" w:rsidR="00000000" w:rsidRPr="00000000">
        <w:rPr>
          <w:sz w:val="22"/>
          <w:szCs w:val="22"/>
          <w:rtl w:val="0"/>
        </w:rPr>
        <w:t xml:space="preserve">Deacon BJ. Baird GL. (2009). "The chemical imbalance explanation of depression: Reducing blame at what cost?" </w:t>
      </w:r>
      <w:r w:rsidDel="00000000" w:rsidR="00000000" w:rsidRPr="00000000">
        <w:rPr>
          <w:i w:val="1"/>
          <w:sz w:val="22"/>
          <w:szCs w:val="22"/>
          <w:rtl w:val="0"/>
        </w:rPr>
        <w:t xml:space="preserve">Journal of Social and Clinical Psychology</w:t>
      </w:r>
      <w:r w:rsidDel="00000000" w:rsidR="00000000" w:rsidRPr="00000000">
        <w:rPr>
          <w:sz w:val="22"/>
          <w:szCs w:val="22"/>
          <w:rtl w:val="0"/>
        </w:rPr>
        <w:t xml:space="preserve"> 28(4): 415-435.</w:t>
      </w:r>
    </w:p>
    <w:p w:rsidR="00000000" w:rsidDel="00000000" w:rsidP="00000000" w:rsidRDefault="00000000" w:rsidRPr="00000000" w14:paraId="00000D04">
      <w:pPr>
        <w:jc w:val="both"/>
        <w:rPr>
          <w:sz w:val="22"/>
          <w:szCs w:val="22"/>
        </w:rPr>
      </w:pPr>
      <w:r w:rsidDel="00000000" w:rsidR="00000000" w:rsidRPr="00000000">
        <w:rPr>
          <w:rtl w:val="0"/>
        </w:rPr>
      </w:r>
    </w:p>
    <w:p w:rsidR="00000000" w:rsidDel="00000000" w:rsidP="00000000" w:rsidRDefault="00000000" w:rsidRPr="00000000" w14:paraId="00000D05">
      <w:pPr>
        <w:jc w:val="both"/>
        <w:rPr>
          <w:sz w:val="22"/>
          <w:szCs w:val="22"/>
        </w:rPr>
      </w:pPr>
      <w:r w:rsidDel="00000000" w:rsidR="00000000" w:rsidRPr="00000000">
        <w:rPr>
          <w:sz w:val="22"/>
          <w:szCs w:val="22"/>
          <w:rtl w:val="0"/>
        </w:rPr>
        <w:t xml:space="preserve">DeJonckheere M. Vaughn LM. (2019). "Semi structured interviewing in primary care research: a balance of relationship and rigour." </w:t>
      </w:r>
      <w:r w:rsidDel="00000000" w:rsidR="00000000" w:rsidRPr="00000000">
        <w:rPr>
          <w:i w:val="1"/>
          <w:sz w:val="22"/>
          <w:szCs w:val="22"/>
          <w:rtl w:val="0"/>
        </w:rPr>
        <w:t xml:space="preserve">British Medical Journal</w:t>
      </w:r>
      <w:r w:rsidDel="00000000" w:rsidR="00000000" w:rsidRPr="00000000">
        <w:rPr>
          <w:sz w:val="22"/>
          <w:szCs w:val="22"/>
          <w:rtl w:val="0"/>
        </w:rPr>
        <w:t xml:space="preserve"> 7(2).</w:t>
      </w:r>
    </w:p>
    <w:p w:rsidR="00000000" w:rsidDel="00000000" w:rsidP="00000000" w:rsidRDefault="00000000" w:rsidRPr="00000000" w14:paraId="00000D06">
      <w:pPr>
        <w:jc w:val="both"/>
        <w:rPr>
          <w:sz w:val="22"/>
          <w:szCs w:val="22"/>
        </w:rPr>
      </w:pPr>
      <w:r w:rsidDel="00000000" w:rsidR="00000000" w:rsidRPr="00000000">
        <w:rPr>
          <w:sz w:val="22"/>
          <w:szCs w:val="22"/>
          <w:rtl w:val="0"/>
        </w:rPr>
        <w:t xml:space="preserve">Delamere (2021). The effects of long-term prescription drug use.</w:t>
      </w:r>
    </w:p>
    <w:p w:rsidR="00000000" w:rsidDel="00000000" w:rsidP="00000000" w:rsidRDefault="00000000" w:rsidRPr="00000000" w14:paraId="00000D07">
      <w:pPr>
        <w:jc w:val="both"/>
        <w:rPr>
          <w:sz w:val="22"/>
          <w:szCs w:val="22"/>
        </w:rPr>
      </w:pPr>
      <w:r w:rsidDel="00000000" w:rsidR="00000000" w:rsidRPr="00000000">
        <w:rPr>
          <w:rtl w:val="0"/>
        </w:rPr>
      </w:r>
    </w:p>
    <w:p w:rsidR="00000000" w:rsidDel="00000000" w:rsidP="00000000" w:rsidRDefault="00000000" w:rsidRPr="00000000" w14:paraId="00000D08">
      <w:pPr>
        <w:jc w:val="both"/>
        <w:rPr>
          <w:sz w:val="22"/>
          <w:szCs w:val="22"/>
        </w:rPr>
      </w:pPr>
      <w:r w:rsidDel="00000000" w:rsidR="00000000" w:rsidRPr="00000000">
        <w:rPr>
          <w:sz w:val="22"/>
          <w:szCs w:val="22"/>
          <w:rtl w:val="0"/>
        </w:rPr>
        <w:t xml:space="preserve">Delara M. Murray L. Jafari B. Bahji A. Goodzari Z. Kirkham J. Chowdhurt M. Seitz DP. (2022). "Prevalence and factors associated Open Access with polypharmacy: a systematic review and meta-analysis." </w:t>
      </w:r>
      <w:r w:rsidDel="00000000" w:rsidR="00000000" w:rsidRPr="00000000">
        <w:rPr>
          <w:i w:val="1"/>
          <w:sz w:val="22"/>
          <w:szCs w:val="22"/>
          <w:rtl w:val="0"/>
        </w:rPr>
        <w:t xml:space="preserve">BMC Geriatrics</w:t>
      </w:r>
      <w:r w:rsidDel="00000000" w:rsidR="00000000" w:rsidRPr="00000000">
        <w:rPr>
          <w:sz w:val="22"/>
          <w:szCs w:val="22"/>
          <w:rtl w:val="0"/>
        </w:rPr>
        <w:t xml:space="preserve"> 22(601): 1-12.</w:t>
      </w:r>
    </w:p>
    <w:p w:rsidR="00000000" w:rsidDel="00000000" w:rsidP="00000000" w:rsidRDefault="00000000" w:rsidRPr="00000000" w14:paraId="00000D09">
      <w:pPr>
        <w:jc w:val="both"/>
        <w:rPr>
          <w:sz w:val="22"/>
          <w:szCs w:val="22"/>
        </w:rPr>
      </w:pPr>
      <w:r w:rsidDel="00000000" w:rsidR="00000000" w:rsidRPr="00000000">
        <w:rPr>
          <w:rtl w:val="0"/>
        </w:rPr>
      </w:r>
    </w:p>
    <w:p w:rsidR="00000000" w:rsidDel="00000000" w:rsidP="00000000" w:rsidRDefault="00000000" w:rsidRPr="00000000" w14:paraId="00000D0A">
      <w:pPr>
        <w:jc w:val="both"/>
        <w:rPr>
          <w:sz w:val="22"/>
          <w:szCs w:val="22"/>
        </w:rPr>
      </w:pPr>
      <w:r w:rsidDel="00000000" w:rsidR="00000000" w:rsidRPr="00000000">
        <w:rPr>
          <w:sz w:val="22"/>
          <w:szCs w:val="22"/>
          <w:rtl w:val="0"/>
        </w:rPr>
        <w:t xml:space="preserve">Denzin NK. Lincoln YS. (2018). The Sage handbook of qualitative research. London, Sage.</w:t>
      </w:r>
    </w:p>
    <w:p w:rsidR="00000000" w:rsidDel="00000000" w:rsidP="00000000" w:rsidRDefault="00000000" w:rsidRPr="00000000" w14:paraId="00000D0B">
      <w:pPr>
        <w:jc w:val="both"/>
        <w:rPr>
          <w:sz w:val="22"/>
          <w:szCs w:val="22"/>
        </w:rPr>
      </w:pPr>
      <w:r w:rsidDel="00000000" w:rsidR="00000000" w:rsidRPr="00000000">
        <w:rPr>
          <w:sz w:val="22"/>
          <w:szCs w:val="22"/>
          <w:rtl w:val="0"/>
        </w:rPr>
        <w:tab/>
      </w:r>
    </w:p>
    <w:p w:rsidR="00000000" w:rsidDel="00000000" w:rsidP="00000000" w:rsidRDefault="00000000" w:rsidRPr="00000000" w14:paraId="00000D0C">
      <w:pPr>
        <w:jc w:val="both"/>
        <w:rPr>
          <w:sz w:val="22"/>
          <w:szCs w:val="22"/>
        </w:rPr>
      </w:pPr>
      <w:r w:rsidDel="00000000" w:rsidR="00000000" w:rsidRPr="00000000">
        <w:rPr>
          <w:sz w:val="22"/>
          <w:szCs w:val="22"/>
          <w:rtl w:val="0"/>
        </w:rPr>
        <w:t xml:space="preserve">Department for Communities and Local Government (2015). The English Index of Multiple Deprivation (IMD) 2015- Guidance. Department for Communities and Local Government.</w:t>
      </w:r>
    </w:p>
    <w:p w:rsidR="00000000" w:rsidDel="00000000" w:rsidP="00000000" w:rsidRDefault="00000000" w:rsidRPr="00000000" w14:paraId="00000D0D">
      <w:pPr>
        <w:jc w:val="both"/>
        <w:rPr>
          <w:sz w:val="22"/>
          <w:szCs w:val="22"/>
        </w:rPr>
      </w:pPr>
      <w:r w:rsidDel="00000000" w:rsidR="00000000" w:rsidRPr="00000000">
        <w:rPr>
          <w:rtl w:val="0"/>
        </w:rPr>
      </w:r>
    </w:p>
    <w:p w:rsidR="00000000" w:rsidDel="00000000" w:rsidP="00000000" w:rsidRDefault="00000000" w:rsidRPr="00000000" w14:paraId="00000D0E">
      <w:pPr>
        <w:jc w:val="both"/>
        <w:rPr>
          <w:sz w:val="22"/>
          <w:szCs w:val="22"/>
        </w:rPr>
      </w:pPr>
      <w:r w:rsidDel="00000000" w:rsidR="00000000" w:rsidRPr="00000000">
        <w:rPr>
          <w:sz w:val="22"/>
          <w:szCs w:val="22"/>
          <w:rtl w:val="0"/>
        </w:rPr>
        <w:t xml:space="preserve">Department for Health and Social Care (2021). Good for you, good for us, good for everybody A plan to reduce overprescribing to make patient care better and safer, support the NHS, and reduce carbon emissions. London: England.</w:t>
      </w:r>
    </w:p>
    <w:p w:rsidR="00000000" w:rsidDel="00000000" w:rsidP="00000000" w:rsidRDefault="00000000" w:rsidRPr="00000000" w14:paraId="00000D0F">
      <w:pPr>
        <w:jc w:val="both"/>
        <w:rPr>
          <w:sz w:val="22"/>
          <w:szCs w:val="22"/>
        </w:rPr>
      </w:pPr>
      <w:r w:rsidDel="00000000" w:rsidR="00000000" w:rsidRPr="00000000">
        <w:rPr>
          <w:rtl w:val="0"/>
        </w:rPr>
      </w:r>
    </w:p>
    <w:p w:rsidR="00000000" w:rsidDel="00000000" w:rsidP="00000000" w:rsidRDefault="00000000" w:rsidRPr="00000000" w14:paraId="00000D10">
      <w:pPr>
        <w:jc w:val="both"/>
        <w:rPr>
          <w:sz w:val="22"/>
          <w:szCs w:val="22"/>
        </w:rPr>
      </w:pPr>
      <w:r w:rsidDel="00000000" w:rsidR="00000000" w:rsidRPr="00000000">
        <w:rPr>
          <w:sz w:val="22"/>
          <w:szCs w:val="22"/>
          <w:rtl w:val="0"/>
        </w:rPr>
        <w:t xml:space="preserve">Department for Professional Employees. (2016). The US Healthcare System: An International Perspective. Department for Professional Employees.</w:t>
      </w:r>
    </w:p>
    <w:p w:rsidR="00000000" w:rsidDel="00000000" w:rsidP="00000000" w:rsidRDefault="00000000" w:rsidRPr="00000000" w14:paraId="00000D11">
      <w:pPr>
        <w:jc w:val="both"/>
        <w:rPr>
          <w:sz w:val="22"/>
          <w:szCs w:val="22"/>
        </w:rPr>
      </w:pPr>
      <w:r w:rsidDel="00000000" w:rsidR="00000000" w:rsidRPr="00000000">
        <w:rPr>
          <w:rtl w:val="0"/>
        </w:rPr>
      </w:r>
    </w:p>
    <w:p w:rsidR="00000000" w:rsidDel="00000000" w:rsidP="00000000" w:rsidRDefault="00000000" w:rsidRPr="00000000" w14:paraId="00000D12">
      <w:pPr>
        <w:jc w:val="both"/>
        <w:rPr>
          <w:sz w:val="22"/>
          <w:szCs w:val="22"/>
        </w:rPr>
      </w:pPr>
      <w:r w:rsidDel="00000000" w:rsidR="00000000" w:rsidRPr="00000000">
        <w:rPr>
          <w:sz w:val="22"/>
          <w:szCs w:val="22"/>
          <w:rtl w:val="0"/>
        </w:rPr>
        <w:t xml:space="preserve">Department for Work and Pensions (2020). Statistics on DWP-administered benefits. Department for Work and Pensions.</w:t>
      </w:r>
    </w:p>
    <w:p w:rsidR="00000000" w:rsidDel="00000000" w:rsidP="00000000" w:rsidRDefault="00000000" w:rsidRPr="00000000" w14:paraId="00000D13">
      <w:pPr>
        <w:jc w:val="both"/>
        <w:rPr>
          <w:sz w:val="22"/>
          <w:szCs w:val="22"/>
        </w:rPr>
      </w:pPr>
      <w:r w:rsidDel="00000000" w:rsidR="00000000" w:rsidRPr="00000000">
        <w:rPr>
          <w:rtl w:val="0"/>
        </w:rPr>
      </w:r>
    </w:p>
    <w:p w:rsidR="00000000" w:rsidDel="00000000" w:rsidP="00000000" w:rsidRDefault="00000000" w:rsidRPr="00000000" w14:paraId="00000D14">
      <w:pPr>
        <w:jc w:val="both"/>
        <w:rPr>
          <w:sz w:val="22"/>
          <w:szCs w:val="22"/>
        </w:rPr>
      </w:pPr>
      <w:r w:rsidDel="00000000" w:rsidR="00000000" w:rsidRPr="00000000">
        <w:rPr>
          <w:sz w:val="22"/>
          <w:szCs w:val="22"/>
          <w:rtl w:val="0"/>
        </w:rPr>
        <w:t xml:space="preserve">DeWeerdt S. (2019). "The natural history of an epidemic." </w:t>
      </w:r>
      <w:r w:rsidDel="00000000" w:rsidR="00000000" w:rsidRPr="00000000">
        <w:rPr>
          <w:i w:val="1"/>
          <w:sz w:val="22"/>
          <w:szCs w:val="22"/>
          <w:rtl w:val="0"/>
        </w:rPr>
        <w:t xml:space="preserve">Nature</w:t>
      </w:r>
      <w:r w:rsidDel="00000000" w:rsidR="00000000" w:rsidRPr="00000000">
        <w:rPr>
          <w:sz w:val="22"/>
          <w:szCs w:val="22"/>
          <w:rtl w:val="0"/>
        </w:rPr>
        <w:t xml:space="preserve"> 10(573).</w:t>
      </w:r>
    </w:p>
    <w:p w:rsidR="00000000" w:rsidDel="00000000" w:rsidP="00000000" w:rsidRDefault="00000000" w:rsidRPr="00000000" w14:paraId="00000D15">
      <w:pPr>
        <w:jc w:val="both"/>
        <w:rPr>
          <w:sz w:val="22"/>
          <w:szCs w:val="22"/>
        </w:rPr>
      </w:pPr>
      <w:r w:rsidDel="00000000" w:rsidR="00000000" w:rsidRPr="00000000">
        <w:rPr>
          <w:rtl w:val="0"/>
        </w:rPr>
      </w:r>
    </w:p>
    <w:p w:rsidR="00000000" w:rsidDel="00000000" w:rsidP="00000000" w:rsidRDefault="00000000" w:rsidRPr="00000000" w14:paraId="00000D16">
      <w:pPr>
        <w:jc w:val="both"/>
        <w:rPr>
          <w:sz w:val="22"/>
          <w:szCs w:val="22"/>
        </w:rPr>
      </w:pPr>
      <w:r w:rsidDel="00000000" w:rsidR="00000000" w:rsidRPr="00000000">
        <w:rPr>
          <w:sz w:val="22"/>
          <w:szCs w:val="22"/>
          <w:rtl w:val="0"/>
        </w:rPr>
        <w:t xml:space="preserve">Dillon DG. Pizzagalli DA. (2018). "Mechanisms of Memory Disruption in Depression." </w:t>
      </w:r>
      <w:r w:rsidDel="00000000" w:rsidR="00000000" w:rsidRPr="00000000">
        <w:rPr>
          <w:i w:val="1"/>
          <w:sz w:val="22"/>
          <w:szCs w:val="22"/>
          <w:rtl w:val="0"/>
        </w:rPr>
        <w:t xml:space="preserve">Trends Neurosci</w:t>
      </w:r>
      <w:r w:rsidDel="00000000" w:rsidR="00000000" w:rsidRPr="00000000">
        <w:rPr>
          <w:sz w:val="22"/>
          <w:szCs w:val="22"/>
          <w:rtl w:val="0"/>
        </w:rPr>
        <w:t xml:space="preserve"> 41(3): 137-149.</w:t>
      </w:r>
    </w:p>
    <w:p w:rsidR="00000000" w:rsidDel="00000000" w:rsidP="00000000" w:rsidRDefault="00000000" w:rsidRPr="00000000" w14:paraId="00000D17">
      <w:pPr>
        <w:jc w:val="both"/>
        <w:rPr>
          <w:sz w:val="22"/>
          <w:szCs w:val="22"/>
        </w:rPr>
      </w:pPr>
      <w:r w:rsidDel="00000000" w:rsidR="00000000" w:rsidRPr="00000000">
        <w:rPr>
          <w:rtl w:val="0"/>
        </w:rPr>
      </w:r>
    </w:p>
    <w:p w:rsidR="00000000" w:rsidDel="00000000" w:rsidP="00000000" w:rsidRDefault="00000000" w:rsidRPr="00000000" w14:paraId="00000D18">
      <w:pPr>
        <w:jc w:val="both"/>
        <w:rPr>
          <w:sz w:val="22"/>
          <w:szCs w:val="22"/>
        </w:rPr>
      </w:pPr>
      <w:r w:rsidDel="00000000" w:rsidR="00000000" w:rsidRPr="00000000">
        <w:rPr>
          <w:sz w:val="22"/>
          <w:szCs w:val="22"/>
          <w:rtl w:val="0"/>
        </w:rPr>
        <w:t xml:space="preserve">Dineen KK. DuBois JM. (2016). "Between a Rock and a Hard Place: Can Physicians Prescribe Opioids to Treat Pain Adequately While Avoiding Legal Sanction?" </w:t>
      </w:r>
      <w:r w:rsidDel="00000000" w:rsidR="00000000" w:rsidRPr="00000000">
        <w:rPr>
          <w:i w:val="1"/>
          <w:sz w:val="22"/>
          <w:szCs w:val="22"/>
          <w:rtl w:val="0"/>
        </w:rPr>
        <w:t xml:space="preserve">Am J Law Med</w:t>
      </w:r>
      <w:r w:rsidDel="00000000" w:rsidR="00000000" w:rsidRPr="00000000">
        <w:rPr>
          <w:sz w:val="22"/>
          <w:szCs w:val="22"/>
          <w:rtl w:val="0"/>
        </w:rPr>
        <w:t xml:space="preserve"> 42(1): 7-52.</w:t>
      </w:r>
    </w:p>
    <w:p w:rsidR="00000000" w:rsidDel="00000000" w:rsidP="00000000" w:rsidRDefault="00000000" w:rsidRPr="00000000" w14:paraId="00000D19">
      <w:pPr>
        <w:jc w:val="both"/>
        <w:rPr>
          <w:sz w:val="22"/>
          <w:szCs w:val="22"/>
        </w:rPr>
      </w:pPr>
      <w:r w:rsidDel="00000000" w:rsidR="00000000" w:rsidRPr="00000000">
        <w:rPr>
          <w:rtl w:val="0"/>
        </w:rPr>
      </w:r>
    </w:p>
    <w:p w:rsidR="00000000" w:rsidDel="00000000" w:rsidP="00000000" w:rsidRDefault="00000000" w:rsidRPr="00000000" w14:paraId="00000D1A">
      <w:pPr>
        <w:jc w:val="both"/>
        <w:rPr>
          <w:sz w:val="22"/>
          <w:szCs w:val="22"/>
        </w:rPr>
      </w:pPr>
      <w:r w:rsidDel="00000000" w:rsidR="00000000" w:rsidRPr="00000000">
        <w:rPr>
          <w:sz w:val="22"/>
          <w:szCs w:val="22"/>
          <w:rtl w:val="0"/>
        </w:rPr>
        <w:t xml:space="preserve">Dixon-Woods M. Williams SJ. Jackson CJ. Akkad A. Kenyon S. Habiba M. (2006). "Why do women consent to surgery, even when they do not want to? An interactionist and Bourdieusian analysis." </w:t>
      </w:r>
      <w:r w:rsidDel="00000000" w:rsidR="00000000" w:rsidRPr="00000000">
        <w:rPr>
          <w:i w:val="1"/>
          <w:sz w:val="22"/>
          <w:szCs w:val="22"/>
          <w:rtl w:val="0"/>
        </w:rPr>
        <w:t xml:space="preserve">Soc Sci Med</w:t>
      </w:r>
      <w:r w:rsidDel="00000000" w:rsidR="00000000" w:rsidRPr="00000000">
        <w:rPr>
          <w:sz w:val="22"/>
          <w:szCs w:val="22"/>
          <w:rtl w:val="0"/>
        </w:rPr>
        <w:t xml:space="preserve"> 61(11): 2742-2753.</w:t>
      </w:r>
    </w:p>
    <w:p w:rsidR="00000000" w:rsidDel="00000000" w:rsidP="00000000" w:rsidRDefault="00000000" w:rsidRPr="00000000" w14:paraId="00000D1B">
      <w:pPr>
        <w:jc w:val="both"/>
        <w:rPr>
          <w:sz w:val="22"/>
          <w:szCs w:val="22"/>
        </w:rPr>
      </w:pPr>
      <w:r w:rsidDel="00000000" w:rsidR="00000000" w:rsidRPr="00000000">
        <w:rPr>
          <w:rtl w:val="0"/>
        </w:rPr>
      </w:r>
    </w:p>
    <w:p w:rsidR="00000000" w:rsidDel="00000000" w:rsidP="00000000" w:rsidRDefault="00000000" w:rsidRPr="00000000" w14:paraId="00000D1C">
      <w:pPr>
        <w:jc w:val="both"/>
        <w:rPr>
          <w:sz w:val="22"/>
          <w:szCs w:val="22"/>
        </w:rPr>
      </w:pPr>
      <w:r w:rsidDel="00000000" w:rsidR="00000000" w:rsidRPr="00000000">
        <w:rPr>
          <w:sz w:val="22"/>
          <w:szCs w:val="22"/>
          <w:rtl w:val="0"/>
        </w:rPr>
        <w:t xml:space="preserve">DJMag (2024). Charity pop-up rave on UK's tallest mountain, Ben Nevis, announced by group of Bens [online]. DJMag. Available at: </w:t>
      </w:r>
      <w:hyperlink r:id="rId25">
        <w:r w:rsidDel="00000000" w:rsidR="00000000" w:rsidRPr="00000000">
          <w:rPr>
            <w:color w:val="467886"/>
            <w:sz w:val="22"/>
            <w:szCs w:val="22"/>
            <w:u w:val="single"/>
            <w:rtl w:val="0"/>
          </w:rPr>
          <w:t xml:space="preserve">https://djmag.com/news/charity-pop-rave-uks-tallest-mountain-ben-nevis-announced-group-bens</w:t>
        </w:r>
      </w:hyperlink>
      <w:r w:rsidDel="00000000" w:rsidR="00000000" w:rsidRPr="00000000">
        <w:rPr>
          <w:sz w:val="22"/>
          <w:szCs w:val="22"/>
          <w:rtl w:val="0"/>
        </w:rPr>
        <w:t xml:space="preserve"> (10/10/2024)</w:t>
      </w:r>
    </w:p>
    <w:p w:rsidR="00000000" w:rsidDel="00000000" w:rsidP="00000000" w:rsidRDefault="00000000" w:rsidRPr="00000000" w14:paraId="00000D1D">
      <w:pPr>
        <w:jc w:val="both"/>
        <w:rPr>
          <w:sz w:val="22"/>
          <w:szCs w:val="22"/>
        </w:rPr>
      </w:pPr>
      <w:r w:rsidDel="00000000" w:rsidR="00000000" w:rsidRPr="00000000">
        <w:rPr>
          <w:rtl w:val="0"/>
        </w:rPr>
      </w:r>
    </w:p>
    <w:p w:rsidR="00000000" w:rsidDel="00000000" w:rsidP="00000000" w:rsidRDefault="00000000" w:rsidRPr="00000000" w14:paraId="00000D1E">
      <w:pPr>
        <w:jc w:val="both"/>
        <w:rPr>
          <w:sz w:val="22"/>
          <w:szCs w:val="22"/>
        </w:rPr>
      </w:pPr>
      <w:r w:rsidDel="00000000" w:rsidR="00000000" w:rsidRPr="00000000">
        <w:rPr>
          <w:sz w:val="22"/>
          <w:szCs w:val="22"/>
          <w:rtl w:val="0"/>
        </w:rPr>
        <w:t xml:space="preserve">Donovan RJ. Drane CF. Santini ZI. Jalleh G. (2024). "Impact on help-seeking behaviours of a campaign perceived to decrease stigma and increase openness around mental health." </w:t>
      </w:r>
      <w:r w:rsidDel="00000000" w:rsidR="00000000" w:rsidRPr="00000000">
        <w:rPr>
          <w:i w:val="1"/>
          <w:sz w:val="22"/>
          <w:szCs w:val="22"/>
          <w:rtl w:val="0"/>
        </w:rPr>
        <w:t xml:space="preserve">Health Promotion Journal of Australia</w:t>
      </w:r>
      <w:r w:rsidDel="00000000" w:rsidR="00000000" w:rsidRPr="00000000">
        <w:rPr>
          <w:sz w:val="22"/>
          <w:szCs w:val="22"/>
          <w:rtl w:val="0"/>
        </w:rPr>
        <w:t xml:space="preserve">.</w:t>
      </w:r>
    </w:p>
    <w:p w:rsidR="00000000" w:rsidDel="00000000" w:rsidP="00000000" w:rsidRDefault="00000000" w:rsidRPr="00000000" w14:paraId="00000D1F">
      <w:pPr>
        <w:jc w:val="both"/>
        <w:rPr>
          <w:sz w:val="22"/>
          <w:szCs w:val="22"/>
        </w:rPr>
      </w:pPr>
      <w:r w:rsidDel="00000000" w:rsidR="00000000" w:rsidRPr="00000000">
        <w:rPr>
          <w:rtl w:val="0"/>
        </w:rPr>
      </w:r>
    </w:p>
    <w:p w:rsidR="00000000" w:rsidDel="00000000" w:rsidP="00000000" w:rsidRDefault="00000000" w:rsidRPr="00000000" w14:paraId="00000D20">
      <w:pPr>
        <w:jc w:val="both"/>
        <w:rPr>
          <w:sz w:val="22"/>
          <w:szCs w:val="22"/>
        </w:rPr>
      </w:pPr>
      <w:r w:rsidDel="00000000" w:rsidR="00000000" w:rsidRPr="00000000">
        <w:rPr>
          <w:sz w:val="22"/>
          <w:szCs w:val="22"/>
          <w:rtl w:val="0"/>
        </w:rPr>
        <w:t xml:space="preserve">Donkin HB. (1892) Hysteria. In: Tuke DH (ed.) Dictionary of Psychological Medicine, Philadelphia: P. Blakiston, pp. 619–621.</w:t>
      </w:r>
    </w:p>
    <w:p w:rsidR="00000000" w:rsidDel="00000000" w:rsidP="00000000" w:rsidRDefault="00000000" w:rsidRPr="00000000" w14:paraId="00000D21">
      <w:pPr>
        <w:jc w:val="both"/>
        <w:rPr>
          <w:sz w:val="22"/>
          <w:szCs w:val="22"/>
        </w:rPr>
      </w:pPr>
      <w:r w:rsidDel="00000000" w:rsidR="00000000" w:rsidRPr="00000000">
        <w:rPr>
          <w:rtl w:val="0"/>
        </w:rPr>
      </w:r>
    </w:p>
    <w:p w:rsidR="00000000" w:rsidDel="00000000" w:rsidP="00000000" w:rsidRDefault="00000000" w:rsidRPr="00000000" w14:paraId="00000D22">
      <w:pPr>
        <w:jc w:val="both"/>
        <w:rPr>
          <w:i w:val="1"/>
          <w:sz w:val="22"/>
          <w:szCs w:val="22"/>
        </w:rPr>
      </w:pPr>
      <w:r w:rsidDel="00000000" w:rsidR="00000000" w:rsidRPr="00000000">
        <w:rPr>
          <w:sz w:val="22"/>
          <w:szCs w:val="22"/>
          <w:rtl w:val="0"/>
        </w:rPr>
        <w:t xml:space="preserve">Doolan DM. Froelicher ES. (2009). "Using an existing data set to answer new research questions: A methodological review." </w:t>
      </w:r>
      <w:r w:rsidDel="00000000" w:rsidR="00000000" w:rsidRPr="00000000">
        <w:rPr>
          <w:i w:val="1"/>
          <w:sz w:val="22"/>
          <w:szCs w:val="22"/>
          <w:rtl w:val="0"/>
        </w:rPr>
        <w:t xml:space="preserve">Research and Theory for Nursing Practice.</w:t>
      </w:r>
    </w:p>
    <w:p w:rsidR="00000000" w:rsidDel="00000000" w:rsidP="00000000" w:rsidRDefault="00000000" w:rsidRPr="00000000" w14:paraId="00000D23">
      <w:pPr>
        <w:jc w:val="both"/>
        <w:rPr>
          <w:i w:val="1"/>
          <w:sz w:val="22"/>
          <w:szCs w:val="22"/>
        </w:rPr>
      </w:pPr>
      <w:r w:rsidDel="00000000" w:rsidR="00000000" w:rsidRPr="00000000">
        <w:rPr>
          <w:rtl w:val="0"/>
        </w:rPr>
      </w:r>
    </w:p>
    <w:p w:rsidR="00000000" w:rsidDel="00000000" w:rsidP="00000000" w:rsidRDefault="00000000" w:rsidRPr="00000000" w14:paraId="00000D24">
      <w:pPr>
        <w:jc w:val="both"/>
        <w:rPr>
          <w:sz w:val="22"/>
          <w:szCs w:val="22"/>
        </w:rPr>
      </w:pPr>
      <w:r w:rsidDel="00000000" w:rsidR="00000000" w:rsidRPr="00000000">
        <w:rPr>
          <w:sz w:val="22"/>
          <w:szCs w:val="22"/>
          <w:rtl w:val="0"/>
        </w:rPr>
        <w:t xml:space="preserve">Dragioti E. Solmi M. Favaro A. Fusar-Poli P. Dazzan P. Thompson T. Stubbs B. Firth J. Fornaro M. Tsartsalis D. Carvalho AF. Vieta E. Mcguire P. Young AH. Shin JL. Correll CU. Evangelou E. (2019). "Association of Antidepressant Use With Adverse Health Outcomes. A Systematic Umbrella Review." </w:t>
      </w:r>
      <w:r w:rsidDel="00000000" w:rsidR="00000000" w:rsidRPr="00000000">
        <w:rPr>
          <w:i w:val="1"/>
          <w:sz w:val="22"/>
          <w:szCs w:val="22"/>
          <w:rtl w:val="0"/>
        </w:rPr>
        <w:t xml:space="preserve">JAMA Psychiatry</w:t>
      </w:r>
      <w:r w:rsidDel="00000000" w:rsidR="00000000" w:rsidRPr="00000000">
        <w:rPr>
          <w:sz w:val="22"/>
          <w:szCs w:val="22"/>
          <w:rtl w:val="0"/>
        </w:rPr>
        <w:t xml:space="preserve">.</w:t>
      </w:r>
    </w:p>
    <w:p w:rsidR="00000000" w:rsidDel="00000000" w:rsidP="00000000" w:rsidRDefault="00000000" w:rsidRPr="00000000" w14:paraId="00000D25">
      <w:pPr>
        <w:jc w:val="both"/>
        <w:rPr>
          <w:sz w:val="22"/>
          <w:szCs w:val="22"/>
        </w:rPr>
      </w:pPr>
      <w:r w:rsidDel="00000000" w:rsidR="00000000" w:rsidRPr="00000000">
        <w:rPr>
          <w:sz w:val="22"/>
          <w:szCs w:val="22"/>
          <w:rtl w:val="0"/>
        </w:rPr>
        <w:t xml:space="preserve">Draper AK. (2004). "The principles and application of qualitative research." </w:t>
      </w:r>
      <w:r w:rsidDel="00000000" w:rsidR="00000000" w:rsidRPr="00000000">
        <w:rPr>
          <w:i w:val="1"/>
          <w:sz w:val="22"/>
          <w:szCs w:val="22"/>
          <w:rtl w:val="0"/>
        </w:rPr>
        <w:t xml:space="preserve">Proc Nutr Soc</w:t>
      </w:r>
      <w:r w:rsidDel="00000000" w:rsidR="00000000" w:rsidRPr="00000000">
        <w:rPr>
          <w:sz w:val="22"/>
          <w:szCs w:val="22"/>
          <w:rtl w:val="0"/>
        </w:rPr>
        <w:t xml:space="preserve"> 63: 641-646.</w:t>
      </w:r>
    </w:p>
    <w:p w:rsidR="00000000" w:rsidDel="00000000" w:rsidP="00000000" w:rsidRDefault="00000000" w:rsidRPr="00000000" w14:paraId="00000D26">
      <w:pPr>
        <w:jc w:val="both"/>
        <w:rPr>
          <w:sz w:val="22"/>
          <w:szCs w:val="22"/>
        </w:rPr>
      </w:pPr>
      <w:r w:rsidDel="00000000" w:rsidR="00000000" w:rsidRPr="00000000">
        <w:rPr>
          <w:rtl w:val="0"/>
        </w:rPr>
      </w:r>
    </w:p>
    <w:p w:rsidR="00000000" w:rsidDel="00000000" w:rsidP="00000000" w:rsidRDefault="00000000" w:rsidRPr="00000000" w14:paraId="00000D27">
      <w:pPr>
        <w:jc w:val="both"/>
        <w:rPr>
          <w:sz w:val="22"/>
          <w:szCs w:val="22"/>
        </w:rPr>
      </w:pPr>
      <w:r w:rsidDel="00000000" w:rsidR="00000000" w:rsidRPr="00000000">
        <w:rPr>
          <w:sz w:val="22"/>
          <w:szCs w:val="22"/>
          <w:rtl w:val="0"/>
        </w:rPr>
        <w:t xml:space="preserve">Drug Enforcement Agency. (2020). COVID-19 information Page. Drug Enforcement Agency.</w:t>
      </w:r>
    </w:p>
    <w:p w:rsidR="00000000" w:rsidDel="00000000" w:rsidP="00000000" w:rsidRDefault="00000000" w:rsidRPr="00000000" w14:paraId="00000D28">
      <w:pPr>
        <w:jc w:val="both"/>
        <w:rPr>
          <w:sz w:val="22"/>
          <w:szCs w:val="22"/>
        </w:rPr>
      </w:pPr>
      <w:r w:rsidDel="00000000" w:rsidR="00000000" w:rsidRPr="00000000">
        <w:rPr>
          <w:rtl w:val="0"/>
        </w:rPr>
      </w:r>
    </w:p>
    <w:p w:rsidR="00000000" w:rsidDel="00000000" w:rsidP="00000000" w:rsidRDefault="00000000" w:rsidRPr="00000000" w14:paraId="00000D29">
      <w:pPr>
        <w:jc w:val="both"/>
        <w:rPr>
          <w:sz w:val="22"/>
          <w:szCs w:val="22"/>
        </w:rPr>
      </w:pPr>
      <w:r w:rsidDel="00000000" w:rsidR="00000000" w:rsidRPr="00000000">
        <w:rPr>
          <w:sz w:val="22"/>
          <w:szCs w:val="22"/>
          <w:rtl w:val="0"/>
        </w:rPr>
        <w:t xml:space="preserve">Du N. Chong ESK. Wei D. Liu Z. Mu Z. Deng S.Huang YT. (2023). "Prevalence, risk, and protective factors of self-stigma for people living with depression: A systematic review and meta-analysis." </w:t>
      </w:r>
      <w:r w:rsidDel="00000000" w:rsidR="00000000" w:rsidRPr="00000000">
        <w:rPr>
          <w:i w:val="1"/>
          <w:sz w:val="22"/>
          <w:szCs w:val="22"/>
          <w:rtl w:val="0"/>
        </w:rPr>
        <w:t xml:space="preserve">Journal of Affective Disorders</w:t>
      </w:r>
      <w:r w:rsidDel="00000000" w:rsidR="00000000" w:rsidRPr="00000000">
        <w:rPr>
          <w:sz w:val="22"/>
          <w:szCs w:val="22"/>
          <w:rtl w:val="0"/>
        </w:rPr>
        <w:t xml:space="preserve"> 332: 327-340.</w:t>
      </w:r>
    </w:p>
    <w:p w:rsidR="00000000" w:rsidDel="00000000" w:rsidP="00000000" w:rsidRDefault="00000000" w:rsidRPr="00000000" w14:paraId="00000D2A">
      <w:pPr>
        <w:jc w:val="both"/>
        <w:rPr>
          <w:sz w:val="22"/>
          <w:szCs w:val="22"/>
        </w:rPr>
      </w:pPr>
      <w:r w:rsidDel="00000000" w:rsidR="00000000" w:rsidRPr="00000000">
        <w:rPr>
          <w:rtl w:val="0"/>
        </w:rPr>
      </w:r>
    </w:p>
    <w:p w:rsidR="00000000" w:rsidDel="00000000" w:rsidP="00000000" w:rsidRDefault="00000000" w:rsidRPr="00000000" w14:paraId="00000D2B">
      <w:pPr>
        <w:jc w:val="both"/>
        <w:rPr>
          <w:sz w:val="22"/>
          <w:szCs w:val="22"/>
        </w:rPr>
      </w:pPr>
      <w:r w:rsidDel="00000000" w:rsidR="00000000" w:rsidRPr="00000000">
        <w:rPr>
          <w:sz w:val="22"/>
          <w:szCs w:val="22"/>
          <w:rtl w:val="0"/>
        </w:rPr>
        <w:t xml:space="preserve">Duxbury J. Whittington R. (2005). "Causes and management of patient aggression and violence: staff and patient perspectives." </w:t>
      </w:r>
      <w:r w:rsidDel="00000000" w:rsidR="00000000" w:rsidRPr="00000000">
        <w:rPr>
          <w:i w:val="1"/>
          <w:sz w:val="22"/>
          <w:szCs w:val="22"/>
          <w:rtl w:val="0"/>
        </w:rPr>
        <w:t xml:space="preserve">Issues and Innovations in Nursing Practice</w:t>
      </w:r>
      <w:r w:rsidDel="00000000" w:rsidR="00000000" w:rsidRPr="00000000">
        <w:rPr>
          <w:sz w:val="22"/>
          <w:szCs w:val="22"/>
          <w:rtl w:val="0"/>
        </w:rPr>
        <w:t xml:space="preserve"> 50(5): 469-478.</w:t>
      </w:r>
    </w:p>
    <w:p w:rsidR="00000000" w:rsidDel="00000000" w:rsidP="00000000" w:rsidRDefault="00000000" w:rsidRPr="00000000" w14:paraId="00000D2C">
      <w:pPr>
        <w:jc w:val="both"/>
        <w:rPr>
          <w:sz w:val="22"/>
          <w:szCs w:val="22"/>
        </w:rPr>
      </w:pPr>
      <w:r w:rsidDel="00000000" w:rsidR="00000000" w:rsidRPr="00000000">
        <w:rPr>
          <w:rtl w:val="0"/>
        </w:rPr>
      </w:r>
    </w:p>
    <w:p w:rsidR="00000000" w:rsidDel="00000000" w:rsidP="00000000" w:rsidRDefault="00000000" w:rsidRPr="00000000" w14:paraId="00000D2D">
      <w:pPr>
        <w:jc w:val="both"/>
        <w:rPr>
          <w:sz w:val="22"/>
          <w:szCs w:val="22"/>
        </w:rPr>
      </w:pPr>
      <w:r w:rsidDel="00000000" w:rsidR="00000000" w:rsidRPr="00000000">
        <w:rPr>
          <w:sz w:val="22"/>
          <w:szCs w:val="22"/>
          <w:rtl w:val="0"/>
        </w:rPr>
        <w:t xml:space="preserve">Dwyer S. Buckle J. (2009). "The Space Between: On Being an Insider-outsider in Qualitative Research." </w:t>
      </w:r>
      <w:r w:rsidDel="00000000" w:rsidR="00000000" w:rsidRPr="00000000">
        <w:rPr>
          <w:i w:val="1"/>
          <w:sz w:val="22"/>
          <w:szCs w:val="22"/>
          <w:rtl w:val="0"/>
        </w:rPr>
        <w:t xml:space="preserve">International Journal of Qualitative Methods</w:t>
      </w:r>
      <w:r w:rsidDel="00000000" w:rsidR="00000000" w:rsidRPr="00000000">
        <w:rPr>
          <w:sz w:val="22"/>
          <w:szCs w:val="22"/>
          <w:rtl w:val="0"/>
        </w:rPr>
        <w:t xml:space="preserve"> 8(1): 53-63.</w:t>
      </w:r>
    </w:p>
    <w:p w:rsidR="00000000" w:rsidDel="00000000" w:rsidP="00000000" w:rsidRDefault="00000000" w:rsidRPr="00000000" w14:paraId="00000D2E">
      <w:pPr>
        <w:jc w:val="both"/>
        <w:rPr>
          <w:sz w:val="22"/>
          <w:szCs w:val="22"/>
        </w:rPr>
      </w:pPr>
      <w:r w:rsidDel="00000000" w:rsidR="00000000" w:rsidRPr="00000000">
        <w:rPr>
          <w:rtl w:val="0"/>
        </w:rPr>
      </w:r>
    </w:p>
    <w:p w:rsidR="00000000" w:rsidDel="00000000" w:rsidP="00000000" w:rsidRDefault="00000000" w:rsidRPr="00000000" w14:paraId="00000D2F">
      <w:pPr>
        <w:jc w:val="both"/>
        <w:rPr>
          <w:sz w:val="22"/>
          <w:szCs w:val="22"/>
        </w:rPr>
      </w:pPr>
      <w:r w:rsidDel="00000000" w:rsidR="00000000" w:rsidRPr="00000000">
        <w:rPr>
          <w:sz w:val="22"/>
          <w:szCs w:val="22"/>
          <w:rtl w:val="0"/>
        </w:rPr>
        <w:t xml:space="preserve">Ehlers A. Clark DM. Dunmore E. (1998). "Predicting response to exposure treatment in PTSD: the role of mental defeat and alienation." </w:t>
      </w:r>
      <w:r w:rsidDel="00000000" w:rsidR="00000000" w:rsidRPr="00000000">
        <w:rPr>
          <w:i w:val="1"/>
          <w:sz w:val="22"/>
          <w:szCs w:val="22"/>
          <w:rtl w:val="0"/>
        </w:rPr>
        <w:t xml:space="preserve">J Trauma Stress</w:t>
      </w:r>
      <w:r w:rsidDel="00000000" w:rsidR="00000000" w:rsidRPr="00000000">
        <w:rPr>
          <w:sz w:val="22"/>
          <w:szCs w:val="22"/>
          <w:rtl w:val="0"/>
        </w:rPr>
        <w:t xml:space="preserve"> 11(3): 457-471.</w:t>
      </w:r>
    </w:p>
    <w:p w:rsidR="00000000" w:rsidDel="00000000" w:rsidP="00000000" w:rsidRDefault="00000000" w:rsidRPr="00000000" w14:paraId="00000D30">
      <w:pPr>
        <w:jc w:val="both"/>
        <w:rPr>
          <w:sz w:val="22"/>
          <w:szCs w:val="22"/>
        </w:rPr>
      </w:pPr>
      <w:r w:rsidDel="00000000" w:rsidR="00000000" w:rsidRPr="00000000">
        <w:rPr>
          <w:rtl w:val="0"/>
        </w:rPr>
      </w:r>
    </w:p>
    <w:p w:rsidR="00000000" w:rsidDel="00000000" w:rsidP="00000000" w:rsidRDefault="00000000" w:rsidRPr="00000000" w14:paraId="00000D31">
      <w:pPr>
        <w:jc w:val="both"/>
        <w:rPr>
          <w:sz w:val="22"/>
          <w:szCs w:val="22"/>
        </w:rPr>
      </w:pPr>
      <w:r w:rsidDel="00000000" w:rsidR="00000000" w:rsidRPr="00000000">
        <w:rPr>
          <w:sz w:val="22"/>
          <w:szCs w:val="22"/>
          <w:rtl w:val="0"/>
        </w:rPr>
        <w:t xml:space="preserve">Ekivitthayabechnukul C. (2021). Thailand legalises Kratom, popular plant-based painkiller [online]. ABC News. Available at: </w:t>
      </w:r>
      <w:hyperlink r:id="rId26">
        <w:r w:rsidDel="00000000" w:rsidR="00000000" w:rsidRPr="00000000">
          <w:rPr>
            <w:color w:val="467886"/>
            <w:sz w:val="22"/>
            <w:szCs w:val="22"/>
            <w:u w:val="single"/>
            <w:rtl w:val="0"/>
          </w:rPr>
          <w:t xml:space="preserve">https://abcnews.go.com/Health/wireStory/thailand-legalizes-kratom-popular-plant-based-painkiller-79616147</w:t>
        </w:r>
      </w:hyperlink>
      <w:r w:rsidDel="00000000" w:rsidR="00000000" w:rsidRPr="00000000">
        <w:rPr>
          <w:sz w:val="22"/>
          <w:szCs w:val="22"/>
          <w:rtl w:val="0"/>
        </w:rPr>
        <w:t xml:space="preserve"> (14/07/2022)</w:t>
      </w:r>
    </w:p>
    <w:p w:rsidR="00000000" w:rsidDel="00000000" w:rsidP="00000000" w:rsidRDefault="00000000" w:rsidRPr="00000000" w14:paraId="00000D32">
      <w:pPr>
        <w:jc w:val="both"/>
        <w:rPr>
          <w:sz w:val="22"/>
          <w:szCs w:val="22"/>
        </w:rPr>
      </w:pPr>
      <w:r w:rsidDel="00000000" w:rsidR="00000000" w:rsidRPr="00000000">
        <w:rPr>
          <w:rtl w:val="0"/>
        </w:rPr>
      </w:r>
    </w:p>
    <w:p w:rsidR="00000000" w:rsidDel="00000000" w:rsidP="00000000" w:rsidRDefault="00000000" w:rsidRPr="00000000" w14:paraId="00000D33">
      <w:pPr>
        <w:jc w:val="both"/>
        <w:rPr>
          <w:sz w:val="22"/>
          <w:szCs w:val="22"/>
        </w:rPr>
      </w:pPr>
      <w:r w:rsidDel="00000000" w:rsidR="00000000" w:rsidRPr="00000000">
        <w:rPr>
          <w:sz w:val="22"/>
          <w:szCs w:val="22"/>
          <w:rtl w:val="0"/>
        </w:rPr>
        <w:t xml:space="preserve">El-Bassel N. Hochstatter KR. Slavin MN. Yang C. Zhang Y. Muresan S. (2022). "Harnessing the Power of Social Media to Understand the Impact of COVID-19 on People Who Use Drugs During Lockdown and Social Distancing." </w:t>
      </w:r>
      <w:r w:rsidDel="00000000" w:rsidR="00000000" w:rsidRPr="00000000">
        <w:rPr>
          <w:i w:val="1"/>
          <w:sz w:val="22"/>
          <w:szCs w:val="22"/>
          <w:rtl w:val="0"/>
        </w:rPr>
        <w:t xml:space="preserve">Journal of Addiction Medicine</w:t>
      </w:r>
      <w:r w:rsidDel="00000000" w:rsidR="00000000" w:rsidRPr="00000000">
        <w:rPr>
          <w:sz w:val="22"/>
          <w:szCs w:val="22"/>
          <w:rtl w:val="0"/>
        </w:rPr>
        <w:t xml:space="preserve"> 16(2): 123-132.</w:t>
      </w:r>
    </w:p>
    <w:p w:rsidR="00000000" w:rsidDel="00000000" w:rsidP="00000000" w:rsidRDefault="00000000" w:rsidRPr="00000000" w14:paraId="00000D34">
      <w:pPr>
        <w:jc w:val="both"/>
        <w:rPr>
          <w:sz w:val="22"/>
          <w:szCs w:val="22"/>
        </w:rPr>
      </w:pPr>
      <w:r w:rsidDel="00000000" w:rsidR="00000000" w:rsidRPr="00000000">
        <w:rPr>
          <w:sz w:val="22"/>
          <w:szCs w:val="22"/>
          <w:rtl w:val="0"/>
        </w:rPr>
        <w:tab/>
      </w:r>
    </w:p>
    <w:p w:rsidR="00000000" w:rsidDel="00000000" w:rsidP="00000000" w:rsidRDefault="00000000" w:rsidRPr="00000000" w14:paraId="00000D35">
      <w:pPr>
        <w:jc w:val="both"/>
        <w:rPr>
          <w:sz w:val="22"/>
          <w:szCs w:val="22"/>
        </w:rPr>
      </w:pPr>
      <w:r w:rsidDel="00000000" w:rsidR="00000000" w:rsidRPr="00000000">
        <w:rPr>
          <w:sz w:val="22"/>
          <w:szCs w:val="22"/>
          <w:rtl w:val="0"/>
        </w:rPr>
        <w:t xml:space="preserve">Elfil M Negida A. (2017). "Sampling methods in Clinical Research; an Education Review." </w:t>
      </w:r>
      <w:r w:rsidDel="00000000" w:rsidR="00000000" w:rsidRPr="00000000">
        <w:rPr>
          <w:i w:val="1"/>
          <w:sz w:val="22"/>
          <w:szCs w:val="22"/>
          <w:rtl w:val="0"/>
        </w:rPr>
        <w:t xml:space="preserve">Emergency</w:t>
      </w:r>
      <w:r w:rsidDel="00000000" w:rsidR="00000000" w:rsidRPr="00000000">
        <w:rPr>
          <w:sz w:val="22"/>
          <w:szCs w:val="22"/>
          <w:rtl w:val="0"/>
        </w:rPr>
        <w:t xml:space="preserve"> 5(1).</w:t>
      </w:r>
    </w:p>
    <w:p w:rsidR="00000000" w:rsidDel="00000000" w:rsidP="00000000" w:rsidRDefault="00000000" w:rsidRPr="00000000" w14:paraId="00000D36">
      <w:pPr>
        <w:jc w:val="both"/>
        <w:rPr>
          <w:sz w:val="22"/>
          <w:szCs w:val="22"/>
        </w:rPr>
      </w:pPr>
      <w:r w:rsidDel="00000000" w:rsidR="00000000" w:rsidRPr="00000000">
        <w:rPr>
          <w:sz w:val="22"/>
          <w:szCs w:val="22"/>
          <w:rtl w:val="0"/>
        </w:rPr>
        <w:tab/>
      </w:r>
    </w:p>
    <w:p w:rsidR="00000000" w:rsidDel="00000000" w:rsidP="00000000" w:rsidRDefault="00000000" w:rsidRPr="00000000" w14:paraId="00000D37">
      <w:pPr>
        <w:jc w:val="both"/>
        <w:rPr>
          <w:sz w:val="22"/>
          <w:szCs w:val="22"/>
        </w:rPr>
      </w:pPr>
      <w:r w:rsidDel="00000000" w:rsidR="00000000" w:rsidRPr="00000000">
        <w:rPr>
          <w:sz w:val="22"/>
          <w:szCs w:val="22"/>
          <w:rtl w:val="0"/>
        </w:rPr>
        <w:t xml:space="preserve">Eliaeson S. (2002). Max Weber's Methodologies. Cambridge, Polity.</w:t>
      </w:r>
    </w:p>
    <w:p w:rsidR="00000000" w:rsidDel="00000000" w:rsidP="00000000" w:rsidRDefault="00000000" w:rsidRPr="00000000" w14:paraId="00000D38">
      <w:pPr>
        <w:jc w:val="both"/>
        <w:rPr>
          <w:sz w:val="22"/>
          <w:szCs w:val="22"/>
        </w:rPr>
      </w:pPr>
      <w:r w:rsidDel="00000000" w:rsidR="00000000" w:rsidRPr="00000000">
        <w:rPr>
          <w:sz w:val="22"/>
          <w:szCs w:val="22"/>
          <w:rtl w:val="0"/>
        </w:rPr>
        <w:tab/>
      </w:r>
    </w:p>
    <w:p w:rsidR="00000000" w:rsidDel="00000000" w:rsidP="00000000" w:rsidRDefault="00000000" w:rsidRPr="00000000" w14:paraId="00000D39">
      <w:pPr>
        <w:jc w:val="both"/>
        <w:rPr>
          <w:sz w:val="22"/>
          <w:szCs w:val="22"/>
        </w:rPr>
      </w:pPr>
      <w:r w:rsidDel="00000000" w:rsidR="00000000" w:rsidRPr="00000000">
        <w:rPr>
          <w:sz w:val="22"/>
          <w:szCs w:val="22"/>
          <w:rtl w:val="0"/>
        </w:rPr>
        <w:t xml:space="preserve">Elwy AR. Yeh J. Worcester J. Eisen SV. (2011). "An illness perception model of primary care patients' help seeking for depression." </w:t>
      </w:r>
      <w:r w:rsidDel="00000000" w:rsidR="00000000" w:rsidRPr="00000000">
        <w:rPr>
          <w:i w:val="1"/>
          <w:sz w:val="22"/>
          <w:szCs w:val="22"/>
          <w:rtl w:val="0"/>
        </w:rPr>
        <w:t xml:space="preserve">Qual Health Res</w:t>
      </w:r>
      <w:r w:rsidDel="00000000" w:rsidR="00000000" w:rsidRPr="00000000">
        <w:rPr>
          <w:sz w:val="22"/>
          <w:szCs w:val="22"/>
          <w:rtl w:val="0"/>
        </w:rPr>
        <w:t xml:space="preserve"> 21(11): 1495-1507.</w:t>
      </w:r>
    </w:p>
    <w:p w:rsidR="00000000" w:rsidDel="00000000" w:rsidP="00000000" w:rsidRDefault="00000000" w:rsidRPr="00000000" w14:paraId="00000D3A">
      <w:pPr>
        <w:jc w:val="both"/>
        <w:rPr>
          <w:sz w:val="22"/>
          <w:szCs w:val="22"/>
        </w:rPr>
      </w:pPr>
      <w:r w:rsidDel="00000000" w:rsidR="00000000" w:rsidRPr="00000000">
        <w:rPr>
          <w:sz w:val="22"/>
          <w:szCs w:val="22"/>
          <w:rtl w:val="0"/>
        </w:rPr>
        <w:tab/>
      </w:r>
    </w:p>
    <w:p w:rsidR="00000000" w:rsidDel="00000000" w:rsidP="00000000" w:rsidRDefault="00000000" w:rsidRPr="00000000" w14:paraId="00000D3B">
      <w:pPr>
        <w:jc w:val="both"/>
        <w:rPr>
          <w:sz w:val="22"/>
          <w:szCs w:val="22"/>
        </w:rPr>
      </w:pPr>
      <w:r w:rsidDel="00000000" w:rsidR="00000000" w:rsidRPr="00000000">
        <w:rPr>
          <w:sz w:val="22"/>
          <w:szCs w:val="22"/>
          <w:rtl w:val="0"/>
        </w:rPr>
        <w:t xml:space="preserve">Engalbrecht SF. (2014). "Can autonomy be limited - an ethical and legal perspective in a South African context?" </w:t>
      </w:r>
      <w:r w:rsidDel="00000000" w:rsidR="00000000" w:rsidRPr="00000000">
        <w:rPr>
          <w:i w:val="1"/>
          <w:sz w:val="22"/>
          <w:szCs w:val="22"/>
          <w:rtl w:val="0"/>
        </w:rPr>
        <w:t xml:space="preserve">Journal of Forensic Odontostomatology</w:t>
      </w:r>
      <w:r w:rsidDel="00000000" w:rsidR="00000000" w:rsidRPr="00000000">
        <w:rPr>
          <w:sz w:val="22"/>
          <w:szCs w:val="22"/>
          <w:rtl w:val="0"/>
        </w:rPr>
        <w:t xml:space="preserve"> 32(1): 34-39.</w:t>
      </w:r>
    </w:p>
    <w:p w:rsidR="00000000" w:rsidDel="00000000" w:rsidP="00000000" w:rsidRDefault="00000000" w:rsidRPr="00000000" w14:paraId="00000D3C">
      <w:pPr>
        <w:jc w:val="both"/>
        <w:rPr>
          <w:sz w:val="22"/>
          <w:szCs w:val="22"/>
        </w:rPr>
      </w:pPr>
      <w:r w:rsidDel="00000000" w:rsidR="00000000" w:rsidRPr="00000000">
        <w:rPr>
          <w:rtl w:val="0"/>
        </w:rPr>
      </w:r>
    </w:p>
    <w:p w:rsidR="00000000" w:rsidDel="00000000" w:rsidP="00000000" w:rsidRDefault="00000000" w:rsidRPr="00000000" w14:paraId="00000D3D">
      <w:pPr>
        <w:jc w:val="both"/>
        <w:rPr>
          <w:sz w:val="22"/>
          <w:szCs w:val="22"/>
        </w:rPr>
      </w:pPr>
      <w:r w:rsidDel="00000000" w:rsidR="00000000" w:rsidRPr="00000000">
        <w:rPr>
          <w:sz w:val="22"/>
          <w:szCs w:val="22"/>
          <w:rtl w:val="0"/>
        </w:rPr>
        <w:t xml:space="preserve">Epstein S. (1995). "The Construction of Lay Expertise: AIDS Activism and the Forging of Credibility in the Reform of Clinical Trials." </w:t>
      </w:r>
      <w:r w:rsidDel="00000000" w:rsidR="00000000" w:rsidRPr="00000000">
        <w:rPr>
          <w:i w:val="1"/>
          <w:sz w:val="22"/>
          <w:szCs w:val="22"/>
          <w:rtl w:val="0"/>
        </w:rPr>
        <w:t xml:space="preserve">Science, Technology, &amp; Human Values</w:t>
      </w:r>
      <w:r w:rsidDel="00000000" w:rsidR="00000000" w:rsidRPr="00000000">
        <w:rPr>
          <w:sz w:val="22"/>
          <w:szCs w:val="22"/>
          <w:rtl w:val="0"/>
        </w:rPr>
        <w:t xml:space="preserve"> 20(4).</w:t>
      </w:r>
    </w:p>
    <w:p w:rsidR="00000000" w:rsidDel="00000000" w:rsidP="00000000" w:rsidRDefault="00000000" w:rsidRPr="00000000" w14:paraId="00000D3E">
      <w:pPr>
        <w:jc w:val="both"/>
        <w:rPr>
          <w:sz w:val="22"/>
          <w:szCs w:val="22"/>
        </w:rPr>
      </w:pPr>
      <w:r w:rsidDel="00000000" w:rsidR="00000000" w:rsidRPr="00000000">
        <w:rPr>
          <w:sz w:val="22"/>
          <w:szCs w:val="22"/>
          <w:rtl w:val="0"/>
        </w:rPr>
        <w:tab/>
      </w:r>
    </w:p>
    <w:p w:rsidR="00000000" w:rsidDel="00000000" w:rsidP="00000000" w:rsidRDefault="00000000" w:rsidRPr="00000000" w14:paraId="00000D3F">
      <w:pPr>
        <w:jc w:val="both"/>
        <w:rPr>
          <w:sz w:val="22"/>
          <w:szCs w:val="22"/>
        </w:rPr>
      </w:pPr>
      <w:r w:rsidDel="00000000" w:rsidR="00000000" w:rsidRPr="00000000">
        <w:rPr>
          <w:sz w:val="22"/>
          <w:szCs w:val="22"/>
          <w:rtl w:val="0"/>
        </w:rPr>
        <w:t xml:space="preserve">Etikan I. Bala K. (2017). "Sampling and sampling methods." </w:t>
      </w:r>
      <w:r w:rsidDel="00000000" w:rsidR="00000000" w:rsidRPr="00000000">
        <w:rPr>
          <w:i w:val="1"/>
          <w:sz w:val="22"/>
          <w:szCs w:val="22"/>
          <w:rtl w:val="0"/>
        </w:rPr>
        <w:t xml:space="preserve">Biometrics and Biostatistics International Journal</w:t>
      </w:r>
      <w:r w:rsidDel="00000000" w:rsidR="00000000" w:rsidRPr="00000000">
        <w:rPr>
          <w:sz w:val="22"/>
          <w:szCs w:val="22"/>
          <w:rtl w:val="0"/>
        </w:rPr>
        <w:t xml:space="preserve"> 5(6): 215-217.</w:t>
      </w:r>
    </w:p>
    <w:p w:rsidR="00000000" w:rsidDel="00000000" w:rsidP="00000000" w:rsidRDefault="00000000" w:rsidRPr="00000000" w14:paraId="00000D40">
      <w:pPr>
        <w:jc w:val="both"/>
        <w:rPr>
          <w:sz w:val="22"/>
          <w:szCs w:val="22"/>
        </w:rPr>
      </w:pPr>
      <w:r w:rsidDel="00000000" w:rsidR="00000000" w:rsidRPr="00000000">
        <w:rPr>
          <w:sz w:val="22"/>
          <w:szCs w:val="22"/>
          <w:rtl w:val="0"/>
        </w:rPr>
        <w:tab/>
      </w:r>
    </w:p>
    <w:p w:rsidR="00000000" w:rsidDel="00000000" w:rsidP="00000000" w:rsidRDefault="00000000" w:rsidRPr="00000000" w14:paraId="00000D41">
      <w:pPr>
        <w:jc w:val="both"/>
        <w:rPr>
          <w:sz w:val="22"/>
          <w:szCs w:val="22"/>
        </w:rPr>
      </w:pPr>
      <w:r w:rsidDel="00000000" w:rsidR="00000000" w:rsidRPr="00000000">
        <w:rPr>
          <w:sz w:val="22"/>
          <w:szCs w:val="22"/>
          <w:rtl w:val="0"/>
        </w:rPr>
        <w:t xml:space="preserve">Eton DT. Ramalho de Oliveira D. Egginton JS. (2012). "Building a measurement framework on burden of treatment in complex patients with chronic conditions: a qualitative study." </w:t>
      </w:r>
      <w:r w:rsidDel="00000000" w:rsidR="00000000" w:rsidRPr="00000000">
        <w:rPr>
          <w:i w:val="1"/>
          <w:sz w:val="22"/>
          <w:szCs w:val="22"/>
          <w:rtl w:val="0"/>
        </w:rPr>
        <w:t xml:space="preserve">Patient Relat Outcome Meas</w:t>
      </w:r>
      <w:r w:rsidDel="00000000" w:rsidR="00000000" w:rsidRPr="00000000">
        <w:rPr>
          <w:sz w:val="22"/>
          <w:szCs w:val="22"/>
          <w:rtl w:val="0"/>
        </w:rPr>
        <w:t xml:space="preserve"> 3: 39-49.</w:t>
      </w:r>
    </w:p>
    <w:p w:rsidR="00000000" w:rsidDel="00000000" w:rsidP="00000000" w:rsidRDefault="00000000" w:rsidRPr="00000000" w14:paraId="00000D42">
      <w:pPr>
        <w:jc w:val="both"/>
        <w:rPr>
          <w:sz w:val="22"/>
          <w:szCs w:val="22"/>
        </w:rPr>
      </w:pPr>
      <w:r w:rsidDel="00000000" w:rsidR="00000000" w:rsidRPr="00000000">
        <w:rPr>
          <w:rtl w:val="0"/>
        </w:rPr>
      </w:r>
    </w:p>
    <w:p w:rsidR="00000000" w:rsidDel="00000000" w:rsidP="00000000" w:rsidRDefault="00000000" w:rsidRPr="00000000" w14:paraId="00000D43">
      <w:pPr>
        <w:jc w:val="both"/>
        <w:rPr>
          <w:sz w:val="22"/>
          <w:szCs w:val="22"/>
        </w:rPr>
      </w:pPr>
      <w:r w:rsidDel="00000000" w:rsidR="00000000" w:rsidRPr="00000000">
        <w:rPr>
          <w:sz w:val="22"/>
          <w:szCs w:val="22"/>
          <w:rtl w:val="0"/>
        </w:rPr>
        <w:t xml:space="preserve">European Monitoring Centre for Drug and Drug Addiction (2019). EU Drug Markets Report. European Monitoring Centre for Drugs and Drug Addiction.</w:t>
      </w:r>
    </w:p>
    <w:p w:rsidR="00000000" w:rsidDel="00000000" w:rsidP="00000000" w:rsidRDefault="00000000" w:rsidRPr="00000000" w14:paraId="00000D44">
      <w:pPr>
        <w:jc w:val="both"/>
        <w:rPr>
          <w:sz w:val="22"/>
          <w:szCs w:val="22"/>
        </w:rPr>
      </w:pPr>
      <w:r w:rsidDel="00000000" w:rsidR="00000000" w:rsidRPr="00000000">
        <w:rPr>
          <w:sz w:val="22"/>
          <w:szCs w:val="22"/>
          <w:rtl w:val="0"/>
        </w:rPr>
        <w:t xml:space="preserve">European Monitoring Centre for Drug and Drug Addiction (2020). The implications of COVID-19 for people who use drugs (PWUD) and drug service providers. European Monitoring Centre for Drug and Drug Addiction (EMCDDA).</w:t>
      </w:r>
    </w:p>
    <w:p w:rsidR="00000000" w:rsidDel="00000000" w:rsidP="00000000" w:rsidRDefault="00000000" w:rsidRPr="00000000" w14:paraId="00000D45">
      <w:pPr>
        <w:jc w:val="both"/>
        <w:rPr>
          <w:sz w:val="22"/>
          <w:szCs w:val="22"/>
        </w:rPr>
      </w:pPr>
      <w:r w:rsidDel="00000000" w:rsidR="00000000" w:rsidRPr="00000000">
        <w:rPr>
          <w:rtl w:val="0"/>
        </w:rPr>
      </w:r>
    </w:p>
    <w:p w:rsidR="00000000" w:rsidDel="00000000" w:rsidP="00000000" w:rsidRDefault="00000000" w:rsidRPr="00000000" w14:paraId="00000D46">
      <w:pPr>
        <w:jc w:val="both"/>
        <w:rPr>
          <w:sz w:val="22"/>
          <w:szCs w:val="22"/>
        </w:rPr>
      </w:pPr>
      <w:r w:rsidDel="00000000" w:rsidR="00000000" w:rsidRPr="00000000">
        <w:rPr>
          <w:sz w:val="22"/>
          <w:szCs w:val="22"/>
          <w:rtl w:val="0"/>
        </w:rPr>
        <w:t xml:space="preserve">Farais JC. Porter L. McManus S. (2017). "Prescribing patterns in dependence forming medicines." </w:t>
      </w:r>
      <w:r w:rsidDel="00000000" w:rsidR="00000000" w:rsidRPr="00000000">
        <w:rPr>
          <w:i w:val="1"/>
          <w:sz w:val="22"/>
          <w:szCs w:val="22"/>
          <w:rtl w:val="0"/>
        </w:rPr>
        <w:t xml:space="preserve">Health Research Consortium</w:t>
      </w:r>
      <w:r w:rsidDel="00000000" w:rsidR="00000000" w:rsidRPr="00000000">
        <w:rPr>
          <w:sz w:val="22"/>
          <w:szCs w:val="22"/>
          <w:rtl w:val="0"/>
        </w:rPr>
        <w:t xml:space="preserve">.</w:t>
      </w:r>
    </w:p>
    <w:p w:rsidR="00000000" w:rsidDel="00000000" w:rsidP="00000000" w:rsidRDefault="00000000" w:rsidRPr="00000000" w14:paraId="00000D47">
      <w:pPr>
        <w:jc w:val="both"/>
        <w:rPr>
          <w:sz w:val="22"/>
          <w:szCs w:val="22"/>
        </w:rPr>
      </w:pPr>
      <w:r w:rsidDel="00000000" w:rsidR="00000000" w:rsidRPr="00000000">
        <w:rPr>
          <w:sz w:val="22"/>
          <w:szCs w:val="22"/>
          <w:rtl w:val="0"/>
        </w:rPr>
        <w:t xml:space="preserve">Farmer P. Dyer J. (2016). The Five Year Forward View For Mental Health [online]. Available at: </w:t>
      </w:r>
      <w:hyperlink r:id="rId27">
        <w:r w:rsidDel="00000000" w:rsidR="00000000" w:rsidRPr="00000000">
          <w:rPr>
            <w:color w:val="467886"/>
            <w:sz w:val="22"/>
            <w:szCs w:val="22"/>
            <w:u w:val="single"/>
            <w:rtl w:val="0"/>
          </w:rPr>
          <w:t xml:space="preserve">https://www.england.nhs.uk/wp-content/uploads/2016/02/Mental-Health-Taskforce-FYFV-final.pdf</w:t>
        </w:r>
      </w:hyperlink>
      <w:r w:rsidDel="00000000" w:rsidR="00000000" w:rsidRPr="00000000">
        <w:rPr>
          <w:sz w:val="22"/>
          <w:szCs w:val="22"/>
          <w:rtl w:val="0"/>
        </w:rPr>
        <w:t xml:space="preserve"> (17/03/2022) </w:t>
      </w:r>
    </w:p>
    <w:p w:rsidR="00000000" w:rsidDel="00000000" w:rsidP="00000000" w:rsidRDefault="00000000" w:rsidRPr="00000000" w14:paraId="00000D48">
      <w:pPr>
        <w:jc w:val="both"/>
        <w:rPr>
          <w:sz w:val="22"/>
          <w:szCs w:val="22"/>
        </w:rPr>
      </w:pPr>
      <w:r w:rsidDel="00000000" w:rsidR="00000000" w:rsidRPr="00000000">
        <w:rPr>
          <w:rtl w:val="0"/>
        </w:rPr>
      </w:r>
    </w:p>
    <w:p w:rsidR="00000000" w:rsidDel="00000000" w:rsidP="00000000" w:rsidRDefault="00000000" w:rsidRPr="00000000" w14:paraId="00000D49">
      <w:pPr>
        <w:jc w:val="both"/>
        <w:rPr>
          <w:sz w:val="22"/>
          <w:szCs w:val="22"/>
        </w:rPr>
      </w:pPr>
      <w:r w:rsidDel="00000000" w:rsidR="00000000" w:rsidRPr="00000000">
        <w:rPr>
          <w:sz w:val="22"/>
          <w:szCs w:val="22"/>
          <w:rtl w:val="0"/>
        </w:rPr>
        <w:t xml:space="preserve">Farrow L. Gardner WT. Tang CC. Low R. Forget P. Ashcroft GA. (2021). "Impact of COVID-19 on opioid use in those awaiting hip and knee arthroplasty: a retrospective cohort study." </w:t>
      </w:r>
      <w:r w:rsidDel="00000000" w:rsidR="00000000" w:rsidRPr="00000000">
        <w:rPr>
          <w:i w:val="1"/>
          <w:sz w:val="22"/>
          <w:szCs w:val="22"/>
          <w:rtl w:val="0"/>
        </w:rPr>
        <w:t xml:space="preserve">BMJ Quality and Safety</w:t>
      </w:r>
      <w:r w:rsidDel="00000000" w:rsidR="00000000" w:rsidRPr="00000000">
        <w:rPr>
          <w:sz w:val="22"/>
          <w:szCs w:val="22"/>
          <w:rtl w:val="0"/>
        </w:rPr>
        <w:t xml:space="preserve">: 1-6.</w:t>
      </w:r>
    </w:p>
    <w:p w:rsidR="00000000" w:rsidDel="00000000" w:rsidP="00000000" w:rsidRDefault="00000000" w:rsidRPr="00000000" w14:paraId="00000D4A">
      <w:pPr>
        <w:jc w:val="both"/>
        <w:rPr>
          <w:sz w:val="22"/>
          <w:szCs w:val="22"/>
        </w:rPr>
      </w:pPr>
      <w:r w:rsidDel="00000000" w:rsidR="00000000" w:rsidRPr="00000000">
        <w:rPr>
          <w:sz w:val="22"/>
          <w:szCs w:val="22"/>
          <w:rtl w:val="0"/>
        </w:rPr>
        <w:tab/>
      </w:r>
    </w:p>
    <w:p w:rsidR="00000000" w:rsidDel="00000000" w:rsidP="00000000" w:rsidRDefault="00000000" w:rsidRPr="00000000" w14:paraId="00000D4B">
      <w:pPr>
        <w:jc w:val="both"/>
        <w:rPr>
          <w:sz w:val="22"/>
          <w:szCs w:val="22"/>
        </w:rPr>
      </w:pPr>
      <w:r w:rsidDel="00000000" w:rsidR="00000000" w:rsidRPr="00000000">
        <w:rPr>
          <w:sz w:val="22"/>
          <w:szCs w:val="22"/>
          <w:rtl w:val="0"/>
        </w:rPr>
        <w:t xml:space="preserve">Fenton T. Wiers RW. (2017). "Free Will, Black Swans and Addiction." </w:t>
      </w:r>
      <w:r w:rsidDel="00000000" w:rsidR="00000000" w:rsidRPr="00000000">
        <w:rPr>
          <w:i w:val="1"/>
          <w:sz w:val="22"/>
          <w:szCs w:val="22"/>
          <w:rtl w:val="0"/>
        </w:rPr>
        <w:t xml:space="preserve">Neuroethics</w:t>
      </w:r>
      <w:r w:rsidDel="00000000" w:rsidR="00000000" w:rsidRPr="00000000">
        <w:rPr>
          <w:sz w:val="22"/>
          <w:szCs w:val="22"/>
          <w:rtl w:val="0"/>
        </w:rPr>
        <w:t xml:space="preserve"> 10: 157-165.</w:t>
      </w:r>
    </w:p>
    <w:p w:rsidR="00000000" w:rsidDel="00000000" w:rsidP="00000000" w:rsidRDefault="00000000" w:rsidRPr="00000000" w14:paraId="00000D4C">
      <w:pPr>
        <w:jc w:val="both"/>
        <w:rPr>
          <w:sz w:val="22"/>
          <w:szCs w:val="22"/>
        </w:rPr>
      </w:pPr>
      <w:r w:rsidDel="00000000" w:rsidR="00000000" w:rsidRPr="00000000">
        <w:rPr>
          <w:rtl w:val="0"/>
        </w:rPr>
      </w:r>
    </w:p>
    <w:p w:rsidR="00000000" w:rsidDel="00000000" w:rsidP="00000000" w:rsidRDefault="00000000" w:rsidRPr="00000000" w14:paraId="00000D4D">
      <w:pPr>
        <w:jc w:val="both"/>
        <w:rPr>
          <w:sz w:val="22"/>
          <w:szCs w:val="22"/>
        </w:rPr>
      </w:pPr>
      <w:r w:rsidDel="00000000" w:rsidR="00000000" w:rsidRPr="00000000">
        <w:rPr>
          <w:sz w:val="22"/>
          <w:szCs w:val="22"/>
          <w:rtl w:val="0"/>
        </w:rPr>
        <w:t xml:space="preserve">Feshir R. (2019). For Muslims wrestling with substance abuse, it's often a silent struggle [online]. Available at: </w:t>
      </w:r>
      <w:hyperlink r:id="rId28">
        <w:r w:rsidDel="00000000" w:rsidR="00000000" w:rsidRPr="00000000">
          <w:rPr>
            <w:color w:val="467886"/>
            <w:sz w:val="22"/>
            <w:szCs w:val="22"/>
            <w:u w:val="single"/>
            <w:rtl w:val="0"/>
          </w:rPr>
          <w:t xml:space="preserve">https://www.mprnews.org/story/2019/09/17/for-muslims-wrestling-with-substance-abuse-its-often-a-silent-struggle</w:t>
        </w:r>
      </w:hyperlink>
      <w:r w:rsidDel="00000000" w:rsidR="00000000" w:rsidRPr="00000000">
        <w:rPr>
          <w:sz w:val="22"/>
          <w:szCs w:val="22"/>
          <w:rtl w:val="0"/>
        </w:rPr>
        <w:t xml:space="preserve"> (19/05/2022)</w:t>
      </w:r>
    </w:p>
    <w:p w:rsidR="00000000" w:rsidDel="00000000" w:rsidP="00000000" w:rsidRDefault="00000000" w:rsidRPr="00000000" w14:paraId="00000D4E">
      <w:pPr>
        <w:jc w:val="both"/>
        <w:rPr>
          <w:sz w:val="22"/>
          <w:szCs w:val="22"/>
        </w:rPr>
      </w:pPr>
      <w:r w:rsidDel="00000000" w:rsidR="00000000" w:rsidRPr="00000000">
        <w:rPr>
          <w:sz w:val="22"/>
          <w:szCs w:val="22"/>
          <w:rtl w:val="0"/>
        </w:rPr>
        <w:tab/>
      </w:r>
    </w:p>
    <w:p w:rsidR="00000000" w:rsidDel="00000000" w:rsidP="00000000" w:rsidRDefault="00000000" w:rsidRPr="00000000" w14:paraId="00000D4F">
      <w:pPr>
        <w:jc w:val="both"/>
        <w:rPr>
          <w:sz w:val="22"/>
          <w:szCs w:val="22"/>
        </w:rPr>
      </w:pPr>
      <w:r w:rsidDel="00000000" w:rsidR="00000000" w:rsidRPr="00000000">
        <w:rPr>
          <w:sz w:val="22"/>
          <w:szCs w:val="22"/>
          <w:rtl w:val="0"/>
        </w:rPr>
        <w:t xml:space="preserve">Fiesler C. Beard N. Keegan BC. (2020). "No robots, spiders or scrapes: Legal and ethical regulation of data collection methods in social media terms of service." </w:t>
      </w:r>
      <w:r w:rsidDel="00000000" w:rsidR="00000000" w:rsidRPr="00000000">
        <w:rPr>
          <w:i w:val="1"/>
          <w:sz w:val="22"/>
          <w:szCs w:val="22"/>
          <w:rtl w:val="0"/>
        </w:rPr>
        <w:t xml:space="preserve">AAAI Conference on Web and Social Media</w:t>
      </w:r>
      <w:r w:rsidDel="00000000" w:rsidR="00000000" w:rsidRPr="00000000">
        <w:rPr>
          <w:sz w:val="22"/>
          <w:szCs w:val="22"/>
          <w:rtl w:val="0"/>
        </w:rPr>
        <w:t xml:space="preserve">. 14: 187-196.</w:t>
      </w:r>
    </w:p>
    <w:p w:rsidR="00000000" w:rsidDel="00000000" w:rsidP="00000000" w:rsidRDefault="00000000" w:rsidRPr="00000000" w14:paraId="00000D50">
      <w:pPr>
        <w:jc w:val="both"/>
        <w:rPr>
          <w:sz w:val="22"/>
          <w:szCs w:val="22"/>
        </w:rPr>
      </w:pPr>
      <w:r w:rsidDel="00000000" w:rsidR="00000000" w:rsidRPr="00000000">
        <w:rPr>
          <w:rtl w:val="0"/>
        </w:rPr>
      </w:r>
    </w:p>
    <w:p w:rsidR="00000000" w:rsidDel="00000000" w:rsidP="00000000" w:rsidRDefault="00000000" w:rsidRPr="00000000" w14:paraId="00000D51">
      <w:pPr>
        <w:jc w:val="both"/>
        <w:rPr>
          <w:sz w:val="22"/>
          <w:szCs w:val="22"/>
        </w:rPr>
      </w:pPr>
      <w:r w:rsidDel="00000000" w:rsidR="00000000" w:rsidRPr="00000000">
        <w:rPr>
          <w:sz w:val="22"/>
          <w:szCs w:val="22"/>
          <w:rtl w:val="0"/>
        </w:rPr>
        <w:t xml:space="preserve">Fiesler C. Proferes N. (2018). "Participant" perceptions of twitter research ethics." </w:t>
      </w:r>
      <w:r w:rsidDel="00000000" w:rsidR="00000000" w:rsidRPr="00000000">
        <w:rPr>
          <w:i w:val="1"/>
          <w:sz w:val="22"/>
          <w:szCs w:val="22"/>
          <w:rtl w:val="0"/>
        </w:rPr>
        <w:t xml:space="preserve">Social Media and Society</w:t>
      </w:r>
      <w:r w:rsidDel="00000000" w:rsidR="00000000" w:rsidRPr="00000000">
        <w:rPr>
          <w:sz w:val="22"/>
          <w:szCs w:val="22"/>
          <w:rtl w:val="0"/>
        </w:rPr>
        <w:t xml:space="preserve"> 4(1).</w:t>
      </w:r>
    </w:p>
    <w:p w:rsidR="00000000" w:rsidDel="00000000" w:rsidP="00000000" w:rsidRDefault="00000000" w:rsidRPr="00000000" w14:paraId="00000D52">
      <w:pPr>
        <w:jc w:val="both"/>
        <w:rPr>
          <w:sz w:val="22"/>
          <w:szCs w:val="22"/>
        </w:rPr>
      </w:pPr>
      <w:r w:rsidDel="00000000" w:rsidR="00000000" w:rsidRPr="00000000">
        <w:rPr>
          <w:sz w:val="22"/>
          <w:szCs w:val="22"/>
          <w:rtl w:val="0"/>
        </w:rPr>
        <w:tab/>
      </w:r>
    </w:p>
    <w:p w:rsidR="00000000" w:rsidDel="00000000" w:rsidP="00000000" w:rsidRDefault="00000000" w:rsidRPr="00000000" w14:paraId="00000D53">
      <w:pPr>
        <w:jc w:val="both"/>
        <w:rPr>
          <w:sz w:val="22"/>
          <w:szCs w:val="22"/>
        </w:rPr>
      </w:pPr>
      <w:r w:rsidDel="00000000" w:rsidR="00000000" w:rsidRPr="00000000">
        <w:rPr>
          <w:sz w:val="22"/>
          <w:szCs w:val="22"/>
          <w:rtl w:val="0"/>
        </w:rPr>
        <w:t xml:space="preserve">Fixsen AM. (2015). "“I’m Not Waving, I’m Drowning”: An Autoethnographical Exploration of Biographical Disruption and Reconstruction During Recovery from Prescribed Benzodiazepine Use." </w:t>
      </w:r>
      <w:r w:rsidDel="00000000" w:rsidR="00000000" w:rsidRPr="00000000">
        <w:rPr>
          <w:i w:val="1"/>
          <w:sz w:val="22"/>
          <w:szCs w:val="22"/>
          <w:rtl w:val="0"/>
        </w:rPr>
        <w:t xml:space="preserve">Qualitative Health Research</w:t>
      </w:r>
      <w:r w:rsidDel="00000000" w:rsidR="00000000" w:rsidRPr="00000000">
        <w:rPr>
          <w:sz w:val="22"/>
          <w:szCs w:val="22"/>
          <w:rtl w:val="0"/>
        </w:rPr>
        <w:t xml:space="preserve"> 26(4): 466-481.</w:t>
      </w:r>
    </w:p>
    <w:p w:rsidR="00000000" w:rsidDel="00000000" w:rsidP="00000000" w:rsidRDefault="00000000" w:rsidRPr="00000000" w14:paraId="00000D54">
      <w:pPr>
        <w:jc w:val="both"/>
        <w:rPr>
          <w:sz w:val="22"/>
          <w:szCs w:val="22"/>
        </w:rPr>
      </w:pPr>
      <w:r w:rsidDel="00000000" w:rsidR="00000000" w:rsidRPr="00000000">
        <w:rPr>
          <w:sz w:val="22"/>
          <w:szCs w:val="22"/>
          <w:rtl w:val="0"/>
        </w:rPr>
        <w:tab/>
      </w:r>
    </w:p>
    <w:p w:rsidR="00000000" w:rsidDel="00000000" w:rsidP="00000000" w:rsidRDefault="00000000" w:rsidRPr="00000000" w14:paraId="00000D55">
      <w:pPr>
        <w:jc w:val="both"/>
        <w:rPr>
          <w:sz w:val="22"/>
          <w:szCs w:val="22"/>
        </w:rPr>
      </w:pPr>
      <w:r w:rsidDel="00000000" w:rsidR="00000000" w:rsidRPr="00000000">
        <w:rPr>
          <w:sz w:val="22"/>
          <w:szCs w:val="22"/>
          <w:rtl w:val="0"/>
        </w:rPr>
        <w:t xml:space="preserve">Fixsen AM. Ridge R. (2017). "Stories of Hell and Healing: Internet Users’ Construction of Benzodiazepine Distress and Withdrawal." 2017 27(13): 2030-2041.</w:t>
      </w:r>
    </w:p>
    <w:p w:rsidR="00000000" w:rsidDel="00000000" w:rsidP="00000000" w:rsidRDefault="00000000" w:rsidRPr="00000000" w14:paraId="00000D56">
      <w:pPr>
        <w:jc w:val="both"/>
        <w:rPr>
          <w:sz w:val="22"/>
          <w:szCs w:val="22"/>
        </w:rPr>
      </w:pPr>
      <w:r w:rsidDel="00000000" w:rsidR="00000000" w:rsidRPr="00000000">
        <w:rPr>
          <w:sz w:val="22"/>
          <w:szCs w:val="22"/>
          <w:rtl w:val="0"/>
        </w:rPr>
        <w:tab/>
      </w:r>
    </w:p>
    <w:p w:rsidR="00000000" w:rsidDel="00000000" w:rsidP="00000000" w:rsidRDefault="00000000" w:rsidRPr="00000000" w14:paraId="00000D57">
      <w:pPr>
        <w:jc w:val="both"/>
        <w:rPr>
          <w:sz w:val="22"/>
          <w:szCs w:val="22"/>
        </w:rPr>
      </w:pPr>
      <w:r w:rsidDel="00000000" w:rsidR="00000000" w:rsidRPr="00000000">
        <w:rPr>
          <w:sz w:val="22"/>
          <w:szCs w:val="22"/>
          <w:rtl w:val="0"/>
        </w:rPr>
        <w:t xml:space="preserve">Fornari C. Antonazzo IC. Paoletti O. Bartolini C. Conti S. Ferrara P. Mantovani LG. Gini R. Mazzaglia G. (2021). "Use of antidepressants during COVID-19 outbreak: a real-world drug utilisation study." </w:t>
      </w:r>
      <w:r w:rsidDel="00000000" w:rsidR="00000000" w:rsidRPr="00000000">
        <w:rPr>
          <w:i w:val="1"/>
          <w:sz w:val="22"/>
          <w:szCs w:val="22"/>
          <w:rtl w:val="0"/>
        </w:rPr>
        <w:t xml:space="preserve">European Journal of Public Health</w:t>
      </w:r>
      <w:r w:rsidDel="00000000" w:rsidR="00000000" w:rsidRPr="00000000">
        <w:rPr>
          <w:sz w:val="22"/>
          <w:szCs w:val="22"/>
          <w:rtl w:val="0"/>
        </w:rPr>
        <w:t xml:space="preserve"> 31(3).</w:t>
      </w:r>
    </w:p>
    <w:p w:rsidR="00000000" w:rsidDel="00000000" w:rsidP="00000000" w:rsidRDefault="00000000" w:rsidRPr="00000000" w14:paraId="00000D58">
      <w:pPr>
        <w:jc w:val="both"/>
        <w:rPr>
          <w:sz w:val="22"/>
          <w:szCs w:val="22"/>
        </w:rPr>
      </w:pPr>
      <w:r w:rsidDel="00000000" w:rsidR="00000000" w:rsidRPr="00000000">
        <w:rPr>
          <w:sz w:val="22"/>
          <w:szCs w:val="22"/>
          <w:rtl w:val="0"/>
        </w:rPr>
        <w:tab/>
      </w:r>
    </w:p>
    <w:p w:rsidR="00000000" w:rsidDel="00000000" w:rsidP="00000000" w:rsidRDefault="00000000" w:rsidRPr="00000000" w14:paraId="00000D59">
      <w:pPr>
        <w:jc w:val="both"/>
        <w:rPr>
          <w:sz w:val="22"/>
          <w:szCs w:val="22"/>
        </w:rPr>
      </w:pPr>
      <w:r w:rsidDel="00000000" w:rsidR="00000000" w:rsidRPr="00000000">
        <w:rPr>
          <w:sz w:val="22"/>
          <w:szCs w:val="22"/>
          <w:rtl w:val="0"/>
        </w:rPr>
        <w:t xml:space="preserve">Francesconi G. Orsolini L. Papanti D. Corkery JM. Schifano F. (2015). "Venlafaxine as the 'baby ecstasy'? Literature overview and analysis of web-based misusers' experiences." </w:t>
      </w:r>
      <w:r w:rsidDel="00000000" w:rsidR="00000000" w:rsidRPr="00000000">
        <w:rPr>
          <w:i w:val="1"/>
          <w:sz w:val="22"/>
          <w:szCs w:val="22"/>
          <w:rtl w:val="0"/>
        </w:rPr>
        <w:t xml:space="preserve">Human Psychopharmacology: Clinical and Experimental</w:t>
      </w:r>
      <w:r w:rsidDel="00000000" w:rsidR="00000000" w:rsidRPr="00000000">
        <w:rPr>
          <w:sz w:val="22"/>
          <w:szCs w:val="22"/>
          <w:rtl w:val="0"/>
        </w:rPr>
        <w:t xml:space="preserve"> 30(4): 255-261.</w:t>
      </w:r>
    </w:p>
    <w:p w:rsidR="00000000" w:rsidDel="00000000" w:rsidP="00000000" w:rsidRDefault="00000000" w:rsidRPr="00000000" w14:paraId="00000D5A">
      <w:pPr>
        <w:jc w:val="both"/>
        <w:rPr>
          <w:sz w:val="22"/>
          <w:szCs w:val="22"/>
        </w:rPr>
      </w:pPr>
      <w:r w:rsidDel="00000000" w:rsidR="00000000" w:rsidRPr="00000000">
        <w:rPr>
          <w:sz w:val="22"/>
          <w:szCs w:val="22"/>
          <w:rtl w:val="0"/>
        </w:rPr>
        <w:tab/>
      </w:r>
    </w:p>
    <w:p w:rsidR="00000000" w:rsidDel="00000000" w:rsidP="00000000" w:rsidRDefault="00000000" w:rsidRPr="00000000" w14:paraId="00000D5B">
      <w:pPr>
        <w:jc w:val="both"/>
        <w:rPr>
          <w:sz w:val="22"/>
          <w:szCs w:val="22"/>
        </w:rPr>
      </w:pPr>
      <w:r w:rsidDel="00000000" w:rsidR="00000000" w:rsidRPr="00000000">
        <w:rPr>
          <w:sz w:val="22"/>
          <w:szCs w:val="22"/>
          <w:rtl w:val="0"/>
        </w:rPr>
        <w:t xml:space="preserve">Freiberg R. (2020). Movember – Men’s Mental Health And The Stigma Around Masculinity [online]. thecircular. Available at: </w:t>
      </w:r>
      <w:hyperlink r:id="rId29">
        <w:r w:rsidDel="00000000" w:rsidR="00000000" w:rsidRPr="00000000">
          <w:rPr>
            <w:color w:val="467886"/>
            <w:sz w:val="22"/>
            <w:szCs w:val="22"/>
            <w:u w:val="single"/>
            <w:rtl w:val="0"/>
          </w:rPr>
          <w:t xml:space="preserve">https://thecircular.org/movember-mens-mental-health-and-the-stigma-around-masculinity/</w:t>
        </w:r>
      </w:hyperlink>
      <w:r w:rsidDel="00000000" w:rsidR="00000000" w:rsidRPr="00000000">
        <w:rPr>
          <w:sz w:val="22"/>
          <w:szCs w:val="22"/>
          <w:rtl w:val="0"/>
        </w:rPr>
        <w:t xml:space="preserve"> (10/10/2024)</w:t>
      </w:r>
    </w:p>
    <w:p w:rsidR="00000000" w:rsidDel="00000000" w:rsidP="00000000" w:rsidRDefault="00000000" w:rsidRPr="00000000" w14:paraId="00000D5C">
      <w:pPr>
        <w:jc w:val="both"/>
        <w:rPr>
          <w:sz w:val="22"/>
          <w:szCs w:val="22"/>
        </w:rPr>
      </w:pPr>
      <w:r w:rsidDel="00000000" w:rsidR="00000000" w:rsidRPr="00000000">
        <w:rPr>
          <w:rtl w:val="0"/>
        </w:rPr>
      </w:r>
    </w:p>
    <w:p w:rsidR="00000000" w:rsidDel="00000000" w:rsidP="00000000" w:rsidRDefault="00000000" w:rsidRPr="00000000" w14:paraId="00000D5D">
      <w:pPr>
        <w:jc w:val="both"/>
        <w:rPr>
          <w:sz w:val="22"/>
          <w:szCs w:val="22"/>
        </w:rPr>
      </w:pPr>
      <w:r w:rsidDel="00000000" w:rsidR="00000000" w:rsidRPr="00000000">
        <w:rPr>
          <w:sz w:val="22"/>
          <w:szCs w:val="22"/>
          <w:rtl w:val="0"/>
        </w:rPr>
        <w:t xml:space="preserve">Frenk SM. Porter KS. Paulozzi LJ. (2015). "Prescription opioid analgesic use among adults: United States 1999-2012." NCHS Data Brief 189: 1-8.</w:t>
      </w:r>
    </w:p>
    <w:p w:rsidR="00000000" w:rsidDel="00000000" w:rsidP="00000000" w:rsidRDefault="00000000" w:rsidRPr="00000000" w14:paraId="00000D5E">
      <w:pPr>
        <w:jc w:val="both"/>
        <w:rPr>
          <w:sz w:val="22"/>
          <w:szCs w:val="22"/>
        </w:rPr>
      </w:pPr>
      <w:r w:rsidDel="00000000" w:rsidR="00000000" w:rsidRPr="00000000">
        <w:rPr>
          <w:rtl w:val="0"/>
        </w:rPr>
      </w:r>
    </w:p>
    <w:p w:rsidR="00000000" w:rsidDel="00000000" w:rsidP="00000000" w:rsidRDefault="00000000" w:rsidRPr="00000000" w14:paraId="00000D5F">
      <w:pPr>
        <w:jc w:val="both"/>
        <w:rPr>
          <w:sz w:val="22"/>
          <w:szCs w:val="22"/>
        </w:rPr>
      </w:pPr>
      <w:r w:rsidDel="00000000" w:rsidR="00000000" w:rsidRPr="00000000">
        <w:rPr>
          <w:sz w:val="22"/>
          <w:szCs w:val="22"/>
          <w:rtl w:val="0"/>
        </w:rPr>
        <w:t xml:space="preserve">Frisby W. Reid CJ. Millar S. Hoeber L. (2005). "“Putting “Participatory” into Participatory Forms of Action Research." </w:t>
      </w:r>
      <w:r w:rsidDel="00000000" w:rsidR="00000000" w:rsidRPr="00000000">
        <w:rPr>
          <w:i w:val="1"/>
          <w:sz w:val="22"/>
          <w:szCs w:val="22"/>
          <w:rtl w:val="0"/>
        </w:rPr>
        <w:t xml:space="preserve">Journal of Sport Management</w:t>
      </w:r>
      <w:r w:rsidDel="00000000" w:rsidR="00000000" w:rsidRPr="00000000">
        <w:rPr>
          <w:sz w:val="22"/>
          <w:szCs w:val="22"/>
          <w:rtl w:val="0"/>
        </w:rPr>
        <w:t xml:space="preserve"> 19(1): 367-386.</w:t>
      </w:r>
    </w:p>
    <w:p w:rsidR="00000000" w:rsidDel="00000000" w:rsidP="00000000" w:rsidRDefault="00000000" w:rsidRPr="00000000" w14:paraId="00000D60">
      <w:pPr>
        <w:jc w:val="both"/>
        <w:rPr>
          <w:sz w:val="22"/>
          <w:szCs w:val="22"/>
        </w:rPr>
      </w:pPr>
      <w:r w:rsidDel="00000000" w:rsidR="00000000" w:rsidRPr="00000000">
        <w:rPr>
          <w:sz w:val="22"/>
          <w:szCs w:val="22"/>
          <w:rtl w:val="0"/>
        </w:rPr>
        <w:t xml:space="preserve">Fullgar S. O'Brien W. (2014). "Social recovery and the move beyond deficit models of depression: A feminist analysis of mid-life women's self-care practices." </w:t>
      </w:r>
      <w:r w:rsidDel="00000000" w:rsidR="00000000" w:rsidRPr="00000000">
        <w:rPr>
          <w:i w:val="1"/>
          <w:sz w:val="22"/>
          <w:szCs w:val="22"/>
          <w:rtl w:val="0"/>
        </w:rPr>
        <w:t xml:space="preserve">Social Science &amp; Medicine</w:t>
      </w:r>
      <w:r w:rsidDel="00000000" w:rsidR="00000000" w:rsidRPr="00000000">
        <w:rPr>
          <w:sz w:val="22"/>
          <w:szCs w:val="22"/>
          <w:rtl w:val="0"/>
        </w:rPr>
        <w:t xml:space="preserve"> 117: 116-124.</w:t>
      </w:r>
    </w:p>
    <w:p w:rsidR="00000000" w:rsidDel="00000000" w:rsidP="00000000" w:rsidRDefault="00000000" w:rsidRPr="00000000" w14:paraId="00000D61">
      <w:pPr>
        <w:jc w:val="both"/>
        <w:rPr>
          <w:sz w:val="22"/>
          <w:szCs w:val="22"/>
        </w:rPr>
      </w:pPr>
      <w:r w:rsidDel="00000000" w:rsidR="00000000" w:rsidRPr="00000000">
        <w:rPr>
          <w:rtl w:val="0"/>
        </w:rPr>
      </w:r>
    </w:p>
    <w:p w:rsidR="00000000" w:rsidDel="00000000" w:rsidP="00000000" w:rsidRDefault="00000000" w:rsidRPr="00000000" w14:paraId="00000D62">
      <w:pPr>
        <w:jc w:val="both"/>
        <w:rPr>
          <w:sz w:val="22"/>
          <w:szCs w:val="22"/>
        </w:rPr>
      </w:pPr>
      <w:r w:rsidDel="00000000" w:rsidR="00000000" w:rsidRPr="00000000">
        <w:rPr>
          <w:sz w:val="22"/>
          <w:szCs w:val="22"/>
          <w:rtl w:val="0"/>
        </w:rPr>
        <w:t xml:space="preserve">Fusar-Poli P. Estrade A. Stanghellini G. Venables J. Onwumere J. et al (2022). "The lived experience of psychosis: a bottom-up review co-written by experts by experience and academics." </w:t>
      </w:r>
      <w:r w:rsidDel="00000000" w:rsidR="00000000" w:rsidRPr="00000000">
        <w:rPr>
          <w:i w:val="1"/>
          <w:sz w:val="22"/>
          <w:szCs w:val="22"/>
          <w:rtl w:val="0"/>
        </w:rPr>
        <w:t xml:space="preserve">World Psychiatry</w:t>
      </w:r>
      <w:r w:rsidDel="00000000" w:rsidR="00000000" w:rsidRPr="00000000">
        <w:rPr>
          <w:sz w:val="22"/>
          <w:szCs w:val="22"/>
          <w:rtl w:val="0"/>
        </w:rPr>
        <w:t xml:space="preserve"> 21(2): 168-188</w:t>
      </w:r>
    </w:p>
    <w:p w:rsidR="00000000" w:rsidDel="00000000" w:rsidP="00000000" w:rsidRDefault="00000000" w:rsidRPr="00000000" w14:paraId="00000D63">
      <w:pPr>
        <w:jc w:val="both"/>
        <w:rPr>
          <w:sz w:val="22"/>
          <w:szCs w:val="22"/>
        </w:rPr>
      </w:pPr>
      <w:r w:rsidDel="00000000" w:rsidR="00000000" w:rsidRPr="00000000">
        <w:rPr>
          <w:rtl w:val="0"/>
        </w:rPr>
      </w:r>
    </w:p>
    <w:p w:rsidR="00000000" w:rsidDel="00000000" w:rsidP="00000000" w:rsidRDefault="00000000" w:rsidRPr="00000000" w14:paraId="00000D64">
      <w:pPr>
        <w:jc w:val="both"/>
        <w:rPr>
          <w:sz w:val="22"/>
          <w:szCs w:val="22"/>
        </w:rPr>
      </w:pPr>
      <w:r w:rsidDel="00000000" w:rsidR="00000000" w:rsidRPr="00000000">
        <w:rPr>
          <w:sz w:val="22"/>
          <w:szCs w:val="22"/>
          <w:rtl w:val="0"/>
        </w:rPr>
        <w:t xml:space="preserve">FutureLearn (2021). What is social care, and why is it important? [online]. FutureLearn. Available at: </w:t>
      </w:r>
      <w:hyperlink r:id="rId30">
        <w:r w:rsidDel="00000000" w:rsidR="00000000" w:rsidRPr="00000000">
          <w:rPr>
            <w:color w:val="467886"/>
            <w:sz w:val="22"/>
            <w:szCs w:val="22"/>
            <w:u w:val="single"/>
            <w:rtl w:val="0"/>
          </w:rPr>
          <w:t xml:space="preserve">https://www.futurelearn.com/info/blog/what-is-social-care</w:t>
        </w:r>
      </w:hyperlink>
      <w:r w:rsidDel="00000000" w:rsidR="00000000" w:rsidRPr="00000000">
        <w:rPr>
          <w:sz w:val="22"/>
          <w:szCs w:val="22"/>
          <w:rtl w:val="0"/>
        </w:rPr>
        <w:t xml:space="preserve"> (22/01/2023)</w:t>
      </w:r>
    </w:p>
    <w:p w:rsidR="00000000" w:rsidDel="00000000" w:rsidP="00000000" w:rsidRDefault="00000000" w:rsidRPr="00000000" w14:paraId="00000D65">
      <w:pPr>
        <w:jc w:val="both"/>
        <w:rPr>
          <w:sz w:val="22"/>
          <w:szCs w:val="22"/>
        </w:rPr>
      </w:pPr>
      <w:r w:rsidDel="00000000" w:rsidR="00000000" w:rsidRPr="00000000">
        <w:rPr>
          <w:rtl w:val="0"/>
        </w:rPr>
      </w:r>
    </w:p>
    <w:p w:rsidR="00000000" w:rsidDel="00000000" w:rsidP="00000000" w:rsidRDefault="00000000" w:rsidRPr="00000000" w14:paraId="00000D66">
      <w:pPr>
        <w:jc w:val="both"/>
        <w:rPr>
          <w:sz w:val="22"/>
          <w:szCs w:val="22"/>
        </w:rPr>
      </w:pPr>
      <w:r w:rsidDel="00000000" w:rsidR="00000000" w:rsidRPr="00000000">
        <w:rPr>
          <w:sz w:val="22"/>
          <w:szCs w:val="22"/>
          <w:rtl w:val="0"/>
        </w:rPr>
        <w:t xml:space="preserve">Gale Womens History. (2024). A history of women's work in medicine. Gale Womens Studies Archive. Available at: </w:t>
      </w:r>
      <w:hyperlink r:id="rId31">
        <w:r w:rsidDel="00000000" w:rsidR="00000000" w:rsidRPr="00000000">
          <w:rPr>
            <w:color w:val="467886"/>
            <w:sz w:val="22"/>
            <w:szCs w:val="22"/>
            <w:u w:val="single"/>
            <w:rtl w:val="0"/>
          </w:rPr>
          <w:t xml:space="preserve">https://www.gale.com/primary-sources/womens-studies/collections/history-of-women-in-medicine</w:t>
        </w:r>
      </w:hyperlink>
      <w:r w:rsidDel="00000000" w:rsidR="00000000" w:rsidRPr="00000000">
        <w:rPr>
          <w:sz w:val="22"/>
          <w:szCs w:val="22"/>
          <w:rtl w:val="0"/>
        </w:rPr>
        <w:t xml:space="preserve"> (19/04/2024)</w:t>
      </w:r>
    </w:p>
    <w:p w:rsidR="00000000" w:rsidDel="00000000" w:rsidP="00000000" w:rsidRDefault="00000000" w:rsidRPr="00000000" w14:paraId="00000D67">
      <w:pPr>
        <w:jc w:val="both"/>
        <w:rPr>
          <w:sz w:val="22"/>
          <w:szCs w:val="22"/>
        </w:rPr>
      </w:pPr>
      <w:r w:rsidDel="00000000" w:rsidR="00000000" w:rsidRPr="00000000">
        <w:rPr>
          <w:sz w:val="22"/>
          <w:szCs w:val="22"/>
          <w:rtl w:val="0"/>
        </w:rPr>
        <w:tab/>
      </w:r>
    </w:p>
    <w:p w:rsidR="00000000" w:rsidDel="00000000" w:rsidP="00000000" w:rsidRDefault="00000000" w:rsidRPr="00000000" w14:paraId="00000D68">
      <w:pPr>
        <w:jc w:val="both"/>
        <w:rPr>
          <w:i w:val="1"/>
          <w:sz w:val="22"/>
          <w:szCs w:val="22"/>
        </w:rPr>
      </w:pPr>
      <w:r w:rsidDel="00000000" w:rsidR="00000000" w:rsidRPr="00000000">
        <w:rPr>
          <w:sz w:val="22"/>
          <w:szCs w:val="22"/>
          <w:rtl w:val="0"/>
        </w:rPr>
        <w:t xml:space="preserve">Galea S. Merhcant RM. Lurie N. (2020). "The Mental Health Consequences of COVID-19 and Physical Distancing." </w:t>
      </w:r>
      <w:r w:rsidDel="00000000" w:rsidR="00000000" w:rsidRPr="00000000">
        <w:rPr>
          <w:i w:val="1"/>
          <w:sz w:val="22"/>
          <w:szCs w:val="22"/>
          <w:rtl w:val="0"/>
        </w:rPr>
        <w:t xml:space="preserve">JAMA Intern Med.</w:t>
      </w:r>
    </w:p>
    <w:p w:rsidR="00000000" w:rsidDel="00000000" w:rsidP="00000000" w:rsidRDefault="00000000" w:rsidRPr="00000000" w14:paraId="00000D69">
      <w:pPr>
        <w:jc w:val="both"/>
        <w:rPr>
          <w:i w:val="1"/>
          <w:sz w:val="22"/>
          <w:szCs w:val="22"/>
        </w:rPr>
      </w:pPr>
      <w:r w:rsidDel="00000000" w:rsidR="00000000" w:rsidRPr="00000000">
        <w:rPr>
          <w:rtl w:val="0"/>
        </w:rPr>
      </w:r>
    </w:p>
    <w:p w:rsidR="00000000" w:rsidDel="00000000" w:rsidP="00000000" w:rsidRDefault="00000000" w:rsidRPr="00000000" w14:paraId="00000D6A">
      <w:pPr>
        <w:jc w:val="both"/>
        <w:rPr>
          <w:sz w:val="22"/>
          <w:szCs w:val="22"/>
        </w:rPr>
      </w:pPr>
      <w:r w:rsidDel="00000000" w:rsidR="00000000" w:rsidRPr="00000000">
        <w:rPr>
          <w:sz w:val="22"/>
          <w:szCs w:val="22"/>
          <w:rtl w:val="0"/>
        </w:rPr>
        <w:t xml:space="preserve">Garcia-Gutierrez MS. Navarrete D. Gasparyan A. Austric-Olivares A. Sala F. Manzanares J. (2020). "Cannabidiol: A Potential New Alternative for the Treatment of Anxiety, Depression and Psychotic Disorders." </w:t>
      </w:r>
      <w:r w:rsidDel="00000000" w:rsidR="00000000" w:rsidRPr="00000000">
        <w:rPr>
          <w:i w:val="1"/>
          <w:sz w:val="22"/>
          <w:szCs w:val="22"/>
          <w:rtl w:val="0"/>
        </w:rPr>
        <w:t xml:space="preserve">Biomolecules</w:t>
      </w:r>
      <w:r w:rsidDel="00000000" w:rsidR="00000000" w:rsidRPr="00000000">
        <w:rPr>
          <w:sz w:val="22"/>
          <w:szCs w:val="22"/>
          <w:rtl w:val="0"/>
        </w:rPr>
        <w:t xml:space="preserve"> 10(11): 1575-1575.</w:t>
      </w:r>
    </w:p>
    <w:p w:rsidR="00000000" w:rsidDel="00000000" w:rsidP="00000000" w:rsidRDefault="00000000" w:rsidRPr="00000000" w14:paraId="00000D6B">
      <w:pPr>
        <w:jc w:val="both"/>
        <w:rPr>
          <w:sz w:val="22"/>
          <w:szCs w:val="22"/>
        </w:rPr>
      </w:pPr>
      <w:r w:rsidDel="00000000" w:rsidR="00000000" w:rsidRPr="00000000">
        <w:rPr>
          <w:sz w:val="22"/>
          <w:szCs w:val="22"/>
          <w:rtl w:val="0"/>
        </w:rPr>
        <w:tab/>
      </w:r>
    </w:p>
    <w:p w:rsidR="00000000" w:rsidDel="00000000" w:rsidP="00000000" w:rsidRDefault="00000000" w:rsidRPr="00000000" w14:paraId="00000D6C">
      <w:pPr>
        <w:jc w:val="both"/>
        <w:rPr>
          <w:sz w:val="22"/>
          <w:szCs w:val="22"/>
        </w:rPr>
      </w:pPr>
      <w:r w:rsidDel="00000000" w:rsidR="00000000" w:rsidRPr="00000000">
        <w:rPr>
          <w:sz w:val="22"/>
          <w:szCs w:val="22"/>
          <w:rtl w:val="0"/>
        </w:rPr>
        <w:t xml:space="preserve">Gartlehner G. Gaynes BN. Amick HR. "Nonpharmacological Versus Pharmacological Treatments for Adult Patients With Major Depressive Disorder." </w:t>
      </w:r>
      <w:r w:rsidDel="00000000" w:rsidR="00000000" w:rsidRPr="00000000">
        <w:rPr>
          <w:i w:val="1"/>
          <w:sz w:val="22"/>
          <w:szCs w:val="22"/>
          <w:rtl w:val="0"/>
        </w:rPr>
        <w:t xml:space="preserve">Comparative Effectiveness Reviews</w:t>
      </w:r>
      <w:r w:rsidDel="00000000" w:rsidR="00000000" w:rsidRPr="00000000">
        <w:rPr>
          <w:sz w:val="22"/>
          <w:szCs w:val="22"/>
          <w:rtl w:val="0"/>
        </w:rPr>
        <w:t xml:space="preserve"> 161.</w:t>
      </w:r>
    </w:p>
    <w:p w:rsidR="00000000" w:rsidDel="00000000" w:rsidP="00000000" w:rsidRDefault="00000000" w:rsidRPr="00000000" w14:paraId="00000D6D">
      <w:pPr>
        <w:jc w:val="both"/>
        <w:rPr>
          <w:sz w:val="22"/>
          <w:szCs w:val="22"/>
        </w:rPr>
      </w:pPr>
      <w:r w:rsidDel="00000000" w:rsidR="00000000" w:rsidRPr="00000000">
        <w:rPr>
          <w:rtl w:val="0"/>
        </w:rPr>
      </w:r>
    </w:p>
    <w:p w:rsidR="00000000" w:rsidDel="00000000" w:rsidP="00000000" w:rsidRDefault="00000000" w:rsidRPr="00000000" w14:paraId="00000D6E">
      <w:pPr>
        <w:jc w:val="both"/>
        <w:rPr>
          <w:sz w:val="22"/>
          <w:szCs w:val="22"/>
        </w:rPr>
      </w:pPr>
      <w:r w:rsidDel="00000000" w:rsidR="00000000" w:rsidRPr="00000000">
        <w:rPr>
          <w:sz w:val="22"/>
          <w:szCs w:val="22"/>
          <w:rtl w:val="0"/>
        </w:rPr>
        <w:t xml:space="preserve">Gandhi M. Aweeka F. Greenblatt RM. Blaschke TF. (2004). Sex differences in pharmacokinetics and pharmacodynamics. Annu Rev Pharmacol Toxicol. 44:499–523.</w:t>
      </w:r>
    </w:p>
    <w:p w:rsidR="00000000" w:rsidDel="00000000" w:rsidP="00000000" w:rsidRDefault="00000000" w:rsidRPr="00000000" w14:paraId="00000D6F">
      <w:pPr>
        <w:jc w:val="both"/>
        <w:rPr>
          <w:sz w:val="22"/>
          <w:szCs w:val="22"/>
        </w:rPr>
      </w:pPr>
      <w:r w:rsidDel="00000000" w:rsidR="00000000" w:rsidRPr="00000000">
        <w:rPr>
          <w:rtl w:val="0"/>
        </w:rPr>
      </w:r>
    </w:p>
    <w:p w:rsidR="00000000" w:rsidDel="00000000" w:rsidP="00000000" w:rsidRDefault="00000000" w:rsidRPr="00000000" w14:paraId="00000D70">
      <w:pPr>
        <w:jc w:val="both"/>
        <w:rPr>
          <w:sz w:val="22"/>
          <w:szCs w:val="22"/>
        </w:rPr>
      </w:pPr>
      <w:r w:rsidDel="00000000" w:rsidR="00000000" w:rsidRPr="00000000">
        <w:rPr>
          <w:sz w:val="22"/>
          <w:szCs w:val="22"/>
          <w:rtl w:val="0"/>
        </w:rPr>
        <w:t xml:space="preserve">General Medical Council. (2013). Good practice in prescribing and manging medicines and devices. General Medical Council. Available at: </w:t>
      </w:r>
      <w:hyperlink r:id="rId32">
        <w:r w:rsidDel="00000000" w:rsidR="00000000" w:rsidRPr="00000000">
          <w:rPr>
            <w:color w:val="467886"/>
            <w:sz w:val="22"/>
            <w:szCs w:val="22"/>
            <w:u w:val="single"/>
            <w:rtl w:val="0"/>
          </w:rPr>
          <w:t xml:space="preserve">https://www.gmc-uk.org/-/media/documents/prescribing-guidance_pdf-59055247.pdf?la=en&amp;hash=958C4EED51E3D145EA8798A1AFD85887D3A577B2</w:t>
        </w:r>
      </w:hyperlink>
      <w:r w:rsidDel="00000000" w:rsidR="00000000" w:rsidRPr="00000000">
        <w:rPr>
          <w:sz w:val="22"/>
          <w:szCs w:val="22"/>
          <w:rtl w:val="0"/>
        </w:rPr>
        <w:t xml:space="preserve"> (20/10/2020)</w:t>
      </w:r>
    </w:p>
    <w:p w:rsidR="00000000" w:rsidDel="00000000" w:rsidP="00000000" w:rsidRDefault="00000000" w:rsidRPr="00000000" w14:paraId="00000D71">
      <w:pPr>
        <w:jc w:val="both"/>
        <w:rPr>
          <w:sz w:val="22"/>
          <w:szCs w:val="22"/>
        </w:rPr>
      </w:pPr>
      <w:r w:rsidDel="00000000" w:rsidR="00000000" w:rsidRPr="00000000">
        <w:rPr>
          <w:sz w:val="22"/>
          <w:szCs w:val="22"/>
          <w:rtl w:val="0"/>
        </w:rPr>
        <w:tab/>
      </w:r>
    </w:p>
    <w:p w:rsidR="00000000" w:rsidDel="00000000" w:rsidP="00000000" w:rsidRDefault="00000000" w:rsidRPr="00000000" w14:paraId="00000D72">
      <w:pPr>
        <w:jc w:val="both"/>
        <w:rPr>
          <w:sz w:val="22"/>
          <w:szCs w:val="22"/>
        </w:rPr>
      </w:pPr>
      <w:r w:rsidDel="00000000" w:rsidR="00000000" w:rsidRPr="00000000">
        <w:rPr>
          <w:sz w:val="22"/>
          <w:szCs w:val="22"/>
          <w:rtl w:val="0"/>
        </w:rPr>
        <w:t xml:space="preserve">Gibson K. Cartwright C. Read J. (2016). "'In my life antidepressants have been: a qualitative analysis of users diverse experiences with antidepressants." </w:t>
      </w:r>
      <w:r w:rsidDel="00000000" w:rsidR="00000000" w:rsidRPr="00000000">
        <w:rPr>
          <w:i w:val="1"/>
          <w:sz w:val="22"/>
          <w:szCs w:val="22"/>
          <w:rtl w:val="0"/>
        </w:rPr>
        <w:t xml:space="preserve">BMC Psychiatry</w:t>
      </w:r>
      <w:r w:rsidDel="00000000" w:rsidR="00000000" w:rsidRPr="00000000">
        <w:rPr>
          <w:sz w:val="22"/>
          <w:szCs w:val="22"/>
          <w:rtl w:val="0"/>
        </w:rPr>
        <w:t xml:space="preserve"> 16.</w:t>
      </w:r>
    </w:p>
    <w:p w:rsidR="00000000" w:rsidDel="00000000" w:rsidP="00000000" w:rsidRDefault="00000000" w:rsidRPr="00000000" w14:paraId="00000D73">
      <w:pPr>
        <w:jc w:val="both"/>
        <w:rPr>
          <w:sz w:val="22"/>
          <w:szCs w:val="22"/>
        </w:rPr>
      </w:pPr>
      <w:r w:rsidDel="00000000" w:rsidR="00000000" w:rsidRPr="00000000">
        <w:rPr>
          <w:sz w:val="22"/>
          <w:szCs w:val="22"/>
          <w:rtl w:val="0"/>
        </w:rPr>
        <w:tab/>
      </w:r>
    </w:p>
    <w:p w:rsidR="00000000" w:rsidDel="00000000" w:rsidP="00000000" w:rsidRDefault="00000000" w:rsidRPr="00000000" w14:paraId="00000D74">
      <w:pPr>
        <w:jc w:val="both"/>
        <w:rPr>
          <w:sz w:val="22"/>
          <w:szCs w:val="22"/>
        </w:rPr>
      </w:pPr>
      <w:r w:rsidDel="00000000" w:rsidR="00000000" w:rsidRPr="00000000">
        <w:rPr>
          <w:sz w:val="22"/>
          <w:szCs w:val="22"/>
          <w:rtl w:val="0"/>
        </w:rPr>
        <w:t xml:space="preserve">Glaser BG. (2002). "Constructivist Grounded Theory." </w:t>
      </w:r>
      <w:r w:rsidDel="00000000" w:rsidR="00000000" w:rsidRPr="00000000">
        <w:rPr>
          <w:i w:val="1"/>
          <w:sz w:val="22"/>
          <w:szCs w:val="22"/>
          <w:rtl w:val="0"/>
        </w:rPr>
        <w:t xml:space="preserve">Forum Qualitative Social Research</w:t>
      </w:r>
      <w:r w:rsidDel="00000000" w:rsidR="00000000" w:rsidRPr="00000000">
        <w:rPr>
          <w:sz w:val="22"/>
          <w:szCs w:val="22"/>
          <w:rtl w:val="0"/>
        </w:rPr>
        <w:t xml:space="preserve"> 3(3).</w:t>
      </w:r>
    </w:p>
    <w:p w:rsidR="00000000" w:rsidDel="00000000" w:rsidP="00000000" w:rsidRDefault="00000000" w:rsidRPr="00000000" w14:paraId="00000D75">
      <w:pPr>
        <w:jc w:val="both"/>
        <w:rPr>
          <w:sz w:val="22"/>
          <w:szCs w:val="22"/>
        </w:rPr>
      </w:pPr>
      <w:r w:rsidDel="00000000" w:rsidR="00000000" w:rsidRPr="00000000">
        <w:rPr>
          <w:sz w:val="22"/>
          <w:szCs w:val="22"/>
          <w:rtl w:val="0"/>
        </w:rPr>
        <w:tab/>
      </w:r>
    </w:p>
    <w:p w:rsidR="00000000" w:rsidDel="00000000" w:rsidP="00000000" w:rsidRDefault="00000000" w:rsidRPr="00000000" w14:paraId="00000D76">
      <w:pPr>
        <w:jc w:val="both"/>
        <w:rPr>
          <w:sz w:val="22"/>
          <w:szCs w:val="22"/>
        </w:rPr>
      </w:pPr>
      <w:r w:rsidDel="00000000" w:rsidR="00000000" w:rsidRPr="00000000">
        <w:rPr>
          <w:sz w:val="22"/>
          <w:szCs w:val="22"/>
          <w:rtl w:val="0"/>
        </w:rPr>
        <w:t xml:space="preserve">Goffman E. (1963). Stigma: Notes on the Management of Spoiled Identity. New York, Simon and Schuster.</w:t>
      </w:r>
    </w:p>
    <w:p w:rsidR="00000000" w:rsidDel="00000000" w:rsidP="00000000" w:rsidRDefault="00000000" w:rsidRPr="00000000" w14:paraId="00000D77">
      <w:pPr>
        <w:jc w:val="both"/>
        <w:rPr>
          <w:sz w:val="22"/>
          <w:szCs w:val="22"/>
        </w:rPr>
      </w:pPr>
      <w:r w:rsidDel="00000000" w:rsidR="00000000" w:rsidRPr="00000000">
        <w:rPr>
          <w:rtl w:val="0"/>
        </w:rPr>
      </w:r>
    </w:p>
    <w:p w:rsidR="00000000" w:rsidDel="00000000" w:rsidP="00000000" w:rsidRDefault="00000000" w:rsidRPr="00000000" w14:paraId="00000D78">
      <w:pPr>
        <w:jc w:val="both"/>
        <w:rPr>
          <w:sz w:val="22"/>
          <w:szCs w:val="22"/>
        </w:rPr>
      </w:pPr>
      <w:r w:rsidDel="00000000" w:rsidR="00000000" w:rsidRPr="00000000">
        <w:rPr>
          <w:sz w:val="22"/>
          <w:szCs w:val="22"/>
          <w:rtl w:val="0"/>
        </w:rPr>
        <w:t xml:space="preserve">Goin MK. (2014). "Presidential Address." </w:t>
      </w:r>
      <w:r w:rsidDel="00000000" w:rsidR="00000000" w:rsidRPr="00000000">
        <w:rPr>
          <w:i w:val="1"/>
          <w:sz w:val="22"/>
          <w:szCs w:val="22"/>
          <w:rtl w:val="0"/>
        </w:rPr>
        <w:t xml:space="preserve">AmJPsychiatry</w:t>
      </w:r>
      <w:r w:rsidDel="00000000" w:rsidR="00000000" w:rsidRPr="00000000">
        <w:rPr>
          <w:sz w:val="22"/>
          <w:szCs w:val="22"/>
          <w:rtl w:val="0"/>
        </w:rPr>
        <w:t xml:space="preserve">.</w:t>
      </w:r>
    </w:p>
    <w:p w:rsidR="00000000" w:rsidDel="00000000" w:rsidP="00000000" w:rsidRDefault="00000000" w:rsidRPr="00000000" w14:paraId="00000D79">
      <w:pPr>
        <w:jc w:val="both"/>
        <w:rPr>
          <w:sz w:val="22"/>
          <w:szCs w:val="22"/>
        </w:rPr>
      </w:pPr>
      <w:r w:rsidDel="00000000" w:rsidR="00000000" w:rsidRPr="00000000">
        <w:rPr>
          <w:sz w:val="22"/>
          <w:szCs w:val="22"/>
          <w:rtl w:val="0"/>
        </w:rPr>
        <w:tab/>
      </w:r>
    </w:p>
    <w:p w:rsidR="00000000" w:rsidDel="00000000" w:rsidP="00000000" w:rsidRDefault="00000000" w:rsidRPr="00000000" w14:paraId="00000D7A">
      <w:pPr>
        <w:jc w:val="both"/>
        <w:rPr>
          <w:sz w:val="22"/>
          <w:szCs w:val="22"/>
        </w:rPr>
      </w:pPr>
      <w:r w:rsidDel="00000000" w:rsidR="00000000" w:rsidRPr="00000000">
        <w:rPr>
          <w:sz w:val="22"/>
          <w:szCs w:val="22"/>
          <w:rtl w:val="0"/>
        </w:rPr>
        <w:t xml:space="preserve">Goodier M. Garcia CA (2022). Real-terms fall in UK nurses’ pay is part of wider trend [online]. The Guardian. Available at: </w:t>
      </w:r>
      <w:hyperlink r:id="rId33">
        <w:r w:rsidDel="00000000" w:rsidR="00000000" w:rsidRPr="00000000">
          <w:rPr>
            <w:color w:val="467886"/>
            <w:sz w:val="22"/>
            <w:szCs w:val="22"/>
            <w:u w:val="single"/>
            <w:rtl w:val="0"/>
          </w:rPr>
          <w:t xml:space="preserve">https://www.theguardian.com/society/2022/nov/09/real-terms-fall-in-uk-nurses-pay-is-part-of-wider-trend</w:t>
        </w:r>
      </w:hyperlink>
      <w:r w:rsidDel="00000000" w:rsidR="00000000" w:rsidRPr="00000000">
        <w:rPr>
          <w:sz w:val="22"/>
          <w:szCs w:val="22"/>
          <w:rtl w:val="0"/>
        </w:rPr>
        <w:t xml:space="preserve"> (22/01/2923)</w:t>
      </w:r>
    </w:p>
    <w:p w:rsidR="00000000" w:rsidDel="00000000" w:rsidP="00000000" w:rsidRDefault="00000000" w:rsidRPr="00000000" w14:paraId="00000D7B">
      <w:pPr>
        <w:jc w:val="both"/>
        <w:rPr>
          <w:sz w:val="22"/>
          <w:szCs w:val="22"/>
        </w:rPr>
      </w:pPr>
      <w:r w:rsidDel="00000000" w:rsidR="00000000" w:rsidRPr="00000000">
        <w:rPr>
          <w:sz w:val="22"/>
          <w:szCs w:val="22"/>
          <w:rtl w:val="0"/>
        </w:rPr>
        <w:tab/>
      </w:r>
    </w:p>
    <w:p w:rsidR="00000000" w:rsidDel="00000000" w:rsidP="00000000" w:rsidRDefault="00000000" w:rsidRPr="00000000" w14:paraId="00000D7C">
      <w:pPr>
        <w:jc w:val="both"/>
        <w:rPr>
          <w:sz w:val="22"/>
          <w:szCs w:val="22"/>
        </w:rPr>
      </w:pPr>
      <w:r w:rsidDel="00000000" w:rsidR="00000000" w:rsidRPr="00000000">
        <w:rPr>
          <w:sz w:val="22"/>
          <w:szCs w:val="22"/>
          <w:rtl w:val="0"/>
        </w:rPr>
        <w:t xml:space="preserve">Gould S. Friedman LF.(2016). Antidepressant use is rising sharply around the world. Insider.</w:t>
      </w:r>
    </w:p>
    <w:p w:rsidR="00000000" w:rsidDel="00000000" w:rsidP="00000000" w:rsidRDefault="00000000" w:rsidRPr="00000000" w14:paraId="00000D7D">
      <w:pPr>
        <w:jc w:val="both"/>
        <w:rPr>
          <w:sz w:val="22"/>
          <w:szCs w:val="22"/>
        </w:rPr>
      </w:pPr>
      <w:r w:rsidDel="00000000" w:rsidR="00000000" w:rsidRPr="00000000">
        <w:rPr>
          <w:rtl w:val="0"/>
        </w:rPr>
      </w:r>
    </w:p>
    <w:p w:rsidR="00000000" w:rsidDel="00000000" w:rsidP="00000000" w:rsidRDefault="00000000" w:rsidRPr="00000000" w14:paraId="00000D7E">
      <w:pPr>
        <w:jc w:val="both"/>
        <w:rPr>
          <w:sz w:val="22"/>
          <w:szCs w:val="22"/>
        </w:rPr>
      </w:pPr>
      <w:r w:rsidDel="00000000" w:rsidR="00000000" w:rsidRPr="00000000">
        <w:rPr>
          <w:sz w:val="22"/>
          <w:szCs w:val="22"/>
          <w:rtl w:val="0"/>
        </w:rPr>
        <w:t xml:space="preserve">Grant M. Rees S. Underwood M. Froud R. (2019). "Obstacles to returning to work with chronic pain: in-depth interviews with people who are off work due to chronic pain and employers." </w:t>
      </w:r>
      <w:r w:rsidDel="00000000" w:rsidR="00000000" w:rsidRPr="00000000">
        <w:rPr>
          <w:i w:val="1"/>
          <w:sz w:val="22"/>
          <w:szCs w:val="22"/>
          <w:rtl w:val="0"/>
        </w:rPr>
        <w:t xml:space="preserve">BMC Musculoskeletal Disorders</w:t>
      </w:r>
      <w:r w:rsidDel="00000000" w:rsidR="00000000" w:rsidRPr="00000000">
        <w:rPr>
          <w:sz w:val="22"/>
          <w:szCs w:val="22"/>
          <w:rtl w:val="0"/>
        </w:rPr>
        <w:t xml:space="preserve"> 20(486)</w:t>
      </w:r>
    </w:p>
    <w:p w:rsidR="00000000" w:rsidDel="00000000" w:rsidP="00000000" w:rsidRDefault="00000000" w:rsidRPr="00000000" w14:paraId="00000D7F">
      <w:pPr>
        <w:jc w:val="both"/>
        <w:rPr>
          <w:sz w:val="22"/>
          <w:szCs w:val="22"/>
        </w:rPr>
      </w:pPr>
      <w:r w:rsidDel="00000000" w:rsidR="00000000" w:rsidRPr="00000000">
        <w:rPr>
          <w:rtl w:val="0"/>
        </w:rPr>
      </w:r>
    </w:p>
    <w:p w:rsidR="00000000" w:rsidDel="00000000" w:rsidP="00000000" w:rsidRDefault="00000000" w:rsidRPr="00000000" w14:paraId="00000D80">
      <w:pPr>
        <w:jc w:val="both"/>
        <w:rPr>
          <w:sz w:val="22"/>
          <w:szCs w:val="22"/>
        </w:rPr>
      </w:pPr>
      <w:r w:rsidDel="00000000" w:rsidR="00000000" w:rsidRPr="00000000">
        <w:rPr>
          <w:sz w:val="22"/>
          <w:szCs w:val="22"/>
          <w:rtl w:val="0"/>
        </w:rPr>
        <w:t xml:space="preserve">Gray DP. White E. Russell G. Medicalisation in the UK: changing dynamics, but still ongoing.</w:t>
      </w:r>
    </w:p>
    <w:p w:rsidR="00000000" w:rsidDel="00000000" w:rsidP="00000000" w:rsidRDefault="00000000" w:rsidRPr="00000000" w14:paraId="00000D81">
      <w:pPr>
        <w:jc w:val="both"/>
        <w:rPr>
          <w:sz w:val="22"/>
          <w:szCs w:val="22"/>
        </w:rPr>
      </w:pPr>
      <w:r w:rsidDel="00000000" w:rsidR="00000000" w:rsidRPr="00000000">
        <w:rPr>
          <w:sz w:val="22"/>
          <w:szCs w:val="22"/>
          <w:rtl w:val="0"/>
        </w:rPr>
        <w:tab/>
      </w:r>
    </w:p>
    <w:p w:rsidR="00000000" w:rsidDel="00000000" w:rsidP="00000000" w:rsidRDefault="00000000" w:rsidRPr="00000000" w14:paraId="00000D82">
      <w:pPr>
        <w:jc w:val="both"/>
        <w:rPr>
          <w:sz w:val="22"/>
          <w:szCs w:val="22"/>
        </w:rPr>
      </w:pPr>
      <w:r w:rsidDel="00000000" w:rsidR="00000000" w:rsidRPr="00000000">
        <w:rPr>
          <w:sz w:val="22"/>
          <w:szCs w:val="22"/>
          <w:rtl w:val="0"/>
        </w:rPr>
        <w:t xml:space="preserve">Greater Manchester Medicine Management Group. (2019). Benzodiazepine and Z-Drug Prescribing: Resource Pack 2021 [online]. Manchester. Available at: </w:t>
      </w:r>
      <w:hyperlink r:id="rId34">
        <w:r w:rsidDel="00000000" w:rsidR="00000000" w:rsidRPr="00000000">
          <w:rPr>
            <w:color w:val="467886"/>
            <w:sz w:val="22"/>
            <w:szCs w:val="22"/>
            <w:u w:val="single"/>
            <w:rtl w:val="0"/>
          </w:rPr>
          <w:t xml:space="preserve">https://gmmmg.nhs.uk/wp-content/uploads/2021/08/Benzodiazepine-and-Z-drug-Resource-Pack-GMMMG-FINAL-v1-0-for-GMMMG-website.pdf</w:t>
        </w:r>
      </w:hyperlink>
      <w:r w:rsidDel="00000000" w:rsidR="00000000" w:rsidRPr="00000000">
        <w:rPr>
          <w:sz w:val="22"/>
          <w:szCs w:val="22"/>
          <w:rtl w:val="0"/>
        </w:rPr>
        <w:t xml:space="preserve"> (27/11/2022)</w:t>
      </w:r>
    </w:p>
    <w:p w:rsidR="00000000" w:rsidDel="00000000" w:rsidP="00000000" w:rsidRDefault="00000000" w:rsidRPr="00000000" w14:paraId="00000D83">
      <w:pPr>
        <w:jc w:val="both"/>
        <w:rPr>
          <w:sz w:val="22"/>
          <w:szCs w:val="22"/>
        </w:rPr>
      </w:pPr>
      <w:r w:rsidDel="00000000" w:rsidR="00000000" w:rsidRPr="00000000">
        <w:rPr>
          <w:rtl w:val="0"/>
        </w:rPr>
      </w:r>
    </w:p>
    <w:p w:rsidR="00000000" w:rsidDel="00000000" w:rsidP="00000000" w:rsidRDefault="00000000" w:rsidRPr="00000000" w14:paraId="00000D84">
      <w:pPr>
        <w:jc w:val="both"/>
        <w:rPr>
          <w:sz w:val="22"/>
          <w:szCs w:val="22"/>
        </w:rPr>
      </w:pPr>
      <w:r w:rsidDel="00000000" w:rsidR="00000000" w:rsidRPr="00000000">
        <w:rPr>
          <w:sz w:val="22"/>
          <w:szCs w:val="22"/>
          <w:rtl w:val="0"/>
        </w:rPr>
        <w:t xml:space="preserve">Green TC. Bratberg K. Finnell DS. (2020). "Opioid use disorder and the COVID-19 pandemic: A call to sustain regulatory easements and further expand access to treatment." </w:t>
      </w:r>
      <w:r w:rsidDel="00000000" w:rsidR="00000000" w:rsidRPr="00000000">
        <w:rPr>
          <w:i w:val="1"/>
          <w:sz w:val="22"/>
          <w:szCs w:val="22"/>
          <w:rtl w:val="0"/>
        </w:rPr>
        <w:t xml:space="preserve">Substance Abuse</w:t>
      </w:r>
      <w:r w:rsidDel="00000000" w:rsidR="00000000" w:rsidRPr="00000000">
        <w:rPr>
          <w:sz w:val="22"/>
          <w:szCs w:val="22"/>
          <w:rtl w:val="0"/>
        </w:rPr>
        <w:t xml:space="preserve"> 41(2): 147-149.</w:t>
      </w:r>
    </w:p>
    <w:p w:rsidR="00000000" w:rsidDel="00000000" w:rsidP="00000000" w:rsidRDefault="00000000" w:rsidRPr="00000000" w14:paraId="00000D85">
      <w:pPr>
        <w:jc w:val="both"/>
        <w:rPr>
          <w:sz w:val="22"/>
          <w:szCs w:val="22"/>
        </w:rPr>
      </w:pPr>
      <w:r w:rsidDel="00000000" w:rsidR="00000000" w:rsidRPr="00000000">
        <w:rPr>
          <w:sz w:val="22"/>
          <w:szCs w:val="22"/>
          <w:rtl w:val="0"/>
        </w:rPr>
        <w:tab/>
      </w:r>
    </w:p>
    <w:p w:rsidR="00000000" w:rsidDel="00000000" w:rsidP="00000000" w:rsidRDefault="00000000" w:rsidRPr="00000000" w14:paraId="00000D86">
      <w:pPr>
        <w:jc w:val="both"/>
        <w:rPr>
          <w:sz w:val="22"/>
          <w:szCs w:val="22"/>
        </w:rPr>
      </w:pPr>
      <w:r w:rsidDel="00000000" w:rsidR="00000000" w:rsidRPr="00000000">
        <w:rPr>
          <w:sz w:val="22"/>
          <w:szCs w:val="22"/>
          <w:rtl w:val="0"/>
        </w:rPr>
        <w:t xml:space="preserve">Greever-Rice T. Brandt L. Warne-Griggs M. Hoffman K. (2020). Integrating the Lived Experience Conditions and Care in the ECHO Model. </w:t>
      </w:r>
      <w:r w:rsidDel="00000000" w:rsidR="00000000" w:rsidRPr="00000000">
        <w:rPr>
          <w:i w:val="1"/>
          <w:sz w:val="22"/>
          <w:szCs w:val="22"/>
          <w:rtl w:val="0"/>
        </w:rPr>
        <w:t xml:space="preserve">Science of Medicine</w:t>
      </w:r>
      <w:r w:rsidDel="00000000" w:rsidR="00000000" w:rsidRPr="00000000">
        <w:rPr>
          <w:sz w:val="22"/>
          <w:szCs w:val="22"/>
          <w:rtl w:val="0"/>
        </w:rPr>
        <w:t xml:space="preserve">: 241-244.</w:t>
      </w:r>
    </w:p>
    <w:p w:rsidR="00000000" w:rsidDel="00000000" w:rsidP="00000000" w:rsidRDefault="00000000" w:rsidRPr="00000000" w14:paraId="00000D87">
      <w:pPr>
        <w:jc w:val="both"/>
        <w:rPr>
          <w:sz w:val="22"/>
          <w:szCs w:val="22"/>
        </w:rPr>
      </w:pPr>
      <w:r w:rsidDel="00000000" w:rsidR="00000000" w:rsidRPr="00000000">
        <w:rPr>
          <w:rtl w:val="0"/>
        </w:rPr>
      </w:r>
    </w:p>
    <w:p w:rsidR="00000000" w:rsidDel="00000000" w:rsidP="00000000" w:rsidRDefault="00000000" w:rsidRPr="00000000" w14:paraId="00000D88">
      <w:pPr>
        <w:jc w:val="both"/>
        <w:rPr>
          <w:sz w:val="22"/>
          <w:szCs w:val="22"/>
        </w:rPr>
      </w:pPr>
      <w:r w:rsidDel="00000000" w:rsidR="00000000" w:rsidRPr="00000000">
        <w:rPr>
          <w:sz w:val="22"/>
          <w:szCs w:val="22"/>
          <w:rtl w:val="0"/>
        </w:rPr>
        <w:t xml:space="preserve">Gregory A. (2022). Patients turning to A&amp;E as wait times for NHS mental health treatment spiral [online]. The Guardian. Available at: </w:t>
      </w:r>
      <w:hyperlink r:id="rId35">
        <w:r w:rsidDel="00000000" w:rsidR="00000000" w:rsidRPr="00000000">
          <w:rPr>
            <w:color w:val="467886"/>
            <w:sz w:val="22"/>
            <w:szCs w:val="22"/>
            <w:u w:val="single"/>
            <w:rtl w:val="0"/>
          </w:rPr>
          <w:t xml:space="preserve">https://www.theguardian.com/society/2022/oct/10/nhs-mental-health-patients-wait-times</w:t>
        </w:r>
      </w:hyperlink>
      <w:r w:rsidDel="00000000" w:rsidR="00000000" w:rsidRPr="00000000">
        <w:rPr>
          <w:sz w:val="22"/>
          <w:szCs w:val="22"/>
          <w:rtl w:val="0"/>
        </w:rPr>
        <w:t xml:space="preserve"> (22/01/2023)</w:t>
      </w:r>
    </w:p>
    <w:p w:rsidR="00000000" w:rsidDel="00000000" w:rsidP="00000000" w:rsidRDefault="00000000" w:rsidRPr="00000000" w14:paraId="00000D89">
      <w:pPr>
        <w:jc w:val="both"/>
        <w:rPr>
          <w:sz w:val="22"/>
          <w:szCs w:val="22"/>
        </w:rPr>
      </w:pPr>
      <w:r w:rsidDel="00000000" w:rsidR="00000000" w:rsidRPr="00000000">
        <w:rPr>
          <w:rtl w:val="0"/>
        </w:rPr>
      </w:r>
    </w:p>
    <w:p w:rsidR="00000000" w:rsidDel="00000000" w:rsidP="00000000" w:rsidRDefault="00000000" w:rsidRPr="00000000" w14:paraId="00000D8A">
      <w:pPr>
        <w:jc w:val="both"/>
        <w:rPr>
          <w:sz w:val="22"/>
          <w:szCs w:val="22"/>
        </w:rPr>
      </w:pPr>
      <w:r w:rsidDel="00000000" w:rsidR="00000000" w:rsidRPr="00000000">
        <w:rPr>
          <w:sz w:val="22"/>
          <w:szCs w:val="22"/>
          <w:rtl w:val="0"/>
        </w:rPr>
        <w:t xml:space="preserve">Grinell College (2023). Psychonauts [online]. Grinell College. Available at: </w:t>
      </w:r>
      <w:hyperlink r:id="rId36">
        <w:r w:rsidDel="00000000" w:rsidR="00000000" w:rsidRPr="00000000">
          <w:rPr>
            <w:color w:val="467886"/>
            <w:sz w:val="22"/>
            <w:szCs w:val="22"/>
            <w:u w:val="single"/>
            <w:rtl w:val="0"/>
          </w:rPr>
          <w:t xml:space="preserve">https://haenfler.sites.grinnell.edu/psychonauts/</w:t>
        </w:r>
      </w:hyperlink>
      <w:r w:rsidDel="00000000" w:rsidR="00000000" w:rsidRPr="00000000">
        <w:rPr>
          <w:sz w:val="22"/>
          <w:szCs w:val="22"/>
          <w:rtl w:val="0"/>
        </w:rPr>
        <w:t xml:space="preserve"> (26/07/2023)</w:t>
      </w:r>
    </w:p>
    <w:p w:rsidR="00000000" w:rsidDel="00000000" w:rsidP="00000000" w:rsidRDefault="00000000" w:rsidRPr="00000000" w14:paraId="00000D8B">
      <w:pPr>
        <w:jc w:val="both"/>
        <w:rPr>
          <w:sz w:val="22"/>
          <w:szCs w:val="22"/>
        </w:rPr>
      </w:pPr>
      <w:r w:rsidDel="00000000" w:rsidR="00000000" w:rsidRPr="00000000">
        <w:rPr>
          <w:sz w:val="22"/>
          <w:szCs w:val="22"/>
          <w:rtl w:val="0"/>
        </w:rPr>
        <w:tab/>
      </w:r>
    </w:p>
    <w:p w:rsidR="00000000" w:rsidDel="00000000" w:rsidP="00000000" w:rsidRDefault="00000000" w:rsidRPr="00000000" w14:paraId="00000D8C">
      <w:pPr>
        <w:jc w:val="both"/>
        <w:rPr>
          <w:sz w:val="22"/>
          <w:szCs w:val="22"/>
        </w:rPr>
      </w:pPr>
      <w:r w:rsidDel="00000000" w:rsidR="00000000" w:rsidRPr="00000000">
        <w:rPr>
          <w:sz w:val="22"/>
          <w:szCs w:val="22"/>
          <w:rtl w:val="0"/>
        </w:rPr>
        <w:t xml:space="preserve">Guba G. Lincoln YS. (1994). Competing paradigms in qualitative research. Handbook of Qualitative Research, Sage Publications: 105-117.</w:t>
      </w:r>
    </w:p>
    <w:p w:rsidR="00000000" w:rsidDel="00000000" w:rsidP="00000000" w:rsidRDefault="00000000" w:rsidRPr="00000000" w14:paraId="00000D8D">
      <w:pPr>
        <w:jc w:val="both"/>
        <w:rPr>
          <w:sz w:val="22"/>
          <w:szCs w:val="22"/>
        </w:rPr>
      </w:pPr>
      <w:r w:rsidDel="00000000" w:rsidR="00000000" w:rsidRPr="00000000">
        <w:rPr>
          <w:rtl w:val="0"/>
        </w:rPr>
      </w:r>
    </w:p>
    <w:p w:rsidR="00000000" w:rsidDel="00000000" w:rsidP="00000000" w:rsidRDefault="00000000" w:rsidRPr="00000000" w14:paraId="00000D8E">
      <w:pPr>
        <w:jc w:val="both"/>
        <w:rPr>
          <w:sz w:val="22"/>
          <w:szCs w:val="22"/>
        </w:rPr>
      </w:pPr>
      <w:r w:rsidDel="00000000" w:rsidR="00000000" w:rsidRPr="00000000">
        <w:rPr>
          <w:sz w:val="22"/>
          <w:szCs w:val="22"/>
          <w:rtl w:val="0"/>
        </w:rPr>
        <w:t xml:space="preserve">Gunn A. Guarino H. (2016). "Not human, dead already": Perceptions and experiences of drug-related stigma among opioid-using young adults from the former Soviet Union living in the U.S." </w:t>
      </w:r>
      <w:r w:rsidDel="00000000" w:rsidR="00000000" w:rsidRPr="00000000">
        <w:rPr>
          <w:i w:val="1"/>
          <w:sz w:val="22"/>
          <w:szCs w:val="22"/>
          <w:rtl w:val="0"/>
        </w:rPr>
        <w:t xml:space="preserve">International Journal on Drug Policy</w:t>
      </w:r>
      <w:r w:rsidDel="00000000" w:rsidR="00000000" w:rsidRPr="00000000">
        <w:rPr>
          <w:sz w:val="22"/>
          <w:szCs w:val="22"/>
          <w:rtl w:val="0"/>
        </w:rPr>
        <w:t xml:space="preserve"> 38: 63-72.</w:t>
      </w:r>
    </w:p>
    <w:p w:rsidR="00000000" w:rsidDel="00000000" w:rsidP="00000000" w:rsidRDefault="00000000" w:rsidRPr="00000000" w14:paraId="00000D8F">
      <w:pPr>
        <w:jc w:val="both"/>
        <w:rPr>
          <w:sz w:val="22"/>
          <w:szCs w:val="22"/>
        </w:rPr>
      </w:pPr>
      <w:r w:rsidDel="00000000" w:rsidR="00000000" w:rsidRPr="00000000">
        <w:rPr>
          <w:sz w:val="22"/>
          <w:szCs w:val="22"/>
          <w:rtl w:val="0"/>
        </w:rPr>
        <w:tab/>
      </w:r>
    </w:p>
    <w:p w:rsidR="00000000" w:rsidDel="00000000" w:rsidP="00000000" w:rsidRDefault="00000000" w:rsidRPr="00000000" w14:paraId="00000D90">
      <w:pPr>
        <w:jc w:val="both"/>
        <w:rPr>
          <w:sz w:val="22"/>
          <w:szCs w:val="22"/>
        </w:rPr>
      </w:pPr>
      <w:r w:rsidDel="00000000" w:rsidR="00000000" w:rsidRPr="00000000">
        <w:rPr>
          <w:sz w:val="22"/>
          <w:szCs w:val="22"/>
          <w:rtl w:val="0"/>
        </w:rPr>
        <w:t xml:space="preserve">Gunnell D. Appleby L. Aresnman E. Hawton K. John A. Kapur N. (2020). "Suicide risk and prevention during the COVID-19 pandemic." </w:t>
      </w:r>
      <w:r w:rsidDel="00000000" w:rsidR="00000000" w:rsidRPr="00000000">
        <w:rPr>
          <w:i w:val="1"/>
          <w:sz w:val="22"/>
          <w:szCs w:val="22"/>
          <w:rtl w:val="0"/>
        </w:rPr>
        <w:t xml:space="preserve">Lancet Psychiatry</w:t>
      </w:r>
      <w:r w:rsidDel="00000000" w:rsidR="00000000" w:rsidRPr="00000000">
        <w:rPr>
          <w:sz w:val="22"/>
          <w:szCs w:val="22"/>
          <w:rtl w:val="0"/>
        </w:rPr>
        <w:t xml:space="preserve"> 7(6).</w:t>
      </w:r>
    </w:p>
    <w:p w:rsidR="00000000" w:rsidDel="00000000" w:rsidP="00000000" w:rsidRDefault="00000000" w:rsidRPr="00000000" w14:paraId="00000D91">
      <w:pPr>
        <w:jc w:val="both"/>
        <w:rPr>
          <w:sz w:val="22"/>
          <w:szCs w:val="22"/>
        </w:rPr>
      </w:pPr>
      <w:r w:rsidDel="00000000" w:rsidR="00000000" w:rsidRPr="00000000">
        <w:rPr>
          <w:sz w:val="22"/>
          <w:szCs w:val="22"/>
          <w:rtl w:val="0"/>
        </w:rPr>
        <w:tab/>
      </w:r>
    </w:p>
    <w:p w:rsidR="00000000" w:rsidDel="00000000" w:rsidP="00000000" w:rsidRDefault="00000000" w:rsidRPr="00000000" w14:paraId="00000D92">
      <w:pPr>
        <w:jc w:val="both"/>
        <w:rPr>
          <w:sz w:val="22"/>
          <w:szCs w:val="22"/>
        </w:rPr>
      </w:pPr>
      <w:r w:rsidDel="00000000" w:rsidR="00000000" w:rsidRPr="00000000">
        <w:rPr>
          <w:sz w:val="22"/>
          <w:szCs w:val="22"/>
          <w:rtl w:val="0"/>
        </w:rPr>
        <w:t xml:space="preserve">Guy A. Brown M. Lewis S. Horowitz M. (2020). "The ‘patients voice’: patients who experience antidepressant withdrawal symptoms are often dismissed, or misdiagnosed with relapse, or a new medical condition." </w:t>
      </w:r>
      <w:r w:rsidDel="00000000" w:rsidR="00000000" w:rsidRPr="00000000">
        <w:rPr>
          <w:i w:val="1"/>
          <w:sz w:val="22"/>
          <w:szCs w:val="22"/>
          <w:rtl w:val="0"/>
        </w:rPr>
        <w:t xml:space="preserve">Therapeutic Advances in Psychopharmacology</w:t>
      </w:r>
      <w:r w:rsidDel="00000000" w:rsidR="00000000" w:rsidRPr="00000000">
        <w:rPr>
          <w:sz w:val="22"/>
          <w:szCs w:val="22"/>
          <w:rtl w:val="0"/>
        </w:rPr>
        <w:t xml:space="preserve">. 10: 1-5.</w:t>
      </w:r>
    </w:p>
    <w:p w:rsidR="00000000" w:rsidDel="00000000" w:rsidP="00000000" w:rsidRDefault="00000000" w:rsidRPr="00000000" w14:paraId="00000D93">
      <w:pPr>
        <w:jc w:val="both"/>
        <w:rPr>
          <w:sz w:val="22"/>
          <w:szCs w:val="22"/>
        </w:rPr>
      </w:pPr>
      <w:r w:rsidDel="00000000" w:rsidR="00000000" w:rsidRPr="00000000">
        <w:rPr>
          <w:rtl w:val="0"/>
        </w:rPr>
      </w:r>
    </w:p>
    <w:p w:rsidR="00000000" w:rsidDel="00000000" w:rsidP="00000000" w:rsidRDefault="00000000" w:rsidRPr="00000000" w14:paraId="00000D94">
      <w:pPr>
        <w:jc w:val="both"/>
        <w:rPr>
          <w:sz w:val="22"/>
          <w:szCs w:val="22"/>
        </w:rPr>
      </w:pPr>
      <w:r w:rsidDel="00000000" w:rsidR="00000000" w:rsidRPr="00000000">
        <w:rPr>
          <w:sz w:val="22"/>
          <w:szCs w:val="22"/>
          <w:rtl w:val="0"/>
        </w:rPr>
        <w:t xml:space="preserve">Guyatt GH. Agarwal A. Li R. Bhullar JS. Scott N. Chahal J. Pavalaganthatajah S. Chang Y. Couban R. Busse JW. (2018). "Patient Values and Preferences Regarding Opioids for Chronic Noncancer Pain: A Systematic Review." </w:t>
      </w:r>
      <w:r w:rsidDel="00000000" w:rsidR="00000000" w:rsidRPr="00000000">
        <w:rPr>
          <w:i w:val="1"/>
          <w:sz w:val="22"/>
          <w:szCs w:val="22"/>
          <w:rtl w:val="0"/>
        </w:rPr>
        <w:t xml:space="preserve">Pain Medicine</w:t>
      </w:r>
      <w:r w:rsidDel="00000000" w:rsidR="00000000" w:rsidRPr="00000000">
        <w:rPr>
          <w:sz w:val="22"/>
          <w:szCs w:val="22"/>
          <w:rtl w:val="0"/>
        </w:rPr>
        <w:t xml:space="preserve"> 19: 2469-2480.</w:t>
      </w:r>
    </w:p>
    <w:p w:rsidR="00000000" w:rsidDel="00000000" w:rsidP="00000000" w:rsidRDefault="00000000" w:rsidRPr="00000000" w14:paraId="00000D95">
      <w:pPr>
        <w:jc w:val="both"/>
        <w:rPr>
          <w:sz w:val="22"/>
          <w:szCs w:val="22"/>
        </w:rPr>
      </w:pPr>
      <w:r w:rsidDel="00000000" w:rsidR="00000000" w:rsidRPr="00000000">
        <w:rPr>
          <w:rtl w:val="0"/>
        </w:rPr>
      </w:r>
    </w:p>
    <w:p w:rsidR="00000000" w:rsidDel="00000000" w:rsidP="00000000" w:rsidRDefault="00000000" w:rsidRPr="00000000" w14:paraId="00000D96">
      <w:pPr>
        <w:jc w:val="both"/>
        <w:rPr>
          <w:sz w:val="22"/>
          <w:szCs w:val="22"/>
        </w:rPr>
      </w:pPr>
      <w:r w:rsidDel="00000000" w:rsidR="00000000" w:rsidRPr="00000000">
        <w:rPr>
          <w:sz w:val="22"/>
          <w:szCs w:val="22"/>
          <w:rtl w:val="0"/>
        </w:rPr>
        <w:t xml:space="preserve">Hall DE. Prochazka AV. Fink AS. (2012). "Informed consent for clinical treatment." CMAJ 184(5): 533-540.</w:t>
      </w:r>
    </w:p>
    <w:p w:rsidR="00000000" w:rsidDel="00000000" w:rsidP="00000000" w:rsidRDefault="00000000" w:rsidRPr="00000000" w14:paraId="00000D97">
      <w:pPr>
        <w:jc w:val="both"/>
        <w:rPr>
          <w:sz w:val="22"/>
          <w:szCs w:val="22"/>
        </w:rPr>
      </w:pPr>
      <w:r w:rsidDel="00000000" w:rsidR="00000000" w:rsidRPr="00000000">
        <w:rPr>
          <w:sz w:val="22"/>
          <w:szCs w:val="22"/>
          <w:rtl w:val="0"/>
        </w:rPr>
        <w:tab/>
      </w:r>
    </w:p>
    <w:p w:rsidR="00000000" w:rsidDel="00000000" w:rsidP="00000000" w:rsidRDefault="00000000" w:rsidRPr="00000000" w14:paraId="00000D98">
      <w:pPr>
        <w:jc w:val="both"/>
        <w:rPr>
          <w:sz w:val="22"/>
          <w:szCs w:val="22"/>
        </w:rPr>
      </w:pPr>
      <w:r w:rsidDel="00000000" w:rsidR="00000000" w:rsidRPr="00000000">
        <w:rPr>
          <w:sz w:val="22"/>
          <w:szCs w:val="22"/>
          <w:rtl w:val="0"/>
        </w:rPr>
        <w:t xml:space="preserve">Hall DE. Prochazka AV. Fink AS. (2015). "The brain disease model of addiction: is it supported by the evidence and has it delivered on its promises?" Lancet Psychiatry. 10: 105-110.</w:t>
      </w:r>
    </w:p>
    <w:p w:rsidR="00000000" w:rsidDel="00000000" w:rsidP="00000000" w:rsidRDefault="00000000" w:rsidRPr="00000000" w14:paraId="00000D99">
      <w:pPr>
        <w:jc w:val="both"/>
        <w:rPr>
          <w:sz w:val="22"/>
          <w:szCs w:val="22"/>
        </w:rPr>
      </w:pPr>
      <w:r w:rsidDel="00000000" w:rsidR="00000000" w:rsidRPr="00000000">
        <w:rPr>
          <w:sz w:val="22"/>
          <w:szCs w:val="22"/>
          <w:rtl w:val="0"/>
        </w:rPr>
        <w:tab/>
      </w:r>
    </w:p>
    <w:p w:rsidR="00000000" w:rsidDel="00000000" w:rsidP="00000000" w:rsidRDefault="00000000" w:rsidRPr="00000000" w14:paraId="00000D9A">
      <w:pPr>
        <w:jc w:val="both"/>
        <w:rPr>
          <w:sz w:val="22"/>
          <w:szCs w:val="22"/>
        </w:rPr>
      </w:pPr>
      <w:r w:rsidDel="00000000" w:rsidR="00000000" w:rsidRPr="00000000">
        <w:rPr>
          <w:sz w:val="22"/>
          <w:szCs w:val="22"/>
          <w:rtl w:val="0"/>
        </w:rPr>
        <w:t xml:space="preserve">Hall W. Weier M. (2016). "Lee Robins’ studies of heroin use among US Vietnam veterans: Robins’ heroin studies of Viernam veterans." Addiction.</w:t>
      </w:r>
    </w:p>
    <w:p w:rsidR="00000000" w:rsidDel="00000000" w:rsidP="00000000" w:rsidRDefault="00000000" w:rsidRPr="00000000" w14:paraId="00000D9B">
      <w:pPr>
        <w:jc w:val="both"/>
        <w:rPr>
          <w:sz w:val="22"/>
          <w:szCs w:val="22"/>
        </w:rPr>
      </w:pPr>
      <w:r w:rsidDel="00000000" w:rsidR="00000000" w:rsidRPr="00000000">
        <w:rPr>
          <w:sz w:val="22"/>
          <w:szCs w:val="22"/>
          <w:rtl w:val="0"/>
        </w:rPr>
        <w:t xml:space="preserve">Hallinan TM. (2015). Addiction to prescription drugs: An interpretative phenomenological analysis and constructionist study. 3616058, Duquesne University.</w:t>
      </w:r>
    </w:p>
    <w:p w:rsidR="00000000" w:rsidDel="00000000" w:rsidP="00000000" w:rsidRDefault="00000000" w:rsidRPr="00000000" w14:paraId="00000D9C">
      <w:pPr>
        <w:jc w:val="both"/>
        <w:rPr>
          <w:sz w:val="22"/>
          <w:szCs w:val="22"/>
        </w:rPr>
      </w:pPr>
      <w:r w:rsidDel="00000000" w:rsidR="00000000" w:rsidRPr="00000000">
        <w:rPr>
          <w:sz w:val="22"/>
          <w:szCs w:val="22"/>
          <w:rtl w:val="0"/>
        </w:rPr>
        <w:tab/>
      </w:r>
    </w:p>
    <w:p w:rsidR="00000000" w:rsidDel="00000000" w:rsidP="00000000" w:rsidRDefault="00000000" w:rsidRPr="00000000" w14:paraId="00000D9D">
      <w:pPr>
        <w:jc w:val="both"/>
        <w:rPr>
          <w:sz w:val="22"/>
          <w:szCs w:val="22"/>
        </w:rPr>
      </w:pPr>
      <w:r w:rsidDel="00000000" w:rsidR="00000000" w:rsidRPr="00000000">
        <w:rPr>
          <w:sz w:val="22"/>
          <w:szCs w:val="22"/>
          <w:rtl w:val="0"/>
        </w:rPr>
        <w:t xml:space="preserve">Harris RZ. Benet LZ. Schwartz JB. (1995). Gender effects in pharmacokinetics and pharmacodynamics: Drugs. 50(2):222–39.</w:t>
      </w:r>
    </w:p>
    <w:p w:rsidR="00000000" w:rsidDel="00000000" w:rsidP="00000000" w:rsidRDefault="00000000" w:rsidRPr="00000000" w14:paraId="00000D9E">
      <w:pPr>
        <w:jc w:val="both"/>
        <w:rPr>
          <w:sz w:val="22"/>
          <w:szCs w:val="22"/>
        </w:rPr>
      </w:pPr>
      <w:r w:rsidDel="00000000" w:rsidR="00000000" w:rsidRPr="00000000">
        <w:rPr>
          <w:rtl w:val="0"/>
        </w:rPr>
      </w:r>
    </w:p>
    <w:p w:rsidR="00000000" w:rsidDel="00000000" w:rsidP="00000000" w:rsidRDefault="00000000" w:rsidRPr="00000000" w14:paraId="00000D9F">
      <w:pPr>
        <w:jc w:val="both"/>
        <w:rPr>
          <w:sz w:val="22"/>
          <w:szCs w:val="22"/>
        </w:rPr>
      </w:pPr>
      <w:r w:rsidDel="00000000" w:rsidR="00000000" w:rsidRPr="00000000">
        <w:rPr>
          <w:sz w:val="22"/>
          <w:szCs w:val="22"/>
          <w:rtl w:val="0"/>
        </w:rPr>
        <w:t xml:space="preserve">Hallowell N. Heiniger L. Baylock B. Price M. Butow P. (2015). "Rehabilitating the sick role: the experiences of high-risk women who undergo risk reducing breast surgery." Health Sociology Review 24(2): 186-198.</w:t>
      </w:r>
    </w:p>
    <w:p w:rsidR="00000000" w:rsidDel="00000000" w:rsidP="00000000" w:rsidRDefault="00000000" w:rsidRPr="00000000" w14:paraId="00000DA0">
      <w:pPr>
        <w:jc w:val="both"/>
        <w:rPr>
          <w:sz w:val="22"/>
          <w:szCs w:val="22"/>
        </w:rPr>
      </w:pPr>
      <w:r w:rsidDel="00000000" w:rsidR="00000000" w:rsidRPr="00000000">
        <w:rPr>
          <w:sz w:val="22"/>
          <w:szCs w:val="22"/>
          <w:rtl w:val="0"/>
        </w:rPr>
        <w:tab/>
      </w:r>
    </w:p>
    <w:p w:rsidR="00000000" w:rsidDel="00000000" w:rsidP="00000000" w:rsidRDefault="00000000" w:rsidRPr="00000000" w14:paraId="00000DA1">
      <w:pPr>
        <w:jc w:val="both"/>
        <w:rPr>
          <w:sz w:val="22"/>
          <w:szCs w:val="22"/>
        </w:rPr>
      </w:pPr>
      <w:r w:rsidDel="00000000" w:rsidR="00000000" w:rsidRPr="00000000">
        <w:rPr>
          <w:sz w:val="22"/>
          <w:szCs w:val="22"/>
          <w:rtl w:val="0"/>
        </w:rPr>
        <w:t xml:space="preserve">Hamdan A. (2009). "“Reﬂexivity of Discomfort in Insider-outsider Educational Research.”." McGill Journal of Education 44(3): 377-403.</w:t>
      </w:r>
    </w:p>
    <w:p w:rsidR="00000000" w:rsidDel="00000000" w:rsidP="00000000" w:rsidRDefault="00000000" w:rsidRPr="00000000" w14:paraId="00000DA2">
      <w:pPr>
        <w:jc w:val="both"/>
        <w:rPr>
          <w:sz w:val="22"/>
          <w:szCs w:val="22"/>
        </w:rPr>
      </w:pPr>
      <w:r w:rsidDel="00000000" w:rsidR="00000000" w:rsidRPr="00000000">
        <w:rPr>
          <w:sz w:val="22"/>
          <w:szCs w:val="22"/>
          <w:rtl w:val="0"/>
        </w:rPr>
        <w:tab/>
      </w:r>
    </w:p>
    <w:p w:rsidR="00000000" w:rsidDel="00000000" w:rsidP="00000000" w:rsidRDefault="00000000" w:rsidRPr="00000000" w14:paraId="00000DA3">
      <w:pPr>
        <w:jc w:val="both"/>
        <w:rPr>
          <w:sz w:val="22"/>
          <w:szCs w:val="22"/>
        </w:rPr>
      </w:pPr>
      <w:r w:rsidDel="00000000" w:rsidR="00000000" w:rsidRPr="00000000">
        <w:rPr>
          <w:sz w:val="22"/>
          <w:szCs w:val="22"/>
          <w:rtl w:val="0"/>
        </w:rPr>
        <w:t xml:space="preserve">Hamilton I. (2021). Long NHS waiting lists have led to a dangerous explosion in opiate use [online]. The Independent. Available at: </w:t>
      </w:r>
      <w:hyperlink r:id="rId37">
        <w:r w:rsidDel="00000000" w:rsidR="00000000" w:rsidRPr="00000000">
          <w:rPr>
            <w:color w:val="467886"/>
            <w:sz w:val="22"/>
            <w:szCs w:val="22"/>
            <w:u w:val="single"/>
            <w:rtl w:val="0"/>
          </w:rPr>
          <w:t xml:space="preserve">https://www.independent.co.uk/voices/nhs-waiting-lists-drug-dependency-opiates-b1923905.html</w:t>
        </w:r>
      </w:hyperlink>
      <w:r w:rsidDel="00000000" w:rsidR="00000000" w:rsidRPr="00000000">
        <w:rPr>
          <w:sz w:val="22"/>
          <w:szCs w:val="22"/>
          <w:rtl w:val="0"/>
        </w:rPr>
        <w:t xml:space="preserve"> (17/03/2022)</w:t>
      </w:r>
    </w:p>
    <w:p w:rsidR="00000000" w:rsidDel="00000000" w:rsidP="00000000" w:rsidRDefault="00000000" w:rsidRPr="00000000" w14:paraId="00000DA4">
      <w:pPr>
        <w:jc w:val="both"/>
        <w:rPr>
          <w:sz w:val="22"/>
          <w:szCs w:val="22"/>
        </w:rPr>
      </w:pPr>
      <w:r w:rsidDel="00000000" w:rsidR="00000000" w:rsidRPr="00000000">
        <w:rPr>
          <w:sz w:val="22"/>
          <w:szCs w:val="22"/>
          <w:rtl w:val="0"/>
        </w:rPr>
        <w:tab/>
      </w:r>
    </w:p>
    <w:p w:rsidR="00000000" w:rsidDel="00000000" w:rsidP="00000000" w:rsidRDefault="00000000" w:rsidRPr="00000000" w14:paraId="00000DA5">
      <w:pPr>
        <w:jc w:val="both"/>
        <w:rPr>
          <w:sz w:val="22"/>
          <w:szCs w:val="22"/>
        </w:rPr>
      </w:pPr>
      <w:r w:rsidDel="00000000" w:rsidR="00000000" w:rsidRPr="00000000">
        <w:rPr>
          <w:sz w:val="22"/>
          <w:szCs w:val="22"/>
          <w:rtl w:val="0"/>
        </w:rPr>
        <w:t xml:space="preserve">Hampshire Safeguarding Children’s Partnership. (2023). 5.1 Children living in households where there is substance misuse. Family Approach Protocol and Toolkit [online]. Available at: </w:t>
      </w:r>
      <w:hyperlink r:id="rId38">
        <w:r w:rsidDel="00000000" w:rsidR="00000000" w:rsidRPr="00000000">
          <w:rPr>
            <w:color w:val="467886"/>
            <w:sz w:val="22"/>
            <w:szCs w:val="22"/>
            <w:u w:val="single"/>
            <w:rtl w:val="0"/>
          </w:rPr>
          <w:t xml:space="preserve">https://hipsprocedures.org.uk/hkyysz/parents-who-have-additional-needs/children-living-in-households-where-there-is-substance-misuse</w:t>
        </w:r>
      </w:hyperlink>
      <w:r w:rsidDel="00000000" w:rsidR="00000000" w:rsidRPr="00000000">
        <w:rPr>
          <w:sz w:val="22"/>
          <w:szCs w:val="22"/>
          <w:rtl w:val="0"/>
        </w:rPr>
        <w:t xml:space="preserve"> (21/08/2023)</w:t>
      </w:r>
    </w:p>
    <w:p w:rsidR="00000000" w:rsidDel="00000000" w:rsidP="00000000" w:rsidRDefault="00000000" w:rsidRPr="00000000" w14:paraId="00000DA6">
      <w:pPr>
        <w:jc w:val="both"/>
        <w:rPr>
          <w:sz w:val="22"/>
          <w:szCs w:val="22"/>
        </w:rPr>
      </w:pPr>
      <w:r w:rsidDel="00000000" w:rsidR="00000000" w:rsidRPr="00000000">
        <w:rPr>
          <w:sz w:val="22"/>
          <w:szCs w:val="22"/>
          <w:rtl w:val="0"/>
        </w:rPr>
        <w:tab/>
      </w:r>
    </w:p>
    <w:p w:rsidR="00000000" w:rsidDel="00000000" w:rsidP="00000000" w:rsidRDefault="00000000" w:rsidRPr="00000000" w14:paraId="00000DA7">
      <w:pPr>
        <w:jc w:val="both"/>
        <w:rPr>
          <w:sz w:val="22"/>
          <w:szCs w:val="22"/>
        </w:rPr>
      </w:pPr>
      <w:r w:rsidDel="00000000" w:rsidR="00000000" w:rsidRPr="00000000">
        <w:rPr>
          <w:sz w:val="22"/>
          <w:szCs w:val="22"/>
          <w:rtl w:val="0"/>
        </w:rPr>
        <w:t xml:space="preserve">Hasa (2016). Difference Between Perception and Perspective [online]. Available at: </w:t>
      </w:r>
      <w:hyperlink r:id="rId39">
        <w:r w:rsidDel="00000000" w:rsidR="00000000" w:rsidRPr="00000000">
          <w:rPr>
            <w:color w:val="467886"/>
            <w:sz w:val="22"/>
            <w:szCs w:val="22"/>
            <w:u w:val="single"/>
            <w:rtl w:val="0"/>
          </w:rPr>
          <w:t xml:space="preserve">https://pediaa.com/difference-between-perception-and-perspective/</w:t>
        </w:r>
      </w:hyperlink>
      <w:r w:rsidDel="00000000" w:rsidR="00000000" w:rsidRPr="00000000">
        <w:rPr>
          <w:sz w:val="22"/>
          <w:szCs w:val="22"/>
          <w:rtl w:val="0"/>
        </w:rPr>
        <w:t xml:space="preserve"> (20/05/2022)</w:t>
      </w:r>
    </w:p>
    <w:p w:rsidR="00000000" w:rsidDel="00000000" w:rsidP="00000000" w:rsidRDefault="00000000" w:rsidRPr="00000000" w14:paraId="00000DA8">
      <w:pPr>
        <w:jc w:val="both"/>
        <w:rPr>
          <w:sz w:val="22"/>
          <w:szCs w:val="22"/>
        </w:rPr>
      </w:pPr>
      <w:r w:rsidDel="00000000" w:rsidR="00000000" w:rsidRPr="00000000">
        <w:rPr>
          <w:sz w:val="22"/>
          <w:szCs w:val="22"/>
          <w:rtl w:val="0"/>
        </w:rPr>
        <w:tab/>
      </w:r>
    </w:p>
    <w:p w:rsidR="00000000" w:rsidDel="00000000" w:rsidP="00000000" w:rsidRDefault="00000000" w:rsidRPr="00000000" w14:paraId="00000DA9">
      <w:pPr>
        <w:jc w:val="both"/>
        <w:rPr>
          <w:sz w:val="22"/>
          <w:szCs w:val="22"/>
        </w:rPr>
      </w:pPr>
      <w:r w:rsidDel="00000000" w:rsidR="00000000" w:rsidRPr="00000000">
        <w:rPr>
          <w:sz w:val="22"/>
          <w:szCs w:val="22"/>
          <w:rtl w:val="0"/>
        </w:rPr>
        <w:t xml:space="preserve">Hasa (2016). Difference between Ontology and Epistemology [online]. Available at: </w:t>
      </w:r>
      <w:hyperlink r:id="rId40">
        <w:r w:rsidDel="00000000" w:rsidR="00000000" w:rsidRPr="00000000">
          <w:rPr>
            <w:color w:val="467886"/>
            <w:sz w:val="22"/>
            <w:szCs w:val="22"/>
            <w:u w:val="single"/>
            <w:rtl w:val="0"/>
          </w:rPr>
          <w:t xml:space="preserve">https://pediaa.com/difference-between-ontology-and-epistemology/</w:t>
        </w:r>
      </w:hyperlink>
      <w:r w:rsidDel="00000000" w:rsidR="00000000" w:rsidRPr="00000000">
        <w:rPr>
          <w:sz w:val="22"/>
          <w:szCs w:val="22"/>
          <w:rtl w:val="0"/>
        </w:rPr>
        <w:t xml:space="preserve"> (27/07/2022)</w:t>
      </w:r>
    </w:p>
    <w:p w:rsidR="00000000" w:rsidDel="00000000" w:rsidP="00000000" w:rsidRDefault="00000000" w:rsidRPr="00000000" w14:paraId="00000DAA">
      <w:pPr>
        <w:jc w:val="both"/>
        <w:rPr>
          <w:sz w:val="22"/>
          <w:szCs w:val="22"/>
        </w:rPr>
      </w:pPr>
      <w:r w:rsidDel="00000000" w:rsidR="00000000" w:rsidRPr="00000000">
        <w:rPr>
          <w:rtl w:val="0"/>
        </w:rPr>
      </w:r>
    </w:p>
    <w:p w:rsidR="00000000" w:rsidDel="00000000" w:rsidP="00000000" w:rsidRDefault="00000000" w:rsidRPr="00000000" w14:paraId="00000DAB">
      <w:pPr>
        <w:jc w:val="both"/>
        <w:rPr>
          <w:sz w:val="22"/>
          <w:szCs w:val="22"/>
        </w:rPr>
      </w:pPr>
      <w:r w:rsidDel="00000000" w:rsidR="00000000" w:rsidRPr="00000000">
        <w:rPr>
          <w:sz w:val="22"/>
          <w:szCs w:val="22"/>
          <w:rtl w:val="0"/>
        </w:rPr>
        <w:t xml:space="preserve">Hawarth E. Devers K. Moore G. O’Cathain A. Dixon-Woods M. (2016). "Challenges, solutions, and future direction in the evaluation of service innovations in healthcare and public health." Health Services and Delivery Research. 4(16).</w:t>
      </w:r>
    </w:p>
    <w:p w:rsidR="00000000" w:rsidDel="00000000" w:rsidP="00000000" w:rsidRDefault="00000000" w:rsidRPr="00000000" w14:paraId="00000DAC">
      <w:pPr>
        <w:jc w:val="both"/>
        <w:rPr>
          <w:sz w:val="22"/>
          <w:szCs w:val="22"/>
        </w:rPr>
      </w:pPr>
      <w:r w:rsidDel="00000000" w:rsidR="00000000" w:rsidRPr="00000000">
        <w:rPr>
          <w:rtl w:val="0"/>
        </w:rPr>
      </w:r>
    </w:p>
    <w:p w:rsidR="00000000" w:rsidDel="00000000" w:rsidP="00000000" w:rsidRDefault="00000000" w:rsidRPr="00000000" w14:paraId="00000DAD">
      <w:pPr>
        <w:jc w:val="both"/>
        <w:rPr>
          <w:sz w:val="22"/>
          <w:szCs w:val="22"/>
        </w:rPr>
      </w:pPr>
      <w:r w:rsidDel="00000000" w:rsidR="00000000" w:rsidRPr="00000000">
        <w:rPr>
          <w:sz w:val="22"/>
          <w:szCs w:val="22"/>
          <w:rtl w:val="0"/>
        </w:rPr>
        <w:t xml:space="preserve">Hawkes N. 2015. Seeing things from the patients’ view: What will it take? </w:t>
      </w:r>
      <w:r w:rsidDel="00000000" w:rsidR="00000000" w:rsidRPr="00000000">
        <w:rPr>
          <w:i w:val="1"/>
          <w:sz w:val="22"/>
          <w:szCs w:val="22"/>
          <w:rtl w:val="0"/>
        </w:rPr>
        <w:t xml:space="preserve">British Medical Journal</w:t>
      </w:r>
      <w:r w:rsidDel="00000000" w:rsidR="00000000" w:rsidRPr="00000000">
        <w:rPr>
          <w:sz w:val="22"/>
          <w:szCs w:val="22"/>
          <w:rtl w:val="0"/>
        </w:rPr>
        <w:t xml:space="preserve"> 350: g7757. </w:t>
      </w:r>
    </w:p>
    <w:p w:rsidR="00000000" w:rsidDel="00000000" w:rsidP="00000000" w:rsidRDefault="00000000" w:rsidRPr="00000000" w14:paraId="00000DAE">
      <w:pPr>
        <w:jc w:val="both"/>
        <w:rPr>
          <w:sz w:val="22"/>
          <w:szCs w:val="22"/>
        </w:rPr>
      </w:pPr>
      <w:r w:rsidDel="00000000" w:rsidR="00000000" w:rsidRPr="00000000">
        <w:rPr>
          <w:rtl w:val="0"/>
        </w:rPr>
      </w:r>
    </w:p>
    <w:p w:rsidR="00000000" w:rsidDel="00000000" w:rsidP="00000000" w:rsidRDefault="00000000" w:rsidRPr="00000000" w14:paraId="00000DAF">
      <w:pPr>
        <w:jc w:val="both"/>
        <w:rPr>
          <w:sz w:val="22"/>
          <w:szCs w:val="22"/>
        </w:rPr>
      </w:pPr>
      <w:r w:rsidDel="00000000" w:rsidR="00000000" w:rsidRPr="00000000">
        <w:rPr>
          <w:sz w:val="22"/>
          <w:szCs w:val="22"/>
          <w:rtl w:val="0"/>
        </w:rPr>
        <w:t xml:space="preserve">Hawksbee L. (2022). "Don’t worry about the drug industry’s profits when considering a waiver on COVID-19 intellectual property rights." </w:t>
      </w:r>
      <w:r w:rsidDel="00000000" w:rsidR="00000000" w:rsidRPr="00000000">
        <w:rPr>
          <w:i w:val="1"/>
          <w:sz w:val="22"/>
          <w:szCs w:val="22"/>
          <w:rtl w:val="0"/>
        </w:rPr>
        <w:t xml:space="preserve">British Medical Journal</w:t>
      </w:r>
      <w:r w:rsidDel="00000000" w:rsidR="00000000" w:rsidRPr="00000000">
        <w:rPr>
          <w:sz w:val="22"/>
          <w:szCs w:val="22"/>
          <w:rtl w:val="0"/>
        </w:rPr>
        <w:t xml:space="preserve">.</w:t>
      </w:r>
    </w:p>
    <w:p w:rsidR="00000000" w:rsidDel="00000000" w:rsidP="00000000" w:rsidRDefault="00000000" w:rsidRPr="00000000" w14:paraId="00000DB0">
      <w:pPr>
        <w:jc w:val="both"/>
        <w:rPr>
          <w:sz w:val="22"/>
          <w:szCs w:val="22"/>
        </w:rPr>
      </w:pPr>
      <w:r w:rsidDel="00000000" w:rsidR="00000000" w:rsidRPr="00000000">
        <w:rPr>
          <w:sz w:val="22"/>
          <w:szCs w:val="22"/>
          <w:rtl w:val="0"/>
        </w:rPr>
        <w:tab/>
      </w:r>
    </w:p>
    <w:p w:rsidR="00000000" w:rsidDel="00000000" w:rsidP="00000000" w:rsidRDefault="00000000" w:rsidRPr="00000000" w14:paraId="00000DB1">
      <w:pPr>
        <w:jc w:val="both"/>
        <w:rPr>
          <w:sz w:val="22"/>
          <w:szCs w:val="22"/>
        </w:rPr>
      </w:pPr>
      <w:r w:rsidDel="00000000" w:rsidR="00000000" w:rsidRPr="00000000">
        <w:rPr>
          <w:sz w:val="22"/>
          <w:szCs w:val="22"/>
          <w:rtl w:val="0"/>
        </w:rPr>
        <w:t xml:space="preserve">Hazeldine-Baker CE. Salkovskis PM. Osborn M. Gauntlett-Gilbert J. (2018). "Understanding the link between feelings of mental defeat, self-efficacy and the experience of chronic pain." </w:t>
      </w:r>
      <w:r w:rsidDel="00000000" w:rsidR="00000000" w:rsidRPr="00000000">
        <w:rPr>
          <w:i w:val="1"/>
          <w:sz w:val="22"/>
          <w:szCs w:val="22"/>
          <w:rtl w:val="0"/>
        </w:rPr>
        <w:t xml:space="preserve">British Journal of Pain</w:t>
      </w:r>
      <w:r w:rsidDel="00000000" w:rsidR="00000000" w:rsidRPr="00000000">
        <w:rPr>
          <w:sz w:val="22"/>
          <w:szCs w:val="22"/>
          <w:rtl w:val="0"/>
        </w:rPr>
        <w:t xml:space="preserve"> 12(2): 87-94.</w:t>
      </w:r>
    </w:p>
    <w:p w:rsidR="00000000" w:rsidDel="00000000" w:rsidP="00000000" w:rsidRDefault="00000000" w:rsidRPr="00000000" w14:paraId="00000DB2">
      <w:pPr>
        <w:jc w:val="both"/>
        <w:rPr>
          <w:sz w:val="22"/>
          <w:szCs w:val="22"/>
        </w:rPr>
      </w:pPr>
      <w:r w:rsidDel="00000000" w:rsidR="00000000" w:rsidRPr="00000000">
        <w:rPr>
          <w:sz w:val="22"/>
          <w:szCs w:val="22"/>
          <w:rtl w:val="0"/>
        </w:rPr>
        <w:tab/>
      </w:r>
    </w:p>
    <w:p w:rsidR="00000000" w:rsidDel="00000000" w:rsidP="00000000" w:rsidRDefault="00000000" w:rsidRPr="00000000" w14:paraId="00000DB3">
      <w:pPr>
        <w:jc w:val="both"/>
        <w:rPr>
          <w:sz w:val="22"/>
          <w:szCs w:val="22"/>
        </w:rPr>
      </w:pPr>
      <w:r w:rsidDel="00000000" w:rsidR="00000000" w:rsidRPr="00000000">
        <w:rPr>
          <w:sz w:val="22"/>
          <w:szCs w:val="22"/>
          <w:rtl w:val="0"/>
        </w:rPr>
        <w:t xml:space="preserve">Healthwatch, E. (2023). GP Referrals. Part 2 - The hidden waiting list [online]. Available at: </w:t>
      </w:r>
      <w:hyperlink r:id="rId41">
        <w:r w:rsidDel="00000000" w:rsidR="00000000" w:rsidRPr="00000000">
          <w:rPr>
            <w:color w:val="467886"/>
            <w:sz w:val="22"/>
            <w:szCs w:val="22"/>
            <w:u w:val="single"/>
            <w:rtl w:val="0"/>
          </w:rPr>
          <w:t xml:space="preserve">https://nds.healthwatch.co.uk/sites/default/files/reports_library/20230131%20GP%20Referrals%20Briefing%202_FINAL.pdf</w:t>
        </w:r>
      </w:hyperlink>
      <w:r w:rsidDel="00000000" w:rsidR="00000000" w:rsidRPr="00000000">
        <w:rPr>
          <w:sz w:val="22"/>
          <w:szCs w:val="22"/>
          <w:rtl w:val="0"/>
        </w:rPr>
        <w:t xml:space="preserve"> (31/10/2024)</w:t>
      </w:r>
    </w:p>
    <w:p w:rsidR="00000000" w:rsidDel="00000000" w:rsidP="00000000" w:rsidRDefault="00000000" w:rsidRPr="00000000" w14:paraId="00000DB4">
      <w:pPr>
        <w:jc w:val="both"/>
        <w:rPr>
          <w:sz w:val="22"/>
          <w:szCs w:val="22"/>
        </w:rPr>
      </w:pPr>
      <w:r w:rsidDel="00000000" w:rsidR="00000000" w:rsidRPr="00000000">
        <w:rPr>
          <w:rtl w:val="0"/>
        </w:rPr>
      </w:r>
    </w:p>
    <w:p w:rsidR="00000000" w:rsidDel="00000000" w:rsidP="00000000" w:rsidRDefault="00000000" w:rsidRPr="00000000" w14:paraId="00000DB5">
      <w:pPr>
        <w:jc w:val="both"/>
        <w:rPr>
          <w:sz w:val="22"/>
          <w:szCs w:val="22"/>
        </w:rPr>
      </w:pPr>
      <w:r w:rsidDel="00000000" w:rsidR="00000000" w:rsidRPr="00000000">
        <w:rPr>
          <w:sz w:val="22"/>
          <w:szCs w:val="22"/>
          <w:rtl w:val="0"/>
        </w:rPr>
        <w:t xml:space="preserve">Hearn JH. Bryson K. Barsauskaite L. Bullo S. (2024). "A COM-B and Theoretical Domains Framework Mapping of the Barriers and Facilitators to Effective Communication and Help-Seeking Among People With, or Seeking a Diagnosis Of, Endometriosis." </w:t>
      </w:r>
      <w:r w:rsidDel="00000000" w:rsidR="00000000" w:rsidRPr="00000000">
        <w:rPr>
          <w:i w:val="1"/>
          <w:sz w:val="22"/>
          <w:szCs w:val="22"/>
          <w:rtl w:val="0"/>
        </w:rPr>
        <w:t xml:space="preserve">Journal of Health Communications</w:t>
      </w:r>
      <w:r w:rsidDel="00000000" w:rsidR="00000000" w:rsidRPr="00000000">
        <w:rPr>
          <w:sz w:val="22"/>
          <w:szCs w:val="22"/>
          <w:rtl w:val="0"/>
        </w:rPr>
        <w:t xml:space="preserve"> 29: 174-186.</w:t>
      </w:r>
    </w:p>
    <w:p w:rsidR="00000000" w:rsidDel="00000000" w:rsidP="00000000" w:rsidRDefault="00000000" w:rsidRPr="00000000" w14:paraId="00000DB6">
      <w:pPr>
        <w:jc w:val="both"/>
        <w:rPr>
          <w:sz w:val="22"/>
          <w:szCs w:val="22"/>
        </w:rPr>
      </w:pPr>
      <w:r w:rsidDel="00000000" w:rsidR="00000000" w:rsidRPr="00000000">
        <w:rPr>
          <w:sz w:val="22"/>
          <w:szCs w:val="22"/>
          <w:rtl w:val="0"/>
        </w:rPr>
        <w:t xml:space="preserve">Heather N. Best D. Kawalek A. Field M. Lewis M. Rotgers F. Wiers RW. Heim D. (2018). "Challenging the brain disease model of addiction: European launch of the addiction theory network." </w:t>
      </w:r>
      <w:r w:rsidDel="00000000" w:rsidR="00000000" w:rsidRPr="00000000">
        <w:rPr>
          <w:i w:val="1"/>
          <w:sz w:val="22"/>
          <w:szCs w:val="22"/>
          <w:rtl w:val="0"/>
        </w:rPr>
        <w:t xml:space="preserve">Addiction Research and Theory</w:t>
      </w:r>
      <w:r w:rsidDel="00000000" w:rsidR="00000000" w:rsidRPr="00000000">
        <w:rPr>
          <w:sz w:val="22"/>
          <w:szCs w:val="22"/>
          <w:rtl w:val="0"/>
        </w:rPr>
        <w:t xml:space="preserve"> 26(4): 249-255.</w:t>
      </w:r>
    </w:p>
    <w:p w:rsidR="00000000" w:rsidDel="00000000" w:rsidP="00000000" w:rsidRDefault="00000000" w:rsidRPr="00000000" w14:paraId="00000DB7">
      <w:pPr>
        <w:jc w:val="both"/>
        <w:rPr>
          <w:sz w:val="22"/>
          <w:szCs w:val="22"/>
        </w:rPr>
      </w:pPr>
      <w:r w:rsidDel="00000000" w:rsidR="00000000" w:rsidRPr="00000000">
        <w:rPr>
          <w:sz w:val="22"/>
          <w:szCs w:val="22"/>
          <w:rtl w:val="0"/>
        </w:rPr>
        <w:tab/>
      </w:r>
    </w:p>
    <w:p w:rsidR="00000000" w:rsidDel="00000000" w:rsidP="00000000" w:rsidRDefault="00000000" w:rsidRPr="00000000" w14:paraId="00000DB8">
      <w:pPr>
        <w:jc w:val="both"/>
        <w:rPr>
          <w:sz w:val="22"/>
          <w:szCs w:val="22"/>
        </w:rPr>
      </w:pPr>
      <w:r w:rsidDel="00000000" w:rsidR="00000000" w:rsidRPr="00000000">
        <w:rPr>
          <w:sz w:val="22"/>
          <w:szCs w:val="22"/>
          <w:rtl w:val="0"/>
        </w:rPr>
        <w:t xml:space="preserve">Hedna K. Hakkarainen KM. Gyllensten H. Jonsson AK. Petzold M. Hagg S. (2015). "Potentially inappropriate prescribing and adverse drug reactions in the elderly: a population-based study." </w:t>
      </w:r>
      <w:r w:rsidDel="00000000" w:rsidR="00000000" w:rsidRPr="00000000">
        <w:rPr>
          <w:i w:val="1"/>
          <w:sz w:val="22"/>
          <w:szCs w:val="22"/>
          <w:rtl w:val="0"/>
        </w:rPr>
        <w:t xml:space="preserve">Eur J Clin Pharmacol</w:t>
      </w:r>
      <w:r w:rsidDel="00000000" w:rsidR="00000000" w:rsidRPr="00000000">
        <w:rPr>
          <w:sz w:val="22"/>
          <w:szCs w:val="22"/>
          <w:rtl w:val="0"/>
        </w:rPr>
        <w:t xml:space="preserve"> 71: 1525-1533.</w:t>
      </w:r>
    </w:p>
    <w:p w:rsidR="00000000" w:rsidDel="00000000" w:rsidP="00000000" w:rsidRDefault="00000000" w:rsidRPr="00000000" w14:paraId="00000DB9">
      <w:pPr>
        <w:jc w:val="both"/>
        <w:rPr>
          <w:sz w:val="22"/>
          <w:szCs w:val="22"/>
        </w:rPr>
      </w:pPr>
      <w:r w:rsidDel="00000000" w:rsidR="00000000" w:rsidRPr="00000000">
        <w:rPr>
          <w:rtl w:val="0"/>
        </w:rPr>
      </w:r>
    </w:p>
    <w:p w:rsidR="00000000" w:rsidDel="00000000" w:rsidP="00000000" w:rsidRDefault="00000000" w:rsidRPr="00000000" w14:paraId="00000DBA">
      <w:pPr>
        <w:jc w:val="both"/>
        <w:rPr>
          <w:sz w:val="22"/>
          <w:szCs w:val="22"/>
        </w:rPr>
      </w:pPr>
      <w:r w:rsidDel="00000000" w:rsidR="00000000" w:rsidRPr="00000000">
        <w:rPr>
          <w:sz w:val="22"/>
          <w:szCs w:val="22"/>
          <w:rtl w:val="0"/>
        </w:rPr>
        <w:t xml:space="preserve">Heinz I. Balfofski S. Beesdo-baum K. Knappe S. Kohls E. Kluge C. (2021). "“Doctor, my back hurts and I cannot sleep.” Depression in primary care patients: Reasons for consultation and perceived depression stigma." </w:t>
      </w:r>
      <w:r w:rsidDel="00000000" w:rsidR="00000000" w:rsidRPr="00000000">
        <w:rPr>
          <w:i w:val="1"/>
          <w:sz w:val="22"/>
          <w:szCs w:val="22"/>
          <w:rtl w:val="0"/>
        </w:rPr>
        <w:t xml:space="preserve">PLoS One</w:t>
      </w:r>
      <w:r w:rsidDel="00000000" w:rsidR="00000000" w:rsidRPr="00000000">
        <w:rPr>
          <w:sz w:val="22"/>
          <w:szCs w:val="22"/>
          <w:rtl w:val="0"/>
        </w:rPr>
        <w:t xml:space="preserve">. 5(16).</w:t>
      </w:r>
    </w:p>
    <w:p w:rsidR="00000000" w:rsidDel="00000000" w:rsidP="00000000" w:rsidRDefault="00000000" w:rsidRPr="00000000" w14:paraId="00000DBB">
      <w:pPr>
        <w:jc w:val="both"/>
        <w:rPr>
          <w:sz w:val="22"/>
          <w:szCs w:val="22"/>
        </w:rPr>
      </w:pPr>
      <w:r w:rsidDel="00000000" w:rsidR="00000000" w:rsidRPr="00000000">
        <w:rPr>
          <w:sz w:val="22"/>
          <w:szCs w:val="22"/>
          <w:rtl w:val="0"/>
        </w:rPr>
        <w:tab/>
      </w:r>
    </w:p>
    <w:p w:rsidR="00000000" w:rsidDel="00000000" w:rsidP="00000000" w:rsidRDefault="00000000" w:rsidRPr="00000000" w14:paraId="00000DBC">
      <w:pPr>
        <w:jc w:val="both"/>
        <w:rPr>
          <w:sz w:val="22"/>
          <w:szCs w:val="22"/>
        </w:rPr>
      </w:pPr>
      <w:r w:rsidDel="00000000" w:rsidR="00000000" w:rsidRPr="00000000">
        <w:rPr>
          <w:sz w:val="22"/>
          <w:szCs w:val="22"/>
          <w:rtl w:val="0"/>
        </w:rPr>
        <w:t xml:space="preserve">Hellig M. MacKillop J. Martinez D. Rehm J. Leggio L. Vanderschuren LJMJ. (2021). "Addiction as a brain disease revised: why it still matters, and the need for consilience." </w:t>
      </w:r>
      <w:r w:rsidDel="00000000" w:rsidR="00000000" w:rsidRPr="00000000">
        <w:rPr>
          <w:i w:val="1"/>
          <w:sz w:val="22"/>
          <w:szCs w:val="22"/>
          <w:rtl w:val="0"/>
        </w:rPr>
        <w:t xml:space="preserve">Neuropsychopharmacology</w:t>
      </w:r>
      <w:r w:rsidDel="00000000" w:rsidR="00000000" w:rsidRPr="00000000">
        <w:rPr>
          <w:sz w:val="22"/>
          <w:szCs w:val="22"/>
          <w:rtl w:val="0"/>
        </w:rPr>
        <w:t xml:space="preserve"> 46: 1723-1723.</w:t>
      </w:r>
    </w:p>
    <w:p w:rsidR="00000000" w:rsidDel="00000000" w:rsidP="00000000" w:rsidRDefault="00000000" w:rsidRPr="00000000" w14:paraId="00000DBD">
      <w:pPr>
        <w:jc w:val="both"/>
        <w:rPr>
          <w:sz w:val="22"/>
          <w:szCs w:val="22"/>
        </w:rPr>
      </w:pPr>
      <w:r w:rsidDel="00000000" w:rsidR="00000000" w:rsidRPr="00000000">
        <w:rPr>
          <w:sz w:val="22"/>
          <w:szCs w:val="22"/>
          <w:rtl w:val="0"/>
        </w:rPr>
        <w:tab/>
      </w:r>
    </w:p>
    <w:p w:rsidR="00000000" w:rsidDel="00000000" w:rsidP="00000000" w:rsidRDefault="00000000" w:rsidRPr="00000000" w14:paraId="00000DBE">
      <w:pPr>
        <w:jc w:val="both"/>
        <w:rPr>
          <w:sz w:val="22"/>
          <w:szCs w:val="22"/>
        </w:rPr>
      </w:pPr>
      <w:r w:rsidDel="00000000" w:rsidR="00000000" w:rsidRPr="00000000">
        <w:rPr>
          <w:sz w:val="22"/>
          <w:szCs w:val="22"/>
          <w:rtl w:val="0"/>
        </w:rPr>
        <w:t xml:space="preserve">Hemsing N. Greaves L. Poole N. Schmidt R. (2016). "Misuse of Prescription Opioid Medication among Women: A Scoping Review." </w:t>
      </w:r>
      <w:r w:rsidDel="00000000" w:rsidR="00000000" w:rsidRPr="00000000">
        <w:rPr>
          <w:i w:val="1"/>
          <w:sz w:val="22"/>
          <w:szCs w:val="22"/>
          <w:rtl w:val="0"/>
        </w:rPr>
        <w:t xml:space="preserve">Pain Research and Management</w:t>
      </w:r>
      <w:r w:rsidDel="00000000" w:rsidR="00000000" w:rsidRPr="00000000">
        <w:rPr>
          <w:sz w:val="22"/>
          <w:szCs w:val="22"/>
          <w:rtl w:val="0"/>
        </w:rPr>
        <w:t xml:space="preserve">.</w:t>
      </w:r>
    </w:p>
    <w:p w:rsidR="00000000" w:rsidDel="00000000" w:rsidP="00000000" w:rsidRDefault="00000000" w:rsidRPr="00000000" w14:paraId="00000DBF">
      <w:pPr>
        <w:jc w:val="both"/>
        <w:rPr>
          <w:sz w:val="22"/>
          <w:szCs w:val="22"/>
        </w:rPr>
      </w:pPr>
      <w:r w:rsidDel="00000000" w:rsidR="00000000" w:rsidRPr="00000000">
        <w:rPr>
          <w:sz w:val="22"/>
          <w:szCs w:val="22"/>
          <w:rtl w:val="0"/>
        </w:rPr>
        <w:tab/>
      </w:r>
    </w:p>
    <w:p w:rsidR="00000000" w:rsidDel="00000000" w:rsidP="00000000" w:rsidRDefault="00000000" w:rsidRPr="00000000" w14:paraId="00000DC0">
      <w:pPr>
        <w:jc w:val="both"/>
        <w:rPr>
          <w:sz w:val="22"/>
          <w:szCs w:val="22"/>
        </w:rPr>
      </w:pPr>
      <w:r w:rsidDel="00000000" w:rsidR="00000000" w:rsidRPr="00000000">
        <w:rPr>
          <w:sz w:val="22"/>
          <w:szCs w:val="22"/>
          <w:rtl w:val="0"/>
        </w:rPr>
        <w:t xml:space="preserve">Henderson C. Robinson E. Evans-Lacko S. Thornicroft G. (2018). "Relationships between anti-stigma programme awareness, disclosure comfort and intended help-seeking regarding a mental health problem." </w:t>
      </w:r>
      <w:r w:rsidDel="00000000" w:rsidR="00000000" w:rsidRPr="00000000">
        <w:rPr>
          <w:i w:val="1"/>
          <w:sz w:val="22"/>
          <w:szCs w:val="22"/>
          <w:rtl w:val="0"/>
        </w:rPr>
        <w:t xml:space="preserve">British Journal of Psychiatry</w:t>
      </w:r>
      <w:r w:rsidDel="00000000" w:rsidR="00000000" w:rsidRPr="00000000">
        <w:rPr>
          <w:sz w:val="22"/>
          <w:szCs w:val="22"/>
          <w:rtl w:val="0"/>
        </w:rPr>
        <w:t xml:space="preserve"> 211(5).</w:t>
      </w:r>
    </w:p>
    <w:p w:rsidR="00000000" w:rsidDel="00000000" w:rsidP="00000000" w:rsidRDefault="00000000" w:rsidRPr="00000000" w14:paraId="00000DC1">
      <w:pPr>
        <w:jc w:val="both"/>
        <w:rPr>
          <w:sz w:val="22"/>
          <w:szCs w:val="22"/>
        </w:rPr>
      </w:pPr>
      <w:r w:rsidDel="00000000" w:rsidR="00000000" w:rsidRPr="00000000">
        <w:rPr>
          <w:sz w:val="22"/>
          <w:szCs w:val="22"/>
          <w:rtl w:val="0"/>
        </w:rPr>
        <w:tab/>
      </w:r>
    </w:p>
    <w:p w:rsidR="00000000" w:rsidDel="00000000" w:rsidP="00000000" w:rsidRDefault="00000000" w:rsidRPr="00000000" w14:paraId="00000DC2">
      <w:pPr>
        <w:jc w:val="both"/>
        <w:rPr>
          <w:sz w:val="22"/>
          <w:szCs w:val="22"/>
        </w:rPr>
      </w:pPr>
      <w:r w:rsidDel="00000000" w:rsidR="00000000" w:rsidRPr="00000000">
        <w:rPr>
          <w:sz w:val="22"/>
          <w:szCs w:val="22"/>
          <w:rtl w:val="0"/>
        </w:rPr>
        <w:t xml:space="preserve">Henderson HD. (2018). "I am More Than my Addiction": Perceptions of Stigma and Access to Care in Acute Opioid Crisis. 10784265, University of South Florida.</w:t>
      </w:r>
    </w:p>
    <w:p w:rsidR="00000000" w:rsidDel="00000000" w:rsidP="00000000" w:rsidRDefault="00000000" w:rsidRPr="00000000" w14:paraId="00000DC3">
      <w:pPr>
        <w:jc w:val="both"/>
        <w:rPr>
          <w:sz w:val="22"/>
          <w:szCs w:val="22"/>
        </w:rPr>
      </w:pPr>
      <w:r w:rsidDel="00000000" w:rsidR="00000000" w:rsidRPr="00000000">
        <w:rPr>
          <w:rtl w:val="0"/>
        </w:rPr>
      </w:r>
    </w:p>
    <w:p w:rsidR="00000000" w:rsidDel="00000000" w:rsidP="00000000" w:rsidRDefault="00000000" w:rsidRPr="00000000" w14:paraId="00000DC4">
      <w:pPr>
        <w:jc w:val="both"/>
        <w:rPr>
          <w:sz w:val="22"/>
          <w:szCs w:val="22"/>
        </w:rPr>
      </w:pPr>
      <w:r w:rsidDel="00000000" w:rsidR="00000000" w:rsidRPr="00000000">
        <w:rPr>
          <w:sz w:val="22"/>
          <w:szCs w:val="22"/>
          <w:rtl w:val="0"/>
        </w:rPr>
        <w:t xml:space="preserve">Hengartner MP. Schulthess L. Soernsen A. Framer A. (2020). ". Protracted withdrawal syndrome after stopping antidepressants: a descriptive quantitative analysis of consumer narratives from a large internet forum." </w:t>
      </w:r>
      <w:r w:rsidDel="00000000" w:rsidR="00000000" w:rsidRPr="00000000">
        <w:rPr>
          <w:i w:val="1"/>
          <w:sz w:val="22"/>
          <w:szCs w:val="22"/>
          <w:rtl w:val="0"/>
        </w:rPr>
        <w:t xml:space="preserve">Therapeutic Advances in Psychopharmacology</w:t>
      </w:r>
      <w:r w:rsidDel="00000000" w:rsidR="00000000" w:rsidRPr="00000000">
        <w:rPr>
          <w:sz w:val="22"/>
          <w:szCs w:val="22"/>
          <w:rtl w:val="0"/>
        </w:rPr>
        <w:t xml:space="preserve"> 10: 1-13.</w:t>
      </w:r>
    </w:p>
    <w:p w:rsidR="00000000" w:rsidDel="00000000" w:rsidP="00000000" w:rsidRDefault="00000000" w:rsidRPr="00000000" w14:paraId="00000DC5">
      <w:pPr>
        <w:jc w:val="both"/>
        <w:rPr>
          <w:sz w:val="22"/>
          <w:szCs w:val="22"/>
        </w:rPr>
      </w:pPr>
      <w:r w:rsidDel="00000000" w:rsidR="00000000" w:rsidRPr="00000000">
        <w:rPr>
          <w:sz w:val="22"/>
          <w:szCs w:val="22"/>
          <w:rtl w:val="0"/>
        </w:rPr>
        <w:tab/>
      </w:r>
    </w:p>
    <w:p w:rsidR="00000000" w:rsidDel="00000000" w:rsidP="00000000" w:rsidRDefault="00000000" w:rsidRPr="00000000" w14:paraId="00000DC6">
      <w:pPr>
        <w:jc w:val="both"/>
        <w:rPr>
          <w:sz w:val="22"/>
          <w:szCs w:val="22"/>
        </w:rPr>
      </w:pPr>
      <w:r w:rsidDel="00000000" w:rsidR="00000000" w:rsidRPr="00000000">
        <w:rPr>
          <w:sz w:val="22"/>
          <w:szCs w:val="22"/>
          <w:rtl w:val="0"/>
        </w:rPr>
        <w:t xml:space="preserve">Herman AM. Stanton TR. (2022). "Delay and Effort-Based Discounting, and the Role of Bodily Awareness, In People Experiencing Long-Term Pain: A Cross-Sectional Study." </w:t>
      </w:r>
      <w:r w:rsidDel="00000000" w:rsidR="00000000" w:rsidRPr="00000000">
        <w:rPr>
          <w:i w:val="1"/>
          <w:sz w:val="22"/>
          <w:szCs w:val="22"/>
          <w:rtl w:val="0"/>
        </w:rPr>
        <w:t xml:space="preserve">The Journal of Pain</w:t>
      </w:r>
      <w:r w:rsidDel="00000000" w:rsidR="00000000" w:rsidRPr="00000000">
        <w:rPr>
          <w:sz w:val="22"/>
          <w:szCs w:val="22"/>
          <w:rtl w:val="0"/>
        </w:rPr>
        <w:t xml:space="preserve"> 23(3): 487-500.</w:t>
      </w:r>
    </w:p>
    <w:p w:rsidR="00000000" w:rsidDel="00000000" w:rsidP="00000000" w:rsidRDefault="00000000" w:rsidRPr="00000000" w14:paraId="00000DC7">
      <w:pPr>
        <w:jc w:val="both"/>
        <w:rPr>
          <w:sz w:val="22"/>
          <w:szCs w:val="22"/>
        </w:rPr>
      </w:pPr>
      <w:r w:rsidDel="00000000" w:rsidR="00000000" w:rsidRPr="00000000">
        <w:rPr>
          <w:sz w:val="22"/>
          <w:szCs w:val="22"/>
          <w:rtl w:val="0"/>
        </w:rPr>
        <w:tab/>
      </w:r>
    </w:p>
    <w:p w:rsidR="00000000" w:rsidDel="00000000" w:rsidP="00000000" w:rsidRDefault="00000000" w:rsidRPr="00000000" w14:paraId="00000DC8">
      <w:pPr>
        <w:jc w:val="both"/>
        <w:rPr>
          <w:sz w:val="22"/>
          <w:szCs w:val="22"/>
        </w:rPr>
      </w:pPr>
      <w:r w:rsidDel="00000000" w:rsidR="00000000" w:rsidRPr="00000000">
        <w:rPr>
          <w:sz w:val="22"/>
          <w:szCs w:val="22"/>
          <w:rtl w:val="0"/>
        </w:rPr>
        <w:t xml:space="preserve">Hetrick SE. McKenzie JE. Cox GR. Simmons MB. Merry SN. (2012). "Newer generation antidepressants for depressive disorders in children and adolescents." </w:t>
      </w:r>
      <w:r w:rsidDel="00000000" w:rsidR="00000000" w:rsidRPr="00000000">
        <w:rPr>
          <w:i w:val="1"/>
          <w:sz w:val="22"/>
          <w:szCs w:val="22"/>
          <w:rtl w:val="0"/>
        </w:rPr>
        <w:t xml:space="preserve">Cochrane Database Systematic Review </w:t>
      </w:r>
      <w:r w:rsidDel="00000000" w:rsidR="00000000" w:rsidRPr="00000000">
        <w:rPr>
          <w:sz w:val="22"/>
          <w:szCs w:val="22"/>
          <w:rtl w:val="0"/>
        </w:rPr>
        <w:t xml:space="preserve">11(11).</w:t>
      </w:r>
    </w:p>
    <w:p w:rsidR="00000000" w:rsidDel="00000000" w:rsidP="00000000" w:rsidRDefault="00000000" w:rsidRPr="00000000" w14:paraId="00000DC9">
      <w:pPr>
        <w:jc w:val="both"/>
        <w:rPr>
          <w:sz w:val="22"/>
          <w:szCs w:val="22"/>
        </w:rPr>
      </w:pPr>
      <w:r w:rsidDel="00000000" w:rsidR="00000000" w:rsidRPr="00000000">
        <w:rPr>
          <w:sz w:val="22"/>
          <w:szCs w:val="22"/>
          <w:rtl w:val="0"/>
        </w:rPr>
        <w:tab/>
      </w:r>
    </w:p>
    <w:p w:rsidR="00000000" w:rsidDel="00000000" w:rsidP="00000000" w:rsidRDefault="00000000" w:rsidRPr="00000000" w14:paraId="00000DCA">
      <w:pPr>
        <w:jc w:val="both"/>
        <w:rPr>
          <w:sz w:val="22"/>
          <w:szCs w:val="22"/>
        </w:rPr>
      </w:pPr>
      <w:r w:rsidDel="00000000" w:rsidR="00000000" w:rsidRPr="00000000">
        <w:rPr>
          <w:sz w:val="22"/>
          <w:szCs w:val="22"/>
          <w:rtl w:val="0"/>
        </w:rPr>
        <w:t xml:space="preserve">Higher Education Statistics, A. (2019). Higher Education Student Statistics: UK, 2017/18 [online]. Higher Education Statistics Agency. Available at: </w:t>
      </w:r>
      <w:hyperlink r:id="rId42">
        <w:r w:rsidDel="00000000" w:rsidR="00000000" w:rsidRPr="00000000">
          <w:rPr>
            <w:color w:val="467886"/>
            <w:sz w:val="22"/>
            <w:szCs w:val="22"/>
            <w:u w:val="single"/>
            <w:rtl w:val="0"/>
          </w:rPr>
          <w:t xml:space="preserve">https://www.hesa.ac.uk/news/17-01-2019/sb252-higher-education-student-statistics</w:t>
        </w:r>
      </w:hyperlink>
      <w:r w:rsidDel="00000000" w:rsidR="00000000" w:rsidRPr="00000000">
        <w:rPr>
          <w:sz w:val="22"/>
          <w:szCs w:val="22"/>
          <w:rtl w:val="0"/>
        </w:rPr>
        <w:t xml:space="preserve"> (06/07/2021)</w:t>
      </w:r>
    </w:p>
    <w:p w:rsidR="00000000" w:rsidDel="00000000" w:rsidP="00000000" w:rsidRDefault="00000000" w:rsidRPr="00000000" w14:paraId="00000DCB">
      <w:pPr>
        <w:jc w:val="both"/>
        <w:rPr>
          <w:sz w:val="22"/>
          <w:szCs w:val="22"/>
        </w:rPr>
      </w:pPr>
      <w:r w:rsidDel="00000000" w:rsidR="00000000" w:rsidRPr="00000000">
        <w:rPr>
          <w:sz w:val="22"/>
          <w:szCs w:val="22"/>
          <w:rtl w:val="0"/>
        </w:rPr>
        <w:tab/>
      </w:r>
    </w:p>
    <w:p w:rsidR="00000000" w:rsidDel="00000000" w:rsidP="00000000" w:rsidRDefault="00000000" w:rsidRPr="00000000" w14:paraId="00000DCC">
      <w:pPr>
        <w:jc w:val="both"/>
        <w:rPr>
          <w:sz w:val="22"/>
          <w:szCs w:val="22"/>
        </w:rPr>
      </w:pPr>
      <w:r w:rsidDel="00000000" w:rsidR="00000000" w:rsidRPr="00000000">
        <w:rPr>
          <w:sz w:val="22"/>
          <w:szCs w:val="22"/>
          <w:rtl w:val="0"/>
        </w:rPr>
        <w:t xml:space="preserve">Hill T. Dao M. (2021). "Personal pasts become academic presents: engaging reflexivity and considering dual insider/outsider roles in physical cultural ﬁeldwork." </w:t>
      </w:r>
      <w:r w:rsidDel="00000000" w:rsidR="00000000" w:rsidRPr="00000000">
        <w:rPr>
          <w:i w:val="1"/>
          <w:sz w:val="22"/>
          <w:szCs w:val="22"/>
          <w:rtl w:val="0"/>
        </w:rPr>
        <w:t xml:space="preserve">Qualitative Research In Sport, Exercise And Health</w:t>
      </w:r>
      <w:r w:rsidDel="00000000" w:rsidR="00000000" w:rsidRPr="00000000">
        <w:rPr>
          <w:sz w:val="22"/>
          <w:szCs w:val="22"/>
          <w:rtl w:val="0"/>
        </w:rPr>
        <w:t xml:space="preserve"> 13(3): 521-535.</w:t>
      </w:r>
    </w:p>
    <w:p w:rsidR="00000000" w:rsidDel="00000000" w:rsidP="00000000" w:rsidRDefault="00000000" w:rsidRPr="00000000" w14:paraId="00000DCD">
      <w:pPr>
        <w:jc w:val="both"/>
        <w:rPr>
          <w:sz w:val="22"/>
          <w:szCs w:val="22"/>
        </w:rPr>
      </w:pPr>
      <w:r w:rsidDel="00000000" w:rsidR="00000000" w:rsidRPr="00000000">
        <w:rPr>
          <w:sz w:val="22"/>
          <w:szCs w:val="22"/>
          <w:rtl w:val="0"/>
        </w:rPr>
        <w:tab/>
      </w:r>
    </w:p>
    <w:p w:rsidR="00000000" w:rsidDel="00000000" w:rsidP="00000000" w:rsidRDefault="00000000" w:rsidRPr="00000000" w14:paraId="00000DCE">
      <w:pPr>
        <w:jc w:val="both"/>
        <w:rPr>
          <w:sz w:val="22"/>
          <w:szCs w:val="22"/>
        </w:rPr>
      </w:pPr>
      <w:r w:rsidDel="00000000" w:rsidR="00000000" w:rsidRPr="00000000">
        <w:rPr>
          <w:sz w:val="22"/>
          <w:szCs w:val="22"/>
          <w:rtl w:val="0"/>
        </w:rPr>
        <w:t xml:space="preserve">Hillman LA. Peden McAlpine C. Ramalho-De-Oliveira D. Schomer JC. (2021). "The Medication Experience: A Concept Analysis." </w:t>
      </w:r>
      <w:r w:rsidDel="00000000" w:rsidR="00000000" w:rsidRPr="00000000">
        <w:rPr>
          <w:i w:val="1"/>
          <w:sz w:val="22"/>
          <w:szCs w:val="22"/>
          <w:rtl w:val="0"/>
        </w:rPr>
        <w:t xml:space="preserve">Pharmacy: Journal of Pharmacy and Practice</w:t>
      </w:r>
      <w:r w:rsidDel="00000000" w:rsidR="00000000" w:rsidRPr="00000000">
        <w:rPr>
          <w:sz w:val="22"/>
          <w:szCs w:val="22"/>
          <w:rtl w:val="0"/>
        </w:rPr>
        <w:t xml:space="preserve"> 9(1): 7-7.</w:t>
      </w:r>
    </w:p>
    <w:p w:rsidR="00000000" w:rsidDel="00000000" w:rsidP="00000000" w:rsidRDefault="00000000" w:rsidRPr="00000000" w14:paraId="00000DCF">
      <w:pPr>
        <w:jc w:val="both"/>
        <w:rPr>
          <w:sz w:val="22"/>
          <w:szCs w:val="22"/>
        </w:rPr>
      </w:pPr>
      <w:r w:rsidDel="00000000" w:rsidR="00000000" w:rsidRPr="00000000">
        <w:rPr>
          <w:rtl w:val="0"/>
        </w:rPr>
      </w:r>
    </w:p>
    <w:p w:rsidR="00000000" w:rsidDel="00000000" w:rsidP="00000000" w:rsidRDefault="00000000" w:rsidRPr="00000000" w14:paraId="00000DD0">
      <w:pPr>
        <w:jc w:val="both"/>
        <w:rPr>
          <w:sz w:val="22"/>
          <w:szCs w:val="22"/>
        </w:rPr>
      </w:pPr>
      <w:r w:rsidDel="00000000" w:rsidR="00000000" w:rsidRPr="00000000">
        <w:rPr>
          <w:sz w:val="22"/>
          <w:szCs w:val="22"/>
          <w:rtl w:val="0"/>
        </w:rPr>
        <w:t xml:space="preserve">Himmel W. Lippert-Urbanke E. Kocken MM. (1997). "Are patients more satisfied when they receive a prescription? The effect of patient expectations in general practice." </w:t>
      </w:r>
      <w:r w:rsidDel="00000000" w:rsidR="00000000" w:rsidRPr="00000000">
        <w:rPr>
          <w:i w:val="1"/>
          <w:sz w:val="22"/>
          <w:szCs w:val="22"/>
          <w:rtl w:val="0"/>
        </w:rPr>
        <w:t xml:space="preserve">Scandinavian Journal of Primary Health Care</w:t>
      </w:r>
      <w:r w:rsidDel="00000000" w:rsidR="00000000" w:rsidRPr="00000000">
        <w:rPr>
          <w:sz w:val="22"/>
          <w:szCs w:val="22"/>
          <w:rtl w:val="0"/>
        </w:rPr>
        <w:t xml:space="preserve">. 15(3): 118-122.</w:t>
      </w:r>
    </w:p>
    <w:p w:rsidR="00000000" w:rsidDel="00000000" w:rsidP="00000000" w:rsidRDefault="00000000" w:rsidRPr="00000000" w14:paraId="00000DD1">
      <w:pPr>
        <w:jc w:val="both"/>
        <w:rPr>
          <w:sz w:val="22"/>
          <w:szCs w:val="22"/>
        </w:rPr>
      </w:pPr>
      <w:r w:rsidDel="00000000" w:rsidR="00000000" w:rsidRPr="00000000">
        <w:rPr>
          <w:sz w:val="22"/>
          <w:szCs w:val="22"/>
          <w:rtl w:val="0"/>
        </w:rPr>
        <w:tab/>
      </w:r>
    </w:p>
    <w:p w:rsidR="00000000" w:rsidDel="00000000" w:rsidP="00000000" w:rsidRDefault="00000000" w:rsidRPr="00000000" w14:paraId="00000DD2">
      <w:pPr>
        <w:jc w:val="both"/>
        <w:rPr>
          <w:sz w:val="22"/>
          <w:szCs w:val="22"/>
        </w:rPr>
      </w:pPr>
      <w:r w:rsidDel="00000000" w:rsidR="00000000" w:rsidRPr="00000000">
        <w:rPr>
          <w:sz w:val="22"/>
          <w:szCs w:val="22"/>
          <w:rtl w:val="0"/>
        </w:rPr>
        <w:t xml:space="preserve">Holloway W. Jefferson T. (2003). "The status of method: flexibility, consistency, and coherence." Qualitative Research. 3: 345-357.</w:t>
      </w:r>
    </w:p>
    <w:p w:rsidR="00000000" w:rsidDel="00000000" w:rsidP="00000000" w:rsidRDefault="00000000" w:rsidRPr="00000000" w14:paraId="00000DD3">
      <w:pPr>
        <w:jc w:val="both"/>
        <w:rPr>
          <w:sz w:val="22"/>
          <w:szCs w:val="22"/>
        </w:rPr>
      </w:pPr>
      <w:r w:rsidDel="00000000" w:rsidR="00000000" w:rsidRPr="00000000">
        <w:rPr>
          <w:rtl w:val="0"/>
        </w:rPr>
      </w:r>
    </w:p>
    <w:p w:rsidR="00000000" w:rsidDel="00000000" w:rsidP="00000000" w:rsidRDefault="00000000" w:rsidRPr="00000000" w14:paraId="00000DD4">
      <w:pPr>
        <w:jc w:val="both"/>
        <w:rPr>
          <w:sz w:val="22"/>
          <w:szCs w:val="22"/>
        </w:rPr>
      </w:pPr>
      <w:r w:rsidDel="00000000" w:rsidR="00000000" w:rsidRPr="00000000">
        <w:rPr>
          <w:sz w:val="22"/>
          <w:szCs w:val="22"/>
          <w:rtl w:val="0"/>
        </w:rPr>
        <w:t xml:space="preserve">Holloway W. Jefferson T. (2000). Doing Qualitative Research Differently. London, Sage.</w:t>
      </w:r>
    </w:p>
    <w:p w:rsidR="00000000" w:rsidDel="00000000" w:rsidP="00000000" w:rsidRDefault="00000000" w:rsidRPr="00000000" w14:paraId="00000DD5">
      <w:pPr>
        <w:jc w:val="both"/>
        <w:rPr>
          <w:sz w:val="22"/>
          <w:szCs w:val="22"/>
        </w:rPr>
      </w:pPr>
      <w:r w:rsidDel="00000000" w:rsidR="00000000" w:rsidRPr="00000000">
        <w:rPr>
          <w:rtl w:val="0"/>
        </w:rPr>
      </w:r>
    </w:p>
    <w:p w:rsidR="00000000" w:rsidDel="00000000" w:rsidP="00000000" w:rsidRDefault="00000000" w:rsidRPr="00000000" w14:paraId="00000DD6">
      <w:pPr>
        <w:jc w:val="both"/>
        <w:rPr>
          <w:sz w:val="22"/>
          <w:szCs w:val="22"/>
        </w:rPr>
      </w:pPr>
      <w:r w:rsidDel="00000000" w:rsidR="00000000" w:rsidRPr="00000000">
        <w:rPr>
          <w:sz w:val="22"/>
          <w:szCs w:val="22"/>
          <w:rtl w:val="0"/>
        </w:rPr>
        <w:t xml:space="preserve">Holloway, W. J. T. (2013). Doing Qualitative Research Differently: A psychosocial approach. London, SAGE Publications.</w:t>
      </w:r>
    </w:p>
    <w:p w:rsidR="00000000" w:rsidDel="00000000" w:rsidP="00000000" w:rsidRDefault="00000000" w:rsidRPr="00000000" w14:paraId="00000DD7">
      <w:pPr>
        <w:jc w:val="both"/>
        <w:rPr>
          <w:sz w:val="22"/>
          <w:szCs w:val="22"/>
        </w:rPr>
      </w:pPr>
      <w:r w:rsidDel="00000000" w:rsidR="00000000" w:rsidRPr="00000000">
        <w:rPr>
          <w:sz w:val="22"/>
          <w:szCs w:val="22"/>
          <w:rtl w:val="0"/>
        </w:rPr>
        <w:tab/>
      </w:r>
    </w:p>
    <w:p w:rsidR="00000000" w:rsidDel="00000000" w:rsidP="00000000" w:rsidRDefault="00000000" w:rsidRPr="00000000" w14:paraId="00000DD8">
      <w:pPr>
        <w:jc w:val="both"/>
        <w:rPr>
          <w:sz w:val="22"/>
          <w:szCs w:val="22"/>
        </w:rPr>
      </w:pPr>
      <w:r w:rsidDel="00000000" w:rsidR="00000000" w:rsidRPr="00000000">
        <w:rPr>
          <w:sz w:val="22"/>
          <w:szCs w:val="22"/>
          <w:rtl w:val="0"/>
        </w:rPr>
        <w:t xml:space="preserve">Home Office (2018). Government announces that medicinal cannabis is legal [online]. Home Office. Available at: </w:t>
      </w:r>
      <w:hyperlink r:id="rId43">
        <w:r w:rsidDel="00000000" w:rsidR="00000000" w:rsidRPr="00000000">
          <w:rPr>
            <w:color w:val="467886"/>
            <w:sz w:val="22"/>
            <w:szCs w:val="22"/>
            <w:u w:val="single"/>
            <w:rtl w:val="0"/>
          </w:rPr>
          <w:t xml:space="preserve">https://www.gov.uk/government/news/government-announces-that-medicinal-cannabis-is-legal</w:t>
        </w:r>
      </w:hyperlink>
      <w:r w:rsidDel="00000000" w:rsidR="00000000" w:rsidRPr="00000000">
        <w:rPr>
          <w:sz w:val="22"/>
          <w:szCs w:val="22"/>
          <w:rtl w:val="0"/>
        </w:rPr>
        <w:t xml:space="preserve"> (02/02/2023)</w:t>
      </w:r>
    </w:p>
    <w:p w:rsidR="00000000" w:rsidDel="00000000" w:rsidP="00000000" w:rsidRDefault="00000000" w:rsidRPr="00000000" w14:paraId="00000DD9">
      <w:pPr>
        <w:jc w:val="both"/>
        <w:rPr>
          <w:sz w:val="22"/>
          <w:szCs w:val="22"/>
        </w:rPr>
      </w:pPr>
      <w:r w:rsidDel="00000000" w:rsidR="00000000" w:rsidRPr="00000000">
        <w:rPr>
          <w:sz w:val="22"/>
          <w:szCs w:val="22"/>
          <w:rtl w:val="0"/>
        </w:rPr>
        <w:tab/>
      </w:r>
    </w:p>
    <w:p w:rsidR="00000000" w:rsidDel="00000000" w:rsidP="00000000" w:rsidRDefault="00000000" w:rsidRPr="00000000" w14:paraId="00000DDA">
      <w:pPr>
        <w:jc w:val="both"/>
        <w:rPr>
          <w:sz w:val="22"/>
          <w:szCs w:val="22"/>
        </w:rPr>
      </w:pPr>
      <w:r w:rsidDel="00000000" w:rsidR="00000000" w:rsidRPr="00000000">
        <w:rPr>
          <w:sz w:val="22"/>
          <w:szCs w:val="22"/>
          <w:rtl w:val="0"/>
        </w:rPr>
        <w:t xml:space="preserve">Horowitz MA. Taylor D. (2023). "Addiction and physical dependence are not the same thing." </w:t>
      </w:r>
      <w:r w:rsidDel="00000000" w:rsidR="00000000" w:rsidRPr="00000000">
        <w:rPr>
          <w:i w:val="1"/>
          <w:sz w:val="22"/>
          <w:szCs w:val="22"/>
          <w:rtl w:val="0"/>
        </w:rPr>
        <w:t xml:space="preserve">The Lancet</w:t>
      </w:r>
      <w:r w:rsidDel="00000000" w:rsidR="00000000" w:rsidRPr="00000000">
        <w:rPr>
          <w:sz w:val="22"/>
          <w:szCs w:val="22"/>
          <w:rtl w:val="0"/>
        </w:rPr>
        <w:t xml:space="preserve"> 10(8).</w:t>
      </w:r>
    </w:p>
    <w:p w:rsidR="00000000" w:rsidDel="00000000" w:rsidP="00000000" w:rsidRDefault="00000000" w:rsidRPr="00000000" w14:paraId="00000DDB">
      <w:pPr>
        <w:jc w:val="both"/>
        <w:rPr>
          <w:sz w:val="22"/>
          <w:szCs w:val="22"/>
        </w:rPr>
      </w:pPr>
      <w:r w:rsidDel="00000000" w:rsidR="00000000" w:rsidRPr="00000000">
        <w:rPr>
          <w:sz w:val="22"/>
          <w:szCs w:val="22"/>
          <w:rtl w:val="0"/>
        </w:rPr>
        <w:tab/>
      </w:r>
    </w:p>
    <w:p w:rsidR="00000000" w:rsidDel="00000000" w:rsidP="00000000" w:rsidRDefault="00000000" w:rsidRPr="00000000" w14:paraId="00000DDC">
      <w:pPr>
        <w:jc w:val="both"/>
        <w:rPr>
          <w:sz w:val="22"/>
          <w:szCs w:val="22"/>
        </w:rPr>
      </w:pPr>
      <w:r w:rsidDel="00000000" w:rsidR="00000000" w:rsidRPr="00000000">
        <w:rPr>
          <w:sz w:val="22"/>
          <w:szCs w:val="22"/>
          <w:rtl w:val="0"/>
        </w:rPr>
        <w:t xml:space="preserve">Hovlid E. Bukve O."A qualitative study of contextual factors impact on measures to reduce surgery cancellations." </w:t>
      </w:r>
      <w:r w:rsidDel="00000000" w:rsidR="00000000" w:rsidRPr="00000000">
        <w:rPr>
          <w:i w:val="1"/>
          <w:sz w:val="22"/>
          <w:szCs w:val="22"/>
          <w:rtl w:val="0"/>
        </w:rPr>
        <w:t xml:space="preserve">BMC Health Services Research</w:t>
      </w:r>
      <w:r w:rsidDel="00000000" w:rsidR="00000000" w:rsidRPr="00000000">
        <w:rPr>
          <w:sz w:val="22"/>
          <w:szCs w:val="22"/>
          <w:rtl w:val="0"/>
        </w:rPr>
        <w:t xml:space="preserve">. 14(215).</w:t>
      </w:r>
    </w:p>
    <w:p w:rsidR="00000000" w:rsidDel="00000000" w:rsidP="00000000" w:rsidRDefault="00000000" w:rsidRPr="00000000" w14:paraId="00000DDD">
      <w:pPr>
        <w:jc w:val="both"/>
        <w:rPr>
          <w:sz w:val="22"/>
          <w:szCs w:val="22"/>
        </w:rPr>
      </w:pPr>
      <w:r w:rsidDel="00000000" w:rsidR="00000000" w:rsidRPr="00000000">
        <w:rPr>
          <w:rtl w:val="0"/>
        </w:rPr>
      </w:r>
    </w:p>
    <w:p w:rsidR="00000000" w:rsidDel="00000000" w:rsidP="00000000" w:rsidRDefault="00000000" w:rsidRPr="00000000" w14:paraId="00000DDE">
      <w:pPr>
        <w:jc w:val="both"/>
        <w:rPr>
          <w:sz w:val="22"/>
          <w:szCs w:val="22"/>
        </w:rPr>
      </w:pPr>
      <w:r w:rsidDel="00000000" w:rsidR="00000000" w:rsidRPr="00000000">
        <w:rPr>
          <w:sz w:val="22"/>
          <w:szCs w:val="22"/>
          <w:rtl w:val="0"/>
        </w:rPr>
        <w:t xml:space="preserve">Howard and et al. (2006). "Which drugs cause preventable admissions to hospital? A systematic review." </w:t>
      </w:r>
      <w:r w:rsidDel="00000000" w:rsidR="00000000" w:rsidRPr="00000000">
        <w:rPr>
          <w:i w:val="1"/>
          <w:sz w:val="22"/>
          <w:szCs w:val="22"/>
          <w:rtl w:val="0"/>
        </w:rPr>
        <w:t xml:space="preserve">British Journal of Clinical Pharmacology</w:t>
      </w:r>
      <w:r w:rsidDel="00000000" w:rsidR="00000000" w:rsidRPr="00000000">
        <w:rPr>
          <w:sz w:val="22"/>
          <w:szCs w:val="22"/>
          <w:rtl w:val="0"/>
        </w:rPr>
        <w:t xml:space="preserve"> 63: 136-147.</w:t>
      </w:r>
    </w:p>
    <w:p w:rsidR="00000000" w:rsidDel="00000000" w:rsidP="00000000" w:rsidRDefault="00000000" w:rsidRPr="00000000" w14:paraId="00000DDF">
      <w:pPr>
        <w:jc w:val="both"/>
        <w:rPr>
          <w:sz w:val="22"/>
          <w:szCs w:val="22"/>
        </w:rPr>
      </w:pPr>
      <w:r w:rsidDel="00000000" w:rsidR="00000000" w:rsidRPr="00000000">
        <w:rPr>
          <w:sz w:val="22"/>
          <w:szCs w:val="22"/>
          <w:rtl w:val="0"/>
        </w:rPr>
        <w:tab/>
      </w:r>
    </w:p>
    <w:p w:rsidR="00000000" w:rsidDel="00000000" w:rsidP="00000000" w:rsidRDefault="00000000" w:rsidRPr="00000000" w14:paraId="00000DE0">
      <w:pPr>
        <w:jc w:val="both"/>
        <w:rPr>
          <w:sz w:val="22"/>
          <w:szCs w:val="22"/>
        </w:rPr>
      </w:pPr>
      <w:r w:rsidDel="00000000" w:rsidR="00000000" w:rsidRPr="00000000">
        <w:rPr>
          <w:sz w:val="22"/>
          <w:szCs w:val="22"/>
          <w:rtl w:val="0"/>
        </w:rPr>
        <w:t xml:space="preserve">Huang JA. Lai CS. Tsai WC. Yang DW (2004). "Determining factors of patient satisfaction for frequent users of emergency services in a medical center." </w:t>
      </w:r>
      <w:r w:rsidDel="00000000" w:rsidR="00000000" w:rsidRPr="00000000">
        <w:rPr>
          <w:i w:val="1"/>
          <w:sz w:val="22"/>
          <w:szCs w:val="22"/>
          <w:rtl w:val="0"/>
        </w:rPr>
        <w:t xml:space="preserve">J Chin Med Assoc</w:t>
      </w:r>
      <w:r w:rsidDel="00000000" w:rsidR="00000000" w:rsidRPr="00000000">
        <w:rPr>
          <w:sz w:val="22"/>
          <w:szCs w:val="22"/>
          <w:rtl w:val="0"/>
        </w:rPr>
        <w:t xml:space="preserve"> 67(8): 43-56.</w:t>
      </w:r>
    </w:p>
    <w:p w:rsidR="00000000" w:rsidDel="00000000" w:rsidP="00000000" w:rsidRDefault="00000000" w:rsidRPr="00000000" w14:paraId="00000DE1">
      <w:pPr>
        <w:jc w:val="both"/>
        <w:rPr>
          <w:sz w:val="22"/>
          <w:szCs w:val="22"/>
        </w:rPr>
      </w:pPr>
      <w:r w:rsidDel="00000000" w:rsidR="00000000" w:rsidRPr="00000000">
        <w:rPr>
          <w:sz w:val="22"/>
          <w:szCs w:val="22"/>
          <w:rtl w:val="0"/>
        </w:rPr>
        <w:tab/>
      </w:r>
    </w:p>
    <w:p w:rsidR="00000000" w:rsidDel="00000000" w:rsidP="00000000" w:rsidRDefault="00000000" w:rsidRPr="00000000" w14:paraId="00000DE2">
      <w:pPr>
        <w:jc w:val="both"/>
        <w:rPr>
          <w:sz w:val="22"/>
          <w:szCs w:val="22"/>
        </w:rPr>
      </w:pPr>
      <w:r w:rsidDel="00000000" w:rsidR="00000000" w:rsidRPr="00000000">
        <w:rPr>
          <w:sz w:val="22"/>
          <w:szCs w:val="22"/>
          <w:rtl w:val="0"/>
        </w:rPr>
        <w:t xml:space="preserve">Huber M. Knottnerus JA. Green L. van der Horst, H. Jadad AR. Kromhout D. Leonard B. Kate L. Loureiro MI. van der Meer JWM. Schnabel P. Smith R. van Weel C. Smid H. (2011). "How should health be defined?" </w:t>
      </w:r>
      <w:r w:rsidDel="00000000" w:rsidR="00000000" w:rsidRPr="00000000">
        <w:rPr>
          <w:i w:val="1"/>
          <w:sz w:val="22"/>
          <w:szCs w:val="22"/>
          <w:rtl w:val="0"/>
        </w:rPr>
        <w:t xml:space="preserve">British Medical Journal</w:t>
      </w:r>
      <w:r w:rsidDel="00000000" w:rsidR="00000000" w:rsidRPr="00000000">
        <w:rPr>
          <w:sz w:val="22"/>
          <w:szCs w:val="22"/>
          <w:rtl w:val="0"/>
        </w:rPr>
        <w:t xml:space="preserve"> 343(d4163).</w:t>
      </w:r>
    </w:p>
    <w:p w:rsidR="00000000" w:rsidDel="00000000" w:rsidP="00000000" w:rsidRDefault="00000000" w:rsidRPr="00000000" w14:paraId="00000DE3">
      <w:pPr>
        <w:jc w:val="both"/>
        <w:rPr>
          <w:sz w:val="22"/>
          <w:szCs w:val="22"/>
        </w:rPr>
      </w:pPr>
      <w:r w:rsidDel="00000000" w:rsidR="00000000" w:rsidRPr="00000000">
        <w:rPr>
          <w:sz w:val="22"/>
          <w:szCs w:val="22"/>
          <w:rtl w:val="0"/>
        </w:rPr>
        <w:tab/>
      </w:r>
    </w:p>
    <w:p w:rsidR="00000000" w:rsidDel="00000000" w:rsidP="00000000" w:rsidRDefault="00000000" w:rsidRPr="00000000" w14:paraId="00000DE4">
      <w:pPr>
        <w:jc w:val="both"/>
        <w:rPr>
          <w:sz w:val="22"/>
          <w:szCs w:val="22"/>
        </w:rPr>
      </w:pPr>
      <w:r w:rsidDel="00000000" w:rsidR="00000000" w:rsidRPr="00000000">
        <w:rPr>
          <w:sz w:val="22"/>
          <w:szCs w:val="22"/>
          <w:rtl w:val="0"/>
        </w:rPr>
        <w:t xml:space="preserve">Hughes A. Williams MR. Lipari RN. Bose J. Copello EAP. Kroutil LA. (2016). "Prescription Drug Use and Misuse in the United States: Results from the 2015 National Survey on Drug Use and Health." </w:t>
      </w:r>
      <w:r w:rsidDel="00000000" w:rsidR="00000000" w:rsidRPr="00000000">
        <w:rPr>
          <w:i w:val="1"/>
          <w:sz w:val="22"/>
          <w:szCs w:val="22"/>
          <w:rtl w:val="0"/>
        </w:rPr>
        <w:t xml:space="preserve">Substance Abuse and Mental Health Services Administration</w:t>
      </w:r>
      <w:r w:rsidDel="00000000" w:rsidR="00000000" w:rsidRPr="00000000">
        <w:rPr>
          <w:sz w:val="22"/>
          <w:szCs w:val="22"/>
          <w:rtl w:val="0"/>
        </w:rPr>
        <w:t xml:space="preserve">.</w:t>
      </w:r>
    </w:p>
    <w:p w:rsidR="00000000" w:rsidDel="00000000" w:rsidP="00000000" w:rsidRDefault="00000000" w:rsidRPr="00000000" w14:paraId="00000DE5">
      <w:pPr>
        <w:jc w:val="both"/>
        <w:rPr>
          <w:sz w:val="22"/>
          <w:szCs w:val="22"/>
        </w:rPr>
      </w:pPr>
      <w:r w:rsidDel="00000000" w:rsidR="00000000" w:rsidRPr="00000000">
        <w:rPr>
          <w:sz w:val="22"/>
          <w:szCs w:val="22"/>
          <w:rtl w:val="0"/>
        </w:rPr>
        <w:tab/>
      </w:r>
    </w:p>
    <w:p w:rsidR="00000000" w:rsidDel="00000000" w:rsidP="00000000" w:rsidRDefault="00000000" w:rsidRPr="00000000" w14:paraId="00000DE6">
      <w:pPr>
        <w:jc w:val="both"/>
        <w:rPr>
          <w:sz w:val="22"/>
          <w:szCs w:val="22"/>
        </w:rPr>
      </w:pPr>
      <w:r w:rsidDel="00000000" w:rsidR="00000000" w:rsidRPr="00000000">
        <w:rPr>
          <w:sz w:val="22"/>
          <w:szCs w:val="22"/>
          <w:rtl w:val="0"/>
        </w:rPr>
        <w:t xml:space="preserve">Hughes JA. (1976). Sociological Analysis: Methods of Discovery. London, Nelson.</w:t>
      </w:r>
    </w:p>
    <w:p w:rsidR="00000000" w:rsidDel="00000000" w:rsidP="00000000" w:rsidRDefault="00000000" w:rsidRPr="00000000" w14:paraId="00000DE7">
      <w:pPr>
        <w:jc w:val="both"/>
        <w:rPr>
          <w:sz w:val="22"/>
          <w:szCs w:val="22"/>
        </w:rPr>
      </w:pPr>
      <w:r w:rsidDel="00000000" w:rsidR="00000000" w:rsidRPr="00000000">
        <w:rPr>
          <w:sz w:val="22"/>
          <w:szCs w:val="22"/>
          <w:rtl w:val="0"/>
        </w:rPr>
        <w:tab/>
      </w:r>
    </w:p>
    <w:p w:rsidR="00000000" w:rsidDel="00000000" w:rsidP="00000000" w:rsidRDefault="00000000" w:rsidRPr="00000000" w14:paraId="00000DE8">
      <w:pPr>
        <w:jc w:val="both"/>
        <w:rPr>
          <w:sz w:val="22"/>
          <w:szCs w:val="22"/>
        </w:rPr>
      </w:pPr>
      <w:r w:rsidDel="00000000" w:rsidR="00000000" w:rsidRPr="00000000">
        <w:rPr>
          <w:sz w:val="22"/>
          <w:szCs w:val="22"/>
          <w:rtl w:val="0"/>
        </w:rPr>
        <w:t xml:space="preserve">Husk K. Elston J. Gradinger F. Callaghan L. Asthana S. (2019). "Social prescribing: where is the evidence?"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 69(678): 6-7.</w:t>
      </w:r>
    </w:p>
    <w:p w:rsidR="00000000" w:rsidDel="00000000" w:rsidP="00000000" w:rsidRDefault="00000000" w:rsidRPr="00000000" w14:paraId="00000DE9">
      <w:pPr>
        <w:jc w:val="both"/>
        <w:rPr>
          <w:sz w:val="22"/>
          <w:szCs w:val="22"/>
        </w:rPr>
      </w:pPr>
      <w:r w:rsidDel="00000000" w:rsidR="00000000" w:rsidRPr="00000000">
        <w:rPr>
          <w:rtl w:val="0"/>
        </w:rPr>
      </w:r>
    </w:p>
    <w:p w:rsidR="00000000" w:rsidDel="00000000" w:rsidP="00000000" w:rsidRDefault="00000000" w:rsidRPr="00000000" w14:paraId="00000DEA">
      <w:pPr>
        <w:jc w:val="both"/>
        <w:rPr>
          <w:sz w:val="22"/>
          <w:szCs w:val="22"/>
        </w:rPr>
      </w:pPr>
      <w:r w:rsidDel="00000000" w:rsidR="00000000" w:rsidRPr="00000000">
        <w:rPr>
          <w:sz w:val="22"/>
          <w:szCs w:val="22"/>
          <w:rtl w:val="0"/>
        </w:rPr>
        <w:t xml:space="preserve">Immigration Law Practitioners Association (2024). Mental Health Resources for Black people and PoC [online]. Available at: </w:t>
      </w:r>
      <w:hyperlink r:id="rId44">
        <w:r w:rsidDel="00000000" w:rsidR="00000000" w:rsidRPr="00000000">
          <w:rPr>
            <w:color w:val="467886"/>
            <w:sz w:val="22"/>
            <w:szCs w:val="22"/>
            <w:u w:val="single"/>
            <w:rtl w:val="0"/>
          </w:rPr>
          <w:t xml:space="preserve">https://ilpa.org.uk/members-area/working-groups/well-being-new/well-being-resource-hub/mental-health-resources-for-black-people-and-poc/</w:t>
        </w:r>
      </w:hyperlink>
      <w:r w:rsidDel="00000000" w:rsidR="00000000" w:rsidRPr="00000000">
        <w:rPr>
          <w:sz w:val="22"/>
          <w:szCs w:val="22"/>
          <w:rtl w:val="0"/>
        </w:rPr>
        <w:t xml:space="preserve"> (10/10/2024)</w:t>
      </w:r>
    </w:p>
    <w:p w:rsidR="00000000" w:rsidDel="00000000" w:rsidP="00000000" w:rsidRDefault="00000000" w:rsidRPr="00000000" w14:paraId="00000DEB">
      <w:pPr>
        <w:jc w:val="both"/>
        <w:rPr>
          <w:sz w:val="22"/>
          <w:szCs w:val="22"/>
        </w:rPr>
      </w:pPr>
      <w:r w:rsidDel="00000000" w:rsidR="00000000" w:rsidRPr="00000000">
        <w:rPr>
          <w:rtl w:val="0"/>
        </w:rPr>
      </w:r>
    </w:p>
    <w:p w:rsidR="00000000" w:rsidDel="00000000" w:rsidP="00000000" w:rsidRDefault="00000000" w:rsidRPr="00000000" w14:paraId="00000DEC">
      <w:pPr>
        <w:jc w:val="both"/>
        <w:rPr>
          <w:sz w:val="22"/>
          <w:szCs w:val="22"/>
        </w:rPr>
      </w:pPr>
      <w:r w:rsidDel="00000000" w:rsidR="00000000" w:rsidRPr="00000000">
        <w:rPr>
          <w:sz w:val="22"/>
          <w:szCs w:val="22"/>
          <w:rtl w:val="0"/>
        </w:rPr>
        <w:t xml:space="preserve">Institute for Muslim Mental, H. (2022). Islam and Mental Health [online]. Available at: </w:t>
      </w:r>
      <w:hyperlink r:id="rId45">
        <w:r w:rsidDel="00000000" w:rsidR="00000000" w:rsidRPr="00000000">
          <w:rPr>
            <w:color w:val="467886"/>
            <w:sz w:val="22"/>
            <w:szCs w:val="22"/>
            <w:u w:val="single"/>
            <w:rtl w:val="0"/>
          </w:rPr>
          <w:t xml:space="preserve">https://muslimmentalhealth.com/islam-mental-health/</w:t>
        </w:r>
      </w:hyperlink>
      <w:r w:rsidDel="00000000" w:rsidR="00000000" w:rsidRPr="00000000">
        <w:rPr>
          <w:sz w:val="22"/>
          <w:szCs w:val="22"/>
          <w:rtl w:val="0"/>
        </w:rPr>
        <w:t xml:space="preserve"> (19/05/2922)</w:t>
      </w:r>
    </w:p>
    <w:p w:rsidR="00000000" w:rsidDel="00000000" w:rsidP="00000000" w:rsidRDefault="00000000" w:rsidRPr="00000000" w14:paraId="00000DED">
      <w:pPr>
        <w:jc w:val="both"/>
        <w:rPr>
          <w:sz w:val="22"/>
          <w:szCs w:val="22"/>
        </w:rPr>
      </w:pPr>
      <w:r w:rsidDel="00000000" w:rsidR="00000000" w:rsidRPr="00000000">
        <w:rPr>
          <w:rtl w:val="0"/>
        </w:rPr>
      </w:r>
    </w:p>
    <w:p w:rsidR="00000000" w:rsidDel="00000000" w:rsidP="00000000" w:rsidRDefault="00000000" w:rsidRPr="00000000" w14:paraId="00000DEE">
      <w:pPr>
        <w:jc w:val="both"/>
        <w:rPr>
          <w:sz w:val="22"/>
          <w:szCs w:val="22"/>
        </w:rPr>
      </w:pPr>
      <w:r w:rsidDel="00000000" w:rsidR="00000000" w:rsidRPr="00000000">
        <w:rPr>
          <w:sz w:val="22"/>
          <w:szCs w:val="22"/>
          <w:rtl w:val="0"/>
        </w:rPr>
        <w:t xml:space="preserve">Ipswich and East Suffolk Clinical Commissioning Group (2016). Guidelines for the Prescribing of Benzodiazepines and Z-Drugs.</w:t>
      </w:r>
    </w:p>
    <w:p w:rsidR="00000000" w:rsidDel="00000000" w:rsidP="00000000" w:rsidRDefault="00000000" w:rsidRPr="00000000" w14:paraId="00000DEF">
      <w:pPr>
        <w:jc w:val="both"/>
        <w:rPr>
          <w:sz w:val="22"/>
          <w:szCs w:val="22"/>
        </w:rPr>
      </w:pPr>
      <w:r w:rsidDel="00000000" w:rsidR="00000000" w:rsidRPr="00000000">
        <w:rPr>
          <w:sz w:val="22"/>
          <w:szCs w:val="22"/>
          <w:rtl w:val="0"/>
        </w:rPr>
        <w:t xml:space="preserve">Jacoby A, Austin JK. (2007). "Social stigma for adults and children with epilepsy." </w:t>
      </w:r>
      <w:r w:rsidDel="00000000" w:rsidR="00000000" w:rsidRPr="00000000">
        <w:rPr>
          <w:i w:val="1"/>
          <w:sz w:val="22"/>
          <w:szCs w:val="22"/>
          <w:rtl w:val="0"/>
        </w:rPr>
        <w:t xml:space="preserve">Epilepsia</w:t>
      </w:r>
      <w:r w:rsidDel="00000000" w:rsidR="00000000" w:rsidRPr="00000000">
        <w:rPr>
          <w:sz w:val="22"/>
          <w:szCs w:val="22"/>
          <w:rtl w:val="0"/>
        </w:rPr>
        <w:t xml:space="preserve">. 48(9): 6-9.</w:t>
      </w:r>
    </w:p>
    <w:p w:rsidR="00000000" w:rsidDel="00000000" w:rsidP="00000000" w:rsidRDefault="00000000" w:rsidRPr="00000000" w14:paraId="00000DF0">
      <w:pPr>
        <w:jc w:val="both"/>
        <w:rPr>
          <w:sz w:val="22"/>
          <w:szCs w:val="22"/>
        </w:rPr>
      </w:pPr>
      <w:r w:rsidDel="00000000" w:rsidR="00000000" w:rsidRPr="00000000">
        <w:rPr>
          <w:sz w:val="22"/>
          <w:szCs w:val="22"/>
          <w:rtl w:val="0"/>
        </w:rPr>
        <w:tab/>
      </w:r>
    </w:p>
    <w:p w:rsidR="00000000" w:rsidDel="00000000" w:rsidP="00000000" w:rsidRDefault="00000000" w:rsidRPr="00000000" w14:paraId="00000DF1">
      <w:pPr>
        <w:jc w:val="both"/>
        <w:rPr>
          <w:sz w:val="22"/>
          <w:szCs w:val="22"/>
        </w:rPr>
      </w:pPr>
      <w:r w:rsidDel="00000000" w:rsidR="00000000" w:rsidRPr="00000000">
        <w:rPr>
          <w:sz w:val="22"/>
          <w:szCs w:val="22"/>
          <w:rtl w:val="0"/>
        </w:rPr>
        <w:t xml:space="preserve">Jager J. Putnick DL. Bornstein MH. (2017). "More than Just Convenient: The Scientific Merits of Homogenous Convenience Samples." </w:t>
      </w:r>
      <w:r w:rsidDel="00000000" w:rsidR="00000000" w:rsidRPr="00000000">
        <w:rPr>
          <w:i w:val="1"/>
          <w:sz w:val="22"/>
          <w:szCs w:val="22"/>
          <w:rtl w:val="0"/>
        </w:rPr>
        <w:t xml:space="preserve">Monographs of the Society for Research in Child Development</w:t>
      </w:r>
      <w:r w:rsidDel="00000000" w:rsidR="00000000" w:rsidRPr="00000000">
        <w:rPr>
          <w:sz w:val="22"/>
          <w:szCs w:val="22"/>
          <w:rtl w:val="0"/>
        </w:rPr>
        <w:t xml:space="preserve"> 82(2).</w:t>
      </w:r>
    </w:p>
    <w:p w:rsidR="00000000" w:rsidDel="00000000" w:rsidP="00000000" w:rsidRDefault="00000000" w:rsidRPr="00000000" w14:paraId="00000DF2">
      <w:pPr>
        <w:jc w:val="both"/>
        <w:rPr>
          <w:sz w:val="22"/>
          <w:szCs w:val="22"/>
        </w:rPr>
      </w:pPr>
      <w:r w:rsidDel="00000000" w:rsidR="00000000" w:rsidRPr="00000000">
        <w:rPr>
          <w:rtl w:val="0"/>
        </w:rPr>
      </w:r>
    </w:p>
    <w:p w:rsidR="00000000" w:rsidDel="00000000" w:rsidP="00000000" w:rsidRDefault="00000000" w:rsidRPr="00000000" w14:paraId="00000DF3">
      <w:pPr>
        <w:jc w:val="both"/>
        <w:rPr>
          <w:sz w:val="22"/>
          <w:szCs w:val="22"/>
        </w:rPr>
      </w:pPr>
      <w:r w:rsidDel="00000000" w:rsidR="00000000" w:rsidRPr="00000000">
        <w:rPr>
          <w:sz w:val="22"/>
          <w:szCs w:val="22"/>
          <w:rtl w:val="0"/>
        </w:rPr>
        <w:t xml:space="preserve">Jahnsen K. Roser P. Hoffmann K. (2015). "The Problems of Long-Term Treatment With Benzodiazepines and Related Substances." </w:t>
      </w:r>
      <w:r w:rsidDel="00000000" w:rsidR="00000000" w:rsidRPr="00000000">
        <w:rPr>
          <w:i w:val="1"/>
          <w:sz w:val="22"/>
          <w:szCs w:val="22"/>
          <w:rtl w:val="0"/>
        </w:rPr>
        <w:t xml:space="preserve">Deutsches Ärzteblatt International</w:t>
      </w:r>
      <w:r w:rsidDel="00000000" w:rsidR="00000000" w:rsidRPr="00000000">
        <w:rPr>
          <w:sz w:val="22"/>
          <w:szCs w:val="22"/>
          <w:rtl w:val="0"/>
        </w:rPr>
        <w:t xml:space="preserve">.</w:t>
      </w:r>
    </w:p>
    <w:p w:rsidR="00000000" w:rsidDel="00000000" w:rsidP="00000000" w:rsidRDefault="00000000" w:rsidRPr="00000000" w14:paraId="00000DF4">
      <w:pPr>
        <w:jc w:val="both"/>
        <w:rPr>
          <w:sz w:val="22"/>
          <w:szCs w:val="22"/>
        </w:rPr>
      </w:pPr>
      <w:r w:rsidDel="00000000" w:rsidR="00000000" w:rsidRPr="00000000">
        <w:rPr>
          <w:sz w:val="22"/>
          <w:szCs w:val="22"/>
          <w:rtl w:val="0"/>
        </w:rPr>
        <w:tab/>
      </w:r>
    </w:p>
    <w:p w:rsidR="00000000" w:rsidDel="00000000" w:rsidP="00000000" w:rsidRDefault="00000000" w:rsidRPr="00000000" w14:paraId="00000DF5">
      <w:pPr>
        <w:jc w:val="both"/>
        <w:rPr>
          <w:sz w:val="22"/>
          <w:szCs w:val="22"/>
        </w:rPr>
      </w:pPr>
      <w:r w:rsidDel="00000000" w:rsidR="00000000" w:rsidRPr="00000000">
        <w:rPr>
          <w:sz w:val="22"/>
          <w:szCs w:val="22"/>
          <w:rtl w:val="0"/>
        </w:rPr>
        <w:t xml:space="preserve">Jaiteh C. Steinauer R. Frei IA (2019). "Individuals With Opioid Dependence Using Polysubstances: How Do They Experience Acute Hospital Care and What Are Their Needs? A Qualitative Study." </w:t>
      </w:r>
      <w:r w:rsidDel="00000000" w:rsidR="00000000" w:rsidRPr="00000000">
        <w:rPr>
          <w:i w:val="1"/>
          <w:sz w:val="22"/>
          <w:szCs w:val="22"/>
          <w:rtl w:val="0"/>
        </w:rPr>
        <w:t xml:space="preserve">Journal of Addictions Nursing</w:t>
      </w:r>
      <w:r w:rsidDel="00000000" w:rsidR="00000000" w:rsidRPr="00000000">
        <w:rPr>
          <w:sz w:val="22"/>
          <w:szCs w:val="22"/>
          <w:rtl w:val="0"/>
        </w:rPr>
        <w:t xml:space="preserve"> 30(3): 177-184.</w:t>
      </w:r>
    </w:p>
    <w:p w:rsidR="00000000" w:rsidDel="00000000" w:rsidP="00000000" w:rsidRDefault="00000000" w:rsidRPr="00000000" w14:paraId="00000DF6">
      <w:pPr>
        <w:jc w:val="both"/>
        <w:rPr>
          <w:sz w:val="22"/>
          <w:szCs w:val="22"/>
        </w:rPr>
      </w:pPr>
      <w:r w:rsidDel="00000000" w:rsidR="00000000" w:rsidRPr="00000000">
        <w:rPr>
          <w:sz w:val="22"/>
          <w:szCs w:val="22"/>
          <w:rtl w:val="0"/>
        </w:rPr>
        <w:tab/>
      </w:r>
    </w:p>
    <w:p w:rsidR="00000000" w:rsidDel="00000000" w:rsidP="00000000" w:rsidRDefault="00000000" w:rsidRPr="00000000" w14:paraId="00000DF7">
      <w:pPr>
        <w:jc w:val="both"/>
        <w:rPr>
          <w:sz w:val="22"/>
          <w:szCs w:val="22"/>
        </w:rPr>
      </w:pPr>
      <w:r w:rsidDel="00000000" w:rsidR="00000000" w:rsidRPr="00000000">
        <w:rPr>
          <w:sz w:val="22"/>
          <w:szCs w:val="22"/>
          <w:rtl w:val="0"/>
        </w:rPr>
        <w:t xml:space="preserve">James JT. Eakins DJ. Scully RR. (2019). "Informed consent, shared-decision making and a reasonable patient’s wishes based on a cross-sectional, national survey in the USA using a hypothetical scenario</w:t>
      </w:r>
      <w:r w:rsidDel="00000000" w:rsidR="00000000" w:rsidRPr="00000000">
        <w:rPr>
          <w:i w:val="1"/>
          <w:sz w:val="22"/>
          <w:szCs w:val="22"/>
          <w:rtl w:val="0"/>
        </w:rPr>
        <w:t xml:space="preserve">." BMJ Open</w:t>
      </w:r>
      <w:r w:rsidDel="00000000" w:rsidR="00000000" w:rsidRPr="00000000">
        <w:rPr>
          <w:sz w:val="22"/>
          <w:szCs w:val="22"/>
          <w:rtl w:val="0"/>
        </w:rPr>
        <w:t xml:space="preserve"> 9(7): 1-8.</w:t>
      </w:r>
    </w:p>
    <w:p w:rsidR="00000000" w:rsidDel="00000000" w:rsidP="00000000" w:rsidRDefault="00000000" w:rsidRPr="00000000" w14:paraId="00000DF8">
      <w:pPr>
        <w:jc w:val="both"/>
        <w:rPr>
          <w:sz w:val="22"/>
          <w:szCs w:val="22"/>
        </w:rPr>
      </w:pPr>
      <w:r w:rsidDel="00000000" w:rsidR="00000000" w:rsidRPr="00000000">
        <w:rPr>
          <w:sz w:val="22"/>
          <w:szCs w:val="22"/>
          <w:rtl w:val="0"/>
        </w:rPr>
        <w:tab/>
      </w:r>
    </w:p>
    <w:p w:rsidR="00000000" w:rsidDel="00000000" w:rsidP="00000000" w:rsidRDefault="00000000" w:rsidRPr="00000000" w14:paraId="00000DF9">
      <w:pPr>
        <w:jc w:val="both"/>
        <w:rPr>
          <w:sz w:val="22"/>
          <w:szCs w:val="22"/>
        </w:rPr>
      </w:pPr>
      <w:r w:rsidDel="00000000" w:rsidR="00000000" w:rsidRPr="00000000">
        <w:rPr>
          <w:sz w:val="22"/>
          <w:szCs w:val="22"/>
          <w:rtl w:val="0"/>
        </w:rPr>
        <w:t xml:space="preserve">Jansen J. Weir KR. Shaheed CA. Blyth F. Mathieson S. (2022). "Opioid deprescribing: Qualitative perspectives from those with chronic non-cancer pain." </w:t>
      </w:r>
      <w:r w:rsidDel="00000000" w:rsidR="00000000" w:rsidRPr="00000000">
        <w:rPr>
          <w:i w:val="1"/>
          <w:sz w:val="22"/>
          <w:szCs w:val="22"/>
          <w:rtl w:val="0"/>
        </w:rPr>
        <w:t xml:space="preserve">Research in Social and Administrative Pharmacy</w:t>
      </w:r>
      <w:r w:rsidDel="00000000" w:rsidR="00000000" w:rsidRPr="00000000">
        <w:rPr>
          <w:sz w:val="22"/>
          <w:szCs w:val="22"/>
          <w:rtl w:val="0"/>
        </w:rPr>
        <w:t xml:space="preserve">. 18: 4083-4091.</w:t>
      </w:r>
    </w:p>
    <w:p w:rsidR="00000000" w:rsidDel="00000000" w:rsidP="00000000" w:rsidRDefault="00000000" w:rsidRPr="00000000" w14:paraId="00000DFA">
      <w:pPr>
        <w:jc w:val="both"/>
        <w:rPr>
          <w:sz w:val="22"/>
          <w:szCs w:val="22"/>
        </w:rPr>
      </w:pPr>
      <w:r w:rsidDel="00000000" w:rsidR="00000000" w:rsidRPr="00000000">
        <w:rPr>
          <w:rtl w:val="0"/>
        </w:rPr>
      </w:r>
    </w:p>
    <w:p w:rsidR="00000000" w:rsidDel="00000000" w:rsidP="00000000" w:rsidRDefault="00000000" w:rsidRPr="00000000" w14:paraId="00000DFB">
      <w:pPr>
        <w:jc w:val="both"/>
        <w:rPr/>
      </w:pPr>
      <w:r w:rsidDel="00000000" w:rsidR="00000000" w:rsidRPr="00000000">
        <w:rPr>
          <w:rtl w:val="0"/>
        </w:rPr>
        <w:t xml:space="preserve">Jani M. Yimer BB. Sheppard T. Lunt M. Dixon WG. (2020). Time trends and prescribing patterns of opioid drugs in UK primary care patients with non-cancer pain: A retrospective study. PLOS ONE. 17(10): 1-16</w:t>
      </w:r>
    </w:p>
    <w:p w:rsidR="00000000" w:rsidDel="00000000" w:rsidP="00000000" w:rsidRDefault="00000000" w:rsidRPr="00000000" w14:paraId="00000DFC">
      <w:pPr>
        <w:jc w:val="both"/>
        <w:rPr>
          <w:sz w:val="22"/>
          <w:szCs w:val="22"/>
        </w:rPr>
      </w:pPr>
      <w:r w:rsidDel="00000000" w:rsidR="00000000" w:rsidRPr="00000000">
        <w:rPr>
          <w:rtl w:val="0"/>
        </w:rPr>
      </w:r>
    </w:p>
    <w:p w:rsidR="00000000" w:rsidDel="00000000" w:rsidP="00000000" w:rsidRDefault="00000000" w:rsidRPr="00000000" w14:paraId="00000DFD">
      <w:pPr>
        <w:jc w:val="both"/>
        <w:rPr>
          <w:sz w:val="22"/>
          <w:szCs w:val="22"/>
        </w:rPr>
      </w:pPr>
      <w:r w:rsidDel="00000000" w:rsidR="00000000" w:rsidRPr="00000000">
        <w:rPr>
          <w:rtl w:val="0"/>
        </w:rPr>
      </w:r>
    </w:p>
    <w:p w:rsidR="00000000" w:rsidDel="00000000" w:rsidP="00000000" w:rsidRDefault="00000000" w:rsidRPr="00000000" w14:paraId="00000DFE">
      <w:pPr>
        <w:jc w:val="both"/>
        <w:rPr>
          <w:sz w:val="22"/>
          <w:szCs w:val="22"/>
        </w:rPr>
      </w:pPr>
      <w:r w:rsidDel="00000000" w:rsidR="00000000" w:rsidRPr="00000000">
        <w:rPr>
          <w:sz w:val="22"/>
          <w:szCs w:val="22"/>
          <w:rtl w:val="0"/>
        </w:rPr>
        <w:t xml:space="preserve">Jarvinen-Tassopoulos J. (2017). "The endless dilemma with qualitative research." </w:t>
      </w:r>
      <w:r w:rsidDel="00000000" w:rsidR="00000000" w:rsidRPr="00000000">
        <w:rPr>
          <w:i w:val="1"/>
          <w:sz w:val="22"/>
          <w:szCs w:val="22"/>
          <w:rtl w:val="0"/>
        </w:rPr>
        <w:t xml:space="preserve">Nordic Studies on Alcohol and Drugs</w:t>
      </w:r>
      <w:r w:rsidDel="00000000" w:rsidR="00000000" w:rsidRPr="00000000">
        <w:rPr>
          <w:sz w:val="22"/>
          <w:szCs w:val="22"/>
          <w:rtl w:val="0"/>
        </w:rPr>
        <w:t xml:space="preserve">. 34(3): 198-200.</w:t>
      </w:r>
    </w:p>
    <w:p w:rsidR="00000000" w:rsidDel="00000000" w:rsidP="00000000" w:rsidRDefault="00000000" w:rsidRPr="00000000" w14:paraId="00000DFF">
      <w:pPr>
        <w:jc w:val="both"/>
        <w:rPr>
          <w:sz w:val="22"/>
          <w:szCs w:val="22"/>
        </w:rPr>
      </w:pPr>
      <w:r w:rsidDel="00000000" w:rsidR="00000000" w:rsidRPr="00000000">
        <w:rPr>
          <w:sz w:val="22"/>
          <w:szCs w:val="22"/>
          <w:rtl w:val="0"/>
        </w:rPr>
        <w:tab/>
      </w:r>
    </w:p>
    <w:p w:rsidR="00000000" w:rsidDel="00000000" w:rsidP="00000000" w:rsidRDefault="00000000" w:rsidRPr="00000000" w14:paraId="00000E00">
      <w:pPr>
        <w:jc w:val="both"/>
        <w:rPr>
          <w:sz w:val="22"/>
          <w:szCs w:val="22"/>
        </w:rPr>
      </w:pPr>
      <w:r w:rsidDel="00000000" w:rsidR="00000000" w:rsidRPr="00000000">
        <w:rPr>
          <w:sz w:val="22"/>
          <w:szCs w:val="22"/>
          <w:rtl w:val="0"/>
        </w:rPr>
        <w:t xml:space="preserve">Jefferson L. Bloor K. Maynard A. (2015). "Women in medicine: historical perspectives and recent trends." </w:t>
      </w:r>
      <w:r w:rsidDel="00000000" w:rsidR="00000000" w:rsidRPr="00000000">
        <w:rPr>
          <w:i w:val="1"/>
          <w:sz w:val="22"/>
          <w:szCs w:val="22"/>
          <w:rtl w:val="0"/>
        </w:rPr>
        <w:t xml:space="preserve">British Medical Bulletin</w:t>
      </w:r>
      <w:r w:rsidDel="00000000" w:rsidR="00000000" w:rsidRPr="00000000">
        <w:rPr>
          <w:sz w:val="22"/>
          <w:szCs w:val="22"/>
          <w:rtl w:val="0"/>
        </w:rPr>
        <w:t xml:space="preserve"> 114: 5-15.</w:t>
      </w:r>
    </w:p>
    <w:p w:rsidR="00000000" w:rsidDel="00000000" w:rsidP="00000000" w:rsidRDefault="00000000" w:rsidRPr="00000000" w14:paraId="00000E01">
      <w:pPr>
        <w:jc w:val="both"/>
        <w:rPr>
          <w:sz w:val="22"/>
          <w:szCs w:val="22"/>
        </w:rPr>
      </w:pPr>
      <w:r w:rsidDel="00000000" w:rsidR="00000000" w:rsidRPr="00000000">
        <w:rPr>
          <w:sz w:val="22"/>
          <w:szCs w:val="22"/>
          <w:rtl w:val="0"/>
        </w:rPr>
        <w:tab/>
      </w:r>
    </w:p>
    <w:p w:rsidR="00000000" w:rsidDel="00000000" w:rsidP="00000000" w:rsidRDefault="00000000" w:rsidRPr="00000000" w14:paraId="00000E02">
      <w:pPr>
        <w:jc w:val="both"/>
        <w:rPr>
          <w:sz w:val="22"/>
          <w:szCs w:val="22"/>
        </w:rPr>
      </w:pPr>
      <w:r w:rsidDel="00000000" w:rsidR="00000000" w:rsidRPr="00000000">
        <w:rPr>
          <w:sz w:val="22"/>
          <w:szCs w:val="22"/>
          <w:rtl w:val="0"/>
        </w:rPr>
        <w:t xml:space="preserve">Jellinek EM. (1960). The disease concept of alcoholism, Hillhouse.</w:t>
      </w:r>
    </w:p>
    <w:p w:rsidR="00000000" w:rsidDel="00000000" w:rsidP="00000000" w:rsidRDefault="00000000" w:rsidRPr="00000000" w14:paraId="00000E03">
      <w:pPr>
        <w:jc w:val="both"/>
        <w:rPr>
          <w:sz w:val="22"/>
          <w:szCs w:val="22"/>
        </w:rPr>
      </w:pPr>
      <w:r w:rsidDel="00000000" w:rsidR="00000000" w:rsidRPr="00000000">
        <w:rPr>
          <w:sz w:val="22"/>
          <w:szCs w:val="22"/>
          <w:rtl w:val="0"/>
        </w:rPr>
        <w:tab/>
      </w:r>
    </w:p>
    <w:p w:rsidR="00000000" w:rsidDel="00000000" w:rsidP="00000000" w:rsidRDefault="00000000" w:rsidRPr="00000000" w14:paraId="00000E04">
      <w:pPr>
        <w:jc w:val="both"/>
        <w:rPr>
          <w:sz w:val="22"/>
          <w:szCs w:val="22"/>
        </w:rPr>
      </w:pPr>
      <w:r w:rsidDel="00000000" w:rsidR="00000000" w:rsidRPr="00000000">
        <w:rPr>
          <w:sz w:val="22"/>
          <w:szCs w:val="22"/>
          <w:rtl w:val="0"/>
        </w:rPr>
        <w:t xml:space="preserve">Jha A. Orav E. Zheng J. Epstein A. (2008). "Patients’ perception of hospital care in the United States." </w:t>
      </w:r>
      <w:r w:rsidDel="00000000" w:rsidR="00000000" w:rsidRPr="00000000">
        <w:rPr>
          <w:i w:val="1"/>
          <w:sz w:val="22"/>
          <w:szCs w:val="22"/>
          <w:rtl w:val="0"/>
        </w:rPr>
        <w:t xml:space="preserve">New Eng J Med</w:t>
      </w:r>
      <w:r w:rsidDel="00000000" w:rsidR="00000000" w:rsidRPr="00000000">
        <w:rPr>
          <w:sz w:val="22"/>
          <w:szCs w:val="22"/>
          <w:rtl w:val="0"/>
        </w:rPr>
        <w:t xml:space="preserve">: 1921-1931.</w:t>
      </w:r>
    </w:p>
    <w:p w:rsidR="00000000" w:rsidDel="00000000" w:rsidP="00000000" w:rsidRDefault="00000000" w:rsidRPr="00000000" w14:paraId="00000E05">
      <w:pPr>
        <w:jc w:val="both"/>
        <w:rPr>
          <w:sz w:val="22"/>
          <w:szCs w:val="22"/>
        </w:rPr>
      </w:pPr>
      <w:r w:rsidDel="00000000" w:rsidR="00000000" w:rsidRPr="00000000">
        <w:rPr>
          <w:sz w:val="22"/>
          <w:szCs w:val="22"/>
          <w:rtl w:val="0"/>
        </w:rPr>
        <w:tab/>
      </w:r>
    </w:p>
    <w:p w:rsidR="00000000" w:rsidDel="00000000" w:rsidP="00000000" w:rsidRDefault="00000000" w:rsidRPr="00000000" w14:paraId="00000E06">
      <w:pPr>
        <w:jc w:val="both"/>
        <w:rPr>
          <w:sz w:val="22"/>
          <w:szCs w:val="22"/>
        </w:rPr>
      </w:pPr>
      <w:r w:rsidDel="00000000" w:rsidR="00000000" w:rsidRPr="00000000">
        <w:rPr>
          <w:sz w:val="22"/>
          <w:szCs w:val="22"/>
          <w:rtl w:val="0"/>
        </w:rPr>
        <w:t xml:space="preserve">John Hopkins Medicine (2023). Chronic Pain [online]. John Hopkins Medicine. Available at: </w:t>
      </w:r>
      <w:hyperlink r:id="rId46">
        <w:r w:rsidDel="00000000" w:rsidR="00000000" w:rsidRPr="00000000">
          <w:rPr>
            <w:color w:val="467886"/>
            <w:sz w:val="22"/>
            <w:szCs w:val="22"/>
            <w:u w:val="single"/>
            <w:rtl w:val="0"/>
          </w:rPr>
          <w:t xml:space="preserve">https://www.hopkinsmedicine.org/health/conditions-and-diseases/chronic-pain</w:t>
        </w:r>
      </w:hyperlink>
      <w:r w:rsidDel="00000000" w:rsidR="00000000" w:rsidRPr="00000000">
        <w:rPr>
          <w:sz w:val="22"/>
          <w:szCs w:val="22"/>
          <w:rtl w:val="0"/>
        </w:rPr>
        <w:t xml:space="preserve"> (-2/02/2023)</w:t>
      </w:r>
    </w:p>
    <w:p w:rsidR="00000000" w:rsidDel="00000000" w:rsidP="00000000" w:rsidRDefault="00000000" w:rsidRPr="00000000" w14:paraId="00000E07">
      <w:pPr>
        <w:jc w:val="both"/>
        <w:rPr>
          <w:sz w:val="22"/>
          <w:szCs w:val="22"/>
        </w:rPr>
      </w:pPr>
      <w:r w:rsidDel="00000000" w:rsidR="00000000" w:rsidRPr="00000000">
        <w:rPr>
          <w:sz w:val="22"/>
          <w:szCs w:val="22"/>
          <w:rtl w:val="0"/>
        </w:rPr>
        <w:tab/>
      </w:r>
    </w:p>
    <w:p w:rsidR="00000000" w:rsidDel="00000000" w:rsidP="00000000" w:rsidRDefault="00000000" w:rsidRPr="00000000" w14:paraId="00000E08">
      <w:pPr>
        <w:jc w:val="both"/>
        <w:rPr>
          <w:sz w:val="22"/>
          <w:szCs w:val="22"/>
        </w:rPr>
      </w:pPr>
      <w:r w:rsidDel="00000000" w:rsidR="00000000" w:rsidRPr="00000000">
        <w:rPr>
          <w:sz w:val="22"/>
          <w:szCs w:val="22"/>
          <w:rtl w:val="0"/>
        </w:rPr>
        <w:t xml:space="preserve">Johnson B. (2020). Prime Ministers statement on coronavirus (COVID-19): 23 March 2020, British Broadcasting Corporation.</w:t>
      </w:r>
    </w:p>
    <w:p w:rsidR="00000000" w:rsidDel="00000000" w:rsidP="00000000" w:rsidRDefault="00000000" w:rsidRPr="00000000" w14:paraId="00000E09">
      <w:pPr>
        <w:jc w:val="both"/>
        <w:rPr>
          <w:sz w:val="22"/>
          <w:szCs w:val="22"/>
        </w:rPr>
      </w:pPr>
      <w:r w:rsidDel="00000000" w:rsidR="00000000" w:rsidRPr="00000000">
        <w:rPr>
          <w:sz w:val="22"/>
          <w:szCs w:val="22"/>
          <w:rtl w:val="0"/>
        </w:rPr>
        <w:tab/>
      </w:r>
    </w:p>
    <w:p w:rsidR="00000000" w:rsidDel="00000000" w:rsidP="00000000" w:rsidRDefault="00000000" w:rsidRPr="00000000" w14:paraId="00000E0A">
      <w:pPr>
        <w:jc w:val="both"/>
        <w:rPr>
          <w:sz w:val="22"/>
          <w:szCs w:val="22"/>
        </w:rPr>
      </w:pPr>
      <w:r w:rsidDel="00000000" w:rsidR="00000000" w:rsidRPr="00000000">
        <w:rPr>
          <w:sz w:val="22"/>
          <w:szCs w:val="22"/>
          <w:rtl w:val="0"/>
        </w:rPr>
        <w:t xml:space="preserve">Johnson CF. Williams B. MacGillivray SA. Dougall NJ. Maxwell M. (2017). "‘Doing the right thing’: factors influencing GP prescribing of antidepressants and prescribed doses." </w:t>
      </w:r>
      <w:r w:rsidDel="00000000" w:rsidR="00000000" w:rsidRPr="00000000">
        <w:rPr>
          <w:i w:val="1"/>
          <w:sz w:val="22"/>
          <w:szCs w:val="22"/>
          <w:rtl w:val="0"/>
        </w:rPr>
        <w:t xml:space="preserve">BMC Family Practice</w:t>
      </w:r>
      <w:r w:rsidDel="00000000" w:rsidR="00000000" w:rsidRPr="00000000">
        <w:rPr>
          <w:sz w:val="22"/>
          <w:szCs w:val="22"/>
          <w:rtl w:val="0"/>
        </w:rPr>
        <w:t xml:space="preserve"> 18(72): 1-13.</w:t>
      </w:r>
    </w:p>
    <w:p w:rsidR="00000000" w:rsidDel="00000000" w:rsidP="00000000" w:rsidRDefault="00000000" w:rsidRPr="00000000" w14:paraId="00000E0B">
      <w:pPr>
        <w:jc w:val="both"/>
        <w:rPr>
          <w:sz w:val="22"/>
          <w:szCs w:val="22"/>
        </w:rPr>
      </w:pPr>
      <w:r w:rsidDel="00000000" w:rsidR="00000000" w:rsidRPr="00000000">
        <w:rPr>
          <w:sz w:val="22"/>
          <w:szCs w:val="22"/>
          <w:rtl w:val="0"/>
        </w:rPr>
        <w:tab/>
      </w:r>
    </w:p>
    <w:p w:rsidR="00000000" w:rsidDel="00000000" w:rsidP="00000000" w:rsidRDefault="00000000" w:rsidRPr="00000000" w14:paraId="00000E0C">
      <w:pPr>
        <w:jc w:val="both"/>
        <w:rPr>
          <w:sz w:val="22"/>
          <w:szCs w:val="22"/>
        </w:rPr>
      </w:pPr>
      <w:r w:rsidDel="00000000" w:rsidR="00000000" w:rsidRPr="00000000">
        <w:rPr>
          <w:sz w:val="22"/>
          <w:szCs w:val="22"/>
          <w:rtl w:val="0"/>
        </w:rPr>
        <w:t xml:space="preserve">Johnston LD. O’Malley PM. Bachman JG. Schulenberg JE (2010). Monitoring the Future National Survey Results on Drug Use 1975-2009. Bethesda, MD, National Institute of Health.</w:t>
      </w:r>
    </w:p>
    <w:p w:rsidR="00000000" w:rsidDel="00000000" w:rsidP="00000000" w:rsidRDefault="00000000" w:rsidRPr="00000000" w14:paraId="00000E0D">
      <w:pPr>
        <w:jc w:val="both"/>
        <w:rPr>
          <w:sz w:val="22"/>
          <w:szCs w:val="22"/>
        </w:rPr>
      </w:pPr>
      <w:r w:rsidDel="00000000" w:rsidR="00000000" w:rsidRPr="00000000">
        <w:rPr>
          <w:sz w:val="22"/>
          <w:szCs w:val="22"/>
          <w:rtl w:val="0"/>
        </w:rPr>
        <w:tab/>
      </w:r>
    </w:p>
    <w:p w:rsidR="00000000" w:rsidDel="00000000" w:rsidP="00000000" w:rsidRDefault="00000000" w:rsidRPr="00000000" w14:paraId="00000E0E">
      <w:pPr>
        <w:jc w:val="both"/>
        <w:rPr>
          <w:sz w:val="22"/>
          <w:szCs w:val="22"/>
        </w:rPr>
      </w:pPr>
      <w:r w:rsidDel="00000000" w:rsidR="00000000" w:rsidRPr="00000000">
        <w:rPr>
          <w:sz w:val="22"/>
          <w:szCs w:val="22"/>
          <w:rtl w:val="0"/>
        </w:rPr>
        <w:t xml:space="preserve">Johnston MP. (2014). "Secondary Data Analysis: A Method of which the Time Has Changed." Qualitative and Quantitative Methods in Libraries.</w:t>
      </w:r>
    </w:p>
    <w:p w:rsidR="00000000" w:rsidDel="00000000" w:rsidP="00000000" w:rsidRDefault="00000000" w:rsidRPr="00000000" w14:paraId="00000E0F">
      <w:pPr>
        <w:jc w:val="both"/>
        <w:rPr>
          <w:sz w:val="22"/>
          <w:szCs w:val="22"/>
        </w:rPr>
      </w:pPr>
      <w:r w:rsidDel="00000000" w:rsidR="00000000" w:rsidRPr="00000000">
        <w:rPr>
          <w:rtl w:val="0"/>
        </w:rPr>
      </w:r>
    </w:p>
    <w:p w:rsidR="00000000" w:rsidDel="00000000" w:rsidP="00000000" w:rsidRDefault="00000000" w:rsidRPr="00000000" w14:paraId="00000E10">
      <w:pPr>
        <w:jc w:val="both"/>
        <w:rPr>
          <w:sz w:val="22"/>
          <w:szCs w:val="22"/>
        </w:rPr>
      </w:pPr>
      <w:r w:rsidDel="00000000" w:rsidR="00000000" w:rsidRPr="00000000">
        <w:rPr>
          <w:sz w:val="22"/>
          <w:szCs w:val="22"/>
          <w:rtl w:val="0"/>
        </w:rPr>
        <w:t xml:space="preserve">Juergens, J. (2022). Understanding The Dependence Vs. Addiction Debate [online]. Addictions Center. Available at: </w:t>
      </w:r>
      <w:hyperlink r:id="rId47">
        <w:r w:rsidDel="00000000" w:rsidR="00000000" w:rsidRPr="00000000">
          <w:rPr>
            <w:color w:val="467886"/>
            <w:sz w:val="22"/>
            <w:szCs w:val="22"/>
            <w:u w:val="single"/>
            <w:rtl w:val="0"/>
          </w:rPr>
          <w:t xml:space="preserve">https://www.addictioncenter.com/addiction/addiction-vs-dependence/</w:t>
        </w:r>
      </w:hyperlink>
      <w:r w:rsidDel="00000000" w:rsidR="00000000" w:rsidRPr="00000000">
        <w:rPr>
          <w:sz w:val="22"/>
          <w:szCs w:val="22"/>
          <w:rtl w:val="0"/>
        </w:rPr>
        <w:t xml:space="preserve"> (27/01/2022)</w:t>
      </w:r>
    </w:p>
    <w:p w:rsidR="00000000" w:rsidDel="00000000" w:rsidP="00000000" w:rsidRDefault="00000000" w:rsidRPr="00000000" w14:paraId="00000E11">
      <w:pPr>
        <w:jc w:val="both"/>
        <w:rPr>
          <w:sz w:val="22"/>
          <w:szCs w:val="22"/>
        </w:rPr>
      </w:pPr>
      <w:r w:rsidDel="00000000" w:rsidR="00000000" w:rsidRPr="00000000">
        <w:rPr>
          <w:rtl w:val="0"/>
        </w:rPr>
      </w:r>
    </w:p>
    <w:p w:rsidR="00000000" w:rsidDel="00000000" w:rsidP="00000000" w:rsidRDefault="00000000" w:rsidRPr="00000000" w14:paraId="00000E12">
      <w:pPr>
        <w:jc w:val="both"/>
        <w:rPr>
          <w:sz w:val="22"/>
          <w:szCs w:val="22"/>
        </w:rPr>
      </w:pPr>
      <w:r w:rsidDel="00000000" w:rsidR="00000000" w:rsidRPr="00000000">
        <w:rPr>
          <w:sz w:val="22"/>
          <w:szCs w:val="22"/>
          <w:rtl w:val="0"/>
        </w:rPr>
        <w:t xml:space="preserve">Kaczmarek E. (2018). "How to distinguish medicalization from over-medicalization?" </w:t>
      </w:r>
      <w:r w:rsidDel="00000000" w:rsidR="00000000" w:rsidRPr="00000000">
        <w:rPr>
          <w:i w:val="1"/>
          <w:sz w:val="22"/>
          <w:szCs w:val="22"/>
          <w:rtl w:val="0"/>
        </w:rPr>
        <w:t xml:space="preserve">Medicine, Health Care, and Philosophy</w:t>
      </w:r>
      <w:r w:rsidDel="00000000" w:rsidR="00000000" w:rsidRPr="00000000">
        <w:rPr>
          <w:sz w:val="22"/>
          <w:szCs w:val="22"/>
          <w:rtl w:val="0"/>
        </w:rPr>
        <w:t xml:space="preserve"> 22: 119-128.</w:t>
      </w:r>
    </w:p>
    <w:p w:rsidR="00000000" w:rsidDel="00000000" w:rsidP="00000000" w:rsidRDefault="00000000" w:rsidRPr="00000000" w14:paraId="00000E13">
      <w:pPr>
        <w:jc w:val="both"/>
        <w:rPr>
          <w:sz w:val="22"/>
          <w:szCs w:val="22"/>
        </w:rPr>
      </w:pPr>
      <w:r w:rsidDel="00000000" w:rsidR="00000000" w:rsidRPr="00000000">
        <w:rPr>
          <w:sz w:val="22"/>
          <w:szCs w:val="22"/>
          <w:rtl w:val="0"/>
        </w:rPr>
        <w:tab/>
      </w:r>
    </w:p>
    <w:p w:rsidR="00000000" w:rsidDel="00000000" w:rsidP="00000000" w:rsidRDefault="00000000" w:rsidRPr="00000000" w14:paraId="00000E14">
      <w:pPr>
        <w:jc w:val="both"/>
        <w:rPr>
          <w:sz w:val="22"/>
          <w:szCs w:val="22"/>
        </w:rPr>
      </w:pPr>
      <w:r w:rsidDel="00000000" w:rsidR="00000000" w:rsidRPr="00000000">
        <w:rPr>
          <w:sz w:val="22"/>
          <w:szCs w:val="22"/>
          <w:rtl w:val="0"/>
        </w:rPr>
        <w:t xml:space="preserve">Kakilla, A. (2021). "Strengths and Weaknesses of Semi-Structured Interviews in Qualitative Research: A Critical Essay." 1-4.</w:t>
      </w:r>
    </w:p>
    <w:p w:rsidR="00000000" w:rsidDel="00000000" w:rsidP="00000000" w:rsidRDefault="00000000" w:rsidRPr="00000000" w14:paraId="00000E15">
      <w:pPr>
        <w:jc w:val="both"/>
        <w:rPr>
          <w:sz w:val="22"/>
          <w:szCs w:val="22"/>
        </w:rPr>
      </w:pPr>
      <w:r w:rsidDel="00000000" w:rsidR="00000000" w:rsidRPr="00000000">
        <w:rPr>
          <w:rtl w:val="0"/>
        </w:rPr>
      </w:r>
    </w:p>
    <w:p w:rsidR="00000000" w:rsidDel="00000000" w:rsidP="00000000" w:rsidRDefault="00000000" w:rsidRPr="00000000" w14:paraId="00000E16">
      <w:pPr>
        <w:jc w:val="both"/>
        <w:rPr>
          <w:sz w:val="22"/>
          <w:szCs w:val="22"/>
        </w:rPr>
      </w:pPr>
      <w:r w:rsidDel="00000000" w:rsidR="00000000" w:rsidRPr="00000000">
        <w:rPr>
          <w:sz w:val="22"/>
          <w:szCs w:val="22"/>
          <w:rtl w:val="0"/>
        </w:rPr>
        <w:t xml:space="preserve">Kaliszewski, M. (2021). Alcohol and Drug Abuse Among Blue—Collar Worker. American Addiction Centers.</w:t>
      </w:r>
    </w:p>
    <w:p w:rsidR="00000000" w:rsidDel="00000000" w:rsidP="00000000" w:rsidRDefault="00000000" w:rsidRPr="00000000" w14:paraId="00000E17">
      <w:pPr>
        <w:jc w:val="both"/>
        <w:rPr>
          <w:sz w:val="22"/>
          <w:szCs w:val="22"/>
        </w:rPr>
      </w:pPr>
      <w:r w:rsidDel="00000000" w:rsidR="00000000" w:rsidRPr="00000000">
        <w:rPr>
          <w:sz w:val="22"/>
          <w:szCs w:val="22"/>
          <w:rtl w:val="0"/>
        </w:rPr>
        <w:tab/>
      </w:r>
    </w:p>
    <w:p w:rsidR="00000000" w:rsidDel="00000000" w:rsidP="00000000" w:rsidRDefault="00000000" w:rsidRPr="00000000" w14:paraId="00000E18">
      <w:pPr>
        <w:jc w:val="both"/>
        <w:rPr>
          <w:sz w:val="22"/>
          <w:szCs w:val="22"/>
        </w:rPr>
      </w:pPr>
      <w:r w:rsidDel="00000000" w:rsidR="00000000" w:rsidRPr="00000000">
        <w:rPr>
          <w:sz w:val="22"/>
          <w:szCs w:val="22"/>
          <w:rtl w:val="0"/>
        </w:rPr>
        <w:t xml:space="preserve">Kallio H. Pietilä AM. Johnson M. Kangasniemi M. (2016). "Systematic methodological review: developing a framework for a qualitative semi-structured interview guide.". Journal of Advanced Nursing 72(12).</w:t>
      </w:r>
    </w:p>
    <w:p w:rsidR="00000000" w:rsidDel="00000000" w:rsidP="00000000" w:rsidRDefault="00000000" w:rsidRPr="00000000" w14:paraId="00000E19">
      <w:pPr>
        <w:jc w:val="both"/>
        <w:rPr>
          <w:sz w:val="22"/>
          <w:szCs w:val="22"/>
        </w:rPr>
      </w:pPr>
      <w:r w:rsidDel="00000000" w:rsidR="00000000" w:rsidRPr="00000000">
        <w:rPr>
          <w:sz w:val="22"/>
          <w:szCs w:val="22"/>
          <w:rtl w:val="0"/>
        </w:rPr>
        <w:tab/>
      </w:r>
    </w:p>
    <w:p w:rsidR="00000000" w:rsidDel="00000000" w:rsidP="00000000" w:rsidRDefault="00000000" w:rsidRPr="00000000" w14:paraId="00000E1A">
      <w:pPr>
        <w:jc w:val="both"/>
        <w:rPr>
          <w:sz w:val="22"/>
          <w:szCs w:val="22"/>
        </w:rPr>
      </w:pPr>
      <w:r w:rsidDel="00000000" w:rsidR="00000000" w:rsidRPr="00000000">
        <w:rPr>
          <w:sz w:val="22"/>
          <w:szCs w:val="22"/>
          <w:rtl w:val="0"/>
        </w:rPr>
        <w:t xml:space="preserve">Kawahigashi, E. (2017). Stay in Your Lane: What are Culturally Appropriate Boundaries? Omprakash.</w:t>
      </w:r>
    </w:p>
    <w:p w:rsidR="00000000" w:rsidDel="00000000" w:rsidP="00000000" w:rsidRDefault="00000000" w:rsidRPr="00000000" w14:paraId="00000E1B">
      <w:pPr>
        <w:jc w:val="both"/>
        <w:rPr>
          <w:sz w:val="22"/>
          <w:szCs w:val="22"/>
        </w:rPr>
      </w:pPr>
      <w:r w:rsidDel="00000000" w:rsidR="00000000" w:rsidRPr="00000000">
        <w:rPr>
          <w:sz w:val="22"/>
          <w:szCs w:val="22"/>
          <w:rtl w:val="0"/>
        </w:rPr>
        <w:tab/>
      </w:r>
    </w:p>
    <w:p w:rsidR="00000000" w:rsidDel="00000000" w:rsidP="00000000" w:rsidRDefault="00000000" w:rsidRPr="00000000" w14:paraId="00000E1C">
      <w:pPr>
        <w:jc w:val="both"/>
        <w:rPr>
          <w:sz w:val="22"/>
          <w:szCs w:val="22"/>
        </w:rPr>
      </w:pPr>
      <w:r w:rsidDel="00000000" w:rsidR="00000000" w:rsidRPr="00000000">
        <w:rPr>
          <w:sz w:val="22"/>
          <w:szCs w:val="22"/>
          <w:rtl w:val="0"/>
        </w:rPr>
        <w:t xml:space="preserve">Kelle U. (2004). Computer-assisted analysis of qualitative data. A companion to qualitative research., Sage.</w:t>
      </w:r>
    </w:p>
    <w:p w:rsidR="00000000" w:rsidDel="00000000" w:rsidP="00000000" w:rsidRDefault="00000000" w:rsidRPr="00000000" w14:paraId="00000E1D">
      <w:pPr>
        <w:jc w:val="both"/>
        <w:rPr>
          <w:sz w:val="22"/>
          <w:szCs w:val="22"/>
        </w:rPr>
      </w:pPr>
      <w:r w:rsidDel="00000000" w:rsidR="00000000" w:rsidRPr="00000000">
        <w:rPr>
          <w:rtl w:val="0"/>
        </w:rPr>
      </w:r>
    </w:p>
    <w:p w:rsidR="00000000" w:rsidDel="00000000" w:rsidP="00000000" w:rsidRDefault="00000000" w:rsidRPr="00000000" w14:paraId="00000E1E">
      <w:pPr>
        <w:jc w:val="both"/>
        <w:rPr>
          <w:sz w:val="22"/>
          <w:szCs w:val="22"/>
        </w:rPr>
      </w:pPr>
      <w:r w:rsidDel="00000000" w:rsidR="00000000" w:rsidRPr="00000000">
        <w:rPr>
          <w:sz w:val="22"/>
          <w:szCs w:val="22"/>
          <w:rtl w:val="0"/>
        </w:rPr>
        <w:t xml:space="preserve">Kesten JM. Thomas K. Scott LJ. Bache K. Hickman M. Campbell R. Pickering AE. Redwood S. (2020). "Acceptability of a primary care-based opioid and pain review service: a mixed-methods evaluation in England."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w:t>
      </w:r>
    </w:p>
    <w:p w:rsidR="00000000" w:rsidDel="00000000" w:rsidP="00000000" w:rsidRDefault="00000000" w:rsidRPr="00000000" w14:paraId="00000E1F">
      <w:pPr>
        <w:jc w:val="both"/>
        <w:rPr>
          <w:sz w:val="22"/>
          <w:szCs w:val="22"/>
        </w:rPr>
      </w:pPr>
      <w:r w:rsidDel="00000000" w:rsidR="00000000" w:rsidRPr="00000000">
        <w:rPr>
          <w:sz w:val="22"/>
          <w:szCs w:val="22"/>
          <w:rtl w:val="0"/>
        </w:rPr>
        <w:tab/>
      </w:r>
    </w:p>
    <w:p w:rsidR="00000000" w:rsidDel="00000000" w:rsidP="00000000" w:rsidRDefault="00000000" w:rsidRPr="00000000" w14:paraId="00000E20">
      <w:pPr>
        <w:jc w:val="both"/>
        <w:rPr>
          <w:sz w:val="22"/>
          <w:szCs w:val="22"/>
        </w:rPr>
      </w:pPr>
      <w:r w:rsidDel="00000000" w:rsidR="00000000" w:rsidRPr="00000000">
        <w:rPr>
          <w:sz w:val="22"/>
          <w:szCs w:val="22"/>
          <w:rtl w:val="0"/>
        </w:rPr>
        <w:t xml:space="preserve">Kettley N. (2007). "The past, present and future of widening participation research." </w:t>
      </w:r>
      <w:r w:rsidDel="00000000" w:rsidR="00000000" w:rsidRPr="00000000">
        <w:rPr>
          <w:i w:val="1"/>
          <w:sz w:val="22"/>
          <w:szCs w:val="22"/>
          <w:rtl w:val="0"/>
        </w:rPr>
        <w:t xml:space="preserve">British Journal of Sociology of Education</w:t>
      </w:r>
      <w:r w:rsidDel="00000000" w:rsidR="00000000" w:rsidRPr="00000000">
        <w:rPr>
          <w:sz w:val="22"/>
          <w:szCs w:val="22"/>
          <w:rtl w:val="0"/>
        </w:rPr>
        <w:t xml:space="preserve"> 28(3): 333-347.</w:t>
      </w:r>
    </w:p>
    <w:p w:rsidR="00000000" w:rsidDel="00000000" w:rsidP="00000000" w:rsidRDefault="00000000" w:rsidRPr="00000000" w14:paraId="00000E21">
      <w:pPr>
        <w:jc w:val="both"/>
        <w:rPr>
          <w:sz w:val="22"/>
          <w:szCs w:val="22"/>
        </w:rPr>
      </w:pPr>
      <w:r w:rsidDel="00000000" w:rsidR="00000000" w:rsidRPr="00000000">
        <w:rPr>
          <w:sz w:val="22"/>
          <w:szCs w:val="22"/>
          <w:rtl w:val="0"/>
        </w:rPr>
        <w:tab/>
      </w:r>
    </w:p>
    <w:p w:rsidR="00000000" w:rsidDel="00000000" w:rsidP="00000000" w:rsidRDefault="00000000" w:rsidRPr="00000000" w14:paraId="00000E22">
      <w:pPr>
        <w:jc w:val="both"/>
        <w:rPr>
          <w:sz w:val="22"/>
          <w:szCs w:val="22"/>
        </w:rPr>
      </w:pPr>
      <w:r w:rsidDel="00000000" w:rsidR="00000000" w:rsidRPr="00000000">
        <w:rPr>
          <w:sz w:val="22"/>
          <w:szCs w:val="22"/>
          <w:rtl w:val="0"/>
        </w:rPr>
        <w:t xml:space="preserve">Khademi H. (2012). "Opium se and mortality in Golestan Cohort Study: a prospective cohort study of 50 000 adults in Iran." </w:t>
      </w:r>
      <w:r w:rsidDel="00000000" w:rsidR="00000000" w:rsidRPr="00000000">
        <w:rPr>
          <w:i w:val="1"/>
          <w:sz w:val="22"/>
          <w:szCs w:val="22"/>
          <w:rtl w:val="0"/>
        </w:rPr>
        <w:t xml:space="preserve">BMJ</w:t>
      </w:r>
      <w:r w:rsidDel="00000000" w:rsidR="00000000" w:rsidRPr="00000000">
        <w:rPr>
          <w:sz w:val="22"/>
          <w:szCs w:val="22"/>
          <w:rtl w:val="0"/>
        </w:rPr>
        <w:t xml:space="preserve"> 2502.</w:t>
      </w:r>
    </w:p>
    <w:p w:rsidR="00000000" w:rsidDel="00000000" w:rsidP="00000000" w:rsidRDefault="00000000" w:rsidRPr="00000000" w14:paraId="00000E23">
      <w:pPr>
        <w:jc w:val="both"/>
        <w:rPr>
          <w:sz w:val="22"/>
          <w:szCs w:val="22"/>
        </w:rPr>
      </w:pPr>
      <w:r w:rsidDel="00000000" w:rsidR="00000000" w:rsidRPr="00000000">
        <w:rPr>
          <w:sz w:val="22"/>
          <w:szCs w:val="22"/>
          <w:rtl w:val="0"/>
        </w:rPr>
        <w:tab/>
      </w:r>
    </w:p>
    <w:p w:rsidR="00000000" w:rsidDel="00000000" w:rsidP="00000000" w:rsidRDefault="00000000" w:rsidRPr="00000000" w14:paraId="00000E24">
      <w:pPr>
        <w:jc w:val="both"/>
        <w:rPr>
          <w:sz w:val="22"/>
          <w:szCs w:val="22"/>
        </w:rPr>
      </w:pPr>
      <w:r w:rsidDel="00000000" w:rsidR="00000000" w:rsidRPr="00000000">
        <w:rPr>
          <w:sz w:val="22"/>
          <w:szCs w:val="22"/>
          <w:rtl w:val="0"/>
        </w:rPr>
        <w:t xml:space="preserve">Khan K. Ward D. Halliday E. Holt V. (2022). "Public perspectives of social prescribing." </w:t>
      </w:r>
      <w:r w:rsidDel="00000000" w:rsidR="00000000" w:rsidRPr="00000000">
        <w:rPr>
          <w:i w:val="1"/>
          <w:sz w:val="22"/>
          <w:szCs w:val="22"/>
          <w:rtl w:val="0"/>
        </w:rPr>
        <w:t xml:space="preserve">Journal of Public</w:t>
      </w:r>
      <w:r w:rsidDel="00000000" w:rsidR="00000000" w:rsidRPr="00000000">
        <w:rPr>
          <w:sz w:val="22"/>
          <w:szCs w:val="22"/>
          <w:rtl w:val="0"/>
        </w:rPr>
        <w:t xml:space="preserve"> Health 44(2): 227-233.</w:t>
      </w:r>
    </w:p>
    <w:p w:rsidR="00000000" w:rsidDel="00000000" w:rsidP="00000000" w:rsidRDefault="00000000" w:rsidRPr="00000000" w14:paraId="00000E25">
      <w:pPr>
        <w:jc w:val="both"/>
        <w:rPr>
          <w:sz w:val="22"/>
          <w:szCs w:val="22"/>
        </w:rPr>
      </w:pPr>
      <w:r w:rsidDel="00000000" w:rsidR="00000000" w:rsidRPr="00000000">
        <w:rPr>
          <w:sz w:val="22"/>
          <w:szCs w:val="22"/>
          <w:rtl w:val="0"/>
        </w:rPr>
        <w:tab/>
      </w:r>
    </w:p>
    <w:p w:rsidR="00000000" w:rsidDel="00000000" w:rsidP="00000000" w:rsidRDefault="00000000" w:rsidRPr="00000000" w14:paraId="00000E26">
      <w:pPr>
        <w:jc w:val="both"/>
        <w:rPr>
          <w:sz w:val="22"/>
          <w:szCs w:val="22"/>
        </w:rPr>
      </w:pPr>
      <w:r w:rsidDel="00000000" w:rsidR="00000000" w:rsidRPr="00000000">
        <w:rPr>
          <w:sz w:val="22"/>
          <w:szCs w:val="22"/>
          <w:rtl w:val="0"/>
        </w:rPr>
        <w:t xml:space="preserve">Kimberlee RH. (2013). Developing a Social Prescribing approach for Bristol. Bristol.</w:t>
      </w:r>
    </w:p>
    <w:p w:rsidR="00000000" w:rsidDel="00000000" w:rsidP="00000000" w:rsidRDefault="00000000" w:rsidRPr="00000000" w14:paraId="00000E27">
      <w:pPr>
        <w:jc w:val="both"/>
        <w:rPr>
          <w:sz w:val="22"/>
          <w:szCs w:val="22"/>
        </w:rPr>
      </w:pPr>
      <w:r w:rsidDel="00000000" w:rsidR="00000000" w:rsidRPr="00000000">
        <w:rPr>
          <w:sz w:val="22"/>
          <w:szCs w:val="22"/>
          <w:rtl w:val="0"/>
        </w:rPr>
        <w:tab/>
      </w:r>
    </w:p>
    <w:p w:rsidR="00000000" w:rsidDel="00000000" w:rsidP="00000000" w:rsidRDefault="00000000" w:rsidRPr="00000000" w14:paraId="00000E28">
      <w:pPr>
        <w:jc w:val="both"/>
        <w:rPr>
          <w:sz w:val="22"/>
          <w:szCs w:val="22"/>
        </w:rPr>
      </w:pPr>
      <w:r w:rsidDel="00000000" w:rsidR="00000000" w:rsidRPr="00000000">
        <w:rPr>
          <w:sz w:val="22"/>
          <w:szCs w:val="22"/>
          <w:rtl w:val="0"/>
        </w:rPr>
        <w:t xml:space="preserve">King N. (2004). Using templates in the thematic analysis of text. London, Sage.</w:t>
      </w:r>
    </w:p>
    <w:p w:rsidR="00000000" w:rsidDel="00000000" w:rsidP="00000000" w:rsidRDefault="00000000" w:rsidRPr="00000000" w14:paraId="00000E29">
      <w:pPr>
        <w:jc w:val="both"/>
        <w:rPr>
          <w:sz w:val="22"/>
          <w:szCs w:val="22"/>
        </w:rPr>
      </w:pPr>
      <w:r w:rsidDel="00000000" w:rsidR="00000000" w:rsidRPr="00000000">
        <w:rPr>
          <w:sz w:val="22"/>
          <w:szCs w:val="22"/>
          <w:rtl w:val="0"/>
        </w:rPr>
        <w:tab/>
      </w:r>
    </w:p>
    <w:p w:rsidR="00000000" w:rsidDel="00000000" w:rsidP="00000000" w:rsidRDefault="00000000" w:rsidRPr="00000000" w14:paraId="00000E2A">
      <w:pPr>
        <w:jc w:val="both"/>
        <w:rPr>
          <w:sz w:val="22"/>
          <w:szCs w:val="22"/>
        </w:rPr>
      </w:pPr>
      <w:r w:rsidDel="00000000" w:rsidR="00000000" w:rsidRPr="00000000">
        <w:rPr>
          <w:sz w:val="22"/>
          <w:szCs w:val="22"/>
          <w:rtl w:val="0"/>
        </w:rPr>
        <w:t xml:space="preserve">Kinnaird E. Kimergard A. Jennings S. Drummond C. Deluca P. (2019). "From pain treatment to opioid dependence: a qualitative study of the environment influence on codeine use in UK adults." </w:t>
      </w:r>
      <w:r w:rsidDel="00000000" w:rsidR="00000000" w:rsidRPr="00000000">
        <w:rPr>
          <w:i w:val="1"/>
          <w:sz w:val="22"/>
          <w:szCs w:val="22"/>
          <w:rtl w:val="0"/>
        </w:rPr>
        <w:t xml:space="preserve">BMJ Open</w:t>
      </w:r>
      <w:r w:rsidDel="00000000" w:rsidR="00000000" w:rsidRPr="00000000">
        <w:rPr>
          <w:sz w:val="22"/>
          <w:szCs w:val="22"/>
          <w:rtl w:val="0"/>
        </w:rPr>
        <w:t xml:space="preserve"> 9: 1-10.</w:t>
      </w:r>
    </w:p>
    <w:p w:rsidR="00000000" w:rsidDel="00000000" w:rsidP="00000000" w:rsidRDefault="00000000" w:rsidRPr="00000000" w14:paraId="00000E2B">
      <w:pPr>
        <w:jc w:val="both"/>
        <w:rPr>
          <w:sz w:val="22"/>
          <w:szCs w:val="22"/>
        </w:rPr>
      </w:pPr>
      <w:r w:rsidDel="00000000" w:rsidR="00000000" w:rsidRPr="00000000">
        <w:rPr>
          <w:sz w:val="22"/>
          <w:szCs w:val="22"/>
          <w:rtl w:val="0"/>
        </w:rPr>
        <w:tab/>
      </w:r>
    </w:p>
    <w:p w:rsidR="00000000" w:rsidDel="00000000" w:rsidP="00000000" w:rsidRDefault="00000000" w:rsidRPr="00000000" w14:paraId="00000E2C">
      <w:pPr>
        <w:jc w:val="both"/>
        <w:rPr>
          <w:sz w:val="22"/>
          <w:szCs w:val="22"/>
        </w:rPr>
      </w:pPr>
      <w:r w:rsidDel="00000000" w:rsidR="00000000" w:rsidRPr="00000000">
        <w:rPr>
          <w:sz w:val="22"/>
          <w:szCs w:val="22"/>
          <w:rtl w:val="0"/>
        </w:rPr>
        <w:t xml:space="preserve">Kirklees C. (2021). Asking ‘about you’ questions. Kirklee.Gov.</w:t>
      </w:r>
    </w:p>
    <w:p w:rsidR="00000000" w:rsidDel="00000000" w:rsidP="00000000" w:rsidRDefault="00000000" w:rsidRPr="00000000" w14:paraId="00000E2D">
      <w:pPr>
        <w:jc w:val="both"/>
        <w:rPr>
          <w:sz w:val="22"/>
          <w:szCs w:val="22"/>
        </w:rPr>
      </w:pPr>
      <w:r w:rsidDel="00000000" w:rsidR="00000000" w:rsidRPr="00000000">
        <w:rPr>
          <w:rtl w:val="0"/>
        </w:rPr>
      </w:r>
    </w:p>
    <w:p w:rsidR="00000000" w:rsidDel="00000000" w:rsidP="00000000" w:rsidRDefault="00000000" w:rsidRPr="00000000" w14:paraId="00000E2E">
      <w:pPr>
        <w:jc w:val="both"/>
        <w:rPr>
          <w:sz w:val="22"/>
          <w:szCs w:val="22"/>
        </w:rPr>
      </w:pPr>
      <w:r w:rsidDel="00000000" w:rsidR="00000000" w:rsidRPr="00000000">
        <w:rPr>
          <w:sz w:val="22"/>
          <w:szCs w:val="22"/>
          <w:rtl w:val="0"/>
        </w:rPr>
        <w:t xml:space="preserve">Klimas J. Gorfinkel L. FairbAirn N. Amato L. Ahamad K. Nolan S. Simel DL. Wood E. (2019). "Strategies to Identify Patient Risks of Prescription Opioid Addiction When Initiating Opioids for Pain: A Systematic Review." </w:t>
      </w:r>
      <w:r w:rsidDel="00000000" w:rsidR="00000000" w:rsidRPr="00000000">
        <w:rPr>
          <w:i w:val="1"/>
          <w:sz w:val="22"/>
          <w:szCs w:val="22"/>
          <w:rtl w:val="0"/>
        </w:rPr>
        <w:t xml:space="preserve">JAMA Open Network</w:t>
      </w:r>
      <w:r w:rsidDel="00000000" w:rsidR="00000000" w:rsidRPr="00000000">
        <w:rPr>
          <w:sz w:val="22"/>
          <w:szCs w:val="22"/>
          <w:rtl w:val="0"/>
        </w:rPr>
        <w:t xml:space="preserve"> 3(2(5)).</w:t>
      </w:r>
    </w:p>
    <w:p w:rsidR="00000000" w:rsidDel="00000000" w:rsidP="00000000" w:rsidRDefault="00000000" w:rsidRPr="00000000" w14:paraId="00000E2F">
      <w:pPr>
        <w:jc w:val="both"/>
        <w:rPr>
          <w:sz w:val="22"/>
          <w:szCs w:val="22"/>
        </w:rPr>
      </w:pPr>
      <w:r w:rsidDel="00000000" w:rsidR="00000000" w:rsidRPr="00000000">
        <w:rPr>
          <w:rtl w:val="0"/>
        </w:rPr>
      </w:r>
    </w:p>
    <w:p w:rsidR="00000000" w:rsidDel="00000000" w:rsidP="00000000" w:rsidRDefault="00000000" w:rsidRPr="00000000" w14:paraId="00000E30">
      <w:pPr>
        <w:jc w:val="both"/>
        <w:rPr>
          <w:sz w:val="22"/>
          <w:szCs w:val="22"/>
        </w:rPr>
      </w:pPr>
      <w:r w:rsidDel="00000000" w:rsidR="00000000" w:rsidRPr="00000000">
        <w:rPr>
          <w:sz w:val="22"/>
          <w:szCs w:val="22"/>
          <w:rtl w:val="0"/>
        </w:rPr>
        <w:t xml:space="preserve">Kmietovicz Z. (2002). "R.E.S.P.E.C.T- Why doctors are still getting enough of it."</w:t>
      </w:r>
      <w:r w:rsidDel="00000000" w:rsidR="00000000" w:rsidRPr="00000000">
        <w:rPr>
          <w:i w:val="1"/>
          <w:sz w:val="22"/>
          <w:szCs w:val="22"/>
          <w:rtl w:val="0"/>
        </w:rPr>
        <w:t xml:space="preserve"> British Medical Journal</w:t>
      </w:r>
      <w:r w:rsidDel="00000000" w:rsidR="00000000" w:rsidRPr="00000000">
        <w:rPr>
          <w:sz w:val="22"/>
          <w:szCs w:val="22"/>
          <w:rtl w:val="0"/>
        </w:rPr>
        <w:t xml:space="preserve"> 324(7328).</w:t>
      </w:r>
    </w:p>
    <w:p w:rsidR="00000000" w:rsidDel="00000000" w:rsidP="00000000" w:rsidRDefault="00000000" w:rsidRPr="00000000" w14:paraId="00000E31">
      <w:pPr>
        <w:jc w:val="both"/>
        <w:rPr>
          <w:sz w:val="22"/>
          <w:szCs w:val="22"/>
        </w:rPr>
      </w:pPr>
      <w:r w:rsidDel="00000000" w:rsidR="00000000" w:rsidRPr="00000000">
        <w:rPr>
          <w:rtl w:val="0"/>
        </w:rPr>
      </w:r>
    </w:p>
    <w:p w:rsidR="00000000" w:rsidDel="00000000" w:rsidP="00000000" w:rsidRDefault="00000000" w:rsidRPr="00000000" w14:paraId="00000E32">
      <w:pPr>
        <w:jc w:val="both"/>
        <w:rPr>
          <w:sz w:val="22"/>
          <w:szCs w:val="22"/>
        </w:rPr>
      </w:pPr>
      <w:r w:rsidDel="00000000" w:rsidR="00000000" w:rsidRPr="00000000">
        <w:rPr>
          <w:sz w:val="22"/>
          <w:szCs w:val="22"/>
          <w:rtl w:val="0"/>
        </w:rPr>
        <w:t xml:space="preserve">Koenig AM. (2018). "Comparing Prescriptive and Descriptive Gender Stereotypes About Children, Adults, and the Elderly." </w:t>
      </w:r>
      <w:r w:rsidDel="00000000" w:rsidR="00000000" w:rsidRPr="00000000">
        <w:rPr>
          <w:i w:val="1"/>
          <w:sz w:val="22"/>
          <w:szCs w:val="22"/>
          <w:rtl w:val="0"/>
        </w:rPr>
        <w:t xml:space="preserve">Sec. Personality and Social Psychology</w:t>
      </w:r>
      <w:r w:rsidDel="00000000" w:rsidR="00000000" w:rsidRPr="00000000">
        <w:rPr>
          <w:sz w:val="22"/>
          <w:szCs w:val="22"/>
          <w:rtl w:val="0"/>
        </w:rPr>
        <w:t xml:space="preserve"> 9.</w:t>
      </w:r>
    </w:p>
    <w:p w:rsidR="00000000" w:rsidDel="00000000" w:rsidP="00000000" w:rsidRDefault="00000000" w:rsidRPr="00000000" w14:paraId="00000E33">
      <w:pPr>
        <w:jc w:val="both"/>
        <w:rPr>
          <w:sz w:val="22"/>
          <w:szCs w:val="22"/>
        </w:rPr>
      </w:pPr>
      <w:r w:rsidDel="00000000" w:rsidR="00000000" w:rsidRPr="00000000">
        <w:rPr>
          <w:sz w:val="22"/>
          <w:szCs w:val="22"/>
          <w:rtl w:val="0"/>
        </w:rPr>
        <w:tab/>
      </w:r>
    </w:p>
    <w:p w:rsidR="00000000" w:rsidDel="00000000" w:rsidP="00000000" w:rsidRDefault="00000000" w:rsidRPr="00000000" w14:paraId="00000E34">
      <w:pPr>
        <w:jc w:val="both"/>
        <w:rPr>
          <w:sz w:val="22"/>
          <w:szCs w:val="22"/>
        </w:rPr>
      </w:pPr>
      <w:r w:rsidDel="00000000" w:rsidR="00000000" w:rsidRPr="00000000">
        <w:rPr>
          <w:sz w:val="22"/>
          <w:szCs w:val="22"/>
          <w:rtl w:val="0"/>
        </w:rPr>
        <w:t xml:space="preserve">Kosakowski S. Benintendi A. Lagisetty P. Larochelle MR. Bohnert ASB. Bazzi AR (2022). "Patient perspectives on improving patient-provider relationships and provider communication during opioid tapering." </w:t>
      </w:r>
      <w:r w:rsidDel="00000000" w:rsidR="00000000" w:rsidRPr="00000000">
        <w:rPr>
          <w:i w:val="1"/>
          <w:sz w:val="22"/>
          <w:szCs w:val="22"/>
          <w:rtl w:val="0"/>
        </w:rPr>
        <w:t xml:space="preserve">J Gen Intern Med</w:t>
      </w:r>
      <w:r w:rsidDel="00000000" w:rsidR="00000000" w:rsidRPr="00000000">
        <w:rPr>
          <w:sz w:val="22"/>
          <w:szCs w:val="22"/>
          <w:rtl w:val="0"/>
        </w:rPr>
        <w:t xml:space="preserve"> 37(7): 1722-1728.</w:t>
      </w:r>
    </w:p>
    <w:p w:rsidR="00000000" w:rsidDel="00000000" w:rsidP="00000000" w:rsidRDefault="00000000" w:rsidRPr="00000000" w14:paraId="00000E35">
      <w:pPr>
        <w:jc w:val="both"/>
        <w:rPr>
          <w:sz w:val="22"/>
          <w:szCs w:val="22"/>
        </w:rPr>
      </w:pPr>
      <w:r w:rsidDel="00000000" w:rsidR="00000000" w:rsidRPr="00000000">
        <w:rPr>
          <w:sz w:val="22"/>
          <w:szCs w:val="22"/>
          <w:rtl w:val="0"/>
        </w:rPr>
        <w:tab/>
      </w:r>
    </w:p>
    <w:p w:rsidR="00000000" w:rsidDel="00000000" w:rsidP="00000000" w:rsidRDefault="00000000" w:rsidRPr="00000000" w14:paraId="00000E36">
      <w:pPr>
        <w:jc w:val="both"/>
        <w:rPr>
          <w:sz w:val="22"/>
          <w:szCs w:val="22"/>
        </w:rPr>
      </w:pPr>
      <w:r w:rsidDel="00000000" w:rsidR="00000000" w:rsidRPr="00000000">
        <w:rPr>
          <w:sz w:val="22"/>
          <w:szCs w:val="22"/>
          <w:rtl w:val="0"/>
        </w:rPr>
        <w:t xml:space="preserve">Kowalczyk (2020). Risks of Research: Physical Harm, Psychological Abuse and Legal Jeopardy.</w:t>
      </w:r>
    </w:p>
    <w:p w:rsidR="00000000" w:rsidDel="00000000" w:rsidP="00000000" w:rsidRDefault="00000000" w:rsidRPr="00000000" w14:paraId="00000E37">
      <w:pPr>
        <w:jc w:val="both"/>
        <w:rPr>
          <w:sz w:val="22"/>
          <w:szCs w:val="22"/>
        </w:rPr>
      </w:pPr>
      <w:r w:rsidDel="00000000" w:rsidR="00000000" w:rsidRPr="00000000">
        <w:rPr>
          <w:sz w:val="22"/>
          <w:szCs w:val="22"/>
          <w:rtl w:val="0"/>
        </w:rPr>
        <w:t xml:space="preserve">Krebs TS. Johansen PO. (2013). "Psychedelics and Mental Health: A Population Study." </w:t>
      </w:r>
      <w:r w:rsidDel="00000000" w:rsidR="00000000" w:rsidRPr="00000000">
        <w:rPr>
          <w:i w:val="1"/>
          <w:sz w:val="22"/>
          <w:szCs w:val="22"/>
          <w:rtl w:val="0"/>
        </w:rPr>
        <w:t xml:space="preserve">PLOS ONE</w:t>
      </w:r>
      <w:r w:rsidDel="00000000" w:rsidR="00000000" w:rsidRPr="00000000">
        <w:rPr>
          <w:sz w:val="22"/>
          <w:szCs w:val="22"/>
          <w:rtl w:val="0"/>
        </w:rPr>
        <w:t xml:space="preserve"> 8(8).</w:t>
      </w:r>
    </w:p>
    <w:p w:rsidR="00000000" w:rsidDel="00000000" w:rsidP="00000000" w:rsidRDefault="00000000" w:rsidRPr="00000000" w14:paraId="00000E38">
      <w:pPr>
        <w:jc w:val="both"/>
        <w:rPr>
          <w:sz w:val="22"/>
          <w:szCs w:val="22"/>
        </w:rPr>
      </w:pPr>
      <w:r w:rsidDel="00000000" w:rsidR="00000000" w:rsidRPr="00000000">
        <w:rPr>
          <w:sz w:val="22"/>
          <w:szCs w:val="22"/>
          <w:rtl w:val="0"/>
        </w:rPr>
        <w:tab/>
      </w:r>
    </w:p>
    <w:p w:rsidR="00000000" w:rsidDel="00000000" w:rsidP="00000000" w:rsidRDefault="00000000" w:rsidRPr="00000000" w14:paraId="00000E39">
      <w:pPr>
        <w:jc w:val="both"/>
        <w:rPr>
          <w:sz w:val="22"/>
          <w:szCs w:val="22"/>
        </w:rPr>
      </w:pPr>
      <w:r w:rsidDel="00000000" w:rsidR="00000000" w:rsidRPr="00000000">
        <w:rPr>
          <w:sz w:val="22"/>
          <w:szCs w:val="22"/>
          <w:rtl w:val="0"/>
        </w:rPr>
        <w:t xml:space="preserve">Krelle H. Barclay C. Tallack C. (2022). "Understanding the pandemic’s effects on people’s health and quality of life." The Health Foundation.</w:t>
      </w:r>
    </w:p>
    <w:p w:rsidR="00000000" w:rsidDel="00000000" w:rsidP="00000000" w:rsidRDefault="00000000" w:rsidRPr="00000000" w14:paraId="00000E3A">
      <w:pPr>
        <w:jc w:val="both"/>
        <w:rPr>
          <w:sz w:val="22"/>
          <w:szCs w:val="22"/>
        </w:rPr>
      </w:pPr>
      <w:r w:rsidDel="00000000" w:rsidR="00000000" w:rsidRPr="00000000">
        <w:rPr>
          <w:sz w:val="22"/>
          <w:szCs w:val="22"/>
          <w:rtl w:val="0"/>
        </w:rPr>
        <w:tab/>
      </w:r>
    </w:p>
    <w:p w:rsidR="00000000" w:rsidDel="00000000" w:rsidP="00000000" w:rsidRDefault="00000000" w:rsidRPr="00000000" w14:paraId="00000E3B">
      <w:pPr>
        <w:jc w:val="both"/>
        <w:rPr>
          <w:sz w:val="22"/>
          <w:szCs w:val="22"/>
        </w:rPr>
      </w:pPr>
      <w:r w:rsidDel="00000000" w:rsidR="00000000" w:rsidRPr="00000000">
        <w:rPr>
          <w:sz w:val="22"/>
          <w:szCs w:val="22"/>
          <w:rtl w:val="0"/>
        </w:rPr>
        <w:t xml:space="preserve">Kurdi A. (2021). "Opioids and Gabapentinoids Utilisation and Their Related-Mortality trends in the United Kingdom Primary Care Setting 2010-2019: A Cross-National Population Based Comparison Study." </w:t>
      </w:r>
      <w:r w:rsidDel="00000000" w:rsidR="00000000" w:rsidRPr="00000000">
        <w:rPr>
          <w:i w:val="1"/>
          <w:sz w:val="22"/>
          <w:szCs w:val="22"/>
          <w:rtl w:val="0"/>
        </w:rPr>
        <w:t xml:space="preserve">Front. Pharmacol</w:t>
      </w:r>
      <w:r w:rsidDel="00000000" w:rsidR="00000000" w:rsidRPr="00000000">
        <w:rPr>
          <w:sz w:val="22"/>
          <w:szCs w:val="22"/>
          <w:rtl w:val="0"/>
        </w:rPr>
        <w:t xml:space="preserve">.</w:t>
      </w:r>
    </w:p>
    <w:p w:rsidR="00000000" w:rsidDel="00000000" w:rsidP="00000000" w:rsidRDefault="00000000" w:rsidRPr="00000000" w14:paraId="00000E3C">
      <w:pPr>
        <w:jc w:val="both"/>
        <w:rPr>
          <w:sz w:val="22"/>
          <w:szCs w:val="22"/>
        </w:rPr>
      </w:pPr>
      <w:r w:rsidDel="00000000" w:rsidR="00000000" w:rsidRPr="00000000">
        <w:rPr>
          <w:sz w:val="22"/>
          <w:szCs w:val="22"/>
          <w:rtl w:val="0"/>
        </w:rPr>
        <w:tab/>
      </w:r>
    </w:p>
    <w:p w:rsidR="00000000" w:rsidDel="00000000" w:rsidP="00000000" w:rsidRDefault="00000000" w:rsidRPr="00000000" w14:paraId="00000E3D">
      <w:pPr>
        <w:jc w:val="both"/>
        <w:rPr>
          <w:sz w:val="22"/>
          <w:szCs w:val="22"/>
        </w:rPr>
      </w:pPr>
      <w:r w:rsidDel="00000000" w:rsidR="00000000" w:rsidRPr="00000000">
        <w:rPr>
          <w:sz w:val="22"/>
          <w:szCs w:val="22"/>
          <w:rtl w:val="0"/>
        </w:rPr>
        <w:t xml:space="preserve">Kvale S. (1996). Interviews. Thousand Oaks, Sage Publications.</w:t>
      </w:r>
    </w:p>
    <w:p w:rsidR="00000000" w:rsidDel="00000000" w:rsidP="00000000" w:rsidRDefault="00000000" w:rsidRPr="00000000" w14:paraId="00000E3E">
      <w:pPr>
        <w:jc w:val="both"/>
        <w:rPr>
          <w:sz w:val="22"/>
          <w:szCs w:val="22"/>
        </w:rPr>
      </w:pPr>
      <w:r w:rsidDel="00000000" w:rsidR="00000000" w:rsidRPr="00000000">
        <w:rPr>
          <w:rtl w:val="0"/>
        </w:rPr>
      </w:r>
    </w:p>
    <w:p w:rsidR="00000000" w:rsidDel="00000000" w:rsidP="00000000" w:rsidRDefault="00000000" w:rsidRPr="00000000" w14:paraId="00000E3F">
      <w:pPr>
        <w:jc w:val="both"/>
        <w:rPr>
          <w:sz w:val="22"/>
          <w:szCs w:val="22"/>
        </w:rPr>
      </w:pPr>
      <w:r w:rsidDel="00000000" w:rsidR="00000000" w:rsidRPr="00000000">
        <w:rPr>
          <w:sz w:val="22"/>
          <w:szCs w:val="22"/>
          <w:rtl w:val="0"/>
        </w:rPr>
        <w:t xml:space="preserve">Labinjo T. Ashmore R. Serrant L. Turner J. (2021). "The use of zoom videoconferencing for qualitative data generation: a reflective account of a research study." Open Access </w:t>
      </w:r>
      <w:r w:rsidDel="00000000" w:rsidR="00000000" w:rsidRPr="00000000">
        <w:rPr>
          <w:i w:val="1"/>
          <w:sz w:val="22"/>
          <w:szCs w:val="22"/>
          <w:rtl w:val="0"/>
        </w:rPr>
        <w:t xml:space="preserve">Journal of Biogeneric Science and Research</w:t>
      </w:r>
      <w:r w:rsidDel="00000000" w:rsidR="00000000" w:rsidRPr="00000000">
        <w:rPr>
          <w:sz w:val="22"/>
          <w:szCs w:val="22"/>
          <w:rtl w:val="0"/>
        </w:rPr>
        <w:t xml:space="preserve"> 10(1): 1-5.</w:t>
      </w:r>
    </w:p>
    <w:p w:rsidR="00000000" w:rsidDel="00000000" w:rsidP="00000000" w:rsidRDefault="00000000" w:rsidRPr="00000000" w14:paraId="00000E40">
      <w:pPr>
        <w:jc w:val="both"/>
        <w:rPr>
          <w:sz w:val="22"/>
          <w:szCs w:val="22"/>
        </w:rPr>
      </w:pPr>
      <w:r w:rsidDel="00000000" w:rsidR="00000000" w:rsidRPr="00000000">
        <w:rPr>
          <w:sz w:val="22"/>
          <w:szCs w:val="22"/>
          <w:rtl w:val="0"/>
        </w:rPr>
        <w:tab/>
      </w:r>
    </w:p>
    <w:p w:rsidR="00000000" w:rsidDel="00000000" w:rsidP="00000000" w:rsidRDefault="00000000" w:rsidRPr="00000000" w14:paraId="00000E41">
      <w:pPr>
        <w:jc w:val="both"/>
        <w:rPr>
          <w:sz w:val="22"/>
          <w:szCs w:val="22"/>
        </w:rPr>
      </w:pPr>
      <w:r w:rsidDel="00000000" w:rsidR="00000000" w:rsidRPr="00000000">
        <w:rPr>
          <w:sz w:val="22"/>
          <w:szCs w:val="22"/>
          <w:rtl w:val="0"/>
        </w:rPr>
        <w:t xml:space="preserve">Lader M. (2012). "Benzodiazepine harm: how can it be reduced?" </w:t>
      </w:r>
      <w:r w:rsidDel="00000000" w:rsidR="00000000" w:rsidRPr="00000000">
        <w:rPr>
          <w:i w:val="1"/>
          <w:sz w:val="22"/>
          <w:szCs w:val="22"/>
          <w:rtl w:val="0"/>
        </w:rPr>
        <w:t xml:space="preserve">British Journal of Clinical Pharmacology</w:t>
      </w:r>
      <w:r w:rsidDel="00000000" w:rsidR="00000000" w:rsidRPr="00000000">
        <w:rPr>
          <w:sz w:val="22"/>
          <w:szCs w:val="22"/>
          <w:rtl w:val="0"/>
        </w:rPr>
        <w:t xml:space="preserve"> 77(2): 295-301.</w:t>
      </w:r>
    </w:p>
    <w:p w:rsidR="00000000" w:rsidDel="00000000" w:rsidP="00000000" w:rsidRDefault="00000000" w:rsidRPr="00000000" w14:paraId="00000E42">
      <w:pPr>
        <w:jc w:val="both"/>
        <w:rPr>
          <w:sz w:val="22"/>
          <w:szCs w:val="22"/>
        </w:rPr>
      </w:pPr>
      <w:r w:rsidDel="00000000" w:rsidR="00000000" w:rsidRPr="00000000">
        <w:rPr>
          <w:rtl w:val="0"/>
        </w:rPr>
      </w:r>
    </w:p>
    <w:p w:rsidR="00000000" w:rsidDel="00000000" w:rsidP="00000000" w:rsidRDefault="00000000" w:rsidRPr="00000000" w14:paraId="00000E43">
      <w:pPr>
        <w:jc w:val="both"/>
        <w:rPr>
          <w:sz w:val="22"/>
          <w:szCs w:val="22"/>
        </w:rPr>
      </w:pPr>
      <w:r w:rsidDel="00000000" w:rsidR="00000000" w:rsidRPr="00000000">
        <w:rPr>
          <w:sz w:val="22"/>
          <w:szCs w:val="22"/>
          <w:rtl w:val="0"/>
        </w:rPr>
        <w:t xml:space="preserve">Lader M. Kyricaou A. (2016). "Withdrawing Benzodiazepines in Patients with Anxiety Disorders." </w:t>
      </w:r>
      <w:r w:rsidDel="00000000" w:rsidR="00000000" w:rsidRPr="00000000">
        <w:rPr>
          <w:i w:val="1"/>
          <w:sz w:val="22"/>
          <w:szCs w:val="22"/>
          <w:rtl w:val="0"/>
        </w:rPr>
        <w:t xml:space="preserve">Curr Psychiatry Rep</w:t>
      </w:r>
      <w:r w:rsidDel="00000000" w:rsidR="00000000" w:rsidRPr="00000000">
        <w:rPr>
          <w:sz w:val="22"/>
          <w:szCs w:val="22"/>
          <w:rtl w:val="0"/>
        </w:rPr>
        <w:t xml:space="preserve"> 18(8): 1-8.</w:t>
      </w:r>
    </w:p>
    <w:p w:rsidR="00000000" w:rsidDel="00000000" w:rsidP="00000000" w:rsidRDefault="00000000" w:rsidRPr="00000000" w14:paraId="00000E44">
      <w:pPr>
        <w:jc w:val="both"/>
        <w:rPr>
          <w:sz w:val="22"/>
          <w:szCs w:val="22"/>
        </w:rPr>
      </w:pPr>
      <w:r w:rsidDel="00000000" w:rsidR="00000000" w:rsidRPr="00000000">
        <w:rPr>
          <w:sz w:val="22"/>
          <w:szCs w:val="22"/>
          <w:rtl w:val="0"/>
        </w:rPr>
        <w:tab/>
      </w:r>
    </w:p>
    <w:p w:rsidR="00000000" w:rsidDel="00000000" w:rsidP="00000000" w:rsidRDefault="00000000" w:rsidRPr="00000000" w14:paraId="00000E45">
      <w:pPr>
        <w:jc w:val="both"/>
        <w:rPr>
          <w:sz w:val="22"/>
          <w:szCs w:val="22"/>
        </w:rPr>
      </w:pPr>
      <w:r w:rsidDel="00000000" w:rsidR="00000000" w:rsidRPr="00000000">
        <w:rPr>
          <w:sz w:val="22"/>
          <w:szCs w:val="22"/>
          <w:rtl w:val="0"/>
        </w:rPr>
        <w:t xml:space="preserve">Lahteenmaki R. Neuvonen PJ. Puustinen J. Vahlberg T. Partinen M. Raiha I. Kivela SL (2018). "Withdrawal from long term use of zopiclone, zolpidem and temazepam may improve perceived sleep and quality of life in older adults with primary insomnia." </w:t>
      </w:r>
      <w:r w:rsidDel="00000000" w:rsidR="00000000" w:rsidRPr="00000000">
        <w:rPr>
          <w:i w:val="1"/>
          <w:sz w:val="22"/>
          <w:szCs w:val="22"/>
          <w:rtl w:val="0"/>
        </w:rPr>
        <w:t xml:space="preserve">Basic Clinical Pharmacology and Toxicology</w:t>
      </w:r>
      <w:r w:rsidDel="00000000" w:rsidR="00000000" w:rsidRPr="00000000">
        <w:rPr>
          <w:sz w:val="22"/>
          <w:szCs w:val="22"/>
          <w:rtl w:val="0"/>
        </w:rPr>
        <w:t xml:space="preserve"> 124(3): 330-340.</w:t>
      </w:r>
    </w:p>
    <w:p w:rsidR="00000000" w:rsidDel="00000000" w:rsidP="00000000" w:rsidRDefault="00000000" w:rsidRPr="00000000" w14:paraId="00000E46">
      <w:pPr>
        <w:jc w:val="both"/>
        <w:rPr>
          <w:sz w:val="22"/>
          <w:szCs w:val="22"/>
        </w:rPr>
      </w:pPr>
      <w:r w:rsidDel="00000000" w:rsidR="00000000" w:rsidRPr="00000000">
        <w:rPr>
          <w:sz w:val="22"/>
          <w:szCs w:val="22"/>
          <w:rtl w:val="0"/>
        </w:rPr>
        <w:tab/>
      </w:r>
    </w:p>
    <w:p w:rsidR="00000000" w:rsidDel="00000000" w:rsidP="00000000" w:rsidRDefault="00000000" w:rsidRPr="00000000" w14:paraId="00000E47">
      <w:pPr>
        <w:jc w:val="both"/>
        <w:rPr>
          <w:sz w:val="22"/>
          <w:szCs w:val="22"/>
        </w:rPr>
      </w:pPr>
      <w:r w:rsidDel="00000000" w:rsidR="00000000" w:rsidRPr="00000000">
        <w:rPr>
          <w:sz w:val="22"/>
          <w:szCs w:val="22"/>
          <w:rtl w:val="0"/>
        </w:rPr>
        <w:t xml:space="preserve">Lambert MJ. Barley DE. "Research summary on the therapeutic relationship and psychotherapy outcome." </w:t>
      </w:r>
      <w:r w:rsidDel="00000000" w:rsidR="00000000" w:rsidRPr="00000000">
        <w:rPr>
          <w:i w:val="1"/>
          <w:sz w:val="22"/>
          <w:szCs w:val="22"/>
          <w:rtl w:val="0"/>
        </w:rPr>
        <w:t xml:space="preserve">Psychother: Theory, Res, Practice, Training</w:t>
      </w:r>
      <w:r w:rsidDel="00000000" w:rsidR="00000000" w:rsidRPr="00000000">
        <w:rPr>
          <w:sz w:val="22"/>
          <w:szCs w:val="22"/>
          <w:rtl w:val="0"/>
        </w:rPr>
        <w:t xml:space="preserve"> 38(4): 357-357.</w:t>
      </w:r>
    </w:p>
    <w:p w:rsidR="00000000" w:rsidDel="00000000" w:rsidP="00000000" w:rsidRDefault="00000000" w:rsidRPr="00000000" w14:paraId="00000E48">
      <w:pPr>
        <w:jc w:val="both"/>
        <w:rPr>
          <w:sz w:val="22"/>
          <w:szCs w:val="22"/>
        </w:rPr>
      </w:pPr>
      <w:r w:rsidDel="00000000" w:rsidR="00000000" w:rsidRPr="00000000">
        <w:rPr>
          <w:sz w:val="22"/>
          <w:szCs w:val="22"/>
          <w:rtl w:val="0"/>
        </w:rPr>
        <w:tab/>
      </w:r>
    </w:p>
    <w:p w:rsidR="00000000" w:rsidDel="00000000" w:rsidP="00000000" w:rsidRDefault="00000000" w:rsidRPr="00000000" w14:paraId="00000E49">
      <w:pPr>
        <w:jc w:val="both"/>
        <w:rPr>
          <w:sz w:val="22"/>
          <w:szCs w:val="22"/>
        </w:rPr>
      </w:pPr>
      <w:r w:rsidDel="00000000" w:rsidR="00000000" w:rsidRPr="00000000">
        <w:rPr>
          <w:sz w:val="22"/>
          <w:szCs w:val="22"/>
          <w:rtl w:val="0"/>
        </w:rPr>
        <w:t xml:space="preserve">Langford AV. Gnjidic D. Lin CC. Bero L. Blyth F. Penm J. Schneider CR. (2021). ""The lesser of two evils": a framework analysis of consumers' perspectives on opioid deprescribing and the development of opioid deprescribing guidelines." </w:t>
      </w:r>
      <w:r w:rsidDel="00000000" w:rsidR="00000000" w:rsidRPr="00000000">
        <w:rPr>
          <w:i w:val="1"/>
          <w:sz w:val="22"/>
          <w:szCs w:val="22"/>
          <w:rtl w:val="0"/>
        </w:rPr>
        <w:t xml:space="preserve">Pain</w:t>
      </w:r>
      <w:r w:rsidDel="00000000" w:rsidR="00000000" w:rsidRPr="00000000">
        <w:rPr>
          <w:sz w:val="22"/>
          <w:szCs w:val="22"/>
          <w:rtl w:val="0"/>
        </w:rPr>
        <w:t xml:space="preserve"> 162(11): 2686-2692.</w:t>
      </w:r>
    </w:p>
    <w:p w:rsidR="00000000" w:rsidDel="00000000" w:rsidP="00000000" w:rsidRDefault="00000000" w:rsidRPr="00000000" w14:paraId="00000E4A">
      <w:pPr>
        <w:jc w:val="both"/>
        <w:rPr>
          <w:sz w:val="22"/>
          <w:szCs w:val="22"/>
        </w:rPr>
      </w:pPr>
      <w:r w:rsidDel="00000000" w:rsidR="00000000" w:rsidRPr="00000000">
        <w:rPr>
          <w:sz w:val="22"/>
          <w:szCs w:val="22"/>
          <w:rtl w:val="0"/>
        </w:rPr>
        <w:tab/>
      </w:r>
    </w:p>
    <w:p w:rsidR="00000000" w:rsidDel="00000000" w:rsidP="00000000" w:rsidRDefault="00000000" w:rsidRPr="00000000" w14:paraId="00000E4B">
      <w:pPr>
        <w:jc w:val="both"/>
        <w:rPr>
          <w:sz w:val="22"/>
          <w:szCs w:val="22"/>
        </w:rPr>
      </w:pPr>
      <w:r w:rsidDel="00000000" w:rsidR="00000000" w:rsidRPr="00000000">
        <w:rPr>
          <w:sz w:val="22"/>
          <w:szCs w:val="22"/>
          <w:rtl w:val="0"/>
        </w:rPr>
        <w:t xml:space="preserve">Lapadat JC. Lindsay AC. (1999). "Transcription in research and practice: from standardization of technique to interpretive positionings." </w:t>
      </w:r>
      <w:r w:rsidDel="00000000" w:rsidR="00000000" w:rsidRPr="00000000">
        <w:rPr>
          <w:i w:val="1"/>
          <w:sz w:val="22"/>
          <w:szCs w:val="22"/>
          <w:rtl w:val="0"/>
        </w:rPr>
        <w:t xml:space="preserve">Qualitative Inquiry</w:t>
      </w:r>
      <w:r w:rsidDel="00000000" w:rsidR="00000000" w:rsidRPr="00000000">
        <w:rPr>
          <w:sz w:val="22"/>
          <w:szCs w:val="22"/>
          <w:rtl w:val="0"/>
        </w:rPr>
        <w:t xml:space="preserve"> 5: 64-86.</w:t>
      </w:r>
    </w:p>
    <w:p w:rsidR="00000000" w:rsidDel="00000000" w:rsidP="00000000" w:rsidRDefault="00000000" w:rsidRPr="00000000" w14:paraId="00000E4C">
      <w:pPr>
        <w:jc w:val="both"/>
        <w:rPr>
          <w:sz w:val="22"/>
          <w:szCs w:val="22"/>
        </w:rPr>
      </w:pPr>
      <w:r w:rsidDel="00000000" w:rsidR="00000000" w:rsidRPr="00000000">
        <w:rPr>
          <w:sz w:val="22"/>
          <w:szCs w:val="22"/>
          <w:rtl w:val="0"/>
        </w:rPr>
        <w:t xml:space="preserve">Lapin I. (2001). "Phenibut (beta-phenyl-GABA): a tranquiliser and nootropic drug." </w:t>
      </w:r>
      <w:r w:rsidDel="00000000" w:rsidR="00000000" w:rsidRPr="00000000">
        <w:rPr>
          <w:i w:val="1"/>
          <w:sz w:val="22"/>
          <w:szCs w:val="22"/>
          <w:rtl w:val="0"/>
        </w:rPr>
        <w:t xml:space="preserve">CNS Drug Review</w:t>
      </w:r>
      <w:r w:rsidDel="00000000" w:rsidR="00000000" w:rsidRPr="00000000">
        <w:rPr>
          <w:sz w:val="22"/>
          <w:szCs w:val="22"/>
          <w:rtl w:val="0"/>
        </w:rPr>
        <w:t xml:space="preserve"> 7(4): 471-481.</w:t>
      </w:r>
    </w:p>
    <w:p w:rsidR="00000000" w:rsidDel="00000000" w:rsidP="00000000" w:rsidRDefault="00000000" w:rsidRPr="00000000" w14:paraId="00000E4D">
      <w:pPr>
        <w:jc w:val="both"/>
        <w:rPr>
          <w:sz w:val="22"/>
          <w:szCs w:val="22"/>
        </w:rPr>
      </w:pPr>
      <w:r w:rsidDel="00000000" w:rsidR="00000000" w:rsidRPr="00000000">
        <w:rPr>
          <w:rtl w:val="0"/>
        </w:rPr>
      </w:r>
    </w:p>
    <w:p w:rsidR="00000000" w:rsidDel="00000000" w:rsidP="00000000" w:rsidRDefault="00000000" w:rsidRPr="00000000" w14:paraId="00000E4E">
      <w:pPr>
        <w:jc w:val="both"/>
        <w:rPr>
          <w:sz w:val="22"/>
          <w:szCs w:val="22"/>
        </w:rPr>
      </w:pPr>
      <w:r w:rsidDel="00000000" w:rsidR="00000000" w:rsidRPr="00000000">
        <w:rPr>
          <w:sz w:val="22"/>
          <w:szCs w:val="22"/>
          <w:rtl w:val="0"/>
        </w:rPr>
        <w:t xml:space="preserve">Last JM. (2001). A Dictionary of Epidemiology. New York, Oxford University Press.</w:t>
      </w:r>
    </w:p>
    <w:p w:rsidR="00000000" w:rsidDel="00000000" w:rsidP="00000000" w:rsidRDefault="00000000" w:rsidRPr="00000000" w14:paraId="00000E4F">
      <w:pPr>
        <w:jc w:val="both"/>
        <w:rPr>
          <w:sz w:val="22"/>
          <w:szCs w:val="22"/>
        </w:rPr>
      </w:pPr>
      <w:r w:rsidDel="00000000" w:rsidR="00000000" w:rsidRPr="00000000">
        <w:rPr>
          <w:rtl w:val="0"/>
        </w:rPr>
      </w:r>
    </w:p>
    <w:p w:rsidR="00000000" w:rsidDel="00000000" w:rsidP="00000000" w:rsidRDefault="00000000" w:rsidRPr="00000000" w14:paraId="00000E50">
      <w:pPr>
        <w:jc w:val="both"/>
        <w:rPr>
          <w:sz w:val="22"/>
          <w:szCs w:val="22"/>
        </w:rPr>
      </w:pPr>
      <w:r w:rsidDel="00000000" w:rsidR="00000000" w:rsidRPr="00000000">
        <w:rPr>
          <w:sz w:val="22"/>
          <w:szCs w:val="22"/>
          <w:rtl w:val="0"/>
        </w:rPr>
        <w:t xml:space="preserve">Laupacis A. Slutsky AS. (2010). "Endovascular treatment for multiple sclerosis: the intersection of science, policy and the public." </w:t>
      </w:r>
      <w:r w:rsidDel="00000000" w:rsidR="00000000" w:rsidRPr="00000000">
        <w:rPr>
          <w:i w:val="1"/>
          <w:sz w:val="22"/>
          <w:szCs w:val="22"/>
          <w:rtl w:val="0"/>
        </w:rPr>
        <w:t xml:space="preserve">Open Medicine</w:t>
      </w:r>
      <w:r w:rsidDel="00000000" w:rsidR="00000000" w:rsidRPr="00000000">
        <w:rPr>
          <w:sz w:val="22"/>
          <w:szCs w:val="22"/>
          <w:rtl w:val="0"/>
        </w:rPr>
        <w:t xml:space="preserve"> 4: 197-199.</w:t>
      </w:r>
    </w:p>
    <w:p w:rsidR="00000000" w:rsidDel="00000000" w:rsidP="00000000" w:rsidRDefault="00000000" w:rsidRPr="00000000" w14:paraId="00000E51">
      <w:pPr>
        <w:jc w:val="both"/>
        <w:rPr>
          <w:sz w:val="22"/>
          <w:szCs w:val="22"/>
        </w:rPr>
      </w:pPr>
      <w:r w:rsidDel="00000000" w:rsidR="00000000" w:rsidRPr="00000000">
        <w:rPr>
          <w:rtl w:val="0"/>
        </w:rPr>
      </w:r>
    </w:p>
    <w:p w:rsidR="00000000" w:rsidDel="00000000" w:rsidP="00000000" w:rsidRDefault="00000000" w:rsidRPr="00000000" w14:paraId="00000E52">
      <w:pPr>
        <w:jc w:val="both"/>
        <w:rPr>
          <w:sz w:val="22"/>
          <w:szCs w:val="22"/>
        </w:rPr>
      </w:pPr>
      <w:r w:rsidDel="00000000" w:rsidR="00000000" w:rsidRPr="00000000">
        <w:rPr>
          <w:sz w:val="22"/>
          <w:szCs w:val="22"/>
          <w:rtl w:val="0"/>
        </w:rPr>
        <w:t xml:space="preserve">Lavrakras PJ. (2011). Encyclopaedia of Survey Research Methods: Convenience Sampling, Sage.</w:t>
      </w:r>
    </w:p>
    <w:p w:rsidR="00000000" w:rsidDel="00000000" w:rsidP="00000000" w:rsidRDefault="00000000" w:rsidRPr="00000000" w14:paraId="00000E53">
      <w:pPr>
        <w:jc w:val="both"/>
        <w:rPr>
          <w:sz w:val="22"/>
          <w:szCs w:val="22"/>
        </w:rPr>
      </w:pPr>
      <w:r w:rsidDel="00000000" w:rsidR="00000000" w:rsidRPr="00000000">
        <w:rPr>
          <w:sz w:val="22"/>
          <w:szCs w:val="22"/>
          <w:rtl w:val="0"/>
        </w:rPr>
        <w:tab/>
      </w:r>
    </w:p>
    <w:p w:rsidR="00000000" w:rsidDel="00000000" w:rsidP="00000000" w:rsidRDefault="00000000" w:rsidRPr="00000000" w14:paraId="00000E54">
      <w:pPr>
        <w:jc w:val="both"/>
        <w:rPr>
          <w:sz w:val="22"/>
          <w:szCs w:val="22"/>
        </w:rPr>
      </w:pPr>
      <w:r w:rsidDel="00000000" w:rsidR="00000000" w:rsidRPr="00000000">
        <w:rPr>
          <w:sz w:val="22"/>
          <w:szCs w:val="22"/>
          <w:rtl w:val="0"/>
        </w:rPr>
        <w:t xml:space="preserve">Lee E. Cooper RJ. (2019). "Codeine Addiction and Internet Forum Use and Support: Qualitative Netnographic Study." </w:t>
      </w:r>
      <w:r w:rsidDel="00000000" w:rsidR="00000000" w:rsidRPr="00000000">
        <w:rPr>
          <w:i w:val="1"/>
          <w:sz w:val="22"/>
          <w:szCs w:val="22"/>
          <w:rtl w:val="0"/>
        </w:rPr>
        <w:t xml:space="preserve">JMIR Mental Health</w:t>
      </w:r>
      <w:r w:rsidDel="00000000" w:rsidR="00000000" w:rsidRPr="00000000">
        <w:rPr>
          <w:sz w:val="22"/>
          <w:szCs w:val="22"/>
          <w:rtl w:val="0"/>
        </w:rPr>
        <w:t xml:space="preserve"> 6(4): 1-9.</w:t>
      </w:r>
    </w:p>
    <w:p w:rsidR="00000000" w:rsidDel="00000000" w:rsidP="00000000" w:rsidRDefault="00000000" w:rsidRPr="00000000" w14:paraId="00000E55">
      <w:pPr>
        <w:jc w:val="both"/>
        <w:rPr>
          <w:sz w:val="22"/>
          <w:szCs w:val="22"/>
        </w:rPr>
      </w:pPr>
      <w:r w:rsidDel="00000000" w:rsidR="00000000" w:rsidRPr="00000000">
        <w:rPr>
          <w:rtl w:val="0"/>
        </w:rPr>
      </w:r>
    </w:p>
    <w:p w:rsidR="00000000" w:rsidDel="00000000" w:rsidP="00000000" w:rsidRDefault="00000000" w:rsidRPr="00000000" w14:paraId="00000E56">
      <w:pPr>
        <w:jc w:val="both"/>
        <w:rPr>
          <w:sz w:val="22"/>
          <w:szCs w:val="22"/>
        </w:rPr>
      </w:pPr>
      <w:r w:rsidDel="00000000" w:rsidR="00000000" w:rsidRPr="00000000">
        <w:rPr>
          <w:sz w:val="22"/>
          <w:szCs w:val="22"/>
          <w:rtl w:val="0"/>
        </w:rPr>
        <w:t xml:space="preserve">Leeds Health and Care Partnership (2024). Hospitals and secondary care services [online]. Leeds Health and Care Partnership. Available at: </w:t>
      </w:r>
      <w:hyperlink r:id="rId48">
        <w:r w:rsidDel="00000000" w:rsidR="00000000" w:rsidRPr="00000000">
          <w:rPr>
            <w:color w:val="467886"/>
            <w:sz w:val="22"/>
            <w:szCs w:val="22"/>
            <w:u w:val="single"/>
            <w:rtl w:val="0"/>
          </w:rPr>
          <w:t xml:space="preserve">https://www.healthandcareleeds.org/health/secondary-care-services/#:~:text=Secondary%20care%20services%20are%20those,services%20in%20an%20emergency%20situation</w:t>
        </w:r>
      </w:hyperlink>
      <w:r w:rsidDel="00000000" w:rsidR="00000000" w:rsidRPr="00000000">
        <w:rPr>
          <w:sz w:val="22"/>
          <w:szCs w:val="22"/>
          <w:rtl w:val="0"/>
        </w:rPr>
        <w:t xml:space="preserve">  (05/011/2024)</w:t>
      </w:r>
    </w:p>
    <w:p w:rsidR="00000000" w:rsidDel="00000000" w:rsidP="00000000" w:rsidRDefault="00000000" w:rsidRPr="00000000" w14:paraId="00000E57">
      <w:pPr>
        <w:jc w:val="both"/>
        <w:rPr>
          <w:sz w:val="22"/>
          <w:szCs w:val="22"/>
        </w:rPr>
      </w:pPr>
      <w:r w:rsidDel="00000000" w:rsidR="00000000" w:rsidRPr="00000000">
        <w:rPr>
          <w:sz w:val="22"/>
          <w:szCs w:val="22"/>
          <w:rtl w:val="0"/>
        </w:rPr>
        <w:tab/>
      </w:r>
    </w:p>
    <w:p w:rsidR="00000000" w:rsidDel="00000000" w:rsidP="00000000" w:rsidRDefault="00000000" w:rsidRPr="00000000" w14:paraId="00000E58">
      <w:pPr>
        <w:jc w:val="both"/>
        <w:rPr>
          <w:sz w:val="22"/>
          <w:szCs w:val="22"/>
        </w:rPr>
      </w:pPr>
      <w:r w:rsidDel="00000000" w:rsidR="00000000" w:rsidRPr="00000000">
        <w:rPr>
          <w:sz w:val="22"/>
          <w:szCs w:val="22"/>
          <w:rtl w:val="0"/>
        </w:rPr>
        <w:t xml:space="preserve">Leshner AI. "Addiction is a brain disease." </w:t>
      </w:r>
      <w:r w:rsidDel="00000000" w:rsidR="00000000" w:rsidRPr="00000000">
        <w:rPr>
          <w:i w:val="1"/>
          <w:sz w:val="22"/>
          <w:szCs w:val="22"/>
          <w:rtl w:val="0"/>
        </w:rPr>
        <w:t xml:space="preserve">Issues in Science and Technology Online</w:t>
      </w:r>
      <w:r w:rsidDel="00000000" w:rsidR="00000000" w:rsidRPr="00000000">
        <w:rPr>
          <w:sz w:val="22"/>
          <w:szCs w:val="22"/>
          <w:rtl w:val="0"/>
        </w:rPr>
        <w:t xml:space="preserve"> 17(3).</w:t>
      </w:r>
    </w:p>
    <w:p w:rsidR="00000000" w:rsidDel="00000000" w:rsidP="00000000" w:rsidRDefault="00000000" w:rsidRPr="00000000" w14:paraId="00000E59">
      <w:pPr>
        <w:jc w:val="both"/>
        <w:rPr>
          <w:sz w:val="22"/>
          <w:szCs w:val="22"/>
        </w:rPr>
      </w:pPr>
      <w:r w:rsidDel="00000000" w:rsidR="00000000" w:rsidRPr="00000000">
        <w:rPr>
          <w:sz w:val="22"/>
          <w:szCs w:val="22"/>
          <w:rtl w:val="0"/>
        </w:rPr>
        <w:tab/>
      </w:r>
    </w:p>
    <w:p w:rsidR="00000000" w:rsidDel="00000000" w:rsidP="00000000" w:rsidRDefault="00000000" w:rsidRPr="00000000" w14:paraId="00000E5A">
      <w:pPr>
        <w:jc w:val="both"/>
        <w:rPr>
          <w:sz w:val="22"/>
          <w:szCs w:val="22"/>
        </w:rPr>
      </w:pPr>
      <w:r w:rsidDel="00000000" w:rsidR="00000000" w:rsidRPr="00000000">
        <w:rPr>
          <w:sz w:val="22"/>
          <w:szCs w:val="22"/>
          <w:rtl w:val="0"/>
        </w:rPr>
        <w:t xml:space="preserve">Liebrenz M. Gehring MT. Buadze A. Caflisch C. (2015). "High-dose benzodiazepine dependence: a qualitative study of patients' perception on cessation and withdrawal." </w:t>
      </w:r>
      <w:r w:rsidDel="00000000" w:rsidR="00000000" w:rsidRPr="00000000">
        <w:rPr>
          <w:i w:val="1"/>
          <w:sz w:val="22"/>
          <w:szCs w:val="22"/>
          <w:rtl w:val="0"/>
        </w:rPr>
        <w:t xml:space="preserve">BMC Psychiatry</w:t>
      </w:r>
      <w:r w:rsidDel="00000000" w:rsidR="00000000" w:rsidRPr="00000000">
        <w:rPr>
          <w:sz w:val="22"/>
          <w:szCs w:val="22"/>
          <w:rtl w:val="0"/>
        </w:rPr>
        <w:t xml:space="preserve"> 15(116).</w:t>
      </w:r>
    </w:p>
    <w:p w:rsidR="00000000" w:rsidDel="00000000" w:rsidP="00000000" w:rsidRDefault="00000000" w:rsidRPr="00000000" w14:paraId="00000E5B">
      <w:pPr>
        <w:jc w:val="both"/>
        <w:rPr>
          <w:sz w:val="22"/>
          <w:szCs w:val="22"/>
        </w:rPr>
      </w:pPr>
      <w:r w:rsidDel="00000000" w:rsidR="00000000" w:rsidRPr="00000000">
        <w:rPr>
          <w:sz w:val="22"/>
          <w:szCs w:val="22"/>
          <w:rtl w:val="0"/>
        </w:rPr>
        <w:tab/>
      </w:r>
    </w:p>
    <w:p w:rsidR="00000000" w:rsidDel="00000000" w:rsidP="00000000" w:rsidRDefault="00000000" w:rsidRPr="00000000" w14:paraId="00000E5C">
      <w:pPr>
        <w:jc w:val="both"/>
        <w:rPr>
          <w:sz w:val="22"/>
          <w:szCs w:val="22"/>
        </w:rPr>
      </w:pPr>
      <w:r w:rsidDel="00000000" w:rsidR="00000000" w:rsidRPr="00000000">
        <w:rPr>
          <w:sz w:val="22"/>
          <w:szCs w:val="22"/>
          <w:rtl w:val="0"/>
        </w:rPr>
        <w:t xml:space="preserve">Liebrenz M. Schneider M. Buadze A. Gehring MT. Dube A. Caflisch C. (2016). "Attitudes towards a maintenance (-agonist) treatment approach in high-dose benzodiazepine-dependent patients: a qualitative study." </w:t>
      </w:r>
      <w:r w:rsidDel="00000000" w:rsidR="00000000" w:rsidRPr="00000000">
        <w:rPr>
          <w:i w:val="1"/>
          <w:sz w:val="22"/>
          <w:szCs w:val="22"/>
          <w:rtl w:val="0"/>
        </w:rPr>
        <w:t xml:space="preserve">Harm Reduction Journal</w:t>
      </w:r>
      <w:r w:rsidDel="00000000" w:rsidR="00000000" w:rsidRPr="00000000">
        <w:rPr>
          <w:sz w:val="22"/>
          <w:szCs w:val="22"/>
          <w:rtl w:val="0"/>
        </w:rPr>
        <w:t xml:space="preserve"> 13.</w:t>
      </w:r>
    </w:p>
    <w:p w:rsidR="00000000" w:rsidDel="00000000" w:rsidP="00000000" w:rsidRDefault="00000000" w:rsidRPr="00000000" w14:paraId="00000E5D">
      <w:pPr>
        <w:jc w:val="both"/>
        <w:rPr>
          <w:sz w:val="22"/>
          <w:szCs w:val="22"/>
        </w:rPr>
      </w:pPr>
      <w:r w:rsidDel="00000000" w:rsidR="00000000" w:rsidRPr="00000000">
        <w:rPr>
          <w:rtl w:val="0"/>
        </w:rPr>
      </w:r>
    </w:p>
    <w:p w:rsidR="00000000" w:rsidDel="00000000" w:rsidP="00000000" w:rsidRDefault="00000000" w:rsidRPr="00000000" w14:paraId="00000E5E">
      <w:pPr>
        <w:jc w:val="both"/>
        <w:rPr>
          <w:sz w:val="22"/>
          <w:szCs w:val="22"/>
        </w:rPr>
      </w:pPr>
      <w:r w:rsidDel="00000000" w:rsidR="00000000" w:rsidRPr="00000000">
        <w:rPr>
          <w:sz w:val="22"/>
          <w:szCs w:val="22"/>
          <w:rtl w:val="0"/>
        </w:rPr>
        <w:t xml:space="preserve">Light DW. (2014). New Prescription Drugs: A Major Health Risk With Few Offsetting Advantages. Harvard University.</w:t>
      </w:r>
    </w:p>
    <w:p w:rsidR="00000000" w:rsidDel="00000000" w:rsidP="00000000" w:rsidRDefault="00000000" w:rsidRPr="00000000" w14:paraId="00000E5F">
      <w:pPr>
        <w:jc w:val="both"/>
        <w:rPr>
          <w:sz w:val="22"/>
          <w:szCs w:val="22"/>
        </w:rPr>
      </w:pPr>
      <w:r w:rsidDel="00000000" w:rsidR="00000000" w:rsidRPr="00000000">
        <w:rPr>
          <w:sz w:val="22"/>
          <w:szCs w:val="22"/>
          <w:rtl w:val="0"/>
        </w:rPr>
        <w:tab/>
      </w:r>
    </w:p>
    <w:p w:rsidR="00000000" w:rsidDel="00000000" w:rsidP="00000000" w:rsidRDefault="00000000" w:rsidRPr="00000000" w14:paraId="00000E60">
      <w:pPr>
        <w:jc w:val="both"/>
        <w:rPr>
          <w:sz w:val="22"/>
          <w:szCs w:val="22"/>
        </w:rPr>
      </w:pPr>
      <w:r w:rsidDel="00000000" w:rsidR="00000000" w:rsidRPr="00000000">
        <w:rPr>
          <w:sz w:val="22"/>
          <w:szCs w:val="22"/>
          <w:rtl w:val="0"/>
        </w:rPr>
        <w:t xml:space="preserve">Lincoln YS. Guba EG. (1985). Naturalistic Enquiry. Beverly Hills, Sage.</w:t>
      </w:r>
    </w:p>
    <w:p w:rsidR="00000000" w:rsidDel="00000000" w:rsidP="00000000" w:rsidRDefault="00000000" w:rsidRPr="00000000" w14:paraId="00000E61">
      <w:pPr>
        <w:jc w:val="both"/>
        <w:rPr>
          <w:sz w:val="22"/>
          <w:szCs w:val="22"/>
        </w:rPr>
      </w:pPr>
      <w:r w:rsidDel="00000000" w:rsidR="00000000" w:rsidRPr="00000000">
        <w:rPr>
          <w:rtl w:val="0"/>
        </w:rPr>
      </w:r>
    </w:p>
    <w:p w:rsidR="00000000" w:rsidDel="00000000" w:rsidP="00000000" w:rsidRDefault="00000000" w:rsidRPr="00000000" w14:paraId="00000E62">
      <w:pPr>
        <w:jc w:val="both"/>
        <w:rPr>
          <w:sz w:val="22"/>
          <w:szCs w:val="22"/>
        </w:rPr>
      </w:pPr>
      <w:r w:rsidDel="00000000" w:rsidR="00000000" w:rsidRPr="00000000">
        <w:rPr>
          <w:sz w:val="22"/>
          <w:szCs w:val="22"/>
          <w:rtl w:val="0"/>
        </w:rPr>
        <w:t xml:space="preserve">Lindgren B. Eklund M. Melin Y. Graneheim UH. (2015). "From Resistance to Existence-Experiences of Medication-Assisted Treatment as Disclosed by People with Opioid Dependence." </w:t>
      </w:r>
      <w:r w:rsidDel="00000000" w:rsidR="00000000" w:rsidRPr="00000000">
        <w:rPr>
          <w:i w:val="1"/>
          <w:sz w:val="22"/>
          <w:szCs w:val="22"/>
          <w:rtl w:val="0"/>
        </w:rPr>
        <w:t xml:space="preserve">Issues in Mental Health Nursing</w:t>
      </w:r>
      <w:r w:rsidDel="00000000" w:rsidR="00000000" w:rsidRPr="00000000">
        <w:rPr>
          <w:sz w:val="22"/>
          <w:szCs w:val="22"/>
          <w:rtl w:val="0"/>
        </w:rPr>
        <w:t xml:space="preserve"> 36(12): 963-970.</w:t>
      </w:r>
    </w:p>
    <w:p w:rsidR="00000000" w:rsidDel="00000000" w:rsidP="00000000" w:rsidRDefault="00000000" w:rsidRPr="00000000" w14:paraId="00000E63">
      <w:pPr>
        <w:jc w:val="both"/>
        <w:rPr>
          <w:sz w:val="22"/>
          <w:szCs w:val="22"/>
        </w:rPr>
      </w:pPr>
      <w:r w:rsidDel="00000000" w:rsidR="00000000" w:rsidRPr="00000000">
        <w:rPr>
          <w:sz w:val="22"/>
          <w:szCs w:val="22"/>
          <w:rtl w:val="0"/>
        </w:rPr>
        <w:tab/>
      </w:r>
    </w:p>
    <w:p w:rsidR="00000000" w:rsidDel="00000000" w:rsidP="00000000" w:rsidRDefault="00000000" w:rsidRPr="00000000" w14:paraId="00000E64">
      <w:pPr>
        <w:jc w:val="both"/>
        <w:rPr>
          <w:sz w:val="22"/>
          <w:szCs w:val="22"/>
        </w:rPr>
      </w:pPr>
      <w:r w:rsidDel="00000000" w:rsidR="00000000" w:rsidRPr="00000000">
        <w:rPr>
          <w:sz w:val="22"/>
          <w:szCs w:val="22"/>
          <w:rtl w:val="0"/>
        </w:rPr>
        <w:t xml:space="preserve">Ljungvall H. Rhodin A. Wagner S. Zetterberg J. Asenlof P. (2020). ""My life is under control with these medications": an interpretive phenomenological analysis of managing pain with opioids. </w:t>
      </w:r>
      <w:r w:rsidDel="00000000" w:rsidR="00000000" w:rsidRPr="00000000">
        <w:rPr>
          <w:i w:val="1"/>
          <w:sz w:val="22"/>
          <w:szCs w:val="22"/>
          <w:rtl w:val="0"/>
        </w:rPr>
        <w:t xml:space="preserve">BMC Musculoskeletal Disorders</w:t>
      </w:r>
      <w:r w:rsidDel="00000000" w:rsidR="00000000" w:rsidRPr="00000000">
        <w:rPr>
          <w:sz w:val="22"/>
          <w:szCs w:val="22"/>
          <w:rtl w:val="0"/>
        </w:rPr>
        <w:t xml:space="preserve">. 21(61): 1-14</w:t>
      </w:r>
    </w:p>
    <w:p w:rsidR="00000000" w:rsidDel="00000000" w:rsidP="00000000" w:rsidRDefault="00000000" w:rsidRPr="00000000" w14:paraId="00000E65">
      <w:pPr>
        <w:jc w:val="both"/>
        <w:rPr>
          <w:sz w:val="22"/>
          <w:szCs w:val="22"/>
        </w:rPr>
      </w:pPr>
      <w:r w:rsidDel="00000000" w:rsidR="00000000" w:rsidRPr="00000000">
        <w:rPr>
          <w:rtl w:val="0"/>
        </w:rPr>
      </w:r>
    </w:p>
    <w:p w:rsidR="00000000" w:rsidDel="00000000" w:rsidP="00000000" w:rsidRDefault="00000000" w:rsidRPr="00000000" w14:paraId="00000E66">
      <w:pPr>
        <w:jc w:val="both"/>
        <w:rPr>
          <w:sz w:val="22"/>
          <w:szCs w:val="22"/>
        </w:rPr>
      </w:pPr>
      <w:r w:rsidDel="00000000" w:rsidR="00000000" w:rsidRPr="00000000">
        <w:rPr>
          <w:sz w:val="22"/>
          <w:szCs w:val="22"/>
          <w:rtl w:val="0"/>
        </w:rPr>
        <w:t xml:space="preserve">Locher C. Rippers T. (2016). "Cold water extraction on different codeine containing combination analgesics available prescription free in Australia." </w:t>
      </w:r>
      <w:r w:rsidDel="00000000" w:rsidR="00000000" w:rsidRPr="00000000">
        <w:rPr>
          <w:i w:val="1"/>
          <w:sz w:val="22"/>
          <w:szCs w:val="22"/>
          <w:rtl w:val="0"/>
        </w:rPr>
        <w:t xml:space="preserve">Journal of Advances in Medical Research</w:t>
      </w:r>
      <w:r w:rsidDel="00000000" w:rsidR="00000000" w:rsidRPr="00000000">
        <w:rPr>
          <w:sz w:val="22"/>
          <w:szCs w:val="22"/>
          <w:rtl w:val="0"/>
        </w:rPr>
        <w:t xml:space="preserve"> 1(4).</w:t>
      </w:r>
    </w:p>
    <w:p w:rsidR="00000000" w:rsidDel="00000000" w:rsidP="00000000" w:rsidRDefault="00000000" w:rsidRPr="00000000" w14:paraId="00000E67">
      <w:pPr>
        <w:jc w:val="both"/>
        <w:rPr>
          <w:sz w:val="22"/>
          <w:szCs w:val="22"/>
        </w:rPr>
      </w:pPr>
      <w:r w:rsidDel="00000000" w:rsidR="00000000" w:rsidRPr="00000000">
        <w:rPr>
          <w:sz w:val="22"/>
          <w:szCs w:val="22"/>
          <w:rtl w:val="0"/>
        </w:rPr>
        <w:tab/>
      </w:r>
    </w:p>
    <w:p w:rsidR="00000000" w:rsidDel="00000000" w:rsidP="00000000" w:rsidRDefault="00000000" w:rsidRPr="00000000" w14:paraId="00000E68">
      <w:pPr>
        <w:jc w:val="both"/>
        <w:rPr>
          <w:sz w:val="22"/>
          <w:szCs w:val="22"/>
        </w:rPr>
      </w:pPr>
      <w:r w:rsidDel="00000000" w:rsidR="00000000" w:rsidRPr="00000000">
        <w:rPr>
          <w:sz w:val="22"/>
          <w:szCs w:val="22"/>
          <w:rtl w:val="0"/>
        </w:rPr>
        <w:t xml:space="preserve">Loftus AM. McCauley F. McCarron MO. (2017). "Impact of social prescribing on general practice workload and polypharmacy." </w:t>
      </w:r>
      <w:r w:rsidDel="00000000" w:rsidR="00000000" w:rsidRPr="00000000">
        <w:rPr>
          <w:i w:val="1"/>
          <w:sz w:val="22"/>
          <w:szCs w:val="22"/>
          <w:rtl w:val="0"/>
        </w:rPr>
        <w:t xml:space="preserve">Public Health</w:t>
      </w:r>
      <w:r w:rsidDel="00000000" w:rsidR="00000000" w:rsidRPr="00000000">
        <w:rPr>
          <w:sz w:val="22"/>
          <w:szCs w:val="22"/>
          <w:rtl w:val="0"/>
        </w:rPr>
        <w:t xml:space="preserve"> 148: 96-101.</w:t>
      </w:r>
    </w:p>
    <w:p w:rsidR="00000000" w:rsidDel="00000000" w:rsidP="00000000" w:rsidRDefault="00000000" w:rsidRPr="00000000" w14:paraId="00000E69">
      <w:pPr>
        <w:jc w:val="both"/>
        <w:rPr>
          <w:sz w:val="22"/>
          <w:szCs w:val="22"/>
        </w:rPr>
      </w:pPr>
      <w:r w:rsidDel="00000000" w:rsidR="00000000" w:rsidRPr="00000000">
        <w:rPr>
          <w:sz w:val="22"/>
          <w:szCs w:val="22"/>
          <w:rtl w:val="0"/>
        </w:rPr>
        <w:tab/>
      </w:r>
    </w:p>
    <w:p w:rsidR="00000000" w:rsidDel="00000000" w:rsidP="00000000" w:rsidRDefault="00000000" w:rsidRPr="00000000" w14:paraId="00000E6A">
      <w:pPr>
        <w:jc w:val="both"/>
        <w:rPr>
          <w:sz w:val="22"/>
          <w:szCs w:val="22"/>
        </w:rPr>
      </w:pPr>
      <w:r w:rsidDel="00000000" w:rsidR="00000000" w:rsidRPr="00000000">
        <w:rPr>
          <w:sz w:val="22"/>
          <w:szCs w:val="22"/>
          <w:rtl w:val="0"/>
        </w:rPr>
        <w:t xml:space="preserve">Louise Barriball K. While A. (1994). "Collecting data using a semi-structured interview: a discussion paper." </w:t>
      </w:r>
      <w:r w:rsidDel="00000000" w:rsidR="00000000" w:rsidRPr="00000000">
        <w:rPr>
          <w:i w:val="1"/>
          <w:sz w:val="22"/>
          <w:szCs w:val="22"/>
          <w:rtl w:val="0"/>
        </w:rPr>
        <w:t xml:space="preserve">Journal of Advance Nursing</w:t>
      </w:r>
      <w:r w:rsidDel="00000000" w:rsidR="00000000" w:rsidRPr="00000000">
        <w:rPr>
          <w:sz w:val="22"/>
          <w:szCs w:val="22"/>
          <w:rtl w:val="0"/>
        </w:rPr>
        <w:t xml:space="preserve"> 19(2): 328-335.</w:t>
      </w:r>
    </w:p>
    <w:p w:rsidR="00000000" w:rsidDel="00000000" w:rsidP="00000000" w:rsidRDefault="00000000" w:rsidRPr="00000000" w14:paraId="00000E6B">
      <w:pPr>
        <w:jc w:val="both"/>
        <w:rPr>
          <w:sz w:val="22"/>
          <w:szCs w:val="22"/>
        </w:rPr>
      </w:pPr>
      <w:r w:rsidDel="00000000" w:rsidR="00000000" w:rsidRPr="00000000">
        <w:rPr>
          <w:sz w:val="22"/>
          <w:szCs w:val="22"/>
          <w:rtl w:val="0"/>
        </w:rPr>
        <w:t xml:space="preserve">Lovett S. (2021). NHS waiting list hits record high, new figures show [online]. The Independent. Available at: </w:t>
      </w:r>
      <w:hyperlink r:id="rId49">
        <w:r w:rsidDel="00000000" w:rsidR="00000000" w:rsidRPr="00000000">
          <w:rPr>
            <w:color w:val="467886"/>
            <w:sz w:val="22"/>
            <w:szCs w:val="22"/>
            <w:u w:val="single"/>
            <w:rtl w:val="0"/>
          </w:rPr>
          <w:t xml:space="preserve">https://www.independent.co.uk/news/health/nhs-waiting-list-covid-england-b1916981.html</w:t>
        </w:r>
      </w:hyperlink>
      <w:r w:rsidDel="00000000" w:rsidR="00000000" w:rsidRPr="00000000">
        <w:rPr>
          <w:sz w:val="22"/>
          <w:szCs w:val="22"/>
          <w:rtl w:val="0"/>
        </w:rPr>
        <w:t xml:space="preserve"> (17/03/2022)</w:t>
      </w:r>
    </w:p>
    <w:p w:rsidR="00000000" w:rsidDel="00000000" w:rsidP="00000000" w:rsidRDefault="00000000" w:rsidRPr="00000000" w14:paraId="00000E6C">
      <w:pPr>
        <w:jc w:val="both"/>
        <w:rPr>
          <w:sz w:val="22"/>
          <w:szCs w:val="22"/>
        </w:rPr>
      </w:pPr>
      <w:r w:rsidDel="00000000" w:rsidR="00000000" w:rsidRPr="00000000">
        <w:rPr>
          <w:rtl w:val="0"/>
        </w:rPr>
      </w:r>
    </w:p>
    <w:p w:rsidR="00000000" w:rsidDel="00000000" w:rsidP="00000000" w:rsidRDefault="00000000" w:rsidRPr="00000000" w14:paraId="00000E6D">
      <w:pPr>
        <w:jc w:val="both"/>
        <w:rPr>
          <w:sz w:val="22"/>
          <w:szCs w:val="22"/>
        </w:rPr>
      </w:pPr>
      <w:r w:rsidDel="00000000" w:rsidR="00000000" w:rsidRPr="00000000">
        <w:rPr>
          <w:sz w:val="22"/>
          <w:szCs w:val="22"/>
          <w:rtl w:val="0"/>
        </w:rPr>
        <w:t xml:space="preserve">Lund IO. Sundin E. Konijnenberg C. Rognmo K. Martinez P. Fielder A (2015). "Harm to Others From Substance Use and Abuse." </w:t>
      </w:r>
      <w:r w:rsidDel="00000000" w:rsidR="00000000" w:rsidRPr="00000000">
        <w:rPr>
          <w:i w:val="1"/>
          <w:sz w:val="22"/>
          <w:szCs w:val="22"/>
          <w:rtl w:val="0"/>
        </w:rPr>
        <w:t xml:space="preserve">Substance Abuse: Research and Treatment</w:t>
      </w:r>
      <w:r w:rsidDel="00000000" w:rsidR="00000000" w:rsidRPr="00000000">
        <w:rPr>
          <w:sz w:val="22"/>
          <w:szCs w:val="22"/>
          <w:rtl w:val="0"/>
        </w:rPr>
        <w:t xml:space="preserve"> 9(2): 119-124.</w:t>
      </w:r>
    </w:p>
    <w:p w:rsidR="00000000" w:rsidDel="00000000" w:rsidP="00000000" w:rsidRDefault="00000000" w:rsidRPr="00000000" w14:paraId="00000E6E">
      <w:pPr>
        <w:jc w:val="both"/>
        <w:rPr>
          <w:sz w:val="22"/>
          <w:szCs w:val="22"/>
        </w:rPr>
      </w:pPr>
      <w:r w:rsidDel="00000000" w:rsidR="00000000" w:rsidRPr="00000000">
        <w:rPr>
          <w:sz w:val="22"/>
          <w:szCs w:val="22"/>
          <w:rtl w:val="0"/>
        </w:rPr>
        <w:tab/>
      </w:r>
    </w:p>
    <w:p w:rsidR="00000000" w:rsidDel="00000000" w:rsidP="00000000" w:rsidRDefault="00000000" w:rsidRPr="00000000" w14:paraId="00000E6F">
      <w:pPr>
        <w:jc w:val="both"/>
        <w:rPr>
          <w:sz w:val="22"/>
          <w:szCs w:val="22"/>
        </w:rPr>
      </w:pPr>
      <w:r w:rsidDel="00000000" w:rsidR="00000000" w:rsidRPr="00000000">
        <w:rPr>
          <w:sz w:val="22"/>
          <w:szCs w:val="22"/>
          <w:rtl w:val="0"/>
        </w:rPr>
        <w:t xml:space="preserve">Luxford K. Sutton S. (2014). "How does patient experience fit into the overall healthcare picture?"? </w:t>
      </w:r>
      <w:r w:rsidDel="00000000" w:rsidR="00000000" w:rsidRPr="00000000">
        <w:rPr>
          <w:i w:val="1"/>
          <w:sz w:val="22"/>
          <w:szCs w:val="22"/>
          <w:rtl w:val="0"/>
        </w:rPr>
        <w:t xml:space="preserve">Patient Experience Journal</w:t>
      </w:r>
      <w:r w:rsidDel="00000000" w:rsidR="00000000" w:rsidRPr="00000000">
        <w:rPr>
          <w:sz w:val="22"/>
          <w:szCs w:val="22"/>
          <w:rtl w:val="0"/>
        </w:rPr>
        <w:t xml:space="preserve">. 1(4): 20-27.</w:t>
      </w:r>
    </w:p>
    <w:p w:rsidR="00000000" w:rsidDel="00000000" w:rsidP="00000000" w:rsidRDefault="00000000" w:rsidRPr="00000000" w14:paraId="00000E70">
      <w:pPr>
        <w:jc w:val="both"/>
        <w:rPr>
          <w:sz w:val="22"/>
          <w:szCs w:val="22"/>
        </w:rPr>
      </w:pPr>
      <w:r w:rsidDel="00000000" w:rsidR="00000000" w:rsidRPr="00000000">
        <w:rPr>
          <w:sz w:val="22"/>
          <w:szCs w:val="22"/>
          <w:rtl w:val="0"/>
        </w:rPr>
        <w:t xml:space="preserve">Lyons S. (2018). "Overview on pregabalin and gabapentin." </w:t>
      </w:r>
      <w:r w:rsidDel="00000000" w:rsidR="00000000" w:rsidRPr="00000000">
        <w:rPr>
          <w:i w:val="1"/>
          <w:sz w:val="22"/>
          <w:szCs w:val="22"/>
          <w:rtl w:val="0"/>
        </w:rPr>
        <w:t xml:space="preserve">DrugNet Ireland</w:t>
      </w:r>
      <w:r w:rsidDel="00000000" w:rsidR="00000000" w:rsidRPr="00000000">
        <w:rPr>
          <w:sz w:val="22"/>
          <w:szCs w:val="22"/>
          <w:rtl w:val="0"/>
        </w:rPr>
        <w:t xml:space="preserve"> 65: 11-12.</w:t>
      </w:r>
    </w:p>
    <w:p w:rsidR="00000000" w:rsidDel="00000000" w:rsidP="00000000" w:rsidRDefault="00000000" w:rsidRPr="00000000" w14:paraId="00000E71">
      <w:pPr>
        <w:jc w:val="both"/>
        <w:rPr>
          <w:sz w:val="22"/>
          <w:szCs w:val="22"/>
        </w:rPr>
      </w:pPr>
      <w:r w:rsidDel="00000000" w:rsidR="00000000" w:rsidRPr="00000000">
        <w:rPr>
          <w:rtl w:val="0"/>
        </w:rPr>
      </w:r>
    </w:p>
    <w:p w:rsidR="00000000" w:rsidDel="00000000" w:rsidP="00000000" w:rsidRDefault="00000000" w:rsidRPr="00000000" w14:paraId="00000E72">
      <w:pPr>
        <w:jc w:val="both"/>
        <w:rPr>
          <w:sz w:val="22"/>
          <w:szCs w:val="22"/>
        </w:rPr>
      </w:pPr>
      <w:r w:rsidDel="00000000" w:rsidR="00000000" w:rsidRPr="00000000">
        <w:rPr>
          <w:sz w:val="22"/>
          <w:szCs w:val="22"/>
          <w:rtl w:val="0"/>
        </w:rPr>
        <w:t xml:space="preserve">MacFarlane J. Morin CM. Montplaisir (2014). "Hypnotics in Insomnia: The Experience of Zolpidem." </w:t>
      </w:r>
      <w:r w:rsidDel="00000000" w:rsidR="00000000" w:rsidRPr="00000000">
        <w:rPr>
          <w:i w:val="1"/>
          <w:sz w:val="22"/>
          <w:szCs w:val="22"/>
          <w:rtl w:val="0"/>
        </w:rPr>
        <w:t xml:space="preserve">Clinical Therapeutics</w:t>
      </w:r>
      <w:r w:rsidDel="00000000" w:rsidR="00000000" w:rsidRPr="00000000">
        <w:rPr>
          <w:sz w:val="22"/>
          <w:szCs w:val="22"/>
          <w:rtl w:val="0"/>
        </w:rPr>
        <w:t xml:space="preserve"> 36(11).</w:t>
      </w:r>
    </w:p>
    <w:p w:rsidR="00000000" w:rsidDel="00000000" w:rsidP="00000000" w:rsidRDefault="00000000" w:rsidRPr="00000000" w14:paraId="00000E73">
      <w:pPr>
        <w:jc w:val="both"/>
        <w:rPr>
          <w:sz w:val="22"/>
          <w:szCs w:val="22"/>
        </w:rPr>
      </w:pPr>
      <w:r w:rsidDel="00000000" w:rsidR="00000000" w:rsidRPr="00000000">
        <w:rPr>
          <w:rtl w:val="0"/>
        </w:rPr>
      </w:r>
    </w:p>
    <w:p w:rsidR="00000000" w:rsidDel="00000000" w:rsidP="00000000" w:rsidRDefault="00000000" w:rsidRPr="00000000" w14:paraId="00000E74">
      <w:pPr>
        <w:jc w:val="both"/>
        <w:rPr>
          <w:sz w:val="22"/>
          <w:szCs w:val="22"/>
        </w:rPr>
      </w:pPr>
      <w:r w:rsidDel="00000000" w:rsidR="00000000" w:rsidRPr="00000000">
        <w:rPr>
          <w:sz w:val="22"/>
          <w:szCs w:val="22"/>
          <w:rtl w:val="0"/>
        </w:rPr>
        <w:t xml:space="preserve">Magee MR. McNeilage AG. Avery N. Glare P. Ashton-James CE. (2021). ". mHealth interventions to support prescription opioid tapering in patients with chronic pain: qualitative study of patients' perspectives." </w:t>
      </w:r>
      <w:r w:rsidDel="00000000" w:rsidR="00000000" w:rsidRPr="00000000">
        <w:rPr>
          <w:i w:val="1"/>
          <w:sz w:val="22"/>
          <w:szCs w:val="22"/>
          <w:rtl w:val="0"/>
        </w:rPr>
        <w:t xml:space="preserve">JMIR Formative Research</w:t>
      </w:r>
      <w:r w:rsidDel="00000000" w:rsidR="00000000" w:rsidRPr="00000000">
        <w:rPr>
          <w:sz w:val="22"/>
          <w:szCs w:val="22"/>
          <w:rtl w:val="0"/>
        </w:rPr>
        <w:t xml:space="preserve"> 5(5): 1-13.</w:t>
      </w:r>
    </w:p>
    <w:p w:rsidR="00000000" w:rsidDel="00000000" w:rsidP="00000000" w:rsidRDefault="00000000" w:rsidRPr="00000000" w14:paraId="00000E75">
      <w:pPr>
        <w:jc w:val="both"/>
        <w:rPr>
          <w:sz w:val="22"/>
          <w:szCs w:val="22"/>
        </w:rPr>
      </w:pPr>
      <w:r w:rsidDel="00000000" w:rsidR="00000000" w:rsidRPr="00000000">
        <w:rPr>
          <w:sz w:val="22"/>
          <w:szCs w:val="22"/>
          <w:rtl w:val="0"/>
        </w:rPr>
        <w:tab/>
      </w:r>
    </w:p>
    <w:p w:rsidR="00000000" w:rsidDel="00000000" w:rsidP="00000000" w:rsidRDefault="00000000" w:rsidRPr="00000000" w14:paraId="00000E76">
      <w:pPr>
        <w:jc w:val="both"/>
        <w:rPr>
          <w:sz w:val="22"/>
          <w:szCs w:val="22"/>
        </w:rPr>
      </w:pPr>
      <w:r w:rsidDel="00000000" w:rsidR="00000000" w:rsidRPr="00000000">
        <w:rPr>
          <w:sz w:val="22"/>
          <w:szCs w:val="22"/>
          <w:rtl w:val="0"/>
        </w:rPr>
        <w:t xml:space="preserve">Maguire M. Delahunt. (2017). "Doing a Thematic Analysis: A Practical, Step-by-Step Guide for Learning and Teaching Scholars." </w:t>
      </w:r>
      <w:r w:rsidDel="00000000" w:rsidR="00000000" w:rsidRPr="00000000">
        <w:rPr>
          <w:i w:val="1"/>
          <w:sz w:val="22"/>
          <w:szCs w:val="22"/>
          <w:rtl w:val="0"/>
        </w:rPr>
        <w:t xml:space="preserve">All Ireland Journal of Teaching and Learning in Higher Education (AISHE-J)</w:t>
      </w:r>
      <w:r w:rsidDel="00000000" w:rsidR="00000000" w:rsidRPr="00000000">
        <w:rPr>
          <w:sz w:val="22"/>
          <w:szCs w:val="22"/>
          <w:rtl w:val="0"/>
        </w:rPr>
        <w:t xml:space="preserve"> 8(3): 3351-3364.</w:t>
      </w:r>
    </w:p>
    <w:p w:rsidR="00000000" w:rsidDel="00000000" w:rsidP="00000000" w:rsidRDefault="00000000" w:rsidRPr="00000000" w14:paraId="00000E77">
      <w:pPr>
        <w:jc w:val="both"/>
        <w:rPr>
          <w:sz w:val="22"/>
          <w:szCs w:val="22"/>
        </w:rPr>
      </w:pPr>
      <w:r w:rsidDel="00000000" w:rsidR="00000000" w:rsidRPr="00000000">
        <w:rPr>
          <w:rtl w:val="0"/>
        </w:rPr>
      </w:r>
    </w:p>
    <w:p w:rsidR="00000000" w:rsidDel="00000000" w:rsidP="00000000" w:rsidRDefault="00000000" w:rsidRPr="00000000" w14:paraId="00000E78">
      <w:pPr>
        <w:jc w:val="both"/>
        <w:rPr>
          <w:sz w:val="22"/>
          <w:szCs w:val="22"/>
        </w:rPr>
      </w:pPr>
      <w:r w:rsidDel="00000000" w:rsidR="00000000" w:rsidRPr="00000000">
        <w:rPr>
          <w:sz w:val="22"/>
          <w:szCs w:val="22"/>
          <w:rtl w:val="0"/>
        </w:rPr>
        <w:t xml:space="preserve">Maguire K (2014) </w:t>
      </w:r>
      <w:r w:rsidDel="00000000" w:rsidR="00000000" w:rsidRPr="00000000">
        <w:rPr>
          <w:i w:val="1"/>
          <w:sz w:val="22"/>
          <w:szCs w:val="22"/>
          <w:rtl w:val="0"/>
        </w:rPr>
        <w:t xml:space="preserve">Public and patient involvement in theory and practice</w:t>
      </w:r>
      <w:r w:rsidDel="00000000" w:rsidR="00000000" w:rsidRPr="00000000">
        <w:rPr>
          <w:sz w:val="22"/>
          <w:szCs w:val="22"/>
          <w:rtl w:val="0"/>
        </w:rPr>
        <w:t xml:space="preserve">. PhD Thesis, Peninsula College of Medicine and Dentistry, Exeter.</w:t>
      </w:r>
    </w:p>
    <w:p w:rsidR="00000000" w:rsidDel="00000000" w:rsidP="00000000" w:rsidRDefault="00000000" w:rsidRPr="00000000" w14:paraId="00000E79">
      <w:pPr>
        <w:jc w:val="both"/>
        <w:rPr>
          <w:sz w:val="22"/>
          <w:szCs w:val="22"/>
        </w:rPr>
      </w:pPr>
      <w:r w:rsidDel="00000000" w:rsidR="00000000" w:rsidRPr="00000000">
        <w:rPr>
          <w:rtl w:val="0"/>
        </w:rPr>
      </w:r>
    </w:p>
    <w:p w:rsidR="00000000" w:rsidDel="00000000" w:rsidP="00000000" w:rsidRDefault="00000000" w:rsidRPr="00000000" w14:paraId="00000E7A">
      <w:pPr>
        <w:jc w:val="both"/>
        <w:rPr>
          <w:sz w:val="22"/>
          <w:szCs w:val="22"/>
        </w:rPr>
      </w:pPr>
      <w:r w:rsidDel="00000000" w:rsidR="00000000" w:rsidRPr="00000000">
        <w:rPr>
          <w:sz w:val="22"/>
          <w:szCs w:val="22"/>
          <w:rtl w:val="0"/>
        </w:rPr>
        <w:t xml:space="preserve">Mah L. Hart M. (2013). "Gabapentin withdrawal: case report in an older adult and review of the literature." </w:t>
      </w:r>
      <w:r w:rsidDel="00000000" w:rsidR="00000000" w:rsidRPr="00000000">
        <w:rPr>
          <w:i w:val="1"/>
          <w:sz w:val="22"/>
          <w:szCs w:val="22"/>
          <w:rtl w:val="0"/>
        </w:rPr>
        <w:t xml:space="preserve">J Am Geriatr Soc</w:t>
      </w:r>
      <w:r w:rsidDel="00000000" w:rsidR="00000000" w:rsidRPr="00000000">
        <w:rPr>
          <w:sz w:val="22"/>
          <w:szCs w:val="22"/>
          <w:rtl w:val="0"/>
        </w:rPr>
        <w:t xml:space="preserve"> 61(9): 1635-1637.</w:t>
      </w:r>
    </w:p>
    <w:p w:rsidR="00000000" w:rsidDel="00000000" w:rsidP="00000000" w:rsidRDefault="00000000" w:rsidRPr="00000000" w14:paraId="00000E7B">
      <w:pPr>
        <w:jc w:val="both"/>
        <w:rPr>
          <w:sz w:val="22"/>
          <w:szCs w:val="22"/>
        </w:rPr>
      </w:pPr>
      <w:r w:rsidDel="00000000" w:rsidR="00000000" w:rsidRPr="00000000">
        <w:rPr>
          <w:sz w:val="22"/>
          <w:szCs w:val="22"/>
          <w:rtl w:val="0"/>
        </w:rPr>
        <w:tab/>
      </w:r>
    </w:p>
    <w:p w:rsidR="00000000" w:rsidDel="00000000" w:rsidP="00000000" w:rsidRDefault="00000000" w:rsidRPr="00000000" w14:paraId="00000E7C">
      <w:pPr>
        <w:jc w:val="both"/>
        <w:rPr>
          <w:sz w:val="22"/>
          <w:szCs w:val="22"/>
        </w:rPr>
      </w:pPr>
      <w:r w:rsidDel="00000000" w:rsidR="00000000" w:rsidRPr="00000000">
        <w:rPr>
          <w:sz w:val="22"/>
          <w:szCs w:val="22"/>
          <w:rtl w:val="0"/>
        </w:rPr>
        <w:t xml:space="preserve">Mahajan AP. (2008). "How stigma interferes with mental health care." </w:t>
      </w:r>
      <w:r w:rsidDel="00000000" w:rsidR="00000000" w:rsidRPr="00000000">
        <w:rPr>
          <w:i w:val="1"/>
          <w:sz w:val="22"/>
          <w:szCs w:val="22"/>
          <w:rtl w:val="0"/>
        </w:rPr>
        <w:t xml:space="preserve">Am Psychol</w:t>
      </w:r>
      <w:r w:rsidDel="00000000" w:rsidR="00000000" w:rsidRPr="00000000">
        <w:rPr>
          <w:sz w:val="22"/>
          <w:szCs w:val="22"/>
          <w:rtl w:val="0"/>
        </w:rPr>
        <w:t xml:space="preserve">. 22(2): 67-79.</w:t>
      </w:r>
    </w:p>
    <w:p w:rsidR="00000000" w:rsidDel="00000000" w:rsidP="00000000" w:rsidRDefault="00000000" w:rsidRPr="00000000" w14:paraId="00000E7D">
      <w:pPr>
        <w:jc w:val="both"/>
        <w:rPr>
          <w:sz w:val="22"/>
          <w:szCs w:val="22"/>
        </w:rPr>
      </w:pPr>
      <w:r w:rsidDel="00000000" w:rsidR="00000000" w:rsidRPr="00000000">
        <w:rPr>
          <w:sz w:val="22"/>
          <w:szCs w:val="22"/>
          <w:rtl w:val="0"/>
        </w:rPr>
        <w:tab/>
      </w:r>
    </w:p>
    <w:p w:rsidR="00000000" w:rsidDel="00000000" w:rsidP="00000000" w:rsidRDefault="00000000" w:rsidRPr="00000000" w14:paraId="00000E7E">
      <w:pPr>
        <w:jc w:val="both"/>
        <w:rPr>
          <w:sz w:val="22"/>
          <w:szCs w:val="22"/>
        </w:rPr>
      </w:pPr>
      <w:r w:rsidDel="00000000" w:rsidR="00000000" w:rsidRPr="00000000">
        <w:rPr>
          <w:sz w:val="22"/>
          <w:szCs w:val="22"/>
          <w:rtl w:val="0"/>
        </w:rPr>
        <w:t xml:space="preserve">Malekinejad M. Vazirian M. (2012). "Transition to injection amongst opioid users in Iran: Implications for harm reduction." </w:t>
      </w:r>
      <w:r w:rsidDel="00000000" w:rsidR="00000000" w:rsidRPr="00000000">
        <w:rPr>
          <w:i w:val="1"/>
          <w:sz w:val="22"/>
          <w:szCs w:val="22"/>
          <w:rtl w:val="0"/>
        </w:rPr>
        <w:t xml:space="preserve">International Journal of Drug Policy</w:t>
      </w:r>
      <w:r w:rsidDel="00000000" w:rsidR="00000000" w:rsidRPr="00000000">
        <w:rPr>
          <w:sz w:val="22"/>
          <w:szCs w:val="22"/>
          <w:rtl w:val="0"/>
        </w:rPr>
        <w:t xml:space="preserve"> 23: 333-337.</w:t>
      </w:r>
    </w:p>
    <w:p w:rsidR="00000000" w:rsidDel="00000000" w:rsidP="00000000" w:rsidRDefault="00000000" w:rsidRPr="00000000" w14:paraId="00000E7F">
      <w:pPr>
        <w:jc w:val="both"/>
        <w:rPr>
          <w:sz w:val="22"/>
          <w:szCs w:val="22"/>
        </w:rPr>
      </w:pPr>
      <w:r w:rsidDel="00000000" w:rsidR="00000000" w:rsidRPr="00000000">
        <w:rPr>
          <w:sz w:val="22"/>
          <w:szCs w:val="22"/>
          <w:rtl w:val="0"/>
        </w:rPr>
        <w:tab/>
      </w:r>
    </w:p>
    <w:p w:rsidR="00000000" w:rsidDel="00000000" w:rsidP="00000000" w:rsidRDefault="00000000" w:rsidRPr="00000000" w14:paraId="00000E80">
      <w:pPr>
        <w:jc w:val="both"/>
        <w:rPr>
          <w:sz w:val="22"/>
          <w:szCs w:val="22"/>
        </w:rPr>
      </w:pPr>
      <w:r w:rsidDel="00000000" w:rsidR="00000000" w:rsidRPr="00000000">
        <w:rPr>
          <w:sz w:val="22"/>
          <w:szCs w:val="22"/>
          <w:rtl w:val="0"/>
        </w:rPr>
        <w:t xml:space="preserve">ManHealth (2024). WHAT WE DO [online]. Available at: </w:t>
      </w:r>
      <w:hyperlink r:id="rId50">
        <w:r w:rsidDel="00000000" w:rsidR="00000000" w:rsidRPr="00000000">
          <w:rPr>
            <w:color w:val="467886"/>
            <w:sz w:val="22"/>
            <w:szCs w:val="22"/>
            <w:u w:val="single"/>
            <w:rtl w:val="0"/>
          </w:rPr>
          <w:t xml:space="preserve">https://www.manhealth.org.uk/#:~:text=ManHealth%20provides%20weekly%20ongoing%20peer,to%20discuss%20how%20they%20feel</w:t>
        </w:r>
      </w:hyperlink>
      <w:r w:rsidDel="00000000" w:rsidR="00000000" w:rsidRPr="00000000">
        <w:rPr>
          <w:sz w:val="22"/>
          <w:szCs w:val="22"/>
          <w:rtl w:val="0"/>
        </w:rPr>
        <w:t xml:space="preserve">. (10/10/2024)</w:t>
      </w:r>
    </w:p>
    <w:p w:rsidR="00000000" w:rsidDel="00000000" w:rsidP="00000000" w:rsidRDefault="00000000" w:rsidRPr="00000000" w14:paraId="00000E81">
      <w:pPr>
        <w:jc w:val="both"/>
        <w:rPr>
          <w:sz w:val="22"/>
          <w:szCs w:val="22"/>
        </w:rPr>
      </w:pPr>
      <w:r w:rsidDel="00000000" w:rsidR="00000000" w:rsidRPr="00000000">
        <w:rPr>
          <w:sz w:val="22"/>
          <w:szCs w:val="22"/>
          <w:rtl w:val="0"/>
        </w:rPr>
        <w:tab/>
      </w:r>
    </w:p>
    <w:p w:rsidR="00000000" w:rsidDel="00000000" w:rsidP="00000000" w:rsidRDefault="00000000" w:rsidRPr="00000000" w14:paraId="00000E82">
      <w:pPr>
        <w:jc w:val="both"/>
        <w:rPr>
          <w:sz w:val="22"/>
          <w:szCs w:val="22"/>
        </w:rPr>
      </w:pPr>
      <w:r w:rsidDel="00000000" w:rsidR="00000000" w:rsidRPr="00000000">
        <w:rPr>
          <w:sz w:val="22"/>
          <w:szCs w:val="22"/>
          <w:rtl w:val="0"/>
        </w:rPr>
        <w:t xml:space="preserve">Mann C. Stewart F. (2000). Internet communication and qualitative research: A handbook for researching online. London, Sage Publications.</w:t>
      </w:r>
    </w:p>
    <w:p w:rsidR="00000000" w:rsidDel="00000000" w:rsidP="00000000" w:rsidRDefault="00000000" w:rsidRPr="00000000" w14:paraId="00000E83">
      <w:pPr>
        <w:jc w:val="both"/>
        <w:rPr>
          <w:sz w:val="22"/>
          <w:szCs w:val="22"/>
        </w:rPr>
      </w:pPr>
      <w:r w:rsidDel="00000000" w:rsidR="00000000" w:rsidRPr="00000000">
        <w:rPr>
          <w:rtl w:val="0"/>
        </w:rPr>
      </w:r>
    </w:p>
    <w:p w:rsidR="00000000" w:rsidDel="00000000" w:rsidP="00000000" w:rsidRDefault="00000000" w:rsidRPr="00000000" w14:paraId="00000E84">
      <w:pPr>
        <w:jc w:val="both"/>
        <w:rPr>
          <w:sz w:val="22"/>
          <w:szCs w:val="22"/>
        </w:rPr>
      </w:pPr>
      <w:r w:rsidDel="00000000" w:rsidR="00000000" w:rsidRPr="00000000">
        <w:rPr>
          <w:sz w:val="22"/>
          <w:szCs w:val="22"/>
          <w:rtl w:val="0"/>
        </w:rPr>
        <w:t xml:space="preserve">Mastroianni AC, FR, Federman D. (1994). NIH revitalization act of 1993 public law 103–143. Washington, DC: National Academies Press.</w:t>
      </w:r>
    </w:p>
    <w:p w:rsidR="00000000" w:rsidDel="00000000" w:rsidP="00000000" w:rsidRDefault="00000000" w:rsidRPr="00000000" w14:paraId="00000E85">
      <w:pPr>
        <w:jc w:val="both"/>
        <w:rPr>
          <w:sz w:val="22"/>
          <w:szCs w:val="22"/>
        </w:rPr>
      </w:pPr>
      <w:r w:rsidDel="00000000" w:rsidR="00000000" w:rsidRPr="00000000">
        <w:rPr>
          <w:sz w:val="22"/>
          <w:szCs w:val="22"/>
          <w:rtl w:val="0"/>
        </w:rPr>
        <w:tab/>
      </w:r>
    </w:p>
    <w:p w:rsidR="00000000" w:rsidDel="00000000" w:rsidP="00000000" w:rsidRDefault="00000000" w:rsidRPr="00000000" w14:paraId="00000E86">
      <w:pPr>
        <w:jc w:val="both"/>
        <w:rPr>
          <w:sz w:val="22"/>
          <w:szCs w:val="22"/>
        </w:rPr>
      </w:pPr>
      <w:r w:rsidDel="00000000" w:rsidR="00000000" w:rsidRPr="00000000">
        <w:rPr>
          <w:sz w:val="22"/>
          <w:szCs w:val="22"/>
          <w:rtl w:val="0"/>
        </w:rPr>
        <w:t xml:space="preserve">Marcinowicz L. Konstantynowicz J. Godlewski C. (2010). "Patient's perceptions of GP non-verbal communication: a qualitative study."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 60(571): 83-87.</w:t>
      </w:r>
    </w:p>
    <w:p w:rsidR="00000000" w:rsidDel="00000000" w:rsidP="00000000" w:rsidRDefault="00000000" w:rsidRPr="00000000" w14:paraId="00000E87">
      <w:pPr>
        <w:jc w:val="both"/>
        <w:rPr>
          <w:sz w:val="22"/>
          <w:szCs w:val="22"/>
        </w:rPr>
      </w:pPr>
      <w:r w:rsidDel="00000000" w:rsidR="00000000" w:rsidRPr="00000000">
        <w:rPr>
          <w:sz w:val="22"/>
          <w:szCs w:val="22"/>
          <w:rtl w:val="0"/>
        </w:rPr>
        <w:tab/>
      </w:r>
    </w:p>
    <w:p w:rsidR="00000000" w:rsidDel="00000000" w:rsidP="00000000" w:rsidRDefault="00000000" w:rsidRPr="00000000" w14:paraId="00000E88">
      <w:pPr>
        <w:jc w:val="both"/>
        <w:rPr>
          <w:sz w:val="22"/>
          <w:szCs w:val="22"/>
        </w:rPr>
      </w:pPr>
      <w:r w:rsidDel="00000000" w:rsidR="00000000" w:rsidRPr="00000000">
        <w:rPr>
          <w:sz w:val="22"/>
          <w:szCs w:val="22"/>
          <w:rtl w:val="0"/>
        </w:rPr>
        <w:t xml:space="preserve">Marsden J. White M. Annad F. Burkinshaw. Carville S. Eastwood B. Keller M. Knight J. O’Connor R. Tran A. Greaves S. Taylor. (2019). "Medicines associated with dependence or withdrawal: a mixed methods public health review and national database study in England." </w:t>
      </w:r>
      <w:r w:rsidDel="00000000" w:rsidR="00000000" w:rsidRPr="00000000">
        <w:rPr>
          <w:i w:val="1"/>
          <w:sz w:val="22"/>
          <w:szCs w:val="22"/>
          <w:rtl w:val="0"/>
        </w:rPr>
        <w:t xml:space="preserve">The Lancet Psychiatry</w:t>
      </w:r>
      <w:r w:rsidDel="00000000" w:rsidR="00000000" w:rsidRPr="00000000">
        <w:rPr>
          <w:sz w:val="22"/>
          <w:szCs w:val="22"/>
          <w:rtl w:val="0"/>
        </w:rPr>
        <w:t xml:space="preserve"> 6: 935-950.</w:t>
      </w:r>
    </w:p>
    <w:p w:rsidR="00000000" w:rsidDel="00000000" w:rsidP="00000000" w:rsidRDefault="00000000" w:rsidRPr="00000000" w14:paraId="00000E89">
      <w:pPr>
        <w:jc w:val="both"/>
        <w:rPr>
          <w:sz w:val="22"/>
          <w:szCs w:val="22"/>
        </w:rPr>
      </w:pPr>
      <w:r w:rsidDel="00000000" w:rsidR="00000000" w:rsidRPr="00000000">
        <w:rPr>
          <w:sz w:val="22"/>
          <w:szCs w:val="22"/>
          <w:rtl w:val="0"/>
        </w:rPr>
        <w:t xml:space="preserve">Marshall SL. While AE. (1994). "Interviewing respondents who have English as a second language: challenges encountered and suggestions for other researchers." </w:t>
      </w:r>
      <w:r w:rsidDel="00000000" w:rsidR="00000000" w:rsidRPr="00000000">
        <w:rPr>
          <w:i w:val="1"/>
          <w:sz w:val="22"/>
          <w:szCs w:val="22"/>
          <w:rtl w:val="0"/>
        </w:rPr>
        <w:t xml:space="preserve">Journal of Advances Nursing</w:t>
      </w:r>
      <w:r w:rsidDel="00000000" w:rsidR="00000000" w:rsidRPr="00000000">
        <w:rPr>
          <w:sz w:val="22"/>
          <w:szCs w:val="22"/>
          <w:rtl w:val="0"/>
        </w:rPr>
        <w:t xml:space="preserve"> 19(3): 566-571.</w:t>
      </w:r>
    </w:p>
    <w:p w:rsidR="00000000" w:rsidDel="00000000" w:rsidP="00000000" w:rsidRDefault="00000000" w:rsidRPr="00000000" w14:paraId="00000E8A">
      <w:pPr>
        <w:jc w:val="both"/>
        <w:rPr>
          <w:sz w:val="22"/>
          <w:szCs w:val="22"/>
        </w:rPr>
      </w:pPr>
      <w:r w:rsidDel="00000000" w:rsidR="00000000" w:rsidRPr="00000000">
        <w:rPr>
          <w:rtl w:val="0"/>
        </w:rPr>
      </w:r>
    </w:p>
    <w:p w:rsidR="00000000" w:rsidDel="00000000" w:rsidP="00000000" w:rsidRDefault="00000000" w:rsidRPr="00000000" w14:paraId="00000E8B">
      <w:pPr>
        <w:jc w:val="both"/>
        <w:rPr>
          <w:sz w:val="22"/>
          <w:szCs w:val="22"/>
        </w:rPr>
      </w:pPr>
      <w:r w:rsidDel="00000000" w:rsidR="00000000" w:rsidRPr="00000000">
        <w:rPr>
          <w:sz w:val="22"/>
          <w:szCs w:val="22"/>
          <w:rtl w:val="0"/>
        </w:rPr>
        <w:t xml:space="preserve">Martin A. Stenner P. (2004). "Talking about drug use: what are we (and our participants) doing in qualitative research?" </w:t>
      </w:r>
      <w:r w:rsidDel="00000000" w:rsidR="00000000" w:rsidRPr="00000000">
        <w:rPr>
          <w:i w:val="1"/>
          <w:sz w:val="22"/>
          <w:szCs w:val="22"/>
          <w:rtl w:val="0"/>
        </w:rPr>
        <w:t xml:space="preserve">International Journal of Drug Policy</w:t>
      </w:r>
      <w:r w:rsidDel="00000000" w:rsidR="00000000" w:rsidRPr="00000000">
        <w:rPr>
          <w:sz w:val="22"/>
          <w:szCs w:val="22"/>
          <w:rtl w:val="0"/>
        </w:rPr>
        <w:t xml:space="preserve"> 15: 395-405.</w:t>
      </w:r>
    </w:p>
    <w:p w:rsidR="00000000" w:rsidDel="00000000" w:rsidP="00000000" w:rsidRDefault="00000000" w:rsidRPr="00000000" w14:paraId="00000E8C">
      <w:pPr>
        <w:jc w:val="both"/>
        <w:rPr>
          <w:sz w:val="22"/>
          <w:szCs w:val="22"/>
        </w:rPr>
      </w:pPr>
      <w:r w:rsidDel="00000000" w:rsidR="00000000" w:rsidRPr="00000000">
        <w:rPr>
          <w:sz w:val="22"/>
          <w:szCs w:val="22"/>
          <w:rtl w:val="0"/>
        </w:rPr>
        <w:tab/>
      </w:r>
    </w:p>
    <w:p w:rsidR="00000000" w:rsidDel="00000000" w:rsidP="00000000" w:rsidRDefault="00000000" w:rsidRPr="00000000" w14:paraId="00000E8D">
      <w:pPr>
        <w:jc w:val="both"/>
        <w:rPr>
          <w:sz w:val="22"/>
          <w:szCs w:val="22"/>
        </w:rPr>
      </w:pPr>
      <w:r w:rsidDel="00000000" w:rsidR="00000000" w:rsidRPr="00000000">
        <w:rPr>
          <w:sz w:val="22"/>
          <w:szCs w:val="22"/>
          <w:rtl w:val="0"/>
        </w:rPr>
        <w:t xml:space="preserve">Martino AS. Perrotta A. McGillon BJ. (2024). "Who can you trust these days?: Dealing with imposter participants during online recruitment and data collection." </w:t>
      </w:r>
      <w:r w:rsidDel="00000000" w:rsidR="00000000" w:rsidRPr="00000000">
        <w:rPr>
          <w:i w:val="1"/>
          <w:sz w:val="22"/>
          <w:szCs w:val="22"/>
          <w:rtl w:val="0"/>
        </w:rPr>
        <w:t xml:space="preserve">Qualitative Research</w:t>
      </w:r>
      <w:r w:rsidDel="00000000" w:rsidR="00000000" w:rsidRPr="00000000">
        <w:rPr>
          <w:sz w:val="22"/>
          <w:szCs w:val="22"/>
          <w:rtl w:val="0"/>
        </w:rPr>
        <w:t xml:space="preserve">.</w:t>
      </w:r>
    </w:p>
    <w:p w:rsidR="00000000" w:rsidDel="00000000" w:rsidP="00000000" w:rsidRDefault="00000000" w:rsidRPr="00000000" w14:paraId="00000E8E">
      <w:pPr>
        <w:jc w:val="both"/>
        <w:rPr>
          <w:sz w:val="22"/>
          <w:szCs w:val="22"/>
        </w:rPr>
      </w:pPr>
      <w:r w:rsidDel="00000000" w:rsidR="00000000" w:rsidRPr="00000000">
        <w:rPr>
          <w:rtl w:val="0"/>
        </w:rPr>
      </w:r>
    </w:p>
    <w:p w:rsidR="00000000" w:rsidDel="00000000" w:rsidP="00000000" w:rsidRDefault="00000000" w:rsidRPr="00000000" w14:paraId="00000E8F">
      <w:pPr>
        <w:jc w:val="both"/>
        <w:rPr>
          <w:sz w:val="22"/>
          <w:szCs w:val="22"/>
        </w:rPr>
      </w:pPr>
      <w:r w:rsidDel="00000000" w:rsidR="00000000" w:rsidRPr="00000000">
        <w:rPr>
          <w:sz w:val="22"/>
          <w:szCs w:val="22"/>
          <w:rtl w:val="0"/>
        </w:rPr>
        <w:t xml:space="preserve">Masnoon N. Shakib S. Kalisch-Ellett L. Caughey GE. (2017). "What is polypharmacy? A systematic review of definitions." </w:t>
      </w:r>
      <w:r w:rsidDel="00000000" w:rsidR="00000000" w:rsidRPr="00000000">
        <w:rPr>
          <w:i w:val="1"/>
          <w:sz w:val="22"/>
          <w:szCs w:val="22"/>
          <w:rtl w:val="0"/>
        </w:rPr>
        <w:t xml:space="preserve">BMC Geriatrics</w:t>
      </w:r>
      <w:r w:rsidDel="00000000" w:rsidR="00000000" w:rsidRPr="00000000">
        <w:rPr>
          <w:sz w:val="22"/>
          <w:szCs w:val="22"/>
          <w:rtl w:val="0"/>
        </w:rPr>
        <w:t xml:space="preserve"> 17(230).</w:t>
      </w:r>
    </w:p>
    <w:p w:rsidR="00000000" w:rsidDel="00000000" w:rsidP="00000000" w:rsidRDefault="00000000" w:rsidRPr="00000000" w14:paraId="00000E90">
      <w:pPr>
        <w:jc w:val="both"/>
        <w:rPr>
          <w:sz w:val="22"/>
          <w:szCs w:val="22"/>
        </w:rPr>
      </w:pPr>
      <w:r w:rsidDel="00000000" w:rsidR="00000000" w:rsidRPr="00000000">
        <w:rPr>
          <w:rtl w:val="0"/>
        </w:rPr>
      </w:r>
    </w:p>
    <w:p w:rsidR="00000000" w:rsidDel="00000000" w:rsidP="00000000" w:rsidRDefault="00000000" w:rsidRPr="00000000" w14:paraId="00000E91">
      <w:pPr>
        <w:jc w:val="both"/>
        <w:rPr>
          <w:sz w:val="22"/>
          <w:szCs w:val="22"/>
        </w:rPr>
      </w:pPr>
      <w:r w:rsidDel="00000000" w:rsidR="00000000" w:rsidRPr="00000000">
        <w:rPr>
          <w:sz w:val="22"/>
          <w:szCs w:val="22"/>
          <w:rtl w:val="0"/>
        </w:rPr>
        <w:t xml:space="preserve">Matsuzaki M. Vu QM. Gwadz M. Delaney JAC. Kuo I. Perez Trejo ME. Cunningham WE. Cunningham CO. Christopoulos K.  (2018). "Perceived access and barriers to care among illicit drug users and hazardous drinkers: findings from the Seek, Test, Treat and Retain data harmonization initiative (STTR)." </w:t>
      </w:r>
      <w:r w:rsidDel="00000000" w:rsidR="00000000" w:rsidRPr="00000000">
        <w:rPr>
          <w:i w:val="1"/>
          <w:sz w:val="22"/>
          <w:szCs w:val="22"/>
          <w:rtl w:val="0"/>
        </w:rPr>
        <w:t xml:space="preserve">BMC Public Health</w:t>
      </w:r>
      <w:r w:rsidDel="00000000" w:rsidR="00000000" w:rsidRPr="00000000">
        <w:rPr>
          <w:sz w:val="22"/>
          <w:szCs w:val="22"/>
          <w:rtl w:val="0"/>
        </w:rPr>
        <w:t xml:space="preserve"> 18: 366-366.</w:t>
      </w:r>
    </w:p>
    <w:p w:rsidR="00000000" w:rsidDel="00000000" w:rsidP="00000000" w:rsidRDefault="00000000" w:rsidRPr="00000000" w14:paraId="00000E92">
      <w:pPr>
        <w:jc w:val="both"/>
        <w:rPr>
          <w:sz w:val="22"/>
          <w:szCs w:val="22"/>
        </w:rPr>
      </w:pPr>
      <w:r w:rsidDel="00000000" w:rsidR="00000000" w:rsidRPr="00000000">
        <w:rPr>
          <w:sz w:val="22"/>
          <w:szCs w:val="22"/>
          <w:rtl w:val="0"/>
        </w:rPr>
        <w:tab/>
      </w:r>
    </w:p>
    <w:p w:rsidR="00000000" w:rsidDel="00000000" w:rsidP="00000000" w:rsidRDefault="00000000" w:rsidRPr="00000000" w14:paraId="00000E93">
      <w:pPr>
        <w:jc w:val="both"/>
        <w:rPr>
          <w:sz w:val="22"/>
          <w:szCs w:val="22"/>
        </w:rPr>
      </w:pPr>
      <w:r w:rsidDel="00000000" w:rsidR="00000000" w:rsidRPr="00000000">
        <w:rPr>
          <w:sz w:val="22"/>
          <w:szCs w:val="22"/>
          <w:rtl w:val="0"/>
        </w:rPr>
        <w:t xml:space="preserve">Matthews S. Dwyer R. Snoek A (2017). "Stigma and Self-Stigma in Addiction." </w:t>
      </w:r>
      <w:r w:rsidDel="00000000" w:rsidR="00000000" w:rsidRPr="00000000">
        <w:rPr>
          <w:i w:val="1"/>
          <w:sz w:val="22"/>
          <w:szCs w:val="22"/>
          <w:rtl w:val="0"/>
        </w:rPr>
        <w:t xml:space="preserve">Bioethical Inquiry</w:t>
      </w:r>
      <w:r w:rsidDel="00000000" w:rsidR="00000000" w:rsidRPr="00000000">
        <w:rPr>
          <w:sz w:val="22"/>
          <w:szCs w:val="22"/>
          <w:rtl w:val="0"/>
        </w:rPr>
        <w:t xml:space="preserve"> 144: 275-286.</w:t>
      </w:r>
    </w:p>
    <w:p w:rsidR="00000000" w:rsidDel="00000000" w:rsidP="00000000" w:rsidRDefault="00000000" w:rsidRPr="00000000" w14:paraId="00000E94">
      <w:pPr>
        <w:jc w:val="both"/>
        <w:rPr>
          <w:sz w:val="22"/>
          <w:szCs w:val="22"/>
        </w:rPr>
      </w:pPr>
      <w:r w:rsidDel="00000000" w:rsidR="00000000" w:rsidRPr="00000000">
        <w:rPr>
          <w:sz w:val="22"/>
          <w:szCs w:val="22"/>
          <w:rtl w:val="0"/>
        </w:rPr>
        <w:tab/>
      </w:r>
    </w:p>
    <w:p w:rsidR="00000000" w:rsidDel="00000000" w:rsidP="00000000" w:rsidRDefault="00000000" w:rsidRPr="00000000" w14:paraId="00000E95">
      <w:pPr>
        <w:jc w:val="both"/>
        <w:rPr>
          <w:sz w:val="22"/>
          <w:szCs w:val="22"/>
        </w:rPr>
      </w:pPr>
      <w:r w:rsidDel="00000000" w:rsidR="00000000" w:rsidRPr="00000000">
        <w:rPr>
          <w:sz w:val="22"/>
          <w:szCs w:val="22"/>
          <w:rtl w:val="0"/>
        </w:rPr>
        <w:t xml:space="preserve">Matthias MS. (2017). "I'm not gonna pull the rug out from you under you": Patient-Provider Communication About Opioid Tapering." </w:t>
      </w:r>
      <w:r w:rsidDel="00000000" w:rsidR="00000000" w:rsidRPr="00000000">
        <w:rPr>
          <w:i w:val="1"/>
          <w:sz w:val="22"/>
          <w:szCs w:val="22"/>
          <w:rtl w:val="0"/>
        </w:rPr>
        <w:t xml:space="preserve">The Journal of Pain</w:t>
      </w:r>
      <w:r w:rsidDel="00000000" w:rsidR="00000000" w:rsidRPr="00000000">
        <w:rPr>
          <w:sz w:val="22"/>
          <w:szCs w:val="22"/>
          <w:rtl w:val="0"/>
        </w:rPr>
        <w:t xml:space="preserve"> 18(11): 1365-1373.</w:t>
      </w:r>
    </w:p>
    <w:p w:rsidR="00000000" w:rsidDel="00000000" w:rsidP="00000000" w:rsidRDefault="00000000" w:rsidRPr="00000000" w14:paraId="00000E96">
      <w:pPr>
        <w:jc w:val="both"/>
        <w:rPr>
          <w:sz w:val="22"/>
          <w:szCs w:val="22"/>
        </w:rPr>
      </w:pPr>
      <w:r w:rsidDel="00000000" w:rsidR="00000000" w:rsidRPr="00000000">
        <w:rPr>
          <w:sz w:val="22"/>
          <w:szCs w:val="22"/>
          <w:rtl w:val="0"/>
        </w:rPr>
        <w:tab/>
      </w:r>
    </w:p>
    <w:p w:rsidR="00000000" w:rsidDel="00000000" w:rsidP="00000000" w:rsidRDefault="00000000" w:rsidRPr="00000000" w14:paraId="00000E97">
      <w:pPr>
        <w:jc w:val="both"/>
        <w:rPr>
          <w:sz w:val="22"/>
          <w:szCs w:val="22"/>
        </w:rPr>
      </w:pPr>
      <w:r w:rsidDel="00000000" w:rsidR="00000000" w:rsidRPr="00000000">
        <w:rPr>
          <w:sz w:val="22"/>
          <w:szCs w:val="22"/>
          <w:rtl w:val="0"/>
        </w:rPr>
        <w:t xml:space="preserve">Mayo Clinic (2021). Serotonin Syndrome [online]. Mayo Clinic. Available at: </w:t>
      </w:r>
      <w:hyperlink r:id="rId51">
        <w:r w:rsidDel="00000000" w:rsidR="00000000" w:rsidRPr="00000000">
          <w:rPr>
            <w:color w:val="467886"/>
            <w:sz w:val="22"/>
            <w:szCs w:val="22"/>
            <w:u w:val="single"/>
            <w:rtl w:val="0"/>
          </w:rPr>
          <w:t xml:space="preserve">https://www.mayoclinic.org/diseases-conditions/serotonin-syndrome/symptoms-causes/syc-20354758</w:t>
        </w:r>
      </w:hyperlink>
      <w:r w:rsidDel="00000000" w:rsidR="00000000" w:rsidRPr="00000000">
        <w:rPr>
          <w:sz w:val="22"/>
          <w:szCs w:val="22"/>
          <w:rtl w:val="0"/>
        </w:rPr>
        <w:t xml:space="preserve"> (11/11/2020)</w:t>
      </w:r>
    </w:p>
    <w:p w:rsidR="00000000" w:rsidDel="00000000" w:rsidP="00000000" w:rsidRDefault="00000000" w:rsidRPr="00000000" w14:paraId="00000E98">
      <w:pPr>
        <w:jc w:val="both"/>
        <w:rPr>
          <w:sz w:val="22"/>
          <w:szCs w:val="22"/>
        </w:rPr>
      </w:pPr>
      <w:r w:rsidDel="00000000" w:rsidR="00000000" w:rsidRPr="00000000">
        <w:rPr>
          <w:sz w:val="22"/>
          <w:szCs w:val="22"/>
          <w:rtl w:val="0"/>
        </w:rPr>
        <w:tab/>
      </w:r>
    </w:p>
    <w:p w:rsidR="00000000" w:rsidDel="00000000" w:rsidP="00000000" w:rsidRDefault="00000000" w:rsidRPr="00000000" w14:paraId="00000E99">
      <w:pPr>
        <w:jc w:val="both"/>
        <w:rPr>
          <w:sz w:val="22"/>
          <w:szCs w:val="22"/>
        </w:rPr>
      </w:pPr>
      <w:r w:rsidDel="00000000" w:rsidR="00000000" w:rsidRPr="00000000">
        <w:rPr>
          <w:sz w:val="22"/>
          <w:szCs w:val="22"/>
          <w:rtl w:val="0"/>
        </w:rPr>
        <w:t xml:space="preserve">Mazanderani F. Noorani T. Dudhwala F. Thokozani Kamwendo Z. (2017). "From embodied risk to embodying hope: therapeutic experimentation and experiential information sharing in a contested intervention for multiple sclerosis." </w:t>
      </w:r>
      <w:r w:rsidDel="00000000" w:rsidR="00000000" w:rsidRPr="00000000">
        <w:rPr>
          <w:i w:val="1"/>
          <w:sz w:val="22"/>
          <w:szCs w:val="22"/>
          <w:rtl w:val="0"/>
        </w:rPr>
        <w:t xml:space="preserve">BioSocieties</w:t>
      </w:r>
      <w:r w:rsidDel="00000000" w:rsidR="00000000" w:rsidRPr="00000000">
        <w:rPr>
          <w:sz w:val="22"/>
          <w:szCs w:val="22"/>
          <w:rtl w:val="0"/>
        </w:rPr>
        <w:t xml:space="preserve"> 13(1): 232-254.</w:t>
      </w:r>
    </w:p>
    <w:p w:rsidR="00000000" w:rsidDel="00000000" w:rsidP="00000000" w:rsidRDefault="00000000" w:rsidRPr="00000000" w14:paraId="00000E9A">
      <w:pPr>
        <w:jc w:val="both"/>
        <w:rPr>
          <w:sz w:val="22"/>
          <w:szCs w:val="22"/>
        </w:rPr>
      </w:pPr>
      <w:r w:rsidDel="00000000" w:rsidR="00000000" w:rsidRPr="00000000">
        <w:rPr>
          <w:rtl w:val="0"/>
        </w:rPr>
      </w:r>
    </w:p>
    <w:p w:rsidR="00000000" w:rsidDel="00000000" w:rsidP="00000000" w:rsidRDefault="00000000" w:rsidRPr="00000000" w14:paraId="00000E9B">
      <w:pPr>
        <w:jc w:val="both"/>
        <w:rPr>
          <w:sz w:val="22"/>
          <w:szCs w:val="22"/>
        </w:rPr>
      </w:pPr>
      <w:r w:rsidDel="00000000" w:rsidR="00000000" w:rsidRPr="00000000">
        <w:rPr>
          <w:sz w:val="22"/>
          <w:szCs w:val="22"/>
          <w:rtl w:val="0"/>
        </w:rPr>
        <w:t xml:space="preserve">Mazanderani F. Noorani T. Dudhwala F. Thokozani Kamwendo Z. (2020). "Knowledge, evidence and expertise? The epistemics of experience in contemporary healthcare." </w:t>
      </w:r>
      <w:r w:rsidDel="00000000" w:rsidR="00000000" w:rsidRPr="00000000">
        <w:rPr>
          <w:i w:val="1"/>
          <w:sz w:val="22"/>
          <w:szCs w:val="22"/>
          <w:rtl w:val="0"/>
        </w:rPr>
        <w:t xml:space="preserve">Evidence and Policy</w:t>
      </w:r>
      <w:r w:rsidDel="00000000" w:rsidR="00000000" w:rsidRPr="00000000">
        <w:rPr>
          <w:sz w:val="22"/>
          <w:szCs w:val="22"/>
          <w:rtl w:val="0"/>
        </w:rPr>
        <w:t xml:space="preserve"> 16(2): 267-284.</w:t>
      </w:r>
    </w:p>
    <w:p w:rsidR="00000000" w:rsidDel="00000000" w:rsidP="00000000" w:rsidRDefault="00000000" w:rsidRPr="00000000" w14:paraId="00000E9C">
      <w:pPr>
        <w:jc w:val="both"/>
        <w:rPr>
          <w:sz w:val="22"/>
          <w:szCs w:val="22"/>
        </w:rPr>
      </w:pPr>
      <w:r w:rsidDel="00000000" w:rsidR="00000000" w:rsidRPr="00000000">
        <w:rPr>
          <w:sz w:val="22"/>
          <w:szCs w:val="22"/>
          <w:rtl w:val="0"/>
        </w:rPr>
        <w:tab/>
      </w:r>
    </w:p>
    <w:p w:rsidR="00000000" w:rsidDel="00000000" w:rsidP="00000000" w:rsidRDefault="00000000" w:rsidRPr="00000000" w14:paraId="00000E9D">
      <w:pPr>
        <w:jc w:val="both"/>
        <w:rPr>
          <w:sz w:val="22"/>
          <w:szCs w:val="22"/>
        </w:rPr>
      </w:pPr>
      <w:r w:rsidDel="00000000" w:rsidR="00000000" w:rsidRPr="00000000">
        <w:rPr>
          <w:sz w:val="22"/>
          <w:szCs w:val="22"/>
          <w:rtl w:val="0"/>
        </w:rPr>
        <w:t xml:space="preserve">Mazza S. Frot M. Rey AE. (2018). "A comprehensive literature review of chronic pain and memory." </w:t>
      </w:r>
      <w:r w:rsidDel="00000000" w:rsidR="00000000" w:rsidRPr="00000000">
        <w:rPr>
          <w:i w:val="1"/>
          <w:sz w:val="22"/>
          <w:szCs w:val="22"/>
          <w:rtl w:val="0"/>
        </w:rPr>
        <w:t xml:space="preserve">Prog Neuropsychopharmacol Biol Psychiatry</w:t>
      </w:r>
      <w:r w:rsidDel="00000000" w:rsidR="00000000" w:rsidRPr="00000000">
        <w:rPr>
          <w:sz w:val="22"/>
          <w:szCs w:val="22"/>
          <w:rtl w:val="0"/>
        </w:rPr>
        <w:t xml:space="preserve"> 87: 183-192.</w:t>
      </w:r>
    </w:p>
    <w:p w:rsidR="00000000" w:rsidDel="00000000" w:rsidP="00000000" w:rsidRDefault="00000000" w:rsidRPr="00000000" w14:paraId="00000E9E">
      <w:pPr>
        <w:jc w:val="both"/>
        <w:rPr>
          <w:sz w:val="22"/>
          <w:szCs w:val="22"/>
        </w:rPr>
      </w:pPr>
      <w:r w:rsidDel="00000000" w:rsidR="00000000" w:rsidRPr="00000000">
        <w:rPr>
          <w:sz w:val="22"/>
          <w:szCs w:val="22"/>
          <w:rtl w:val="0"/>
        </w:rPr>
        <w:tab/>
      </w:r>
    </w:p>
    <w:p w:rsidR="00000000" w:rsidDel="00000000" w:rsidP="00000000" w:rsidRDefault="00000000" w:rsidRPr="00000000" w14:paraId="00000E9F">
      <w:pPr>
        <w:jc w:val="both"/>
        <w:rPr>
          <w:sz w:val="22"/>
          <w:szCs w:val="22"/>
        </w:rPr>
      </w:pPr>
      <w:r w:rsidDel="00000000" w:rsidR="00000000" w:rsidRPr="00000000">
        <w:rPr>
          <w:sz w:val="22"/>
          <w:szCs w:val="22"/>
          <w:rtl w:val="0"/>
        </w:rPr>
        <w:t xml:space="preserve">McCabe J. Wilcock M. Atkinson K. Laugharne R. Shankar R. (2020). "General practitioners and psychiatrists’ attitudes towards antidepressant withdrawal." </w:t>
      </w:r>
      <w:r w:rsidDel="00000000" w:rsidR="00000000" w:rsidRPr="00000000">
        <w:rPr>
          <w:i w:val="1"/>
          <w:sz w:val="22"/>
          <w:szCs w:val="22"/>
          <w:rtl w:val="0"/>
        </w:rPr>
        <w:t xml:space="preserve">BJPsych Open</w:t>
      </w:r>
      <w:r w:rsidDel="00000000" w:rsidR="00000000" w:rsidRPr="00000000">
        <w:rPr>
          <w:sz w:val="22"/>
          <w:szCs w:val="22"/>
          <w:rtl w:val="0"/>
        </w:rPr>
        <w:t xml:space="preserve">. 6(64).</w:t>
      </w:r>
    </w:p>
    <w:p w:rsidR="00000000" w:rsidDel="00000000" w:rsidP="00000000" w:rsidRDefault="00000000" w:rsidRPr="00000000" w14:paraId="00000EA0">
      <w:pPr>
        <w:jc w:val="both"/>
        <w:rPr>
          <w:sz w:val="22"/>
          <w:szCs w:val="22"/>
        </w:rPr>
      </w:pPr>
      <w:r w:rsidDel="00000000" w:rsidR="00000000" w:rsidRPr="00000000">
        <w:rPr>
          <w:sz w:val="22"/>
          <w:szCs w:val="22"/>
          <w:rtl w:val="0"/>
        </w:rPr>
        <w:tab/>
      </w:r>
    </w:p>
    <w:p w:rsidR="00000000" w:rsidDel="00000000" w:rsidP="00000000" w:rsidRDefault="00000000" w:rsidRPr="00000000" w14:paraId="00000EA1">
      <w:pPr>
        <w:jc w:val="both"/>
        <w:rPr>
          <w:sz w:val="22"/>
          <w:szCs w:val="22"/>
        </w:rPr>
      </w:pPr>
      <w:r w:rsidDel="00000000" w:rsidR="00000000" w:rsidRPr="00000000">
        <w:rPr>
          <w:sz w:val="22"/>
          <w:szCs w:val="22"/>
          <w:rtl w:val="0"/>
        </w:rPr>
        <w:t xml:space="preserve">McHugh RK. Nielsen S. Weiss RD. (2015). "Prescription Drug Abuse: From Epidemiology to Public Policy." </w:t>
      </w:r>
      <w:r w:rsidDel="00000000" w:rsidR="00000000" w:rsidRPr="00000000">
        <w:rPr>
          <w:i w:val="1"/>
          <w:sz w:val="22"/>
          <w:szCs w:val="22"/>
          <w:rtl w:val="0"/>
        </w:rPr>
        <w:t xml:space="preserve">J Subst Abuse Treat</w:t>
      </w:r>
      <w:r w:rsidDel="00000000" w:rsidR="00000000" w:rsidRPr="00000000">
        <w:rPr>
          <w:sz w:val="22"/>
          <w:szCs w:val="22"/>
          <w:rtl w:val="0"/>
        </w:rPr>
        <w:t xml:space="preserve"> 48(1): 1-7.</w:t>
      </w:r>
    </w:p>
    <w:p w:rsidR="00000000" w:rsidDel="00000000" w:rsidP="00000000" w:rsidRDefault="00000000" w:rsidRPr="00000000" w14:paraId="00000EA2">
      <w:pPr>
        <w:jc w:val="both"/>
        <w:rPr>
          <w:sz w:val="22"/>
          <w:szCs w:val="22"/>
        </w:rPr>
      </w:pPr>
      <w:r w:rsidDel="00000000" w:rsidR="00000000" w:rsidRPr="00000000">
        <w:rPr>
          <w:sz w:val="22"/>
          <w:szCs w:val="22"/>
          <w:rtl w:val="0"/>
        </w:rPr>
        <w:tab/>
      </w:r>
    </w:p>
    <w:p w:rsidR="00000000" w:rsidDel="00000000" w:rsidP="00000000" w:rsidRDefault="00000000" w:rsidRPr="00000000" w14:paraId="00000EA3">
      <w:pPr>
        <w:jc w:val="both"/>
        <w:rPr>
          <w:sz w:val="22"/>
          <w:szCs w:val="22"/>
        </w:rPr>
      </w:pPr>
      <w:r w:rsidDel="00000000" w:rsidR="00000000" w:rsidRPr="00000000">
        <w:rPr>
          <w:sz w:val="22"/>
          <w:szCs w:val="22"/>
          <w:rtl w:val="0"/>
        </w:rPr>
        <w:t xml:space="preserve">McIntosh (1997). Classical Sociological Theory: A Reader. Edinburgh, Edinburgh University Press.</w:t>
      </w:r>
    </w:p>
    <w:p w:rsidR="00000000" w:rsidDel="00000000" w:rsidP="00000000" w:rsidRDefault="00000000" w:rsidRPr="00000000" w14:paraId="00000EA4">
      <w:pPr>
        <w:jc w:val="both"/>
        <w:rPr>
          <w:sz w:val="22"/>
          <w:szCs w:val="22"/>
        </w:rPr>
      </w:pPr>
      <w:r w:rsidDel="00000000" w:rsidR="00000000" w:rsidRPr="00000000">
        <w:rPr>
          <w:sz w:val="22"/>
          <w:szCs w:val="22"/>
          <w:rtl w:val="0"/>
        </w:rPr>
        <w:tab/>
      </w:r>
    </w:p>
    <w:p w:rsidR="00000000" w:rsidDel="00000000" w:rsidP="00000000" w:rsidRDefault="00000000" w:rsidRPr="00000000" w14:paraId="00000EA5">
      <w:pPr>
        <w:jc w:val="both"/>
        <w:rPr>
          <w:sz w:val="22"/>
          <w:szCs w:val="22"/>
        </w:rPr>
      </w:pPr>
      <w:r w:rsidDel="00000000" w:rsidR="00000000" w:rsidRPr="00000000">
        <w:rPr>
          <w:sz w:val="22"/>
          <w:szCs w:val="22"/>
          <w:rtl w:val="0"/>
        </w:rPr>
        <w:t xml:space="preserve">McIntyre (2021). "The (capitalist) making of an addict: A Marxian and Durkheimian perspective on modern manifestations of addiction." </w:t>
      </w:r>
      <w:r w:rsidDel="00000000" w:rsidR="00000000" w:rsidRPr="00000000">
        <w:rPr>
          <w:i w:val="1"/>
          <w:sz w:val="22"/>
          <w:szCs w:val="22"/>
          <w:rtl w:val="0"/>
        </w:rPr>
        <w:t xml:space="preserve">International Journal of Sociology and Anthropology</w:t>
      </w:r>
      <w:r w:rsidDel="00000000" w:rsidR="00000000" w:rsidRPr="00000000">
        <w:rPr>
          <w:sz w:val="22"/>
          <w:szCs w:val="22"/>
          <w:rtl w:val="0"/>
        </w:rPr>
        <w:t xml:space="preserve"> 13(4): 135-141.</w:t>
      </w:r>
    </w:p>
    <w:p w:rsidR="00000000" w:rsidDel="00000000" w:rsidP="00000000" w:rsidRDefault="00000000" w:rsidRPr="00000000" w14:paraId="00000EA6">
      <w:pPr>
        <w:jc w:val="both"/>
        <w:rPr>
          <w:sz w:val="22"/>
          <w:szCs w:val="22"/>
        </w:rPr>
      </w:pPr>
      <w:r w:rsidDel="00000000" w:rsidR="00000000" w:rsidRPr="00000000">
        <w:rPr>
          <w:sz w:val="22"/>
          <w:szCs w:val="22"/>
          <w:rtl w:val="0"/>
        </w:rPr>
        <w:tab/>
      </w:r>
    </w:p>
    <w:p w:rsidR="00000000" w:rsidDel="00000000" w:rsidP="00000000" w:rsidRDefault="00000000" w:rsidRPr="00000000" w14:paraId="00000EA7">
      <w:pPr>
        <w:jc w:val="both"/>
        <w:rPr>
          <w:sz w:val="22"/>
          <w:szCs w:val="22"/>
        </w:rPr>
      </w:pPr>
      <w:r w:rsidDel="00000000" w:rsidR="00000000" w:rsidRPr="00000000">
        <w:rPr>
          <w:sz w:val="22"/>
          <w:szCs w:val="22"/>
          <w:rtl w:val="0"/>
        </w:rPr>
        <w:t xml:space="preserve">McKenzie SK. Oliffe JL. Black A. Collings S. (2022). "Men’s Experiences of Mental Illness Stigma Across the Lifespan: A Scoping Review." </w:t>
      </w:r>
      <w:r w:rsidDel="00000000" w:rsidR="00000000" w:rsidRPr="00000000">
        <w:rPr>
          <w:i w:val="1"/>
          <w:sz w:val="22"/>
          <w:szCs w:val="22"/>
          <w:rtl w:val="0"/>
        </w:rPr>
        <w:t xml:space="preserve">American Journal of Men’s Health</w:t>
      </w:r>
      <w:r w:rsidDel="00000000" w:rsidR="00000000" w:rsidRPr="00000000">
        <w:rPr>
          <w:sz w:val="22"/>
          <w:szCs w:val="22"/>
          <w:rtl w:val="0"/>
        </w:rPr>
        <w:t xml:space="preserve">: 1-16.</w:t>
      </w:r>
    </w:p>
    <w:p w:rsidR="00000000" w:rsidDel="00000000" w:rsidP="00000000" w:rsidRDefault="00000000" w:rsidRPr="00000000" w14:paraId="00000EA8">
      <w:pPr>
        <w:jc w:val="both"/>
        <w:rPr>
          <w:sz w:val="22"/>
          <w:szCs w:val="22"/>
        </w:rPr>
      </w:pPr>
      <w:r w:rsidDel="00000000" w:rsidR="00000000" w:rsidRPr="00000000">
        <w:rPr>
          <w:rtl w:val="0"/>
        </w:rPr>
      </w:r>
    </w:p>
    <w:p w:rsidR="00000000" w:rsidDel="00000000" w:rsidP="00000000" w:rsidRDefault="00000000" w:rsidRPr="00000000" w14:paraId="00000EA9">
      <w:pPr>
        <w:jc w:val="both"/>
        <w:rPr>
          <w:sz w:val="22"/>
          <w:szCs w:val="22"/>
        </w:rPr>
      </w:pPr>
      <w:r w:rsidDel="00000000" w:rsidR="00000000" w:rsidRPr="00000000">
        <w:rPr>
          <w:sz w:val="22"/>
          <w:szCs w:val="22"/>
          <w:rtl w:val="0"/>
        </w:rPr>
        <w:t xml:space="preserve">McManus S. Bebbington P. Jenkins R. Brugha T. (2016). "Mental health and wellbeing in England. Adult Psychiatric Morbidity Survey 2014." Leeds: Health and Social Care Information Centre.</w:t>
      </w:r>
    </w:p>
    <w:p w:rsidR="00000000" w:rsidDel="00000000" w:rsidP="00000000" w:rsidRDefault="00000000" w:rsidRPr="00000000" w14:paraId="00000EAA">
      <w:pPr>
        <w:jc w:val="both"/>
        <w:rPr>
          <w:sz w:val="22"/>
          <w:szCs w:val="22"/>
        </w:rPr>
      </w:pPr>
      <w:r w:rsidDel="00000000" w:rsidR="00000000" w:rsidRPr="00000000">
        <w:rPr>
          <w:sz w:val="22"/>
          <w:szCs w:val="22"/>
          <w:rtl w:val="0"/>
        </w:rPr>
        <w:tab/>
      </w:r>
    </w:p>
    <w:p w:rsidR="00000000" w:rsidDel="00000000" w:rsidP="00000000" w:rsidRDefault="00000000" w:rsidRPr="00000000" w14:paraId="00000EAB">
      <w:pPr>
        <w:jc w:val="both"/>
        <w:rPr>
          <w:i w:val="1"/>
          <w:sz w:val="22"/>
          <w:szCs w:val="22"/>
        </w:rPr>
      </w:pPr>
      <w:r w:rsidDel="00000000" w:rsidR="00000000" w:rsidRPr="00000000">
        <w:rPr>
          <w:sz w:val="22"/>
          <w:szCs w:val="22"/>
          <w:rtl w:val="0"/>
        </w:rPr>
        <w:t xml:space="preserve">McShane R. (2019). Rupert McShane: A drug not a miracle- why we need a new system for monitoring ketamine. </w:t>
      </w:r>
      <w:r w:rsidDel="00000000" w:rsidR="00000000" w:rsidRPr="00000000">
        <w:rPr>
          <w:i w:val="1"/>
          <w:sz w:val="22"/>
          <w:szCs w:val="22"/>
          <w:rtl w:val="0"/>
        </w:rPr>
        <w:t xml:space="preserve">British Medical Journal.</w:t>
      </w:r>
    </w:p>
    <w:p w:rsidR="00000000" w:rsidDel="00000000" w:rsidP="00000000" w:rsidRDefault="00000000" w:rsidRPr="00000000" w14:paraId="00000EAC">
      <w:pPr>
        <w:jc w:val="both"/>
        <w:rPr>
          <w:i w:val="1"/>
          <w:sz w:val="22"/>
          <w:szCs w:val="22"/>
        </w:rPr>
      </w:pPr>
      <w:r w:rsidDel="00000000" w:rsidR="00000000" w:rsidRPr="00000000">
        <w:rPr>
          <w:rtl w:val="0"/>
        </w:rPr>
      </w:r>
    </w:p>
    <w:p w:rsidR="00000000" w:rsidDel="00000000" w:rsidP="00000000" w:rsidRDefault="00000000" w:rsidRPr="00000000" w14:paraId="00000EAD">
      <w:pPr>
        <w:jc w:val="both"/>
        <w:rPr>
          <w:sz w:val="22"/>
          <w:szCs w:val="22"/>
        </w:rPr>
      </w:pPr>
      <w:r w:rsidDel="00000000" w:rsidR="00000000" w:rsidRPr="00000000">
        <w:rPr>
          <w:sz w:val="22"/>
          <w:szCs w:val="22"/>
          <w:rtl w:val="0"/>
        </w:rPr>
        <w:t xml:space="preserve">Medicines Act (1968)</w:t>
      </w:r>
    </w:p>
    <w:p w:rsidR="00000000" w:rsidDel="00000000" w:rsidP="00000000" w:rsidRDefault="00000000" w:rsidRPr="00000000" w14:paraId="00000EAE">
      <w:pPr>
        <w:jc w:val="both"/>
        <w:rPr>
          <w:sz w:val="22"/>
          <w:szCs w:val="22"/>
        </w:rPr>
      </w:pPr>
      <w:r w:rsidDel="00000000" w:rsidR="00000000" w:rsidRPr="00000000">
        <w:rPr>
          <w:rtl w:val="0"/>
        </w:rPr>
      </w:r>
    </w:p>
    <w:p w:rsidR="00000000" w:rsidDel="00000000" w:rsidP="00000000" w:rsidRDefault="00000000" w:rsidRPr="00000000" w14:paraId="00000EAF">
      <w:pPr>
        <w:jc w:val="both"/>
        <w:rPr>
          <w:i w:val="1"/>
          <w:sz w:val="22"/>
          <w:szCs w:val="22"/>
        </w:rPr>
      </w:pPr>
      <w:r w:rsidDel="00000000" w:rsidR="00000000" w:rsidRPr="00000000">
        <w:rPr>
          <w:i w:val="1"/>
          <w:sz w:val="22"/>
          <w:szCs w:val="22"/>
          <w:rtl w:val="0"/>
        </w:rPr>
        <w:t xml:space="preserve">Merone L. Tsey K. Russell D. Nagle C. (2022). Sex Inequalities in Medical Research: A Systematic Scoping Review of the Literature. Womens’ Health Reports. 3(1): 49 – 59</w:t>
      </w:r>
    </w:p>
    <w:p w:rsidR="00000000" w:rsidDel="00000000" w:rsidP="00000000" w:rsidRDefault="00000000" w:rsidRPr="00000000" w14:paraId="00000EB0">
      <w:pPr>
        <w:jc w:val="both"/>
        <w:rPr>
          <w:i w:val="1"/>
          <w:sz w:val="22"/>
          <w:szCs w:val="22"/>
        </w:rPr>
      </w:pPr>
      <w:r w:rsidDel="00000000" w:rsidR="00000000" w:rsidRPr="00000000">
        <w:rPr>
          <w:rtl w:val="0"/>
        </w:rPr>
      </w:r>
    </w:p>
    <w:p w:rsidR="00000000" w:rsidDel="00000000" w:rsidP="00000000" w:rsidRDefault="00000000" w:rsidRPr="00000000" w14:paraId="00000EB1">
      <w:pPr>
        <w:jc w:val="both"/>
        <w:rPr>
          <w:sz w:val="22"/>
          <w:szCs w:val="22"/>
        </w:rPr>
      </w:pPr>
      <w:r w:rsidDel="00000000" w:rsidR="00000000" w:rsidRPr="00000000">
        <w:rPr>
          <w:sz w:val="22"/>
          <w:szCs w:val="22"/>
          <w:rtl w:val="0"/>
        </w:rPr>
        <w:t xml:space="preserve">Mendoza S. Rivera-Cabrero AS. Hansen H. (2016). "Shifting blame: Buprenorphine prescribers, addiction treatment, and prescription monitoring in middle-class America." </w:t>
      </w:r>
      <w:r w:rsidDel="00000000" w:rsidR="00000000" w:rsidRPr="00000000">
        <w:rPr>
          <w:i w:val="1"/>
          <w:sz w:val="22"/>
          <w:szCs w:val="22"/>
          <w:rtl w:val="0"/>
        </w:rPr>
        <w:t xml:space="preserve">Transcult Psychiatry</w:t>
      </w:r>
      <w:r w:rsidDel="00000000" w:rsidR="00000000" w:rsidRPr="00000000">
        <w:rPr>
          <w:sz w:val="22"/>
          <w:szCs w:val="22"/>
          <w:rtl w:val="0"/>
        </w:rPr>
        <w:t xml:space="preserve">. 53(4): 465-487.</w:t>
      </w:r>
    </w:p>
    <w:p w:rsidR="00000000" w:rsidDel="00000000" w:rsidP="00000000" w:rsidRDefault="00000000" w:rsidRPr="00000000" w14:paraId="00000EB2">
      <w:pPr>
        <w:jc w:val="both"/>
        <w:rPr>
          <w:sz w:val="22"/>
          <w:szCs w:val="22"/>
        </w:rPr>
      </w:pPr>
      <w:r w:rsidDel="00000000" w:rsidR="00000000" w:rsidRPr="00000000">
        <w:rPr>
          <w:sz w:val="22"/>
          <w:szCs w:val="22"/>
          <w:rtl w:val="0"/>
        </w:rPr>
        <w:tab/>
      </w:r>
    </w:p>
    <w:p w:rsidR="00000000" w:rsidDel="00000000" w:rsidP="00000000" w:rsidRDefault="00000000" w:rsidRPr="00000000" w14:paraId="00000EB3">
      <w:pPr>
        <w:jc w:val="both"/>
        <w:rPr>
          <w:sz w:val="22"/>
          <w:szCs w:val="22"/>
        </w:rPr>
      </w:pPr>
      <w:r w:rsidDel="00000000" w:rsidR="00000000" w:rsidRPr="00000000">
        <w:rPr>
          <w:sz w:val="22"/>
          <w:szCs w:val="22"/>
          <w:rtl w:val="0"/>
        </w:rPr>
        <w:t xml:space="preserve">Menzies E. LeFrancois B. Reaume G.. (2014). Introducing Mad Studies. Mad matters: A critical reader in Canadian Mad Studies. Toronto, </w:t>
      </w:r>
      <w:r w:rsidDel="00000000" w:rsidR="00000000" w:rsidRPr="00000000">
        <w:rPr>
          <w:i w:val="1"/>
          <w:sz w:val="22"/>
          <w:szCs w:val="22"/>
          <w:rtl w:val="0"/>
        </w:rPr>
        <w:t xml:space="preserve">Canadian Scholars Press</w:t>
      </w:r>
      <w:r w:rsidDel="00000000" w:rsidR="00000000" w:rsidRPr="00000000">
        <w:rPr>
          <w:sz w:val="22"/>
          <w:szCs w:val="22"/>
          <w:rtl w:val="0"/>
        </w:rPr>
        <w:t xml:space="preserve">: 1-22.</w:t>
      </w:r>
    </w:p>
    <w:p w:rsidR="00000000" w:rsidDel="00000000" w:rsidP="00000000" w:rsidRDefault="00000000" w:rsidRPr="00000000" w14:paraId="00000EB4">
      <w:pPr>
        <w:jc w:val="both"/>
        <w:rPr>
          <w:sz w:val="22"/>
          <w:szCs w:val="22"/>
        </w:rPr>
      </w:pPr>
      <w:r w:rsidDel="00000000" w:rsidR="00000000" w:rsidRPr="00000000">
        <w:rPr>
          <w:sz w:val="22"/>
          <w:szCs w:val="22"/>
          <w:rtl w:val="0"/>
        </w:rPr>
        <w:tab/>
      </w:r>
    </w:p>
    <w:p w:rsidR="00000000" w:rsidDel="00000000" w:rsidP="00000000" w:rsidRDefault="00000000" w:rsidRPr="00000000" w14:paraId="00000EB5">
      <w:pPr>
        <w:jc w:val="both"/>
        <w:rPr>
          <w:sz w:val="22"/>
          <w:szCs w:val="22"/>
        </w:rPr>
      </w:pPr>
      <w:r w:rsidDel="00000000" w:rsidR="00000000" w:rsidRPr="00000000">
        <w:rPr>
          <w:sz w:val="22"/>
          <w:szCs w:val="22"/>
          <w:rtl w:val="0"/>
        </w:rPr>
        <w:t xml:space="preserve">Merlin M. (2003). "Archaeological evidence for the tradition of psychoactive plant use in the old world." </w:t>
      </w:r>
      <w:r w:rsidDel="00000000" w:rsidR="00000000" w:rsidRPr="00000000">
        <w:rPr>
          <w:i w:val="1"/>
          <w:sz w:val="22"/>
          <w:szCs w:val="22"/>
          <w:rtl w:val="0"/>
        </w:rPr>
        <w:t xml:space="preserve">Econ Bot </w:t>
      </w:r>
      <w:r w:rsidDel="00000000" w:rsidR="00000000" w:rsidRPr="00000000">
        <w:rPr>
          <w:sz w:val="22"/>
          <w:szCs w:val="22"/>
          <w:rtl w:val="0"/>
        </w:rPr>
        <w:t xml:space="preserve">57: 295-323.</w:t>
      </w:r>
    </w:p>
    <w:p w:rsidR="00000000" w:rsidDel="00000000" w:rsidP="00000000" w:rsidRDefault="00000000" w:rsidRPr="00000000" w14:paraId="00000EB6">
      <w:pPr>
        <w:jc w:val="both"/>
        <w:rPr>
          <w:sz w:val="22"/>
          <w:szCs w:val="22"/>
        </w:rPr>
      </w:pPr>
      <w:r w:rsidDel="00000000" w:rsidR="00000000" w:rsidRPr="00000000">
        <w:rPr>
          <w:sz w:val="22"/>
          <w:szCs w:val="22"/>
          <w:rtl w:val="0"/>
        </w:rPr>
        <w:tab/>
      </w:r>
    </w:p>
    <w:p w:rsidR="00000000" w:rsidDel="00000000" w:rsidP="00000000" w:rsidRDefault="00000000" w:rsidRPr="00000000" w14:paraId="00000EB7">
      <w:pPr>
        <w:jc w:val="both"/>
        <w:rPr>
          <w:sz w:val="22"/>
          <w:szCs w:val="22"/>
        </w:rPr>
      </w:pPr>
      <w:r w:rsidDel="00000000" w:rsidR="00000000" w:rsidRPr="00000000">
        <w:rPr>
          <w:sz w:val="22"/>
          <w:szCs w:val="22"/>
          <w:rtl w:val="0"/>
        </w:rPr>
        <w:t xml:space="preserve">Merton R. (1972). "Insiders and Outsiders: A Chapters in the Sociology of Knowledge." </w:t>
      </w:r>
      <w:r w:rsidDel="00000000" w:rsidR="00000000" w:rsidRPr="00000000">
        <w:rPr>
          <w:i w:val="1"/>
          <w:sz w:val="22"/>
          <w:szCs w:val="22"/>
          <w:rtl w:val="0"/>
        </w:rPr>
        <w:t xml:space="preserve">American Journal of Sociology</w:t>
      </w:r>
      <w:r w:rsidDel="00000000" w:rsidR="00000000" w:rsidRPr="00000000">
        <w:rPr>
          <w:sz w:val="22"/>
          <w:szCs w:val="22"/>
          <w:rtl w:val="0"/>
        </w:rPr>
        <w:t xml:space="preserve"> 78(1): 9-47.</w:t>
      </w:r>
    </w:p>
    <w:p w:rsidR="00000000" w:rsidDel="00000000" w:rsidP="00000000" w:rsidRDefault="00000000" w:rsidRPr="00000000" w14:paraId="00000EB8">
      <w:pPr>
        <w:jc w:val="both"/>
        <w:rPr>
          <w:sz w:val="22"/>
          <w:szCs w:val="22"/>
        </w:rPr>
      </w:pPr>
      <w:r w:rsidDel="00000000" w:rsidR="00000000" w:rsidRPr="00000000">
        <w:rPr>
          <w:sz w:val="22"/>
          <w:szCs w:val="22"/>
          <w:rtl w:val="0"/>
        </w:rPr>
        <w:tab/>
      </w:r>
    </w:p>
    <w:p w:rsidR="00000000" w:rsidDel="00000000" w:rsidP="00000000" w:rsidRDefault="00000000" w:rsidRPr="00000000" w14:paraId="00000EB9">
      <w:pPr>
        <w:jc w:val="both"/>
        <w:rPr>
          <w:sz w:val="22"/>
          <w:szCs w:val="22"/>
        </w:rPr>
      </w:pPr>
      <w:r w:rsidDel="00000000" w:rsidR="00000000" w:rsidRPr="00000000">
        <w:rPr>
          <w:sz w:val="22"/>
          <w:szCs w:val="22"/>
          <w:rtl w:val="0"/>
        </w:rPr>
        <w:t xml:space="preserve">Meyer JH. Ruyter KD. Grewal D. Cleeren K. Keeling DI. Motyka S. (2020). "Categorical versus dimensional thinking: improving anti-stigma campaigns by matching health message frames and implicit worldviews." </w:t>
      </w:r>
      <w:r w:rsidDel="00000000" w:rsidR="00000000" w:rsidRPr="00000000">
        <w:rPr>
          <w:i w:val="1"/>
          <w:sz w:val="22"/>
          <w:szCs w:val="22"/>
          <w:rtl w:val="0"/>
        </w:rPr>
        <w:t xml:space="preserve">Journal of the Academy of Marketing Science</w:t>
      </w:r>
      <w:r w:rsidDel="00000000" w:rsidR="00000000" w:rsidRPr="00000000">
        <w:rPr>
          <w:sz w:val="22"/>
          <w:szCs w:val="22"/>
          <w:rtl w:val="0"/>
        </w:rPr>
        <w:t xml:space="preserve"> 48: 222-245.</w:t>
      </w:r>
    </w:p>
    <w:p w:rsidR="00000000" w:rsidDel="00000000" w:rsidP="00000000" w:rsidRDefault="00000000" w:rsidRPr="00000000" w14:paraId="00000EBA">
      <w:pPr>
        <w:jc w:val="both"/>
        <w:rPr>
          <w:sz w:val="22"/>
          <w:szCs w:val="22"/>
        </w:rPr>
      </w:pPr>
      <w:r w:rsidDel="00000000" w:rsidR="00000000" w:rsidRPr="00000000">
        <w:rPr>
          <w:sz w:val="22"/>
          <w:szCs w:val="22"/>
          <w:rtl w:val="0"/>
        </w:rPr>
        <w:tab/>
      </w:r>
    </w:p>
    <w:p w:rsidR="00000000" w:rsidDel="00000000" w:rsidP="00000000" w:rsidRDefault="00000000" w:rsidRPr="00000000" w14:paraId="00000EBB">
      <w:pPr>
        <w:jc w:val="both"/>
        <w:rPr>
          <w:sz w:val="22"/>
          <w:szCs w:val="22"/>
        </w:rPr>
      </w:pPr>
      <w:r w:rsidDel="00000000" w:rsidR="00000000" w:rsidRPr="00000000">
        <w:rPr>
          <w:sz w:val="22"/>
          <w:szCs w:val="22"/>
          <w:rtl w:val="0"/>
        </w:rPr>
        <w:t xml:space="preserve">Middleton N. Gunnel S. Whitley E. Dorling D. Frankel S. (2001). "Secular trends in antidepressant prescribing in the UK, 1975-1998." </w:t>
      </w:r>
      <w:r w:rsidDel="00000000" w:rsidR="00000000" w:rsidRPr="00000000">
        <w:rPr>
          <w:i w:val="1"/>
          <w:sz w:val="22"/>
          <w:szCs w:val="22"/>
          <w:rtl w:val="0"/>
        </w:rPr>
        <w:t xml:space="preserve">Journal of Public Health</w:t>
      </w:r>
      <w:r w:rsidDel="00000000" w:rsidR="00000000" w:rsidRPr="00000000">
        <w:rPr>
          <w:sz w:val="22"/>
          <w:szCs w:val="22"/>
          <w:rtl w:val="0"/>
        </w:rPr>
        <w:t xml:space="preserve"> 23(4): 262-267.</w:t>
      </w:r>
    </w:p>
    <w:p w:rsidR="00000000" w:rsidDel="00000000" w:rsidP="00000000" w:rsidRDefault="00000000" w:rsidRPr="00000000" w14:paraId="00000EBC">
      <w:pPr>
        <w:jc w:val="both"/>
        <w:rPr>
          <w:sz w:val="22"/>
          <w:szCs w:val="22"/>
        </w:rPr>
      </w:pPr>
      <w:r w:rsidDel="00000000" w:rsidR="00000000" w:rsidRPr="00000000">
        <w:rPr>
          <w:rtl w:val="0"/>
        </w:rPr>
      </w:r>
    </w:p>
    <w:p w:rsidR="00000000" w:rsidDel="00000000" w:rsidP="00000000" w:rsidRDefault="00000000" w:rsidRPr="00000000" w14:paraId="00000EBD">
      <w:pPr>
        <w:jc w:val="both"/>
        <w:rPr>
          <w:sz w:val="22"/>
          <w:szCs w:val="22"/>
        </w:rPr>
      </w:pPr>
      <w:r w:rsidDel="00000000" w:rsidR="00000000" w:rsidRPr="00000000">
        <w:rPr>
          <w:sz w:val="22"/>
          <w:szCs w:val="22"/>
          <w:rtl w:val="0"/>
        </w:rPr>
        <w:t xml:space="preserve">Miguel AQC. Yamauchi R. Simoes V. da Silva CJ. Laranjeira RR. (2015). "From Theory to Treatment: Understanding Addiction from an Operant Behavioural Perspective." </w:t>
      </w:r>
      <w:r w:rsidDel="00000000" w:rsidR="00000000" w:rsidRPr="00000000">
        <w:rPr>
          <w:i w:val="1"/>
          <w:sz w:val="22"/>
          <w:szCs w:val="22"/>
          <w:rtl w:val="0"/>
        </w:rPr>
        <w:t xml:space="preserve">Journal of Modern Education Review</w:t>
      </w:r>
      <w:r w:rsidDel="00000000" w:rsidR="00000000" w:rsidRPr="00000000">
        <w:rPr>
          <w:sz w:val="22"/>
          <w:szCs w:val="22"/>
          <w:rtl w:val="0"/>
        </w:rPr>
        <w:t xml:space="preserve"> 5(8): 778-787.</w:t>
      </w:r>
    </w:p>
    <w:p w:rsidR="00000000" w:rsidDel="00000000" w:rsidP="00000000" w:rsidRDefault="00000000" w:rsidRPr="00000000" w14:paraId="00000EBE">
      <w:pPr>
        <w:jc w:val="both"/>
        <w:rPr>
          <w:sz w:val="22"/>
          <w:szCs w:val="22"/>
        </w:rPr>
      </w:pPr>
      <w:r w:rsidDel="00000000" w:rsidR="00000000" w:rsidRPr="00000000">
        <w:rPr>
          <w:sz w:val="22"/>
          <w:szCs w:val="22"/>
          <w:rtl w:val="0"/>
        </w:rPr>
        <w:tab/>
      </w:r>
    </w:p>
    <w:p w:rsidR="00000000" w:rsidDel="00000000" w:rsidP="00000000" w:rsidRDefault="00000000" w:rsidRPr="00000000" w14:paraId="00000EBF">
      <w:pPr>
        <w:jc w:val="both"/>
        <w:rPr>
          <w:sz w:val="22"/>
          <w:szCs w:val="22"/>
        </w:rPr>
      </w:pPr>
      <w:r w:rsidDel="00000000" w:rsidR="00000000" w:rsidRPr="00000000">
        <w:rPr>
          <w:sz w:val="22"/>
          <w:szCs w:val="22"/>
          <w:rtl w:val="0"/>
        </w:rPr>
        <w:t xml:space="preserve">Mikulic M. (2021). Antidepressant consumption in selected countries 2020 [online]. Available at: </w:t>
      </w:r>
      <w:hyperlink r:id="rId52">
        <w:r w:rsidDel="00000000" w:rsidR="00000000" w:rsidRPr="00000000">
          <w:rPr>
            <w:color w:val="467886"/>
            <w:sz w:val="22"/>
            <w:szCs w:val="22"/>
            <w:u w:val="single"/>
            <w:rtl w:val="0"/>
          </w:rPr>
          <w:t xml:space="preserve">https://www.statista.com/statistics/283072/antidepressant-consumption-in-selected-countries/</w:t>
        </w:r>
      </w:hyperlink>
      <w:r w:rsidDel="00000000" w:rsidR="00000000" w:rsidRPr="00000000">
        <w:rPr>
          <w:sz w:val="22"/>
          <w:szCs w:val="22"/>
          <w:rtl w:val="0"/>
        </w:rPr>
        <w:t xml:space="preserve"> (30/11/2021)</w:t>
      </w:r>
    </w:p>
    <w:p w:rsidR="00000000" w:rsidDel="00000000" w:rsidP="00000000" w:rsidRDefault="00000000" w:rsidRPr="00000000" w14:paraId="00000EC0">
      <w:pPr>
        <w:jc w:val="both"/>
        <w:rPr>
          <w:sz w:val="22"/>
          <w:szCs w:val="22"/>
        </w:rPr>
      </w:pPr>
      <w:r w:rsidDel="00000000" w:rsidR="00000000" w:rsidRPr="00000000">
        <w:rPr>
          <w:sz w:val="22"/>
          <w:szCs w:val="22"/>
          <w:rtl w:val="0"/>
        </w:rPr>
        <w:tab/>
      </w:r>
    </w:p>
    <w:p w:rsidR="00000000" w:rsidDel="00000000" w:rsidP="00000000" w:rsidRDefault="00000000" w:rsidRPr="00000000" w14:paraId="00000EC1">
      <w:pPr>
        <w:jc w:val="both"/>
        <w:rPr>
          <w:sz w:val="22"/>
          <w:szCs w:val="22"/>
        </w:rPr>
      </w:pPr>
      <w:r w:rsidDel="00000000" w:rsidR="00000000" w:rsidRPr="00000000">
        <w:rPr>
          <w:sz w:val="22"/>
          <w:szCs w:val="22"/>
          <w:rtl w:val="0"/>
        </w:rPr>
        <w:t xml:space="preserve">Milani SA. Raji MA. Chen L. Kuo YF. "Trends in the Use of Benzodiazepines, Z-Hypnotics, and Serotonergic Drugs Among US Women and Men Before and During the COVID-19 Pandemic." </w:t>
      </w:r>
      <w:r w:rsidDel="00000000" w:rsidR="00000000" w:rsidRPr="00000000">
        <w:rPr>
          <w:i w:val="1"/>
          <w:sz w:val="22"/>
          <w:szCs w:val="22"/>
          <w:rtl w:val="0"/>
        </w:rPr>
        <w:t xml:space="preserve">JAMA Network Open</w:t>
      </w:r>
      <w:r w:rsidDel="00000000" w:rsidR="00000000" w:rsidRPr="00000000">
        <w:rPr>
          <w:sz w:val="22"/>
          <w:szCs w:val="22"/>
          <w:rtl w:val="0"/>
        </w:rPr>
        <w:t xml:space="preserve">. 4(10).</w:t>
      </w:r>
    </w:p>
    <w:p w:rsidR="00000000" w:rsidDel="00000000" w:rsidP="00000000" w:rsidRDefault="00000000" w:rsidRPr="00000000" w14:paraId="00000EC2">
      <w:pPr>
        <w:jc w:val="both"/>
        <w:rPr>
          <w:sz w:val="22"/>
          <w:szCs w:val="22"/>
        </w:rPr>
      </w:pPr>
      <w:r w:rsidDel="00000000" w:rsidR="00000000" w:rsidRPr="00000000">
        <w:rPr>
          <w:sz w:val="22"/>
          <w:szCs w:val="22"/>
          <w:rtl w:val="0"/>
        </w:rPr>
        <w:tab/>
      </w:r>
    </w:p>
    <w:p w:rsidR="00000000" w:rsidDel="00000000" w:rsidP="00000000" w:rsidRDefault="00000000" w:rsidRPr="00000000" w14:paraId="00000EC3">
      <w:pPr>
        <w:jc w:val="both"/>
        <w:rPr>
          <w:sz w:val="22"/>
          <w:szCs w:val="22"/>
        </w:rPr>
      </w:pPr>
      <w:r w:rsidDel="00000000" w:rsidR="00000000" w:rsidRPr="00000000">
        <w:rPr>
          <w:sz w:val="22"/>
          <w:szCs w:val="22"/>
          <w:rtl w:val="0"/>
        </w:rPr>
        <w:t xml:space="preserve">Milton DEM. (2022). Talcott Parsons and the Theory of the sick role [online]. University of Kent. Available at: </w:t>
      </w:r>
      <w:hyperlink r:id="rId53">
        <w:r w:rsidDel="00000000" w:rsidR="00000000" w:rsidRPr="00000000">
          <w:rPr>
            <w:color w:val="467886"/>
            <w:sz w:val="22"/>
            <w:szCs w:val="22"/>
            <w:u w:val="single"/>
            <w:rtl w:val="0"/>
          </w:rPr>
          <w:t xml:space="preserve">https://kar.kent.ac.uk/62743/55/Talcott%20Parsons%20and%20the%20theory%20of%20the%20%27Sick%20Role%27%202004.pdf</w:t>
        </w:r>
      </w:hyperlink>
      <w:r w:rsidDel="00000000" w:rsidR="00000000" w:rsidRPr="00000000">
        <w:rPr>
          <w:sz w:val="22"/>
          <w:szCs w:val="22"/>
          <w:rtl w:val="0"/>
        </w:rPr>
        <w:t xml:space="preserve"> (22/01/2023_</w:t>
      </w:r>
    </w:p>
    <w:p w:rsidR="00000000" w:rsidDel="00000000" w:rsidP="00000000" w:rsidRDefault="00000000" w:rsidRPr="00000000" w14:paraId="00000EC4">
      <w:pPr>
        <w:jc w:val="both"/>
        <w:rPr>
          <w:sz w:val="22"/>
          <w:szCs w:val="22"/>
        </w:rPr>
      </w:pPr>
      <w:r w:rsidDel="00000000" w:rsidR="00000000" w:rsidRPr="00000000">
        <w:rPr>
          <w:sz w:val="22"/>
          <w:szCs w:val="22"/>
          <w:rtl w:val="0"/>
        </w:rPr>
        <w:tab/>
      </w:r>
    </w:p>
    <w:p w:rsidR="00000000" w:rsidDel="00000000" w:rsidP="00000000" w:rsidRDefault="00000000" w:rsidRPr="00000000" w14:paraId="00000EC5">
      <w:pPr>
        <w:jc w:val="both"/>
        <w:rPr>
          <w:sz w:val="22"/>
          <w:szCs w:val="22"/>
        </w:rPr>
      </w:pPr>
      <w:r w:rsidDel="00000000" w:rsidR="00000000" w:rsidRPr="00000000">
        <w:rPr>
          <w:sz w:val="22"/>
          <w:szCs w:val="22"/>
          <w:rtl w:val="0"/>
        </w:rPr>
        <w:t xml:space="preserve">Mind (2020). Get it off your chest. Men's mental health 10 years on.1-24. </w:t>
      </w:r>
    </w:p>
    <w:p w:rsidR="00000000" w:rsidDel="00000000" w:rsidP="00000000" w:rsidRDefault="00000000" w:rsidRPr="00000000" w14:paraId="00000EC6">
      <w:pPr>
        <w:jc w:val="both"/>
        <w:rPr>
          <w:sz w:val="22"/>
          <w:szCs w:val="22"/>
        </w:rPr>
      </w:pPr>
      <w:r w:rsidDel="00000000" w:rsidR="00000000" w:rsidRPr="00000000">
        <w:rPr>
          <w:rtl w:val="0"/>
        </w:rPr>
      </w:r>
    </w:p>
    <w:p w:rsidR="00000000" w:rsidDel="00000000" w:rsidP="00000000" w:rsidRDefault="00000000" w:rsidRPr="00000000" w14:paraId="00000EC7">
      <w:pPr>
        <w:jc w:val="both"/>
        <w:rPr>
          <w:sz w:val="22"/>
          <w:szCs w:val="22"/>
        </w:rPr>
      </w:pPr>
      <w:r w:rsidDel="00000000" w:rsidR="00000000" w:rsidRPr="00000000">
        <w:rPr>
          <w:sz w:val="22"/>
          <w:szCs w:val="22"/>
          <w:rtl w:val="0"/>
        </w:rPr>
        <w:t xml:space="preserve">Ministry of Housing, Communities and Local Government (2019). "Local Authority District Summary.” Available at: </w:t>
      </w:r>
      <w:hyperlink r:id="rId54">
        <w:r w:rsidDel="00000000" w:rsidR="00000000" w:rsidRPr="00000000">
          <w:rPr>
            <w:color w:val="467886"/>
            <w:sz w:val="22"/>
            <w:szCs w:val="22"/>
            <w:u w:val="single"/>
            <w:rtl w:val="0"/>
          </w:rPr>
          <w:t xml:space="preserve">https://www.gov.uk/government/statistics/english-indices-of-deprivation-2019</w:t>
        </w:r>
      </w:hyperlink>
      <w:r w:rsidDel="00000000" w:rsidR="00000000" w:rsidRPr="00000000">
        <w:rPr>
          <w:sz w:val="22"/>
          <w:szCs w:val="22"/>
          <w:rtl w:val="0"/>
        </w:rPr>
        <w:t xml:space="preserve"> (06/06/2021)</w:t>
      </w:r>
    </w:p>
    <w:p w:rsidR="00000000" w:rsidDel="00000000" w:rsidP="00000000" w:rsidRDefault="00000000" w:rsidRPr="00000000" w14:paraId="00000EC8">
      <w:pPr>
        <w:jc w:val="both"/>
        <w:rPr>
          <w:sz w:val="22"/>
          <w:szCs w:val="22"/>
        </w:rPr>
      </w:pPr>
      <w:r w:rsidDel="00000000" w:rsidR="00000000" w:rsidRPr="00000000">
        <w:rPr>
          <w:sz w:val="22"/>
          <w:szCs w:val="22"/>
          <w:rtl w:val="0"/>
        </w:rPr>
        <w:tab/>
      </w:r>
    </w:p>
    <w:p w:rsidR="00000000" w:rsidDel="00000000" w:rsidP="00000000" w:rsidRDefault="00000000" w:rsidRPr="00000000" w14:paraId="00000EC9">
      <w:pPr>
        <w:jc w:val="both"/>
        <w:rPr>
          <w:sz w:val="22"/>
          <w:szCs w:val="22"/>
        </w:rPr>
      </w:pPr>
      <w:r w:rsidDel="00000000" w:rsidR="00000000" w:rsidRPr="00000000">
        <w:rPr>
          <w:sz w:val="22"/>
          <w:szCs w:val="22"/>
          <w:rtl w:val="0"/>
        </w:rPr>
        <w:t xml:space="preserve">Minjun W. Jiong C. Shuo Y. Jingfang G. (2018). "A controlled study of executive risk decision making in patients with depression." </w:t>
      </w:r>
      <w:r w:rsidDel="00000000" w:rsidR="00000000" w:rsidRPr="00000000">
        <w:rPr>
          <w:i w:val="1"/>
          <w:sz w:val="22"/>
          <w:szCs w:val="22"/>
          <w:rtl w:val="0"/>
        </w:rPr>
        <w:t xml:space="preserve">Chinese Modern Physician</w:t>
      </w:r>
      <w:r w:rsidDel="00000000" w:rsidR="00000000" w:rsidRPr="00000000">
        <w:rPr>
          <w:sz w:val="22"/>
          <w:szCs w:val="22"/>
          <w:rtl w:val="0"/>
        </w:rPr>
        <w:t xml:space="preserve"> 31: 91-94.</w:t>
      </w:r>
    </w:p>
    <w:p w:rsidR="00000000" w:rsidDel="00000000" w:rsidP="00000000" w:rsidRDefault="00000000" w:rsidRPr="00000000" w14:paraId="00000ECA">
      <w:pPr>
        <w:jc w:val="both"/>
        <w:rPr>
          <w:sz w:val="22"/>
          <w:szCs w:val="22"/>
        </w:rPr>
      </w:pPr>
      <w:r w:rsidDel="00000000" w:rsidR="00000000" w:rsidRPr="00000000">
        <w:rPr>
          <w:rtl w:val="0"/>
        </w:rPr>
      </w:r>
    </w:p>
    <w:p w:rsidR="00000000" w:rsidDel="00000000" w:rsidP="00000000" w:rsidRDefault="00000000" w:rsidRPr="00000000" w14:paraId="00000ECB">
      <w:pPr>
        <w:jc w:val="both"/>
        <w:rPr>
          <w:sz w:val="22"/>
          <w:szCs w:val="22"/>
        </w:rPr>
      </w:pPr>
      <w:r w:rsidDel="00000000" w:rsidR="00000000" w:rsidRPr="00000000">
        <w:rPr>
          <w:sz w:val="22"/>
          <w:szCs w:val="22"/>
          <w:rtl w:val="0"/>
        </w:rPr>
        <w:t xml:space="preserve">Misuse of Drug Act (1971)</w:t>
      </w:r>
    </w:p>
    <w:p w:rsidR="00000000" w:rsidDel="00000000" w:rsidP="00000000" w:rsidRDefault="00000000" w:rsidRPr="00000000" w14:paraId="00000ECC">
      <w:pPr>
        <w:jc w:val="both"/>
        <w:rPr>
          <w:sz w:val="22"/>
          <w:szCs w:val="22"/>
        </w:rPr>
      </w:pPr>
      <w:r w:rsidDel="00000000" w:rsidR="00000000" w:rsidRPr="00000000">
        <w:rPr>
          <w:sz w:val="22"/>
          <w:szCs w:val="22"/>
          <w:rtl w:val="0"/>
        </w:rPr>
        <w:tab/>
      </w:r>
    </w:p>
    <w:p w:rsidR="00000000" w:rsidDel="00000000" w:rsidP="00000000" w:rsidRDefault="00000000" w:rsidRPr="00000000" w14:paraId="00000ECD">
      <w:pPr>
        <w:jc w:val="both"/>
        <w:rPr>
          <w:sz w:val="22"/>
          <w:szCs w:val="22"/>
        </w:rPr>
      </w:pPr>
      <w:r w:rsidDel="00000000" w:rsidR="00000000" w:rsidRPr="00000000">
        <w:rPr>
          <w:sz w:val="22"/>
          <w:szCs w:val="22"/>
          <w:rtl w:val="0"/>
        </w:rPr>
        <w:t xml:space="preserve">Mohammed MA. Moles RJ. Chen TF (2016). "Medication-related burden and patients’ lived experience with medicine: a systematic review and metasynthesis of qualitative studies." </w:t>
      </w:r>
      <w:r w:rsidDel="00000000" w:rsidR="00000000" w:rsidRPr="00000000">
        <w:rPr>
          <w:i w:val="1"/>
          <w:sz w:val="22"/>
          <w:szCs w:val="22"/>
          <w:rtl w:val="0"/>
        </w:rPr>
        <w:t xml:space="preserve">BMJ Open</w:t>
      </w:r>
      <w:r w:rsidDel="00000000" w:rsidR="00000000" w:rsidRPr="00000000">
        <w:rPr>
          <w:sz w:val="22"/>
          <w:szCs w:val="22"/>
          <w:rtl w:val="0"/>
        </w:rPr>
        <w:t xml:space="preserve"> 6: 1-16.</w:t>
      </w:r>
    </w:p>
    <w:p w:rsidR="00000000" w:rsidDel="00000000" w:rsidP="00000000" w:rsidRDefault="00000000" w:rsidRPr="00000000" w14:paraId="00000ECE">
      <w:pPr>
        <w:jc w:val="both"/>
        <w:rPr>
          <w:sz w:val="22"/>
          <w:szCs w:val="22"/>
        </w:rPr>
      </w:pPr>
      <w:r w:rsidDel="00000000" w:rsidR="00000000" w:rsidRPr="00000000">
        <w:rPr>
          <w:rtl w:val="0"/>
        </w:rPr>
      </w:r>
    </w:p>
    <w:p w:rsidR="00000000" w:rsidDel="00000000" w:rsidP="00000000" w:rsidRDefault="00000000" w:rsidRPr="00000000" w14:paraId="00000ECF">
      <w:pPr>
        <w:jc w:val="both"/>
        <w:rPr>
          <w:sz w:val="22"/>
          <w:szCs w:val="22"/>
        </w:rPr>
      </w:pPr>
      <w:r w:rsidDel="00000000" w:rsidR="00000000" w:rsidRPr="00000000">
        <w:rPr>
          <w:sz w:val="22"/>
          <w:szCs w:val="22"/>
          <w:rtl w:val="0"/>
        </w:rPr>
        <w:t xml:space="preserve">Mokhar A. Topp J. Harter M. Schulz H. Kuhn S. Verthein U. Dirmaier J. (2018). "Patient-centred care interventions to reduce the inappropriate prescription and use of benzodiazepines and z-drugs: a systematic review." </w:t>
      </w:r>
      <w:r w:rsidDel="00000000" w:rsidR="00000000" w:rsidRPr="00000000">
        <w:rPr>
          <w:i w:val="1"/>
          <w:sz w:val="22"/>
          <w:szCs w:val="22"/>
          <w:rtl w:val="0"/>
        </w:rPr>
        <w:t xml:space="preserve">PeerJ:</w:t>
      </w:r>
      <w:r w:rsidDel="00000000" w:rsidR="00000000" w:rsidRPr="00000000">
        <w:rPr>
          <w:sz w:val="22"/>
          <w:szCs w:val="22"/>
          <w:rtl w:val="0"/>
        </w:rPr>
        <w:t xml:space="preserve"> 1-31.</w:t>
      </w:r>
    </w:p>
    <w:p w:rsidR="00000000" w:rsidDel="00000000" w:rsidP="00000000" w:rsidRDefault="00000000" w:rsidRPr="00000000" w14:paraId="00000ED0">
      <w:pPr>
        <w:jc w:val="both"/>
        <w:rPr>
          <w:sz w:val="22"/>
          <w:szCs w:val="22"/>
        </w:rPr>
      </w:pPr>
      <w:r w:rsidDel="00000000" w:rsidR="00000000" w:rsidRPr="00000000">
        <w:rPr>
          <w:sz w:val="22"/>
          <w:szCs w:val="22"/>
          <w:rtl w:val="0"/>
        </w:rPr>
        <w:tab/>
      </w:r>
    </w:p>
    <w:p w:rsidR="00000000" w:rsidDel="00000000" w:rsidP="00000000" w:rsidRDefault="00000000" w:rsidRPr="00000000" w14:paraId="00000ED1">
      <w:pPr>
        <w:jc w:val="both"/>
        <w:rPr>
          <w:sz w:val="22"/>
          <w:szCs w:val="22"/>
        </w:rPr>
      </w:pPr>
      <w:r w:rsidDel="00000000" w:rsidR="00000000" w:rsidRPr="00000000">
        <w:rPr>
          <w:sz w:val="22"/>
          <w:szCs w:val="22"/>
          <w:rtl w:val="0"/>
        </w:rPr>
        <w:t xml:space="preserve">Molero Y. Larsson H. D’Onofrio BM. Sharp DJ. Fazel S. (2019). "Associations between Gabapentinoids and suicidal behaviour, unintentional overdoses, road traffic accidents and violent crime: population-based cohort study in Sweden." </w:t>
      </w:r>
      <w:r w:rsidDel="00000000" w:rsidR="00000000" w:rsidRPr="00000000">
        <w:rPr>
          <w:i w:val="1"/>
          <w:sz w:val="22"/>
          <w:szCs w:val="22"/>
          <w:rtl w:val="0"/>
        </w:rPr>
        <w:t xml:space="preserve">BMJ</w:t>
      </w:r>
      <w:r w:rsidDel="00000000" w:rsidR="00000000" w:rsidRPr="00000000">
        <w:rPr>
          <w:sz w:val="22"/>
          <w:szCs w:val="22"/>
          <w:rtl w:val="0"/>
        </w:rPr>
        <w:t xml:space="preserve"> 365(12147).</w:t>
      </w:r>
    </w:p>
    <w:p w:rsidR="00000000" w:rsidDel="00000000" w:rsidP="00000000" w:rsidRDefault="00000000" w:rsidRPr="00000000" w14:paraId="00000ED2">
      <w:pPr>
        <w:jc w:val="both"/>
        <w:rPr>
          <w:sz w:val="22"/>
          <w:szCs w:val="22"/>
        </w:rPr>
      </w:pPr>
      <w:r w:rsidDel="00000000" w:rsidR="00000000" w:rsidRPr="00000000">
        <w:rPr>
          <w:sz w:val="22"/>
          <w:szCs w:val="22"/>
          <w:rtl w:val="0"/>
        </w:rPr>
        <w:tab/>
      </w:r>
    </w:p>
    <w:p w:rsidR="00000000" w:rsidDel="00000000" w:rsidP="00000000" w:rsidRDefault="00000000" w:rsidRPr="00000000" w14:paraId="00000ED3">
      <w:pPr>
        <w:jc w:val="both"/>
        <w:rPr>
          <w:sz w:val="22"/>
          <w:szCs w:val="22"/>
        </w:rPr>
      </w:pPr>
      <w:r w:rsidDel="00000000" w:rsidR="00000000" w:rsidRPr="00000000">
        <w:rPr>
          <w:sz w:val="22"/>
          <w:szCs w:val="22"/>
          <w:rtl w:val="0"/>
        </w:rPr>
        <w:t xml:space="preserve">Montag Schafer K. Pratt R. Ricco J. Brown K. (2022). ""Can we have a little humanity here?": Patient perspectives on the impact of a standardized care process for patients who use opioids for the management of chronic pain." </w:t>
      </w:r>
      <w:r w:rsidDel="00000000" w:rsidR="00000000" w:rsidRPr="00000000">
        <w:rPr>
          <w:i w:val="1"/>
          <w:sz w:val="22"/>
          <w:szCs w:val="22"/>
          <w:rtl w:val="0"/>
        </w:rPr>
        <w:t xml:space="preserve">Patient Education and Counselling</w:t>
      </w:r>
      <w:r w:rsidDel="00000000" w:rsidR="00000000" w:rsidRPr="00000000">
        <w:rPr>
          <w:sz w:val="22"/>
          <w:szCs w:val="22"/>
          <w:rtl w:val="0"/>
        </w:rPr>
        <w:t xml:space="preserve">. 105: 2404-2409.</w:t>
      </w:r>
    </w:p>
    <w:p w:rsidR="00000000" w:rsidDel="00000000" w:rsidP="00000000" w:rsidRDefault="00000000" w:rsidRPr="00000000" w14:paraId="00000ED4">
      <w:pPr>
        <w:jc w:val="both"/>
        <w:rPr>
          <w:sz w:val="22"/>
          <w:szCs w:val="22"/>
        </w:rPr>
      </w:pPr>
      <w:r w:rsidDel="00000000" w:rsidR="00000000" w:rsidRPr="00000000">
        <w:rPr>
          <w:rtl w:val="0"/>
        </w:rPr>
      </w:r>
    </w:p>
    <w:p w:rsidR="00000000" w:rsidDel="00000000" w:rsidP="00000000" w:rsidRDefault="00000000" w:rsidRPr="00000000" w14:paraId="00000ED5">
      <w:pPr>
        <w:jc w:val="both"/>
        <w:rPr>
          <w:sz w:val="22"/>
          <w:szCs w:val="22"/>
        </w:rPr>
      </w:pPr>
      <w:r w:rsidDel="00000000" w:rsidR="00000000" w:rsidRPr="00000000">
        <w:rPr>
          <w:sz w:val="22"/>
          <w:szCs w:val="22"/>
          <w:rtl w:val="0"/>
        </w:rPr>
        <w:t xml:space="preserve">Montgomery V Lanarkshire Health Board (2015)</w:t>
      </w:r>
    </w:p>
    <w:p w:rsidR="00000000" w:rsidDel="00000000" w:rsidP="00000000" w:rsidRDefault="00000000" w:rsidRPr="00000000" w14:paraId="00000ED6">
      <w:pPr>
        <w:jc w:val="both"/>
        <w:rPr>
          <w:sz w:val="22"/>
          <w:szCs w:val="22"/>
        </w:rPr>
      </w:pPr>
      <w:r w:rsidDel="00000000" w:rsidR="00000000" w:rsidRPr="00000000">
        <w:rPr>
          <w:sz w:val="22"/>
          <w:szCs w:val="22"/>
          <w:rtl w:val="0"/>
        </w:rPr>
        <w:tab/>
      </w:r>
    </w:p>
    <w:p w:rsidR="00000000" w:rsidDel="00000000" w:rsidP="00000000" w:rsidRDefault="00000000" w:rsidRPr="00000000" w14:paraId="00000ED7">
      <w:pPr>
        <w:jc w:val="both"/>
        <w:rPr>
          <w:sz w:val="22"/>
          <w:szCs w:val="22"/>
        </w:rPr>
      </w:pPr>
      <w:r w:rsidDel="00000000" w:rsidR="00000000" w:rsidRPr="00000000">
        <w:rPr>
          <w:sz w:val="22"/>
          <w:szCs w:val="22"/>
          <w:rtl w:val="0"/>
        </w:rPr>
        <w:t xml:space="preserve">Moore "Explaining the Rise in Antidepressant Prescribing: A Descriptive Study Using the General Practice Research Database." </w:t>
      </w:r>
      <w:r w:rsidDel="00000000" w:rsidR="00000000" w:rsidRPr="00000000">
        <w:rPr>
          <w:i w:val="1"/>
          <w:sz w:val="22"/>
          <w:szCs w:val="22"/>
          <w:rtl w:val="0"/>
        </w:rPr>
        <w:t xml:space="preserve">British Medical Journal</w:t>
      </w:r>
      <w:r w:rsidDel="00000000" w:rsidR="00000000" w:rsidRPr="00000000">
        <w:rPr>
          <w:sz w:val="22"/>
          <w:szCs w:val="22"/>
          <w:rtl w:val="0"/>
        </w:rPr>
        <w:t xml:space="preserve"> 339.</w:t>
      </w:r>
    </w:p>
    <w:p w:rsidR="00000000" w:rsidDel="00000000" w:rsidP="00000000" w:rsidRDefault="00000000" w:rsidRPr="00000000" w14:paraId="00000ED8">
      <w:pPr>
        <w:jc w:val="both"/>
        <w:rPr>
          <w:sz w:val="22"/>
          <w:szCs w:val="22"/>
        </w:rPr>
      </w:pPr>
      <w:r w:rsidDel="00000000" w:rsidR="00000000" w:rsidRPr="00000000">
        <w:rPr>
          <w:rtl w:val="0"/>
        </w:rPr>
      </w:r>
    </w:p>
    <w:p w:rsidR="00000000" w:rsidDel="00000000" w:rsidP="00000000" w:rsidRDefault="00000000" w:rsidRPr="00000000" w14:paraId="00000ED9">
      <w:pPr>
        <w:jc w:val="both"/>
        <w:rPr>
          <w:sz w:val="22"/>
          <w:szCs w:val="22"/>
        </w:rPr>
      </w:pPr>
      <w:r w:rsidDel="00000000" w:rsidR="00000000" w:rsidRPr="00000000">
        <w:rPr>
          <w:sz w:val="22"/>
          <w:szCs w:val="22"/>
          <w:rtl w:val="0"/>
        </w:rPr>
        <w:t xml:space="preserve">Moore C. Unwin P. Evans N. Howie F. (2022). ". Social prescribing: Exploring general practitioners’ and healthcare professionals’ perceptions of, and engagement with, the NHS mode." </w:t>
      </w:r>
      <w:r w:rsidDel="00000000" w:rsidR="00000000" w:rsidRPr="00000000">
        <w:rPr>
          <w:i w:val="1"/>
          <w:sz w:val="22"/>
          <w:szCs w:val="22"/>
          <w:rtl w:val="0"/>
        </w:rPr>
        <w:t xml:space="preserve">Health and Social Care in the Community</w:t>
      </w:r>
      <w:r w:rsidDel="00000000" w:rsidR="00000000" w:rsidRPr="00000000">
        <w:rPr>
          <w:sz w:val="22"/>
          <w:szCs w:val="22"/>
          <w:rtl w:val="0"/>
        </w:rPr>
        <w:t xml:space="preserve">. 30(6).</w:t>
      </w:r>
    </w:p>
    <w:p w:rsidR="00000000" w:rsidDel="00000000" w:rsidP="00000000" w:rsidRDefault="00000000" w:rsidRPr="00000000" w14:paraId="00000EDA">
      <w:pPr>
        <w:jc w:val="both"/>
        <w:rPr>
          <w:sz w:val="22"/>
          <w:szCs w:val="22"/>
        </w:rPr>
      </w:pPr>
      <w:r w:rsidDel="00000000" w:rsidR="00000000" w:rsidRPr="00000000">
        <w:rPr>
          <w:sz w:val="22"/>
          <w:szCs w:val="22"/>
          <w:rtl w:val="0"/>
        </w:rPr>
        <w:tab/>
      </w:r>
    </w:p>
    <w:p w:rsidR="00000000" w:rsidDel="00000000" w:rsidP="00000000" w:rsidRDefault="00000000" w:rsidRPr="00000000" w14:paraId="00000EDB">
      <w:pPr>
        <w:jc w:val="both"/>
        <w:rPr>
          <w:sz w:val="22"/>
          <w:szCs w:val="22"/>
        </w:rPr>
      </w:pPr>
      <w:r w:rsidDel="00000000" w:rsidR="00000000" w:rsidRPr="00000000">
        <w:rPr>
          <w:sz w:val="22"/>
          <w:szCs w:val="22"/>
          <w:rtl w:val="0"/>
        </w:rPr>
        <w:t xml:space="preserve">Mordecai L. Reynolds C. Donaldson LJ. C de C Williams A. (2018). "Patterns of regional variation of opioid prescribing in primary care in England: a retrospective observational study."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w:t>
      </w:r>
    </w:p>
    <w:p w:rsidR="00000000" w:rsidDel="00000000" w:rsidP="00000000" w:rsidRDefault="00000000" w:rsidRPr="00000000" w14:paraId="00000EDC">
      <w:pPr>
        <w:jc w:val="both"/>
        <w:rPr>
          <w:sz w:val="22"/>
          <w:szCs w:val="22"/>
        </w:rPr>
      </w:pPr>
      <w:r w:rsidDel="00000000" w:rsidR="00000000" w:rsidRPr="00000000">
        <w:rPr>
          <w:rtl w:val="0"/>
        </w:rPr>
      </w:r>
    </w:p>
    <w:p w:rsidR="00000000" w:rsidDel="00000000" w:rsidP="00000000" w:rsidRDefault="00000000" w:rsidRPr="00000000" w14:paraId="00000EDD">
      <w:pPr>
        <w:jc w:val="both"/>
        <w:rPr>
          <w:sz w:val="22"/>
          <w:szCs w:val="22"/>
        </w:rPr>
      </w:pPr>
      <w:r w:rsidDel="00000000" w:rsidR="00000000" w:rsidRPr="00000000">
        <w:rPr>
          <w:sz w:val="22"/>
          <w:szCs w:val="22"/>
          <w:rtl w:val="0"/>
        </w:rPr>
        <w:t xml:space="preserve">Moreno MA. Goniu N. Moreno PS. Diekema D. (2013). "Ethics of Social Media Research: Common Concerns and Practical Considerations." </w:t>
      </w:r>
      <w:r w:rsidDel="00000000" w:rsidR="00000000" w:rsidRPr="00000000">
        <w:rPr>
          <w:i w:val="1"/>
          <w:sz w:val="22"/>
          <w:szCs w:val="22"/>
          <w:rtl w:val="0"/>
        </w:rPr>
        <w:t xml:space="preserve">Cyberpsychology, Behaviour and</w:t>
      </w:r>
      <w:r w:rsidDel="00000000" w:rsidR="00000000" w:rsidRPr="00000000">
        <w:rPr>
          <w:sz w:val="22"/>
          <w:szCs w:val="22"/>
          <w:rtl w:val="0"/>
        </w:rPr>
        <w:t xml:space="preserve"> </w:t>
      </w:r>
      <w:r w:rsidDel="00000000" w:rsidR="00000000" w:rsidRPr="00000000">
        <w:rPr>
          <w:i w:val="1"/>
          <w:sz w:val="22"/>
          <w:szCs w:val="22"/>
          <w:rtl w:val="0"/>
        </w:rPr>
        <w:t xml:space="preserve">Social Networking</w:t>
      </w:r>
      <w:r w:rsidDel="00000000" w:rsidR="00000000" w:rsidRPr="00000000">
        <w:rPr>
          <w:sz w:val="22"/>
          <w:szCs w:val="22"/>
          <w:rtl w:val="0"/>
        </w:rPr>
        <w:t xml:space="preserve"> 16(9): 708-712.</w:t>
      </w:r>
    </w:p>
    <w:p w:rsidR="00000000" w:rsidDel="00000000" w:rsidP="00000000" w:rsidRDefault="00000000" w:rsidRPr="00000000" w14:paraId="00000EDE">
      <w:pPr>
        <w:jc w:val="both"/>
        <w:rPr>
          <w:sz w:val="22"/>
          <w:szCs w:val="22"/>
        </w:rPr>
      </w:pPr>
      <w:r w:rsidDel="00000000" w:rsidR="00000000" w:rsidRPr="00000000">
        <w:rPr>
          <w:sz w:val="22"/>
          <w:szCs w:val="22"/>
          <w:rtl w:val="0"/>
        </w:rPr>
        <w:tab/>
      </w:r>
    </w:p>
    <w:p w:rsidR="00000000" w:rsidDel="00000000" w:rsidP="00000000" w:rsidRDefault="00000000" w:rsidRPr="00000000" w14:paraId="00000EDF">
      <w:pPr>
        <w:jc w:val="both"/>
        <w:rPr>
          <w:sz w:val="22"/>
          <w:szCs w:val="22"/>
        </w:rPr>
      </w:pPr>
      <w:r w:rsidDel="00000000" w:rsidR="00000000" w:rsidRPr="00000000">
        <w:rPr>
          <w:sz w:val="22"/>
          <w:szCs w:val="22"/>
          <w:rtl w:val="0"/>
        </w:rPr>
        <w:t xml:space="preserve">Moss AC. Dyer KR. (2010). Psychology of Addictive Behaviour. London, Palgrave Macmillan.</w:t>
      </w:r>
    </w:p>
    <w:p w:rsidR="00000000" w:rsidDel="00000000" w:rsidP="00000000" w:rsidRDefault="00000000" w:rsidRPr="00000000" w14:paraId="00000EE0">
      <w:pPr>
        <w:jc w:val="both"/>
        <w:rPr>
          <w:sz w:val="22"/>
          <w:szCs w:val="22"/>
        </w:rPr>
      </w:pPr>
      <w:r w:rsidDel="00000000" w:rsidR="00000000" w:rsidRPr="00000000">
        <w:rPr>
          <w:sz w:val="22"/>
          <w:szCs w:val="22"/>
          <w:rtl w:val="0"/>
        </w:rPr>
        <w:tab/>
      </w:r>
    </w:p>
    <w:p w:rsidR="00000000" w:rsidDel="00000000" w:rsidP="00000000" w:rsidRDefault="00000000" w:rsidRPr="00000000" w14:paraId="00000EE1">
      <w:pPr>
        <w:jc w:val="both"/>
        <w:rPr>
          <w:sz w:val="22"/>
          <w:szCs w:val="22"/>
        </w:rPr>
      </w:pPr>
      <w:r w:rsidDel="00000000" w:rsidR="00000000" w:rsidRPr="00000000">
        <w:rPr>
          <w:sz w:val="22"/>
          <w:szCs w:val="22"/>
          <w:rtl w:val="0"/>
        </w:rPr>
        <w:t xml:space="preserve">Muncan B. Walters SM. Ezell J. Ompad DC. (2020). "“They look at us like junkies”: influences of drug use stigma on the healthcare engagement of people who inject drugs in New York City." </w:t>
      </w:r>
      <w:r w:rsidDel="00000000" w:rsidR="00000000" w:rsidRPr="00000000">
        <w:rPr>
          <w:i w:val="1"/>
          <w:sz w:val="22"/>
          <w:szCs w:val="22"/>
          <w:rtl w:val="0"/>
        </w:rPr>
        <w:t xml:space="preserve">Harm Reduction Journal</w:t>
      </w:r>
      <w:r w:rsidDel="00000000" w:rsidR="00000000" w:rsidRPr="00000000">
        <w:rPr>
          <w:sz w:val="22"/>
          <w:szCs w:val="22"/>
          <w:rtl w:val="0"/>
        </w:rPr>
        <w:t xml:space="preserve"> 17(53).</w:t>
      </w:r>
    </w:p>
    <w:p w:rsidR="00000000" w:rsidDel="00000000" w:rsidP="00000000" w:rsidRDefault="00000000" w:rsidRPr="00000000" w14:paraId="00000EE2">
      <w:pPr>
        <w:jc w:val="both"/>
        <w:rPr>
          <w:sz w:val="22"/>
          <w:szCs w:val="22"/>
        </w:rPr>
      </w:pPr>
      <w:r w:rsidDel="00000000" w:rsidR="00000000" w:rsidRPr="00000000">
        <w:rPr>
          <w:sz w:val="22"/>
          <w:szCs w:val="22"/>
          <w:rtl w:val="0"/>
        </w:rPr>
        <w:tab/>
      </w:r>
    </w:p>
    <w:p w:rsidR="00000000" w:rsidDel="00000000" w:rsidP="00000000" w:rsidRDefault="00000000" w:rsidRPr="00000000" w14:paraId="00000EE3">
      <w:pPr>
        <w:jc w:val="both"/>
        <w:rPr>
          <w:sz w:val="22"/>
          <w:szCs w:val="22"/>
        </w:rPr>
      </w:pPr>
      <w:r w:rsidDel="00000000" w:rsidR="00000000" w:rsidRPr="00000000">
        <w:rPr>
          <w:sz w:val="22"/>
          <w:szCs w:val="22"/>
          <w:rtl w:val="0"/>
        </w:rPr>
        <w:t xml:space="preserve">Murphy FC. Rubinsztein JS. Michael A. Rodgers RD. Robbins TW. Paykel ES. Sahakian BJ. (2001). "Decision-making cognition in mania and depression." </w:t>
      </w:r>
      <w:r w:rsidDel="00000000" w:rsidR="00000000" w:rsidRPr="00000000">
        <w:rPr>
          <w:i w:val="1"/>
          <w:sz w:val="22"/>
          <w:szCs w:val="22"/>
          <w:rtl w:val="0"/>
        </w:rPr>
        <w:t xml:space="preserve">Psychological Medicine</w:t>
      </w:r>
      <w:r w:rsidDel="00000000" w:rsidR="00000000" w:rsidRPr="00000000">
        <w:rPr>
          <w:sz w:val="22"/>
          <w:szCs w:val="22"/>
          <w:rtl w:val="0"/>
        </w:rPr>
        <w:t xml:space="preserve">.</w:t>
      </w:r>
    </w:p>
    <w:p w:rsidR="00000000" w:rsidDel="00000000" w:rsidP="00000000" w:rsidRDefault="00000000" w:rsidRPr="00000000" w14:paraId="00000EE4">
      <w:pPr>
        <w:jc w:val="both"/>
        <w:rPr>
          <w:sz w:val="22"/>
          <w:szCs w:val="22"/>
        </w:rPr>
      </w:pPr>
      <w:r w:rsidDel="00000000" w:rsidR="00000000" w:rsidRPr="00000000">
        <w:rPr>
          <w:rtl w:val="0"/>
        </w:rPr>
      </w:r>
    </w:p>
    <w:p w:rsidR="00000000" w:rsidDel="00000000" w:rsidP="00000000" w:rsidRDefault="00000000" w:rsidRPr="00000000" w14:paraId="00000EE5">
      <w:pPr>
        <w:jc w:val="both"/>
        <w:rPr>
          <w:sz w:val="22"/>
          <w:szCs w:val="22"/>
        </w:rPr>
      </w:pPr>
      <w:r w:rsidDel="00000000" w:rsidR="00000000" w:rsidRPr="00000000">
        <w:rPr>
          <w:sz w:val="22"/>
          <w:szCs w:val="22"/>
          <w:rtl w:val="0"/>
        </w:rPr>
        <w:t xml:space="preserve">Murphy FC. Rubinsztein JS. Michael A. Rodgers RD. Robbins TW. Paykel ES. Sahakian BJ. (2020). "Content analysis of clinical questions from Australian general practice which are prioritised for answering: identifying common question types and perceived knowledge gaps." </w:t>
      </w:r>
      <w:r w:rsidDel="00000000" w:rsidR="00000000" w:rsidRPr="00000000">
        <w:rPr>
          <w:i w:val="1"/>
          <w:sz w:val="22"/>
          <w:szCs w:val="22"/>
          <w:rtl w:val="0"/>
        </w:rPr>
        <w:t xml:space="preserve">BMJ Evidence-Based Medicine</w:t>
      </w:r>
      <w:r w:rsidDel="00000000" w:rsidR="00000000" w:rsidRPr="00000000">
        <w:rPr>
          <w:sz w:val="22"/>
          <w:szCs w:val="22"/>
          <w:rtl w:val="0"/>
        </w:rPr>
        <w:t xml:space="preserve"> 25(1): 15-21.</w:t>
      </w:r>
    </w:p>
    <w:p w:rsidR="00000000" w:rsidDel="00000000" w:rsidP="00000000" w:rsidRDefault="00000000" w:rsidRPr="00000000" w14:paraId="00000EE6">
      <w:pPr>
        <w:jc w:val="both"/>
        <w:rPr>
          <w:sz w:val="22"/>
          <w:szCs w:val="22"/>
        </w:rPr>
      </w:pPr>
      <w:r w:rsidDel="00000000" w:rsidR="00000000" w:rsidRPr="00000000">
        <w:rPr>
          <w:sz w:val="22"/>
          <w:szCs w:val="22"/>
          <w:rtl w:val="0"/>
        </w:rPr>
        <w:tab/>
      </w:r>
    </w:p>
    <w:p w:rsidR="00000000" w:rsidDel="00000000" w:rsidP="00000000" w:rsidRDefault="00000000" w:rsidRPr="00000000" w14:paraId="00000EE7">
      <w:pPr>
        <w:jc w:val="both"/>
        <w:rPr>
          <w:sz w:val="22"/>
          <w:szCs w:val="22"/>
        </w:rPr>
      </w:pPr>
      <w:r w:rsidDel="00000000" w:rsidR="00000000" w:rsidRPr="00000000">
        <w:rPr>
          <w:sz w:val="22"/>
          <w:szCs w:val="22"/>
          <w:rtl w:val="0"/>
        </w:rPr>
        <w:t xml:space="preserve">Mustro DF. (1996). Pathways of Addiction: Opportunities in Drug Abuse Research. Washington DC.</w:t>
      </w:r>
    </w:p>
    <w:p w:rsidR="00000000" w:rsidDel="00000000" w:rsidP="00000000" w:rsidRDefault="00000000" w:rsidRPr="00000000" w14:paraId="00000EE8">
      <w:pPr>
        <w:jc w:val="both"/>
        <w:rPr>
          <w:sz w:val="22"/>
          <w:szCs w:val="22"/>
        </w:rPr>
      </w:pPr>
      <w:r w:rsidDel="00000000" w:rsidR="00000000" w:rsidRPr="00000000">
        <w:rPr>
          <w:rtl w:val="0"/>
        </w:rPr>
      </w:r>
    </w:p>
    <w:p w:rsidR="00000000" w:rsidDel="00000000" w:rsidP="00000000" w:rsidRDefault="00000000" w:rsidRPr="00000000" w14:paraId="00000EE9">
      <w:pPr>
        <w:jc w:val="both"/>
        <w:rPr>
          <w:sz w:val="22"/>
          <w:szCs w:val="22"/>
        </w:rPr>
      </w:pPr>
      <w:r w:rsidDel="00000000" w:rsidR="00000000" w:rsidRPr="00000000">
        <w:rPr>
          <w:sz w:val="22"/>
          <w:szCs w:val="22"/>
          <w:rtl w:val="0"/>
        </w:rPr>
        <w:t xml:space="preserve">Nanji KC. Rothschild JM. Salzberg C (2011). "Errors associated with outpatient computerised prescribing systems." </w:t>
      </w:r>
      <w:r w:rsidDel="00000000" w:rsidR="00000000" w:rsidRPr="00000000">
        <w:rPr>
          <w:i w:val="1"/>
          <w:sz w:val="22"/>
          <w:szCs w:val="22"/>
          <w:rtl w:val="0"/>
        </w:rPr>
        <w:t xml:space="preserve">J Am Med Inform Assoc</w:t>
      </w:r>
      <w:r w:rsidDel="00000000" w:rsidR="00000000" w:rsidRPr="00000000">
        <w:rPr>
          <w:sz w:val="22"/>
          <w:szCs w:val="22"/>
          <w:rtl w:val="0"/>
        </w:rPr>
        <w:t xml:space="preserve">. 18: 767-737.</w:t>
      </w:r>
    </w:p>
    <w:p w:rsidR="00000000" w:rsidDel="00000000" w:rsidP="00000000" w:rsidRDefault="00000000" w:rsidRPr="00000000" w14:paraId="00000EEA">
      <w:pPr>
        <w:jc w:val="both"/>
        <w:rPr>
          <w:sz w:val="22"/>
          <w:szCs w:val="22"/>
        </w:rPr>
      </w:pPr>
      <w:r w:rsidDel="00000000" w:rsidR="00000000" w:rsidRPr="00000000">
        <w:rPr>
          <w:sz w:val="22"/>
          <w:szCs w:val="22"/>
          <w:rtl w:val="0"/>
        </w:rPr>
        <w:tab/>
      </w:r>
    </w:p>
    <w:p w:rsidR="00000000" w:rsidDel="00000000" w:rsidP="00000000" w:rsidRDefault="00000000" w:rsidRPr="00000000" w14:paraId="00000EEB">
      <w:pPr>
        <w:jc w:val="both"/>
        <w:rPr>
          <w:sz w:val="22"/>
          <w:szCs w:val="22"/>
        </w:rPr>
      </w:pPr>
      <w:r w:rsidDel="00000000" w:rsidR="00000000" w:rsidRPr="00000000">
        <w:rPr>
          <w:sz w:val="22"/>
          <w:szCs w:val="22"/>
          <w:rtl w:val="0"/>
        </w:rPr>
        <w:t xml:space="preserve">National Careers Service (2024). Hospital doctor. National Careers Service [online]. Available at: </w:t>
      </w:r>
      <w:hyperlink r:id="rId55">
        <w:r w:rsidDel="00000000" w:rsidR="00000000" w:rsidRPr="00000000">
          <w:rPr>
            <w:color w:val="467886"/>
            <w:sz w:val="22"/>
            <w:szCs w:val="22"/>
            <w:u w:val="single"/>
            <w:rtl w:val="0"/>
          </w:rPr>
          <w:t xml:space="preserve">https://nationalcareers.service.gov.uk/job-profiles/hospital-doctor</w:t>
        </w:r>
      </w:hyperlink>
      <w:r w:rsidDel="00000000" w:rsidR="00000000" w:rsidRPr="00000000">
        <w:rPr>
          <w:sz w:val="22"/>
          <w:szCs w:val="22"/>
          <w:rtl w:val="0"/>
        </w:rPr>
        <w:t xml:space="preserve"> (19/04/2024)</w:t>
        <w:tab/>
      </w:r>
    </w:p>
    <w:p w:rsidR="00000000" w:rsidDel="00000000" w:rsidP="00000000" w:rsidRDefault="00000000" w:rsidRPr="00000000" w14:paraId="00000EEC">
      <w:pPr>
        <w:jc w:val="both"/>
        <w:rPr>
          <w:sz w:val="22"/>
          <w:szCs w:val="22"/>
        </w:rPr>
      </w:pPr>
      <w:r w:rsidDel="00000000" w:rsidR="00000000" w:rsidRPr="00000000">
        <w:rPr>
          <w:rtl w:val="0"/>
        </w:rPr>
      </w:r>
    </w:p>
    <w:p w:rsidR="00000000" w:rsidDel="00000000" w:rsidP="00000000" w:rsidRDefault="00000000" w:rsidRPr="00000000" w14:paraId="00000EED">
      <w:pPr>
        <w:jc w:val="both"/>
        <w:rPr>
          <w:sz w:val="22"/>
          <w:szCs w:val="22"/>
        </w:rPr>
      </w:pPr>
      <w:r w:rsidDel="00000000" w:rsidR="00000000" w:rsidRPr="00000000">
        <w:rPr>
          <w:sz w:val="22"/>
          <w:szCs w:val="22"/>
          <w:rtl w:val="0"/>
        </w:rPr>
        <w:t xml:space="preserve">National Health Service (2019). Confidentiality Policy [online]. Available at: </w:t>
      </w:r>
      <w:hyperlink r:id="rId56">
        <w:r w:rsidDel="00000000" w:rsidR="00000000" w:rsidRPr="00000000">
          <w:rPr>
            <w:color w:val="467886"/>
            <w:sz w:val="22"/>
            <w:szCs w:val="22"/>
            <w:u w:val="single"/>
            <w:rtl w:val="0"/>
          </w:rPr>
          <w:t xml:space="preserve">https://improvement.nhs.uk/documents/2885/Patient_experience_improvement_framework_full_publication.pdf</w:t>
        </w:r>
      </w:hyperlink>
      <w:r w:rsidDel="00000000" w:rsidR="00000000" w:rsidRPr="00000000">
        <w:rPr>
          <w:sz w:val="22"/>
          <w:szCs w:val="22"/>
          <w:rtl w:val="0"/>
        </w:rPr>
        <w:t xml:space="preserve"> (23/10/2021)</w:t>
      </w:r>
    </w:p>
    <w:p w:rsidR="00000000" w:rsidDel="00000000" w:rsidP="00000000" w:rsidRDefault="00000000" w:rsidRPr="00000000" w14:paraId="00000EEE">
      <w:pPr>
        <w:jc w:val="both"/>
        <w:rPr>
          <w:sz w:val="22"/>
          <w:szCs w:val="22"/>
        </w:rPr>
      </w:pPr>
      <w:r w:rsidDel="00000000" w:rsidR="00000000" w:rsidRPr="00000000">
        <w:rPr>
          <w:sz w:val="22"/>
          <w:szCs w:val="22"/>
          <w:rtl w:val="0"/>
        </w:rPr>
        <w:tab/>
      </w:r>
    </w:p>
    <w:p w:rsidR="00000000" w:rsidDel="00000000" w:rsidP="00000000" w:rsidRDefault="00000000" w:rsidRPr="00000000" w14:paraId="00000EEF">
      <w:pPr>
        <w:jc w:val="both"/>
        <w:rPr>
          <w:sz w:val="22"/>
          <w:szCs w:val="22"/>
        </w:rPr>
      </w:pPr>
      <w:r w:rsidDel="00000000" w:rsidR="00000000" w:rsidRPr="00000000">
        <w:rPr>
          <w:sz w:val="22"/>
          <w:szCs w:val="22"/>
          <w:rtl w:val="0"/>
        </w:rPr>
        <w:t xml:space="preserve">National Health Service (2019). Zolpidem [online]. Available at: </w:t>
      </w:r>
      <w:hyperlink r:id="rId57">
        <w:r w:rsidDel="00000000" w:rsidR="00000000" w:rsidRPr="00000000">
          <w:rPr>
            <w:color w:val="467886"/>
            <w:sz w:val="22"/>
            <w:szCs w:val="22"/>
            <w:u w:val="single"/>
            <w:rtl w:val="0"/>
          </w:rPr>
          <w:t xml:space="preserve">https://www.nhs.uk/medicines/zolpidem/</w:t>
        </w:r>
      </w:hyperlink>
      <w:r w:rsidDel="00000000" w:rsidR="00000000" w:rsidRPr="00000000">
        <w:rPr>
          <w:sz w:val="22"/>
          <w:szCs w:val="22"/>
          <w:rtl w:val="0"/>
        </w:rPr>
        <w:t xml:space="preserve"> (06/01/2022)</w:t>
      </w:r>
    </w:p>
    <w:p w:rsidR="00000000" w:rsidDel="00000000" w:rsidP="00000000" w:rsidRDefault="00000000" w:rsidRPr="00000000" w14:paraId="00000EF0">
      <w:pPr>
        <w:jc w:val="both"/>
        <w:rPr>
          <w:sz w:val="22"/>
          <w:szCs w:val="22"/>
        </w:rPr>
      </w:pPr>
      <w:r w:rsidDel="00000000" w:rsidR="00000000" w:rsidRPr="00000000">
        <w:rPr>
          <w:sz w:val="22"/>
          <w:szCs w:val="22"/>
          <w:rtl w:val="0"/>
        </w:rPr>
        <w:tab/>
      </w:r>
    </w:p>
    <w:p w:rsidR="00000000" w:rsidDel="00000000" w:rsidP="00000000" w:rsidRDefault="00000000" w:rsidRPr="00000000" w14:paraId="00000EF1">
      <w:pPr>
        <w:jc w:val="both"/>
        <w:rPr>
          <w:sz w:val="22"/>
          <w:szCs w:val="22"/>
        </w:rPr>
      </w:pPr>
      <w:r w:rsidDel="00000000" w:rsidR="00000000" w:rsidRPr="00000000">
        <w:rPr>
          <w:sz w:val="22"/>
          <w:szCs w:val="22"/>
          <w:rtl w:val="0"/>
        </w:rPr>
        <w:t xml:space="preserve">National Health Service (2021). Lower Layer Super Output Areas [online]. Available at: Lower Layer Super Output Area (</w:t>
      </w:r>
      <w:hyperlink r:id="rId58">
        <w:r w:rsidDel="00000000" w:rsidR="00000000" w:rsidRPr="00000000">
          <w:rPr>
            <w:color w:val="467886"/>
            <w:sz w:val="22"/>
            <w:szCs w:val="22"/>
            <w:u w:val="single"/>
            <w:rtl w:val="0"/>
          </w:rPr>
          <w:t xml:space="preserve">www.datadictionary.nhs.uk</w:t>
        </w:r>
      </w:hyperlink>
      <w:r w:rsidDel="00000000" w:rsidR="00000000" w:rsidRPr="00000000">
        <w:rPr>
          <w:sz w:val="22"/>
          <w:szCs w:val="22"/>
          <w:rtl w:val="0"/>
        </w:rPr>
        <w:t xml:space="preserve">) (03/07/2021)</w:t>
      </w:r>
    </w:p>
    <w:p w:rsidR="00000000" w:rsidDel="00000000" w:rsidP="00000000" w:rsidRDefault="00000000" w:rsidRPr="00000000" w14:paraId="00000EF2">
      <w:pPr>
        <w:jc w:val="both"/>
        <w:rPr>
          <w:sz w:val="22"/>
          <w:szCs w:val="22"/>
        </w:rPr>
      </w:pPr>
      <w:r w:rsidDel="00000000" w:rsidR="00000000" w:rsidRPr="00000000">
        <w:rPr>
          <w:rtl w:val="0"/>
        </w:rPr>
      </w:r>
    </w:p>
    <w:p w:rsidR="00000000" w:rsidDel="00000000" w:rsidP="00000000" w:rsidRDefault="00000000" w:rsidRPr="00000000" w14:paraId="00000EF3">
      <w:pPr>
        <w:jc w:val="both"/>
        <w:rPr>
          <w:sz w:val="22"/>
          <w:szCs w:val="22"/>
        </w:rPr>
      </w:pPr>
      <w:r w:rsidDel="00000000" w:rsidR="00000000" w:rsidRPr="00000000">
        <w:rPr>
          <w:sz w:val="22"/>
          <w:szCs w:val="22"/>
          <w:rtl w:val="0"/>
        </w:rPr>
        <w:t xml:space="preserve">National Health Service (2021). "Antidepressants." [online]. Available at: </w:t>
      </w:r>
      <w:hyperlink r:id="rId59">
        <w:r w:rsidDel="00000000" w:rsidR="00000000" w:rsidRPr="00000000">
          <w:rPr>
            <w:color w:val="467886"/>
            <w:sz w:val="22"/>
            <w:szCs w:val="22"/>
            <w:u w:val="single"/>
            <w:rtl w:val="0"/>
          </w:rPr>
          <w:t xml:space="preserve">https://www.nhs.uk/mental-health/talking-therapies-medicine-treatments/medicines-and-psychiatry/antidepressants/overview/</w:t>
        </w:r>
      </w:hyperlink>
      <w:r w:rsidDel="00000000" w:rsidR="00000000" w:rsidRPr="00000000">
        <w:rPr>
          <w:sz w:val="22"/>
          <w:szCs w:val="22"/>
          <w:rtl w:val="0"/>
        </w:rPr>
        <w:t xml:space="preserve"> (06/01/2022)</w:t>
      </w:r>
    </w:p>
    <w:p w:rsidR="00000000" w:rsidDel="00000000" w:rsidP="00000000" w:rsidRDefault="00000000" w:rsidRPr="00000000" w14:paraId="00000EF4">
      <w:pPr>
        <w:jc w:val="both"/>
        <w:rPr>
          <w:sz w:val="22"/>
          <w:szCs w:val="22"/>
        </w:rPr>
      </w:pPr>
      <w:r w:rsidDel="00000000" w:rsidR="00000000" w:rsidRPr="00000000">
        <w:rPr>
          <w:sz w:val="22"/>
          <w:szCs w:val="22"/>
          <w:rtl w:val="0"/>
        </w:rPr>
        <w:tab/>
      </w:r>
    </w:p>
    <w:p w:rsidR="00000000" w:rsidDel="00000000" w:rsidP="00000000" w:rsidRDefault="00000000" w:rsidRPr="00000000" w14:paraId="00000EF5">
      <w:pPr>
        <w:jc w:val="both"/>
        <w:rPr>
          <w:sz w:val="22"/>
          <w:szCs w:val="22"/>
        </w:rPr>
      </w:pPr>
      <w:r w:rsidDel="00000000" w:rsidR="00000000" w:rsidRPr="00000000">
        <w:rPr>
          <w:sz w:val="22"/>
          <w:szCs w:val="22"/>
          <w:rtl w:val="0"/>
        </w:rPr>
        <w:t xml:space="preserve">National Health Service (2021). "Pregabalin." [online]. Available at: </w:t>
      </w:r>
      <w:hyperlink r:id="rId60">
        <w:r w:rsidDel="00000000" w:rsidR="00000000" w:rsidRPr="00000000">
          <w:rPr>
            <w:color w:val="467886"/>
            <w:sz w:val="22"/>
            <w:szCs w:val="22"/>
            <w:u w:val="single"/>
            <w:rtl w:val="0"/>
          </w:rPr>
          <w:t xml:space="preserve">https://www.nhs.uk/medicines/pregabalin/</w:t>
        </w:r>
      </w:hyperlink>
      <w:r w:rsidDel="00000000" w:rsidR="00000000" w:rsidRPr="00000000">
        <w:rPr>
          <w:sz w:val="22"/>
          <w:szCs w:val="22"/>
          <w:rtl w:val="0"/>
        </w:rPr>
        <w:t xml:space="preserve"> (06/01/2022)</w:t>
      </w:r>
    </w:p>
    <w:p w:rsidR="00000000" w:rsidDel="00000000" w:rsidP="00000000" w:rsidRDefault="00000000" w:rsidRPr="00000000" w14:paraId="00000EF6">
      <w:pPr>
        <w:jc w:val="both"/>
        <w:rPr>
          <w:sz w:val="22"/>
          <w:szCs w:val="22"/>
        </w:rPr>
      </w:pPr>
      <w:r w:rsidDel="00000000" w:rsidR="00000000" w:rsidRPr="00000000">
        <w:rPr>
          <w:sz w:val="22"/>
          <w:szCs w:val="22"/>
          <w:rtl w:val="0"/>
        </w:rPr>
        <w:tab/>
      </w:r>
    </w:p>
    <w:p w:rsidR="00000000" w:rsidDel="00000000" w:rsidP="00000000" w:rsidRDefault="00000000" w:rsidRPr="00000000" w14:paraId="00000EF7">
      <w:pPr>
        <w:jc w:val="both"/>
        <w:rPr>
          <w:sz w:val="22"/>
          <w:szCs w:val="22"/>
        </w:rPr>
      </w:pPr>
      <w:r w:rsidDel="00000000" w:rsidR="00000000" w:rsidRPr="00000000">
        <w:rPr>
          <w:sz w:val="22"/>
          <w:szCs w:val="22"/>
          <w:rtl w:val="0"/>
        </w:rPr>
        <w:t xml:space="preserve">National Health Service (2021). Gabapentin. [online]. Available at: </w:t>
      </w:r>
      <w:hyperlink r:id="rId61">
        <w:r w:rsidDel="00000000" w:rsidR="00000000" w:rsidRPr="00000000">
          <w:rPr>
            <w:color w:val="467886"/>
            <w:sz w:val="22"/>
            <w:szCs w:val="22"/>
            <w:u w:val="single"/>
            <w:rtl w:val="0"/>
          </w:rPr>
          <w:t xml:space="preserve">https://www.nhs.uk/medicines/gabapentin/</w:t>
        </w:r>
      </w:hyperlink>
      <w:r w:rsidDel="00000000" w:rsidR="00000000" w:rsidRPr="00000000">
        <w:rPr>
          <w:sz w:val="22"/>
          <w:szCs w:val="22"/>
          <w:rtl w:val="0"/>
        </w:rPr>
        <w:t xml:space="preserve"> (06/01/2022)</w:t>
      </w:r>
    </w:p>
    <w:p w:rsidR="00000000" w:rsidDel="00000000" w:rsidP="00000000" w:rsidRDefault="00000000" w:rsidRPr="00000000" w14:paraId="00000EF8">
      <w:pPr>
        <w:jc w:val="both"/>
        <w:rPr>
          <w:sz w:val="22"/>
          <w:szCs w:val="22"/>
        </w:rPr>
      </w:pPr>
      <w:r w:rsidDel="00000000" w:rsidR="00000000" w:rsidRPr="00000000">
        <w:rPr>
          <w:sz w:val="22"/>
          <w:szCs w:val="22"/>
          <w:rtl w:val="0"/>
        </w:rPr>
        <w:tab/>
      </w:r>
    </w:p>
    <w:p w:rsidR="00000000" w:rsidDel="00000000" w:rsidP="00000000" w:rsidRDefault="00000000" w:rsidRPr="00000000" w14:paraId="00000EF9">
      <w:pPr>
        <w:jc w:val="both"/>
        <w:rPr>
          <w:sz w:val="22"/>
          <w:szCs w:val="22"/>
        </w:rPr>
      </w:pPr>
      <w:r w:rsidDel="00000000" w:rsidR="00000000" w:rsidRPr="00000000">
        <w:rPr>
          <w:sz w:val="22"/>
          <w:szCs w:val="22"/>
          <w:rtl w:val="0"/>
        </w:rPr>
        <w:t xml:space="preserve">National Health Service (2022). Social Prescribing. National Health Service. [online]. Available at: </w:t>
      </w:r>
      <w:hyperlink r:id="rId62">
        <w:r w:rsidDel="00000000" w:rsidR="00000000" w:rsidRPr="00000000">
          <w:rPr>
            <w:color w:val="467886"/>
            <w:sz w:val="22"/>
            <w:szCs w:val="22"/>
            <w:u w:val="single"/>
            <w:rtl w:val="0"/>
          </w:rPr>
          <w:t xml:space="preserve">https://www.england.nhs.uk/personalisedcare/social-prescribing/</w:t>
        </w:r>
      </w:hyperlink>
      <w:r w:rsidDel="00000000" w:rsidR="00000000" w:rsidRPr="00000000">
        <w:rPr>
          <w:sz w:val="22"/>
          <w:szCs w:val="22"/>
          <w:rtl w:val="0"/>
        </w:rPr>
        <w:t xml:space="preserve"> </w:t>
      </w:r>
    </w:p>
    <w:p w:rsidR="00000000" w:rsidDel="00000000" w:rsidP="00000000" w:rsidRDefault="00000000" w:rsidRPr="00000000" w14:paraId="00000EFA">
      <w:pPr>
        <w:jc w:val="both"/>
        <w:rPr>
          <w:sz w:val="22"/>
          <w:szCs w:val="22"/>
        </w:rPr>
      </w:pPr>
      <w:r w:rsidDel="00000000" w:rsidR="00000000" w:rsidRPr="00000000">
        <w:rPr>
          <w:rtl w:val="0"/>
        </w:rPr>
      </w:r>
    </w:p>
    <w:p w:rsidR="00000000" w:rsidDel="00000000" w:rsidP="00000000" w:rsidRDefault="00000000" w:rsidRPr="00000000" w14:paraId="00000EFB">
      <w:pPr>
        <w:jc w:val="both"/>
        <w:rPr>
          <w:sz w:val="22"/>
          <w:szCs w:val="22"/>
        </w:rPr>
      </w:pPr>
      <w:r w:rsidDel="00000000" w:rsidR="00000000" w:rsidRPr="00000000">
        <w:rPr>
          <w:sz w:val="22"/>
          <w:szCs w:val="22"/>
          <w:rtl w:val="0"/>
        </w:rPr>
        <w:t xml:space="preserve">National Health Service (2022). NHS mental health dashboard [online]. Available at: </w:t>
      </w:r>
      <w:hyperlink r:id="rId63">
        <w:r w:rsidDel="00000000" w:rsidR="00000000" w:rsidRPr="00000000">
          <w:rPr>
            <w:color w:val="467886"/>
            <w:sz w:val="22"/>
            <w:szCs w:val="22"/>
            <w:u w:val="single"/>
            <w:rtl w:val="0"/>
          </w:rPr>
          <w:t xml:space="preserve">https://www.england.nhs.uk/mental-health/taskforce/imp/mh-dashboard/</w:t>
        </w:r>
      </w:hyperlink>
      <w:r w:rsidDel="00000000" w:rsidR="00000000" w:rsidRPr="00000000">
        <w:rPr>
          <w:sz w:val="22"/>
          <w:szCs w:val="22"/>
          <w:rtl w:val="0"/>
        </w:rPr>
        <w:t xml:space="preserve">  (17/03/2022)</w:t>
      </w:r>
    </w:p>
    <w:p w:rsidR="00000000" w:rsidDel="00000000" w:rsidP="00000000" w:rsidRDefault="00000000" w:rsidRPr="00000000" w14:paraId="00000EFC">
      <w:pPr>
        <w:jc w:val="both"/>
        <w:rPr>
          <w:sz w:val="22"/>
          <w:szCs w:val="22"/>
        </w:rPr>
      </w:pPr>
      <w:r w:rsidDel="00000000" w:rsidR="00000000" w:rsidRPr="00000000">
        <w:rPr>
          <w:rtl w:val="0"/>
        </w:rPr>
      </w:r>
    </w:p>
    <w:p w:rsidR="00000000" w:rsidDel="00000000" w:rsidP="00000000" w:rsidRDefault="00000000" w:rsidRPr="00000000" w14:paraId="00000EFD">
      <w:pPr>
        <w:jc w:val="both"/>
        <w:rPr>
          <w:sz w:val="22"/>
          <w:szCs w:val="22"/>
        </w:rPr>
      </w:pPr>
      <w:r w:rsidDel="00000000" w:rsidR="00000000" w:rsidRPr="00000000">
        <w:rPr>
          <w:sz w:val="22"/>
          <w:szCs w:val="22"/>
          <w:rtl w:val="0"/>
        </w:rPr>
        <w:t xml:space="preserve">National Health Service (2022). Social prescribing: applying All Our Health. Office for Health Improvement and Disparities [online]. Available at: </w:t>
      </w:r>
      <w:hyperlink r:id="rId64">
        <w:r w:rsidDel="00000000" w:rsidR="00000000" w:rsidRPr="00000000">
          <w:rPr>
            <w:color w:val="467886"/>
            <w:sz w:val="22"/>
            <w:szCs w:val="22"/>
            <w:u w:val="single"/>
            <w:rtl w:val="0"/>
          </w:rPr>
          <w:t xml:space="preserve">https://www.gov.uk/government/publications/social-prescribing-applying-all-our-health/social-prescribing-applying-all-our-health</w:t>
        </w:r>
      </w:hyperlink>
      <w:r w:rsidDel="00000000" w:rsidR="00000000" w:rsidRPr="00000000">
        <w:rPr>
          <w:sz w:val="22"/>
          <w:szCs w:val="22"/>
          <w:rtl w:val="0"/>
        </w:rPr>
        <w:t xml:space="preserve"> (17/03/2022)</w:t>
      </w:r>
    </w:p>
    <w:p w:rsidR="00000000" w:rsidDel="00000000" w:rsidP="00000000" w:rsidRDefault="00000000" w:rsidRPr="00000000" w14:paraId="00000EFE">
      <w:pPr>
        <w:jc w:val="both"/>
        <w:rPr>
          <w:sz w:val="22"/>
          <w:szCs w:val="22"/>
        </w:rPr>
      </w:pPr>
      <w:r w:rsidDel="00000000" w:rsidR="00000000" w:rsidRPr="00000000">
        <w:rPr>
          <w:sz w:val="22"/>
          <w:szCs w:val="22"/>
          <w:rtl w:val="0"/>
        </w:rPr>
        <w:tab/>
      </w:r>
    </w:p>
    <w:p w:rsidR="00000000" w:rsidDel="00000000" w:rsidP="00000000" w:rsidRDefault="00000000" w:rsidRPr="00000000" w14:paraId="00000EFF">
      <w:pPr>
        <w:jc w:val="both"/>
        <w:rPr>
          <w:sz w:val="22"/>
          <w:szCs w:val="22"/>
        </w:rPr>
      </w:pPr>
      <w:r w:rsidDel="00000000" w:rsidR="00000000" w:rsidRPr="00000000">
        <w:rPr>
          <w:sz w:val="22"/>
          <w:szCs w:val="22"/>
          <w:rtl w:val="0"/>
        </w:rPr>
        <w:t xml:space="preserve">National Health Service (2022). Care and support you can get for free. National Health Service [online]. Available at: </w:t>
      </w:r>
      <w:hyperlink r:id="rId65">
        <w:r w:rsidDel="00000000" w:rsidR="00000000" w:rsidRPr="00000000">
          <w:rPr>
            <w:color w:val="467886"/>
            <w:sz w:val="22"/>
            <w:szCs w:val="22"/>
            <w:u w:val="single"/>
            <w:rtl w:val="0"/>
          </w:rPr>
          <w:t xml:space="preserve">https://www.nhs.uk/conditions/social-care-and-support-guide/care-services-equipment-and-care-homes/care-and-support-you-can-get-for-free/</w:t>
        </w:r>
      </w:hyperlink>
      <w:r w:rsidDel="00000000" w:rsidR="00000000" w:rsidRPr="00000000">
        <w:rPr>
          <w:sz w:val="22"/>
          <w:szCs w:val="22"/>
          <w:rtl w:val="0"/>
        </w:rPr>
        <w:t xml:space="preserve"> (22/01/2023)</w:t>
      </w:r>
    </w:p>
    <w:p w:rsidR="00000000" w:rsidDel="00000000" w:rsidP="00000000" w:rsidRDefault="00000000" w:rsidRPr="00000000" w14:paraId="00000F00">
      <w:pPr>
        <w:jc w:val="both"/>
        <w:rPr>
          <w:sz w:val="22"/>
          <w:szCs w:val="22"/>
        </w:rPr>
      </w:pPr>
      <w:r w:rsidDel="00000000" w:rsidR="00000000" w:rsidRPr="00000000">
        <w:rPr>
          <w:sz w:val="22"/>
          <w:szCs w:val="22"/>
          <w:rtl w:val="0"/>
        </w:rPr>
        <w:tab/>
      </w:r>
    </w:p>
    <w:p w:rsidR="00000000" w:rsidDel="00000000" w:rsidP="00000000" w:rsidRDefault="00000000" w:rsidRPr="00000000" w14:paraId="00000F01">
      <w:pPr>
        <w:jc w:val="both"/>
        <w:rPr>
          <w:sz w:val="22"/>
          <w:szCs w:val="22"/>
        </w:rPr>
      </w:pPr>
      <w:r w:rsidDel="00000000" w:rsidR="00000000" w:rsidRPr="00000000">
        <w:rPr>
          <w:sz w:val="22"/>
          <w:szCs w:val="22"/>
          <w:rtl w:val="0"/>
        </w:rPr>
        <w:t xml:space="preserve">National Health Service (2022). Consent to treatment. National Health Service [online]. Available at: </w:t>
      </w:r>
      <w:hyperlink r:id="rId66">
        <w:r w:rsidDel="00000000" w:rsidR="00000000" w:rsidRPr="00000000">
          <w:rPr>
            <w:color w:val="467886"/>
            <w:sz w:val="22"/>
            <w:szCs w:val="22"/>
            <w:u w:val="single"/>
            <w:rtl w:val="0"/>
          </w:rPr>
          <w:t xml:space="preserve">https://www.nhs.uk/conditions/consent-to-treatment/</w:t>
        </w:r>
      </w:hyperlink>
      <w:r w:rsidDel="00000000" w:rsidR="00000000" w:rsidRPr="00000000">
        <w:rPr>
          <w:sz w:val="22"/>
          <w:szCs w:val="22"/>
          <w:rtl w:val="0"/>
        </w:rPr>
        <w:t xml:space="preserve"> (26/08/2024)</w:t>
      </w:r>
    </w:p>
    <w:p w:rsidR="00000000" w:rsidDel="00000000" w:rsidP="00000000" w:rsidRDefault="00000000" w:rsidRPr="00000000" w14:paraId="00000F02">
      <w:pPr>
        <w:jc w:val="both"/>
        <w:rPr>
          <w:sz w:val="22"/>
          <w:szCs w:val="22"/>
        </w:rPr>
      </w:pPr>
      <w:r w:rsidDel="00000000" w:rsidR="00000000" w:rsidRPr="00000000">
        <w:rPr>
          <w:rtl w:val="0"/>
        </w:rPr>
      </w:r>
    </w:p>
    <w:p w:rsidR="00000000" w:rsidDel="00000000" w:rsidP="00000000" w:rsidRDefault="00000000" w:rsidRPr="00000000" w14:paraId="00000F03">
      <w:pPr>
        <w:jc w:val="both"/>
        <w:rPr>
          <w:sz w:val="22"/>
          <w:szCs w:val="22"/>
        </w:rPr>
      </w:pPr>
      <w:r w:rsidDel="00000000" w:rsidR="00000000" w:rsidRPr="00000000">
        <w:rPr>
          <w:sz w:val="22"/>
          <w:szCs w:val="22"/>
          <w:rtl w:val="0"/>
        </w:rPr>
        <w:t xml:space="preserve">National Health Service (2022). Children and young people - Consent to treatment. National Health Service [online]. Available at: </w:t>
      </w:r>
      <w:hyperlink r:id="rId67">
        <w:r w:rsidDel="00000000" w:rsidR="00000000" w:rsidRPr="00000000">
          <w:rPr>
            <w:color w:val="467886"/>
            <w:sz w:val="22"/>
            <w:szCs w:val="22"/>
            <w:u w:val="single"/>
            <w:rtl w:val="0"/>
          </w:rPr>
          <w:t xml:space="preserve">https://www.nhs.uk/conditions/consent-to-treatment/children/#:~:text=Children%20under%20the%20age%20of,responsibility%20can%20consent%20for%20them</w:t>
        </w:r>
      </w:hyperlink>
      <w:r w:rsidDel="00000000" w:rsidR="00000000" w:rsidRPr="00000000">
        <w:rPr>
          <w:sz w:val="22"/>
          <w:szCs w:val="22"/>
          <w:rtl w:val="0"/>
        </w:rPr>
        <w:t xml:space="preserve">. (05/11/2024)</w:t>
      </w:r>
    </w:p>
    <w:p w:rsidR="00000000" w:rsidDel="00000000" w:rsidP="00000000" w:rsidRDefault="00000000" w:rsidRPr="00000000" w14:paraId="00000F04">
      <w:pPr>
        <w:jc w:val="both"/>
        <w:rPr>
          <w:sz w:val="22"/>
          <w:szCs w:val="22"/>
        </w:rPr>
      </w:pPr>
      <w:r w:rsidDel="00000000" w:rsidR="00000000" w:rsidRPr="00000000">
        <w:rPr>
          <w:sz w:val="22"/>
          <w:szCs w:val="22"/>
          <w:rtl w:val="0"/>
        </w:rPr>
        <w:tab/>
      </w:r>
    </w:p>
    <w:p w:rsidR="00000000" w:rsidDel="00000000" w:rsidP="00000000" w:rsidRDefault="00000000" w:rsidRPr="00000000" w14:paraId="00000F05">
      <w:pPr>
        <w:jc w:val="both"/>
        <w:rPr>
          <w:sz w:val="22"/>
          <w:szCs w:val="22"/>
        </w:rPr>
      </w:pPr>
      <w:r w:rsidDel="00000000" w:rsidR="00000000" w:rsidRPr="00000000">
        <w:rPr>
          <w:sz w:val="22"/>
          <w:szCs w:val="22"/>
          <w:rtl w:val="0"/>
        </w:rPr>
        <w:t xml:space="preserve">National Health Service (2024). Long Term Physical Health Condition. National Health Service. [online]. Available at: </w:t>
      </w:r>
      <w:hyperlink r:id="rId68">
        <w:r w:rsidDel="00000000" w:rsidR="00000000" w:rsidRPr="00000000">
          <w:rPr>
            <w:color w:val="467886"/>
            <w:sz w:val="22"/>
            <w:szCs w:val="22"/>
            <w:u w:val="single"/>
            <w:rtl w:val="0"/>
          </w:rPr>
          <w:t xml:space="preserve">https://www.datadictionary.nhs.uk/nhs_business_definitions/long_term_physical_health_condition.html</w:t>
        </w:r>
      </w:hyperlink>
      <w:r w:rsidDel="00000000" w:rsidR="00000000" w:rsidRPr="00000000">
        <w:rPr>
          <w:sz w:val="22"/>
          <w:szCs w:val="22"/>
          <w:rtl w:val="0"/>
        </w:rPr>
        <w:t xml:space="preserve"> (19/04/2024)</w:t>
      </w:r>
    </w:p>
    <w:p w:rsidR="00000000" w:rsidDel="00000000" w:rsidP="00000000" w:rsidRDefault="00000000" w:rsidRPr="00000000" w14:paraId="00000F06">
      <w:pPr>
        <w:jc w:val="both"/>
        <w:rPr>
          <w:sz w:val="22"/>
          <w:szCs w:val="22"/>
        </w:rPr>
      </w:pPr>
      <w:r w:rsidDel="00000000" w:rsidR="00000000" w:rsidRPr="00000000">
        <w:rPr>
          <w:sz w:val="22"/>
          <w:szCs w:val="22"/>
          <w:rtl w:val="0"/>
        </w:rPr>
        <w:tab/>
      </w:r>
    </w:p>
    <w:p w:rsidR="00000000" w:rsidDel="00000000" w:rsidP="00000000" w:rsidRDefault="00000000" w:rsidRPr="00000000" w14:paraId="00000F07">
      <w:pPr>
        <w:jc w:val="both"/>
        <w:rPr>
          <w:sz w:val="22"/>
          <w:szCs w:val="22"/>
        </w:rPr>
      </w:pPr>
      <w:r w:rsidDel="00000000" w:rsidR="00000000" w:rsidRPr="00000000">
        <w:rPr>
          <w:sz w:val="22"/>
          <w:szCs w:val="22"/>
          <w:rtl w:val="0"/>
        </w:rPr>
        <w:t xml:space="preserve">National Health Service (2024). Mental Capacity Act (2005). National Health Service. [online]. Available at: </w:t>
      </w:r>
      <w:hyperlink r:id="rId69">
        <w:r w:rsidDel="00000000" w:rsidR="00000000" w:rsidRPr="00000000">
          <w:rPr>
            <w:color w:val="467886"/>
            <w:sz w:val="22"/>
            <w:szCs w:val="22"/>
            <w:u w:val="single"/>
            <w:rtl w:val="0"/>
          </w:rPr>
          <w:t xml:space="preserve">https://www.nhs.uk/conditions/social-care-and-support-guide/making-decisions-for-someone-else/mental-capacity-act/</w:t>
        </w:r>
      </w:hyperlink>
      <w:r w:rsidDel="00000000" w:rsidR="00000000" w:rsidRPr="00000000">
        <w:rPr>
          <w:sz w:val="22"/>
          <w:szCs w:val="22"/>
          <w:rtl w:val="0"/>
        </w:rPr>
        <w:t xml:space="preserve"> (26/09/2024)</w:t>
      </w:r>
    </w:p>
    <w:p w:rsidR="00000000" w:rsidDel="00000000" w:rsidP="00000000" w:rsidRDefault="00000000" w:rsidRPr="00000000" w14:paraId="00000F08">
      <w:pPr>
        <w:jc w:val="both"/>
        <w:rPr>
          <w:sz w:val="22"/>
          <w:szCs w:val="22"/>
        </w:rPr>
      </w:pPr>
      <w:r w:rsidDel="00000000" w:rsidR="00000000" w:rsidRPr="00000000">
        <w:rPr>
          <w:rtl w:val="0"/>
        </w:rPr>
      </w:r>
    </w:p>
    <w:p w:rsidR="00000000" w:rsidDel="00000000" w:rsidP="00000000" w:rsidRDefault="00000000" w:rsidRPr="00000000" w14:paraId="00000F09">
      <w:pPr>
        <w:jc w:val="both"/>
        <w:rPr>
          <w:sz w:val="22"/>
          <w:szCs w:val="22"/>
        </w:rPr>
      </w:pPr>
      <w:r w:rsidDel="00000000" w:rsidR="00000000" w:rsidRPr="00000000">
        <w:rPr>
          <w:sz w:val="22"/>
          <w:szCs w:val="22"/>
          <w:rtl w:val="0"/>
        </w:rPr>
        <w:t xml:space="preserve">National Health Service Business Services Authority (2020). "Electronic Repeat Dispensing (eRD) in response to Covid-19." [online]. Available at: </w:t>
      </w:r>
      <w:hyperlink r:id="rId70">
        <w:r w:rsidDel="00000000" w:rsidR="00000000" w:rsidRPr="00000000">
          <w:rPr>
            <w:color w:val="467886"/>
            <w:sz w:val="22"/>
            <w:szCs w:val="22"/>
            <w:u w:val="single"/>
            <w:rtl w:val="0"/>
          </w:rPr>
          <w:t xml:space="preserve">https://wessexahsn.org.uk/img/projects/eRD%20in%20response%20to%20Covid%2019%20Webinar%20v2%20May%202020%20FINAL%20.pdf</w:t>
        </w:r>
      </w:hyperlink>
      <w:r w:rsidDel="00000000" w:rsidR="00000000" w:rsidRPr="00000000">
        <w:rPr>
          <w:sz w:val="22"/>
          <w:szCs w:val="22"/>
          <w:rtl w:val="0"/>
        </w:rPr>
        <w:t xml:space="preserve"> (11/11/2021)</w:t>
      </w:r>
    </w:p>
    <w:p w:rsidR="00000000" w:rsidDel="00000000" w:rsidP="00000000" w:rsidRDefault="00000000" w:rsidRPr="00000000" w14:paraId="00000F0A">
      <w:pPr>
        <w:jc w:val="both"/>
        <w:rPr>
          <w:sz w:val="22"/>
          <w:szCs w:val="22"/>
        </w:rPr>
      </w:pPr>
      <w:r w:rsidDel="00000000" w:rsidR="00000000" w:rsidRPr="00000000">
        <w:rPr>
          <w:rtl w:val="0"/>
        </w:rPr>
      </w:r>
    </w:p>
    <w:p w:rsidR="00000000" w:rsidDel="00000000" w:rsidP="00000000" w:rsidRDefault="00000000" w:rsidRPr="00000000" w14:paraId="00000F0B">
      <w:pPr>
        <w:jc w:val="both"/>
        <w:rPr>
          <w:sz w:val="22"/>
          <w:szCs w:val="22"/>
        </w:rPr>
      </w:pPr>
      <w:r w:rsidDel="00000000" w:rsidR="00000000" w:rsidRPr="00000000">
        <w:rPr>
          <w:sz w:val="22"/>
          <w:szCs w:val="22"/>
          <w:rtl w:val="0"/>
        </w:rPr>
        <w:t xml:space="preserve">National Health Service Business Services Authority (2021). Prescribing Costs in Hospitals and the Community- England 2020/21. [online]. Available at: </w:t>
      </w:r>
      <w:hyperlink r:id="rId71">
        <w:r w:rsidDel="00000000" w:rsidR="00000000" w:rsidRPr="00000000">
          <w:rPr>
            <w:color w:val="467886"/>
            <w:sz w:val="22"/>
            <w:szCs w:val="22"/>
            <w:u w:val="single"/>
            <w:rtl w:val="0"/>
          </w:rPr>
          <w:t xml:space="preserve">https://www.nhsbsa.nhs.uk/statistical-collections/prescribing-costs-hospitals-and-community-england/prescribing-costs-hospitals-and-community-england-202021</w:t>
        </w:r>
      </w:hyperlink>
      <w:r w:rsidDel="00000000" w:rsidR="00000000" w:rsidRPr="00000000">
        <w:rPr>
          <w:sz w:val="22"/>
          <w:szCs w:val="22"/>
          <w:rtl w:val="0"/>
        </w:rPr>
        <w:t xml:space="preserve"> (17/03/2022)</w:t>
      </w:r>
    </w:p>
    <w:p w:rsidR="00000000" w:rsidDel="00000000" w:rsidP="00000000" w:rsidRDefault="00000000" w:rsidRPr="00000000" w14:paraId="00000F0C">
      <w:pPr>
        <w:jc w:val="both"/>
        <w:rPr>
          <w:sz w:val="22"/>
          <w:szCs w:val="22"/>
        </w:rPr>
      </w:pPr>
      <w:r w:rsidDel="00000000" w:rsidR="00000000" w:rsidRPr="00000000">
        <w:rPr>
          <w:rtl w:val="0"/>
        </w:rPr>
      </w:r>
    </w:p>
    <w:p w:rsidR="00000000" w:rsidDel="00000000" w:rsidP="00000000" w:rsidRDefault="00000000" w:rsidRPr="00000000" w14:paraId="00000F0D">
      <w:pPr>
        <w:jc w:val="both"/>
        <w:rPr>
          <w:sz w:val="22"/>
          <w:szCs w:val="22"/>
        </w:rPr>
      </w:pPr>
      <w:r w:rsidDel="00000000" w:rsidR="00000000" w:rsidRPr="00000000">
        <w:rPr>
          <w:sz w:val="22"/>
          <w:szCs w:val="22"/>
          <w:rtl w:val="0"/>
        </w:rPr>
        <w:t xml:space="preserve">National Health Service Business Services Authority (2021). "Medicines Used in Mental Health- England- Quarterly Summary Statistics July to September 2020." [online]. Available at: </w:t>
      </w:r>
      <w:hyperlink r:id="rId72">
        <w:r w:rsidDel="00000000" w:rsidR="00000000" w:rsidRPr="00000000">
          <w:rPr>
            <w:color w:val="467886"/>
            <w:sz w:val="22"/>
            <w:szCs w:val="22"/>
            <w:u w:val="single"/>
            <w:rtl w:val="0"/>
          </w:rPr>
          <w:t xml:space="preserve">https://nhsbsa-opendata.s3.eu-west-2.amazonaws.com/mumh-2021-q3-narrative-v001.html</w:t>
        </w:r>
      </w:hyperlink>
      <w:r w:rsidDel="00000000" w:rsidR="00000000" w:rsidRPr="00000000">
        <w:rPr>
          <w:sz w:val="22"/>
          <w:szCs w:val="22"/>
          <w:rtl w:val="0"/>
        </w:rPr>
        <w:t xml:space="preserve"> (27/10/2021)</w:t>
      </w:r>
    </w:p>
    <w:p w:rsidR="00000000" w:rsidDel="00000000" w:rsidP="00000000" w:rsidRDefault="00000000" w:rsidRPr="00000000" w14:paraId="00000F0E">
      <w:pPr>
        <w:jc w:val="both"/>
        <w:rPr>
          <w:sz w:val="22"/>
          <w:szCs w:val="22"/>
        </w:rPr>
      </w:pPr>
      <w:r w:rsidDel="00000000" w:rsidR="00000000" w:rsidRPr="00000000">
        <w:rPr>
          <w:sz w:val="22"/>
          <w:szCs w:val="22"/>
          <w:rtl w:val="0"/>
        </w:rPr>
        <w:tab/>
      </w:r>
    </w:p>
    <w:p w:rsidR="00000000" w:rsidDel="00000000" w:rsidP="00000000" w:rsidRDefault="00000000" w:rsidRPr="00000000" w14:paraId="00000F0F">
      <w:pPr>
        <w:jc w:val="both"/>
        <w:rPr>
          <w:sz w:val="22"/>
          <w:szCs w:val="22"/>
        </w:rPr>
      </w:pPr>
      <w:r w:rsidDel="00000000" w:rsidR="00000000" w:rsidRPr="00000000">
        <w:rPr>
          <w:sz w:val="22"/>
          <w:szCs w:val="22"/>
          <w:rtl w:val="0"/>
        </w:rPr>
        <w:t xml:space="preserve">National Health Service Business Services Authority. (2023). Prescription Cost Analysis – England – 2022/23. [online]. Available at: </w:t>
      </w:r>
      <w:hyperlink r:id="rId73">
        <w:r w:rsidDel="00000000" w:rsidR="00000000" w:rsidRPr="00000000">
          <w:rPr>
            <w:color w:val="467886"/>
            <w:sz w:val="22"/>
            <w:szCs w:val="22"/>
            <w:u w:val="single"/>
            <w:rtl w:val="0"/>
          </w:rPr>
          <w:t xml:space="preserve">https://www.nhsbsa.nhs.uk/statistical-collections/prescription-cost-analysis-england/prescription-cost-analysis-england-202223</w:t>
        </w:r>
      </w:hyperlink>
      <w:r w:rsidDel="00000000" w:rsidR="00000000" w:rsidRPr="00000000">
        <w:rPr>
          <w:sz w:val="22"/>
          <w:szCs w:val="22"/>
          <w:rtl w:val="0"/>
        </w:rPr>
        <w:t xml:space="preserve"> (25/07/2023)</w:t>
      </w:r>
    </w:p>
    <w:p w:rsidR="00000000" w:rsidDel="00000000" w:rsidP="00000000" w:rsidRDefault="00000000" w:rsidRPr="00000000" w14:paraId="00000F10">
      <w:pPr>
        <w:jc w:val="both"/>
        <w:rPr>
          <w:sz w:val="22"/>
          <w:szCs w:val="22"/>
        </w:rPr>
      </w:pPr>
      <w:r w:rsidDel="00000000" w:rsidR="00000000" w:rsidRPr="00000000">
        <w:rPr>
          <w:rtl w:val="0"/>
        </w:rPr>
      </w:r>
    </w:p>
    <w:p w:rsidR="00000000" w:rsidDel="00000000" w:rsidP="00000000" w:rsidRDefault="00000000" w:rsidRPr="00000000" w14:paraId="00000F11">
      <w:pPr>
        <w:jc w:val="both"/>
        <w:rPr>
          <w:sz w:val="22"/>
          <w:szCs w:val="22"/>
        </w:rPr>
      </w:pPr>
      <w:r w:rsidDel="00000000" w:rsidR="00000000" w:rsidRPr="00000000">
        <w:rPr>
          <w:sz w:val="22"/>
          <w:szCs w:val="22"/>
          <w:rtl w:val="0"/>
        </w:rPr>
        <w:t xml:space="preserve">National Health Service Digital (2020). "Mental health services monthly statistics: summary." [online]. Available at: </w:t>
      </w:r>
      <w:hyperlink r:id="rId74">
        <w:r w:rsidDel="00000000" w:rsidR="00000000" w:rsidRPr="00000000">
          <w:rPr>
            <w:color w:val="467886"/>
            <w:sz w:val="22"/>
            <w:szCs w:val="22"/>
            <w:u w:val="single"/>
            <w:rtl w:val="0"/>
          </w:rPr>
          <w:t xml:space="preserve">https://digital.nhs.uk/data-and-information/publications/statistical/mental-health-services-monthly-statistics/final-september-2021</w:t>
        </w:r>
      </w:hyperlink>
      <w:r w:rsidDel="00000000" w:rsidR="00000000" w:rsidRPr="00000000">
        <w:rPr>
          <w:sz w:val="22"/>
          <w:szCs w:val="22"/>
          <w:rtl w:val="0"/>
        </w:rPr>
        <w:t xml:space="preserve"> (25/11/2021)</w:t>
      </w:r>
    </w:p>
    <w:p w:rsidR="00000000" w:rsidDel="00000000" w:rsidP="00000000" w:rsidRDefault="00000000" w:rsidRPr="00000000" w14:paraId="00000F12">
      <w:pPr>
        <w:jc w:val="both"/>
        <w:rPr>
          <w:sz w:val="22"/>
          <w:szCs w:val="22"/>
        </w:rPr>
      </w:pPr>
      <w:r w:rsidDel="00000000" w:rsidR="00000000" w:rsidRPr="00000000">
        <w:rPr>
          <w:sz w:val="22"/>
          <w:szCs w:val="22"/>
          <w:rtl w:val="0"/>
        </w:rPr>
        <w:tab/>
      </w:r>
    </w:p>
    <w:p w:rsidR="00000000" w:rsidDel="00000000" w:rsidP="00000000" w:rsidRDefault="00000000" w:rsidRPr="00000000" w14:paraId="00000F13">
      <w:pPr>
        <w:jc w:val="both"/>
        <w:rPr>
          <w:sz w:val="22"/>
          <w:szCs w:val="22"/>
        </w:rPr>
      </w:pPr>
      <w:r w:rsidDel="00000000" w:rsidR="00000000" w:rsidRPr="00000000">
        <w:rPr>
          <w:sz w:val="22"/>
          <w:szCs w:val="22"/>
          <w:rtl w:val="0"/>
        </w:rPr>
        <w:t xml:space="preserve">National Institute for Health and Care Excellence (2013). Neuropathic pain in adults: pharmacological management in non-specialist settings. London.</w:t>
      </w:r>
    </w:p>
    <w:p w:rsidR="00000000" w:rsidDel="00000000" w:rsidP="00000000" w:rsidRDefault="00000000" w:rsidRPr="00000000" w14:paraId="00000F14">
      <w:pPr>
        <w:jc w:val="both"/>
        <w:rPr>
          <w:sz w:val="22"/>
          <w:szCs w:val="22"/>
        </w:rPr>
      </w:pPr>
      <w:r w:rsidDel="00000000" w:rsidR="00000000" w:rsidRPr="00000000">
        <w:rPr>
          <w:sz w:val="22"/>
          <w:szCs w:val="22"/>
          <w:rtl w:val="0"/>
        </w:rPr>
        <w:tab/>
      </w:r>
    </w:p>
    <w:p w:rsidR="00000000" w:rsidDel="00000000" w:rsidP="00000000" w:rsidRDefault="00000000" w:rsidRPr="00000000" w14:paraId="00000F15">
      <w:pPr>
        <w:jc w:val="both"/>
        <w:rPr>
          <w:sz w:val="22"/>
          <w:szCs w:val="22"/>
        </w:rPr>
      </w:pPr>
      <w:r w:rsidDel="00000000" w:rsidR="00000000" w:rsidRPr="00000000">
        <w:rPr>
          <w:sz w:val="22"/>
          <w:szCs w:val="22"/>
          <w:rtl w:val="0"/>
        </w:rPr>
        <w:t xml:space="preserve">National Institute for Health and Care Excellence (2023). Adverse reactions to drugs. British National Formulary.</w:t>
      </w:r>
    </w:p>
    <w:p w:rsidR="00000000" w:rsidDel="00000000" w:rsidP="00000000" w:rsidRDefault="00000000" w:rsidRPr="00000000" w14:paraId="00000F16">
      <w:pPr>
        <w:jc w:val="both"/>
        <w:rPr>
          <w:sz w:val="22"/>
          <w:szCs w:val="22"/>
        </w:rPr>
      </w:pPr>
      <w:r w:rsidDel="00000000" w:rsidR="00000000" w:rsidRPr="00000000">
        <w:rPr>
          <w:sz w:val="22"/>
          <w:szCs w:val="22"/>
          <w:rtl w:val="0"/>
        </w:rPr>
        <w:tab/>
      </w:r>
    </w:p>
    <w:p w:rsidR="00000000" w:rsidDel="00000000" w:rsidP="00000000" w:rsidRDefault="00000000" w:rsidRPr="00000000" w14:paraId="00000F17">
      <w:pPr>
        <w:jc w:val="both"/>
        <w:rPr>
          <w:sz w:val="22"/>
          <w:szCs w:val="22"/>
        </w:rPr>
      </w:pPr>
      <w:r w:rsidDel="00000000" w:rsidR="00000000" w:rsidRPr="00000000">
        <w:rPr>
          <w:sz w:val="22"/>
          <w:szCs w:val="22"/>
          <w:rtl w:val="0"/>
        </w:rPr>
        <w:t xml:space="preserve">National Institute on Drug Abuse. (2014). Is abuse of prescription medications as dangerous as other forms of illegal drug use? [online]. Available at: </w:t>
      </w:r>
      <w:hyperlink r:id="rId75">
        <w:r w:rsidDel="00000000" w:rsidR="00000000" w:rsidRPr="00000000">
          <w:rPr>
            <w:color w:val="467886"/>
            <w:sz w:val="22"/>
            <w:szCs w:val="22"/>
            <w:u w:val="single"/>
            <w:rtl w:val="0"/>
          </w:rPr>
          <w:t xml:space="preserve">https://www.drugabuse.gov/publications/principles-adolescent-substance-use-disorder-treatment-research-based-guide/frequently-asked-questions/abuse-prescription-medications-dangerous-other-forms-illegal-drug-use</w:t>
        </w:r>
      </w:hyperlink>
      <w:r w:rsidDel="00000000" w:rsidR="00000000" w:rsidRPr="00000000">
        <w:rPr>
          <w:sz w:val="22"/>
          <w:szCs w:val="22"/>
          <w:rtl w:val="0"/>
        </w:rPr>
        <w:t xml:space="preserve"> (22/09/2020)</w:t>
      </w:r>
    </w:p>
    <w:p w:rsidR="00000000" w:rsidDel="00000000" w:rsidP="00000000" w:rsidRDefault="00000000" w:rsidRPr="00000000" w14:paraId="00000F18">
      <w:pPr>
        <w:jc w:val="both"/>
        <w:rPr>
          <w:sz w:val="22"/>
          <w:szCs w:val="22"/>
        </w:rPr>
      </w:pPr>
      <w:r w:rsidDel="00000000" w:rsidR="00000000" w:rsidRPr="00000000">
        <w:rPr>
          <w:rtl w:val="0"/>
        </w:rPr>
      </w:r>
    </w:p>
    <w:p w:rsidR="00000000" w:rsidDel="00000000" w:rsidP="00000000" w:rsidRDefault="00000000" w:rsidRPr="00000000" w14:paraId="00000F19">
      <w:pPr>
        <w:jc w:val="both"/>
        <w:rPr>
          <w:sz w:val="22"/>
          <w:szCs w:val="22"/>
        </w:rPr>
      </w:pPr>
      <w:r w:rsidDel="00000000" w:rsidR="00000000" w:rsidRPr="00000000">
        <w:rPr>
          <w:sz w:val="22"/>
          <w:szCs w:val="22"/>
          <w:rtl w:val="0"/>
        </w:rPr>
        <w:t xml:space="preserve">National Institute on Drug Abuse (2020). "Costs of Substance Abuse." [online]. Available at: </w:t>
      </w:r>
      <w:hyperlink r:id="rId76">
        <w:r w:rsidDel="00000000" w:rsidR="00000000" w:rsidRPr="00000000">
          <w:rPr>
            <w:color w:val="467886"/>
            <w:sz w:val="22"/>
            <w:szCs w:val="22"/>
            <w:u w:val="single"/>
            <w:rtl w:val="0"/>
          </w:rPr>
          <w:t xml:space="preserve">https://www.drugabuse.gov/drug-topics/trends-statistics/costs-substance-abuse</w:t>
        </w:r>
      </w:hyperlink>
      <w:r w:rsidDel="00000000" w:rsidR="00000000" w:rsidRPr="00000000">
        <w:rPr>
          <w:rtl w:val="0"/>
        </w:rPr>
      </w:r>
    </w:p>
    <w:p w:rsidR="00000000" w:rsidDel="00000000" w:rsidP="00000000" w:rsidRDefault="00000000" w:rsidRPr="00000000" w14:paraId="00000F1A">
      <w:pPr>
        <w:jc w:val="both"/>
        <w:rPr>
          <w:sz w:val="22"/>
          <w:szCs w:val="22"/>
        </w:rPr>
      </w:pPr>
      <w:r w:rsidDel="00000000" w:rsidR="00000000" w:rsidRPr="00000000">
        <w:rPr>
          <w:sz w:val="22"/>
          <w:szCs w:val="22"/>
          <w:rtl w:val="0"/>
        </w:rPr>
        <w:t xml:space="preserve">(15/10/2020)</w:t>
      </w:r>
    </w:p>
    <w:p w:rsidR="00000000" w:rsidDel="00000000" w:rsidP="00000000" w:rsidRDefault="00000000" w:rsidRPr="00000000" w14:paraId="00000F1B">
      <w:pPr>
        <w:jc w:val="both"/>
        <w:rPr>
          <w:sz w:val="22"/>
          <w:szCs w:val="22"/>
        </w:rPr>
      </w:pPr>
      <w:r w:rsidDel="00000000" w:rsidR="00000000" w:rsidRPr="00000000">
        <w:rPr>
          <w:rtl w:val="0"/>
        </w:rPr>
      </w:r>
    </w:p>
    <w:p w:rsidR="00000000" w:rsidDel="00000000" w:rsidP="00000000" w:rsidRDefault="00000000" w:rsidRPr="00000000" w14:paraId="00000F1C">
      <w:pPr>
        <w:jc w:val="both"/>
        <w:rPr>
          <w:sz w:val="22"/>
          <w:szCs w:val="22"/>
        </w:rPr>
      </w:pPr>
      <w:r w:rsidDel="00000000" w:rsidR="00000000" w:rsidRPr="00000000">
        <w:rPr>
          <w:sz w:val="22"/>
          <w:szCs w:val="22"/>
          <w:rtl w:val="0"/>
        </w:rPr>
        <w:t xml:space="preserve">National Institute on Drug Abuse (2020). Opioid Research Findings Funded by NIDA. National Institute on Drug Abuse. </w:t>
      </w:r>
    </w:p>
    <w:p w:rsidR="00000000" w:rsidDel="00000000" w:rsidP="00000000" w:rsidRDefault="00000000" w:rsidRPr="00000000" w14:paraId="00000F1D">
      <w:pPr>
        <w:jc w:val="both"/>
        <w:rPr>
          <w:sz w:val="22"/>
          <w:szCs w:val="22"/>
        </w:rPr>
      </w:pPr>
      <w:r w:rsidDel="00000000" w:rsidR="00000000" w:rsidRPr="00000000">
        <w:rPr>
          <w:rtl w:val="0"/>
        </w:rPr>
      </w:r>
    </w:p>
    <w:p w:rsidR="00000000" w:rsidDel="00000000" w:rsidP="00000000" w:rsidRDefault="00000000" w:rsidRPr="00000000" w14:paraId="00000F1E">
      <w:pPr>
        <w:jc w:val="both"/>
        <w:rPr>
          <w:sz w:val="22"/>
          <w:szCs w:val="22"/>
        </w:rPr>
      </w:pPr>
      <w:r w:rsidDel="00000000" w:rsidR="00000000" w:rsidRPr="00000000">
        <w:rPr>
          <w:sz w:val="22"/>
          <w:szCs w:val="22"/>
          <w:rtl w:val="0"/>
        </w:rPr>
        <w:t xml:space="preserve">National Institute on Drug Abuse (2021). "Opioid Overdose Crisis." </w:t>
      </w:r>
    </w:p>
    <w:p w:rsidR="00000000" w:rsidDel="00000000" w:rsidP="00000000" w:rsidRDefault="00000000" w:rsidRPr="00000000" w14:paraId="00000F1F">
      <w:pPr>
        <w:jc w:val="both"/>
        <w:rPr>
          <w:sz w:val="22"/>
          <w:szCs w:val="22"/>
        </w:rPr>
      </w:pPr>
      <w:r w:rsidDel="00000000" w:rsidR="00000000" w:rsidRPr="00000000">
        <w:rPr>
          <w:sz w:val="22"/>
          <w:szCs w:val="22"/>
          <w:rtl w:val="0"/>
        </w:rPr>
        <w:tab/>
      </w:r>
    </w:p>
    <w:p w:rsidR="00000000" w:rsidDel="00000000" w:rsidP="00000000" w:rsidRDefault="00000000" w:rsidRPr="00000000" w14:paraId="00000F20">
      <w:pPr>
        <w:jc w:val="both"/>
        <w:rPr>
          <w:sz w:val="22"/>
          <w:szCs w:val="22"/>
        </w:rPr>
      </w:pPr>
      <w:r w:rsidDel="00000000" w:rsidR="00000000" w:rsidRPr="00000000">
        <w:rPr>
          <w:sz w:val="22"/>
          <w:szCs w:val="22"/>
          <w:rtl w:val="0"/>
        </w:rPr>
        <w:t xml:space="preserve">Navvarro V. (1978). "The Crisis of the Western System of Medicine in Contemporary Capitalism." </w:t>
      </w:r>
      <w:r w:rsidDel="00000000" w:rsidR="00000000" w:rsidRPr="00000000">
        <w:rPr>
          <w:i w:val="1"/>
          <w:sz w:val="22"/>
          <w:szCs w:val="22"/>
          <w:rtl w:val="0"/>
        </w:rPr>
        <w:t xml:space="preserve">International Journal of Social Determinants of Health and Health Services</w:t>
      </w:r>
      <w:r w:rsidDel="00000000" w:rsidR="00000000" w:rsidRPr="00000000">
        <w:rPr>
          <w:sz w:val="22"/>
          <w:szCs w:val="22"/>
          <w:rtl w:val="0"/>
        </w:rPr>
        <w:t xml:space="preserve"> 8(2).</w:t>
      </w:r>
    </w:p>
    <w:p w:rsidR="00000000" w:rsidDel="00000000" w:rsidP="00000000" w:rsidRDefault="00000000" w:rsidRPr="00000000" w14:paraId="00000F21">
      <w:pPr>
        <w:jc w:val="both"/>
        <w:rPr>
          <w:sz w:val="22"/>
          <w:szCs w:val="22"/>
        </w:rPr>
      </w:pPr>
      <w:r w:rsidDel="00000000" w:rsidR="00000000" w:rsidRPr="00000000">
        <w:rPr>
          <w:rtl w:val="0"/>
        </w:rPr>
      </w:r>
    </w:p>
    <w:p w:rsidR="00000000" w:rsidDel="00000000" w:rsidP="00000000" w:rsidRDefault="00000000" w:rsidRPr="00000000" w14:paraId="00000F22">
      <w:pPr>
        <w:jc w:val="both"/>
        <w:rPr>
          <w:sz w:val="22"/>
          <w:szCs w:val="22"/>
        </w:rPr>
      </w:pPr>
      <w:r w:rsidDel="00000000" w:rsidR="00000000" w:rsidRPr="00000000">
        <w:rPr>
          <w:sz w:val="22"/>
          <w:szCs w:val="22"/>
          <w:rtl w:val="0"/>
        </w:rPr>
        <w:t xml:space="preserve">Nazarko L. (2018). "Evidence based medication review in care homes." Nursing </w:t>
      </w:r>
      <w:r w:rsidDel="00000000" w:rsidR="00000000" w:rsidRPr="00000000">
        <w:rPr>
          <w:i w:val="1"/>
          <w:sz w:val="22"/>
          <w:szCs w:val="22"/>
          <w:rtl w:val="0"/>
        </w:rPr>
        <w:t xml:space="preserve">Residential Care</w:t>
      </w:r>
      <w:r w:rsidDel="00000000" w:rsidR="00000000" w:rsidRPr="00000000">
        <w:rPr>
          <w:sz w:val="22"/>
          <w:szCs w:val="22"/>
          <w:rtl w:val="0"/>
        </w:rPr>
        <w:t xml:space="preserve"> 20(1): 32-36.</w:t>
      </w:r>
    </w:p>
    <w:p w:rsidR="00000000" w:rsidDel="00000000" w:rsidP="00000000" w:rsidRDefault="00000000" w:rsidRPr="00000000" w14:paraId="00000F23">
      <w:pPr>
        <w:jc w:val="both"/>
        <w:rPr>
          <w:sz w:val="22"/>
          <w:szCs w:val="22"/>
        </w:rPr>
      </w:pPr>
      <w:r w:rsidDel="00000000" w:rsidR="00000000" w:rsidRPr="00000000">
        <w:rPr>
          <w:rtl w:val="0"/>
        </w:rPr>
      </w:r>
    </w:p>
    <w:p w:rsidR="00000000" w:rsidDel="00000000" w:rsidP="00000000" w:rsidRDefault="00000000" w:rsidRPr="00000000" w14:paraId="00000F24">
      <w:pPr>
        <w:jc w:val="both"/>
        <w:rPr>
          <w:sz w:val="22"/>
          <w:szCs w:val="22"/>
        </w:rPr>
      </w:pPr>
      <w:r w:rsidDel="00000000" w:rsidR="00000000" w:rsidRPr="00000000">
        <w:rPr>
          <w:sz w:val="22"/>
          <w:szCs w:val="22"/>
          <w:rtl w:val="0"/>
        </w:rPr>
        <w:t xml:space="preserve">Neale J. Allen D. Coombes L (2005). "Qualitative research methods within the addictions." </w:t>
      </w:r>
      <w:r w:rsidDel="00000000" w:rsidR="00000000" w:rsidRPr="00000000">
        <w:rPr>
          <w:i w:val="1"/>
          <w:sz w:val="22"/>
          <w:szCs w:val="22"/>
          <w:rtl w:val="0"/>
        </w:rPr>
        <w:t xml:space="preserve">Addiction</w:t>
      </w:r>
      <w:r w:rsidDel="00000000" w:rsidR="00000000" w:rsidRPr="00000000">
        <w:rPr>
          <w:sz w:val="22"/>
          <w:szCs w:val="22"/>
          <w:rtl w:val="0"/>
        </w:rPr>
        <w:t xml:space="preserve"> 100: 1184-1593.</w:t>
      </w:r>
    </w:p>
    <w:p w:rsidR="00000000" w:rsidDel="00000000" w:rsidP="00000000" w:rsidRDefault="00000000" w:rsidRPr="00000000" w14:paraId="00000F25">
      <w:pPr>
        <w:jc w:val="both"/>
        <w:rPr>
          <w:sz w:val="22"/>
          <w:szCs w:val="22"/>
        </w:rPr>
      </w:pPr>
      <w:r w:rsidDel="00000000" w:rsidR="00000000" w:rsidRPr="00000000">
        <w:rPr>
          <w:sz w:val="22"/>
          <w:szCs w:val="22"/>
          <w:rtl w:val="0"/>
        </w:rPr>
        <w:tab/>
      </w:r>
    </w:p>
    <w:p w:rsidR="00000000" w:rsidDel="00000000" w:rsidP="00000000" w:rsidRDefault="00000000" w:rsidRPr="00000000" w14:paraId="00000F26">
      <w:pPr>
        <w:jc w:val="both"/>
        <w:rPr>
          <w:sz w:val="22"/>
          <w:szCs w:val="22"/>
        </w:rPr>
      </w:pPr>
      <w:r w:rsidDel="00000000" w:rsidR="00000000" w:rsidRPr="00000000">
        <w:rPr>
          <w:sz w:val="22"/>
          <w:szCs w:val="22"/>
          <w:rtl w:val="0"/>
        </w:rPr>
        <w:t xml:space="preserve">Nepogodiev D. Acharya R. Chaudhry D. Glasbey J. Harris B. Li E. Jolly K. Bhangu A. (2022). "Forecasting the NHS waiting list for elective procedures in England in 2022-2030." </w:t>
      </w:r>
      <w:r w:rsidDel="00000000" w:rsidR="00000000" w:rsidRPr="00000000">
        <w:rPr>
          <w:i w:val="1"/>
          <w:sz w:val="22"/>
          <w:szCs w:val="22"/>
          <w:rtl w:val="0"/>
        </w:rPr>
        <w:t xml:space="preserve">MedRxiv</w:t>
      </w:r>
      <w:r w:rsidDel="00000000" w:rsidR="00000000" w:rsidRPr="00000000">
        <w:rPr>
          <w:sz w:val="22"/>
          <w:szCs w:val="22"/>
          <w:rtl w:val="0"/>
        </w:rPr>
        <w:t xml:space="preserve">.</w:t>
      </w:r>
    </w:p>
    <w:p w:rsidR="00000000" w:rsidDel="00000000" w:rsidP="00000000" w:rsidRDefault="00000000" w:rsidRPr="00000000" w14:paraId="00000F27">
      <w:pPr>
        <w:jc w:val="both"/>
        <w:rPr>
          <w:sz w:val="22"/>
          <w:szCs w:val="22"/>
        </w:rPr>
      </w:pPr>
      <w:r w:rsidDel="00000000" w:rsidR="00000000" w:rsidRPr="00000000">
        <w:rPr>
          <w:rtl w:val="0"/>
        </w:rPr>
      </w:r>
    </w:p>
    <w:p w:rsidR="00000000" w:rsidDel="00000000" w:rsidP="00000000" w:rsidRDefault="00000000" w:rsidRPr="00000000" w14:paraId="00000F28">
      <w:pPr>
        <w:jc w:val="both"/>
        <w:rPr>
          <w:sz w:val="22"/>
          <w:szCs w:val="22"/>
        </w:rPr>
      </w:pPr>
      <w:r w:rsidDel="00000000" w:rsidR="00000000" w:rsidRPr="00000000">
        <w:rPr>
          <w:sz w:val="22"/>
          <w:szCs w:val="22"/>
          <w:rtl w:val="0"/>
        </w:rPr>
        <w:t xml:space="preserve">NHS Digital. (2022). Consultant-led referral to treatment waiting times data 2022-23. NHS Digital.</w:t>
      </w:r>
    </w:p>
    <w:p w:rsidR="00000000" w:rsidDel="00000000" w:rsidP="00000000" w:rsidRDefault="00000000" w:rsidRPr="00000000" w14:paraId="00000F29">
      <w:pPr>
        <w:jc w:val="both"/>
        <w:rPr>
          <w:sz w:val="22"/>
          <w:szCs w:val="22"/>
        </w:rPr>
      </w:pPr>
      <w:r w:rsidDel="00000000" w:rsidR="00000000" w:rsidRPr="00000000">
        <w:rPr>
          <w:rtl w:val="0"/>
        </w:rPr>
      </w:r>
    </w:p>
    <w:p w:rsidR="00000000" w:rsidDel="00000000" w:rsidP="00000000" w:rsidRDefault="00000000" w:rsidRPr="00000000" w14:paraId="00000F2A">
      <w:pPr>
        <w:jc w:val="both"/>
        <w:rPr>
          <w:sz w:val="22"/>
          <w:szCs w:val="22"/>
        </w:rPr>
      </w:pPr>
      <w:r w:rsidDel="00000000" w:rsidR="00000000" w:rsidRPr="00000000">
        <w:rPr>
          <w:sz w:val="22"/>
          <w:szCs w:val="22"/>
          <w:rtl w:val="0"/>
        </w:rPr>
        <w:t xml:space="preserve">NHS Digital. (2022). The healthcare ecosystem. NHS Digital.</w:t>
      </w:r>
    </w:p>
    <w:p w:rsidR="00000000" w:rsidDel="00000000" w:rsidP="00000000" w:rsidRDefault="00000000" w:rsidRPr="00000000" w14:paraId="00000F2B">
      <w:pPr>
        <w:jc w:val="both"/>
        <w:rPr>
          <w:sz w:val="22"/>
          <w:szCs w:val="22"/>
        </w:rPr>
      </w:pPr>
      <w:r w:rsidDel="00000000" w:rsidR="00000000" w:rsidRPr="00000000">
        <w:rPr>
          <w:rtl w:val="0"/>
        </w:rPr>
      </w:r>
    </w:p>
    <w:p w:rsidR="00000000" w:rsidDel="00000000" w:rsidP="00000000" w:rsidRDefault="00000000" w:rsidRPr="00000000" w14:paraId="00000F2C">
      <w:pPr>
        <w:jc w:val="both"/>
        <w:rPr>
          <w:sz w:val="22"/>
          <w:szCs w:val="22"/>
        </w:rPr>
      </w:pPr>
      <w:r w:rsidDel="00000000" w:rsidR="00000000" w:rsidRPr="00000000">
        <w:rPr>
          <w:sz w:val="22"/>
          <w:szCs w:val="22"/>
          <w:rtl w:val="0"/>
        </w:rPr>
        <w:t xml:space="preserve">NHS England (2022). Delivery plan for tackling the COVID-19 backlog of elective care. London.</w:t>
      </w:r>
    </w:p>
    <w:p w:rsidR="00000000" w:rsidDel="00000000" w:rsidP="00000000" w:rsidRDefault="00000000" w:rsidRPr="00000000" w14:paraId="00000F2D">
      <w:pPr>
        <w:jc w:val="both"/>
        <w:rPr>
          <w:sz w:val="22"/>
          <w:szCs w:val="22"/>
        </w:rPr>
      </w:pPr>
      <w:r w:rsidDel="00000000" w:rsidR="00000000" w:rsidRPr="00000000">
        <w:rPr>
          <w:sz w:val="22"/>
          <w:szCs w:val="22"/>
          <w:rtl w:val="0"/>
        </w:rPr>
        <w:tab/>
      </w:r>
    </w:p>
    <w:p w:rsidR="00000000" w:rsidDel="00000000" w:rsidP="00000000" w:rsidRDefault="00000000" w:rsidRPr="00000000" w14:paraId="00000F2E">
      <w:pPr>
        <w:jc w:val="both"/>
        <w:rPr>
          <w:sz w:val="22"/>
          <w:szCs w:val="22"/>
        </w:rPr>
      </w:pPr>
      <w:r w:rsidDel="00000000" w:rsidR="00000000" w:rsidRPr="00000000">
        <w:rPr>
          <w:sz w:val="22"/>
          <w:szCs w:val="22"/>
          <w:rtl w:val="0"/>
        </w:rPr>
        <w:t xml:space="preserve">NHS England. (2023). Cannabis-based products for medicinal use: Frequently asked questions. NHS England.</w:t>
      </w:r>
    </w:p>
    <w:p w:rsidR="00000000" w:rsidDel="00000000" w:rsidP="00000000" w:rsidRDefault="00000000" w:rsidRPr="00000000" w14:paraId="00000F2F">
      <w:pPr>
        <w:jc w:val="both"/>
        <w:rPr>
          <w:sz w:val="22"/>
          <w:szCs w:val="22"/>
        </w:rPr>
      </w:pPr>
      <w:r w:rsidDel="00000000" w:rsidR="00000000" w:rsidRPr="00000000">
        <w:rPr>
          <w:sz w:val="22"/>
          <w:szCs w:val="22"/>
          <w:rtl w:val="0"/>
        </w:rPr>
        <w:tab/>
      </w:r>
    </w:p>
    <w:p w:rsidR="00000000" w:rsidDel="00000000" w:rsidP="00000000" w:rsidRDefault="00000000" w:rsidRPr="00000000" w14:paraId="00000F30">
      <w:pPr>
        <w:jc w:val="both"/>
        <w:rPr>
          <w:sz w:val="22"/>
          <w:szCs w:val="22"/>
        </w:rPr>
      </w:pPr>
      <w:r w:rsidDel="00000000" w:rsidR="00000000" w:rsidRPr="00000000">
        <w:rPr>
          <w:sz w:val="22"/>
          <w:szCs w:val="22"/>
          <w:rtl w:val="0"/>
        </w:rPr>
        <w:t xml:space="preserve">NHS England. (2023). Optimising personalised care for adults prescribed medicines associated with dependence or withdrawal symptoms: Framework for action for integrated care boards (ICBs) and primary care. NHS England.</w:t>
      </w:r>
    </w:p>
    <w:p w:rsidR="00000000" w:rsidDel="00000000" w:rsidP="00000000" w:rsidRDefault="00000000" w:rsidRPr="00000000" w14:paraId="00000F31">
      <w:pPr>
        <w:jc w:val="both"/>
        <w:rPr>
          <w:sz w:val="22"/>
          <w:szCs w:val="22"/>
        </w:rPr>
      </w:pPr>
      <w:r w:rsidDel="00000000" w:rsidR="00000000" w:rsidRPr="00000000">
        <w:rPr>
          <w:sz w:val="22"/>
          <w:szCs w:val="22"/>
          <w:rtl w:val="0"/>
        </w:rPr>
        <w:tab/>
      </w:r>
    </w:p>
    <w:p w:rsidR="00000000" w:rsidDel="00000000" w:rsidP="00000000" w:rsidRDefault="00000000" w:rsidRPr="00000000" w14:paraId="00000F32">
      <w:pPr>
        <w:jc w:val="both"/>
        <w:rPr>
          <w:sz w:val="22"/>
          <w:szCs w:val="22"/>
        </w:rPr>
      </w:pPr>
      <w:r w:rsidDel="00000000" w:rsidR="00000000" w:rsidRPr="00000000">
        <w:rPr>
          <w:sz w:val="22"/>
          <w:szCs w:val="22"/>
          <w:rtl w:val="0"/>
        </w:rPr>
        <w:t xml:space="preserve">NHS England. (2023). Optimising personalised care for adults prescribed medicines associated with dependence or withdrawal symptoms: Framework for action for integrated care boards (ICBs) and primary care. NHS England.</w:t>
      </w:r>
    </w:p>
    <w:p w:rsidR="00000000" w:rsidDel="00000000" w:rsidP="00000000" w:rsidRDefault="00000000" w:rsidRPr="00000000" w14:paraId="00000F33">
      <w:pPr>
        <w:jc w:val="both"/>
        <w:rPr>
          <w:sz w:val="22"/>
          <w:szCs w:val="22"/>
        </w:rPr>
      </w:pPr>
      <w:r w:rsidDel="00000000" w:rsidR="00000000" w:rsidRPr="00000000">
        <w:rPr>
          <w:sz w:val="22"/>
          <w:szCs w:val="22"/>
          <w:rtl w:val="0"/>
        </w:rPr>
        <w:tab/>
      </w:r>
    </w:p>
    <w:p w:rsidR="00000000" w:rsidDel="00000000" w:rsidP="00000000" w:rsidRDefault="00000000" w:rsidRPr="00000000" w14:paraId="00000F34">
      <w:pPr>
        <w:jc w:val="both"/>
        <w:rPr>
          <w:sz w:val="22"/>
          <w:szCs w:val="22"/>
        </w:rPr>
      </w:pPr>
      <w:r w:rsidDel="00000000" w:rsidR="00000000" w:rsidRPr="00000000">
        <w:rPr>
          <w:sz w:val="22"/>
          <w:szCs w:val="22"/>
          <w:rtl w:val="0"/>
        </w:rPr>
        <w:t xml:space="preserve">NHS England. (2024). Supported self-management: peer support guide. NHS England.</w:t>
      </w:r>
    </w:p>
    <w:p w:rsidR="00000000" w:rsidDel="00000000" w:rsidP="00000000" w:rsidRDefault="00000000" w:rsidRPr="00000000" w14:paraId="00000F35">
      <w:pPr>
        <w:jc w:val="both"/>
        <w:rPr>
          <w:sz w:val="22"/>
          <w:szCs w:val="22"/>
        </w:rPr>
      </w:pPr>
      <w:r w:rsidDel="00000000" w:rsidR="00000000" w:rsidRPr="00000000">
        <w:rPr>
          <w:sz w:val="22"/>
          <w:szCs w:val="22"/>
          <w:rtl w:val="0"/>
        </w:rPr>
        <w:tab/>
      </w:r>
    </w:p>
    <w:p w:rsidR="00000000" w:rsidDel="00000000" w:rsidP="00000000" w:rsidRDefault="00000000" w:rsidRPr="00000000" w14:paraId="00000F36">
      <w:pPr>
        <w:jc w:val="both"/>
        <w:rPr>
          <w:sz w:val="22"/>
          <w:szCs w:val="22"/>
        </w:rPr>
      </w:pPr>
      <w:r w:rsidDel="00000000" w:rsidR="00000000" w:rsidRPr="00000000">
        <w:rPr>
          <w:sz w:val="22"/>
          <w:szCs w:val="22"/>
          <w:rtl w:val="0"/>
        </w:rPr>
        <w:t xml:space="preserve">Nguyen TD. Bradford Nepogodiev D. Acharya R. Chaudhry D. Glasbey J. Harris B. Li E. Jolly K. Bhangu A. Simon KI. (2018). ". Pharmaceutical payments to physicians may increase prescribing for opioids." </w:t>
      </w:r>
      <w:r w:rsidDel="00000000" w:rsidR="00000000" w:rsidRPr="00000000">
        <w:rPr>
          <w:i w:val="1"/>
          <w:sz w:val="22"/>
          <w:szCs w:val="22"/>
          <w:rtl w:val="0"/>
        </w:rPr>
        <w:t xml:space="preserve">Addiction</w:t>
      </w:r>
      <w:r w:rsidDel="00000000" w:rsidR="00000000" w:rsidRPr="00000000">
        <w:rPr>
          <w:sz w:val="22"/>
          <w:szCs w:val="22"/>
          <w:rtl w:val="0"/>
        </w:rPr>
        <w:t xml:space="preserve"> 114: 1051-1059.</w:t>
      </w:r>
    </w:p>
    <w:p w:rsidR="00000000" w:rsidDel="00000000" w:rsidP="00000000" w:rsidRDefault="00000000" w:rsidRPr="00000000" w14:paraId="00000F37">
      <w:pPr>
        <w:jc w:val="both"/>
        <w:rPr>
          <w:sz w:val="22"/>
          <w:szCs w:val="22"/>
        </w:rPr>
      </w:pPr>
      <w:r w:rsidDel="00000000" w:rsidR="00000000" w:rsidRPr="00000000">
        <w:rPr>
          <w:sz w:val="22"/>
          <w:szCs w:val="22"/>
          <w:rtl w:val="0"/>
        </w:rPr>
        <w:tab/>
      </w:r>
    </w:p>
    <w:p w:rsidR="00000000" w:rsidDel="00000000" w:rsidP="00000000" w:rsidRDefault="00000000" w:rsidRPr="00000000" w14:paraId="00000F38">
      <w:pPr>
        <w:jc w:val="both"/>
        <w:rPr>
          <w:sz w:val="22"/>
          <w:szCs w:val="22"/>
        </w:rPr>
      </w:pPr>
      <w:r w:rsidDel="00000000" w:rsidR="00000000" w:rsidRPr="00000000">
        <w:rPr>
          <w:sz w:val="22"/>
          <w:szCs w:val="22"/>
          <w:rtl w:val="0"/>
        </w:rPr>
        <w:t xml:space="preserve">Nguyen TQT. (2015). "Conducting semi-structured interviews with the vietnames." </w:t>
      </w:r>
      <w:r w:rsidDel="00000000" w:rsidR="00000000" w:rsidRPr="00000000">
        <w:rPr>
          <w:i w:val="1"/>
          <w:sz w:val="22"/>
          <w:szCs w:val="22"/>
          <w:rtl w:val="0"/>
        </w:rPr>
        <w:t xml:space="preserve">Qualitative Research Journal</w:t>
      </w:r>
      <w:r w:rsidDel="00000000" w:rsidR="00000000" w:rsidRPr="00000000">
        <w:rPr>
          <w:sz w:val="22"/>
          <w:szCs w:val="22"/>
          <w:rtl w:val="0"/>
        </w:rPr>
        <w:t xml:space="preserve"> 15(1): 35-46.</w:t>
      </w:r>
    </w:p>
    <w:p w:rsidR="00000000" w:rsidDel="00000000" w:rsidP="00000000" w:rsidRDefault="00000000" w:rsidRPr="00000000" w14:paraId="00000F39">
      <w:pPr>
        <w:jc w:val="both"/>
        <w:rPr>
          <w:sz w:val="22"/>
          <w:szCs w:val="22"/>
        </w:rPr>
      </w:pPr>
      <w:r w:rsidDel="00000000" w:rsidR="00000000" w:rsidRPr="00000000">
        <w:rPr>
          <w:sz w:val="22"/>
          <w:szCs w:val="22"/>
          <w:rtl w:val="0"/>
        </w:rPr>
        <w:tab/>
      </w:r>
    </w:p>
    <w:p w:rsidR="00000000" w:rsidDel="00000000" w:rsidP="00000000" w:rsidRDefault="00000000" w:rsidRPr="00000000" w14:paraId="00000F3A">
      <w:pPr>
        <w:jc w:val="both"/>
        <w:rPr>
          <w:sz w:val="22"/>
          <w:szCs w:val="22"/>
        </w:rPr>
      </w:pPr>
      <w:r w:rsidDel="00000000" w:rsidR="00000000" w:rsidRPr="00000000">
        <w:rPr>
          <w:sz w:val="22"/>
          <w:szCs w:val="22"/>
          <w:rtl w:val="0"/>
        </w:rPr>
        <w:t xml:space="preserve">Nichols VP. Abraham C. Eldabe S. Sandhu HK. Underwood M. Seers K. (2023). "'It was a joint plan we worked out together'. How the I-WOTCH programme enabled people with chronic non-malignant pain to taper their opioids: a process evaluation." </w:t>
      </w:r>
      <w:r w:rsidDel="00000000" w:rsidR="00000000" w:rsidRPr="00000000">
        <w:rPr>
          <w:i w:val="1"/>
          <w:sz w:val="22"/>
          <w:szCs w:val="22"/>
          <w:rtl w:val="0"/>
        </w:rPr>
        <w:t xml:space="preserve">BMJ Open</w:t>
      </w:r>
      <w:r w:rsidDel="00000000" w:rsidR="00000000" w:rsidRPr="00000000">
        <w:rPr>
          <w:sz w:val="22"/>
          <w:szCs w:val="22"/>
          <w:rtl w:val="0"/>
        </w:rPr>
        <w:t xml:space="preserve"> 12: 1-15.</w:t>
      </w:r>
    </w:p>
    <w:p w:rsidR="00000000" w:rsidDel="00000000" w:rsidP="00000000" w:rsidRDefault="00000000" w:rsidRPr="00000000" w14:paraId="00000F3B">
      <w:pPr>
        <w:jc w:val="both"/>
        <w:rPr>
          <w:sz w:val="22"/>
          <w:szCs w:val="22"/>
        </w:rPr>
      </w:pPr>
      <w:r w:rsidDel="00000000" w:rsidR="00000000" w:rsidRPr="00000000">
        <w:rPr>
          <w:rtl w:val="0"/>
        </w:rPr>
      </w:r>
    </w:p>
    <w:p w:rsidR="00000000" w:rsidDel="00000000" w:rsidP="00000000" w:rsidRDefault="00000000" w:rsidRPr="00000000" w14:paraId="00000F3C">
      <w:pPr>
        <w:jc w:val="both"/>
        <w:rPr>
          <w:sz w:val="22"/>
          <w:szCs w:val="22"/>
        </w:rPr>
      </w:pPr>
      <w:r w:rsidDel="00000000" w:rsidR="00000000" w:rsidRPr="00000000">
        <w:rPr>
          <w:sz w:val="22"/>
          <w:szCs w:val="22"/>
          <w:rtl w:val="0"/>
        </w:rPr>
        <w:t xml:space="preserve">Nicholson K. Liu W. Fitzpatrick D. Hardacre KA. Roberts S. Salerno J. (2024). "Prevalence of multimorbidity and polypharmacy among adults and older adults: a systematic review." </w:t>
      </w:r>
      <w:r w:rsidDel="00000000" w:rsidR="00000000" w:rsidRPr="00000000">
        <w:rPr>
          <w:i w:val="1"/>
          <w:sz w:val="22"/>
          <w:szCs w:val="22"/>
          <w:rtl w:val="0"/>
        </w:rPr>
        <w:t xml:space="preserve">The Lancet</w:t>
      </w:r>
      <w:r w:rsidDel="00000000" w:rsidR="00000000" w:rsidRPr="00000000">
        <w:rPr>
          <w:sz w:val="22"/>
          <w:szCs w:val="22"/>
          <w:rtl w:val="0"/>
        </w:rPr>
        <w:t xml:space="preserve"> 5(4): 287-296.</w:t>
      </w:r>
    </w:p>
    <w:p w:rsidR="00000000" w:rsidDel="00000000" w:rsidP="00000000" w:rsidRDefault="00000000" w:rsidRPr="00000000" w14:paraId="00000F3D">
      <w:pPr>
        <w:jc w:val="both"/>
        <w:rPr>
          <w:sz w:val="22"/>
          <w:szCs w:val="22"/>
        </w:rPr>
      </w:pPr>
      <w:r w:rsidDel="00000000" w:rsidR="00000000" w:rsidRPr="00000000">
        <w:rPr>
          <w:sz w:val="22"/>
          <w:szCs w:val="22"/>
          <w:rtl w:val="0"/>
        </w:rPr>
        <w:tab/>
      </w:r>
    </w:p>
    <w:p w:rsidR="00000000" w:rsidDel="00000000" w:rsidP="00000000" w:rsidRDefault="00000000" w:rsidRPr="00000000" w14:paraId="00000F3E">
      <w:pPr>
        <w:jc w:val="both"/>
        <w:rPr>
          <w:sz w:val="22"/>
          <w:szCs w:val="22"/>
        </w:rPr>
      </w:pPr>
      <w:r w:rsidDel="00000000" w:rsidR="00000000" w:rsidRPr="00000000">
        <w:rPr>
          <w:sz w:val="22"/>
          <w:szCs w:val="22"/>
          <w:rtl w:val="0"/>
        </w:rPr>
        <w:t xml:space="preserve">Nichter M Quintero G. Nichter M. Mock J. Shakib S (2004). "Qualitative Research: Contributions to the Study of Drug Use, Drug Abuse, and Drug Use(r)-Related Interventions." </w:t>
      </w:r>
      <w:r w:rsidDel="00000000" w:rsidR="00000000" w:rsidRPr="00000000">
        <w:rPr>
          <w:i w:val="1"/>
          <w:sz w:val="22"/>
          <w:szCs w:val="22"/>
          <w:rtl w:val="0"/>
        </w:rPr>
        <w:t xml:space="preserve">Substance Use and Misuse</w:t>
      </w:r>
      <w:r w:rsidDel="00000000" w:rsidR="00000000" w:rsidRPr="00000000">
        <w:rPr>
          <w:sz w:val="22"/>
          <w:szCs w:val="22"/>
          <w:rtl w:val="0"/>
        </w:rPr>
        <w:t xml:space="preserve"> 39(10-12): 1907-1969.</w:t>
      </w:r>
    </w:p>
    <w:p w:rsidR="00000000" w:rsidDel="00000000" w:rsidP="00000000" w:rsidRDefault="00000000" w:rsidRPr="00000000" w14:paraId="00000F3F">
      <w:pPr>
        <w:jc w:val="both"/>
        <w:rPr>
          <w:sz w:val="22"/>
          <w:szCs w:val="22"/>
        </w:rPr>
      </w:pPr>
      <w:r w:rsidDel="00000000" w:rsidR="00000000" w:rsidRPr="00000000">
        <w:rPr>
          <w:rtl w:val="0"/>
        </w:rPr>
      </w:r>
    </w:p>
    <w:p w:rsidR="00000000" w:rsidDel="00000000" w:rsidP="00000000" w:rsidRDefault="00000000" w:rsidRPr="00000000" w14:paraId="00000F40">
      <w:pPr>
        <w:jc w:val="both"/>
        <w:rPr>
          <w:sz w:val="22"/>
          <w:szCs w:val="22"/>
        </w:rPr>
      </w:pPr>
      <w:r w:rsidDel="00000000" w:rsidR="00000000" w:rsidRPr="00000000">
        <w:rPr>
          <w:sz w:val="22"/>
          <w:szCs w:val="22"/>
          <w:rtl w:val="0"/>
        </w:rPr>
        <w:t xml:space="preserve">Nixon SA. (2019). "The coin model of privilege and critical allyship: implications for health." </w:t>
      </w:r>
      <w:r w:rsidDel="00000000" w:rsidR="00000000" w:rsidRPr="00000000">
        <w:rPr>
          <w:i w:val="1"/>
          <w:sz w:val="22"/>
          <w:szCs w:val="22"/>
          <w:rtl w:val="0"/>
        </w:rPr>
        <w:t xml:space="preserve">BMC Public Health</w:t>
      </w:r>
      <w:r w:rsidDel="00000000" w:rsidR="00000000" w:rsidRPr="00000000">
        <w:rPr>
          <w:sz w:val="22"/>
          <w:szCs w:val="22"/>
          <w:rtl w:val="0"/>
        </w:rPr>
        <w:t xml:space="preserve">.</w:t>
      </w:r>
    </w:p>
    <w:p w:rsidR="00000000" w:rsidDel="00000000" w:rsidP="00000000" w:rsidRDefault="00000000" w:rsidRPr="00000000" w14:paraId="00000F41">
      <w:pPr>
        <w:jc w:val="both"/>
        <w:rPr>
          <w:sz w:val="22"/>
          <w:szCs w:val="22"/>
        </w:rPr>
      </w:pPr>
      <w:r w:rsidDel="00000000" w:rsidR="00000000" w:rsidRPr="00000000">
        <w:rPr>
          <w:rtl w:val="0"/>
        </w:rPr>
      </w:r>
    </w:p>
    <w:p w:rsidR="00000000" w:rsidDel="00000000" w:rsidP="00000000" w:rsidRDefault="00000000" w:rsidRPr="00000000" w14:paraId="00000F42">
      <w:pPr>
        <w:jc w:val="both"/>
        <w:rPr>
          <w:sz w:val="22"/>
          <w:szCs w:val="22"/>
        </w:rPr>
      </w:pPr>
      <w:r w:rsidDel="00000000" w:rsidR="00000000" w:rsidRPr="00000000">
        <w:rPr>
          <w:sz w:val="22"/>
          <w:szCs w:val="22"/>
          <w:rtl w:val="0"/>
        </w:rPr>
        <w:t xml:space="preserve">Noble H. Smith J. (2015). "Issues of Validity and Reliability in Qualitative Research." </w:t>
      </w:r>
      <w:r w:rsidDel="00000000" w:rsidR="00000000" w:rsidRPr="00000000">
        <w:rPr>
          <w:i w:val="1"/>
          <w:sz w:val="22"/>
          <w:szCs w:val="22"/>
          <w:rtl w:val="0"/>
        </w:rPr>
        <w:t xml:space="preserve">Evidence Based Nursing</w:t>
      </w:r>
      <w:r w:rsidDel="00000000" w:rsidR="00000000" w:rsidRPr="00000000">
        <w:rPr>
          <w:sz w:val="22"/>
          <w:szCs w:val="22"/>
          <w:rtl w:val="0"/>
        </w:rPr>
        <w:t xml:space="preserve"> 18(2).</w:t>
      </w:r>
    </w:p>
    <w:p w:rsidR="00000000" w:rsidDel="00000000" w:rsidP="00000000" w:rsidRDefault="00000000" w:rsidRPr="00000000" w14:paraId="00000F43">
      <w:pPr>
        <w:jc w:val="both"/>
        <w:rPr>
          <w:sz w:val="22"/>
          <w:szCs w:val="22"/>
        </w:rPr>
      </w:pPr>
      <w:r w:rsidDel="00000000" w:rsidR="00000000" w:rsidRPr="00000000">
        <w:rPr>
          <w:rtl w:val="0"/>
        </w:rPr>
      </w:r>
    </w:p>
    <w:p w:rsidR="00000000" w:rsidDel="00000000" w:rsidP="00000000" w:rsidRDefault="00000000" w:rsidRPr="00000000" w14:paraId="00000F44">
      <w:pPr>
        <w:jc w:val="both"/>
        <w:rPr>
          <w:sz w:val="22"/>
          <w:szCs w:val="22"/>
        </w:rPr>
      </w:pPr>
      <w:r w:rsidDel="00000000" w:rsidR="00000000" w:rsidRPr="00000000">
        <w:rPr>
          <w:sz w:val="22"/>
          <w:szCs w:val="22"/>
          <w:rtl w:val="0"/>
        </w:rPr>
        <w:t xml:space="preserve">Noble M. Treadwell JR. Tregear SJ. Coates VH. Wiffen PJ. Akafomo C. (2010). "Long-Term Opioid Management for Chronic Noncancer Pain." </w:t>
      </w:r>
      <w:r w:rsidDel="00000000" w:rsidR="00000000" w:rsidRPr="00000000">
        <w:rPr>
          <w:i w:val="1"/>
          <w:sz w:val="22"/>
          <w:szCs w:val="22"/>
          <w:rtl w:val="0"/>
        </w:rPr>
        <w:t xml:space="preserve">Cochrane Database Syst</w:t>
      </w:r>
      <w:r w:rsidDel="00000000" w:rsidR="00000000" w:rsidRPr="00000000">
        <w:rPr>
          <w:sz w:val="22"/>
          <w:szCs w:val="22"/>
          <w:rtl w:val="0"/>
        </w:rPr>
        <w:t xml:space="preserve">. Rev.</w:t>
      </w:r>
    </w:p>
    <w:p w:rsidR="00000000" w:rsidDel="00000000" w:rsidP="00000000" w:rsidRDefault="00000000" w:rsidRPr="00000000" w14:paraId="00000F45">
      <w:pPr>
        <w:jc w:val="both"/>
        <w:rPr>
          <w:sz w:val="22"/>
          <w:szCs w:val="22"/>
        </w:rPr>
      </w:pPr>
      <w:r w:rsidDel="00000000" w:rsidR="00000000" w:rsidRPr="00000000">
        <w:rPr>
          <w:sz w:val="22"/>
          <w:szCs w:val="22"/>
          <w:rtl w:val="0"/>
        </w:rPr>
        <w:tab/>
        <w:tab/>
      </w:r>
    </w:p>
    <w:p w:rsidR="00000000" w:rsidDel="00000000" w:rsidP="00000000" w:rsidRDefault="00000000" w:rsidRPr="00000000" w14:paraId="00000F46">
      <w:pPr>
        <w:jc w:val="both"/>
        <w:rPr>
          <w:sz w:val="22"/>
          <w:szCs w:val="22"/>
        </w:rPr>
      </w:pPr>
      <w:r w:rsidDel="00000000" w:rsidR="00000000" w:rsidRPr="00000000">
        <w:rPr>
          <w:sz w:val="22"/>
          <w:szCs w:val="22"/>
          <w:rtl w:val="0"/>
        </w:rPr>
        <w:t xml:space="preserve">NSPCC (2022). Parental substance misuse. NSPCC Learning [online]. Available at: </w:t>
      </w:r>
      <w:hyperlink r:id="rId77">
        <w:r w:rsidDel="00000000" w:rsidR="00000000" w:rsidRPr="00000000">
          <w:rPr>
            <w:color w:val="467886"/>
            <w:sz w:val="22"/>
            <w:szCs w:val="22"/>
            <w:u w:val="single"/>
            <w:rtl w:val="0"/>
          </w:rPr>
          <w:t xml:space="preserve">https://learning.nspcc.org.uk/children-and-families-at-risk/parental-substance-misuse</w:t>
        </w:r>
      </w:hyperlink>
      <w:r w:rsidDel="00000000" w:rsidR="00000000" w:rsidRPr="00000000">
        <w:rPr>
          <w:sz w:val="22"/>
          <w:szCs w:val="22"/>
          <w:rtl w:val="0"/>
        </w:rPr>
        <w:t xml:space="preserve"> (21/08/2023)</w:t>
      </w:r>
    </w:p>
    <w:p w:rsidR="00000000" w:rsidDel="00000000" w:rsidP="00000000" w:rsidRDefault="00000000" w:rsidRPr="00000000" w14:paraId="00000F47">
      <w:pPr>
        <w:jc w:val="both"/>
        <w:rPr>
          <w:sz w:val="22"/>
          <w:szCs w:val="22"/>
        </w:rPr>
      </w:pPr>
      <w:r w:rsidDel="00000000" w:rsidR="00000000" w:rsidRPr="00000000">
        <w:rPr>
          <w:sz w:val="22"/>
          <w:szCs w:val="22"/>
          <w:rtl w:val="0"/>
        </w:rPr>
        <w:tab/>
      </w:r>
    </w:p>
    <w:p w:rsidR="00000000" w:rsidDel="00000000" w:rsidP="00000000" w:rsidRDefault="00000000" w:rsidRPr="00000000" w14:paraId="00000F48">
      <w:pPr>
        <w:jc w:val="both"/>
        <w:rPr>
          <w:sz w:val="22"/>
          <w:szCs w:val="22"/>
        </w:rPr>
      </w:pPr>
      <w:r w:rsidDel="00000000" w:rsidR="00000000" w:rsidRPr="00000000">
        <w:rPr>
          <w:sz w:val="22"/>
          <w:szCs w:val="22"/>
          <w:rtl w:val="0"/>
        </w:rPr>
        <w:t xml:space="preserve">Nutt D. "NICE: The National Institute of Clinical Excellence- or Eccentricity? Reflections on the Z-Drugs of hypnotics." </w:t>
      </w:r>
      <w:r w:rsidDel="00000000" w:rsidR="00000000" w:rsidRPr="00000000">
        <w:rPr>
          <w:i w:val="1"/>
          <w:sz w:val="22"/>
          <w:szCs w:val="22"/>
          <w:rtl w:val="0"/>
        </w:rPr>
        <w:t xml:space="preserve">Journal of Psychopharmacology</w:t>
      </w:r>
      <w:r w:rsidDel="00000000" w:rsidR="00000000" w:rsidRPr="00000000">
        <w:rPr>
          <w:sz w:val="22"/>
          <w:szCs w:val="22"/>
          <w:rtl w:val="0"/>
        </w:rPr>
        <w:t xml:space="preserve"> 19(2): 125-127.</w:t>
      </w:r>
    </w:p>
    <w:p w:rsidR="00000000" w:rsidDel="00000000" w:rsidP="00000000" w:rsidRDefault="00000000" w:rsidRPr="00000000" w14:paraId="00000F49">
      <w:pPr>
        <w:jc w:val="both"/>
        <w:rPr>
          <w:sz w:val="22"/>
          <w:szCs w:val="22"/>
        </w:rPr>
      </w:pPr>
      <w:r w:rsidDel="00000000" w:rsidR="00000000" w:rsidRPr="00000000">
        <w:rPr>
          <w:rtl w:val="0"/>
        </w:rPr>
      </w:r>
    </w:p>
    <w:p w:rsidR="00000000" w:rsidDel="00000000" w:rsidP="00000000" w:rsidRDefault="00000000" w:rsidRPr="00000000" w14:paraId="00000F4A">
      <w:pPr>
        <w:jc w:val="both"/>
        <w:rPr>
          <w:sz w:val="22"/>
          <w:szCs w:val="22"/>
        </w:rPr>
      </w:pPr>
      <w:r w:rsidDel="00000000" w:rsidR="00000000" w:rsidRPr="00000000">
        <w:rPr>
          <w:sz w:val="22"/>
          <w:szCs w:val="22"/>
          <w:rtl w:val="0"/>
        </w:rPr>
        <w:t xml:space="preserve">Nutt D. King LA. Saulsbury W. Blakemore C. (2007). "Development of a rational scale to assess the harm of drugs of potential misuse." </w:t>
      </w:r>
      <w:r w:rsidDel="00000000" w:rsidR="00000000" w:rsidRPr="00000000">
        <w:rPr>
          <w:i w:val="1"/>
          <w:sz w:val="22"/>
          <w:szCs w:val="22"/>
          <w:rtl w:val="0"/>
        </w:rPr>
        <w:t xml:space="preserve">The Lancet</w:t>
      </w:r>
      <w:r w:rsidDel="00000000" w:rsidR="00000000" w:rsidRPr="00000000">
        <w:rPr>
          <w:sz w:val="22"/>
          <w:szCs w:val="22"/>
          <w:rtl w:val="0"/>
        </w:rPr>
        <w:t xml:space="preserve"> 396(9566): 1047-1053.</w:t>
      </w:r>
    </w:p>
    <w:p w:rsidR="00000000" w:rsidDel="00000000" w:rsidP="00000000" w:rsidRDefault="00000000" w:rsidRPr="00000000" w14:paraId="00000F4B">
      <w:pPr>
        <w:jc w:val="both"/>
        <w:rPr>
          <w:sz w:val="22"/>
          <w:szCs w:val="22"/>
        </w:rPr>
      </w:pPr>
      <w:r w:rsidDel="00000000" w:rsidR="00000000" w:rsidRPr="00000000">
        <w:rPr>
          <w:rtl w:val="0"/>
        </w:rPr>
      </w:r>
    </w:p>
    <w:p w:rsidR="00000000" w:rsidDel="00000000" w:rsidP="00000000" w:rsidRDefault="00000000" w:rsidRPr="00000000" w14:paraId="00000F4C">
      <w:pPr>
        <w:jc w:val="both"/>
        <w:rPr>
          <w:sz w:val="22"/>
          <w:szCs w:val="22"/>
        </w:rPr>
      </w:pPr>
      <w:r w:rsidDel="00000000" w:rsidR="00000000" w:rsidRPr="00000000">
        <w:rPr>
          <w:sz w:val="22"/>
          <w:szCs w:val="22"/>
          <w:rtl w:val="0"/>
        </w:rPr>
        <w:t xml:space="preserve">O'Hare (2022). Magic mushroom compound increases brain connectivity in people with depression. Imperial.</w:t>
      </w:r>
    </w:p>
    <w:p w:rsidR="00000000" w:rsidDel="00000000" w:rsidP="00000000" w:rsidRDefault="00000000" w:rsidRPr="00000000" w14:paraId="00000F4D">
      <w:pPr>
        <w:jc w:val="both"/>
        <w:rPr>
          <w:sz w:val="22"/>
          <w:szCs w:val="22"/>
        </w:rPr>
      </w:pPr>
      <w:r w:rsidDel="00000000" w:rsidR="00000000" w:rsidRPr="00000000">
        <w:rPr>
          <w:sz w:val="22"/>
          <w:szCs w:val="22"/>
          <w:rtl w:val="0"/>
        </w:rPr>
        <w:tab/>
      </w:r>
    </w:p>
    <w:p w:rsidR="00000000" w:rsidDel="00000000" w:rsidP="00000000" w:rsidRDefault="00000000" w:rsidRPr="00000000" w14:paraId="00000F4E">
      <w:pPr>
        <w:jc w:val="both"/>
        <w:rPr>
          <w:sz w:val="22"/>
          <w:szCs w:val="22"/>
        </w:rPr>
      </w:pPr>
      <w:r w:rsidDel="00000000" w:rsidR="00000000" w:rsidRPr="00000000">
        <w:rPr>
          <w:sz w:val="22"/>
          <w:szCs w:val="22"/>
          <w:rtl w:val="0"/>
        </w:rPr>
        <w:t xml:space="preserve">O'Neill J. (2022). "Materiality of conflict of interest in informed consent to medical treatment in the United Kingdom." </w:t>
      </w:r>
      <w:r w:rsidDel="00000000" w:rsidR="00000000" w:rsidRPr="00000000">
        <w:rPr>
          <w:i w:val="1"/>
          <w:sz w:val="22"/>
          <w:szCs w:val="22"/>
          <w:rtl w:val="0"/>
        </w:rPr>
        <w:t xml:space="preserve">Ethics and Behaviour</w:t>
      </w:r>
      <w:r w:rsidDel="00000000" w:rsidR="00000000" w:rsidRPr="00000000">
        <w:rPr>
          <w:sz w:val="22"/>
          <w:szCs w:val="22"/>
          <w:rtl w:val="0"/>
        </w:rPr>
        <w:t xml:space="preserve"> 32(5): 375-400.</w:t>
      </w:r>
    </w:p>
    <w:p w:rsidR="00000000" w:rsidDel="00000000" w:rsidP="00000000" w:rsidRDefault="00000000" w:rsidRPr="00000000" w14:paraId="00000F4F">
      <w:pPr>
        <w:jc w:val="both"/>
        <w:rPr>
          <w:sz w:val="22"/>
          <w:szCs w:val="22"/>
        </w:rPr>
      </w:pPr>
      <w:r w:rsidDel="00000000" w:rsidR="00000000" w:rsidRPr="00000000">
        <w:rPr>
          <w:sz w:val="22"/>
          <w:szCs w:val="22"/>
          <w:rtl w:val="0"/>
        </w:rPr>
        <w:tab/>
      </w:r>
    </w:p>
    <w:p w:rsidR="00000000" w:rsidDel="00000000" w:rsidP="00000000" w:rsidRDefault="00000000" w:rsidRPr="00000000" w14:paraId="00000F50">
      <w:pPr>
        <w:jc w:val="both"/>
        <w:rPr>
          <w:sz w:val="22"/>
          <w:szCs w:val="22"/>
        </w:rPr>
      </w:pPr>
      <w:r w:rsidDel="00000000" w:rsidR="00000000" w:rsidRPr="00000000">
        <w:rPr>
          <w:sz w:val="22"/>
          <w:szCs w:val="22"/>
          <w:rtl w:val="0"/>
        </w:rPr>
        <w:t xml:space="preserve">O'Niell N. (2022). The Eight Principles of Patient-Centred Care [online]. Available at: </w:t>
      </w:r>
      <w:hyperlink r:id="rId78">
        <w:r w:rsidDel="00000000" w:rsidR="00000000" w:rsidRPr="00000000">
          <w:rPr>
            <w:color w:val="467886"/>
            <w:sz w:val="22"/>
            <w:szCs w:val="22"/>
            <w:u w:val="single"/>
            <w:rtl w:val="0"/>
          </w:rPr>
          <w:t xml:space="preserve">https://www.oneviewhealthcare.com/blog/the-eight-principles-of-patient-centered-care/</w:t>
        </w:r>
      </w:hyperlink>
      <w:r w:rsidDel="00000000" w:rsidR="00000000" w:rsidRPr="00000000">
        <w:rPr>
          <w:sz w:val="22"/>
          <w:szCs w:val="22"/>
          <w:rtl w:val="0"/>
        </w:rPr>
        <w:t xml:space="preserve"> (20/05/2022)</w:t>
      </w:r>
    </w:p>
    <w:p w:rsidR="00000000" w:rsidDel="00000000" w:rsidP="00000000" w:rsidRDefault="00000000" w:rsidRPr="00000000" w14:paraId="00000F51">
      <w:pPr>
        <w:jc w:val="both"/>
        <w:rPr>
          <w:sz w:val="22"/>
          <w:szCs w:val="22"/>
        </w:rPr>
      </w:pPr>
      <w:r w:rsidDel="00000000" w:rsidR="00000000" w:rsidRPr="00000000">
        <w:rPr>
          <w:sz w:val="22"/>
          <w:szCs w:val="22"/>
          <w:rtl w:val="0"/>
        </w:rPr>
        <w:tab/>
      </w:r>
    </w:p>
    <w:p w:rsidR="00000000" w:rsidDel="00000000" w:rsidP="00000000" w:rsidRDefault="00000000" w:rsidRPr="00000000" w14:paraId="00000F52">
      <w:pPr>
        <w:jc w:val="both"/>
        <w:rPr>
          <w:sz w:val="22"/>
          <w:szCs w:val="22"/>
        </w:rPr>
      </w:pPr>
      <w:r w:rsidDel="00000000" w:rsidR="00000000" w:rsidRPr="00000000">
        <w:rPr>
          <w:sz w:val="22"/>
          <w:szCs w:val="22"/>
          <w:rtl w:val="0"/>
        </w:rPr>
        <w:t xml:space="preserve">O'Sullivan L. Crowley R. McAuliffe E. Doran P.  (2020). "Contributory factors to the evolution of the concept and practice of informed consent in clinical research: A narrative review." </w:t>
      </w:r>
      <w:r w:rsidDel="00000000" w:rsidR="00000000" w:rsidRPr="00000000">
        <w:rPr>
          <w:i w:val="1"/>
          <w:sz w:val="22"/>
          <w:szCs w:val="22"/>
          <w:rtl w:val="0"/>
        </w:rPr>
        <w:t xml:space="preserve">Contemporary Clinical Trials Communications</w:t>
      </w:r>
      <w:r w:rsidDel="00000000" w:rsidR="00000000" w:rsidRPr="00000000">
        <w:rPr>
          <w:sz w:val="22"/>
          <w:szCs w:val="22"/>
          <w:rtl w:val="0"/>
        </w:rPr>
        <w:t xml:space="preserve"> 19(100634).</w:t>
      </w:r>
    </w:p>
    <w:p w:rsidR="00000000" w:rsidDel="00000000" w:rsidP="00000000" w:rsidRDefault="00000000" w:rsidRPr="00000000" w14:paraId="00000F53">
      <w:pPr>
        <w:jc w:val="both"/>
        <w:rPr>
          <w:sz w:val="22"/>
          <w:szCs w:val="22"/>
        </w:rPr>
      </w:pPr>
      <w:r w:rsidDel="00000000" w:rsidR="00000000" w:rsidRPr="00000000">
        <w:rPr>
          <w:sz w:val="22"/>
          <w:szCs w:val="22"/>
          <w:rtl w:val="0"/>
        </w:rPr>
        <w:tab/>
      </w:r>
    </w:p>
    <w:p w:rsidR="00000000" w:rsidDel="00000000" w:rsidP="00000000" w:rsidRDefault="00000000" w:rsidRPr="00000000" w14:paraId="00000F54">
      <w:pPr>
        <w:jc w:val="both"/>
        <w:rPr>
          <w:sz w:val="22"/>
          <w:szCs w:val="22"/>
        </w:rPr>
      </w:pPr>
      <w:r w:rsidDel="00000000" w:rsidR="00000000" w:rsidRPr="00000000">
        <w:rPr>
          <w:sz w:val="22"/>
          <w:szCs w:val="22"/>
          <w:rtl w:val="0"/>
        </w:rPr>
        <w:t xml:space="preserve">Oakley A. (1974). The Sociology of Housework. New York, Random House.</w:t>
      </w:r>
    </w:p>
    <w:p w:rsidR="00000000" w:rsidDel="00000000" w:rsidP="00000000" w:rsidRDefault="00000000" w:rsidRPr="00000000" w14:paraId="00000F55">
      <w:pPr>
        <w:jc w:val="both"/>
        <w:rPr>
          <w:sz w:val="22"/>
          <w:szCs w:val="22"/>
        </w:rPr>
      </w:pPr>
      <w:r w:rsidDel="00000000" w:rsidR="00000000" w:rsidRPr="00000000">
        <w:rPr>
          <w:sz w:val="22"/>
          <w:szCs w:val="22"/>
          <w:rtl w:val="0"/>
        </w:rPr>
        <w:tab/>
      </w:r>
    </w:p>
    <w:p w:rsidR="00000000" w:rsidDel="00000000" w:rsidP="00000000" w:rsidRDefault="00000000" w:rsidRPr="00000000" w14:paraId="00000F56">
      <w:pPr>
        <w:jc w:val="both"/>
        <w:rPr>
          <w:sz w:val="22"/>
          <w:szCs w:val="22"/>
        </w:rPr>
      </w:pPr>
      <w:r w:rsidDel="00000000" w:rsidR="00000000" w:rsidRPr="00000000">
        <w:rPr>
          <w:sz w:val="22"/>
          <w:szCs w:val="22"/>
          <w:rtl w:val="0"/>
        </w:rPr>
        <w:t xml:space="preserve">Ocloo J. Goodrich J. Tanaka H. Birchall-Searle J. Dawson D. Farr M. (2020). "The importance of power, context and agency in improving patient experience through a patient and family centred approach." </w:t>
      </w:r>
      <w:r w:rsidDel="00000000" w:rsidR="00000000" w:rsidRPr="00000000">
        <w:rPr>
          <w:i w:val="1"/>
          <w:sz w:val="22"/>
          <w:szCs w:val="22"/>
          <w:rtl w:val="0"/>
        </w:rPr>
        <w:t xml:space="preserve">Health Research Policy and Systems </w:t>
      </w:r>
      <w:r w:rsidDel="00000000" w:rsidR="00000000" w:rsidRPr="00000000">
        <w:rPr>
          <w:sz w:val="22"/>
          <w:szCs w:val="22"/>
          <w:rtl w:val="0"/>
        </w:rPr>
        <w:t xml:space="preserve">18(20): 1-16.</w:t>
      </w:r>
    </w:p>
    <w:p w:rsidR="00000000" w:rsidDel="00000000" w:rsidP="00000000" w:rsidRDefault="00000000" w:rsidRPr="00000000" w14:paraId="00000F57">
      <w:pPr>
        <w:jc w:val="both"/>
        <w:rPr>
          <w:sz w:val="22"/>
          <w:szCs w:val="22"/>
        </w:rPr>
      </w:pPr>
      <w:r w:rsidDel="00000000" w:rsidR="00000000" w:rsidRPr="00000000">
        <w:rPr>
          <w:sz w:val="22"/>
          <w:szCs w:val="22"/>
          <w:rtl w:val="0"/>
        </w:rPr>
        <w:tab/>
      </w:r>
    </w:p>
    <w:p w:rsidR="00000000" w:rsidDel="00000000" w:rsidP="00000000" w:rsidRDefault="00000000" w:rsidRPr="00000000" w14:paraId="00000F58">
      <w:pPr>
        <w:jc w:val="both"/>
        <w:rPr>
          <w:sz w:val="22"/>
          <w:szCs w:val="22"/>
        </w:rPr>
      </w:pPr>
      <w:r w:rsidDel="00000000" w:rsidR="00000000" w:rsidRPr="00000000">
        <w:rPr>
          <w:sz w:val="22"/>
          <w:szCs w:val="22"/>
          <w:rtl w:val="0"/>
        </w:rPr>
        <w:t xml:space="preserve">OECD “Pharmaceutical consumption”. Health at a Glance 2015: OECD Indicators. Paris, OECD Publishing.</w:t>
      </w:r>
    </w:p>
    <w:p w:rsidR="00000000" w:rsidDel="00000000" w:rsidP="00000000" w:rsidRDefault="00000000" w:rsidRPr="00000000" w14:paraId="00000F59">
      <w:pPr>
        <w:jc w:val="both"/>
        <w:rPr>
          <w:sz w:val="22"/>
          <w:szCs w:val="22"/>
        </w:rPr>
      </w:pPr>
      <w:r w:rsidDel="00000000" w:rsidR="00000000" w:rsidRPr="00000000">
        <w:rPr>
          <w:sz w:val="22"/>
          <w:szCs w:val="22"/>
          <w:rtl w:val="0"/>
        </w:rPr>
        <w:tab/>
      </w:r>
    </w:p>
    <w:p w:rsidR="00000000" w:rsidDel="00000000" w:rsidP="00000000" w:rsidRDefault="00000000" w:rsidRPr="00000000" w14:paraId="00000F5A">
      <w:pPr>
        <w:jc w:val="both"/>
        <w:rPr>
          <w:sz w:val="22"/>
          <w:szCs w:val="22"/>
        </w:rPr>
      </w:pPr>
      <w:r w:rsidDel="00000000" w:rsidR="00000000" w:rsidRPr="00000000">
        <w:rPr>
          <w:sz w:val="22"/>
          <w:szCs w:val="22"/>
          <w:rtl w:val="0"/>
        </w:rPr>
        <w:t xml:space="preserve">OECD (2021). The impact of COVID-19 on employment and jobs.</w:t>
      </w:r>
    </w:p>
    <w:p w:rsidR="00000000" w:rsidDel="00000000" w:rsidP="00000000" w:rsidRDefault="00000000" w:rsidRPr="00000000" w14:paraId="00000F5B">
      <w:pPr>
        <w:jc w:val="both"/>
        <w:rPr>
          <w:sz w:val="22"/>
          <w:szCs w:val="22"/>
        </w:rPr>
      </w:pPr>
      <w:r w:rsidDel="00000000" w:rsidR="00000000" w:rsidRPr="00000000">
        <w:rPr>
          <w:rtl w:val="0"/>
        </w:rPr>
      </w:r>
    </w:p>
    <w:p w:rsidR="00000000" w:rsidDel="00000000" w:rsidP="00000000" w:rsidRDefault="00000000" w:rsidRPr="00000000" w14:paraId="00000F5C">
      <w:pPr>
        <w:jc w:val="both"/>
        <w:rPr>
          <w:sz w:val="22"/>
          <w:szCs w:val="22"/>
        </w:rPr>
      </w:pPr>
      <w:r w:rsidDel="00000000" w:rsidR="00000000" w:rsidRPr="00000000">
        <w:rPr>
          <w:sz w:val="22"/>
          <w:szCs w:val="22"/>
          <w:rtl w:val="0"/>
        </w:rPr>
        <w:t xml:space="preserve">Office for Health Improvement and Disparities (2021). Adult substance misuse treatment statistics 2020 to 2021: report [online]. Available at: </w:t>
      </w:r>
      <w:hyperlink r:id="rId79">
        <w:r w:rsidDel="00000000" w:rsidR="00000000" w:rsidRPr="00000000">
          <w:rPr>
            <w:color w:val="467886"/>
            <w:sz w:val="22"/>
            <w:szCs w:val="22"/>
            <w:u w:val="single"/>
            <w:rtl w:val="0"/>
          </w:rPr>
          <w:t xml:space="preserve">https://www.gov.uk/government/statistics/substance-misuse-treatment-for-adults-statistics-2020-to-2021/adult-substance-misuse-treatment-statistics-2020-to-2021-report</w:t>
        </w:r>
      </w:hyperlink>
      <w:r w:rsidDel="00000000" w:rsidR="00000000" w:rsidRPr="00000000">
        <w:rPr>
          <w:sz w:val="22"/>
          <w:szCs w:val="22"/>
          <w:rtl w:val="0"/>
        </w:rPr>
        <w:t xml:space="preserve"> (16/03/2022)</w:t>
      </w:r>
    </w:p>
    <w:p w:rsidR="00000000" w:rsidDel="00000000" w:rsidP="00000000" w:rsidRDefault="00000000" w:rsidRPr="00000000" w14:paraId="00000F5D">
      <w:pPr>
        <w:jc w:val="both"/>
        <w:rPr>
          <w:sz w:val="22"/>
          <w:szCs w:val="22"/>
        </w:rPr>
      </w:pPr>
      <w:r w:rsidDel="00000000" w:rsidR="00000000" w:rsidRPr="00000000">
        <w:rPr>
          <w:sz w:val="22"/>
          <w:szCs w:val="22"/>
          <w:rtl w:val="0"/>
        </w:rPr>
        <w:tab/>
      </w:r>
    </w:p>
    <w:p w:rsidR="00000000" w:rsidDel="00000000" w:rsidP="00000000" w:rsidRDefault="00000000" w:rsidRPr="00000000" w14:paraId="00000F5E">
      <w:pPr>
        <w:jc w:val="both"/>
        <w:rPr>
          <w:sz w:val="22"/>
          <w:szCs w:val="22"/>
        </w:rPr>
      </w:pPr>
      <w:r w:rsidDel="00000000" w:rsidR="00000000" w:rsidRPr="00000000">
        <w:rPr>
          <w:sz w:val="22"/>
          <w:szCs w:val="22"/>
          <w:rtl w:val="0"/>
        </w:rPr>
        <w:t xml:space="preserve">Office for Health Improvement and Disparities (2022). Social prescribing: applying All Our Health. Office for Health Improvement and Disparities [online]. Available at: </w:t>
      </w:r>
      <w:hyperlink r:id="rId80">
        <w:r w:rsidDel="00000000" w:rsidR="00000000" w:rsidRPr="00000000">
          <w:rPr>
            <w:color w:val="467886"/>
            <w:sz w:val="22"/>
            <w:szCs w:val="22"/>
            <w:u w:val="single"/>
            <w:rtl w:val="0"/>
          </w:rPr>
          <w:t xml:space="preserve">https://www.gov.uk/government/publications/social-prescribing-applying-all-our-health/social-prescribing-applying-all-our-health</w:t>
        </w:r>
      </w:hyperlink>
      <w:r w:rsidDel="00000000" w:rsidR="00000000" w:rsidRPr="00000000">
        <w:rPr>
          <w:sz w:val="22"/>
          <w:szCs w:val="22"/>
          <w:rtl w:val="0"/>
        </w:rPr>
        <w:t xml:space="preserve"> (18/01/2023)</w:t>
      </w:r>
    </w:p>
    <w:p w:rsidR="00000000" w:rsidDel="00000000" w:rsidP="00000000" w:rsidRDefault="00000000" w:rsidRPr="00000000" w14:paraId="00000F5F">
      <w:pPr>
        <w:jc w:val="both"/>
        <w:rPr>
          <w:sz w:val="22"/>
          <w:szCs w:val="22"/>
        </w:rPr>
      </w:pPr>
      <w:r w:rsidDel="00000000" w:rsidR="00000000" w:rsidRPr="00000000">
        <w:rPr>
          <w:sz w:val="22"/>
          <w:szCs w:val="22"/>
          <w:rtl w:val="0"/>
        </w:rPr>
        <w:tab/>
      </w:r>
    </w:p>
    <w:p w:rsidR="00000000" w:rsidDel="00000000" w:rsidP="00000000" w:rsidRDefault="00000000" w:rsidRPr="00000000" w14:paraId="00000F60">
      <w:pPr>
        <w:jc w:val="both"/>
        <w:rPr>
          <w:sz w:val="22"/>
          <w:szCs w:val="22"/>
        </w:rPr>
      </w:pPr>
      <w:r w:rsidDel="00000000" w:rsidR="00000000" w:rsidRPr="00000000">
        <w:rPr>
          <w:sz w:val="22"/>
          <w:szCs w:val="22"/>
          <w:rtl w:val="0"/>
        </w:rPr>
        <w:t xml:space="preserve">Office for National Statistics (2011). 2011 Census Data [online]. Available at: </w:t>
      </w:r>
    </w:p>
    <w:p w:rsidR="00000000" w:rsidDel="00000000" w:rsidP="00000000" w:rsidRDefault="00000000" w:rsidRPr="00000000" w14:paraId="00000F61">
      <w:pPr>
        <w:jc w:val="both"/>
        <w:rPr>
          <w:sz w:val="22"/>
          <w:szCs w:val="22"/>
        </w:rPr>
      </w:pPr>
      <w:r w:rsidDel="00000000" w:rsidR="00000000" w:rsidRPr="00000000">
        <w:rPr>
          <w:sz w:val="22"/>
          <w:szCs w:val="22"/>
          <w:rtl w:val="0"/>
        </w:rPr>
        <w:tab/>
      </w:r>
    </w:p>
    <w:p w:rsidR="00000000" w:rsidDel="00000000" w:rsidP="00000000" w:rsidRDefault="00000000" w:rsidRPr="00000000" w14:paraId="00000F62">
      <w:pPr>
        <w:jc w:val="both"/>
        <w:rPr>
          <w:sz w:val="22"/>
          <w:szCs w:val="22"/>
        </w:rPr>
      </w:pPr>
      <w:r w:rsidDel="00000000" w:rsidR="00000000" w:rsidRPr="00000000">
        <w:rPr>
          <w:sz w:val="22"/>
          <w:szCs w:val="22"/>
          <w:rtl w:val="0"/>
        </w:rPr>
        <w:t xml:space="preserve">Office for National Statistics (2016). National Life Tables, UK: 2016 to 2018. online]. Available at:  </w:t>
      </w:r>
      <w:hyperlink r:id="rId81">
        <w:r w:rsidDel="00000000" w:rsidR="00000000" w:rsidRPr="00000000">
          <w:rPr>
            <w:color w:val="467886"/>
            <w:sz w:val="22"/>
            <w:szCs w:val="22"/>
            <w:u w:val="single"/>
            <w:rtl w:val="0"/>
          </w:rPr>
          <w:t xml:space="preserve">https://www.ons.gov.uk/peoplepopulationandcommunity/birthsdeathsandmarriages/lifeexpectancies/bulletins/nationallifetablesunitedkingdom/2016to2018</w:t>
        </w:r>
      </w:hyperlink>
      <w:r w:rsidDel="00000000" w:rsidR="00000000" w:rsidRPr="00000000">
        <w:rPr>
          <w:sz w:val="22"/>
          <w:szCs w:val="22"/>
          <w:rtl w:val="0"/>
        </w:rPr>
        <w:t xml:space="preserve"> (06/07/2021)</w:t>
      </w:r>
    </w:p>
    <w:p w:rsidR="00000000" w:rsidDel="00000000" w:rsidP="00000000" w:rsidRDefault="00000000" w:rsidRPr="00000000" w14:paraId="00000F63">
      <w:pPr>
        <w:jc w:val="both"/>
        <w:rPr>
          <w:sz w:val="22"/>
          <w:szCs w:val="22"/>
        </w:rPr>
      </w:pPr>
      <w:r w:rsidDel="00000000" w:rsidR="00000000" w:rsidRPr="00000000">
        <w:rPr>
          <w:sz w:val="22"/>
          <w:szCs w:val="22"/>
          <w:rtl w:val="0"/>
        </w:rPr>
        <w:tab/>
      </w:r>
    </w:p>
    <w:p w:rsidR="00000000" w:rsidDel="00000000" w:rsidP="00000000" w:rsidRDefault="00000000" w:rsidRPr="00000000" w14:paraId="00000F64">
      <w:pPr>
        <w:jc w:val="both"/>
        <w:rPr>
          <w:sz w:val="22"/>
          <w:szCs w:val="22"/>
        </w:rPr>
      </w:pPr>
      <w:r w:rsidDel="00000000" w:rsidR="00000000" w:rsidRPr="00000000">
        <w:rPr>
          <w:sz w:val="22"/>
          <w:szCs w:val="22"/>
          <w:rtl w:val="0"/>
        </w:rPr>
        <w:t xml:space="preserve">Office for National Statistics (2017). Deaths related to drug poisoning in England and Wales: 2016 registrations. online]. Available at:  </w:t>
      </w:r>
      <w:hyperlink r:id="rId82">
        <w:r w:rsidDel="00000000" w:rsidR="00000000" w:rsidRPr="00000000">
          <w:rPr>
            <w:color w:val="467886"/>
            <w:sz w:val="22"/>
            <w:szCs w:val="22"/>
            <w:u w:val="single"/>
            <w:rtl w:val="0"/>
          </w:rPr>
          <w:t xml:space="preserve">https://www.ons.gov.uk/peoplepopulationandcommunity/birthsdeathsandmarriages/deaths/bulletins/deathsrelatedtodrugpoisoninginenglandandwales/2016registrations#drug-misuse-deaths-increase-in-both-males-and-females</w:t>
        </w:r>
      </w:hyperlink>
      <w:r w:rsidDel="00000000" w:rsidR="00000000" w:rsidRPr="00000000">
        <w:rPr>
          <w:sz w:val="22"/>
          <w:szCs w:val="22"/>
          <w:rtl w:val="0"/>
        </w:rPr>
        <w:t xml:space="preserve"> (14/10/2021)</w:t>
      </w:r>
    </w:p>
    <w:p w:rsidR="00000000" w:rsidDel="00000000" w:rsidP="00000000" w:rsidRDefault="00000000" w:rsidRPr="00000000" w14:paraId="00000F65">
      <w:pPr>
        <w:jc w:val="both"/>
        <w:rPr>
          <w:sz w:val="22"/>
          <w:szCs w:val="22"/>
        </w:rPr>
      </w:pPr>
      <w:r w:rsidDel="00000000" w:rsidR="00000000" w:rsidRPr="00000000">
        <w:rPr>
          <w:rtl w:val="0"/>
        </w:rPr>
      </w:r>
    </w:p>
    <w:p w:rsidR="00000000" w:rsidDel="00000000" w:rsidP="00000000" w:rsidRDefault="00000000" w:rsidRPr="00000000" w14:paraId="00000F66">
      <w:pPr>
        <w:jc w:val="both"/>
        <w:rPr>
          <w:sz w:val="22"/>
          <w:szCs w:val="22"/>
        </w:rPr>
      </w:pPr>
      <w:r w:rsidDel="00000000" w:rsidR="00000000" w:rsidRPr="00000000">
        <w:rPr>
          <w:sz w:val="22"/>
          <w:szCs w:val="22"/>
          <w:rtl w:val="0"/>
        </w:rPr>
        <w:t xml:space="preserve">Office for National Statistics. (2018). Drug-related deaths “deep dive” into coroners’ records. online]. Available at: </w:t>
      </w:r>
      <w:hyperlink r:id="rId83">
        <w:r w:rsidDel="00000000" w:rsidR="00000000" w:rsidRPr="00000000">
          <w:rPr>
            <w:color w:val="467886"/>
            <w:sz w:val="22"/>
            <w:szCs w:val="22"/>
            <w:u w:val="single"/>
            <w:rtl w:val="0"/>
          </w:rPr>
          <w:t xml:space="preserve">https://www.ons.gov.uk/peoplepopulationandcommunity/birthsdeathsandmarriages/deaths/articles/drugrelateddeathsdeepdiveintocoronersrecords/2018-08-06</w:t>
        </w:r>
      </w:hyperlink>
      <w:r w:rsidDel="00000000" w:rsidR="00000000" w:rsidRPr="00000000">
        <w:rPr>
          <w:sz w:val="22"/>
          <w:szCs w:val="22"/>
          <w:rtl w:val="0"/>
        </w:rPr>
        <w:t xml:space="preserve"> (19/10/2021)</w:t>
      </w:r>
    </w:p>
    <w:p w:rsidR="00000000" w:rsidDel="00000000" w:rsidP="00000000" w:rsidRDefault="00000000" w:rsidRPr="00000000" w14:paraId="00000F67">
      <w:pPr>
        <w:jc w:val="both"/>
        <w:rPr>
          <w:sz w:val="22"/>
          <w:szCs w:val="22"/>
        </w:rPr>
      </w:pPr>
      <w:r w:rsidDel="00000000" w:rsidR="00000000" w:rsidRPr="00000000">
        <w:rPr>
          <w:rtl w:val="0"/>
        </w:rPr>
      </w:r>
    </w:p>
    <w:p w:rsidR="00000000" w:rsidDel="00000000" w:rsidP="00000000" w:rsidRDefault="00000000" w:rsidRPr="00000000" w14:paraId="00000F68">
      <w:pPr>
        <w:jc w:val="both"/>
        <w:rPr>
          <w:sz w:val="22"/>
          <w:szCs w:val="22"/>
        </w:rPr>
      </w:pPr>
      <w:r w:rsidDel="00000000" w:rsidR="00000000" w:rsidRPr="00000000">
        <w:rPr>
          <w:sz w:val="22"/>
          <w:szCs w:val="22"/>
          <w:rtl w:val="0"/>
        </w:rPr>
        <w:t xml:space="preserve">Office for National Statistics. (2021). Deaths related to drug poisoning in England and Wales: 2020 registrations [online]. Available at: </w:t>
      </w:r>
      <w:hyperlink r:id="rId84">
        <w:r w:rsidDel="00000000" w:rsidR="00000000" w:rsidRPr="00000000">
          <w:rPr>
            <w:color w:val="467886"/>
            <w:sz w:val="22"/>
            <w:szCs w:val="22"/>
            <w:u w:val="single"/>
            <w:rtl w:val="0"/>
          </w:rPr>
          <w:t xml:space="preserve">https://www.ons.gov.uk/peoplepopulationandcommunity/birthsdeathsandmarriages/deaths/bulletins/deathsrelatedtodrugpoisoninginenglandandwales/2020#drug-poisonings-in-england-and-wales</w:t>
        </w:r>
      </w:hyperlink>
      <w:r w:rsidDel="00000000" w:rsidR="00000000" w:rsidRPr="00000000">
        <w:rPr>
          <w:sz w:val="22"/>
          <w:szCs w:val="22"/>
          <w:rtl w:val="0"/>
        </w:rPr>
        <w:t xml:space="preserve"> (17/03/2022)</w:t>
      </w:r>
    </w:p>
    <w:p w:rsidR="00000000" w:rsidDel="00000000" w:rsidP="00000000" w:rsidRDefault="00000000" w:rsidRPr="00000000" w14:paraId="00000F69">
      <w:pPr>
        <w:jc w:val="both"/>
        <w:rPr>
          <w:sz w:val="22"/>
          <w:szCs w:val="22"/>
        </w:rPr>
      </w:pPr>
      <w:r w:rsidDel="00000000" w:rsidR="00000000" w:rsidRPr="00000000">
        <w:rPr>
          <w:sz w:val="22"/>
          <w:szCs w:val="22"/>
          <w:rtl w:val="0"/>
        </w:rPr>
        <w:tab/>
        <w:tab/>
      </w:r>
    </w:p>
    <w:p w:rsidR="00000000" w:rsidDel="00000000" w:rsidP="00000000" w:rsidRDefault="00000000" w:rsidRPr="00000000" w14:paraId="00000F6A">
      <w:pPr>
        <w:jc w:val="both"/>
        <w:rPr>
          <w:sz w:val="22"/>
          <w:szCs w:val="22"/>
        </w:rPr>
      </w:pPr>
      <w:r w:rsidDel="00000000" w:rsidR="00000000" w:rsidRPr="00000000">
        <w:rPr>
          <w:sz w:val="22"/>
          <w:szCs w:val="22"/>
          <w:rtl w:val="0"/>
        </w:rPr>
        <w:t xml:space="preserve">Office for National Statistics (2022). Cost of living and depression in adults, Great Britain: 29 September to 23 October 2022. Office for National Statistics [online]. Available at: </w:t>
      </w:r>
      <w:hyperlink r:id="rId85">
        <w:r w:rsidDel="00000000" w:rsidR="00000000" w:rsidRPr="00000000">
          <w:rPr>
            <w:color w:val="467886"/>
            <w:sz w:val="22"/>
            <w:szCs w:val="22"/>
            <w:u w:val="single"/>
            <w:rtl w:val="0"/>
          </w:rPr>
          <w:t xml:space="preserve">https://www.ons.gov.uk/peoplepopulationandcommunity/healthandsocialcare/mentalhealth/articles/costoflivinganddepressioninadultsgreatbritain/29septemberto23october2022</w:t>
        </w:r>
      </w:hyperlink>
      <w:r w:rsidDel="00000000" w:rsidR="00000000" w:rsidRPr="00000000">
        <w:rPr>
          <w:sz w:val="22"/>
          <w:szCs w:val="22"/>
          <w:rtl w:val="0"/>
        </w:rPr>
        <w:t xml:space="preserve"> (17/10/2024)</w:t>
      </w:r>
    </w:p>
    <w:p w:rsidR="00000000" w:rsidDel="00000000" w:rsidP="00000000" w:rsidRDefault="00000000" w:rsidRPr="00000000" w14:paraId="00000F6B">
      <w:pPr>
        <w:jc w:val="both"/>
        <w:rPr>
          <w:sz w:val="22"/>
          <w:szCs w:val="22"/>
        </w:rPr>
      </w:pPr>
      <w:r w:rsidDel="00000000" w:rsidR="00000000" w:rsidRPr="00000000">
        <w:rPr>
          <w:rtl w:val="0"/>
        </w:rPr>
      </w:r>
    </w:p>
    <w:p w:rsidR="00000000" w:rsidDel="00000000" w:rsidP="00000000" w:rsidRDefault="00000000" w:rsidRPr="00000000" w14:paraId="00000F6C">
      <w:pPr>
        <w:jc w:val="both"/>
        <w:rPr>
          <w:sz w:val="22"/>
          <w:szCs w:val="22"/>
        </w:rPr>
      </w:pPr>
      <w:r w:rsidDel="00000000" w:rsidR="00000000" w:rsidRPr="00000000">
        <w:rPr>
          <w:sz w:val="22"/>
          <w:szCs w:val="22"/>
          <w:rtl w:val="0"/>
        </w:rPr>
        <w:t xml:space="preserve">Ojio Y. Yamaguchi S. Ohta K. Ando S. Koike S. (2020). "Effects of biomedical messages and expert-recommended messages on reducing mental health-related stigma: a randomised controlled trial." </w:t>
      </w:r>
      <w:r w:rsidDel="00000000" w:rsidR="00000000" w:rsidRPr="00000000">
        <w:rPr>
          <w:i w:val="1"/>
          <w:sz w:val="22"/>
          <w:szCs w:val="22"/>
          <w:rtl w:val="0"/>
        </w:rPr>
        <w:t xml:space="preserve">Epidemiology and Psychiatric Sciences</w:t>
      </w:r>
      <w:r w:rsidDel="00000000" w:rsidR="00000000" w:rsidRPr="00000000">
        <w:rPr>
          <w:sz w:val="22"/>
          <w:szCs w:val="22"/>
          <w:rtl w:val="0"/>
        </w:rPr>
        <w:t xml:space="preserve"> 29(74): 1-9.</w:t>
      </w:r>
    </w:p>
    <w:p w:rsidR="00000000" w:rsidDel="00000000" w:rsidP="00000000" w:rsidRDefault="00000000" w:rsidRPr="00000000" w14:paraId="00000F6D">
      <w:pPr>
        <w:jc w:val="both"/>
        <w:rPr>
          <w:sz w:val="22"/>
          <w:szCs w:val="22"/>
        </w:rPr>
      </w:pPr>
      <w:r w:rsidDel="00000000" w:rsidR="00000000" w:rsidRPr="00000000">
        <w:rPr>
          <w:sz w:val="22"/>
          <w:szCs w:val="22"/>
          <w:rtl w:val="0"/>
        </w:rPr>
        <w:tab/>
      </w:r>
    </w:p>
    <w:p w:rsidR="00000000" w:rsidDel="00000000" w:rsidP="00000000" w:rsidRDefault="00000000" w:rsidRPr="00000000" w14:paraId="00000F6E">
      <w:pPr>
        <w:jc w:val="both"/>
        <w:rPr>
          <w:i w:val="1"/>
          <w:sz w:val="22"/>
          <w:szCs w:val="22"/>
        </w:rPr>
      </w:pPr>
      <w:r w:rsidDel="00000000" w:rsidR="00000000" w:rsidRPr="00000000">
        <w:rPr>
          <w:sz w:val="22"/>
          <w:szCs w:val="22"/>
          <w:rtl w:val="0"/>
        </w:rPr>
        <w:t xml:space="preserve">Okeke, E. "How does online health information seeking affect the patient and the relationship they have with their doctor?" </w:t>
      </w:r>
      <w:r w:rsidDel="00000000" w:rsidR="00000000" w:rsidRPr="00000000">
        <w:rPr>
          <w:i w:val="1"/>
          <w:sz w:val="22"/>
          <w:szCs w:val="22"/>
          <w:rtl w:val="0"/>
        </w:rPr>
        <w:t xml:space="preserve">Inspire Student Journal.</w:t>
      </w:r>
    </w:p>
    <w:p w:rsidR="00000000" w:rsidDel="00000000" w:rsidP="00000000" w:rsidRDefault="00000000" w:rsidRPr="00000000" w14:paraId="00000F6F">
      <w:pPr>
        <w:jc w:val="both"/>
        <w:rPr>
          <w:sz w:val="22"/>
          <w:szCs w:val="22"/>
        </w:rPr>
      </w:pPr>
      <w:r w:rsidDel="00000000" w:rsidR="00000000" w:rsidRPr="00000000">
        <w:rPr>
          <w:sz w:val="22"/>
          <w:szCs w:val="22"/>
          <w:rtl w:val="0"/>
        </w:rPr>
        <w:tab/>
      </w:r>
    </w:p>
    <w:p w:rsidR="00000000" w:rsidDel="00000000" w:rsidP="00000000" w:rsidRDefault="00000000" w:rsidRPr="00000000" w14:paraId="00000F70">
      <w:pPr>
        <w:jc w:val="both"/>
        <w:rPr>
          <w:sz w:val="22"/>
          <w:szCs w:val="22"/>
        </w:rPr>
      </w:pPr>
      <w:r w:rsidDel="00000000" w:rsidR="00000000" w:rsidRPr="00000000">
        <w:rPr>
          <w:sz w:val="22"/>
          <w:szCs w:val="22"/>
          <w:rtl w:val="0"/>
        </w:rPr>
        <w:t xml:space="preserve">Olfson M. King M. Schoenbaum M. (2015). "Benzodiazepine use in the United States." </w:t>
      </w:r>
      <w:r w:rsidDel="00000000" w:rsidR="00000000" w:rsidRPr="00000000">
        <w:rPr>
          <w:i w:val="1"/>
          <w:sz w:val="22"/>
          <w:szCs w:val="22"/>
          <w:rtl w:val="0"/>
        </w:rPr>
        <w:t xml:space="preserve">JAMA Psychiatry</w:t>
      </w:r>
      <w:r w:rsidDel="00000000" w:rsidR="00000000" w:rsidRPr="00000000">
        <w:rPr>
          <w:sz w:val="22"/>
          <w:szCs w:val="22"/>
          <w:rtl w:val="0"/>
        </w:rPr>
        <w:t xml:space="preserve"> 72(2): 136-142.</w:t>
      </w:r>
    </w:p>
    <w:p w:rsidR="00000000" w:rsidDel="00000000" w:rsidP="00000000" w:rsidRDefault="00000000" w:rsidRPr="00000000" w14:paraId="00000F71">
      <w:pPr>
        <w:jc w:val="both"/>
        <w:rPr>
          <w:sz w:val="22"/>
          <w:szCs w:val="22"/>
        </w:rPr>
      </w:pPr>
      <w:r w:rsidDel="00000000" w:rsidR="00000000" w:rsidRPr="00000000">
        <w:rPr>
          <w:rtl w:val="0"/>
        </w:rPr>
      </w:r>
    </w:p>
    <w:p w:rsidR="00000000" w:rsidDel="00000000" w:rsidP="00000000" w:rsidRDefault="00000000" w:rsidRPr="00000000" w14:paraId="00000F72">
      <w:pPr>
        <w:jc w:val="both"/>
        <w:rPr>
          <w:sz w:val="22"/>
          <w:szCs w:val="22"/>
        </w:rPr>
      </w:pPr>
      <w:r w:rsidDel="00000000" w:rsidR="00000000" w:rsidRPr="00000000">
        <w:rPr>
          <w:sz w:val="22"/>
          <w:szCs w:val="22"/>
          <w:rtl w:val="0"/>
        </w:rPr>
        <w:t xml:space="preserve">OpenPrescribing.net (2021). Items for Zopiclone vs Hypnotics by all CCGs [online]. Available at: </w:t>
      </w:r>
      <w:hyperlink r:id="rId86">
        <w:r w:rsidDel="00000000" w:rsidR="00000000" w:rsidRPr="00000000">
          <w:rPr>
            <w:color w:val="467886"/>
            <w:sz w:val="22"/>
            <w:szCs w:val="22"/>
            <w:u w:val="single"/>
            <w:rtl w:val="0"/>
          </w:rPr>
          <w:t xml:space="preserve">https://openprescribing.net/analyse/#org=CCG&amp;numIds=0401010Z0&amp;denomIds=4.1.1&amp;selectedTab=summary</w:t>
        </w:r>
      </w:hyperlink>
      <w:r w:rsidDel="00000000" w:rsidR="00000000" w:rsidRPr="00000000">
        <w:rPr>
          <w:sz w:val="22"/>
          <w:szCs w:val="22"/>
          <w:rtl w:val="0"/>
        </w:rPr>
        <w:t xml:space="preserve"> (02/12/2021)</w:t>
      </w:r>
    </w:p>
    <w:p w:rsidR="00000000" w:rsidDel="00000000" w:rsidP="00000000" w:rsidRDefault="00000000" w:rsidRPr="00000000" w14:paraId="00000F73">
      <w:pPr>
        <w:jc w:val="both"/>
        <w:rPr>
          <w:sz w:val="22"/>
          <w:szCs w:val="22"/>
        </w:rPr>
      </w:pPr>
      <w:r w:rsidDel="00000000" w:rsidR="00000000" w:rsidRPr="00000000">
        <w:rPr>
          <w:sz w:val="22"/>
          <w:szCs w:val="22"/>
          <w:rtl w:val="0"/>
        </w:rPr>
        <w:tab/>
      </w:r>
    </w:p>
    <w:p w:rsidR="00000000" w:rsidDel="00000000" w:rsidP="00000000" w:rsidRDefault="00000000" w:rsidRPr="00000000" w14:paraId="00000F74">
      <w:pPr>
        <w:jc w:val="both"/>
        <w:rPr>
          <w:sz w:val="22"/>
          <w:szCs w:val="22"/>
        </w:rPr>
      </w:pPr>
      <w:r w:rsidDel="00000000" w:rsidR="00000000" w:rsidRPr="00000000">
        <w:rPr>
          <w:sz w:val="22"/>
          <w:szCs w:val="22"/>
          <w:rtl w:val="0"/>
        </w:rPr>
        <w:t xml:space="preserve">Oxford R. (2023). Lived Experience. Oxford Reference.</w:t>
      </w:r>
    </w:p>
    <w:p w:rsidR="00000000" w:rsidDel="00000000" w:rsidP="00000000" w:rsidRDefault="00000000" w:rsidRPr="00000000" w14:paraId="00000F75">
      <w:pPr>
        <w:jc w:val="both"/>
        <w:rPr>
          <w:sz w:val="22"/>
          <w:szCs w:val="22"/>
        </w:rPr>
      </w:pPr>
      <w:r w:rsidDel="00000000" w:rsidR="00000000" w:rsidRPr="00000000">
        <w:rPr>
          <w:sz w:val="22"/>
          <w:szCs w:val="22"/>
          <w:rtl w:val="0"/>
        </w:rPr>
        <w:tab/>
      </w:r>
    </w:p>
    <w:p w:rsidR="00000000" w:rsidDel="00000000" w:rsidP="00000000" w:rsidRDefault="00000000" w:rsidRPr="00000000" w14:paraId="00000F76">
      <w:pPr>
        <w:jc w:val="both"/>
        <w:rPr>
          <w:sz w:val="22"/>
          <w:szCs w:val="22"/>
        </w:rPr>
      </w:pPr>
      <w:r w:rsidDel="00000000" w:rsidR="00000000" w:rsidRPr="00000000">
        <w:rPr>
          <w:sz w:val="22"/>
          <w:szCs w:val="22"/>
          <w:rtl w:val="0"/>
        </w:rPr>
        <w:t xml:space="preserve">Oxford University Hospitals (2011). Unlicensed and "off-label" Medicines. Oxford.</w:t>
      </w:r>
    </w:p>
    <w:p w:rsidR="00000000" w:rsidDel="00000000" w:rsidP="00000000" w:rsidRDefault="00000000" w:rsidRPr="00000000" w14:paraId="00000F77">
      <w:pPr>
        <w:jc w:val="both"/>
        <w:rPr>
          <w:sz w:val="22"/>
          <w:szCs w:val="22"/>
        </w:rPr>
      </w:pPr>
      <w:r w:rsidDel="00000000" w:rsidR="00000000" w:rsidRPr="00000000">
        <w:rPr>
          <w:rtl w:val="0"/>
        </w:rPr>
      </w:r>
    </w:p>
    <w:p w:rsidR="00000000" w:rsidDel="00000000" w:rsidP="00000000" w:rsidRDefault="00000000" w:rsidRPr="00000000" w14:paraId="00000F78">
      <w:pPr>
        <w:jc w:val="both"/>
        <w:rPr>
          <w:sz w:val="22"/>
          <w:szCs w:val="22"/>
        </w:rPr>
      </w:pPr>
      <w:r w:rsidDel="00000000" w:rsidR="00000000" w:rsidRPr="00000000">
        <w:rPr>
          <w:sz w:val="22"/>
          <w:szCs w:val="22"/>
          <w:rtl w:val="0"/>
        </w:rPr>
        <w:t xml:space="preserve">Pain Concern. (2015). NHS England to stop funding two pain treatments [online]. Pain Concern. Available at: </w:t>
      </w:r>
      <w:hyperlink r:id="rId87">
        <w:r w:rsidDel="00000000" w:rsidR="00000000" w:rsidRPr="00000000">
          <w:rPr>
            <w:color w:val="467886"/>
            <w:sz w:val="22"/>
            <w:szCs w:val="22"/>
            <w:u w:val="single"/>
            <w:rtl w:val="0"/>
          </w:rPr>
          <w:t xml:space="preserve">https://painconcern.org.uk/nhs-england-stop-funding-pain-treatment/</w:t>
        </w:r>
      </w:hyperlink>
      <w:r w:rsidDel="00000000" w:rsidR="00000000" w:rsidRPr="00000000">
        <w:rPr>
          <w:sz w:val="22"/>
          <w:szCs w:val="22"/>
          <w:rtl w:val="0"/>
        </w:rPr>
        <w:t xml:space="preserve"> (22/01/2023)</w:t>
      </w:r>
    </w:p>
    <w:p w:rsidR="00000000" w:rsidDel="00000000" w:rsidP="00000000" w:rsidRDefault="00000000" w:rsidRPr="00000000" w14:paraId="00000F79">
      <w:pPr>
        <w:jc w:val="both"/>
        <w:rPr>
          <w:sz w:val="22"/>
          <w:szCs w:val="22"/>
        </w:rPr>
      </w:pPr>
      <w:r w:rsidDel="00000000" w:rsidR="00000000" w:rsidRPr="00000000">
        <w:rPr>
          <w:sz w:val="22"/>
          <w:szCs w:val="22"/>
          <w:rtl w:val="0"/>
        </w:rPr>
        <w:tab/>
      </w:r>
    </w:p>
    <w:p w:rsidR="00000000" w:rsidDel="00000000" w:rsidP="00000000" w:rsidRDefault="00000000" w:rsidRPr="00000000" w14:paraId="00000F7A">
      <w:pPr>
        <w:jc w:val="both"/>
        <w:rPr>
          <w:sz w:val="22"/>
          <w:szCs w:val="22"/>
        </w:rPr>
      </w:pPr>
      <w:r w:rsidDel="00000000" w:rsidR="00000000" w:rsidRPr="00000000">
        <w:rPr>
          <w:sz w:val="22"/>
          <w:szCs w:val="22"/>
          <w:rtl w:val="0"/>
        </w:rPr>
        <w:t xml:space="preserve">Papanna B. Lazzari C. Kulkarni K. Perumal S. Nusair A. (2021). "Pregabalin abuse and dependence during insomnia and protocol for short-term withdrawal management with diazepam: examples from case reports." </w:t>
      </w:r>
      <w:r w:rsidDel="00000000" w:rsidR="00000000" w:rsidRPr="00000000">
        <w:rPr>
          <w:i w:val="1"/>
          <w:sz w:val="22"/>
          <w:szCs w:val="22"/>
          <w:rtl w:val="0"/>
        </w:rPr>
        <w:t xml:space="preserve">Sleep Science</w:t>
      </w:r>
      <w:r w:rsidDel="00000000" w:rsidR="00000000" w:rsidRPr="00000000">
        <w:rPr>
          <w:sz w:val="22"/>
          <w:szCs w:val="22"/>
          <w:rtl w:val="0"/>
        </w:rPr>
        <w:t xml:space="preserve"> 14(2): 193-197.</w:t>
      </w:r>
    </w:p>
    <w:p w:rsidR="00000000" w:rsidDel="00000000" w:rsidP="00000000" w:rsidRDefault="00000000" w:rsidRPr="00000000" w14:paraId="00000F7B">
      <w:pPr>
        <w:jc w:val="both"/>
        <w:rPr>
          <w:sz w:val="22"/>
          <w:szCs w:val="22"/>
        </w:rPr>
      </w:pPr>
      <w:r w:rsidDel="00000000" w:rsidR="00000000" w:rsidRPr="00000000">
        <w:rPr>
          <w:sz w:val="22"/>
          <w:szCs w:val="22"/>
          <w:rtl w:val="0"/>
        </w:rPr>
        <w:tab/>
      </w:r>
    </w:p>
    <w:p w:rsidR="00000000" w:rsidDel="00000000" w:rsidP="00000000" w:rsidRDefault="00000000" w:rsidRPr="00000000" w14:paraId="00000F7C">
      <w:pPr>
        <w:jc w:val="both"/>
        <w:rPr>
          <w:sz w:val="22"/>
          <w:szCs w:val="22"/>
        </w:rPr>
      </w:pPr>
      <w:r w:rsidDel="00000000" w:rsidR="00000000" w:rsidRPr="00000000">
        <w:rPr>
          <w:sz w:val="22"/>
          <w:szCs w:val="22"/>
          <w:rtl w:val="0"/>
        </w:rPr>
        <w:t xml:space="preserve">Papp A. Onton JA. (2018). ". Brain Zaps: An Underappreciated Symptom of Antidepressant Discontinuation." </w:t>
      </w:r>
      <w:r w:rsidDel="00000000" w:rsidR="00000000" w:rsidRPr="00000000">
        <w:rPr>
          <w:i w:val="1"/>
          <w:sz w:val="22"/>
          <w:szCs w:val="22"/>
          <w:rtl w:val="0"/>
        </w:rPr>
        <w:t xml:space="preserve">Prim Care Companion CNS Discord</w:t>
      </w:r>
      <w:r w:rsidDel="00000000" w:rsidR="00000000" w:rsidRPr="00000000">
        <w:rPr>
          <w:sz w:val="22"/>
          <w:szCs w:val="22"/>
          <w:rtl w:val="0"/>
        </w:rPr>
        <w:t xml:space="preserve">. 20(6): 1-7.</w:t>
      </w:r>
    </w:p>
    <w:p w:rsidR="00000000" w:rsidDel="00000000" w:rsidP="00000000" w:rsidRDefault="00000000" w:rsidRPr="00000000" w14:paraId="00000F7D">
      <w:pPr>
        <w:jc w:val="both"/>
        <w:rPr>
          <w:sz w:val="22"/>
          <w:szCs w:val="22"/>
        </w:rPr>
      </w:pPr>
      <w:r w:rsidDel="00000000" w:rsidR="00000000" w:rsidRPr="00000000">
        <w:rPr>
          <w:sz w:val="22"/>
          <w:szCs w:val="22"/>
          <w:rtl w:val="0"/>
        </w:rPr>
        <w:tab/>
      </w:r>
    </w:p>
    <w:p w:rsidR="00000000" w:rsidDel="00000000" w:rsidP="00000000" w:rsidRDefault="00000000" w:rsidRPr="00000000" w14:paraId="00000F7E">
      <w:pPr>
        <w:jc w:val="both"/>
        <w:rPr>
          <w:sz w:val="22"/>
          <w:szCs w:val="22"/>
        </w:rPr>
      </w:pPr>
      <w:r w:rsidDel="00000000" w:rsidR="00000000" w:rsidRPr="00000000">
        <w:rPr>
          <w:sz w:val="22"/>
          <w:szCs w:val="22"/>
          <w:rtl w:val="0"/>
        </w:rPr>
        <w:t xml:space="preserve">Park SM. Ryu J. Lee DR. Shin D. Yun JM. Lee J. (2016). "Zolpidem use and risk of fractures: a systematic review and meta-analysis." </w:t>
      </w:r>
      <w:r w:rsidDel="00000000" w:rsidR="00000000" w:rsidRPr="00000000">
        <w:rPr>
          <w:i w:val="1"/>
          <w:sz w:val="22"/>
          <w:szCs w:val="22"/>
          <w:rtl w:val="0"/>
        </w:rPr>
        <w:t xml:space="preserve">Osteoporosis International</w:t>
      </w:r>
      <w:r w:rsidDel="00000000" w:rsidR="00000000" w:rsidRPr="00000000">
        <w:rPr>
          <w:sz w:val="22"/>
          <w:szCs w:val="22"/>
          <w:rtl w:val="0"/>
        </w:rPr>
        <w:t xml:space="preserve"> 27: 2935-2994.</w:t>
      </w:r>
    </w:p>
    <w:p w:rsidR="00000000" w:rsidDel="00000000" w:rsidP="00000000" w:rsidRDefault="00000000" w:rsidRPr="00000000" w14:paraId="00000F7F">
      <w:pPr>
        <w:jc w:val="both"/>
        <w:rPr>
          <w:sz w:val="22"/>
          <w:szCs w:val="22"/>
        </w:rPr>
      </w:pPr>
      <w:r w:rsidDel="00000000" w:rsidR="00000000" w:rsidRPr="00000000">
        <w:rPr>
          <w:sz w:val="22"/>
          <w:szCs w:val="22"/>
          <w:rtl w:val="0"/>
        </w:rPr>
        <w:tab/>
      </w:r>
    </w:p>
    <w:p w:rsidR="00000000" w:rsidDel="00000000" w:rsidP="00000000" w:rsidRDefault="00000000" w:rsidRPr="00000000" w14:paraId="00000F80">
      <w:pPr>
        <w:jc w:val="both"/>
        <w:rPr>
          <w:sz w:val="22"/>
          <w:szCs w:val="22"/>
        </w:rPr>
      </w:pPr>
      <w:r w:rsidDel="00000000" w:rsidR="00000000" w:rsidRPr="00000000">
        <w:rPr>
          <w:sz w:val="22"/>
          <w:szCs w:val="22"/>
          <w:rtl w:val="0"/>
        </w:rPr>
        <w:t xml:space="preserve">Parker I. (2008). Qualitative psychology: Introducing radical research. Maidenhead, Open University Press.</w:t>
      </w:r>
    </w:p>
    <w:p w:rsidR="00000000" w:rsidDel="00000000" w:rsidP="00000000" w:rsidRDefault="00000000" w:rsidRPr="00000000" w14:paraId="00000F81">
      <w:pPr>
        <w:jc w:val="both"/>
        <w:rPr>
          <w:sz w:val="22"/>
          <w:szCs w:val="22"/>
        </w:rPr>
      </w:pPr>
      <w:r w:rsidDel="00000000" w:rsidR="00000000" w:rsidRPr="00000000">
        <w:rPr>
          <w:rtl w:val="0"/>
        </w:rPr>
      </w:r>
    </w:p>
    <w:p w:rsidR="00000000" w:rsidDel="00000000" w:rsidP="00000000" w:rsidRDefault="00000000" w:rsidRPr="00000000" w14:paraId="00000F82">
      <w:pPr>
        <w:jc w:val="both"/>
        <w:rPr>
          <w:sz w:val="22"/>
          <w:szCs w:val="22"/>
        </w:rPr>
      </w:pPr>
      <w:r w:rsidDel="00000000" w:rsidR="00000000" w:rsidRPr="00000000">
        <w:rPr>
          <w:sz w:val="22"/>
          <w:szCs w:val="22"/>
          <w:rtl w:val="0"/>
        </w:rPr>
        <w:t xml:space="preserve">Parsons G. (2019). Drug-related deaths: practical responses to a growing problem [online]. Available at: </w:t>
      </w:r>
      <w:hyperlink r:id="rId88">
        <w:r w:rsidDel="00000000" w:rsidR="00000000" w:rsidRPr="00000000">
          <w:rPr>
            <w:color w:val="467886"/>
            <w:sz w:val="22"/>
            <w:szCs w:val="22"/>
            <w:u w:val="single"/>
            <w:rtl w:val="0"/>
          </w:rPr>
          <w:t xml:space="preserve">https://www.prescriber.co.uk/article/drug-related-deaths-practical-responses-to-a-growing-problem/</w:t>
        </w:r>
      </w:hyperlink>
      <w:r w:rsidDel="00000000" w:rsidR="00000000" w:rsidRPr="00000000">
        <w:rPr>
          <w:sz w:val="22"/>
          <w:szCs w:val="22"/>
          <w:rtl w:val="0"/>
        </w:rPr>
        <w:t xml:space="preserve"> (19/10/2020)</w:t>
      </w:r>
    </w:p>
    <w:p w:rsidR="00000000" w:rsidDel="00000000" w:rsidP="00000000" w:rsidRDefault="00000000" w:rsidRPr="00000000" w14:paraId="00000F83">
      <w:pPr>
        <w:jc w:val="both"/>
        <w:rPr>
          <w:sz w:val="22"/>
          <w:szCs w:val="22"/>
        </w:rPr>
      </w:pPr>
      <w:r w:rsidDel="00000000" w:rsidR="00000000" w:rsidRPr="00000000">
        <w:rPr>
          <w:rtl w:val="0"/>
        </w:rPr>
      </w:r>
    </w:p>
    <w:p w:rsidR="00000000" w:rsidDel="00000000" w:rsidP="00000000" w:rsidRDefault="00000000" w:rsidRPr="00000000" w14:paraId="00000F84">
      <w:pPr>
        <w:jc w:val="both"/>
        <w:rPr>
          <w:sz w:val="22"/>
          <w:szCs w:val="22"/>
        </w:rPr>
      </w:pPr>
      <w:r w:rsidDel="00000000" w:rsidR="00000000" w:rsidRPr="00000000">
        <w:rPr>
          <w:sz w:val="22"/>
          <w:szCs w:val="22"/>
          <w:rtl w:val="0"/>
        </w:rPr>
        <w:t xml:space="preserve">Parsons T. (1951). The social system. New York, Free Press.</w:t>
      </w:r>
    </w:p>
    <w:p w:rsidR="00000000" w:rsidDel="00000000" w:rsidP="00000000" w:rsidRDefault="00000000" w:rsidRPr="00000000" w14:paraId="00000F85">
      <w:pPr>
        <w:jc w:val="both"/>
        <w:rPr>
          <w:sz w:val="22"/>
          <w:szCs w:val="22"/>
        </w:rPr>
      </w:pPr>
      <w:r w:rsidDel="00000000" w:rsidR="00000000" w:rsidRPr="00000000">
        <w:rPr>
          <w:sz w:val="22"/>
          <w:szCs w:val="22"/>
          <w:rtl w:val="0"/>
        </w:rPr>
        <w:tab/>
      </w:r>
    </w:p>
    <w:p w:rsidR="00000000" w:rsidDel="00000000" w:rsidP="00000000" w:rsidRDefault="00000000" w:rsidRPr="00000000" w14:paraId="00000F86">
      <w:pPr>
        <w:jc w:val="both"/>
        <w:rPr>
          <w:sz w:val="22"/>
          <w:szCs w:val="22"/>
        </w:rPr>
      </w:pPr>
      <w:r w:rsidDel="00000000" w:rsidR="00000000" w:rsidRPr="00000000">
        <w:rPr>
          <w:sz w:val="22"/>
          <w:szCs w:val="22"/>
          <w:rtl w:val="0"/>
        </w:rPr>
        <w:t xml:space="preserve">Paterson C. Ledgerwood K. Arnold C. Hogg M. Xue X. Zheng Z. (2016). "Registering Prescribed Opioids: A Qualitative Study of Decision Making in Patients Taking Opioids for Chronic Non-Cancer Pain." </w:t>
      </w:r>
      <w:r w:rsidDel="00000000" w:rsidR="00000000" w:rsidRPr="00000000">
        <w:rPr>
          <w:i w:val="1"/>
          <w:sz w:val="22"/>
          <w:szCs w:val="22"/>
          <w:rtl w:val="0"/>
        </w:rPr>
        <w:t xml:space="preserve">Pain Medicine</w:t>
      </w:r>
      <w:r w:rsidDel="00000000" w:rsidR="00000000" w:rsidRPr="00000000">
        <w:rPr>
          <w:sz w:val="22"/>
          <w:szCs w:val="22"/>
          <w:rtl w:val="0"/>
        </w:rPr>
        <w:t xml:space="preserve">. 176: 717-727.</w:t>
      </w:r>
    </w:p>
    <w:p w:rsidR="00000000" w:rsidDel="00000000" w:rsidP="00000000" w:rsidRDefault="00000000" w:rsidRPr="00000000" w14:paraId="00000F87">
      <w:pPr>
        <w:jc w:val="both"/>
        <w:rPr>
          <w:sz w:val="22"/>
          <w:szCs w:val="22"/>
        </w:rPr>
      </w:pPr>
      <w:r w:rsidDel="00000000" w:rsidR="00000000" w:rsidRPr="00000000">
        <w:rPr>
          <w:sz w:val="22"/>
          <w:szCs w:val="22"/>
          <w:rtl w:val="0"/>
        </w:rPr>
        <w:tab/>
      </w:r>
    </w:p>
    <w:p w:rsidR="00000000" w:rsidDel="00000000" w:rsidP="00000000" w:rsidRDefault="00000000" w:rsidRPr="00000000" w14:paraId="00000F88">
      <w:pPr>
        <w:jc w:val="both"/>
        <w:rPr>
          <w:sz w:val="22"/>
          <w:szCs w:val="22"/>
        </w:rPr>
      </w:pPr>
      <w:r w:rsidDel="00000000" w:rsidR="00000000" w:rsidRPr="00000000">
        <w:rPr>
          <w:sz w:val="22"/>
          <w:szCs w:val="22"/>
          <w:rtl w:val="0"/>
        </w:rPr>
        <w:t xml:space="preserve">Patton MQ. (1990). Qualitative evaluation and research methods, Sage.</w:t>
      </w:r>
    </w:p>
    <w:p w:rsidR="00000000" w:rsidDel="00000000" w:rsidP="00000000" w:rsidRDefault="00000000" w:rsidRPr="00000000" w14:paraId="00000F89">
      <w:pPr>
        <w:jc w:val="both"/>
        <w:rPr>
          <w:sz w:val="22"/>
          <w:szCs w:val="22"/>
        </w:rPr>
      </w:pPr>
      <w:r w:rsidDel="00000000" w:rsidR="00000000" w:rsidRPr="00000000">
        <w:rPr>
          <w:sz w:val="22"/>
          <w:szCs w:val="22"/>
          <w:rtl w:val="0"/>
        </w:rPr>
        <w:tab/>
      </w:r>
    </w:p>
    <w:p w:rsidR="00000000" w:rsidDel="00000000" w:rsidP="00000000" w:rsidRDefault="00000000" w:rsidRPr="00000000" w14:paraId="00000F8A">
      <w:pPr>
        <w:jc w:val="both"/>
        <w:rPr>
          <w:sz w:val="22"/>
          <w:szCs w:val="22"/>
        </w:rPr>
      </w:pPr>
      <w:r w:rsidDel="00000000" w:rsidR="00000000" w:rsidRPr="00000000">
        <w:rPr>
          <w:sz w:val="22"/>
          <w:szCs w:val="22"/>
          <w:rtl w:val="0"/>
        </w:rPr>
        <w:t xml:space="preserve">Patton MQ. (1999). "Enhancing the quality and credibility of qualitative analysis." </w:t>
      </w:r>
      <w:r w:rsidDel="00000000" w:rsidR="00000000" w:rsidRPr="00000000">
        <w:rPr>
          <w:i w:val="1"/>
          <w:sz w:val="22"/>
          <w:szCs w:val="22"/>
          <w:rtl w:val="0"/>
        </w:rPr>
        <w:t xml:space="preserve">Health Sciences Research</w:t>
      </w:r>
      <w:r w:rsidDel="00000000" w:rsidR="00000000" w:rsidRPr="00000000">
        <w:rPr>
          <w:sz w:val="22"/>
          <w:szCs w:val="22"/>
          <w:rtl w:val="0"/>
        </w:rPr>
        <w:t xml:space="preserve"> 34: 1189-1208.</w:t>
      </w:r>
    </w:p>
    <w:p w:rsidR="00000000" w:rsidDel="00000000" w:rsidP="00000000" w:rsidRDefault="00000000" w:rsidRPr="00000000" w14:paraId="00000F8B">
      <w:pPr>
        <w:jc w:val="both"/>
        <w:rPr>
          <w:sz w:val="22"/>
          <w:szCs w:val="22"/>
        </w:rPr>
      </w:pPr>
      <w:r w:rsidDel="00000000" w:rsidR="00000000" w:rsidRPr="00000000">
        <w:rPr>
          <w:sz w:val="22"/>
          <w:szCs w:val="22"/>
          <w:rtl w:val="0"/>
        </w:rPr>
        <w:tab/>
      </w:r>
    </w:p>
    <w:p w:rsidR="00000000" w:rsidDel="00000000" w:rsidP="00000000" w:rsidRDefault="00000000" w:rsidRPr="00000000" w14:paraId="00000F8C">
      <w:pPr>
        <w:jc w:val="both"/>
        <w:rPr>
          <w:sz w:val="22"/>
          <w:szCs w:val="22"/>
        </w:rPr>
      </w:pPr>
      <w:r w:rsidDel="00000000" w:rsidR="00000000" w:rsidRPr="00000000">
        <w:rPr>
          <w:sz w:val="22"/>
          <w:szCs w:val="22"/>
          <w:rtl w:val="0"/>
        </w:rPr>
        <w:t xml:space="preserve">Pauly NJ. Delcher C. Freeman PR. (2020). "Trends in Gabapentin Prescribing in a Commercially Insured U.S. Adult Population, 2009-2016." </w:t>
      </w:r>
      <w:r w:rsidDel="00000000" w:rsidR="00000000" w:rsidRPr="00000000">
        <w:rPr>
          <w:i w:val="1"/>
          <w:sz w:val="22"/>
          <w:szCs w:val="22"/>
          <w:rtl w:val="0"/>
        </w:rPr>
        <w:t xml:space="preserve">J Manag Care spec Pharm</w:t>
      </w:r>
      <w:r w:rsidDel="00000000" w:rsidR="00000000" w:rsidRPr="00000000">
        <w:rPr>
          <w:sz w:val="22"/>
          <w:szCs w:val="22"/>
          <w:rtl w:val="0"/>
        </w:rPr>
        <w:t xml:space="preserve">. 26(3): 246-252.</w:t>
      </w:r>
    </w:p>
    <w:p w:rsidR="00000000" w:rsidDel="00000000" w:rsidP="00000000" w:rsidRDefault="00000000" w:rsidRPr="00000000" w14:paraId="00000F8D">
      <w:pPr>
        <w:jc w:val="both"/>
        <w:rPr>
          <w:sz w:val="22"/>
          <w:szCs w:val="22"/>
        </w:rPr>
      </w:pPr>
      <w:r w:rsidDel="00000000" w:rsidR="00000000" w:rsidRPr="00000000">
        <w:rPr>
          <w:sz w:val="22"/>
          <w:szCs w:val="22"/>
          <w:rtl w:val="0"/>
        </w:rPr>
        <w:tab/>
      </w:r>
    </w:p>
    <w:p w:rsidR="00000000" w:rsidDel="00000000" w:rsidP="00000000" w:rsidRDefault="00000000" w:rsidRPr="00000000" w14:paraId="00000F8E">
      <w:pPr>
        <w:jc w:val="both"/>
        <w:rPr>
          <w:sz w:val="22"/>
          <w:szCs w:val="22"/>
        </w:rPr>
      </w:pPr>
      <w:r w:rsidDel="00000000" w:rsidR="00000000" w:rsidRPr="00000000">
        <w:rPr>
          <w:sz w:val="22"/>
          <w:szCs w:val="22"/>
          <w:rtl w:val="0"/>
        </w:rPr>
        <w:t xml:space="preserve">Pedersen S. Smithson J. (2013). "Mothers with Attitude – How the Mumsnet Parenting Forum Offers Space for New Forms of Femininity to Emerge Online." </w:t>
      </w:r>
      <w:r w:rsidDel="00000000" w:rsidR="00000000" w:rsidRPr="00000000">
        <w:rPr>
          <w:i w:val="1"/>
          <w:sz w:val="22"/>
          <w:szCs w:val="22"/>
          <w:rtl w:val="0"/>
        </w:rPr>
        <w:t xml:space="preserve">Womens Studies International Forum</w:t>
      </w:r>
      <w:r w:rsidDel="00000000" w:rsidR="00000000" w:rsidRPr="00000000">
        <w:rPr>
          <w:sz w:val="22"/>
          <w:szCs w:val="22"/>
          <w:rtl w:val="0"/>
        </w:rPr>
        <w:t xml:space="preserve"> 38: 97-106.</w:t>
      </w:r>
    </w:p>
    <w:p w:rsidR="00000000" w:rsidDel="00000000" w:rsidP="00000000" w:rsidRDefault="00000000" w:rsidRPr="00000000" w14:paraId="00000F8F">
      <w:pPr>
        <w:jc w:val="both"/>
        <w:rPr>
          <w:sz w:val="22"/>
          <w:szCs w:val="22"/>
        </w:rPr>
      </w:pPr>
      <w:r w:rsidDel="00000000" w:rsidR="00000000" w:rsidRPr="00000000">
        <w:rPr>
          <w:sz w:val="22"/>
          <w:szCs w:val="22"/>
          <w:rtl w:val="0"/>
        </w:rPr>
        <w:tab/>
      </w:r>
    </w:p>
    <w:p w:rsidR="00000000" w:rsidDel="00000000" w:rsidP="00000000" w:rsidRDefault="00000000" w:rsidRPr="00000000" w14:paraId="00000F90">
      <w:pPr>
        <w:jc w:val="both"/>
        <w:rPr>
          <w:sz w:val="22"/>
          <w:szCs w:val="22"/>
        </w:rPr>
      </w:pPr>
      <w:r w:rsidDel="00000000" w:rsidR="00000000" w:rsidRPr="00000000">
        <w:rPr>
          <w:sz w:val="22"/>
          <w:szCs w:val="22"/>
          <w:rtl w:val="0"/>
        </w:rPr>
        <w:t xml:space="preserve">Pertwee RG. (2014). Handbook of Cannabis, Oxford University Press.</w:t>
      </w:r>
    </w:p>
    <w:p w:rsidR="00000000" w:rsidDel="00000000" w:rsidP="00000000" w:rsidRDefault="00000000" w:rsidRPr="00000000" w14:paraId="00000F91">
      <w:pPr>
        <w:jc w:val="both"/>
        <w:rPr>
          <w:sz w:val="22"/>
          <w:szCs w:val="22"/>
        </w:rPr>
      </w:pPr>
      <w:r w:rsidDel="00000000" w:rsidR="00000000" w:rsidRPr="00000000">
        <w:rPr>
          <w:sz w:val="22"/>
          <w:szCs w:val="22"/>
          <w:rtl w:val="0"/>
        </w:rPr>
        <w:t xml:space="preserve">Pescheny JV. Gunn LH. Pappas Y. Randhawa G. (2021). "The impact of the Luton social prescribing programme on mental wellbeing: a quantitative before-and-after study." </w:t>
      </w:r>
      <w:r w:rsidDel="00000000" w:rsidR="00000000" w:rsidRPr="00000000">
        <w:rPr>
          <w:i w:val="1"/>
          <w:sz w:val="22"/>
          <w:szCs w:val="22"/>
          <w:rtl w:val="0"/>
        </w:rPr>
        <w:t xml:space="preserve">Journal of Public Health</w:t>
      </w:r>
      <w:r w:rsidDel="00000000" w:rsidR="00000000" w:rsidRPr="00000000">
        <w:rPr>
          <w:sz w:val="22"/>
          <w:szCs w:val="22"/>
          <w:rtl w:val="0"/>
        </w:rPr>
        <w:t xml:space="preserve"> 43(1): 69-76.</w:t>
      </w:r>
    </w:p>
    <w:p w:rsidR="00000000" w:rsidDel="00000000" w:rsidP="00000000" w:rsidRDefault="00000000" w:rsidRPr="00000000" w14:paraId="00000F92">
      <w:pPr>
        <w:jc w:val="both"/>
        <w:rPr>
          <w:sz w:val="22"/>
          <w:szCs w:val="22"/>
        </w:rPr>
      </w:pPr>
      <w:r w:rsidDel="00000000" w:rsidR="00000000" w:rsidRPr="00000000">
        <w:rPr>
          <w:rtl w:val="0"/>
        </w:rPr>
      </w:r>
    </w:p>
    <w:p w:rsidR="00000000" w:rsidDel="00000000" w:rsidP="00000000" w:rsidRDefault="00000000" w:rsidRPr="00000000" w14:paraId="00000F93">
      <w:pPr>
        <w:jc w:val="both"/>
        <w:rPr>
          <w:sz w:val="22"/>
          <w:szCs w:val="22"/>
        </w:rPr>
      </w:pPr>
      <w:r w:rsidDel="00000000" w:rsidR="00000000" w:rsidRPr="00000000">
        <w:rPr>
          <w:sz w:val="22"/>
          <w:szCs w:val="22"/>
          <w:rtl w:val="0"/>
        </w:rPr>
        <w:t xml:space="preserve">Pescosolido BA. Martin JK. Long JS. Medina TR. Phelan JC. Link BG. (2010). "A Disease Like Any Other? A Decade of Change in Public Reactions to Schizophrenia, Depression and Alcohol Dependence." </w:t>
      </w:r>
      <w:r w:rsidDel="00000000" w:rsidR="00000000" w:rsidRPr="00000000">
        <w:rPr>
          <w:i w:val="1"/>
          <w:sz w:val="22"/>
          <w:szCs w:val="22"/>
          <w:rtl w:val="0"/>
        </w:rPr>
        <w:t xml:space="preserve">The American Journal of Psychiatry</w:t>
      </w:r>
      <w:r w:rsidDel="00000000" w:rsidR="00000000" w:rsidRPr="00000000">
        <w:rPr>
          <w:sz w:val="22"/>
          <w:szCs w:val="22"/>
          <w:rtl w:val="0"/>
        </w:rPr>
        <w:t xml:space="preserve"> 167: 1321-1330.</w:t>
      </w:r>
    </w:p>
    <w:p w:rsidR="00000000" w:rsidDel="00000000" w:rsidP="00000000" w:rsidRDefault="00000000" w:rsidRPr="00000000" w14:paraId="00000F94">
      <w:pPr>
        <w:jc w:val="both"/>
        <w:rPr>
          <w:sz w:val="22"/>
          <w:szCs w:val="22"/>
        </w:rPr>
      </w:pPr>
      <w:r w:rsidDel="00000000" w:rsidR="00000000" w:rsidRPr="00000000">
        <w:rPr>
          <w:sz w:val="22"/>
          <w:szCs w:val="22"/>
          <w:rtl w:val="0"/>
        </w:rPr>
        <w:tab/>
      </w:r>
    </w:p>
    <w:p w:rsidR="00000000" w:rsidDel="00000000" w:rsidP="00000000" w:rsidRDefault="00000000" w:rsidRPr="00000000" w14:paraId="00000F95">
      <w:pPr>
        <w:jc w:val="both"/>
        <w:rPr>
          <w:sz w:val="22"/>
          <w:szCs w:val="22"/>
        </w:rPr>
      </w:pPr>
      <w:r w:rsidDel="00000000" w:rsidR="00000000" w:rsidRPr="00000000">
        <w:rPr>
          <w:sz w:val="22"/>
          <w:szCs w:val="22"/>
          <w:rtl w:val="0"/>
        </w:rPr>
        <w:t xml:space="preserve">Petelinsek A. Korajilija AL. (2020). "Predictors of pharmacophobia." </w:t>
      </w:r>
      <w:r w:rsidDel="00000000" w:rsidR="00000000" w:rsidRPr="00000000">
        <w:rPr>
          <w:i w:val="1"/>
          <w:sz w:val="22"/>
          <w:szCs w:val="22"/>
          <w:rtl w:val="0"/>
        </w:rPr>
        <w:t xml:space="preserve">Health Psychology</w:t>
      </w:r>
      <w:r w:rsidDel="00000000" w:rsidR="00000000" w:rsidRPr="00000000">
        <w:rPr>
          <w:sz w:val="22"/>
          <w:szCs w:val="22"/>
          <w:rtl w:val="0"/>
        </w:rPr>
        <w:t xml:space="preserve"> Research 8(8853)</w:t>
      </w:r>
    </w:p>
    <w:p w:rsidR="00000000" w:rsidDel="00000000" w:rsidP="00000000" w:rsidRDefault="00000000" w:rsidRPr="00000000" w14:paraId="00000F96">
      <w:pPr>
        <w:jc w:val="both"/>
        <w:rPr>
          <w:sz w:val="22"/>
          <w:szCs w:val="22"/>
        </w:rPr>
      </w:pPr>
      <w:r w:rsidDel="00000000" w:rsidR="00000000" w:rsidRPr="00000000">
        <w:rPr>
          <w:sz w:val="22"/>
          <w:szCs w:val="22"/>
          <w:rtl w:val="0"/>
        </w:rPr>
        <w:tab/>
      </w:r>
    </w:p>
    <w:p w:rsidR="00000000" w:rsidDel="00000000" w:rsidP="00000000" w:rsidRDefault="00000000" w:rsidRPr="00000000" w14:paraId="00000F97">
      <w:pPr>
        <w:jc w:val="both"/>
        <w:rPr>
          <w:sz w:val="22"/>
          <w:szCs w:val="22"/>
        </w:rPr>
      </w:pPr>
      <w:r w:rsidDel="00000000" w:rsidR="00000000" w:rsidRPr="00000000">
        <w:rPr>
          <w:sz w:val="22"/>
          <w:szCs w:val="22"/>
          <w:rtl w:val="0"/>
        </w:rPr>
        <w:t xml:space="preserve">Piermarini C. Viswanath O. (2019). "CBD as the New Medicine in the Pain Provider's Armamentarium." </w:t>
      </w:r>
      <w:r w:rsidDel="00000000" w:rsidR="00000000" w:rsidRPr="00000000">
        <w:rPr>
          <w:i w:val="1"/>
          <w:sz w:val="22"/>
          <w:szCs w:val="22"/>
          <w:rtl w:val="0"/>
        </w:rPr>
        <w:t xml:space="preserve">Pain and Therapy</w:t>
      </w:r>
      <w:r w:rsidDel="00000000" w:rsidR="00000000" w:rsidRPr="00000000">
        <w:rPr>
          <w:sz w:val="22"/>
          <w:szCs w:val="22"/>
          <w:rtl w:val="0"/>
        </w:rPr>
        <w:t xml:space="preserve"> 8: 157-158.</w:t>
      </w:r>
    </w:p>
    <w:p w:rsidR="00000000" w:rsidDel="00000000" w:rsidP="00000000" w:rsidRDefault="00000000" w:rsidRPr="00000000" w14:paraId="00000F98">
      <w:pPr>
        <w:jc w:val="both"/>
        <w:rPr>
          <w:sz w:val="22"/>
          <w:szCs w:val="22"/>
        </w:rPr>
      </w:pPr>
      <w:r w:rsidDel="00000000" w:rsidR="00000000" w:rsidRPr="00000000">
        <w:rPr>
          <w:rtl w:val="0"/>
        </w:rPr>
      </w:r>
    </w:p>
    <w:p w:rsidR="00000000" w:rsidDel="00000000" w:rsidP="00000000" w:rsidRDefault="00000000" w:rsidRPr="00000000" w14:paraId="00000F99">
      <w:pPr>
        <w:jc w:val="both"/>
        <w:rPr>
          <w:sz w:val="22"/>
          <w:szCs w:val="22"/>
        </w:rPr>
      </w:pPr>
      <w:r w:rsidDel="00000000" w:rsidR="00000000" w:rsidRPr="00000000">
        <w:rPr>
          <w:sz w:val="22"/>
          <w:szCs w:val="22"/>
          <w:rtl w:val="0"/>
        </w:rPr>
        <w:t xml:space="preserve">Pirmohammed M. Ferner RE. (2004). "Adverse drug reactions as cause of admission to hospital: prospective analysis of 18 820 patients." </w:t>
      </w:r>
      <w:r w:rsidDel="00000000" w:rsidR="00000000" w:rsidRPr="00000000">
        <w:rPr>
          <w:i w:val="1"/>
          <w:sz w:val="22"/>
          <w:szCs w:val="22"/>
          <w:rtl w:val="0"/>
        </w:rPr>
        <w:t xml:space="preserve">British Medical Journal</w:t>
      </w:r>
      <w:r w:rsidDel="00000000" w:rsidR="00000000" w:rsidRPr="00000000">
        <w:rPr>
          <w:sz w:val="22"/>
          <w:szCs w:val="22"/>
          <w:rtl w:val="0"/>
        </w:rPr>
        <w:t xml:space="preserve"> 329: 15-19.</w:t>
      </w:r>
    </w:p>
    <w:p w:rsidR="00000000" w:rsidDel="00000000" w:rsidP="00000000" w:rsidRDefault="00000000" w:rsidRPr="00000000" w14:paraId="00000F9A">
      <w:pPr>
        <w:jc w:val="both"/>
        <w:rPr>
          <w:sz w:val="22"/>
          <w:szCs w:val="22"/>
        </w:rPr>
      </w:pPr>
      <w:r w:rsidDel="00000000" w:rsidR="00000000" w:rsidRPr="00000000">
        <w:rPr>
          <w:sz w:val="22"/>
          <w:szCs w:val="22"/>
          <w:rtl w:val="0"/>
        </w:rPr>
        <w:tab/>
      </w:r>
    </w:p>
    <w:p w:rsidR="00000000" w:rsidDel="00000000" w:rsidP="00000000" w:rsidRDefault="00000000" w:rsidRPr="00000000" w14:paraId="00000F9B">
      <w:pPr>
        <w:jc w:val="both"/>
        <w:rPr>
          <w:sz w:val="22"/>
          <w:szCs w:val="22"/>
        </w:rPr>
      </w:pPr>
      <w:r w:rsidDel="00000000" w:rsidR="00000000" w:rsidRPr="00000000">
        <w:rPr>
          <w:sz w:val="22"/>
          <w:szCs w:val="22"/>
          <w:rtl w:val="0"/>
        </w:rPr>
        <w:t xml:space="preserve">Pirmohammed M. Ferner RE. (2003). "Monitoring Drug Treatment." </w:t>
      </w:r>
      <w:r w:rsidDel="00000000" w:rsidR="00000000" w:rsidRPr="00000000">
        <w:rPr>
          <w:i w:val="1"/>
          <w:sz w:val="22"/>
          <w:szCs w:val="22"/>
          <w:rtl w:val="0"/>
        </w:rPr>
        <w:t xml:space="preserve">BMJ</w:t>
      </w:r>
      <w:r w:rsidDel="00000000" w:rsidR="00000000" w:rsidRPr="00000000">
        <w:rPr>
          <w:sz w:val="22"/>
          <w:szCs w:val="22"/>
          <w:rtl w:val="0"/>
        </w:rPr>
        <w:t xml:space="preserve"> 327: 1179-1181.</w:t>
      </w:r>
    </w:p>
    <w:p w:rsidR="00000000" w:rsidDel="00000000" w:rsidP="00000000" w:rsidRDefault="00000000" w:rsidRPr="00000000" w14:paraId="00000F9C">
      <w:pPr>
        <w:jc w:val="both"/>
        <w:rPr>
          <w:sz w:val="22"/>
          <w:szCs w:val="22"/>
        </w:rPr>
      </w:pPr>
      <w:r w:rsidDel="00000000" w:rsidR="00000000" w:rsidRPr="00000000">
        <w:rPr>
          <w:sz w:val="22"/>
          <w:szCs w:val="22"/>
          <w:rtl w:val="0"/>
        </w:rPr>
        <w:tab/>
      </w:r>
    </w:p>
    <w:p w:rsidR="00000000" w:rsidDel="00000000" w:rsidP="00000000" w:rsidRDefault="00000000" w:rsidRPr="00000000" w14:paraId="00000F9D">
      <w:pPr>
        <w:jc w:val="both"/>
        <w:rPr>
          <w:sz w:val="22"/>
          <w:szCs w:val="22"/>
        </w:rPr>
      </w:pPr>
      <w:r w:rsidDel="00000000" w:rsidR="00000000" w:rsidRPr="00000000">
        <w:rPr>
          <w:sz w:val="22"/>
          <w:szCs w:val="22"/>
          <w:rtl w:val="0"/>
        </w:rPr>
        <w:t xml:space="preserve">Polcin D. Mericle A. Howell J. Sheridan D. Christensen J. (2014). "Maximizing Social Model Principles in Residential Recovery Settings." Journal of Psychoactive Drugs 46(5): 436-443.</w:t>
      </w:r>
    </w:p>
    <w:p w:rsidR="00000000" w:rsidDel="00000000" w:rsidP="00000000" w:rsidRDefault="00000000" w:rsidRPr="00000000" w14:paraId="00000F9E">
      <w:pPr>
        <w:jc w:val="both"/>
        <w:rPr>
          <w:sz w:val="22"/>
          <w:szCs w:val="22"/>
        </w:rPr>
      </w:pPr>
      <w:r w:rsidDel="00000000" w:rsidR="00000000" w:rsidRPr="00000000">
        <w:rPr>
          <w:sz w:val="22"/>
          <w:szCs w:val="22"/>
          <w:rtl w:val="0"/>
        </w:rPr>
        <w:tab/>
      </w:r>
    </w:p>
    <w:p w:rsidR="00000000" w:rsidDel="00000000" w:rsidP="00000000" w:rsidRDefault="00000000" w:rsidRPr="00000000" w14:paraId="00000F9F">
      <w:pPr>
        <w:jc w:val="both"/>
        <w:rPr>
          <w:sz w:val="22"/>
          <w:szCs w:val="22"/>
        </w:rPr>
      </w:pPr>
      <w:r w:rsidDel="00000000" w:rsidR="00000000" w:rsidRPr="00000000">
        <w:rPr>
          <w:sz w:val="22"/>
          <w:szCs w:val="22"/>
          <w:rtl w:val="0"/>
        </w:rPr>
        <w:t xml:space="preserve">Polit DF. Beck CT. (2008). Generating and Assessing Evidence for Nursing Practice. Philadelphia, Lippincott Williams and Wilkins.</w:t>
      </w:r>
    </w:p>
    <w:p w:rsidR="00000000" w:rsidDel="00000000" w:rsidP="00000000" w:rsidRDefault="00000000" w:rsidRPr="00000000" w14:paraId="00000FA0">
      <w:pPr>
        <w:jc w:val="both"/>
        <w:rPr>
          <w:sz w:val="22"/>
          <w:szCs w:val="22"/>
        </w:rPr>
      </w:pPr>
      <w:r w:rsidDel="00000000" w:rsidR="00000000" w:rsidRPr="00000000">
        <w:rPr>
          <w:sz w:val="22"/>
          <w:szCs w:val="22"/>
          <w:rtl w:val="0"/>
        </w:rPr>
        <w:tab/>
      </w:r>
    </w:p>
    <w:p w:rsidR="00000000" w:rsidDel="00000000" w:rsidP="00000000" w:rsidRDefault="00000000" w:rsidRPr="00000000" w14:paraId="00000FA1">
      <w:pPr>
        <w:jc w:val="both"/>
        <w:rPr>
          <w:sz w:val="22"/>
          <w:szCs w:val="22"/>
        </w:rPr>
      </w:pPr>
      <w:r w:rsidDel="00000000" w:rsidR="00000000" w:rsidRPr="00000000">
        <w:rPr>
          <w:sz w:val="22"/>
          <w:szCs w:val="22"/>
          <w:rtl w:val="0"/>
        </w:rPr>
        <w:t xml:space="preserve">Polit DF. Beck CT.2009). "International differences in nursing research, 2005-2006." </w:t>
      </w:r>
      <w:r w:rsidDel="00000000" w:rsidR="00000000" w:rsidRPr="00000000">
        <w:rPr>
          <w:i w:val="1"/>
          <w:sz w:val="22"/>
          <w:szCs w:val="22"/>
          <w:rtl w:val="0"/>
        </w:rPr>
        <w:t xml:space="preserve">Journal of Nursing Scholarship</w:t>
      </w:r>
      <w:r w:rsidDel="00000000" w:rsidR="00000000" w:rsidRPr="00000000">
        <w:rPr>
          <w:sz w:val="22"/>
          <w:szCs w:val="22"/>
          <w:rtl w:val="0"/>
        </w:rPr>
        <w:t xml:space="preserve"> 4(1): 44-53.</w:t>
      </w:r>
    </w:p>
    <w:p w:rsidR="00000000" w:rsidDel="00000000" w:rsidP="00000000" w:rsidRDefault="00000000" w:rsidRPr="00000000" w14:paraId="00000FA2">
      <w:pPr>
        <w:jc w:val="both"/>
        <w:rPr>
          <w:sz w:val="22"/>
          <w:szCs w:val="22"/>
        </w:rPr>
      </w:pPr>
      <w:r w:rsidDel="00000000" w:rsidR="00000000" w:rsidRPr="00000000">
        <w:rPr>
          <w:rtl w:val="0"/>
        </w:rPr>
      </w:r>
    </w:p>
    <w:p w:rsidR="00000000" w:rsidDel="00000000" w:rsidP="00000000" w:rsidRDefault="00000000" w:rsidRPr="00000000" w14:paraId="00000FA3">
      <w:pPr>
        <w:jc w:val="both"/>
        <w:rPr>
          <w:sz w:val="22"/>
          <w:szCs w:val="22"/>
        </w:rPr>
      </w:pPr>
      <w:r w:rsidDel="00000000" w:rsidR="00000000" w:rsidRPr="00000000">
        <w:rPr>
          <w:sz w:val="22"/>
          <w:szCs w:val="22"/>
          <w:rtl w:val="0"/>
        </w:rPr>
        <w:t xml:space="preserve">Polley M. Bertotti M. Kimberlee R. Pilkington K. Refsum C. (2017). "A review of the evidence assessing impact of social prescribing on healthcare demand and cost implications." University of Westminster.</w:t>
      </w:r>
    </w:p>
    <w:p w:rsidR="00000000" w:rsidDel="00000000" w:rsidP="00000000" w:rsidRDefault="00000000" w:rsidRPr="00000000" w14:paraId="00000FA4">
      <w:pPr>
        <w:jc w:val="both"/>
        <w:rPr>
          <w:sz w:val="22"/>
          <w:szCs w:val="22"/>
        </w:rPr>
      </w:pPr>
      <w:r w:rsidDel="00000000" w:rsidR="00000000" w:rsidRPr="00000000">
        <w:rPr>
          <w:rtl w:val="0"/>
        </w:rPr>
      </w:r>
    </w:p>
    <w:p w:rsidR="00000000" w:rsidDel="00000000" w:rsidP="00000000" w:rsidRDefault="00000000" w:rsidRPr="00000000" w14:paraId="00000FA5">
      <w:pPr>
        <w:jc w:val="both"/>
        <w:rPr>
          <w:sz w:val="22"/>
          <w:szCs w:val="22"/>
        </w:rPr>
      </w:pPr>
      <w:r w:rsidDel="00000000" w:rsidR="00000000" w:rsidRPr="00000000">
        <w:rPr>
          <w:sz w:val="22"/>
          <w:szCs w:val="22"/>
          <w:rtl w:val="0"/>
        </w:rPr>
        <w:t xml:space="preserve">Polley M. Seers H. Fixsen A. (2019). Evaluation Report of the Social Prescribing Demonstrator Site in Shropshire - Final Report.</w:t>
      </w:r>
    </w:p>
    <w:p w:rsidR="00000000" w:rsidDel="00000000" w:rsidP="00000000" w:rsidRDefault="00000000" w:rsidRPr="00000000" w14:paraId="00000FA6">
      <w:pPr>
        <w:jc w:val="both"/>
        <w:rPr>
          <w:sz w:val="22"/>
          <w:szCs w:val="22"/>
        </w:rPr>
      </w:pPr>
      <w:r w:rsidDel="00000000" w:rsidR="00000000" w:rsidRPr="00000000">
        <w:rPr>
          <w:sz w:val="22"/>
          <w:szCs w:val="22"/>
          <w:rtl w:val="0"/>
        </w:rPr>
        <w:tab/>
      </w:r>
    </w:p>
    <w:p w:rsidR="00000000" w:rsidDel="00000000" w:rsidP="00000000" w:rsidRDefault="00000000" w:rsidRPr="00000000" w14:paraId="00000FA7">
      <w:pPr>
        <w:jc w:val="both"/>
        <w:rPr>
          <w:sz w:val="22"/>
          <w:szCs w:val="22"/>
        </w:rPr>
      </w:pPr>
      <w:r w:rsidDel="00000000" w:rsidR="00000000" w:rsidRPr="00000000">
        <w:rPr>
          <w:sz w:val="22"/>
          <w:szCs w:val="22"/>
          <w:rtl w:val="0"/>
        </w:rPr>
        <w:t xml:space="preserve">Pollman AS. Murphy AL. Bergman JC. Gardner DM. (2015). "Deprescribing benzodiazepines and Z-drugs in community-dwelling adults: a scoping review." </w:t>
      </w:r>
      <w:r w:rsidDel="00000000" w:rsidR="00000000" w:rsidRPr="00000000">
        <w:rPr>
          <w:i w:val="1"/>
          <w:sz w:val="22"/>
          <w:szCs w:val="22"/>
          <w:rtl w:val="0"/>
        </w:rPr>
        <w:t xml:space="preserve">BMC Pharmacology and Toxicology</w:t>
      </w:r>
      <w:r w:rsidDel="00000000" w:rsidR="00000000" w:rsidRPr="00000000">
        <w:rPr>
          <w:sz w:val="22"/>
          <w:szCs w:val="22"/>
          <w:rtl w:val="0"/>
        </w:rPr>
        <w:t xml:space="preserve"> 16(19).</w:t>
      </w:r>
    </w:p>
    <w:p w:rsidR="00000000" w:rsidDel="00000000" w:rsidP="00000000" w:rsidRDefault="00000000" w:rsidRPr="00000000" w14:paraId="00000FA8">
      <w:pPr>
        <w:jc w:val="both"/>
        <w:rPr>
          <w:sz w:val="22"/>
          <w:szCs w:val="22"/>
        </w:rPr>
      </w:pPr>
      <w:r w:rsidDel="00000000" w:rsidR="00000000" w:rsidRPr="00000000">
        <w:rPr>
          <w:sz w:val="22"/>
          <w:szCs w:val="22"/>
          <w:rtl w:val="0"/>
        </w:rPr>
        <w:tab/>
      </w:r>
    </w:p>
    <w:p w:rsidR="00000000" w:rsidDel="00000000" w:rsidP="00000000" w:rsidRDefault="00000000" w:rsidRPr="00000000" w14:paraId="00000FA9">
      <w:pPr>
        <w:jc w:val="both"/>
        <w:rPr>
          <w:sz w:val="22"/>
          <w:szCs w:val="22"/>
        </w:rPr>
      </w:pPr>
      <w:r w:rsidDel="00000000" w:rsidR="00000000" w:rsidRPr="00000000">
        <w:rPr>
          <w:sz w:val="22"/>
          <w:szCs w:val="22"/>
          <w:rtl w:val="0"/>
        </w:rPr>
        <w:t xml:space="preserve">Pope C. Mays N.)2006). Qualitative Methods in Health Research.</w:t>
      </w:r>
    </w:p>
    <w:p w:rsidR="00000000" w:rsidDel="00000000" w:rsidP="00000000" w:rsidRDefault="00000000" w:rsidRPr="00000000" w14:paraId="00000FAA">
      <w:pPr>
        <w:jc w:val="both"/>
        <w:rPr>
          <w:sz w:val="22"/>
          <w:szCs w:val="22"/>
        </w:rPr>
      </w:pPr>
      <w:r w:rsidDel="00000000" w:rsidR="00000000" w:rsidRPr="00000000">
        <w:rPr>
          <w:sz w:val="22"/>
          <w:szCs w:val="22"/>
          <w:rtl w:val="0"/>
        </w:rPr>
        <w:tab/>
      </w:r>
    </w:p>
    <w:p w:rsidR="00000000" w:rsidDel="00000000" w:rsidP="00000000" w:rsidRDefault="00000000" w:rsidRPr="00000000" w14:paraId="00000FAB">
      <w:pPr>
        <w:jc w:val="both"/>
        <w:rPr>
          <w:sz w:val="22"/>
          <w:szCs w:val="22"/>
        </w:rPr>
      </w:pPr>
      <w:r w:rsidDel="00000000" w:rsidR="00000000" w:rsidRPr="00000000">
        <w:rPr>
          <w:sz w:val="22"/>
          <w:szCs w:val="22"/>
          <w:rtl w:val="0"/>
        </w:rPr>
        <w:t xml:space="preserve">Prasad P. (2005). Crafting qualitative research: working in the post-positivist traditions. New York, ME Sharpe.</w:t>
      </w:r>
    </w:p>
    <w:p w:rsidR="00000000" w:rsidDel="00000000" w:rsidP="00000000" w:rsidRDefault="00000000" w:rsidRPr="00000000" w14:paraId="00000FAC">
      <w:pPr>
        <w:jc w:val="both"/>
        <w:rPr>
          <w:sz w:val="22"/>
          <w:szCs w:val="22"/>
        </w:rPr>
      </w:pPr>
      <w:r w:rsidDel="00000000" w:rsidR="00000000" w:rsidRPr="00000000">
        <w:rPr>
          <w:rtl w:val="0"/>
        </w:rPr>
      </w:r>
    </w:p>
    <w:p w:rsidR="00000000" w:rsidDel="00000000" w:rsidP="00000000" w:rsidRDefault="00000000" w:rsidRPr="00000000" w14:paraId="00000FAD">
      <w:pPr>
        <w:jc w:val="both"/>
        <w:rPr>
          <w:sz w:val="22"/>
          <w:szCs w:val="22"/>
        </w:rPr>
      </w:pPr>
      <w:r w:rsidDel="00000000" w:rsidR="00000000" w:rsidRPr="00000000">
        <w:rPr>
          <w:sz w:val="22"/>
          <w:szCs w:val="22"/>
          <w:rtl w:val="0"/>
        </w:rPr>
        <w:t xml:space="preserve">Prescription Drug Marketing Act (1987)</w:t>
      </w:r>
    </w:p>
    <w:p w:rsidR="00000000" w:rsidDel="00000000" w:rsidP="00000000" w:rsidRDefault="00000000" w:rsidRPr="00000000" w14:paraId="00000FAE">
      <w:pPr>
        <w:jc w:val="both"/>
        <w:rPr>
          <w:sz w:val="22"/>
          <w:szCs w:val="22"/>
        </w:rPr>
      </w:pPr>
      <w:r w:rsidDel="00000000" w:rsidR="00000000" w:rsidRPr="00000000">
        <w:rPr>
          <w:sz w:val="22"/>
          <w:szCs w:val="22"/>
          <w:rtl w:val="0"/>
        </w:rPr>
        <w:tab/>
      </w:r>
    </w:p>
    <w:p w:rsidR="00000000" w:rsidDel="00000000" w:rsidP="00000000" w:rsidRDefault="00000000" w:rsidRPr="00000000" w14:paraId="00000FAF">
      <w:pPr>
        <w:jc w:val="both"/>
        <w:rPr>
          <w:sz w:val="22"/>
          <w:szCs w:val="22"/>
        </w:rPr>
      </w:pPr>
      <w:r w:rsidDel="00000000" w:rsidR="00000000" w:rsidRPr="00000000">
        <w:rPr>
          <w:sz w:val="22"/>
          <w:szCs w:val="22"/>
          <w:rtl w:val="0"/>
        </w:rPr>
        <w:t xml:space="preserve">Proferes N. Jones N. Gilbert S. Fiesler C. Zimmer M. (2021). "Studying Reddit: A Systematic Overview of Disciplines, Approaches, Methods and Ethics." </w:t>
      </w:r>
      <w:r w:rsidDel="00000000" w:rsidR="00000000" w:rsidRPr="00000000">
        <w:rPr>
          <w:i w:val="1"/>
          <w:sz w:val="22"/>
          <w:szCs w:val="22"/>
          <w:rtl w:val="0"/>
        </w:rPr>
        <w:t xml:space="preserve">Social Media and Society:</w:t>
      </w:r>
      <w:r w:rsidDel="00000000" w:rsidR="00000000" w:rsidRPr="00000000">
        <w:rPr>
          <w:sz w:val="22"/>
          <w:szCs w:val="22"/>
          <w:rtl w:val="0"/>
        </w:rPr>
        <w:t xml:space="preserve"> 1-14.</w:t>
      </w:r>
    </w:p>
    <w:p w:rsidR="00000000" w:rsidDel="00000000" w:rsidP="00000000" w:rsidRDefault="00000000" w:rsidRPr="00000000" w14:paraId="00000FB0">
      <w:pPr>
        <w:jc w:val="both"/>
        <w:rPr>
          <w:sz w:val="22"/>
          <w:szCs w:val="22"/>
        </w:rPr>
      </w:pPr>
      <w:r w:rsidDel="00000000" w:rsidR="00000000" w:rsidRPr="00000000">
        <w:rPr>
          <w:rtl w:val="0"/>
        </w:rPr>
      </w:r>
    </w:p>
    <w:p w:rsidR="00000000" w:rsidDel="00000000" w:rsidP="00000000" w:rsidRDefault="00000000" w:rsidRPr="00000000" w14:paraId="00000FB1">
      <w:pPr>
        <w:jc w:val="both"/>
        <w:rPr>
          <w:sz w:val="22"/>
          <w:szCs w:val="22"/>
        </w:rPr>
      </w:pPr>
      <w:r w:rsidDel="00000000" w:rsidR="00000000" w:rsidRPr="00000000">
        <w:rPr>
          <w:sz w:val="22"/>
          <w:szCs w:val="22"/>
          <w:rtl w:val="0"/>
        </w:rPr>
        <w:t xml:space="preserve">Psychoactive Substance Act (2016)</w:t>
      </w:r>
    </w:p>
    <w:p w:rsidR="00000000" w:rsidDel="00000000" w:rsidP="00000000" w:rsidRDefault="00000000" w:rsidRPr="00000000" w14:paraId="00000FB2">
      <w:pPr>
        <w:jc w:val="both"/>
        <w:rPr>
          <w:sz w:val="22"/>
          <w:szCs w:val="22"/>
        </w:rPr>
      </w:pPr>
      <w:r w:rsidDel="00000000" w:rsidR="00000000" w:rsidRPr="00000000">
        <w:rPr>
          <w:sz w:val="22"/>
          <w:szCs w:val="22"/>
          <w:rtl w:val="0"/>
        </w:rPr>
        <w:t xml:space="preserve">Public Health England (2020). COVID-19: guidance for commissioners and providers of services for people who use drugs or alcohol [online]. Available at: </w:t>
      </w:r>
      <w:hyperlink r:id="rId89">
        <w:r w:rsidDel="00000000" w:rsidR="00000000" w:rsidRPr="00000000">
          <w:rPr>
            <w:color w:val="467886"/>
            <w:sz w:val="22"/>
            <w:szCs w:val="22"/>
            <w:u w:val="single"/>
            <w:rtl w:val="0"/>
          </w:rPr>
          <w:t xml:space="preserve">https://www.gov.uk/government/publications/covid-19-guidance-for-commissioners-and-providers-of-services-for-people-who-use-drugs-or-alcohol/covid-19-guidance-for-commissioners-and-providers-of-services-for-people-who-use-drugs-or-alcohol</w:t>
        </w:r>
      </w:hyperlink>
      <w:r w:rsidDel="00000000" w:rsidR="00000000" w:rsidRPr="00000000">
        <w:rPr>
          <w:sz w:val="22"/>
          <w:szCs w:val="22"/>
          <w:rtl w:val="0"/>
        </w:rPr>
        <w:t xml:space="preserve"> (17/08/2021)</w:t>
      </w:r>
    </w:p>
    <w:p w:rsidR="00000000" w:rsidDel="00000000" w:rsidP="00000000" w:rsidRDefault="00000000" w:rsidRPr="00000000" w14:paraId="00000FB3">
      <w:pPr>
        <w:jc w:val="both"/>
        <w:rPr>
          <w:sz w:val="22"/>
          <w:szCs w:val="22"/>
        </w:rPr>
      </w:pPr>
      <w:r w:rsidDel="00000000" w:rsidR="00000000" w:rsidRPr="00000000">
        <w:rPr>
          <w:sz w:val="22"/>
          <w:szCs w:val="22"/>
          <w:rtl w:val="0"/>
        </w:rPr>
        <w:tab/>
      </w:r>
    </w:p>
    <w:p w:rsidR="00000000" w:rsidDel="00000000" w:rsidP="00000000" w:rsidRDefault="00000000" w:rsidRPr="00000000" w14:paraId="00000FB4">
      <w:pPr>
        <w:jc w:val="both"/>
        <w:rPr>
          <w:sz w:val="22"/>
          <w:szCs w:val="22"/>
        </w:rPr>
      </w:pPr>
      <w:r w:rsidDel="00000000" w:rsidR="00000000" w:rsidRPr="00000000">
        <w:rPr>
          <w:sz w:val="22"/>
          <w:szCs w:val="22"/>
          <w:rtl w:val="0"/>
        </w:rPr>
        <w:t xml:space="preserve">Puustinen J. Lahteenmaki R. Nurminen J. Vahlberg T. Aarnio P. Partinen M. Raihia I. Neuvonen PL. Kivela SL. (2018). "Long term persistence of withdrawal of temazepam, zopiclone and zolpidem in older adults: a 3 year follow up study." </w:t>
      </w:r>
      <w:r w:rsidDel="00000000" w:rsidR="00000000" w:rsidRPr="00000000">
        <w:rPr>
          <w:i w:val="1"/>
          <w:sz w:val="22"/>
          <w:szCs w:val="22"/>
          <w:rtl w:val="0"/>
        </w:rPr>
        <w:t xml:space="preserve">BMC Geriatrics</w:t>
      </w:r>
      <w:r w:rsidDel="00000000" w:rsidR="00000000" w:rsidRPr="00000000">
        <w:rPr>
          <w:sz w:val="22"/>
          <w:szCs w:val="22"/>
          <w:rtl w:val="0"/>
        </w:rPr>
        <w:t xml:space="preserve"> 18(142).</w:t>
      </w:r>
    </w:p>
    <w:p w:rsidR="00000000" w:rsidDel="00000000" w:rsidP="00000000" w:rsidRDefault="00000000" w:rsidRPr="00000000" w14:paraId="00000FB5">
      <w:pPr>
        <w:jc w:val="both"/>
        <w:rPr>
          <w:sz w:val="22"/>
          <w:szCs w:val="22"/>
        </w:rPr>
      </w:pPr>
      <w:r w:rsidDel="00000000" w:rsidR="00000000" w:rsidRPr="00000000">
        <w:rPr>
          <w:sz w:val="22"/>
          <w:szCs w:val="22"/>
          <w:rtl w:val="0"/>
        </w:rPr>
        <w:tab/>
      </w:r>
    </w:p>
    <w:p w:rsidR="00000000" w:rsidDel="00000000" w:rsidP="00000000" w:rsidRDefault="00000000" w:rsidRPr="00000000" w14:paraId="00000FB6">
      <w:pPr>
        <w:jc w:val="both"/>
        <w:rPr>
          <w:sz w:val="22"/>
          <w:szCs w:val="22"/>
        </w:rPr>
      </w:pPr>
      <w:r w:rsidDel="00000000" w:rsidR="00000000" w:rsidRPr="00000000">
        <w:rPr>
          <w:sz w:val="22"/>
          <w:szCs w:val="22"/>
          <w:rtl w:val="0"/>
        </w:rPr>
        <w:t xml:space="preserve">Qualitative data analysis: an expanded sourcebook, s. e. (1994). Miles, M.B. and Huberman, A.M, Sage.</w:t>
      </w:r>
    </w:p>
    <w:p w:rsidR="00000000" w:rsidDel="00000000" w:rsidP="00000000" w:rsidRDefault="00000000" w:rsidRPr="00000000" w14:paraId="00000FB7">
      <w:pPr>
        <w:jc w:val="both"/>
        <w:rPr>
          <w:sz w:val="22"/>
          <w:szCs w:val="22"/>
        </w:rPr>
      </w:pPr>
      <w:r w:rsidDel="00000000" w:rsidR="00000000" w:rsidRPr="00000000">
        <w:rPr>
          <w:sz w:val="22"/>
          <w:szCs w:val="22"/>
          <w:rtl w:val="0"/>
        </w:rPr>
        <w:tab/>
      </w:r>
    </w:p>
    <w:p w:rsidR="00000000" w:rsidDel="00000000" w:rsidP="00000000" w:rsidRDefault="00000000" w:rsidRPr="00000000" w14:paraId="00000FB8">
      <w:pPr>
        <w:jc w:val="both"/>
        <w:rPr>
          <w:sz w:val="22"/>
          <w:szCs w:val="22"/>
        </w:rPr>
      </w:pPr>
      <w:r w:rsidDel="00000000" w:rsidR="00000000" w:rsidRPr="00000000">
        <w:rPr>
          <w:sz w:val="22"/>
          <w:szCs w:val="22"/>
          <w:rtl w:val="0"/>
        </w:rPr>
        <w:t xml:space="preserve">Quock RM. (2023). Drugs and Behaviour. Washington, Washington State University.</w:t>
      </w:r>
    </w:p>
    <w:p w:rsidR="00000000" w:rsidDel="00000000" w:rsidP="00000000" w:rsidRDefault="00000000" w:rsidRPr="00000000" w14:paraId="00000FB9">
      <w:pPr>
        <w:jc w:val="both"/>
        <w:rPr>
          <w:sz w:val="22"/>
          <w:szCs w:val="22"/>
        </w:rPr>
      </w:pPr>
      <w:r w:rsidDel="00000000" w:rsidR="00000000" w:rsidRPr="00000000">
        <w:rPr>
          <w:rtl w:val="0"/>
        </w:rPr>
      </w:r>
    </w:p>
    <w:p w:rsidR="00000000" w:rsidDel="00000000" w:rsidP="00000000" w:rsidRDefault="00000000" w:rsidRPr="00000000" w14:paraId="00000FBA">
      <w:pPr>
        <w:jc w:val="both"/>
        <w:rPr>
          <w:sz w:val="22"/>
          <w:szCs w:val="22"/>
        </w:rPr>
      </w:pPr>
      <w:r w:rsidDel="00000000" w:rsidR="00000000" w:rsidRPr="00000000">
        <w:rPr>
          <w:sz w:val="22"/>
          <w:szCs w:val="22"/>
          <w:rtl w:val="0"/>
        </w:rPr>
        <w:t xml:space="preserve">Rabeea SA. Merchant HA. Khan MY. Siang Kow C. Hasan SS. (2021). ". Surging trends in prescriptions and costs of antidepressants in England amid COVID-19." </w:t>
      </w:r>
      <w:r w:rsidDel="00000000" w:rsidR="00000000" w:rsidRPr="00000000">
        <w:rPr>
          <w:i w:val="1"/>
          <w:sz w:val="22"/>
          <w:szCs w:val="22"/>
          <w:rtl w:val="0"/>
        </w:rPr>
        <w:t xml:space="preserve">Journal of</w:t>
      </w:r>
      <w:r w:rsidDel="00000000" w:rsidR="00000000" w:rsidRPr="00000000">
        <w:rPr>
          <w:sz w:val="22"/>
          <w:szCs w:val="22"/>
          <w:rtl w:val="0"/>
        </w:rPr>
        <w:t xml:space="preserve"> </w:t>
      </w:r>
      <w:r w:rsidDel="00000000" w:rsidR="00000000" w:rsidRPr="00000000">
        <w:rPr>
          <w:i w:val="1"/>
          <w:sz w:val="22"/>
          <w:szCs w:val="22"/>
          <w:rtl w:val="0"/>
        </w:rPr>
        <w:t xml:space="preserve">Pharmaceutical Sciences</w:t>
      </w:r>
      <w:r w:rsidDel="00000000" w:rsidR="00000000" w:rsidRPr="00000000">
        <w:rPr>
          <w:sz w:val="22"/>
          <w:szCs w:val="22"/>
          <w:rtl w:val="0"/>
        </w:rPr>
        <w:t xml:space="preserve"> 21: 217-229.</w:t>
      </w:r>
    </w:p>
    <w:p w:rsidR="00000000" w:rsidDel="00000000" w:rsidP="00000000" w:rsidRDefault="00000000" w:rsidRPr="00000000" w14:paraId="00000FBB">
      <w:pPr>
        <w:jc w:val="both"/>
        <w:rPr>
          <w:sz w:val="22"/>
          <w:szCs w:val="22"/>
        </w:rPr>
      </w:pPr>
      <w:r w:rsidDel="00000000" w:rsidR="00000000" w:rsidRPr="00000000">
        <w:rPr>
          <w:sz w:val="22"/>
          <w:szCs w:val="22"/>
          <w:rtl w:val="0"/>
        </w:rPr>
        <w:tab/>
      </w:r>
    </w:p>
    <w:p w:rsidR="00000000" w:rsidDel="00000000" w:rsidP="00000000" w:rsidRDefault="00000000" w:rsidRPr="00000000" w14:paraId="00000FBC">
      <w:pPr>
        <w:jc w:val="both"/>
        <w:rPr>
          <w:sz w:val="22"/>
          <w:szCs w:val="22"/>
        </w:rPr>
      </w:pPr>
      <w:r w:rsidDel="00000000" w:rsidR="00000000" w:rsidRPr="00000000">
        <w:rPr>
          <w:sz w:val="22"/>
          <w:szCs w:val="22"/>
          <w:rtl w:val="0"/>
        </w:rPr>
        <w:t xml:space="preserve">Rackham A. (2022). Nearly half a million more adults on antidepressants in England [online]. BBC. Available at: </w:t>
      </w:r>
      <w:hyperlink r:id="rId90">
        <w:r w:rsidDel="00000000" w:rsidR="00000000" w:rsidRPr="00000000">
          <w:rPr>
            <w:color w:val="467886"/>
            <w:sz w:val="22"/>
            <w:szCs w:val="22"/>
            <w:u w:val="single"/>
            <w:rtl w:val="0"/>
          </w:rPr>
          <w:t xml:space="preserve">https://www.bbc.co.uk/news/health-62094744</w:t>
        </w:r>
      </w:hyperlink>
      <w:r w:rsidDel="00000000" w:rsidR="00000000" w:rsidRPr="00000000">
        <w:rPr>
          <w:sz w:val="22"/>
          <w:szCs w:val="22"/>
          <w:rtl w:val="0"/>
        </w:rPr>
        <w:t xml:space="preserve"> (17/10/2024)</w:t>
      </w:r>
    </w:p>
    <w:p w:rsidR="00000000" w:rsidDel="00000000" w:rsidP="00000000" w:rsidRDefault="00000000" w:rsidRPr="00000000" w14:paraId="00000FBD">
      <w:pPr>
        <w:jc w:val="both"/>
        <w:rPr>
          <w:sz w:val="22"/>
          <w:szCs w:val="22"/>
        </w:rPr>
      </w:pPr>
      <w:r w:rsidDel="00000000" w:rsidR="00000000" w:rsidRPr="00000000">
        <w:rPr>
          <w:sz w:val="22"/>
          <w:szCs w:val="22"/>
          <w:rtl w:val="0"/>
        </w:rPr>
        <w:tab/>
      </w:r>
    </w:p>
    <w:p w:rsidR="00000000" w:rsidDel="00000000" w:rsidP="00000000" w:rsidRDefault="00000000" w:rsidRPr="00000000" w14:paraId="00000FBE">
      <w:pPr>
        <w:jc w:val="both"/>
        <w:rPr>
          <w:sz w:val="22"/>
          <w:szCs w:val="22"/>
        </w:rPr>
      </w:pPr>
      <w:r w:rsidDel="00000000" w:rsidR="00000000" w:rsidRPr="00000000">
        <w:rPr>
          <w:sz w:val="22"/>
          <w:szCs w:val="22"/>
          <w:rtl w:val="0"/>
        </w:rPr>
        <w:t xml:space="preserve">Radford HM. (2021). Dealing with disaster: a qualitative exploration of the experiences of healthcare and emergency services staff following a mass casualty incident. Sheffield.</w:t>
      </w:r>
    </w:p>
    <w:p w:rsidR="00000000" w:rsidDel="00000000" w:rsidP="00000000" w:rsidRDefault="00000000" w:rsidRPr="00000000" w14:paraId="00000FBF">
      <w:pPr>
        <w:jc w:val="both"/>
        <w:rPr>
          <w:sz w:val="22"/>
          <w:szCs w:val="22"/>
        </w:rPr>
      </w:pPr>
      <w:r w:rsidDel="00000000" w:rsidR="00000000" w:rsidRPr="00000000">
        <w:rPr>
          <w:sz w:val="22"/>
          <w:szCs w:val="22"/>
          <w:rtl w:val="0"/>
        </w:rPr>
        <w:tab/>
      </w:r>
    </w:p>
    <w:p w:rsidR="00000000" w:rsidDel="00000000" w:rsidP="00000000" w:rsidRDefault="00000000" w:rsidRPr="00000000" w14:paraId="00000FC0">
      <w:pPr>
        <w:jc w:val="both"/>
        <w:rPr>
          <w:sz w:val="22"/>
          <w:szCs w:val="22"/>
        </w:rPr>
      </w:pPr>
      <w:r w:rsidDel="00000000" w:rsidR="00000000" w:rsidRPr="00000000">
        <w:rPr>
          <w:sz w:val="22"/>
          <w:szCs w:val="22"/>
          <w:rtl w:val="0"/>
        </w:rPr>
        <w:t xml:space="preserve">Radley A. Melville K. Easton P. Williams B. Dillon J. (2017). "'Standing Outside the Junkie Door'-service users' experiences of using community pharmacies to access treatment for opioid dependency.". </w:t>
      </w:r>
      <w:r w:rsidDel="00000000" w:rsidR="00000000" w:rsidRPr="00000000">
        <w:rPr>
          <w:i w:val="1"/>
          <w:sz w:val="22"/>
          <w:szCs w:val="22"/>
          <w:rtl w:val="0"/>
        </w:rPr>
        <w:t xml:space="preserve">Journal of Public Health</w:t>
      </w:r>
      <w:r w:rsidDel="00000000" w:rsidR="00000000" w:rsidRPr="00000000">
        <w:rPr>
          <w:sz w:val="22"/>
          <w:szCs w:val="22"/>
          <w:rtl w:val="0"/>
        </w:rPr>
        <w:t xml:space="preserve"> (Oxford, England) 39(4): 846-855.</w:t>
      </w:r>
    </w:p>
    <w:p w:rsidR="00000000" w:rsidDel="00000000" w:rsidP="00000000" w:rsidRDefault="00000000" w:rsidRPr="00000000" w14:paraId="00000FC1">
      <w:pPr>
        <w:jc w:val="both"/>
        <w:rPr>
          <w:sz w:val="22"/>
          <w:szCs w:val="22"/>
        </w:rPr>
      </w:pPr>
      <w:r w:rsidDel="00000000" w:rsidR="00000000" w:rsidRPr="00000000">
        <w:rPr>
          <w:rtl w:val="0"/>
        </w:rPr>
      </w:r>
    </w:p>
    <w:p w:rsidR="00000000" w:rsidDel="00000000" w:rsidP="00000000" w:rsidRDefault="00000000" w:rsidRPr="00000000" w14:paraId="00000FC2">
      <w:pPr>
        <w:jc w:val="both"/>
        <w:rPr>
          <w:sz w:val="22"/>
          <w:szCs w:val="22"/>
        </w:rPr>
      </w:pPr>
      <w:r w:rsidDel="00000000" w:rsidR="00000000" w:rsidRPr="00000000">
        <w:rPr>
          <w:sz w:val="22"/>
          <w:szCs w:val="22"/>
          <w:rtl w:val="0"/>
        </w:rPr>
        <w:t xml:space="preserve">Razani N. (2007). "HIV risk behaviour among injection drug users in Tehran, Iran." </w:t>
      </w:r>
      <w:r w:rsidDel="00000000" w:rsidR="00000000" w:rsidRPr="00000000">
        <w:rPr>
          <w:i w:val="1"/>
          <w:sz w:val="22"/>
          <w:szCs w:val="22"/>
          <w:rtl w:val="0"/>
        </w:rPr>
        <w:t xml:space="preserve">Addiction</w:t>
      </w:r>
      <w:r w:rsidDel="00000000" w:rsidR="00000000" w:rsidRPr="00000000">
        <w:rPr>
          <w:sz w:val="22"/>
          <w:szCs w:val="22"/>
          <w:rtl w:val="0"/>
        </w:rPr>
        <w:t xml:space="preserve"> 102: 1472-1482.</w:t>
      </w:r>
    </w:p>
    <w:p w:rsidR="00000000" w:rsidDel="00000000" w:rsidP="00000000" w:rsidRDefault="00000000" w:rsidRPr="00000000" w14:paraId="00000FC3">
      <w:pPr>
        <w:jc w:val="both"/>
        <w:rPr>
          <w:sz w:val="22"/>
          <w:szCs w:val="22"/>
        </w:rPr>
      </w:pPr>
      <w:r w:rsidDel="00000000" w:rsidR="00000000" w:rsidRPr="00000000">
        <w:rPr>
          <w:sz w:val="22"/>
          <w:szCs w:val="22"/>
          <w:rtl w:val="0"/>
        </w:rPr>
        <w:tab/>
      </w:r>
    </w:p>
    <w:p w:rsidR="00000000" w:rsidDel="00000000" w:rsidP="00000000" w:rsidRDefault="00000000" w:rsidRPr="00000000" w14:paraId="00000FC4">
      <w:pPr>
        <w:jc w:val="both"/>
        <w:rPr>
          <w:sz w:val="22"/>
          <w:szCs w:val="22"/>
        </w:rPr>
      </w:pPr>
      <w:r w:rsidDel="00000000" w:rsidR="00000000" w:rsidRPr="00000000">
        <w:rPr>
          <w:sz w:val="22"/>
          <w:szCs w:val="22"/>
          <w:rtl w:val="0"/>
        </w:rPr>
        <w:t xml:space="preserve">Read J. (2020). "How common and severe are six withdrawal effects from, and addiction to, antidepressants? The experiences of a large international sample of patients." </w:t>
      </w:r>
      <w:r w:rsidDel="00000000" w:rsidR="00000000" w:rsidRPr="00000000">
        <w:rPr>
          <w:i w:val="1"/>
          <w:sz w:val="22"/>
          <w:szCs w:val="22"/>
          <w:rtl w:val="0"/>
        </w:rPr>
        <w:t xml:space="preserve">Addictive Behaviours</w:t>
      </w:r>
      <w:r w:rsidDel="00000000" w:rsidR="00000000" w:rsidRPr="00000000">
        <w:rPr>
          <w:sz w:val="22"/>
          <w:szCs w:val="22"/>
          <w:rtl w:val="0"/>
        </w:rPr>
        <w:t xml:space="preserve"> 102: 106157-106157.</w:t>
      </w:r>
    </w:p>
    <w:p w:rsidR="00000000" w:rsidDel="00000000" w:rsidP="00000000" w:rsidRDefault="00000000" w:rsidRPr="00000000" w14:paraId="00000FC5">
      <w:pPr>
        <w:jc w:val="both"/>
        <w:rPr>
          <w:sz w:val="22"/>
          <w:szCs w:val="22"/>
        </w:rPr>
      </w:pPr>
      <w:r w:rsidDel="00000000" w:rsidR="00000000" w:rsidRPr="00000000">
        <w:rPr>
          <w:sz w:val="22"/>
          <w:szCs w:val="22"/>
          <w:rtl w:val="0"/>
        </w:rPr>
        <w:tab/>
      </w:r>
    </w:p>
    <w:p w:rsidR="00000000" w:rsidDel="00000000" w:rsidP="00000000" w:rsidRDefault="00000000" w:rsidRPr="00000000" w14:paraId="00000FC6">
      <w:pPr>
        <w:jc w:val="both"/>
        <w:rPr>
          <w:sz w:val="22"/>
          <w:szCs w:val="22"/>
        </w:rPr>
      </w:pPr>
      <w:r w:rsidDel="00000000" w:rsidR="00000000" w:rsidRPr="00000000">
        <w:rPr>
          <w:sz w:val="22"/>
          <w:szCs w:val="22"/>
          <w:rtl w:val="0"/>
        </w:rPr>
        <w:t xml:space="preserve">Read J. Cartwright C. Gibson KK. (2018). "How many of 1829 antidepressant users report withdrawal effects or addiction?" </w:t>
      </w:r>
      <w:r w:rsidDel="00000000" w:rsidR="00000000" w:rsidRPr="00000000">
        <w:rPr>
          <w:i w:val="1"/>
          <w:sz w:val="22"/>
          <w:szCs w:val="22"/>
          <w:rtl w:val="0"/>
        </w:rPr>
        <w:t xml:space="preserve">International Journal of Mental Health Nursing</w:t>
      </w:r>
      <w:r w:rsidDel="00000000" w:rsidR="00000000" w:rsidRPr="00000000">
        <w:rPr>
          <w:sz w:val="22"/>
          <w:szCs w:val="22"/>
          <w:rtl w:val="0"/>
        </w:rPr>
        <w:t xml:space="preserve"> 27: 1805-1815.</w:t>
      </w:r>
    </w:p>
    <w:p w:rsidR="00000000" w:rsidDel="00000000" w:rsidP="00000000" w:rsidRDefault="00000000" w:rsidRPr="00000000" w14:paraId="00000FC7">
      <w:pPr>
        <w:jc w:val="both"/>
        <w:rPr>
          <w:sz w:val="22"/>
          <w:szCs w:val="22"/>
        </w:rPr>
      </w:pPr>
      <w:r w:rsidDel="00000000" w:rsidR="00000000" w:rsidRPr="00000000">
        <w:rPr>
          <w:sz w:val="22"/>
          <w:szCs w:val="22"/>
          <w:rtl w:val="0"/>
        </w:rPr>
        <w:tab/>
      </w:r>
    </w:p>
    <w:p w:rsidR="00000000" w:rsidDel="00000000" w:rsidP="00000000" w:rsidRDefault="00000000" w:rsidRPr="00000000" w14:paraId="00000FC8">
      <w:pPr>
        <w:jc w:val="both"/>
        <w:rPr>
          <w:i w:val="1"/>
          <w:sz w:val="22"/>
          <w:szCs w:val="22"/>
        </w:rPr>
      </w:pPr>
      <w:r w:rsidDel="00000000" w:rsidR="00000000" w:rsidRPr="00000000">
        <w:rPr>
          <w:sz w:val="22"/>
          <w:szCs w:val="22"/>
          <w:rtl w:val="0"/>
        </w:rPr>
        <w:t xml:space="preserve">Read J. Cartwright C. Gibson KK (2021). "Are Antidepressants Overprescribed? Patients Experiences of the Prescribing Process." </w:t>
      </w:r>
      <w:r w:rsidDel="00000000" w:rsidR="00000000" w:rsidRPr="00000000">
        <w:rPr>
          <w:i w:val="1"/>
          <w:sz w:val="22"/>
          <w:szCs w:val="22"/>
          <w:rtl w:val="0"/>
        </w:rPr>
        <w:t xml:space="preserve">Ethical Human Psychology.</w:t>
      </w:r>
    </w:p>
    <w:p w:rsidR="00000000" w:rsidDel="00000000" w:rsidP="00000000" w:rsidRDefault="00000000" w:rsidRPr="00000000" w14:paraId="00000FC9">
      <w:pPr>
        <w:jc w:val="both"/>
        <w:rPr>
          <w:sz w:val="22"/>
          <w:szCs w:val="22"/>
        </w:rPr>
      </w:pPr>
      <w:r w:rsidDel="00000000" w:rsidR="00000000" w:rsidRPr="00000000">
        <w:rPr>
          <w:sz w:val="22"/>
          <w:szCs w:val="22"/>
          <w:rtl w:val="0"/>
        </w:rPr>
        <w:tab/>
      </w:r>
    </w:p>
    <w:p w:rsidR="00000000" w:rsidDel="00000000" w:rsidP="00000000" w:rsidRDefault="00000000" w:rsidRPr="00000000" w14:paraId="00000FCA">
      <w:pPr>
        <w:jc w:val="both"/>
        <w:rPr>
          <w:sz w:val="22"/>
          <w:szCs w:val="22"/>
        </w:rPr>
      </w:pPr>
      <w:r w:rsidDel="00000000" w:rsidR="00000000" w:rsidRPr="00000000">
        <w:rPr>
          <w:sz w:val="22"/>
          <w:szCs w:val="22"/>
          <w:rtl w:val="0"/>
        </w:rPr>
        <w:t xml:space="preserve">Read J. Gee A. Diggle J. Butler H. (2019). "Staying on, and coming off, antidepressants: The experiences of 752 UK adults." </w:t>
      </w:r>
      <w:r w:rsidDel="00000000" w:rsidR="00000000" w:rsidRPr="00000000">
        <w:rPr>
          <w:i w:val="1"/>
          <w:sz w:val="22"/>
          <w:szCs w:val="22"/>
          <w:rtl w:val="0"/>
        </w:rPr>
        <w:t xml:space="preserve">Addictive Behaviours</w:t>
      </w:r>
      <w:r w:rsidDel="00000000" w:rsidR="00000000" w:rsidRPr="00000000">
        <w:rPr>
          <w:sz w:val="22"/>
          <w:szCs w:val="22"/>
          <w:rtl w:val="0"/>
        </w:rPr>
        <w:t xml:space="preserve"> 88: 82-85.</w:t>
      </w:r>
    </w:p>
    <w:p w:rsidR="00000000" w:rsidDel="00000000" w:rsidP="00000000" w:rsidRDefault="00000000" w:rsidRPr="00000000" w14:paraId="00000FCB">
      <w:pPr>
        <w:jc w:val="both"/>
        <w:rPr>
          <w:sz w:val="22"/>
          <w:szCs w:val="22"/>
        </w:rPr>
      </w:pPr>
      <w:r w:rsidDel="00000000" w:rsidR="00000000" w:rsidRPr="00000000">
        <w:rPr>
          <w:sz w:val="22"/>
          <w:szCs w:val="22"/>
          <w:rtl w:val="0"/>
        </w:rPr>
        <w:tab/>
      </w:r>
    </w:p>
    <w:p w:rsidR="00000000" w:rsidDel="00000000" w:rsidP="00000000" w:rsidRDefault="00000000" w:rsidRPr="00000000" w14:paraId="00000FCC">
      <w:pPr>
        <w:jc w:val="both"/>
        <w:rPr>
          <w:sz w:val="22"/>
          <w:szCs w:val="22"/>
        </w:rPr>
      </w:pPr>
      <w:r w:rsidDel="00000000" w:rsidR="00000000" w:rsidRPr="00000000">
        <w:rPr>
          <w:sz w:val="22"/>
          <w:szCs w:val="22"/>
          <w:rtl w:val="0"/>
        </w:rPr>
        <w:t xml:space="preserve">Read J. Williams J. (2018). "Adverse Effects of Antidepressants Reported by a Large International Cohort: Emotional Blunting, Suicidality, and Withdrawal Effects."</w:t>
      </w:r>
      <w:r w:rsidDel="00000000" w:rsidR="00000000" w:rsidRPr="00000000">
        <w:rPr>
          <w:i w:val="1"/>
          <w:sz w:val="22"/>
          <w:szCs w:val="22"/>
          <w:rtl w:val="0"/>
        </w:rPr>
        <w:t xml:space="preserve"> Curr Drug</w:t>
      </w:r>
      <w:r w:rsidDel="00000000" w:rsidR="00000000" w:rsidRPr="00000000">
        <w:rPr>
          <w:sz w:val="22"/>
          <w:szCs w:val="22"/>
          <w:rtl w:val="0"/>
        </w:rPr>
        <w:t xml:space="preserve"> Saf. 13(3): 176-186.</w:t>
      </w:r>
    </w:p>
    <w:p w:rsidR="00000000" w:rsidDel="00000000" w:rsidP="00000000" w:rsidRDefault="00000000" w:rsidRPr="00000000" w14:paraId="00000FCD">
      <w:pPr>
        <w:jc w:val="both"/>
        <w:rPr>
          <w:sz w:val="22"/>
          <w:szCs w:val="22"/>
        </w:rPr>
      </w:pPr>
      <w:r w:rsidDel="00000000" w:rsidR="00000000" w:rsidRPr="00000000">
        <w:rPr>
          <w:sz w:val="22"/>
          <w:szCs w:val="22"/>
          <w:rtl w:val="0"/>
        </w:rPr>
        <w:tab/>
      </w:r>
    </w:p>
    <w:p w:rsidR="00000000" w:rsidDel="00000000" w:rsidP="00000000" w:rsidRDefault="00000000" w:rsidRPr="00000000" w14:paraId="00000FCE">
      <w:pPr>
        <w:jc w:val="both"/>
        <w:rPr>
          <w:sz w:val="22"/>
          <w:szCs w:val="22"/>
        </w:rPr>
      </w:pPr>
      <w:r w:rsidDel="00000000" w:rsidR="00000000" w:rsidRPr="00000000">
        <w:rPr>
          <w:sz w:val="22"/>
          <w:szCs w:val="22"/>
          <w:rtl w:val="0"/>
        </w:rPr>
        <w:t xml:space="preserve">Reed, J. (2022). Largest nursing strike in NHS history starts. BBC. Available at: </w:t>
      </w:r>
      <w:hyperlink r:id="rId91">
        <w:r w:rsidDel="00000000" w:rsidR="00000000" w:rsidRPr="00000000">
          <w:rPr>
            <w:color w:val="467886"/>
            <w:sz w:val="22"/>
            <w:szCs w:val="22"/>
            <w:u w:val="single"/>
            <w:rtl w:val="0"/>
          </w:rPr>
          <w:t xml:space="preserve">https://www.bbc.co.uk/news/health-63946730</w:t>
        </w:r>
      </w:hyperlink>
      <w:r w:rsidDel="00000000" w:rsidR="00000000" w:rsidRPr="00000000">
        <w:rPr>
          <w:sz w:val="22"/>
          <w:szCs w:val="22"/>
          <w:rtl w:val="0"/>
        </w:rPr>
        <w:t xml:space="preserve"> (22/01/2023)</w:t>
      </w:r>
    </w:p>
    <w:p w:rsidR="00000000" w:rsidDel="00000000" w:rsidP="00000000" w:rsidRDefault="00000000" w:rsidRPr="00000000" w14:paraId="00000FCF">
      <w:pPr>
        <w:jc w:val="both"/>
        <w:rPr>
          <w:sz w:val="22"/>
          <w:szCs w:val="22"/>
        </w:rPr>
      </w:pPr>
      <w:r w:rsidDel="00000000" w:rsidR="00000000" w:rsidRPr="00000000">
        <w:rPr>
          <w:rtl w:val="0"/>
        </w:rPr>
      </w:r>
    </w:p>
    <w:p w:rsidR="00000000" w:rsidDel="00000000" w:rsidP="00000000" w:rsidRDefault="00000000" w:rsidRPr="00000000" w14:paraId="00000FD0">
      <w:pPr>
        <w:jc w:val="both"/>
        <w:rPr>
          <w:sz w:val="22"/>
          <w:szCs w:val="22"/>
        </w:rPr>
      </w:pPr>
      <w:r w:rsidDel="00000000" w:rsidR="00000000" w:rsidRPr="00000000">
        <w:rPr>
          <w:sz w:val="22"/>
          <w:szCs w:val="22"/>
          <w:rtl w:val="0"/>
        </w:rPr>
        <w:t xml:space="preserve">Regnault A. Willgoss T. Barbic C. (2018). "Towards the use of mixed methods inquiry as best practice in health outcomes research." </w:t>
      </w:r>
      <w:r w:rsidDel="00000000" w:rsidR="00000000" w:rsidRPr="00000000">
        <w:rPr>
          <w:i w:val="1"/>
          <w:sz w:val="22"/>
          <w:szCs w:val="22"/>
          <w:rtl w:val="0"/>
        </w:rPr>
        <w:t xml:space="preserve">Journal of Patient-Reported Outcomes.</w:t>
      </w:r>
      <w:r w:rsidDel="00000000" w:rsidR="00000000" w:rsidRPr="00000000">
        <w:rPr>
          <w:sz w:val="22"/>
          <w:szCs w:val="22"/>
          <w:rtl w:val="0"/>
        </w:rPr>
        <w:t xml:space="preserve"> 2(19): 1-4.</w:t>
      </w:r>
    </w:p>
    <w:p w:rsidR="00000000" w:rsidDel="00000000" w:rsidP="00000000" w:rsidRDefault="00000000" w:rsidRPr="00000000" w14:paraId="00000FD1">
      <w:pPr>
        <w:jc w:val="both"/>
        <w:rPr>
          <w:sz w:val="22"/>
          <w:szCs w:val="22"/>
        </w:rPr>
      </w:pPr>
      <w:r w:rsidDel="00000000" w:rsidR="00000000" w:rsidRPr="00000000">
        <w:rPr>
          <w:rtl w:val="0"/>
        </w:rPr>
      </w:r>
    </w:p>
    <w:p w:rsidR="00000000" w:rsidDel="00000000" w:rsidP="00000000" w:rsidRDefault="00000000" w:rsidRPr="00000000" w14:paraId="00000FD2">
      <w:pPr>
        <w:jc w:val="both"/>
        <w:rPr>
          <w:sz w:val="22"/>
          <w:szCs w:val="22"/>
        </w:rPr>
      </w:pPr>
      <w:r w:rsidDel="00000000" w:rsidR="00000000" w:rsidRPr="00000000">
        <w:rPr>
          <w:sz w:val="22"/>
          <w:szCs w:val="22"/>
          <w:rtl w:val="0"/>
        </w:rPr>
        <w:t xml:space="preserve">Rehman I. Mahabadi N. Sanvictores T. Rehman CI. (2024). Classical Conditioning. Treasure Island, Florida, StatPearls Publishing.</w:t>
      </w:r>
    </w:p>
    <w:p w:rsidR="00000000" w:rsidDel="00000000" w:rsidP="00000000" w:rsidRDefault="00000000" w:rsidRPr="00000000" w14:paraId="00000FD3">
      <w:pPr>
        <w:jc w:val="both"/>
        <w:rPr>
          <w:sz w:val="22"/>
          <w:szCs w:val="22"/>
        </w:rPr>
      </w:pPr>
      <w:r w:rsidDel="00000000" w:rsidR="00000000" w:rsidRPr="00000000">
        <w:rPr>
          <w:sz w:val="22"/>
          <w:szCs w:val="22"/>
          <w:rtl w:val="0"/>
        </w:rPr>
        <w:tab/>
      </w:r>
    </w:p>
    <w:p w:rsidR="00000000" w:rsidDel="00000000" w:rsidP="00000000" w:rsidRDefault="00000000" w:rsidRPr="00000000" w14:paraId="00000FD4">
      <w:pPr>
        <w:jc w:val="both"/>
        <w:rPr>
          <w:sz w:val="22"/>
          <w:szCs w:val="22"/>
        </w:rPr>
      </w:pPr>
      <w:r w:rsidDel="00000000" w:rsidR="00000000" w:rsidRPr="00000000">
        <w:rPr>
          <w:sz w:val="22"/>
          <w:szCs w:val="22"/>
          <w:rtl w:val="0"/>
        </w:rPr>
        <w:t xml:space="preserve">Renjith V. Yesodharan E. Noronha JA. Ladd E. George A. (2001). "Qualitative Methods in Health Care Research." </w:t>
      </w:r>
      <w:r w:rsidDel="00000000" w:rsidR="00000000" w:rsidRPr="00000000">
        <w:rPr>
          <w:i w:val="1"/>
          <w:sz w:val="22"/>
          <w:szCs w:val="22"/>
          <w:rtl w:val="0"/>
        </w:rPr>
        <w:t xml:space="preserve">International Journal of Preventative Medicine</w:t>
      </w:r>
      <w:r w:rsidDel="00000000" w:rsidR="00000000" w:rsidRPr="00000000">
        <w:rPr>
          <w:sz w:val="22"/>
          <w:szCs w:val="22"/>
          <w:rtl w:val="0"/>
        </w:rPr>
        <w:t xml:space="preserve"> 12(20): 1-7.</w:t>
      </w:r>
    </w:p>
    <w:p w:rsidR="00000000" w:rsidDel="00000000" w:rsidP="00000000" w:rsidRDefault="00000000" w:rsidRPr="00000000" w14:paraId="00000FD5">
      <w:pPr>
        <w:jc w:val="both"/>
        <w:rPr>
          <w:sz w:val="22"/>
          <w:szCs w:val="22"/>
        </w:rPr>
      </w:pPr>
      <w:r w:rsidDel="00000000" w:rsidR="00000000" w:rsidRPr="00000000">
        <w:rPr>
          <w:rtl w:val="0"/>
        </w:rPr>
      </w:r>
    </w:p>
    <w:p w:rsidR="00000000" w:rsidDel="00000000" w:rsidP="00000000" w:rsidRDefault="00000000" w:rsidRPr="00000000" w14:paraId="00000FD6">
      <w:pPr>
        <w:jc w:val="both"/>
        <w:rPr>
          <w:sz w:val="22"/>
          <w:szCs w:val="22"/>
        </w:rPr>
      </w:pPr>
      <w:r w:rsidDel="00000000" w:rsidR="00000000" w:rsidRPr="00000000">
        <w:rPr>
          <w:sz w:val="22"/>
          <w:szCs w:val="22"/>
          <w:rtl w:val="0"/>
        </w:rPr>
        <w:t xml:space="preserve">Rennick-Egglestone S. Ramsay a. McGranahan R. Llewellyn-Beardsley J. Hui A. Pollock K. Repper J. Yeo C. Ng F. Roe J. Gillard S. Thornicroft G. Booth S. Slade M. (2019). "The impact of mental health recovery narratives on recipients experiencing mental health problems: Qualitative analysis and change model." </w:t>
      </w:r>
      <w:r w:rsidDel="00000000" w:rsidR="00000000" w:rsidRPr="00000000">
        <w:rPr>
          <w:i w:val="1"/>
          <w:sz w:val="22"/>
          <w:szCs w:val="22"/>
          <w:rtl w:val="0"/>
        </w:rPr>
        <w:t xml:space="preserve">PLOS O</w:t>
      </w:r>
      <w:r w:rsidDel="00000000" w:rsidR="00000000" w:rsidRPr="00000000">
        <w:rPr>
          <w:sz w:val="22"/>
          <w:szCs w:val="22"/>
          <w:rtl w:val="0"/>
        </w:rPr>
        <w:t xml:space="preserve">NE 14(12): 1-23.</w:t>
      </w:r>
    </w:p>
    <w:p w:rsidR="00000000" w:rsidDel="00000000" w:rsidP="00000000" w:rsidRDefault="00000000" w:rsidRPr="00000000" w14:paraId="00000FD7">
      <w:pPr>
        <w:jc w:val="both"/>
        <w:rPr>
          <w:sz w:val="22"/>
          <w:szCs w:val="22"/>
        </w:rPr>
      </w:pPr>
      <w:r w:rsidDel="00000000" w:rsidR="00000000" w:rsidRPr="00000000">
        <w:rPr>
          <w:sz w:val="22"/>
          <w:szCs w:val="22"/>
          <w:rtl w:val="0"/>
        </w:rPr>
        <w:tab/>
      </w:r>
    </w:p>
    <w:p w:rsidR="00000000" w:rsidDel="00000000" w:rsidP="00000000" w:rsidRDefault="00000000" w:rsidRPr="00000000" w14:paraId="00000FD8">
      <w:pPr>
        <w:jc w:val="both"/>
        <w:rPr>
          <w:sz w:val="22"/>
          <w:szCs w:val="22"/>
        </w:rPr>
      </w:pPr>
      <w:r w:rsidDel="00000000" w:rsidR="00000000" w:rsidRPr="00000000">
        <w:rPr>
          <w:sz w:val="22"/>
          <w:szCs w:val="22"/>
          <w:rtl w:val="0"/>
        </w:rPr>
        <w:t xml:space="preserve">UK Research and Innovation. (2022). Addiction Research. UK Research and Innovation.</w:t>
      </w:r>
    </w:p>
    <w:p w:rsidR="00000000" w:rsidDel="00000000" w:rsidP="00000000" w:rsidRDefault="00000000" w:rsidRPr="00000000" w14:paraId="00000FD9">
      <w:pPr>
        <w:jc w:val="both"/>
        <w:rPr>
          <w:sz w:val="22"/>
          <w:szCs w:val="22"/>
        </w:rPr>
      </w:pPr>
      <w:r w:rsidDel="00000000" w:rsidR="00000000" w:rsidRPr="00000000">
        <w:rPr>
          <w:rtl w:val="0"/>
        </w:rPr>
      </w:r>
    </w:p>
    <w:p w:rsidR="00000000" w:rsidDel="00000000" w:rsidP="00000000" w:rsidRDefault="00000000" w:rsidRPr="00000000" w14:paraId="00000FDA">
      <w:pPr>
        <w:jc w:val="both"/>
        <w:rPr>
          <w:sz w:val="22"/>
          <w:szCs w:val="22"/>
        </w:rPr>
      </w:pPr>
      <w:r w:rsidDel="00000000" w:rsidR="00000000" w:rsidRPr="00000000">
        <w:rPr>
          <w:sz w:val="22"/>
          <w:szCs w:val="22"/>
          <w:rtl w:val="0"/>
        </w:rPr>
        <w:t xml:space="preserve">Rhodes T. Coomber R. (2009). "Qualitative methods and theory in addictions research."</w:t>
      </w:r>
    </w:p>
    <w:p w:rsidR="00000000" w:rsidDel="00000000" w:rsidP="00000000" w:rsidRDefault="00000000" w:rsidRPr="00000000" w14:paraId="00000FDB">
      <w:pPr>
        <w:jc w:val="both"/>
        <w:rPr>
          <w:sz w:val="22"/>
          <w:szCs w:val="22"/>
        </w:rPr>
      </w:pPr>
      <w:r w:rsidDel="00000000" w:rsidR="00000000" w:rsidRPr="00000000">
        <w:rPr>
          <w:sz w:val="22"/>
          <w:szCs w:val="22"/>
          <w:rtl w:val="0"/>
        </w:rPr>
        <w:tab/>
      </w:r>
    </w:p>
    <w:p w:rsidR="00000000" w:rsidDel="00000000" w:rsidP="00000000" w:rsidRDefault="00000000" w:rsidRPr="00000000" w14:paraId="00000FDC">
      <w:pPr>
        <w:jc w:val="both"/>
        <w:rPr>
          <w:sz w:val="22"/>
          <w:szCs w:val="22"/>
        </w:rPr>
      </w:pPr>
      <w:r w:rsidDel="00000000" w:rsidR="00000000" w:rsidRPr="00000000">
        <w:rPr>
          <w:sz w:val="22"/>
          <w:szCs w:val="22"/>
          <w:rtl w:val="0"/>
        </w:rPr>
        <w:t xml:space="preserve">Rhodes T. Stimson GV. Moore D. Bourgois P. (2010). "Qualitative social research in addictions publishing: creating an enabling journal environment." </w:t>
      </w:r>
      <w:r w:rsidDel="00000000" w:rsidR="00000000" w:rsidRPr="00000000">
        <w:rPr>
          <w:i w:val="1"/>
          <w:sz w:val="22"/>
          <w:szCs w:val="22"/>
          <w:rtl w:val="0"/>
        </w:rPr>
        <w:t xml:space="preserve">International Journal of Drug Policy</w:t>
      </w:r>
      <w:r w:rsidDel="00000000" w:rsidR="00000000" w:rsidRPr="00000000">
        <w:rPr>
          <w:sz w:val="22"/>
          <w:szCs w:val="22"/>
          <w:rtl w:val="0"/>
        </w:rPr>
        <w:t xml:space="preserve">. 21: 441-444.</w:t>
      </w:r>
    </w:p>
    <w:p w:rsidR="00000000" w:rsidDel="00000000" w:rsidP="00000000" w:rsidRDefault="00000000" w:rsidRPr="00000000" w14:paraId="00000FDD">
      <w:pPr>
        <w:jc w:val="both"/>
        <w:rPr>
          <w:sz w:val="22"/>
          <w:szCs w:val="22"/>
        </w:rPr>
      </w:pPr>
      <w:r w:rsidDel="00000000" w:rsidR="00000000" w:rsidRPr="00000000">
        <w:rPr>
          <w:sz w:val="22"/>
          <w:szCs w:val="22"/>
          <w:rtl w:val="0"/>
        </w:rPr>
        <w:tab/>
      </w:r>
    </w:p>
    <w:p w:rsidR="00000000" w:rsidDel="00000000" w:rsidP="00000000" w:rsidRDefault="00000000" w:rsidRPr="00000000" w14:paraId="00000FDE">
      <w:pPr>
        <w:jc w:val="both"/>
        <w:rPr>
          <w:sz w:val="22"/>
          <w:szCs w:val="22"/>
        </w:rPr>
      </w:pPr>
      <w:r w:rsidDel="00000000" w:rsidR="00000000" w:rsidRPr="00000000">
        <w:rPr>
          <w:sz w:val="22"/>
          <w:szCs w:val="22"/>
          <w:rtl w:val="0"/>
        </w:rPr>
        <w:t xml:space="preserve">Richard C. Glaser E. Lussier MT. (2016). "Communication and patient participation influencing patient recall of treatment discussions." </w:t>
      </w:r>
      <w:r w:rsidDel="00000000" w:rsidR="00000000" w:rsidRPr="00000000">
        <w:rPr>
          <w:i w:val="1"/>
          <w:sz w:val="22"/>
          <w:szCs w:val="22"/>
          <w:rtl w:val="0"/>
        </w:rPr>
        <w:t xml:space="preserve">Health Expectations</w:t>
      </w:r>
      <w:r w:rsidDel="00000000" w:rsidR="00000000" w:rsidRPr="00000000">
        <w:rPr>
          <w:sz w:val="22"/>
          <w:szCs w:val="22"/>
          <w:rtl w:val="0"/>
        </w:rPr>
        <w:t xml:space="preserve"> 20(4): 760-770.</w:t>
      </w:r>
    </w:p>
    <w:p w:rsidR="00000000" w:rsidDel="00000000" w:rsidP="00000000" w:rsidRDefault="00000000" w:rsidRPr="00000000" w14:paraId="00000FDF">
      <w:pPr>
        <w:jc w:val="both"/>
        <w:rPr>
          <w:sz w:val="22"/>
          <w:szCs w:val="22"/>
        </w:rPr>
      </w:pPr>
      <w:r w:rsidDel="00000000" w:rsidR="00000000" w:rsidRPr="00000000">
        <w:rPr>
          <w:sz w:val="22"/>
          <w:szCs w:val="22"/>
          <w:rtl w:val="0"/>
        </w:rPr>
        <w:tab/>
      </w:r>
    </w:p>
    <w:p w:rsidR="00000000" w:rsidDel="00000000" w:rsidP="00000000" w:rsidRDefault="00000000" w:rsidRPr="00000000" w14:paraId="00000FE0">
      <w:pPr>
        <w:jc w:val="both"/>
        <w:rPr>
          <w:sz w:val="22"/>
          <w:szCs w:val="22"/>
        </w:rPr>
      </w:pPr>
      <w:r w:rsidDel="00000000" w:rsidR="00000000" w:rsidRPr="00000000">
        <w:rPr>
          <w:sz w:val="22"/>
          <w:szCs w:val="22"/>
          <w:rtl w:val="0"/>
        </w:rPr>
        <w:t xml:space="preserve">Rier D. (2007). "The impact of moral suasion on Internet HIV/AIDS support groups: Evidence from a discussion of seropositivity disclosure ethics." Health Sociology Review 16(3): 237-247.</w:t>
      </w:r>
    </w:p>
    <w:p w:rsidR="00000000" w:rsidDel="00000000" w:rsidP="00000000" w:rsidRDefault="00000000" w:rsidRPr="00000000" w14:paraId="00000FE1">
      <w:pPr>
        <w:jc w:val="both"/>
        <w:rPr>
          <w:sz w:val="22"/>
          <w:szCs w:val="22"/>
        </w:rPr>
      </w:pPr>
      <w:r w:rsidDel="00000000" w:rsidR="00000000" w:rsidRPr="00000000">
        <w:rPr>
          <w:sz w:val="22"/>
          <w:szCs w:val="22"/>
          <w:rtl w:val="0"/>
        </w:rPr>
        <w:tab/>
      </w:r>
    </w:p>
    <w:p w:rsidR="00000000" w:rsidDel="00000000" w:rsidP="00000000" w:rsidRDefault="00000000" w:rsidRPr="00000000" w14:paraId="00000FE2">
      <w:pPr>
        <w:jc w:val="both"/>
        <w:rPr>
          <w:sz w:val="22"/>
          <w:szCs w:val="22"/>
        </w:rPr>
      </w:pPr>
      <w:r w:rsidDel="00000000" w:rsidR="00000000" w:rsidRPr="00000000">
        <w:rPr>
          <w:sz w:val="22"/>
          <w:szCs w:val="22"/>
          <w:rtl w:val="0"/>
        </w:rPr>
        <w:t xml:space="preserve">Riessman CK. (1993). Narrative analysis, Sage.</w:t>
      </w:r>
    </w:p>
    <w:p w:rsidR="00000000" w:rsidDel="00000000" w:rsidP="00000000" w:rsidRDefault="00000000" w:rsidRPr="00000000" w14:paraId="00000FE3">
      <w:pPr>
        <w:jc w:val="both"/>
        <w:rPr>
          <w:sz w:val="22"/>
          <w:szCs w:val="22"/>
        </w:rPr>
      </w:pPr>
      <w:r w:rsidDel="00000000" w:rsidR="00000000" w:rsidRPr="00000000">
        <w:rPr>
          <w:sz w:val="22"/>
          <w:szCs w:val="22"/>
          <w:rtl w:val="0"/>
        </w:rPr>
        <w:t xml:space="preserve">Rimmer A. (2020). Covid-19: GPs can stop health checks for over 75s and routine medicine reviews.</w:t>
      </w:r>
    </w:p>
    <w:p w:rsidR="00000000" w:rsidDel="00000000" w:rsidP="00000000" w:rsidRDefault="00000000" w:rsidRPr="00000000" w14:paraId="00000FE4">
      <w:pPr>
        <w:jc w:val="both"/>
        <w:rPr>
          <w:sz w:val="22"/>
          <w:szCs w:val="22"/>
        </w:rPr>
      </w:pPr>
      <w:r w:rsidDel="00000000" w:rsidR="00000000" w:rsidRPr="00000000">
        <w:rPr>
          <w:rtl w:val="0"/>
        </w:rPr>
      </w:r>
    </w:p>
    <w:p w:rsidR="00000000" w:rsidDel="00000000" w:rsidP="00000000" w:rsidRDefault="00000000" w:rsidRPr="00000000" w14:paraId="00000FE5">
      <w:pPr>
        <w:jc w:val="both"/>
        <w:rPr>
          <w:sz w:val="22"/>
          <w:szCs w:val="22"/>
        </w:rPr>
      </w:pPr>
      <w:r w:rsidDel="00000000" w:rsidR="00000000" w:rsidRPr="00000000">
        <w:rPr>
          <w:sz w:val="22"/>
          <w:szCs w:val="22"/>
          <w:rtl w:val="0"/>
        </w:rPr>
        <w:t xml:space="preserve">Ringberg U. Fleten N. Forde OH. (2014). "Examining the variation in GPs’ referral practice: a cross-sectional study of GPs’ reasons for referral."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 64(624): 426-433.</w:t>
      </w:r>
    </w:p>
    <w:p w:rsidR="00000000" w:rsidDel="00000000" w:rsidP="00000000" w:rsidRDefault="00000000" w:rsidRPr="00000000" w14:paraId="00000FE6">
      <w:pPr>
        <w:jc w:val="both"/>
        <w:rPr>
          <w:sz w:val="22"/>
          <w:szCs w:val="22"/>
        </w:rPr>
      </w:pPr>
      <w:r w:rsidDel="00000000" w:rsidR="00000000" w:rsidRPr="00000000">
        <w:rPr>
          <w:sz w:val="22"/>
          <w:szCs w:val="22"/>
          <w:rtl w:val="0"/>
        </w:rPr>
        <w:tab/>
      </w:r>
    </w:p>
    <w:p w:rsidR="00000000" w:rsidDel="00000000" w:rsidP="00000000" w:rsidRDefault="00000000" w:rsidRPr="00000000" w14:paraId="00000FE7">
      <w:pPr>
        <w:jc w:val="both"/>
        <w:rPr>
          <w:sz w:val="22"/>
          <w:szCs w:val="22"/>
        </w:rPr>
      </w:pPr>
      <w:r w:rsidDel="00000000" w:rsidR="00000000" w:rsidRPr="00000000">
        <w:rPr>
          <w:sz w:val="22"/>
          <w:szCs w:val="22"/>
          <w:rtl w:val="0"/>
        </w:rPr>
        <w:t xml:space="preserve">Riska E. (1993). Introduction. Gender, Work and Medicine: Women and the Medical Division of Labour. London, Sage Publications.</w:t>
      </w:r>
    </w:p>
    <w:p w:rsidR="00000000" w:rsidDel="00000000" w:rsidP="00000000" w:rsidRDefault="00000000" w:rsidRPr="00000000" w14:paraId="00000FE8">
      <w:pPr>
        <w:jc w:val="both"/>
        <w:rPr>
          <w:sz w:val="22"/>
          <w:szCs w:val="22"/>
        </w:rPr>
      </w:pPr>
      <w:r w:rsidDel="00000000" w:rsidR="00000000" w:rsidRPr="00000000">
        <w:rPr>
          <w:sz w:val="22"/>
          <w:szCs w:val="22"/>
          <w:rtl w:val="0"/>
        </w:rPr>
        <w:tab/>
      </w:r>
    </w:p>
    <w:p w:rsidR="00000000" w:rsidDel="00000000" w:rsidP="00000000" w:rsidRDefault="00000000" w:rsidRPr="00000000" w14:paraId="00000FE9">
      <w:pPr>
        <w:jc w:val="both"/>
        <w:rPr>
          <w:sz w:val="22"/>
          <w:szCs w:val="22"/>
        </w:rPr>
      </w:pPr>
      <w:r w:rsidDel="00000000" w:rsidR="00000000" w:rsidRPr="00000000">
        <w:rPr>
          <w:sz w:val="22"/>
          <w:szCs w:val="22"/>
          <w:rtl w:val="0"/>
        </w:rPr>
        <w:t xml:space="preserve">Roberts M. (2009). What does the public really think about addiction and its treatment? Report on the findings of a DrugScope/ICM poll.</w:t>
      </w:r>
    </w:p>
    <w:p w:rsidR="00000000" w:rsidDel="00000000" w:rsidP="00000000" w:rsidRDefault="00000000" w:rsidRPr="00000000" w14:paraId="00000FEA">
      <w:pPr>
        <w:jc w:val="both"/>
        <w:rPr>
          <w:sz w:val="22"/>
          <w:szCs w:val="22"/>
        </w:rPr>
      </w:pPr>
      <w:r w:rsidDel="00000000" w:rsidR="00000000" w:rsidRPr="00000000">
        <w:rPr>
          <w:sz w:val="22"/>
          <w:szCs w:val="22"/>
          <w:rtl w:val="0"/>
        </w:rPr>
        <w:tab/>
      </w:r>
    </w:p>
    <w:p w:rsidR="00000000" w:rsidDel="00000000" w:rsidP="00000000" w:rsidRDefault="00000000" w:rsidRPr="00000000" w14:paraId="00000FEB">
      <w:pPr>
        <w:jc w:val="both"/>
        <w:rPr>
          <w:sz w:val="22"/>
          <w:szCs w:val="22"/>
        </w:rPr>
      </w:pPr>
      <w:r w:rsidDel="00000000" w:rsidR="00000000" w:rsidRPr="00000000">
        <w:rPr>
          <w:sz w:val="22"/>
          <w:szCs w:val="22"/>
          <w:rtl w:val="0"/>
        </w:rPr>
        <w:t xml:space="preserve">Robins L. Helzer J. Hesselbrock M. Wish E (2010). "Vietnam veterans three years after Vietnam: how our study changed our view of heroin." </w:t>
      </w:r>
      <w:r w:rsidDel="00000000" w:rsidR="00000000" w:rsidRPr="00000000">
        <w:rPr>
          <w:i w:val="1"/>
          <w:sz w:val="22"/>
          <w:szCs w:val="22"/>
          <w:rtl w:val="0"/>
        </w:rPr>
        <w:t xml:space="preserve">Am J Addict</w:t>
      </w:r>
      <w:r w:rsidDel="00000000" w:rsidR="00000000" w:rsidRPr="00000000">
        <w:rPr>
          <w:sz w:val="22"/>
          <w:szCs w:val="22"/>
          <w:rtl w:val="0"/>
        </w:rPr>
        <w:t xml:space="preserve"> 19: 203-211.</w:t>
      </w:r>
    </w:p>
    <w:p w:rsidR="00000000" w:rsidDel="00000000" w:rsidP="00000000" w:rsidRDefault="00000000" w:rsidRPr="00000000" w14:paraId="00000FEC">
      <w:pPr>
        <w:jc w:val="both"/>
        <w:rPr>
          <w:sz w:val="22"/>
          <w:szCs w:val="22"/>
        </w:rPr>
      </w:pPr>
      <w:r w:rsidDel="00000000" w:rsidR="00000000" w:rsidRPr="00000000">
        <w:rPr>
          <w:sz w:val="22"/>
          <w:szCs w:val="22"/>
          <w:rtl w:val="0"/>
        </w:rPr>
        <w:tab/>
      </w:r>
    </w:p>
    <w:p w:rsidR="00000000" w:rsidDel="00000000" w:rsidP="00000000" w:rsidRDefault="00000000" w:rsidRPr="00000000" w14:paraId="00000FED">
      <w:pPr>
        <w:jc w:val="both"/>
        <w:rPr>
          <w:sz w:val="22"/>
          <w:szCs w:val="22"/>
        </w:rPr>
      </w:pPr>
      <w:r w:rsidDel="00000000" w:rsidR="00000000" w:rsidRPr="00000000">
        <w:rPr>
          <w:sz w:val="22"/>
          <w:szCs w:val="22"/>
          <w:rtl w:val="0"/>
        </w:rPr>
        <w:t xml:space="preserve">Robins LN. Helzer JE. Davis DH (1975). "Narcotic use in Southeast Asia and afterward: an interview study of 898 Vietnam returnees." </w:t>
      </w:r>
      <w:r w:rsidDel="00000000" w:rsidR="00000000" w:rsidRPr="00000000">
        <w:rPr>
          <w:i w:val="1"/>
          <w:sz w:val="22"/>
          <w:szCs w:val="22"/>
          <w:rtl w:val="0"/>
        </w:rPr>
        <w:t xml:space="preserve">Arch Gen Psychiatry</w:t>
      </w:r>
      <w:r w:rsidDel="00000000" w:rsidR="00000000" w:rsidRPr="00000000">
        <w:rPr>
          <w:sz w:val="22"/>
          <w:szCs w:val="22"/>
          <w:rtl w:val="0"/>
        </w:rPr>
        <w:t xml:space="preserve"> 32: 955-961.</w:t>
      </w:r>
    </w:p>
    <w:p w:rsidR="00000000" w:rsidDel="00000000" w:rsidP="00000000" w:rsidRDefault="00000000" w:rsidRPr="00000000" w14:paraId="00000FEE">
      <w:pPr>
        <w:jc w:val="both"/>
        <w:rPr>
          <w:sz w:val="22"/>
          <w:szCs w:val="22"/>
        </w:rPr>
      </w:pPr>
      <w:r w:rsidDel="00000000" w:rsidR="00000000" w:rsidRPr="00000000">
        <w:rPr>
          <w:sz w:val="22"/>
          <w:szCs w:val="22"/>
          <w:rtl w:val="0"/>
        </w:rPr>
        <w:tab/>
      </w:r>
    </w:p>
    <w:p w:rsidR="00000000" w:rsidDel="00000000" w:rsidP="00000000" w:rsidRDefault="00000000" w:rsidRPr="00000000" w14:paraId="00000FEF">
      <w:pPr>
        <w:jc w:val="both"/>
        <w:rPr>
          <w:sz w:val="22"/>
          <w:szCs w:val="22"/>
        </w:rPr>
      </w:pPr>
      <w:r w:rsidDel="00000000" w:rsidR="00000000" w:rsidRPr="00000000">
        <w:rPr>
          <w:sz w:val="22"/>
          <w:szCs w:val="22"/>
          <w:rtl w:val="0"/>
        </w:rPr>
        <w:t xml:space="preserve">Rolfe G. (2006). "Validity, trustworthiness and rigour: quality and the idea of qualitative research." </w:t>
      </w:r>
      <w:r w:rsidDel="00000000" w:rsidR="00000000" w:rsidRPr="00000000">
        <w:rPr>
          <w:i w:val="1"/>
          <w:sz w:val="22"/>
          <w:szCs w:val="22"/>
          <w:rtl w:val="0"/>
        </w:rPr>
        <w:t xml:space="preserve">J Adv Nurs</w:t>
      </w:r>
      <w:r w:rsidDel="00000000" w:rsidR="00000000" w:rsidRPr="00000000">
        <w:rPr>
          <w:sz w:val="22"/>
          <w:szCs w:val="22"/>
          <w:rtl w:val="0"/>
        </w:rPr>
        <w:t xml:space="preserve"> 53: 304-310.</w:t>
      </w:r>
    </w:p>
    <w:p w:rsidR="00000000" w:rsidDel="00000000" w:rsidP="00000000" w:rsidRDefault="00000000" w:rsidRPr="00000000" w14:paraId="00000FF0">
      <w:pPr>
        <w:jc w:val="both"/>
        <w:rPr>
          <w:sz w:val="22"/>
          <w:szCs w:val="22"/>
        </w:rPr>
      </w:pPr>
      <w:r w:rsidDel="00000000" w:rsidR="00000000" w:rsidRPr="00000000">
        <w:rPr>
          <w:sz w:val="22"/>
          <w:szCs w:val="22"/>
          <w:rtl w:val="0"/>
        </w:rPr>
        <w:tab/>
      </w:r>
    </w:p>
    <w:p w:rsidR="00000000" w:rsidDel="00000000" w:rsidP="00000000" w:rsidRDefault="00000000" w:rsidRPr="00000000" w14:paraId="00000FF1">
      <w:pPr>
        <w:jc w:val="both"/>
        <w:rPr>
          <w:sz w:val="22"/>
          <w:szCs w:val="22"/>
        </w:rPr>
      </w:pPr>
      <w:r w:rsidDel="00000000" w:rsidR="00000000" w:rsidRPr="00000000">
        <w:rPr>
          <w:sz w:val="22"/>
          <w:szCs w:val="22"/>
          <w:rtl w:val="0"/>
        </w:rPr>
        <w:t xml:space="preserve">Rollnick S. Miller WR. Butler CC.Motivational Interviewing: Preparing People to Change. New York, Guildford Press.</w:t>
      </w:r>
    </w:p>
    <w:p w:rsidR="00000000" w:rsidDel="00000000" w:rsidP="00000000" w:rsidRDefault="00000000" w:rsidRPr="00000000" w14:paraId="00000FF2">
      <w:pPr>
        <w:jc w:val="both"/>
        <w:rPr>
          <w:sz w:val="22"/>
          <w:szCs w:val="22"/>
        </w:rPr>
      </w:pPr>
      <w:r w:rsidDel="00000000" w:rsidR="00000000" w:rsidRPr="00000000">
        <w:rPr>
          <w:rtl w:val="0"/>
        </w:rPr>
      </w:r>
    </w:p>
    <w:p w:rsidR="00000000" w:rsidDel="00000000" w:rsidP="00000000" w:rsidRDefault="00000000" w:rsidRPr="00000000" w14:paraId="00000FF3">
      <w:pPr>
        <w:jc w:val="both"/>
        <w:rPr>
          <w:sz w:val="22"/>
          <w:szCs w:val="22"/>
        </w:rPr>
      </w:pPr>
      <w:r w:rsidDel="00000000" w:rsidR="00000000" w:rsidRPr="00000000">
        <w:rPr>
          <w:sz w:val="22"/>
          <w:szCs w:val="22"/>
          <w:rtl w:val="0"/>
        </w:rPr>
        <w:t xml:space="preserve">Rosenbaum E. (2022). A psychedelic drug boom in mental health treatment comes closer to reality.</w:t>
      </w:r>
    </w:p>
    <w:p w:rsidR="00000000" w:rsidDel="00000000" w:rsidP="00000000" w:rsidRDefault="00000000" w:rsidRPr="00000000" w14:paraId="00000FF4">
      <w:pPr>
        <w:jc w:val="both"/>
        <w:rPr>
          <w:sz w:val="22"/>
          <w:szCs w:val="22"/>
        </w:rPr>
      </w:pPr>
      <w:r w:rsidDel="00000000" w:rsidR="00000000" w:rsidRPr="00000000">
        <w:rPr>
          <w:sz w:val="22"/>
          <w:szCs w:val="22"/>
          <w:rtl w:val="0"/>
        </w:rPr>
        <w:tab/>
      </w:r>
    </w:p>
    <w:p w:rsidR="00000000" w:rsidDel="00000000" w:rsidP="00000000" w:rsidRDefault="00000000" w:rsidRPr="00000000" w14:paraId="00000FF5">
      <w:pPr>
        <w:jc w:val="both"/>
        <w:rPr>
          <w:sz w:val="22"/>
          <w:szCs w:val="22"/>
        </w:rPr>
      </w:pPr>
      <w:r w:rsidDel="00000000" w:rsidR="00000000" w:rsidRPr="00000000">
        <w:rPr>
          <w:sz w:val="22"/>
          <w:szCs w:val="22"/>
          <w:rtl w:val="0"/>
        </w:rPr>
        <w:t xml:space="preserve">Rosenblum A. Marsch LA. Joseph H. Portenov RK. (2008). "Opioids and the Treatment of Chronic Pain: Controversies, Current Status and Future Directions." </w:t>
      </w:r>
      <w:r w:rsidDel="00000000" w:rsidR="00000000" w:rsidRPr="00000000">
        <w:rPr>
          <w:i w:val="1"/>
          <w:sz w:val="22"/>
          <w:szCs w:val="22"/>
          <w:rtl w:val="0"/>
        </w:rPr>
        <w:t xml:space="preserve">Exp. Clin. Psychopharmacology</w:t>
      </w:r>
      <w:r w:rsidDel="00000000" w:rsidR="00000000" w:rsidRPr="00000000">
        <w:rPr>
          <w:sz w:val="22"/>
          <w:szCs w:val="22"/>
          <w:rtl w:val="0"/>
        </w:rPr>
        <w:t xml:space="preserve"> 16(5).</w:t>
      </w:r>
    </w:p>
    <w:p w:rsidR="00000000" w:rsidDel="00000000" w:rsidP="00000000" w:rsidRDefault="00000000" w:rsidRPr="00000000" w14:paraId="00000FF6">
      <w:pPr>
        <w:jc w:val="both"/>
        <w:rPr>
          <w:sz w:val="22"/>
          <w:szCs w:val="22"/>
        </w:rPr>
      </w:pPr>
      <w:r w:rsidDel="00000000" w:rsidR="00000000" w:rsidRPr="00000000">
        <w:rPr>
          <w:rtl w:val="0"/>
        </w:rPr>
      </w:r>
    </w:p>
    <w:p w:rsidR="00000000" w:rsidDel="00000000" w:rsidP="00000000" w:rsidRDefault="00000000" w:rsidRPr="00000000" w14:paraId="00000FF7">
      <w:pPr>
        <w:jc w:val="both"/>
        <w:rPr>
          <w:sz w:val="22"/>
          <w:szCs w:val="22"/>
        </w:rPr>
      </w:pPr>
      <w:r w:rsidDel="00000000" w:rsidR="00000000" w:rsidRPr="00000000">
        <w:rPr>
          <w:sz w:val="22"/>
          <w:szCs w:val="22"/>
          <w:rtl w:val="0"/>
        </w:rPr>
        <w:t xml:space="preserve">Roughead E. Lim R. Ramsay E. Moffat AK. Pratt NL. (2019). "Persistence with opioids post discharge from hospitalisation for surgery in Australian adults: a retrospective cohort study." </w:t>
      </w:r>
      <w:r w:rsidDel="00000000" w:rsidR="00000000" w:rsidRPr="00000000">
        <w:rPr>
          <w:i w:val="1"/>
          <w:sz w:val="22"/>
          <w:szCs w:val="22"/>
          <w:rtl w:val="0"/>
        </w:rPr>
        <w:t xml:space="preserve">BMJ Open</w:t>
      </w:r>
      <w:r w:rsidDel="00000000" w:rsidR="00000000" w:rsidRPr="00000000">
        <w:rPr>
          <w:sz w:val="22"/>
          <w:szCs w:val="22"/>
          <w:rtl w:val="0"/>
        </w:rPr>
        <w:t xml:space="preserve"> 9.</w:t>
      </w:r>
    </w:p>
    <w:p w:rsidR="00000000" w:rsidDel="00000000" w:rsidP="00000000" w:rsidRDefault="00000000" w:rsidRPr="00000000" w14:paraId="00000FF8">
      <w:pPr>
        <w:jc w:val="both"/>
        <w:rPr>
          <w:sz w:val="22"/>
          <w:szCs w:val="22"/>
        </w:rPr>
      </w:pPr>
      <w:r w:rsidDel="00000000" w:rsidR="00000000" w:rsidRPr="00000000">
        <w:rPr>
          <w:rtl w:val="0"/>
        </w:rPr>
      </w:r>
    </w:p>
    <w:p w:rsidR="00000000" w:rsidDel="00000000" w:rsidP="00000000" w:rsidRDefault="00000000" w:rsidRPr="00000000" w14:paraId="00000FF9">
      <w:pPr>
        <w:jc w:val="both"/>
        <w:rPr>
          <w:sz w:val="22"/>
          <w:szCs w:val="22"/>
        </w:rPr>
      </w:pPr>
      <w:r w:rsidDel="00000000" w:rsidR="00000000" w:rsidRPr="00000000">
        <w:rPr>
          <w:sz w:val="22"/>
          <w:szCs w:val="22"/>
          <w:rtl w:val="0"/>
        </w:rPr>
        <w:t xml:space="preserve">Rowland D. (2019). Pounds for Patients? How private hospitals use financial incentives tow in the business of medical consultants [online]. Centre for Health and the Public Interest. Available at: </w:t>
      </w:r>
      <w:hyperlink r:id="rId92">
        <w:r w:rsidDel="00000000" w:rsidR="00000000" w:rsidRPr="00000000">
          <w:rPr>
            <w:color w:val="467886"/>
            <w:sz w:val="22"/>
            <w:szCs w:val="22"/>
            <w:u w:val="single"/>
            <w:rtl w:val="0"/>
          </w:rPr>
          <w:t xml:space="preserve">https://chpi.org.uk/wp-content/uploads/2019/06/FINAL-REPORT-POUNDS-4-PATIENTS-070619.pdf</w:t>
        </w:r>
      </w:hyperlink>
      <w:r w:rsidDel="00000000" w:rsidR="00000000" w:rsidRPr="00000000">
        <w:rPr>
          <w:sz w:val="22"/>
          <w:szCs w:val="22"/>
          <w:rtl w:val="0"/>
        </w:rPr>
        <w:t xml:space="preserve"> (26/09/2024)</w:t>
      </w:r>
    </w:p>
    <w:p w:rsidR="00000000" w:rsidDel="00000000" w:rsidP="00000000" w:rsidRDefault="00000000" w:rsidRPr="00000000" w14:paraId="00000FFA">
      <w:pPr>
        <w:jc w:val="both"/>
        <w:rPr>
          <w:sz w:val="22"/>
          <w:szCs w:val="22"/>
        </w:rPr>
      </w:pPr>
      <w:r w:rsidDel="00000000" w:rsidR="00000000" w:rsidRPr="00000000">
        <w:rPr>
          <w:sz w:val="22"/>
          <w:szCs w:val="22"/>
          <w:rtl w:val="0"/>
        </w:rPr>
        <w:tab/>
      </w:r>
    </w:p>
    <w:p w:rsidR="00000000" w:rsidDel="00000000" w:rsidP="00000000" w:rsidRDefault="00000000" w:rsidRPr="00000000" w14:paraId="00000FFB">
      <w:pPr>
        <w:jc w:val="both"/>
        <w:rPr>
          <w:sz w:val="22"/>
          <w:szCs w:val="22"/>
        </w:rPr>
      </w:pPr>
      <w:r w:rsidDel="00000000" w:rsidR="00000000" w:rsidRPr="00000000">
        <w:rPr>
          <w:sz w:val="22"/>
          <w:szCs w:val="22"/>
          <w:rtl w:val="0"/>
        </w:rPr>
        <w:t xml:space="preserve">Royal College of Psychiatrists (2020). Two-fifths of patients waiting for mental health treatment forced to resort to emergency or crisis services [online]. Royal College of Psychiatrists. Available at: </w:t>
      </w:r>
      <w:hyperlink r:id="rId93">
        <w:r w:rsidDel="00000000" w:rsidR="00000000" w:rsidRPr="00000000">
          <w:rPr>
            <w:color w:val="467886"/>
            <w:sz w:val="22"/>
            <w:szCs w:val="22"/>
            <w:u w:val="single"/>
            <w:rtl w:val="0"/>
          </w:rPr>
          <w:t xml:space="preserve">https://www.rcpsych.ac.uk/news-and-features/latest-news/detail/2020/10/06/two-fifths-of-patients-waiting-for-mental-health-treatment-forced-to-resort-to-emergency-or-crisis-services</w:t>
        </w:r>
      </w:hyperlink>
      <w:r w:rsidDel="00000000" w:rsidR="00000000" w:rsidRPr="00000000">
        <w:rPr>
          <w:sz w:val="22"/>
          <w:szCs w:val="22"/>
          <w:rtl w:val="0"/>
        </w:rPr>
        <w:t xml:space="preserve"> (22/01/2023)</w:t>
      </w:r>
    </w:p>
    <w:p w:rsidR="00000000" w:rsidDel="00000000" w:rsidP="00000000" w:rsidRDefault="00000000" w:rsidRPr="00000000" w14:paraId="00000FFC">
      <w:pPr>
        <w:jc w:val="both"/>
        <w:rPr>
          <w:sz w:val="22"/>
          <w:szCs w:val="22"/>
        </w:rPr>
      </w:pPr>
      <w:r w:rsidDel="00000000" w:rsidR="00000000" w:rsidRPr="00000000">
        <w:rPr>
          <w:sz w:val="22"/>
          <w:szCs w:val="22"/>
          <w:rtl w:val="0"/>
        </w:rPr>
        <w:tab/>
      </w:r>
    </w:p>
    <w:p w:rsidR="00000000" w:rsidDel="00000000" w:rsidP="00000000" w:rsidRDefault="00000000" w:rsidRPr="00000000" w14:paraId="00000FFD">
      <w:pPr>
        <w:jc w:val="both"/>
        <w:rPr>
          <w:sz w:val="22"/>
          <w:szCs w:val="22"/>
        </w:rPr>
      </w:pPr>
      <w:r w:rsidDel="00000000" w:rsidR="00000000" w:rsidRPr="00000000">
        <w:rPr>
          <w:sz w:val="22"/>
          <w:szCs w:val="22"/>
          <w:rtl w:val="0"/>
        </w:rPr>
        <w:t xml:space="preserve">Ruggiano N. Perry TE. (2017). "Conducting secondary analysis of qualitative data: Should we, can we, and how?" </w:t>
      </w:r>
      <w:r w:rsidDel="00000000" w:rsidR="00000000" w:rsidRPr="00000000">
        <w:rPr>
          <w:i w:val="1"/>
          <w:sz w:val="22"/>
          <w:szCs w:val="22"/>
          <w:rtl w:val="0"/>
        </w:rPr>
        <w:t xml:space="preserve">Qualitative Social Work</w:t>
      </w:r>
      <w:r w:rsidDel="00000000" w:rsidR="00000000" w:rsidRPr="00000000">
        <w:rPr>
          <w:sz w:val="22"/>
          <w:szCs w:val="22"/>
          <w:rtl w:val="0"/>
        </w:rPr>
        <w:t xml:space="preserve"> 18(1): 81-97.</w:t>
      </w:r>
    </w:p>
    <w:p w:rsidR="00000000" w:rsidDel="00000000" w:rsidP="00000000" w:rsidRDefault="00000000" w:rsidRPr="00000000" w14:paraId="00000FFE">
      <w:pPr>
        <w:jc w:val="both"/>
        <w:rPr>
          <w:sz w:val="22"/>
          <w:szCs w:val="22"/>
        </w:rPr>
      </w:pPr>
      <w:r w:rsidDel="00000000" w:rsidR="00000000" w:rsidRPr="00000000">
        <w:rPr>
          <w:rtl w:val="0"/>
        </w:rPr>
      </w:r>
    </w:p>
    <w:p w:rsidR="00000000" w:rsidDel="00000000" w:rsidP="00000000" w:rsidRDefault="00000000" w:rsidRPr="00000000" w14:paraId="00000FFF">
      <w:pPr>
        <w:jc w:val="both"/>
        <w:rPr>
          <w:sz w:val="22"/>
          <w:szCs w:val="22"/>
        </w:rPr>
      </w:pPr>
      <w:r w:rsidDel="00000000" w:rsidR="00000000" w:rsidRPr="00000000">
        <w:rPr>
          <w:sz w:val="22"/>
          <w:szCs w:val="22"/>
          <w:rtl w:val="0"/>
        </w:rPr>
        <w:t xml:space="preserve">Russell C. Ali F. Nafeh F. Rehm J. LeBlanc S. Elton-Marshall T. (2021). "Identifying the impacts of the COVID-19 pandemic on service access for people who use drugs (PWUD): a national qualitative study." </w:t>
      </w:r>
      <w:r w:rsidDel="00000000" w:rsidR="00000000" w:rsidRPr="00000000">
        <w:rPr>
          <w:i w:val="1"/>
          <w:sz w:val="22"/>
          <w:szCs w:val="22"/>
          <w:rtl w:val="0"/>
        </w:rPr>
        <w:t xml:space="preserve">Journal of Substance Abuse Treatment</w:t>
      </w:r>
      <w:r w:rsidDel="00000000" w:rsidR="00000000" w:rsidRPr="00000000">
        <w:rPr>
          <w:sz w:val="22"/>
          <w:szCs w:val="22"/>
          <w:rtl w:val="0"/>
        </w:rPr>
        <w:t xml:space="preserve"> 16(5).</w:t>
      </w:r>
    </w:p>
    <w:p w:rsidR="00000000" w:rsidDel="00000000" w:rsidP="00000000" w:rsidRDefault="00000000" w:rsidRPr="00000000" w14:paraId="00001000">
      <w:pPr>
        <w:jc w:val="both"/>
        <w:rPr>
          <w:sz w:val="22"/>
          <w:szCs w:val="22"/>
        </w:rPr>
      </w:pPr>
      <w:r w:rsidDel="00000000" w:rsidR="00000000" w:rsidRPr="00000000">
        <w:rPr>
          <w:rtl w:val="0"/>
        </w:rPr>
      </w:r>
    </w:p>
    <w:p w:rsidR="00000000" w:rsidDel="00000000" w:rsidP="00000000" w:rsidRDefault="00000000" w:rsidRPr="00000000" w14:paraId="00001001">
      <w:pPr>
        <w:jc w:val="both"/>
        <w:rPr>
          <w:sz w:val="22"/>
          <w:szCs w:val="22"/>
        </w:rPr>
      </w:pPr>
      <w:r w:rsidDel="00000000" w:rsidR="00000000" w:rsidRPr="00000000">
        <w:rPr>
          <w:sz w:val="22"/>
          <w:szCs w:val="22"/>
          <w:rtl w:val="0"/>
        </w:rPr>
        <w:t xml:space="preserve">Ryba N. Rainess R. (2020). "Z-Drugs and Falls: A Focused Review of the Literature." </w:t>
      </w:r>
      <w:r w:rsidDel="00000000" w:rsidR="00000000" w:rsidRPr="00000000">
        <w:rPr>
          <w:i w:val="1"/>
          <w:sz w:val="22"/>
          <w:szCs w:val="22"/>
          <w:rtl w:val="0"/>
        </w:rPr>
        <w:t xml:space="preserve">Sr Care Pharm</w:t>
      </w:r>
      <w:r w:rsidDel="00000000" w:rsidR="00000000" w:rsidRPr="00000000">
        <w:rPr>
          <w:sz w:val="22"/>
          <w:szCs w:val="22"/>
          <w:rtl w:val="0"/>
        </w:rPr>
        <w:t xml:space="preserve"> 1(35).</w:t>
      </w:r>
    </w:p>
    <w:p w:rsidR="00000000" w:rsidDel="00000000" w:rsidP="00000000" w:rsidRDefault="00000000" w:rsidRPr="00000000" w14:paraId="00001002">
      <w:pPr>
        <w:jc w:val="both"/>
        <w:rPr>
          <w:sz w:val="22"/>
          <w:szCs w:val="22"/>
        </w:rPr>
      </w:pPr>
      <w:r w:rsidDel="00000000" w:rsidR="00000000" w:rsidRPr="00000000">
        <w:rPr>
          <w:rtl w:val="0"/>
        </w:rPr>
      </w:r>
    </w:p>
    <w:p w:rsidR="00000000" w:rsidDel="00000000" w:rsidP="00000000" w:rsidRDefault="00000000" w:rsidRPr="00000000" w14:paraId="00001003">
      <w:pPr>
        <w:jc w:val="both"/>
        <w:rPr>
          <w:sz w:val="22"/>
          <w:szCs w:val="22"/>
        </w:rPr>
      </w:pPr>
      <w:r w:rsidDel="00000000" w:rsidR="00000000" w:rsidRPr="00000000">
        <w:rPr>
          <w:sz w:val="22"/>
          <w:szCs w:val="22"/>
          <w:rtl w:val="0"/>
        </w:rPr>
        <w:t xml:space="preserve">Sandelowski M. (1993). "Rigor or rigor mortis: the problem of rigor in qualitative research revisited." </w:t>
      </w:r>
      <w:r w:rsidDel="00000000" w:rsidR="00000000" w:rsidRPr="00000000">
        <w:rPr>
          <w:i w:val="1"/>
          <w:sz w:val="22"/>
          <w:szCs w:val="22"/>
          <w:rtl w:val="0"/>
        </w:rPr>
        <w:t xml:space="preserve">Adv Nurs Sci</w:t>
      </w:r>
      <w:r w:rsidDel="00000000" w:rsidR="00000000" w:rsidRPr="00000000">
        <w:rPr>
          <w:sz w:val="22"/>
          <w:szCs w:val="22"/>
          <w:rtl w:val="0"/>
        </w:rPr>
        <w:t xml:space="preserve"> 16: 1-8.</w:t>
      </w:r>
    </w:p>
    <w:p w:rsidR="00000000" w:rsidDel="00000000" w:rsidP="00000000" w:rsidRDefault="00000000" w:rsidRPr="00000000" w14:paraId="00001004">
      <w:pPr>
        <w:jc w:val="both"/>
        <w:rPr>
          <w:sz w:val="22"/>
          <w:szCs w:val="22"/>
        </w:rPr>
      </w:pPr>
      <w:r w:rsidDel="00000000" w:rsidR="00000000" w:rsidRPr="00000000">
        <w:rPr>
          <w:sz w:val="22"/>
          <w:szCs w:val="22"/>
          <w:rtl w:val="0"/>
        </w:rPr>
        <w:tab/>
      </w:r>
    </w:p>
    <w:p w:rsidR="00000000" w:rsidDel="00000000" w:rsidP="00000000" w:rsidRDefault="00000000" w:rsidRPr="00000000" w14:paraId="00001005">
      <w:pPr>
        <w:jc w:val="both"/>
        <w:rPr>
          <w:sz w:val="22"/>
          <w:szCs w:val="22"/>
        </w:rPr>
      </w:pPr>
      <w:r w:rsidDel="00000000" w:rsidR="00000000" w:rsidRPr="00000000">
        <w:rPr>
          <w:sz w:val="22"/>
          <w:szCs w:val="22"/>
          <w:rtl w:val="0"/>
        </w:rPr>
        <w:t xml:space="preserve">Sanjari M. Bahramnezhad F. Fomani Fk. Shoghi M, C. M. A. (2014). ". Ethical challenges of researchers in qualitative studies: the necessity to develop a specific guideline." </w:t>
      </w:r>
      <w:r w:rsidDel="00000000" w:rsidR="00000000" w:rsidRPr="00000000">
        <w:rPr>
          <w:i w:val="1"/>
          <w:sz w:val="22"/>
          <w:szCs w:val="22"/>
          <w:rtl w:val="0"/>
        </w:rPr>
        <w:t xml:space="preserve">Journal of Medical Ethics and History of Medicine</w:t>
      </w:r>
      <w:r w:rsidDel="00000000" w:rsidR="00000000" w:rsidRPr="00000000">
        <w:rPr>
          <w:sz w:val="22"/>
          <w:szCs w:val="22"/>
          <w:rtl w:val="0"/>
        </w:rPr>
        <w:t xml:space="preserve"> 4(7): 14-14.</w:t>
      </w:r>
    </w:p>
    <w:p w:rsidR="00000000" w:rsidDel="00000000" w:rsidP="00000000" w:rsidRDefault="00000000" w:rsidRPr="00000000" w14:paraId="00001006">
      <w:pPr>
        <w:jc w:val="both"/>
        <w:rPr>
          <w:sz w:val="22"/>
          <w:szCs w:val="22"/>
        </w:rPr>
      </w:pPr>
      <w:r w:rsidDel="00000000" w:rsidR="00000000" w:rsidRPr="00000000">
        <w:rPr>
          <w:sz w:val="22"/>
          <w:szCs w:val="22"/>
          <w:rtl w:val="0"/>
        </w:rPr>
        <w:tab/>
      </w:r>
    </w:p>
    <w:p w:rsidR="00000000" w:rsidDel="00000000" w:rsidP="00000000" w:rsidRDefault="00000000" w:rsidRPr="00000000" w14:paraId="00001007">
      <w:pPr>
        <w:jc w:val="both"/>
        <w:rPr>
          <w:i w:val="1"/>
          <w:sz w:val="22"/>
          <w:szCs w:val="22"/>
        </w:rPr>
      </w:pPr>
      <w:r w:rsidDel="00000000" w:rsidR="00000000" w:rsidRPr="00000000">
        <w:rPr>
          <w:sz w:val="22"/>
          <w:szCs w:val="22"/>
          <w:rtl w:val="0"/>
        </w:rPr>
        <w:t xml:space="preserve">Santomauro DF. Hererra AMM. Shadid J. Zheng P. Asbaugh C. Pigott DM. Abbafati C. Adolph C. Amlag JO. Aravkin AY. Bang-Jensen BL. Veroloacci GJ. Bloom SS. Castellano R. Castro E. Chakrabarti S. Chattopadhay J.  et al. (2021). "Global prevalence and burden of depressive and anxiety disorders in 204 countries and territories in 2020 due to the COVID-19 pandemic." </w:t>
      </w:r>
      <w:r w:rsidDel="00000000" w:rsidR="00000000" w:rsidRPr="00000000">
        <w:rPr>
          <w:i w:val="1"/>
          <w:sz w:val="22"/>
          <w:szCs w:val="22"/>
          <w:rtl w:val="0"/>
        </w:rPr>
        <w:t xml:space="preserve">The Lancet.</w:t>
      </w:r>
    </w:p>
    <w:p w:rsidR="00000000" w:rsidDel="00000000" w:rsidP="00000000" w:rsidRDefault="00000000" w:rsidRPr="00000000" w14:paraId="00001008">
      <w:pPr>
        <w:jc w:val="both"/>
        <w:rPr>
          <w:sz w:val="22"/>
          <w:szCs w:val="22"/>
        </w:rPr>
      </w:pPr>
      <w:r w:rsidDel="00000000" w:rsidR="00000000" w:rsidRPr="00000000">
        <w:rPr>
          <w:sz w:val="22"/>
          <w:szCs w:val="22"/>
          <w:rtl w:val="0"/>
        </w:rPr>
        <w:tab/>
      </w:r>
    </w:p>
    <w:p w:rsidR="00000000" w:rsidDel="00000000" w:rsidP="00000000" w:rsidRDefault="00000000" w:rsidRPr="00000000" w14:paraId="00001009">
      <w:pPr>
        <w:jc w:val="both"/>
        <w:rPr>
          <w:sz w:val="22"/>
          <w:szCs w:val="22"/>
        </w:rPr>
      </w:pPr>
      <w:r w:rsidDel="00000000" w:rsidR="00000000" w:rsidRPr="00000000">
        <w:rPr>
          <w:sz w:val="22"/>
          <w:szCs w:val="22"/>
          <w:rtl w:val="0"/>
        </w:rPr>
        <w:t xml:space="preserve">Saranhgi A. McMahon T. Gude J (2021). "Benzodiazepine Misuse: An Epidemic Within a Pandemic." </w:t>
      </w:r>
      <w:r w:rsidDel="00000000" w:rsidR="00000000" w:rsidRPr="00000000">
        <w:rPr>
          <w:i w:val="1"/>
          <w:sz w:val="22"/>
          <w:szCs w:val="22"/>
          <w:rtl w:val="0"/>
        </w:rPr>
        <w:t xml:space="preserve">Cureus</w:t>
      </w:r>
      <w:r w:rsidDel="00000000" w:rsidR="00000000" w:rsidRPr="00000000">
        <w:rPr>
          <w:sz w:val="22"/>
          <w:szCs w:val="22"/>
          <w:rtl w:val="0"/>
        </w:rPr>
        <w:t xml:space="preserve"> 13(6).</w:t>
      </w:r>
    </w:p>
    <w:p w:rsidR="00000000" w:rsidDel="00000000" w:rsidP="00000000" w:rsidRDefault="00000000" w:rsidRPr="00000000" w14:paraId="0000100A">
      <w:pPr>
        <w:jc w:val="both"/>
        <w:rPr>
          <w:sz w:val="22"/>
          <w:szCs w:val="22"/>
        </w:rPr>
      </w:pPr>
      <w:r w:rsidDel="00000000" w:rsidR="00000000" w:rsidRPr="00000000">
        <w:rPr>
          <w:sz w:val="22"/>
          <w:szCs w:val="22"/>
          <w:rtl w:val="0"/>
        </w:rPr>
        <w:tab/>
      </w:r>
    </w:p>
    <w:p w:rsidR="00000000" w:rsidDel="00000000" w:rsidP="00000000" w:rsidRDefault="00000000" w:rsidRPr="00000000" w14:paraId="0000100B">
      <w:pPr>
        <w:jc w:val="both"/>
        <w:rPr>
          <w:sz w:val="22"/>
          <w:szCs w:val="22"/>
        </w:rPr>
      </w:pPr>
      <w:r w:rsidDel="00000000" w:rsidR="00000000" w:rsidRPr="00000000">
        <w:rPr>
          <w:sz w:val="22"/>
          <w:szCs w:val="22"/>
          <w:rtl w:val="0"/>
        </w:rPr>
        <w:t xml:space="preserve">Sarris J. Sinclair J. Maramacoska D. Davidson M. Firth J. (2020). "Medicinal cannabis for psychiatric disorders: a clinically-focused systematic review." </w:t>
      </w:r>
      <w:r w:rsidDel="00000000" w:rsidR="00000000" w:rsidRPr="00000000">
        <w:rPr>
          <w:i w:val="1"/>
          <w:sz w:val="22"/>
          <w:szCs w:val="22"/>
          <w:rtl w:val="0"/>
        </w:rPr>
        <w:t xml:space="preserve">BMC Psychiatry</w:t>
      </w:r>
      <w:r w:rsidDel="00000000" w:rsidR="00000000" w:rsidRPr="00000000">
        <w:rPr>
          <w:sz w:val="22"/>
          <w:szCs w:val="22"/>
          <w:rtl w:val="0"/>
        </w:rPr>
        <w:t xml:space="preserve"> 20(24).</w:t>
      </w:r>
    </w:p>
    <w:p w:rsidR="00000000" w:rsidDel="00000000" w:rsidP="00000000" w:rsidRDefault="00000000" w:rsidRPr="00000000" w14:paraId="0000100C">
      <w:pPr>
        <w:jc w:val="both"/>
        <w:rPr>
          <w:sz w:val="22"/>
          <w:szCs w:val="22"/>
        </w:rPr>
      </w:pPr>
      <w:r w:rsidDel="00000000" w:rsidR="00000000" w:rsidRPr="00000000">
        <w:rPr>
          <w:sz w:val="22"/>
          <w:szCs w:val="22"/>
          <w:rtl w:val="0"/>
        </w:rPr>
        <w:tab/>
      </w:r>
    </w:p>
    <w:p w:rsidR="00000000" w:rsidDel="00000000" w:rsidP="00000000" w:rsidRDefault="00000000" w:rsidRPr="00000000" w14:paraId="0000100D">
      <w:pPr>
        <w:jc w:val="both"/>
        <w:rPr>
          <w:sz w:val="22"/>
          <w:szCs w:val="22"/>
        </w:rPr>
      </w:pPr>
      <w:r w:rsidDel="00000000" w:rsidR="00000000" w:rsidRPr="00000000">
        <w:rPr>
          <w:sz w:val="22"/>
          <w:szCs w:val="22"/>
          <w:rtl w:val="0"/>
        </w:rPr>
        <w:t xml:space="preserve">Saunders B. Kitzinger J. Kitzinger C. (2015). "Anonymising interview data: challenges and compromise in practice." </w:t>
      </w:r>
      <w:r w:rsidDel="00000000" w:rsidR="00000000" w:rsidRPr="00000000">
        <w:rPr>
          <w:i w:val="1"/>
          <w:sz w:val="22"/>
          <w:szCs w:val="22"/>
          <w:rtl w:val="0"/>
        </w:rPr>
        <w:t xml:space="preserve">Qualitative Research</w:t>
      </w:r>
      <w:r w:rsidDel="00000000" w:rsidR="00000000" w:rsidRPr="00000000">
        <w:rPr>
          <w:sz w:val="22"/>
          <w:szCs w:val="22"/>
          <w:rtl w:val="0"/>
        </w:rPr>
        <w:t xml:space="preserve"> 15(5): 616-632.</w:t>
      </w:r>
    </w:p>
    <w:p w:rsidR="00000000" w:rsidDel="00000000" w:rsidP="00000000" w:rsidRDefault="00000000" w:rsidRPr="00000000" w14:paraId="0000100E">
      <w:pPr>
        <w:jc w:val="both"/>
        <w:rPr>
          <w:sz w:val="22"/>
          <w:szCs w:val="22"/>
        </w:rPr>
      </w:pPr>
      <w:r w:rsidDel="00000000" w:rsidR="00000000" w:rsidRPr="00000000">
        <w:rPr>
          <w:sz w:val="22"/>
          <w:szCs w:val="22"/>
          <w:rtl w:val="0"/>
        </w:rPr>
        <w:tab/>
      </w:r>
    </w:p>
    <w:p w:rsidR="00000000" w:rsidDel="00000000" w:rsidP="00000000" w:rsidRDefault="00000000" w:rsidRPr="00000000" w14:paraId="0000100F">
      <w:pPr>
        <w:jc w:val="both"/>
        <w:rPr>
          <w:sz w:val="22"/>
          <w:szCs w:val="22"/>
        </w:rPr>
      </w:pPr>
      <w:r w:rsidDel="00000000" w:rsidR="00000000" w:rsidRPr="00000000">
        <w:rPr>
          <w:sz w:val="22"/>
          <w:szCs w:val="22"/>
          <w:rtl w:val="0"/>
        </w:rPr>
        <w:t xml:space="preserve">Scheller CA. (2014). "Commentary: stubbornly high suicide rate." ChristianityToday.</w:t>
      </w:r>
    </w:p>
    <w:p w:rsidR="00000000" w:rsidDel="00000000" w:rsidP="00000000" w:rsidRDefault="00000000" w:rsidRPr="00000000" w14:paraId="00001010">
      <w:pPr>
        <w:jc w:val="both"/>
        <w:rPr>
          <w:sz w:val="22"/>
          <w:szCs w:val="22"/>
        </w:rPr>
      </w:pPr>
      <w:r w:rsidDel="00000000" w:rsidR="00000000" w:rsidRPr="00000000">
        <w:rPr>
          <w:sz w:val="22"/>
          <w:szCs w:val="22"/>
          <w:rtl w:val="0"/>
        </w:rPr>
        <w:tab/>
      </w:r>
    </w:p>
    <w:p w:rsidR="00000000" w:rsidDel="00000000" w:rsidP="00000000" w:rsidRDefault="00000000" w:rsidRPr="00000000" w14:paraId="00001011">
      <w:pPr>
        <w:jc w:val="both"/>
        <w:rPr>
          <w:sz w:val="22"/>
          <w:szCs w:val="22"/>
        </w:rPr>
      </w:pPr>
      <w:r w:rsidDel="00000000" w:rsidR="00000000" w:rsidRPr="00000000">
        <w:rPr>
          <w:sz w:val="22"/>
          <w:szCs w:val="22"/>
          <w:rtl w:val="0"/>
        </w:rPr>
        <w:t xml:space="preserve">Schiestl ET. (2021). The Qualitative Evaluation of the Lived Experience of Food Addiction. Michigan: 1-180.</w:t>
      </w:r>
    </w:p>
    <w:p w:rsidR="00000000" w:rsidDel="00000000" w:rsidP="00000000" w:rsidRDefault="00000000" w:rsidRPr="00000000" w14:paraId="00001012">
      <w:pPr>
        <w:jc w:val="both"/>
        <w:rPr>
          <w:sz w:val="22"/>
          <w:szCs w:val="22"/>
        </w:rPr>
      </w:pPr>
      <w:r w:rsidDel="00000000" w:rsidR="00000000" w:rsidRPr="00000000">
        <w:rPr>
          <w:rtl w:val="0"/>
        </w:rPr>
      </w:r>
    </w:p>
    <w:p w:rsidR="00000000" w:rsidDel="00000000" w:rsidP="00000000" w:rsidRDefault="00000000" w:rsidRPr="00000000" w14:paraId="00001013">
      <w:pPr>
        <w:jc w:val="both"/>
        <w:rPr>
          <w:sz w:val="22"/>
          <w:szCs w:val="22"/>
        </w:rPr>
      </w:pPr>
      <w:r w:rsidDel="00000000" w:rsidR="00000000" w:rsidRPr="00000000">
        <w:rPr>
          <w:sz w:val="22"/>
          <w:szCs w:val="22"/>
          <w:rtl w:val="0"/>
        </w:rPr>
        <w:t xml:space="preserve">Schlichthorst M. Ozols I. Reifels L. Morgan A. (2020). "Lived experience peer support programs for suicide prevention: a systematic scoping review." </w:t>
      </w:r>
      <w:r w:rsidDel="00000000" w:rsidR="00000000" w:rsidRPr="00000000">
        <w:rPr>
          <w:i w:val="1"/>
          <w:sz w:val="22"/>
          <w:szCs w:val="22"/>
          <w:rtl w:val="0"/>
        </w:rPr>
        <w:t xml:space="preserve">International Journal of Mental Health Systems</w:t>
      </w:r>
      <w:r w:rsidDel="00000000" w:rsidR="00000000" w:rsidRPr="00000000">
        <w:rPr>
          <w:sz w:val="22"/>
          <w:szCs w:val="22"/>
          <w:rtl w:val="0"/>
        </w:rPr>
        <w:t xml:space="preserve"> 14(65).</w:t>
      </w:r>
    </w:p>
    <w:p w:rsidR="00000000" w:rsidDel="00000000" w:rsidP="00000000" w:rsidRDefault="00000000" w:rsidRPr="00000000" w14:paraId="00001014">
      <w:pPr>
        <w:jc w:val="both"/>
        <w:rPr>
          <w:sz w:val="22"/>
          <w:szCs w:val="22"/>
        </w:rPr>
      </w:pPr>
      <w:r w:rsidDel="00000000" w:rsidR="00000000" w:rsidRPr="00000000">
        <w:rPr>
          <w:rtl w:val="0"/>
        </w:rPr>
      </w:r>
    </w:p>
    <w:p w:rsidR="00000000" w:rsidDel="00000000" w:rsidP="00000000" w:rsidRDefault="00000000" w:rsidRPr="00000000" w14:paraId="00001015">
      <w:pPr>
        <w:jc w:val="both"/>
        <w:rPr>
          <w:sz w:val="22"/>
          <w:szCs w:val="22"/>
        </w:rPr>
      </w:pPr>
      <w:r w:rsidDel="00000000" w:rsidR="00000000" w:rsidRPr="00000000">
        <w:rPr>
          <w:sz w:val="22"/>
          <w:szCs w:val="22"/>
          <w:rtl w:val="0"/>
        </w:rPr>
        <w:t xml:space="preserve">Schneider JL. Firemark AJ. Papjorgji-Taylor D. DeBar LL. Smith DH. Kuntz JL. (2022). ""I really had somebody in my corner". Patient experiences with a pharmacist-led opioid tapering program." </w:t>
      </w:r>
      <w:r w:rsidDel="00000000" w:rsidR="00000000" w:rsidRPr="00000000">
        <w:rPr>
          <w:i w:val="1"/>
          <w:sz w:val="22"/>
          <w:szCs w:val="22"/>
          <w:rtl w:val="0"/>
        </w:rPr>
        <w:t xml:space="preserve">Journal of the American Pharmacists Association</w:t>
      </w:r>
      <w:r w:rsidDel="00000000" w:rsidR="00000000" w:rsidRPr="00000000">
        <w:rPr>
          <w:sz w:val="22"/>
          <w:szCs w:val="22"/>
          <w:rtl w:val="0"/>
        </w:rPr>
        <w:t xml:space="preserve"> 63(1): 241-251.</w:t>
      </w:r>
    </w:p>
    <w:p w:rsidR="00000000" w:rsidDel="00000000" w:rsidP="00000000" w:rsidRDefault="00000000" w:rsidRPr="00000000" w14:paraId="00001016">
      <w:pPr>
        <w:jc w:val="both"/>
        <w:rPr>
          <w:sz w:val="22"/>
          <w:szCs w:val="22"/>
        </w:rPr>
      </w:pPr>
      <w:r w:rsidDel="00000000" w:rsidR="00000000" w:rsidRPr="00000000">
        <w:rPr>
          <w:sz w:val="22"/>
          <w:szCs w:val="22"/>
          <w:rtl w:val="0"/>
        </w:rPr>
        <w:tab/>
      </w:r>
    </w:p>
    <w:p w:rsidR="00000000" w:rsidDel="00000000" w:rsidP="00000000" w:rsidRDefault="00000000" w:rsidRPr="00000000" w14:paraId="00001017">
      <w:pPr>
        <w:jc w:val="both"/>
        <w:rPr>
          <w:sz w:val="22"/>
          <w:szCs w:val="22"/>
        </w:rPr>
      </w:pPr>
      <w:r w:rsidDel="00000000" w:rsidR="00000000" w:rsidRPr="00000000">
        <w:rPr>
          <w:sz w:val="22"/>
          <w:szCs w:val="22"/>
          <w:rtl w:val="0"/>
        </w:rPr>
        <w:t xml:space="preserve">Scholz B. Crabb S. Wittert GA. (2017). ""Males Don't Wanna Bring Anything Up To Their Doctor": Men's Discourses of Depression." </w:t>
      </w:r>
      <w:r w:rsidDel="00000000" w:rsidR="00000000" w:rsidRPr="00000000">
        <w:rPr>
          <w:i w:val="1"/>
          <w:sz w:val="22"/>
          <w:szCs w:val="22"/>
          <w:rtl w:val="0"/>
        </w:rPr>
        <w:t xml:space="preserve">Qual Health Res</w:t>
      </w:r>
      <w:r w:rsidDel="00000000" w:rsidR="00000000" w:rsidRPr="00000000">
        <w:rPr>
          <w:sz w:val="22"/>
          <w:szCs w:val="22"/>
          <w:rtl w:val="0"/>
        </w:rPr>
        <w:t xml:space="preserve"> 27(5): 727-737.</w:t>
      </w:r>
    </w:p>
    <w:p w:rsidR="00000000" w:rsidDel="00000000" w:rsidP="00000000" w:rsidRDefault="00000000" w:rsidRPr="00000000" w14:paraId="00001018">
      <w:pPr>
        <w:jc w:val="both"/>
        <w:rPr>
          <w:sz w:val="22"/>
          <w:szCs w:val="22"/>
        </w:rPr>
      </w:pPr>
      <w:r w:rsidDel="00000000" w:rsidR="00000000" w:rsidRPr="00000000">
        <w:rPr>
          <w:sz w:val="22"/>
          <w:szCs w:val="22"/>
          <w:rtl w:val="0"/>
        </w:rPr>
        <w:tab/>
      </w:r>
    </w:p>
    <w:p w:rsidR="00000000" w:rsidDel="00000000" w:rsidP="00000000" w:rsidRDefault="00000000" w:rsidRPr="00000000" w14:paraId="00001019">
      <w:pPr>
        <w:jc w:val="both"/>
        <w:rPr>
          <w:sz w:val="22"/>
          <w:szCs w:val="22"/>
        </w:rPr>
      </w:pPr>
      <w:r w:rsidDel="00000000" w:rsidR="00000000" w:rsidRPr="00000000">
        <w:rPr>
          <w:sz w:val="22"/>
          <w:szCs w:val="22"/>
          <w:rtl w:val="0"/>
        </w:rPr>
        <w:t xml:space="preserve">Schomerus G. Lucht M. Holzinger A. Matschinger H. Carta MG. Angermeyer MC. (2010). "The stigma of alcohol dependence compared with other mental disorders: A review of population studies." </w:t>
      </w:r>
      <w:r w:rsidDel="00000000" w:rsidR="00000000" w:rsidRPr="00000000">
        <w:rPr>
          <w:i w:val="1"/>
          <w:sz w:val="22"/>
          <w:szCs w:val="22"/>
          <w:rtl w:val="0"/>
        </w:rPr>
        <w:t xml:space="preserve">Alcohol and Alcoholism</w:t>
      </w:r>
      <w:r w:rsidDel="00000000" w:rsidR="00000000" w:rsidRPr="00000000">
        <w:rPr>
          <w:sz w:val="22"/>
          <w:szCs w:val="22"/>
          <w:rtl w:val="0"/>
        </w:rPr>
        <w:t xml:space="preserve"> 46: 105-112.</w:t>
      </w:r>
    </w:p>
    <w:p w:rsidR="00000000" w:rsidDel="00000000" w:rsidP="00000000" w:rsidRDefault="00000000" w:rsidRPr="00000000" w14:paraId="0000101A">
      <w:pPr>
        <w:jc w:val="both"/>
        <w:rPr>
          <w:sz w:val="22"/>
          <w:szCs w:val="22"/>
        </w:rPr>
      </w:pPr>
      <w:r w:rsidDel="00000000" w:rsidR="00000000" w:rsidRPr="00000000">
        <w:rPr>
          <w:rtl w:val="0"/>
        </w:rPr>
      </w:r>
    </w:p>
    <w:p w:rsidR="00000000" w:rsidDel="00000000" w:rsidP="00000000" w:rsidRDefault="00000000" w:rsidRPr="00000000" w14:paraId="0000101B">
      <w:pPr>
        <w:jc w:val="both"/>
        <w:rPr>
          <w:sz w:val="22"/>
          <w:szCs w:val="22"/>
        </w:rPr>
      </w:pPr>
      <w:r w:rsidDel="00000000" w:rsidR="00000000" w:rsidRPr="00000000">
        <w:rPr>
          <w:sz w:val="22"/>
          <w:szCs w:val="22"/>
          <w:rtl w:val="0"/>
        </w:rPr>
        <w:t xml:space="preserve">Schreiber R. Hartrick G.. (2002). "Keeping It Together: How Women Use The Biomedical Explanatory Model To Manage The Stigma Of Depression." </w:t>
      </w:r>
      <w:r w:rsidDel="00000000" w:rsidR="00000000" w:rsidRPr="00000000">
        <w:rPr>
          <w:i w:val="1"/>
          <w:sz w:val="22"/>
          <w:szCs w:val="22"/>
          <w:rtl w:val="0"/>
        </w:rPr>
        <w:t xml:space="preserve">Issues in Mental Health Nursing 2</w:t>
      </w:r>
      <w:r w:rsidDel="00000000" w:rsidR="00000000" w:rsidRPr="00000000">
        <w:rPr>
          <w:sz w:val="22"/>
          <w:szCs w:val="22"/>
          <w:rtl w:val="0"/>
        </w:rPr>
        <w:t xml:space="preserve">3(2): 91-105.</w:t>
      </w:r>
    </w:p>
    <w:p w:rsidR="00000000" w:rsidDel="00000000" w:rsidP="00000000" w:rsidRDefault="00000000" w:rsidRPr="00000000" w14:paraId="0000101C">
      <w:pPr>
        <w:jc w:val="both"/>
        <w:rPr>
          <w:sz w:val="22"/>
          <w:szCs w:val="22"/>
        </w:rPr>
      </w:pPr>
      <w:r w:rsidDel="00000000" w:rsidR="00000000" w:rsidRPr="00000000">
        <w:rPr>
          <w:sz w:val="22"/>
          <w:szCs w:val="22"/>
          <w:rtl w:val="0"/>
        </w:rPr>
        <w:tab/>
      </w:r>
    </w:p>
    <w:p w:rsidR="00000000" w:rsidDel="00000000" w:rsidP="00000000" w:rsidRDefault="00000000" w:rsidRPr="00000000" w14:paraId="0000101D">
      <w:pPr>
        <w:jc w:val="both"/>
        <w:rPr>
          <w:sz w:val="22"/>
          <w:szCs w:val="22"/>
        </w:rPr>
      </w:pPr>
      <w:r w:rsidDel="00000000" w:rsidR="00000000" w:rsidRPr="00000000">
        <w:rPr>
          <w:sz w:val="22"/>
          <w:szCs w:val="22"/>
          <w:rtl w:val="0"/>
        </w:rPr>
        <w:t xml:space="preserve">Schutt RK. Goldfinger SM. Homelessness, housing and mental illness, Harvard University Press.</w:t>
      </w:r>
    </w:p>
    <w:p w:rsidR="00000000" w:rsidDel="00000000" w:rsidP="00000000" w:rsidRDefault="00000000" w:rsidRPr="00000000" w14:paraId="0000101E">
      <w:pPr>
        <w:jc w:val="both"/>
        <w:rPr>
          <w:sz w:val="22"/>
          <w:szCs w:val="22"/>
        </w:rPr>
      </w:pPr>
      <w:r w:rsidDel="00000000" w:rsidR="00000000" w:rsidRPr="00000000">
        <w:rPr>
          <w:sz w:val="22"/>
          <w:szCs w:val="22"/>
          <w:rtl w:val="0"/>
        </w:rPr>
        <w:t xml:space="preserve">Scott N. Crane M. Lafontaine M. Seale H/ Currow D. (2015). "Stigma as a barrier to diagnosis of lung cancer: patient and general practitioner perspectives." </w:t>
      </w:r>
      <w:r w:rsidDel="00000000" w:rsidR="00000000" w:rsidRPr="00000000">
        <w:rPr>
          <w:i w:val="1"/>
          <w:sz w:val="22"/>
          <w:szCs w:val="22"/>
          <w:rtl w:val="0"/>
        </w:rPr>
        <w:t xml:space="preserve">Prim Health Care Res Dev.</w:t>
      </w:r>
      <w:r w:rsidDel="00000000" w:rsidR="00000000" w:rsidRPr="00000000">
        <w:rPr>
          <w:sz w:val="22"/>
          <w:szCs w:val="22"/>
          <w:rtl w:val="0"/>
        </w:rPr>
        <w:t xml:space="preserve"> 16(6): 618-622.</w:t>
      </w:r>
    </w:p>
    <w:p w:rsidR="00000000" w:rsidDel="00000000" w:rsidP="00000000" w:rsidRDefault="00000000" w:rsidRPr="00000000" w14:paraId="0000101F">
      <w:pPr>
        <w:jc w:val="both"/>
        <w:rPr>
          <w:sz w:val="22"/>
          <w:szCs w:val="22"/>
        </w:rPr>
      </w:pPr>
      <w:r w:rsidDel="00000000" w:rsidR="00000000" w:rsidRPr="00000000">
        <w:rPr>
          <w:rtl w:val="0"/>
        </w:rPr>
      </w:r>
    </w:p>
    <w:p w:rsidR="00000000" w:rsidDel="00000000" w:rsidP="00000000" w:rsidRDefault="00000000" w:rsidRPr="00000000" w14:paraId="00001020">
      <w:pPr>
        <w:jc w:val="both"/>
        <w:rPr>
          <w:sz w:val="22"/>
          <w:szCs w:val="22"/>
        </w:rPr>
      </w:pPr>
      <w:r w:rsidDel="00000000" w:rsidR="00000000" w:rsidRPr="00000000">
        <w:rPr>
          <w:sz w:val="22"/>
          <w:szCs w:val="22"/>
          <w:rtl w:val="0"/>
        </w:rPr>
        <w:t xml:space="preserve">Scottish Government (2022). Effective Prescribing and Therapeutics branch. Benzodiazepine and Z-hypnotic: Quality prescribing advice for adults [online]. Edinburgh. Available at: </w:t>
      </w:r>
      <w:hyperlink r:id="rId94">
        <w:r w:rsidDel="00000000" w:rsidR="00000000" w:rsidRPr="00000000">
          <w:rPr>
            <w:color w:val="467886"/>
            <w:sz w:val="22"/>
            <w:szCs w:val="22"/>
            <w:u w:val="single"/>
            <w:rtl w:val="0"/>
          </w:rPr>
          <w:t xml:space="preserve">https://www.therapeutics.scot.nhs.uk/wp-content/uploads/2022/03/Benoz-and-Z-d_Quality-Prescribing-Adv-FINAL-DRAFT.pdf</w:t>
        </w:r>
      </w:hyperlink>
      <w:r w:rsidDel="00000000" w:rsidR="00000000" w:rsidRPr="00000000">
        <w:rPr>
          <w:sz w:val="22"/>
          <w:szCs w:val="22"/>
          <w:rtl w:val="0"/>
        </w:rPr>
        <w:t xml:space="preserve"> (27/11/2022)</w:t>
      </w:r>
    </w:p>
    <w:p w:rsidR="00000000" w:rsidDel="00000000" w:rsidP="00000000" w:rsidRDefault="00000000" w:rsidRPr="00000000" w14:paraId="00001021">
      <w:pPr>
        <w:jc w:val="both"/>
        <w:rPr>
          <w:sz w:val="22"/>
          <w:szCs w:val="22"/>
        </w:rPr>
      </w:pPr>
      <w:r w:rsidDel="00000000" w:rsidR="00000000" w:rsidRPr="00000000">
        <w:rPr>
          <w:sz w:val="22"/>
          <w:szCs w:val="22"/>
          <w:rtl w:val="0"/>
        </w:rPr>
        <w:tab/>
      </w:r>
    </w:p>
    <w:p w:rsidR="00000000" w:rsidDel="00000000" w:rsidP="00000000" w:rsidRDefault="00000000" w:rsidRPr="00000000" w14:paraId="00001022">
      <w:pPr>
        <w:jc w:val="both"/>
        <w:rPr>
          <w:sz w:val="22"/>
          <w:szCs w:val="22"/>
        </w:rPr>
      </w:pPr>
      <w:r w:rsidDel="00000000" w:rsidR="00000000" w:rsidRPr="00000000">
        <w:rPr>
          <w:sz w:val="22"/>
          <w:szCs w:val="22"/>
          <w:rtl w:val="0"/>
        </w:rPr>
        <w:t xml:space="preserve">Scottish Government (2022). Using intersectionality to understand structural inequality in Scotland: evidence synthesis. Research and analysis.</w:t>
      </w:r>
    </w:p>
    <w:p w:rsidR="00000000" w:rsidDel="00000000" w:rsidP="00000000" w:rsidRDefault="00000000" w:rsidRPr="00000000" w14:paraId="00001023">
      <w:pPr>
        <w:jc w:val="both"/>
        <w:rPr>
          <w:sz w:val="22"/>
          <w:szCs w:val="22"/>
        </w:rPr>
      </w:pPr>
      <w:r w:rsidDel="00000000" w:rsidR="00000000" w:rsidRPr="00000000">
        <w:rPr>
          <w:sz w:val="22"/>
          <w:szCs w:val="22"/>
          <w:rtl w:val="0"/>
        </w:rPr>
        <w:tab/>
      </w:r>
    </w:p>
    <w:p w:rsidR="00000000" w:rsidDel="00000000" w:rsidP="00000000" w:rsidRDefault="00000000" w:rsidRPr="00000000" w14:paraId="00001024">
      <w:pPr>
        <w:jc w:val="both"/>
        <w:rPr>
          <w:sz w:val="22"/>
          <w:szCs w:val="22"/>
        </w:rPr>
      </w:pPr>
      <w:r w:rsidDel="00000000" w:rsidR="00000000" w:rsidRPr="00000000">
        <w:rPr>
          <w:sz w:val="22"/>
          <w:szCs w:val="22"/>
          <w:rtl w:val="0"/>
        </w:rPr>
        <w:t xml:space="preserve">Scottish Government (2023). Human Rights Bill Lived Experience Boards [online]. Scottish Government. Available at: </w:t>
      </w:r>
      <w:hyperlink r:id="rId95">
        <w:r w:rsidDel="00000000" w:rsidR="00000000" w:rsidRPr="00000000">
          <w:rPr>
            <w:color w:val="467886"/>
            <w:sz w:val="22"/>
            <w:szCs w:val="22"/>
            <w:u w:val="single"/>
            <w:rtl w:val="0"/>
          </w:rPr>
          <w:t xml:space="preserve">https://www.gov.scot/groups/human-rights-bill-lived-experience-boards/</w:t>
        </w:r>
      </w:hyperlink>
      <w:r w:rsidDel="00000000" w:rsidR="00000000" w:rsidRPr="00000000">
        <w:rPr>
          <w:sz w:val="22"/>
          <w:szCs w:val="22"/>
          <w:rtl w:val="0"/>
        </w:rPr>
        <w:t xml:space="preserve"> (04/02/2023)</w:t>
      </w:r>
    </w:p>
    <w:p w:rsidR="00000000" w:rsidDel="00000000" w:rsidP="00000000" w:rsidRDefault="00000000" w:rsidRPr="00000000" w14:paraId="00001025">
      <w:pPr>
        <w:jc w:val="both"/>
        <w:rPr>
          <w:sz w:val="22"/>
          <w:szCs w:val="22"/>
        </w:rPr>
      </w:pPr>
      <w:r w:rsidDel="00000000" w:rsidR="00000000" w:rsidRPr="00000000">
        <w:rPr>
          <w:sz w:val="22"/>
          <w:szCs w:val="22"/>
          <w:rtl w:val="0"/>
        </w:rPr>
        <w:tab/>
      </w:r>
    </w:p>
    <w:p w:rsidR="00000000" w:rsidDel="00000000" w:rsidP="00000000" w:rsidRDefault="00000000" w:rsidRPr="00000000" w14:paraId="00001026">
      <w:pPr>
        <w:jc w:val="both"/>
        <w:rPr>
          <w:sz w:val="22"/>
          <w:szCs w:val="22"/>
        </w:rPr>
      </w:pPr>
      <w:r w:rsidDel="00000000" w:rsidR="00000000" w:rsidRPr="00000000">
        <w:rPr>
          <w:sz w:val="22"/>
          <w:szCs w:val="22"/>
          <w:rtl w:val="0"/>
        </w:rPr>
        <w:t xml:space="preserve">Seth P. Rudd RA. Nooman RK. Haegerich TM. (2018). "Quantifying the Epidemic of Prescription Opioid Overdose Deaths." </w:t>
      </w:r>
      <w:r w:rsidDel="00000000" w:rsidR="00000000" w:rsidRPr="00000000">
        <w:rPr>
          <w:i w:val="1"/>
          <w:sz w:val="22"/>
          <w:szCs w:val="22"/>
          <w:rtl w:val="0"/>
        </w:rPr>
        <w:t xml:space="preserve">AJPH Surveillance</w:t>
      </w:r>
      <w:r w:rsidDel="00000000" w:rsidR="00000000" w:rsidRPr="00000000">
        <w:rPr>
          <w:sz w:val="22"/>
          <w:szCs w:val="22"/>
          <w:rtl w:val="0"/>
        </w:rPr>
        <w:t xml:space="preserve"> 108(4): 500-502.</w:t>
      </w:r>
    </w:p>
    <w:p w:rsidR="00000000" w:rsidDel="00000000" w:rsidP="00000000" w:rsidRDefault="00000000" w:rsidRPr="00000000" w14:paraId="00001027">
      <w:pPr>
        <w:jc w:val="both"/>
        <w:rPr>
          <w:sz w:val="22"/>
          <w:szCs w:val="22"/>
        </w:rPr>
      </w:pPr>
      <w:r w:rsidDel="00000000" w:rsidR="00000000" w:rsidRPr="00000000">
        <w:rPr>
          <w:sz w:val="22"/>
          <w:szCs w:val="22"/>
          <w:rtl w:val="0"/>
        </w:rPr>
        <w:tab/>
      </w:r>
    </w:p>
    <w:p w:rsidR="00000000" w:rsidDel="00000000" w:rsidP="00000000" w:rsidRDefault="00000000" w:rsidRPr="00000000" w14:paraId="00001028">
      <w:pPr>
        <w:jc w:val="both"/>
        <w:rPr>
          <w:sz w:val="22"/>
          <w:szCs w:val="22"/>
        </w:rPr>
      </w:pPr>
      <w:r w:rsidDel="00000000" w:rsidR="00000000" w:rsidRPr="00000000">
        <w:rPr>
          <w:sz w:val="22"/>
          <w:szCs w:val="22"/>
          <w:rtl w:val="0"/>
        </w:rPr>
        <w:t xml:space="preserve">Shad AA. Sanchez-Gonzalez M. Junquera P. (2023). "Understanding and Addressing Mental Health Stigma Across Cultures for Improving Psychiatric Care: A Narrative Review." </w:t>
      </w:r>
      <w:r w:rsidDel="00000000" w:rsidR="00000000" w:rsidRPr="00000000">
        <w:rPr>
          <w:i w:val="1"/>
          <w:sz w:val="22"/>
          <w:szCs w:val="22"/>
          <w:rtl w:val="0"/>
        </w:rPr>
        <w:t xml:space="preserve">Cureus</w:t>
      </w:r>
      <w:r w:rsidDel="00000000" w:rsidR="00000000" w:rsidRPr="00000000">
        <w:rPr>
          <w:sz w:val="22"/>
          <w:szCs w:val="22"/>
          <w:rtl w:val="0"/>
        </w:rPr>
        <w:t xml:space="preserve"> 15(5): 1-8.</w:t>
      </w:r>
    </w:p>
    <w:p w:rsidR="00000000" w:rsidDel="00000000" w:rsidP="00000000" w:rsidRDefault="00000000" w:rsidRPr="00000000" w14:paraId="00001029">
      <w:pPr>
        <w:jc w:val="both"/>
        <w:rPr>
          <w:sz w:val="22"/>
          <w:szCs w:val="22"/>
        </w:rPr>
      </w:pPr>
      <w:r w:rsidDel="00000000" w:rsidR="00000000" w:rsidRPr="00000000">
        <w:rPr>
          <w:sz w:val="22"/>
          <w:szCs w:val="22"/>
          <w:rtl w:val="0"/>
        </w:rPr>
        <w:t xml:space="preserve">Shannon S. Lewis N. Lee H. Hughes S. (2019). "Cannabidiol in Anxiety and Sleep: A Large Case Series." </w:t>
      </w:r>
      <w:r w:rsidDel="00000000" w:rsidR="00000000" w:rsidRPr="00000000">
        <w:rPr>
          <w:i w:val="1"/>
          <w:sz w:val="22"/>
          <w:szCs w:val="22"/>
          <w:rtl w:val="0"/>
        </w:rPr>
        <w:t xml:space="preserve">The Permanente Journal</w:t>
      </w:r>
      <w:r w:rsidDel="00000000" w:rsidR="00000000" w:rsidRPr="00000000">
        <w:rPr>
          <w:sz w:val="22"/>
          <w:szCs w:val="22"/>
          <w:rtl w:val="0"/>
        </w:rPr>
        <w:t xml:space="preserve"> 23: 18-41.</w:t>
      </w:r>
    </w:p>
    <w:p w:rsidR="00000000" w:rsidDel="00000000" w:rsidP="00000000" w:rsidRDefault="00000000" w:rsidRPr="00000000" w14:paraId="0000102A">
      <w:pPr>
        <w:jc w:val="both"/>
        <w:rPr>
          <w:sz w:val="22"/>
          <w:szCs w:val="22"/>
        </w:rPr>
      </w:pPr>
      <w:r w:rsidDel="00000000" w:rsidR="00000000" w:rsidRPr="00000000">
        <w:rPr>
          <w:sz w:val="22"/>
          <w:szCs w:val="22"/>
          <w:rtl w:val="0"/>
        </w:rPr>
        <w:tab/>
      </w:r>
    </w:p>
    <w:p w:rsidR="00000000" w:rsidDel="00000000" w:rsidP="00000000" w:rsidRDefault="00000000" w:rsidRPr="00000000" w14:paraId="0000102B">
      <w:pPr>
        <w:jc w:val="both"/>
        <w:rPr>
          <w:sz w:val="22"/>
          <w:szCs w:val="22"/>
        </w:rPr>
      </w:pPr>
      <w:r w:rsidDel="00000000" w:rsidR="00000000" w:rsidRPr="00000000">
        <w:rPr>
          <w:sz w:val="22"/>
          <w:szCs w:val="22"/>
          <w:rtl w:val="0"/>
        </w:rPr>
        <w:t xml:space="preserve">Shaw S. Borkman T. (1990). Social Model Alcohol Recovery: An Environmental Approach. Burbank CA., Bridge Focus Inc.</w:t>
      </w:r>
    </w:p>
    <w:p w:rsidR="00000000" w:rsidDel="00000000" w:rsidP="00000000" w:rsidRDefault="00000000" w:rsidRPr="00000000" w14:paraId="0000102C">
      <w:pPr>
        <w:jc w:val="both"/>
        <w:rPr>
          <w:sz w:val="22"/>
          <w:szCs w:val="22"/>
        </w:rPr>
      </w:pPr>
      <w:r w:rsidDel="00000000" w:rsidR="00000000" w:rsidRPr="00000000">
        <w:rPr>
          <w:sz w:val="22"/>
          <w:szCs w:val="22"/>
          <w:rtl w:val="0"/>
        </w:rPr>
        <w:tab/>
      </w:r>
    </w:p>
    <w:p w:rsidR="00000000" w:rsidDel="00000000" w:rsidP="00000000" w:rsidRDefault="00000000" w:rsidRPr="00000000" w14:paraId="0000102D">
      <w:pPr>
        <w:jc w:val="both"/>
        <w:rPr>
          <w:sz w:val="22"/>
          <w:szCs w:val="22"/>
        </w:rPr>
      </w:pPr>
      <w:r w:rsidDel="00000000" w:rsidR="00000000" w:rsidRPr="00000000">
        <w:rPr>
          <w:sz w:val="22"/>
          <w:szCs w:val="22"/>
          <w:rtl w:val="0"/>
        </w:rPr>
        <w:t xml:space="preserve">Shaw WS. Roelofs C. Punnett L (2020). "Work Environment Factors and Prevention of Opioid-Related Deaths." </w:t>
      </w:r>
      <w:r w:rsidDel="00000000" w:rsidR="00000000" w:rsidRPr="00000000">
        <w:rPr>
          <w:i w:val="1"/>
          <w:sz w:val="22"/>
          <w:szCs w:val="22"/>
          <w:rtl w:val="0"/>
        </w:rPr>
        <w:t xml:space="preserve">AJPH Open-Themed Research</w:t>
      </w:r>
      <w:r w:rsidDel="00000000" w:rsidR="00000000" w:rsidRPr="00000000">
        <w:rPr>
          <w:sz w:val="22"/>
          <w:szCs w:val="22"/>
          <w:rtl w:val="0"/>
        </w:rPr>
        <w:t xml:space="preserve"> 110(8).</w:t>
      </w:r>
    </w:p>
    <w:p w:rsidR="00000000" w:rsidDel="00000000" w:rsidP="00000000" w:rsidRDefault="00000000" w:rsidRPr="00000000" w14:paraId="0000102E">
      <w:pPr>
        <w:jc w:val="both"/>
        <w:rPr>
          <w:sz w:val="22"/>
          <w:szCs w:val="22"/>
        </w:rPr>
      </w:pPr>
      <w:r w:rsidDel="00000000" w:rsidR="00000000" w:rsidRPr="00000000">
        <w:rPr>
          <w:rtl w:val="0"/>
        </w:rPr>
      </w:r>
    </w:p>
    <w:p w:rsidR="00000000" w:rsidDel="00000000" w:rsidP="00000000" w:rsidRDefault="00000000" w:rsidRPr="00000000" w14:paraId="0000102F">
      <w:pPr>
        <w:jc w:val="both"/>
        <w:rPr>
          <w:sz w:val="22"/>
          <w:szCs w:val="22"/>
        </w:rPr>
      </w:pPr>
      <w:r w:rsidDel="00000000" w:rsidR="00000000" w:rsidRPr="00000000">
        <w:rPr>
          <w:sz w:val="22"/>
          <w:szCs w:val="22"/>
          <w:rtl w:val="0"/>
        </w:rPr>
        <w:t xml:space="preserve">Sheridan K. O'Connor S. Whyte E. (2024). "An investigation into perceived autonomy support, motivation and competence in chronic pain patients in Ireland: A cross- sectional study." </w:t>
      </w:r>
      <w:r w:rsidDel="00000000" w:rsidR="00000000" w:rsidRPr="00000000">
        <w:rPr>
          <w:i w:val="1"/>
          <w:sz w:val="22"/>
          <w:szCs w:val="22"/>
          <w:rtl w:val="0"/>
        </w:rPr>
        <w:t xml:space="preserve">PLOS ONE</w:t>
      </w:r>
      <w:r w:rsidDel="00000000" w:rsidR="00000000" w:rsidRPr="00000000">
        <w:rPr>
          <w:sz w:val="22"/>
          <w:szCs w:val="22"/>
          <w:rtl w:val="0"/>
        </w:rPr>
        <w:t xml:space="preserve"> 19(5): 1-12.</w:t>
      </w:r>
    </w:p>
    <w:p w:rsidR="00000000" w:rsidDel="00000000" w:rsidP="00000000" w:rsidRDefault="00000000" w:rsidRPr="00000000" w14:paraId="00001030">
      <w:pPr>
        <w:jc w:val="both"/>
        <w:rPr>
          <w:sz w:val="22"/>
          <w:szCs w:val="22"/>
        </w:rPr>
      </w:pPr>
      <w:r w:rsidDel="00000000" w:rsidR="00000000" w:rsidRPr="00000000">
        <w:rPr>
          <w:rtl w:val="0"/>
        </w:rPr>
      </w:r>
    </w:p>
    <w:p w:rsidR="00000000" w:rsidDel="00000000" w:rsidP="00000000" w:rsidRDefault="00000000" w:rsidRPr="00000000" w14:paraId="00001031">
      <w:pPr>
        <w:jc w:val="both"/>
        <w:rPr>
          <w:sz w:val="22"/>
          <w:szCs w:val="22"/>
        </w:rPr>
      </w:pPr>
      <w:r w:rsidDel="00000000" w:rsidR="00000000" w:rsidRPr="00000000">
        <w:rPr>
          <w:sz w:val="22"/>
          <w:szCs w:val="22"/>
          <w:rtl w:val="0"/>
        </w:rPr>
        <w:t xml:space="preserve">Sherif B. (2001). "The Ambiguity of Boundaries in the Fieldwork Experience: Establishing Rapport and Negotiating Insider/outsider Status." </w:t>
      </w:r>
      <w:r w:rsidDel="00000000" w:rsidR="00000000" w:rsidRPr="00000000">
        <w:rPr>
          <w:i w:val="1"/>
          <w:sz w:val="22"/>
          <w:szCs w:val="22"/>
          <w:rtl w:val="0"/>
        </w:rPr>
        <w:t xml:space="preserve">Qualitative Inquiry</w:t>
      </w:r>
      <w:r w:rsidDel="00000000" w:rsidR="00000000" w:rsidRPr="00000000">
        <w:rPr>
          <w:sz w:val="22"/>
          <w:szCs w:val="22"/>
          <w:rtl w:val="0"/>
        </w:rPr>
        <w:t xml:space="preserve"> 7(4): 436-447.</w:t>
      </w:r>
    </w:p>
    <w:p w:rsidR="00000000" w:rsidDel="00000000" w:rsidP="00000000" w:rsidRDefault="00000000" w:rsidRPr="00000000" w14:paraId="00001032">
      <w:pPr>
        <w:jc w:val="both"/>
        <w:rPr>
          <w:sz w:val="22"/>
          <w:szCs w:val="22"/>
        </w:rPr>
      </w:pPr>
      <w:r w:rsidDel="00000000" w:rsidR="00000000" w:rsidRPr="00000000">
        <w:rPr>
          <w:sz w:val="22"/>
          <w:szCs w:val="22"/>
          <w:rtl w:val="0"/>
        </w:rPr>
        <w:tab/>
      </w:r>
    </w:p>
    <w:p w:rsidR="00000000" w:rsidDel="00000000" w:rsidP="00000000" w:rsidRDefault="00000000" w:rsidRPr="00000000" w14:paraId="00001033">
      <w:pPr>
        <w:jc w:val="both"/>
        <w:rPr>
          <w:sz w:val="22"/>
          <w:szCs w:val="22"/>
        </w:rPr>
      </w:pPr>
      <w:r w:rsidDel="00000000" w:rsidR="00000000" w:rsidRPr="00000000">
        <w:rPr>
          <w:sz w:val="22"/>
          <w:szCs w:val="22"/>
          <w:rtl w:val="0"/>
        </w:rPr>
        <w:t xml:space="preserve">Sherry E. (2010). "“The Vulnerable Researcher: Facing the Challenges of Sensitive Research.”." Qualitative Research Journal 13(3): 278-288.</w:t>
      </w:r>
    </w:p>
    <w:p w:rsidR="00000000" w:rsidDel="00000000" w:rsidP="00000000" w:rsidRDefault="00000000" w:rsidRPr="00000000" w14:paraId="00001034">
      <w:pPr>
        <w:jc w:val="both"/>
        <w:rPr>
          <w:sz w:val="22"/>
          <w:szCs w:val="22"/>
        </w:rPr>
      </w:pPr>
      <w:r w:rsidDel="00000000" w:rsidR="00000000" w:rsidRPr="00000000">
        <w:rPr>
          <w:sz w:val="22"/>
          <w:szCs w:val="22"/>
          <w:rtl w:val="0"/>
        </w:rPr>
        <w:tab/>
      </w:r>
    </w:p>
    <w:p w:rsidR="00000000" w:rsidDel="00000000" w:rsidP="00000000" w:rsidRDefault="00000000" w:rsidRPr="00000000" w14:paraId="00001035">
      <w:pPr>
        <w:jc w:val="both"/>
        <w:rPr>
          <w:sz w:val="22"/>
          <w:szCs w:val="22"/>
        </w:rPr>
      </w:pPr>
      <w:r w:rsidDel="00000000" w:rsidR="00000000" w:rsidRPr="00000000">
        <w:rPr>
          <w:sz w:val="22"/>
          <w:szCs w:val="22"/>
          <w:rtl w:val="0"/>
        </w:rPr>
        <w:t xml:space="preserve">Showalter E (1997) Hystories: Hysterical Epidemics and Modern Culture, New York: Columbia University Press</w:t>
      </w:r>
    </w:p>
    <w:p w:rsidR="00000000" w:rsidDel="00000000" w:rsidP="00000000" w:rsidRDefault="00000000" w:rsidRPr="00000000" w14:paraId="00001036">
      <w:pPr>
        <w:jc w:val="both"/>
        <w:rPr>
          <w:sz w:val="22"/>
          <w:szCs w:val="22"/>
        </w:rPr>
      </w:pPr>
      <w:r w:rsidDel="00000000" w:rsidR="00000000" w:rsidRPr="00000000">
        <w:rPr>
          <w:rtl w:val="0"/>
        </w:rPr>
      </w:r>
    </w:p>
    <w:p w:rsidR="00000000" w:rsidDel="00000000" w:rsidP="00000000" w:rsidRDefault="00000000" w:rsidRPr="00000000" w14:paraId="00001037">
      <w:pPr>
        <w:jc w:val="both"/>
        <w:rPr>
          <w:sz w:val="22"/>
          <w:szCs w:val="22"/>
        </w:rPr>
      </w:pPr>
      <w:r w:rsidDel="00000000" w:rsidR="00000000" w:rsidRPr="00000000">
        <w:rPr>
          <w:sz w:val="22"/>
          <w:szCs w:val="22"/>
          <w:rtl w:val="0"/>
        </w:rPr>
        <w:t xml:space="preserve">Silva K. Kecojevic A. Lankenau SE. (2013). ". Perceived Drug Use Functions and Risk Reduction Practices Among High-Risk Nonmedical Users of Prescription Drugs." </w:t>
      </w:r>
      <w:r w:rsidDel="00000000" w:rsidR="00000000" w:rsidRPr="00000000">
        <w:rPr>
          <w:i w:val="1"/>
          <w:sz w:val="22"/>
          <w:szCs w:val="22"/>
          <w:rtl w:val="0"/>
        </w:rPr>
        <w:t xml:space="preserve">Journal of Drug Issues</w:t>
      </w:r>
      <w:r w:rsidDel="00000000" w:rsidR="00000000" w:rsidRPr="00000000">
        <w:rPr>
          <w:sz w:val="22"/>
          <w:szCs w:val="22"/>
          <w:rtl w:val="0"/>
        </w:rPr>
        <w:t xml:space="preserve"> 43(4): 483-496.</w:t>
      </w:r>
    </w:p>
    <w:p w:rsidR="00000000" w:rsidDel="00000000" w:rsidP="00000000" w:rsidRDefault="00000000" w:rsidRPr="00000000" w14:paraId="00001038">
      <w:pPr>
        <w:jc w:val="both"/>
        <w:rPr>
          <w:sz w:val="22"/>
          <w:szCs w:val="22"/>
        </w:rPr>
      </w:pPr>
      <w:r w:rsidDel="00000000" w:rsidR="00000000" w:rsidRPr="00000000">
        <w:rPr>
          <w:sz w:val="22"/>
          <w:szCs w:val="22"/>
          <w:rtl w:val="0"/>
        </w:rPr>
        <w:tab/>
      </w:r>
    </w:p>
    <w:p w:rsidR="00000000" w:rsidDel="00000000" w:rsidP="00000000" w:rsidRDefault="00000000" w:rsidRPr="00000000" w14:paraId="00001039">
      <w:pPr>
        <w:jc w:val="both"/>
        <w:rPr>
          <w:sz w:val="22"/>
          <w:szCs w:val="22"/>
        </w:rPr>
      </w:pPr>
      <w:r w:rsidDel="00000000" w:rsidR="00000000" w:rsidRPr="00000000">
        <w:rPr>
          <w:sz w:val="22"/>
          <w:szCs w:val="22"/>
          <w:rtl w:val="0"/>
        </w:rPr>
        <w:t xml:space="preserve">Silverman D. (2011). Qualitative Research Issues of Theory, Methods and Practice. London, Sage.</w:t>
      </w:r>
    </w:p>
    <w:p w:rsidR="00000000" w:rsidDel="00000000" w:rsidP="00000000" w:rsidRDefault="00000000" w:rsidRPr="00000000" w14:paraId="0000103A">
      <w:pPr>
        <w:jc w:val="both"/>
        <w:rPr>
          <w:sz w:val="22"/>
          <w:szCs w:val="22"/>
        </w:rPr>
      </w:pPr>
      <w:r w:rsidDel="00000000" w:rsidR="00000000" w:rsidRPr="00000000">
        <w:rPr>
          <w:sz w:val="22"/>
          <w:szCs w:val="22"/>
          <w:rtl w:val="0"/>
        </w:rPr>
        <w:tab/>
      </w:r>
    </w:p>
    <w:p w:rsidR="00000000" w:rsidDel="00000000" w:rsidP="00000000" w:rsidRDefault="00000000" w:rsidRPr="00000000" w14:paraId="0000103B">
      <w:pPr>
        <w:jc w:val="both"/>
        <w:rPr>
          <w:sz w:val="22"/>
          <w:szCs w:val="22"/>
        </w:rPr>
      </w:pPr>
      <w:r w:rsidDel="00000000" w:rsidR="00000000" w:rsidRPr="00000000">
        <w:rPr>
          <w:sz w:val="22"/>
          <w:szCs w:val="22"/>
          <w:rtl w:val="0"/>
        </w:rPr>
        <w:t xml:space="preserve">Sim J. Waterfield J. (2019). "Focus group methodology: some ethical challenges." </w:t>
      </w:r>
      <w:r w:rsidDel="00000000" w:rsidR="00000000" w:rsidRPr="00000000">
        <w:rPr>
          <w:i w:val="1"/>
          <w:sz w:val="22"/>
          <w:szCs w:val="22"/>
          <w:rtl w:val="0"/>
        </w:rPr>
        <w:t xml:space="preserve">Quality and Quantity</w:t>
      </w:r>
      <w:r w:rsidDel="00000000" w:rsidR="00000000" w:rsidRPr="00000000">
        <w:rPr>
          <w:sz w:val="22"/>
          <w:szCs w:val="22"/>
          <w:rtl w:val="0"/>
        </w:rPr>
        <w:t xml:space="preserve">. 53: 3003-3022.</w:t>
        <w:tab/>
      </w:r>
    </w:p>
    <w:p w:rsidR="00000000" w:rsidDel="00000000" w:rsidP="00000000" w:rsidRDefault="00000000" w:rsidRPr="00000000" w14:paraId="0000103C">
      <w:pPr>
        <w:jc w:val="both"/>
        <w:rPr>
          <w:sz w:val="22"/>
          <w:szCs w:val="22"/>
        </w:rPr>
      </w:pPr>
      <w:r w:rsidDel="00000000" w:rsidR="00000000" w:rsidRPr="00000000">
        <w:rPr>
          <w:rtl w:val="0"/>
        </w:rPr>
      </w:r>
    </w:p>
    <w:p w:rsidR="00000000" w:rsidDel="00000000" w:rsidP="00000000" w:rsidRDefault="00000000" w:rsidRPr="00000000" w14:paraId="0000103D">
      <w:pPr>
        <w:jc w:val="both"/>
        <w:rPr>
          <w:sz w:val="22"/>
          <w:szCs w:val="22"/>
        </w:rPr>
      </w:pPr>
      <w:r w:rsidDel="00000000" w:rsidR="00000000" w:rsidRPr="00000000">
        <w:rPr>
          <w:sz w:val="22"/>
          <w:szCs w:val="22"/>
          <w:rtl w:val="0"/>
        </w:rPr>
        <w:t xml:space="preserve">Simmons L. Jones T. Bradley E. (2017). "Reducing Mental Health Stigma - The Relationship between Knowledge and Attitude Change." </w:t>
      </w:r>
      <w:r w:rsidDel="00000000" w:rsidR="00000000" w:rsidRPr="00000000">
        <w:rPr>
          <w:i w:val="1"/>
          <w:sz w:val="22"/>
          <w:szCs w:val="22"/>
          <w:rtl w:val="0"/>
        </w:rPr>
        <w:t xml:space="preserve">European Journal of Mental Health </w:t>
      </w:r>
      <w:r w:rsidDel="00000000" w:rsidR="00000000" w:rsidRPr="00000000">
        <w:rPr>
          <w:sz w:val="22"/>
          <w:szCs w:val="22"/>
          <w:rtl w:val="0"/>
        </w:rPr>
        <w:t xml:space="preserve">12(1): 25-40.</w:t>
      </w:r>
    </w:p>
    <w:p w:rsidR="00000000" w:rsidDel="00000000" w:rsidP="00000000" w:rsidRDefault="00000000" w:rsidRPr="00000000" w14:paraId="0000103E">
      <w:pPr>
        <w:jc w:val="both"/>
        <w:rPr>
          <w:sz w:val="22"/>
          <w:szCs w:val="22"/>
        </w:rPr>
      </w:pPr>
      <w:r w:rsidDel="00000000" w:rsidR="00000000" w:rsidRPr="00000000">
        <w:rPr>
          <w:rtl w:val="0"/>
        </w:rPr>
      </w:r>
    </w:p>
    <w:p w:rsidR="00000000" w:rsidDel="00000000" w:rsidP="00000000" w:rsidRDefault="00000000" w:rsidRPr="00000000" w14:paraId="0000103F">
      <w:pPr>
        <w:jc w:val="both"/>
        <w:rPr>
          <w:sz w:val="22"/>
          <w:szCs w:val="22"/>
        </w:rPr>
      </w:pPr>
      <w:r w:rsidDel="00000000" w:rsidR="00000000" w:rsidRPr="00000000">
        <w:rPr>
          <w:sz w:val="22"/>
          <w:szCs w:val="22"/>
          <w:rtl w:val="0"/>
        </w:rPr>
        <w:t xml:space="preserve">Sirdifield C. Chipcase SY. Owen S. Siriwardena AN. (2017). "A Systematic Review and Meta-Analysis of Patients Experiences and Perceptions of Seeking and Using Benzodiazepines and Z-Drugs: Towards Safer Prescribing." </w:t>
      </w:r>
      <w:r w:rsidDel="00000000" w:rsidR="00000000" w:rsidRPr="00000000">
        <w:rPr>
          <w:i w:val="1"/>
          <w:sz w:val="22"/>
          <w:szCs w:val="22"/>
          <w:rtl w:val="0"/>
        </w:rPr>
        <w:t xml:space="preserve">Patient</w:t>
      </w:r>
      <w:r w:rsidDel="00000000" w:rsidR="00000000" w:rsidRPr="00000000">
        <w:rPr>
          <w:sz w:val="22"/>
          <w:szCs w:val="22"/>
          <w:rtl w:val="0"/>
        </w:rPr>
        <w:t xml:space="preserve"> 10: 1-15.</w:t>
      </w:r>
    </w:p>
    <w:p w:rsidR="00000000" w:rsidDel="00000000" w:rsidP="00000000" w:rsidRDefault="00000000" w:rsidRPr="00000000" w14:paraId="00001040">
      <w:pPr>
        <w:jc w:val="both"/>
        <w:rPr>
          <w:sz w:val="22"/>
          <w:szCs w:val="22"/>
        </w:rPr>
      </w:pPr>
      <w:r w:rsidDel="00000000" w:rsidR="00000000" w:rsidRPr="00000000">
        <w:rPr>
          <w:sz w:val="22"/>
          <w:szCs w:val="22"/>
          <w:rtl w:val="0"/>
        </w:rPr>
        <w:tab/>
      </w:r>
    </w:p>
    <w:p w:rsidR="00000000" w:rsidDel="00000000" w:rsidP="00000000" w:rsidRDefault="00000000" w:rsidRPr="00000000" w14:paraId="00001041">
      <w:pPr>
        <w:jc w:val="both"/>
        <w:rPr>
          <w:sz w:val="22"/>
          <w:szCs w:val="22"/>
        </w:rPr>
      </w:pPr>
      <w:r w:rsidDel="00000000" w:rsidR="00000000" w:rsidRPr="00000000">
        <w:rPr>
          <w:sz w:val="22"/>
          <w:szCs w:val="22"/>
          <w:rtl w:val="0"/>
        </w:rPr>
        <w:t xml:space="preserve">Skinner BF. (1938). The Behaviour of Organisms: An Experimental Analysis. Cambridge, BF Skinner Foundation.</w:t>
      </w:r>
    </w:p>
    <w:p w:rsidR="00000000" w:rsidDel="00000000" w:rsidP="00000000" w:rsidRDefault="00000000" w:rsidRPr="00000000" w14:paraId="00001042">
      <w:pPr>
        <w:jc w:val="both"/>
        <w:rPr>
          <w:sz w:val="22"/>
          <w:szCs w:val="22"/>
        </w:rPr>
      </w:pPr>
      <w:r w:rsidDel="00000000" w:rsidR="00000000" w:rsidRPr="00000000">
        <w:rPr>
          <w:sz w:val="22"/>
          <w:szCs w:val="22"/>
          <w:rtl w:val="0"/>
        </w:rPr>
        <w:tab/>
      </w:r>
    </w:p>
    <w:p w:rsidR="00000000" w:rsidDel="00000000" w:rsidP="00000000" w:rsidRDefault="00000000" w:rsidRPr="00000000" w14:paraId="00001043">
      <w:pPr>
        <w:jc w:val="both"/>
        <w:rPr>
          <w:sz w:val="22"/>
          <w:szCs w:val="22"/>
        </w:rPr>
      </w:pPr>
      <w:r w:rsidDel="00000000" w:rsidR="00000000" w:rsidRPr="00000000">
        <w:rPr>
          <w:sz w:val="22"/>
          <w:szCs w:val="22"/>
          <w:rtl w:val="0"/>
        </w:rPr>
        <w:t xml:space="preserve">Skolnick J. (2024). Council of Bens to Host Rave for Mental Health on UK’s Highest Peak. EDM-ID. Available at: </w:t>
      </w:r>
      <w:hyperlink r:id="rId96">
        <w:r w:rsidDel="00000000" w:rsidR="00000000" w:rsidRPr="00000000">
          <w:rPr>
            <w:color w:val="467886"/>
            <w:sz w:val="22"/>
            <w:szCs w:val="22"/>
            <w:u w:val="single"/>
            <w:rtl w:val="0"/>
          </w:rPr>
          <w:t xml:space="preserve">https://edmidentity.com/2024/07/11/council-of-bens-ben-nevis-rave/</w:t>
        </w:r>
      </w:hyperlink>
      <w:r w:rsidDel="00000000" w:rsidR="00000000" w:rsidRPr="00000000">
        <w:rPr>
          <w:sz w:val="22"/>
          <w:szCs w:val="22"/>
          <w:rtl w:val="0"/>
        </w:rPr>
        <w:t xml:space="preserve"> (10/10/2024)</w:t>
      </w:r>
    </w:p>
    <w:p w:rsidR="00000000" w:rsidDel="00000000" w:rsidP="00000000" w:rsidRDefault="00000000" w:rsidRPr="00000000" w14:paraId="00001044">
      <w:pPr>
        <w:jc w:val="both"/>
        <w:rPr>
          <w:sz w:val="22"/>
          <w:szCs w:val="22"/>
        </w:rPr>
      </w:pPr>
      <w:r w:rsidDel="00000000" w:rsidR="00000000" w:rsidRPr="00000000">
        <w:rPr>
          <w:rtl w:val="0"/>
        </w:rPr>
      </w:r>
    </w:p>
    <w:p w:rsidR="00000000" w:rsidDel="00000000" w:rsidP="00000000" w:rsidRDefault="00000000" w:rsidRPr="00000000" w14:paraId="00001045">
      <w:pPr>
        <w:jc w:val="both"/>
        <w:rPr>
          <w:sz w:val="22"/>
          <w:szCs w:val="22"/>
        </w:rPr>
      </w:pPr>
      <w:r w:rsidDel="00000000" w:rsidR="00000000" w:rsidRPr="00000000">
        <w:rPr>
          <w:sz w:val="22"/>
          <w:szCs w:val="22"/>
          <w:rtl w:val="0"/>
        </w:rPr>
        <w:t xml:space="preserve">Slavova S. Delcher C. Buchanich JM. Bunn TL. Golderber BA. Costich JF. (2019). "Methodological Complexities in Quantifying Rates of Fatal Opioid-Related Overdose." </w:t>
      </w:r>
      <w:r w:rsidDel="00000000" w:rsidR="00000000" w:rsidRPr="00000000">
        <w:rPr>
          <w:i w:val="1"/>
          <w:sz w:val="22"/>
          <w:szCs w:val="22"/>
          <w:rtl w:val="0"/>
        </w:rPr>
        <w:t xml:space="preserve">Current Epidemiology Reports.</w:t>
      </w:r>
      <w:r w:rsidDel="00000000" w:rsidR="00000000" w:rsidRPr="00000000">
        <w:rPr>
          <w:rtl w:val="0"/>
        </w:rPr>
      </w:r>
    </w:p>
    <w:p w:rsidR="00000000" w:rsidDel="00000000" w:rsidP="00000000" w:rsidRDefault="00000000" w:rsidRPr="00000000" w14:paraId="00001046">
      <w:pPr>
        <w:jc w:val="both"/>
        <w:rPr>
          <w:sz w:val="22"/>
          <w:szCs w:val="22"/>
        </w:rPr>
      </w:pPr>
      <w:r w:rsidDel="00000000" w:rsidR="00000000" w:rsidRPr="00000000">
        <w:rPr>
          <w:sz w:val="22"/>
          <w:szCs w:val="22"/>
          <w:rtl w:val="0"/>
        </w:rPr>
        <w:tab/>
      </w:r>
    </w:p>
    <w:p w:rsidR="00000000" w:rsidDel="00000000" w:rsidP="00000000" w:rsidRDefault="00000000" w:rsidRPr="00000000" w14:paraId="00001047">
      <w:pPr>
        <w:jc w:val="both"/>
        <w:rPr>
          <w:sz w:val="22"/>
          <w:szCs w:val="22"/>
        </w:rPr>
      </w:pPr>
      <w:r w:rsidDel="00000000" w:rsidR="00000000" w:rsidRPr="00000000">
        <w:rPr>
          <w:sz w:val="22"/>
          <w:szCs w:val="22"/>
          <w:rtl w:val="0"/>
        </w:rPr>
        <w:t xml:space="preserve">Smith JA. Flowers P. Larkin M. (2009). Interpretative phenomenological analysis: Theory, method, and research. London, Sage Publications.</w:t>
      </w:r>
    </w:p>
    <w:p w:rsidR="00000000" w:rsidDel="00000000" w:rsidP="00000000" w:rsidRDefault="00000000" w:rsidRPr="00000000" w14:paraId="00001048">
      <w:pPr>
        <w:jc w:val="both"/>
        <w:rPr>
          <w:sz w:val="22"/>
          <w:szCs w:val="22"/>
        </w:rPr>
      </w:pPr>
      <w:r w:rsidDel="00000000" w:rsidR="00000000" w:rsidRPr="00000000">
        <w:rPr>
          <w:rtl w:val="0"/>
        </w:rPr>
      </w:r>
    </w:p>
    <w:p w:rsidR="00000000" w:rsidDel="00000000" w:rsidP="00000000" w:rsidRDefault="00000000" w:rsidRPr="00000000" w14:paraId="00001049">
      <w:pPr>
        <w:jc w:val="both"/>
        <w:rPr>
          <w:sz w:val="22"/>
          <w:szCs w:val="22"/>
        </w:rPr>
      </w:pPr>
      <w:r w:rsidDel="00000000" w:rsidR="00000000" w:rsidRPr="00000000">
        <w:rPr>
          <w:sz w:val="22"/>
          <w:szCs w:val="22"/>
          <w:rtl w:val="0"/>
        </w:rPr>
        <w:t xml:space="preserve">Smith-Rosenberg C (1986) Disorderly Conduct: Visions of Gender in Victorian America, Oxford: Oxford University Press.</w:t>
      </w:r>
    </w:p>
    <w:p w:rsidR="00000000" w:rsidDel="00000000" w:rsidP="00000000" w:rsidRDefault="00000000" w:rsidRPr="00000000" w14:paraId="0000104A">
      <w:pPr>
        <w:jc w:val="both"/>
        <w:rPr>
          <w:sz w:val="22"/>
          <w:szCs w:val="22"/>
        </w:rPr>
      </w:pPr>
      <w:r w:rsidDel="00000000" w:rsidR="00000000" w:rsidRPr="00000000">
        <w:rPr>
          <w:sz w:val="22"/>
          <w:szCs w:val="22"/>
          <w:rtl w:val="0"/>
        </w:rPr>
        <w:tab/>
      </w:r>
    </w:p>
    <w:p w:rsidR="00000000" w:rsidDel="00000000" w:rsidP="00000000" w:rsidRDefault="00000000" w:rsidRPr="00000000" w14:paraId="0000104B">
      <w:pPr>
        <w:jc w:val="both"/>
        <w:rPr>
          <w:sz w:val="22"/>
          <w:szCs w:val="22"/>
        </w:rPr>
      </w:pPr>
      <w:r w:rsidDel="00000000" w:rsidR="00000000" w:rsidRPr="00000000">
        <w:rPr>
          <w:sz w:val="22"/>
          <w:szCs w:val="22"/>
          <w:rtl w:val="0"/>
        </w:rPr>
        <w:t xml:space="preserve">Sorra JS. Dyer N. (2010). "Multilevel psychometric properties of the AHRQ hospital survey on patient safety culture." </w:t>
      </w:r>
      <w:r w:rsidDel="00000000" w:rsidR="00000000" w:rsidRPr="00000000">
        <w:rPr>
          <w:i w:val="1"/>
          <w:sz w:val="22"/>
          <w:szCs w:val="22"/>
          <w:rtl w:val="0"/>
        </w:rPr>
        <w:t xml:space="preserve">BMC Health Services Researc</w:t>
      </w:r>
      <w:r w:rsidDel="00000000" w:rsidR="00000000" w:rsidRPr="00000000">
        <w:rPr>
          <w:sz w:val="22"/>
          <w:szCs w:val="22"/>
          <w:rtl w:val="0"/>
        </w:rPr>
        <w:t xml:space="preserve">h 10(99).</w:t>
      </w:r>
    </w:p>
    <w:p w:rsidR="00000000" w:rsidDel="00000000" w:rsidP="00000000" w:rsidRDefault="00000000" w:rsidRPr="00000000" w14:paraId="0000104C">
      <w:pPr>
        <w:jc w:val="both"/>
        <w:rPr>
          <w:sz w:val="22"/>
          <w:szCs w:val="22"/>
        </w:rPr>
      </w:pPr>
      <w:r w:rsidDel="00000000" w:rsidR="00000000" w:rsidRPr="00000000">
        <w:rPr>
          <w:sz w:val="22"/>
          <w:szCs w:val="22"/>
          <w:rtl w:val="0"/>
        </w:rPr>
        <w:tab/>
      </w:r>
    </w:p>
    <w:p w:rsidR="00000000" w:rsidDel="00000000" w:rsidP="00000000" w:rsidRDefault="00000000" w:rsidRPr="00000000" w14:paraId="0000104D">
      <w:pPr>
        <w:jc w:val="both"/>
        <w:rPr>
          <w:sz w:val="22"/>
          <w:szCs w:val="22"/>
        </w:rPr>
      </w:pPr>
      <w:r w:rsidDel="00000000" w:rsidR="00000000" w:rsidRPr="00000000">
        <w:rPr>
          <w:sz w:val="22"/>
          <w:szCs w:val="22"/>
          <w:rtl w:val="0"/>
        </w:rPr>
        <w:t xml:space="preserve">Sorrell JM. (2013). "Qualitative research in clinical nurse specialist practice." </w:t>
      </w:r>
      <w:r w:rsidDel="00000000" w:rsidR="00000000" w:rsidRPr="00000000">
        <w:rPr>
          <w:i w:val="1"/>
          <w:sz w:val="22"/>
          <w:szCs w:val="22"/>
          <w:rtl w:val="0"/>
        </w:rPr>
        <w:t xml:space="preserve">Clin Nurse Spec</w:t>
      </w:r>
      <w:r w:rsidDel="00000000" w:rsidR="00000000" w:rsidRPr="00000000">
        <w:rPr>
          <w:sz w:val="22"/>
          <w:szCs w:val="22"/>
          <w:rtl w:val="0"/>
        </w:rPr>
        <w:t xml:space="preserve"> 27: 175-178.</w:t>
      </w:r>
    </w:p>
    <w:p w:rsidR="00000000" w:rsidDel="00000000" w:rsidP="00000000" w:rsidRDefault="00000000" w:rsidRPr="00000000" w14:paraId="0000104E">
      <w:pPr>
        <w:jc w:val="both"/>
        <w:rPr>
          <w:sz w:val="22"/>
          <w:szCs w:val="22"/>
        </w:rPr>
      </w:pPr>
      <w:r w:rsidDel="00000000" w:rsidR="00000000" w:rsidRPr="00000000">
        <w:rPr>
          <w:sz w:val="22"/>
          <w:szCs w:val="22"/>
          <w:rtl w:val="0"/>
        </w:rPr>
        <w:tab/>
      </w:r>
    </w:p>
    <w:p w:rsidR="00000000" w:rsidDel="00000000" w:rsidP="00000000" w:rsidRDefault="00000000" w:rsidRPr="00000000" w14:paraId="0000104F">
      <w:pPr>
        <w:jc w:val="both"/>
        <w:rPr>
          <w:sz w:val="22"/>
          <w:szCs w:val="22"/>
        </w:rPr>
      </w:pPr>
      <w:r w:rsidDel="00000000" w:rsidR="00000000" w:rsidRPr="00000000">
        <w:rPr>
          <w:sz w:val="22"/>
          <w:szCs w:val="22"/>
          <w:rtl w:val="0"/>
        </w:rPr>
        <w:t xml:space="preserve">Soyombo S. Stanbrook R. Aujla H. Capewell D. Shantikymar M. Kidy F. Todkill D. Shantikumar S.. "Socioeconomic status and benzodiazepine and Z-Drug prescribing: a cross-sectional study of practice level data in England." </w:t>
      </w:r>
      <w:r w:rsidDel="00000000" w:rsidR="00000000" w:rsidRPr="00000000">
        <w:rPr>
          <w:i w:val="1"/>
          <w:sz w:val="22"/>
          <w:szCs w:val="22"/>
          <w:rtl w:val="0"/>
        </w:rPr>
        <w:t xml:space="preserve">Family Practice</w:t>
      </w:r>
      <w:r w:rsidDel="00000000" w:rsidR="00000000" w:rsidRPr="00000000">
        <w:rPr>
          <w:sz w:val="22"/>
          <w:szCs w:val="22"/>
          <w:rtl w:val="0"/>
        </w:rPr>
        <w:t xml:space="preserve"> 37(2).</w:t>
      </w:r>
    </w:p>
    <w:p w:rsidR="00000000" w:rsidDel="00000000" w:rsidP="00000000" w:rsidRDefault="00000000" w:rsidRPr="00000000" w14:paraId="00001050">
      <w:pPr>
        <w:jc w:val="both"/>
        <w:rPr>
          <w:sz w:val="22"/>
          <w:szCs w:val="22"/>
        </w:rPr>
      </w:pPr>
      <w:r w:rsidDel="00000000" w:rsidR="00000000" w:rsidRPr="00000000">
        <w:rPr>
          <w:rtl w:val="0"/>
        </w:rPr>
      </w:r>
    </w:p>
    <w:p w:rsidR="00000000" w:rsidDel="00000000" w:rsidP="00000000" w:rsidRDefault="00000000" w:rsidRPr="00000000" w14:paraId="00001051">
      <w:pPr>
        <w:jc w:val="both"/>
        <w:rPr>
          <w:sz w:val="22"/>
          <w:szCs w:val="22"/>
        </w:rPr>
      </w:pPr>
      <w:r w:rsidDel="00000000" w:rsidR="00000000" w:rsidRPr="00000000">
        <w:rPr>
          <w:sz w:val="22"/>
          <w:szCs w:val="22"/>
          <w:rtl w:val="0"/>
        </w:rPr>
        <w:t xml:space="preserve">Sundbom LT. Bingefors K. Hedborg K. Isacson D. (2017). Are men under-treated and women over-treated with antidepressants? Findings from a cross-sectional survey in Sweden. BJPsych Bulletin. 41: 145-150</w:t>
      </w:r>
    </w:p>
    <w:p w:rsidR="00000000" w:rsidDel="00000000" w:rsidP="00000000" w:rsidRDefault="00000000" w:rsidRPr="00000000" w14:paraId="00001052">
      <w:pPr>
        <w:jc w:val="both"/>
        <w:rPr>
          <w:sz w:val="22"/>
          <w:szCs w:val="22"/>
        </w:rPr>
      </w:pPr>
      <w:r w:rsidDel="00000000" w:rsidR="00000000" w:rsidRPr="00000000">
        <w:rPr>
          <w:rtl w:val="0"/>
        </w:rPr>
      </w:r>
    </w:p>
    <w:p w:rsidR="00000000" w:rsidDel="00000000" w:rsidP="00000000" w:rsidRDefault="00000000" w:rsidRPr="00000000" w14:paraId="00001053">
      <w:pPr>
        <w:jc w:val="both"/>
        <w:rPr>
          <w:sz w:val="22"/>
          <w:szCs w:val="22"/>
        </w:rPr>
      </w:pPr>
      <w:r w:rsidDel="00000000" w:rsidR="00000000" w:rsidRPr="00000000">
        <w:rPr>
          <w:sz w:val="22"/>
          <w:szCs w:val="22"/>
          <w:rtl w:val="0"/>
        </w:rPr>
        <w:t xml:space="preserve">Stevens, R. R. A. H. D. (2010). What is an ontology? Ontogenesis. Available at: </w:t>
      </w:r>
      <w:hyperlink r:id="rId97">
        <w:r w:rsidDel="00000000" w:rsidR="00000000" w:rsidRPr="00000000">
          <w:rPr>
            <w:color w:val="467886"/>
            <w:sz w:val="22"/>
            <w:szCs w:val="22"/>
            <w:u w:val="single"/>
            <w:rtl w:val="0"/>
          </w:rPr>
          <w:t xml:space="preserve">https://ontogenesis.knowledgeblog.org/66/?kblog-transclude=2</w:t>
        </w:r>
      </w:hyperlink>
      <w:r w:rsidDel="00000000" w:rsidR="00000000" w:rsidRPr="00000000">
        <w:rPr>
          <w:sz w:val="22"/>
          <w:szCs w:val="22"/>
          <w:rtl w:val="0"/>
        </w:rPr>
        <w:t xml:space="preserve"> (27/07/2022)</w:t>
      </w:r>
    </w:p>
    <w:p w:rsidR="00000000" w:rsidDel="00000000" w:rsidP="00000000" w:rsidRDefault="00000000" w:rsidRPr="00000000" w14:paraId="00001054">
      <w:pPr>
        <w:jc w:val="both"/>
        <w:rPr>
          <w:sz w:val="22"/>
          <w:szCs w:val="22"/>
        </w:rPr>
      </w:pPr>
      <w:r w:rsidDel="00000000" w:rsidR="00000000" w:rsidRPr="00000000">
        <w:rPr>
          <w:sz w:val="22"/>
          <w:szCs w:val="22"/>
          <w:rtl w:val="0"/>
        </w:rPr>
        <w:tab/>
      </w:r>
    </w:p>
    <w:p w:rsidR="00000000" w:rsidDel="00000000" w:rsidP="00000000" w:rsidRDefault="00000000" w:rsidRPr="00000000" w14:paraId="00001055">
      <w:pPr>
        <w:jc w:val="both"/>
        <w:rPr>
          <w:sz w:val="22"/>
          <w:szCs w:val="22"/>
        </w:rPr>
      </w:pPr>
      <w:r w:rsidDel="00000000" w:rsidR="00000000" w:rsidRPr="00000000">
        <w:rPr>
          <w:sz w:val="22"/>
          <w:szCs w:val="22"/>
          <w:rtl w:val="0"/>
        </w:rPr>
        <w:t xml:space="preserve">Stewart C. (2021). Number of deaths from drug poisonings by antidepressants in England and Wales from 1993 to 2019. Statista.com. Available at: </w:t>
      </w:r>
      <w:hyperlink r:id="rId98">
        <w:r w:rsidDel="00000000" w:rsidR="00000000" w:rsidRPr="00000000">
          <w:rPr>
            <w:color w:val="467886"/>
            <w:sz w:val="22"/>
            <w:szCs w:val="22"/>
            <w:u w:val="single"/>
            <w:rtl w:val="0"/>
          </w:rPr>
          <w:t xml:space="preserve">https://www.statista.com/statistics/470918/death-by-antidepressants-drug-poisoning-in-england-and-wales/</w:t>
        </w:r>
      </w:hyperlink>
      <w:r w:rsidDel="00000000" w:rsidR="00000000" w:rsidRPr="00000000">
        <w:rPr>
          <w:sz w:val="22"/>
          <w:szCs w:val="22"/>
          <w:rtl w:val="0"/>
        </w:rPr>
        <w:t xml:space="preserve"> (23/10/2021)</w:t>
      </w:r>
    </w:p>
    <w:p w:rsidR="00000000" w:rsidDel="00000000" w:rsidP="00000000" w:rsidRDefault="00000000" w:rsidRPr="00000000" w14:paraId="00001056">
      <w:pPr>
        <w:jc w:val="both"/>
        <w:rPr>
          <w:sz w:val="22"/>
          <w:szCs w:val="22"/>
        </w:rPr>
      </w:pPr>
      <w:r w:rsidDel="00000000" w:rsidR="00000000" w:rsidRPr="00000000">
        <w:rPr>
          <w:sz w:val="22"/>
          <w:szCs w:val="22"/>
          <w:rtl w:val="0"/>
        </w:rPr>
        <w:tab/>
      </w:r>
    </w:p>
    <w:p w:rsidR="00000000" w:rsidDel="00000000" w:rsidP="00000000" w:rsidRDefault="00000000" w:rsidRPr="00000000" w14:paraId="00001057">
      <w:pPr>
        <w:jc w:val="both"/>
        <w:rPr>
          <w:sz w:val="22"/>
          <w:szCs w:val="22"/>
        </w:rPr>
      </w:pPr>
      <w:r w:rsidDel="00000000" w:rsidR="00000000" w:rsidRPr="00000000">
        <w:rPr>
          <w:sz w:val="22"/>
          <w:szCs w:val="22"/>
          <w:rtl w:val="0"/>
        </w:rPr>
        <w:t xml:space="preserve">Stewart C. (2023). Number of deaths from drug poisoning by antidepressants in England and Wales from 1993 to 2021. Statista. Available at: </w:t>
      </w:r>
      <w:hyperlink r:id="rId99">
        <w:r w:rsidDel="00000000" w:rsidR="00000000" w:rsidRPr="00000000">
          <w:rPr>
            <w:color w:val="467886"/>
            <w:sz w:val="22"/>
            <w:szCs w:val="22"/>
            <w:u w:val="single"/>
            <w:rtl w:val="0"/>
          </w:rPr>
          <w:t xml:space="preserve">https://www.statista.com/statistics/470918/death-by-antidepressants-drug-poisoning-in-england-and-wales/</w:t>
        </w:r>
      </w:hyperlink>
      <w:r w:rsidDel="00000000" w:rsidR="00000000" w:rsidRPr="00000000">
        <w:rPr>
          <w:sz w:val="22"/>
          <w:szCs w:val="22"/>
          <w:rtl w:val="0"/>
        </w:rPr>
        <w:t xml:space="preserve"> (17/07/2023)</w:t>
      </w:r>
    </w:p>
    <w:p w:rsidR="00000000" w:rsidDel="00000000" w:rsidP="00000000" w:rsidRDefault="00000000" w:rsidRPr="00000000" w14:paraId="00001058">
      <w:pPr>
        <w:jc w:val="both"/>
        <w:rPr>
          <w:sz w:val="22"/>
          <w:szCs w:val="22"/>
        </w:rPr>
      </w:pPr>
      <w:r w:rsidDel="00000000" w:rsidR="00000000" w:rsidRPr="00000000">
        <w:rPr>
          <w:rtl w:val="0"/>
        </w:rPr>
      </w:r>
    </w:p>
    <w:p w:rsidR="00000000" w:rsidDel="00000000" w:rsidP="00000000" w:rsidRDefault="00000000" w:rsidRPr="00000000" w14:paraId="00001059">
      <w:pPr>
        <w:jc w:val="both"/>
        <w:rPr>
          <w:sz w:val="22"/>
          <w:szCs w:val="22"/>
        </w:rPr>
      </w:pPr>
      <w:r w:rsidDel="00000000" w:rsidR="00000000" w:rsidRPr="00000000">
        <w:rPr>
          <w:sz w:val="22"/>
          <w:szCs w:val="22"/>
          <w:rtl w:val="0"/>
        </w:rPr>
        <w:t xml:space="preserve">Stewart C. (2023). Number of drug-related deaths due to benzodiazepine use in England and Wales from 1993 to 2021. Statista. Available at:  </w:t>
      </w:r>
      <w:hyperlink r:id="rId100">
        <w:r w:rsidDel="00000000" w:rsidR="00000000" w:rsidRPr="00000000">
          <w:rPr>
            <w:color w:val="467886"/>
            <w:sz w:val="22"/>
            <w:szCs w:val="22"/>
            <w:u w:val="single"/>
            <w:rtl w:val="0"/>
          </w:rPr>
          <w:t xml:space="preserve">https://www.statista.com/statistics/470844/drug-poisoning-deaths-benzodiazepine-in-england-and-wales/</w:t>
        </w:r>
      </w:hyperlink>
      <w:r w:rsidDel="00000000" w:rsidR="00000000" w:rsidRPr="00000000">
        <w:rPr>
          <w:sz w:val="22"/>
          <w:szCs w:val="22"/>
          <w:rtl w:val="0"/>
        </w:rPr>
        <w:t xml:space="preserve"> (17/07/2023)</w:t>
      </w:r>
    </w:p>
    <w:p w:rsidR="00000000" w:rsidDel="00000000" w:rsidP="00000000" w:rsidRDefault="00000000" w:rsidRPr="00000000" w14:paraId="0000105A">
      <w:pPr>
        <w:jc w:val="both"/>
        <w:rPr>
          <w:sz w:val="22"/>
          <w:szCs w:val="22"/>
        </w:rPr>
      </w:pPr>
      <w:r w:rsidDel="00000000" w:rsidR="00000000" w:rsidRPr="00000000">
        <w:rPr>
          <w:rtl w:val="0"/>
        </w:rPr>
      </w:r>
    </w:p>
    <w:p w:rsidR="00000000" w:rsidDel="00000000" w:rsidP="00000000" w:rsidRDefault="00000000" w:rsidRPr="00000000" w14:paraId="0000105B">
      <w:pPr>
        <w:jc w:val="both"/>
        <w:rPr>
          <w:sz w:val="22"/>
          <w:szCs w:val="22"/>
        </w:rPr>
      </w:pPr>
      <w:r w:rsidDel="00000000" w:rsidR="00000000" w:rsidRPr="00000000">
        <w:rPr>
          <w:sz w:val="22"/>
          <w:szCs w:val="22"/>
          <w:rtl w:val="0"/>
        </w:rPr>
        <w:t xml:space="preserve">Strang J. Volkow ND. Degenhardt L. Hickman M. Johnson K. Koob GF. Marshall BDL. Tyndall M. Walsh SH. (2020). "Opioid Use Disorder." </w:t>
      </w:r>
      <w:r w:rsidDel="00000000" w:rsidR="00000000" w:rsidRPr="00000000">
        <w:rPr>
          <w:i w:val="1"/>
          <w:sz w:val="22"/>
          <w:szCs w:val="22"/>
          <w:rtl w:val="0"/>
        </w:rPr>
        <w:t xml:space="preserve">Nature</w:t>
      </w:r>
      <w:r w:rsidDel="00000000" w:rsidR="00000000" w:rsidRPr="00000000">
        <w:rPr>
          <w:sz w:val="22"/>
          <w:szCs w:val="22"/>
          <w:rtl w:val="0"/>
        </w:rPr>
        <w:t xml:space="preserve"> 6(3).</w:t>
      </w:r>
    </w:p>
    <w:p w:rsidR="00000000" w:rsidDel="00000000" w:rsidP="00000000" w:rsidRDefault="00000000" w:rsidRPr="00000000" w14:paraId="0000105C">
      <w:pPr>
        <w:jc w:val="both"/>
        <w:rPr>
          <w:sz w:val="22"/>
          <w:szCs w:val="22"/>
        </w:rPr>
      </w:pPr>
      <w:r w:rsidDel="00000000" w:rsidR="00000000" w:rsidRPr="00000000">
        <w:rPr>
          <w:rtl w:val="0"/>
        </w:rPr>
      </w:r>
    </w:p>
    <w:p w:rsidR="00000000" w:rsidDel="00000000" w:rsidP="00000000" w:rsidRDefault="00000000" w:rsidRPr="00000000" w14:paraId="0000105D">
      <w:pPr>
        <w:jc w:val="both"/>
        <w:rPr>
          <w:sz w:val="22"/>
          <w:szCs w:val="22"/>
        </w:rPr>
      </w:pPr>
      <w:r w:rsidDel="00000000" w:rsidR="00000000" w:rsidRPr="00000000">
        <w:rPr>
          <w:sz w:val="22"/>
          <w:szCs w:val="22"/>
          <w:rtl w:val="0"/>
        </w:rPr>
        <w:t xml:space="preserve">Strasburger VC. Donnerstein E (1999). "Children, adolescents, and the media: Issues and solutions." </w:t>
      </w:r>
      <w:r w:rsidDel="00000000" w:rsidR="00000000" w:rsidRPr="00000000">
        <w:rPr>
          <w:i w:val="1"/>
          <w:sz w:val="22"/>
          <w:szCs w:val="22"/>
          <w:rtl w:val="0"/>
        </w:rPr>
        <w:t xml:space="preserve">Paediatrics</w:t>
      </w:r>
      <w:r w:rsidDel="00000000" w:rsidR="00000000" w:rsidRPr="00000000">
        <w:rPr>
          <w:sz w:val="22"/>
          <w:szCs w:val="22"/>
          <w:rtl w:val="0"/>
        </w:rPr>
        <w:t xml:space="preserve"> 103: 129-139.</w:t>
      </w:r>
    </w:p>
    <w:p w:rsidR="00000000" w:rsidDel="00000000" w:rsidP="00000000" w:rsidRDefault="00000000" w:rsidRPr="00000000" w14:paraId="0000105E">
      <w:pPr>
        <w:jc w:val="both"/>
        <w:rPr>
          <w:sz w:val="22"/>
          <w:szCs w:val="22"/>
        </w:rPr>
      </w:pPr>
      <w:r w:rsidDel="00000000" w:rsidR="00000000" w:rsidRPr="00000000">
        <w:rPr>
          <w:rtl w:val="0"/>
        </w:rPr>
      </w:r>
    </w:p>
    <w:p w:rsidR="00000000" w:rsidDel="00000000" w:rsidP="00000000" w:rsidRDefault="00000000" w:rsidRPr="00000000" w14:paraId="0000105F">
      <w:pPr>
        <w:jc w:val="both"/>
        <w:rPr>
          <w:sz w:val="22"/>
          <w:szCs w:val="22"/>
        </w:rPr>
      </w:pPr>
      <w:r w:rsidDel="00000000" w:rsidR="00000000" w:rsidRPr="00000000">
        <w:rPr>
          <w:sz w:val="22"/>
          <w:szCs w:val="22"/>
          <w:rtl w:val="0"/>
        </w:rPr>
        <w:t xml:space="preserve">Strauss B. Gawlytta R. Schleu A. Frenzi D. (2021). "Negative effects of psychotherapy: estimating the prevalence in a random national sample." </w:t>
      </w:r>
      <w:r w:rsidDel="00000000" w:rsidR="00000000" w:rsidRPr="00000000">
        <w:rPr>
          <w:i w:val="1"/>
          <w:sz w:val="22"/>
          <w:szCs w:val="22"/>
          <w:rtl w:val="0"/>
        </w:rPr>
        <w:t xml:space="preserve">BJPsych Open</w:t>
      </w:r>
      <w:r w:rsidDel="00000000" w:rsidR="00000000" w:rsidRPr="00000000">
        <w:rPr>
          <w:sz w:val="22"/>
          <w:szCs w:val="22"/>
          <w:rtl w:val="0"/>
        </w:rPr>
        <w:t xml:space="preserve"> 7(186): 1-8.</w:t>
      </w:r>
    </w:p>
    <w:p w:rsidR="00000000" w:rsidDel="00000000" w:rsidP="00000000" w:rsidRDefault="00000000" w:rsidRPr="00000000" w14:paraId="00001060">
      <w:pPr>
        <w:jc w:val="both"/>
        <w:rPr>
          <w:sz w:val="22"/>
          <w:szCs w:val="22"/>
        </w:rPr>
      </w:pPr>
      <w:r w:rsidDel="00000000" w:rsidR="00000000" w:rsidRPr="00000000">
        <w:rPr>
          <w:sz w:val="22"/>
          <w:szCs w:val="22"/>
          <w:rtl w:val="0"/>
        </w:rPr>
        <w:tab/>
      </w:r>
    </w:p>
    <w:p w:rsidR="00000000" w:rsidDel="00000000" w:rsidP="00000000" w:rsidRDefault="00000000" w:rsidRPr="00000000" w14:paraId="00001061">
      <w:pPr>
        <w:jc w:val="both"/>
        <w:rPr>
          <w:sz w:val="22"/>
          <w:szCs w:val="22"/>
        </w:rPr>
      </w:pPr>
      <w:r w:rsidDel="00000000" w:rsidR="00000000" w:rsidRPr="00000000">
        <w:rPr>
          <w:sz w:val="22"/>
          <w:szCs w:val="22"/>
          <w:rtl w:val="0"/>
        </w:rPr>
        <w:t xml:space="preserve">Strauss DC. Merios TH. (2009). "What does the medical profession mean by ‘standard of care?’." </w:t>
      </w:r>
      <w:r w:rsidDel="00000000" w:rsidR="00000000" w:rsidRPr="00000000">
        <w:rPr>
          <w:i w:val="1"/>
          <w:sz w:val="22"/>
          <w:szCs w:val="22"/>
          <w:rtl w:val="0"/>
        </w:rPr>
        <w:t xml:space="preserve">Journal of Clinical Oncology</w:t>
      </w:r>
      <w:r w:rsidDel="00000000" w:rsidR="00000000" w:rsidRPr="00000000">
        <w:rPr>
          <w:sz w:val="22"/>
          <w:szCs w:val="22"/>
          <w:rtl w:val="0"/>
        </w:rPr>
        <w:t xml:space="preserve"> 27(32): 192-193.</w:t>
      </w:r>
    </w:p>
    <w:p w:rsidR="00000000" w:rsidDel="00000000" w:rsidP="00000000" w:rsidRDefault="00000000" w:rsidRPr="00000000" w14:paraId="00001062">
      <w:pPr>
        <w:jc w:val="both"/>
        <w:rPr>
          <w:sz w:val="22"/>
          <w:szCs w:val="22"/>
        </w:rPr>
      </w:pPr>
      <w:r w:rsidDel="00000000" w:rsidR="00000000" w:rsidRPr="00000000">
        <w:rPr>
          <w:rtl w:val="0"/>
        </w:rPr>
      </w:r>
    </w:p>
    <w:p w:rsidR="00000000" w:rsidDel="00000000" w:rsidP="00000000" w:rsidRDefault="00000000" w:rsidRPr="00000000" w14:paraId="00001063">
      <w:pPr>
        <w:jc w:val="both"/>
        <w:rPr>
          <w:sz w:val="22"/>
          <w:szCs w:val="22"/>
        </w:rPr>
      </w:pPr>
      <w:r w:rsidDel="00000000" w:rsidR="00000000" w:rsidRPr="00000000">
        <w:rPr>
          <w:sz w:val="22"/>
          <w:szCs w:val="22"/>
          <w:rtl w:val="0"/>
        </w:rPr>
        <w:t xml:space="preserve">Suissa AJ. (2008). "Representations and medicalisation of the body." </w:t>
      </w:r>
      <w:r w:rsidDel="00000000" w:rsidR="00000000" w:rsidRPr="00000000">
        <w:rPr>
          <w:i w:val="1"/>
          <w:sz w:val="22"/>
          <w:szCs w:val="22"/>
          <w:rtl w:val="0"/>
        </w:rPr>
        <w:t xml:space="preserve">International Journal of Mental Health and Addiction</w:t>
      </w:r>
      <w:r w:rsidDel="00000000" w:rsidR="00000000" w:rsidRPr="00000000">
        <w:rPr>
          <w:sz w:val="22"/>
          <w:szCs w:val="22"/>
          <w:rtl w:val="0"/>
        </w:rPr>
        <w:t xml:space="preserve"> 6(4): 619-630.</w:t>
      </w:r>
    </w:p>
    <w:p w:rsidR="00000000" w:rsidDel="00000000" w:rsidP="00000000" w:rsidRDefault="00000000" w:rsidRPr="00000000" w14:paraId="00001064">
      <w:pPr>
        <w:jc w:val="both"/>
        <w:rPr>
          <w:sz w:val="22"/>
          <w:szCs w:val="22"/>
        </w:rPr>
      </w:pPr>
      <w:r w:rsidDel="00000000" w:rsidR="00000000" w:rsidRPr="00000000">
        <w:rPr>
          <w:sz w:val="22"/>
          <w:szCs w:val="22"/>
          <w:rtl w:val="0"/>
        </w:rPr>
        <w:tab/>
      </w:r>
    </w:p>
    <w:p w:rsidR="00000000" w:rsidDel="00000000" w:rsidP="00000000" w:rsidRDefault="00000000" w:rsidRPr="00000000" w14:paraId="00001065">
      <w:pPr>
        <w:jc w:val="both"/>
        <w:rPr>
          <w:sz w:val="22"/>
          <w:szCs w:val="22"/>
        </w:rPr>
      </w:pPr>
      <w:r w:rsidDel="00000000" w:rsidR="00000000" w:rsidRPr="00000000">
        <w:rPr>
          <w:sz w:val="22"/>
          <w:szCs w:val="22"/>
          <w:rtl w:val="0"/>
        </w:rPr>
        <w:t xml:space="preserve">Suver CM. Hamann JK. Chin EM. Goldstein FC. Blazel HM. Manzanares CM. Doerr MJ. Asthana SJ. Mangravite LM. Levey AI. Lah JJ. Edwards DF. (2020). "Informed Consent in Two Alzheimer's Disease Research Centers: Insights from Research Coordinators." </w:t>
      </w:r>
      <w:r w:rsidDel="00000000" w:rsidR="00000000" w:rsidRPr="00000000">
        <w:rPr>
          <w:i w:val="1"/>
          <w:sz w:val="22"/>
          <w:szCs w:val="22"/>
          <w:rtl w:val="0"/>
        </w:rPr>
        <w:t xml:space="preserve">AJOB Empirical Bioethics</w:t>
      </w:r>
      <w:r w:rsidDel="00000000" w:rsidR="00000000" w:rsidRPr="00000000">
        <w:rPr>
          <w:sz w:val="22"/>
          <w:szCs w:val="22"/>
          <w:rtl w:val="0"/>
        </w:rPr>
        <w:t xml:space="preserve"> 11(2): 114-124.</w:t>
      </w:r>
    </w:p>
    <w:p w:rsidR="00000000" w:rsidDel="00000000" w:rsidP="00000000" w:rsidRDefault="00000000" w:rsidRPr="00000000" w14:paraId="00001066">
      <w:pPr>
        <w:jc w:val="both"/>
        <w:rPr>
          <w:sz w:val="22"/>
          <w:szCs w:val="22"/>
        </w:rPr>
      </w:pPr>
      <w:r w:rsidDel="00000000" w:rsidR="00000000" w:rsidRPr="00000000">
        <w:rPr>
          <w:sz w:val="22"/>
          <w:szCs w:val="22"/>
          <w:rtl w:val="0"/>
        </w:rPr>
        <w:tab/>
      </w:r>
    </w:p>
    <w:p w:rsidR="00000000" w:rsidDel="00000000" w:rsidP="00000000" w:rsidRDefault="00000000" w:rsidRPr="00000000" w14:paraId="00001067">
      <w:pPr>
        <w:jc w:val="both"/>
        <w:rPr>
          <w:sz w:val="22"/>
          <w:szCs w:val="22"/>
        </w:rPr>
      </w:pPr>
      <w:r w:rsidDel="00000000" w:rsidR="00000000" w:rsidRPr="00000000">
        <w:rPr>
          <w:sz w:val="22"/>
          <w:szCs w:val="22"/>
          <w:rtl w:val="0"/>
        </w:rPr>
        <w:t xml:space="preserve">Swagel PL. (2021). Research and Development in the Pharmaceutical Industry. Congressional Budget Office.</w:t>
      </w:r>
    </w:p>
    <w:p w:rsidR="00000000" w:rsidDel="00000000" w:rsidP="00000000" w:rsidRDefault="00000000" w:rsidRPr="00000000" w14:paraId="00001068">
      <w:pPr>
        <w:jc w:val="both"/>
        <w:rPr>
          <w:sz w:val="22"/>
          <w:szCs w:val="22"/>
        </w:rPr>
      </w:pPr>
      <w:r w:rsidDel="00000000" w:rsidR="00000000" w:rsidRPr="00000000">
        <w:rPr>
          <w:rtl w:val="0"/>
        </w:rPr>
      </w:r>
    </w:p>
    <w:p w:rsidR="00000000" w:rsidDel="00000000" w:rsidP="00000000" w:rsidRDefault="00000000" w:rsidRPr="00000000" w14:paraId="00001069">
      <w:pPr>
        <w:jc w:val="both"/>
        <w:rPr>
          <w:sz w:val="22"/>
          <w:szCs w:val="22"/>
        </w:rPr>
      </w:pPr>
      <w:r w:rsidDel="00000000" w:rsidR="00000000" w:rsidRPr="00000000">
        <w:rPr>
          <w:sz w:val="22"/>
          <w:szCs w:val="22"/>
          <w:rtl w:val="0"/>
        </w:rPr>
        <w:t xml:space="preserve">Tasca C. Rapetti M. Carta MG. Fadda B. (2012). Women And Hysteria In The History Of Mental Health. Clinical Practice and Epidemiology in Mental Health. 8: 110-119</w:t>
      </w:r>
    </w:p>
    <w:p w:rsidR="00000000" w:rsidDel="00000000" w:rsidP="00000000" w:rsidRDefault="00000000" w:rsidRPr="00000000" w14:paraId="0000106A">
      <w:pPr>
        <w:jc w:val="both"/>
        <w:rPr>
          <w:sz w:val="22"/>
          <w:szCs w:val="22"/>
        </w:rPr>
      </w:pPr>
      <w:r w:rsidDel="00000000" w:rsidR="00000000" w:rsidRPr="00000000">
        <w:rPr>
          <w:rtl w:val="0"/>
        </w:rPr>
      </w:r>
    </w:p>
    <w:p w:rsidR="00000000" w:rsidDel="00000000" w:rsidP="00000000" w:rsidRDefault="00000000" w:rsidRPr="00000000" w14:paraId="0000106B">
      <w:pPr>
        <w:jc w:val="both"/>
        <w:rPr>
          <w:sz w:val="22"/>
          <w:szCs w:val="22"/>
        </w:rPr>
      </w:pPr>
      <w:r w:rsidDel="00000000" w:rsidR="00000000" w:rsidRPr="00000000">
        <w:rPr>
          <w:sz w:val="22"/>
          <w:szCs w:val="22"/>
          <w:rtl w:val="0"/>
        </w:rPr>
        <w:t xml:space="preserve">Tate P (2003) </w:t>
      </w:r>
      <w:r w:rsidDel="00000000" w:rsidR="00000000" w:rsidRPr="00000000">
        <w:rPr>
          <w:i w:val="1"/>
          <w:sz w:val="22"/>
          <w:szCs w:val="22"/>
          <w:rtl w:val="0"/>
        </w:rPr>
        <w:t xml:space="preserve">The Doctor’s Communication Handbook</w:t>
      </w:r>
      <w:r w:rsidDel="00000000" w:rsidR="00000000" w:rsidRPr="00000000">
        <w:rPr>
          <w:sz w:val="22"/>
          <w:szCs w:val="22"/>
          <w:rtl w:val="0"/>
        </w:rPr>
        <w:t xml:space="preserve">. 4th ed. Abingdon: Radcliffe Medical Press.</w:t>
      </w:r>
    </w:p>
    <w:p w:rsidR="00000000" w:rsidDel="00000000" w:rsidP="00000000" w:rsidRDefault="00000000" w:rsidRPr="00000000" w14:paraId="0000106C">
      <w:pPr>
        <w:jc w:val="both"/>
        <w:rPr>
          <w:sz w:val="22"/>
          <w:szCs w:val="22"/>
        </w:rPr>
      </w:pPr>
      <w:r w:rsidDel="00000000" w:rsidR="00000000" w:rsidRPr="00000000">
        <w:rPr>
          <w:sz w:val="22"/>
          <w:szCs w:val="22"/>
          <w:rtl w:val="0"/>
        </w:rPr>
        <w:tab/>
      </w:r>
    </w:p>
    <w:p w:rsidR="00000000" w:rsidDel="00000000" w:rsidP="00000000" w:rsidRDefault="00000000" w:rsidRPr="00000000" w14:paraId="0000106D">
      <w:pPr>
        <w:jc w:val="both"/>
        <w:rPr>
          <w:sz w:val="22"/>
          <w:szCs w:val="22"/>
        </w:rPr>
      </w:pPr>
      <w:r w:rsidDel="00000000" w:rsidR="00000000" w:rsidRPr="00000000">
        <w:rPr>
          <w:sz w:val="22"/>
          <w:szCs w:val="22"/>
          <w:rtl w:val="0"/>
        </w:rPr>
        <w:t xml:space="preserve">Tam MT. Wu JM. Zhang CC. Pawliuk C. Robillard JM. (2024). "A Systematic Review of the Impacts of Media Mental Health Awareness Campaigns on Young People." </w:t>
      </w:r>
      <w:r w:rsidDel="00000000" w:rsidR="00000000" w:rsidRPr="00000000">
        <w:rPr>
          <w:i w:val="1"/>
          <w:sz w:val="22"/>
          <w:szCs w:val="22"/>
          <w:rtl w:val="0"/>
        </w:rPr>
        <w:t xml:space="preserve">Health Promotion Practice</w:t>
      </w:r>
      <w:r w:rsidDel="00000000" w:rsidR="00000000" w:rsidRPr="00000000">
        <w:rPr>
          <w:sz w:val="22"/>
          <w:szCs w:val="22"/>
          <w:rtl w:val="0"/>
        </w:rPr>
        <w:t xml:space="preserve"> 25(5): 907-920.</w:t>
      </w:r>
    </w:p>
    <w:p w:rsidR="00000000" w:rsidDel="00000000" w:rsidP="00000000" w:rsidRDefault="00000000" w:rsidRPr="00000000" w14:paraId="0000106E">
      <w:pPr>
        <w:jc w:val="both"/>
        <w:rPr>
          <w:sz w:val="22"/>
          <w:szCs w:val="22"/>
        </w:rPr>
      </w:pPr>
      <w:r w:rsidDel="00000000" w:rsidR="00000000" w:rsidRPr="00000000">
        <w:rPr>
          <w:sz w:val="22"/>
          <w:szCs w:val="22"/>
          <w:rtl w:val="0"/>
        </w:rPr>
        <w:tab/>
      </w:r>
    </w:p>
    <w:p w:rsidR="00000000" w:rsidDel="00000000" w:rsidP="00000000" w:rsidRDefault="00000000" w:rsidRPr="00000000" w14:paraId="0000106F">
      <w:pPr>
        <w:jc w:val="both"/>
        <w:rPr>
          <w:sz w:val="22"/>
          <w:szCs w:val="22"/>
        </w:rPr>
      </w:pPr>
      <w:r w:rsidDel="00000000" w:rsidR="00000000" w:rsidRPr="00000000">
        <w:rPr>
          <w:sz w:val="22"/>
          <w:szCs w:val="22"/>
          <w:rtl w:val="0"/>
        </w:rPr>
        <w:t xml:space="preserve">Tan SSL. Goonawardene N. (2017). "Internet Health Information Seeking and the Patient-Physician Relationship: A Systematic Review." </w:t>
      </w:r>
      <w:r w:rsidDel="00000000" w:rsidR="00000000" w:rsidRPr="00000000">
        <w:rPr>
          <w:i w:val="1"/>
          <w:sz w:val="22"/>
          <w:szCs w:val="22"/>
          <w:rtl w:val="0"/>
        </w:rPr>
        <w:t xml:space="preserve">Journal of medical internet research</w:t>
      </w:r>
      <w:r w:rsidDel="00000000" w:rsidR="00000000" w:rsidRPr="00000000">
        <w:rPr>
          <w:sz w:val="22"/>
          <w:szCs w:val="22"/>
          <w:rtl w:val="0"/>
        </w:rPr>
        <w:t xml:space="preserve"> 19(1): 19-19.</w:t>
      </w:r>
    </w:p>
    <w:p w:rsidR="00000000" w:rsidDel="00000000" w:rsidP="00000000" w:rsidRDefault="00000000" w:rsidRPr="00000000" w14:paraId="00001070">
      <w:pPr>
        <w:jc w:val="both"/>
        <w:rPr>
          <w:sz w:val="22"/>
          <w:szCs w:val="22"/>
        </w:rPr>
      </w:pPr>
      <w:r w:rsidDel="00000000" w:rsidR="00000000" w:rsidRPr="00000000">
        <w:rPr>
          <w:sz w:val="22"/>
          <w:szCs w:val="22"/>
          <w:rtl w:val="0"/>
        </w:rPr>
        <w:tab/>
      </w:r>
    </w:p>
    <w:p w:rsidR="00000000" w:rsidDel="00000000" w:rsidP="00000000" w:rsidRDefault="00000000" w:rsidRPr="00000000" w14:paraId="00001071">
      <w:pPr>
        <w:jc w:val="both"/>
        <w:rPr>
          <w:sz w:val="22"/>
          <w:szCs w:val="22"/>
        </w:rPr>
      </w:pPr>
      <w:r w:rsidDel="00000000" w:rsidR="00000000" w:rsidRPr="00000000">
        <w:rPr>
          <w:sz w:val="22"/>
          <w:szCs w:val="22"/>
          <w:rtl w:val="0"/>
        </w:rPr>
        <w:t xml:space="preserve">Tang NK. Salkovskis PM. Hodges A. (2009). "Chronic pain syndrome associated with health anxiety: a qualitative thematic comparison between pain patients with high and low health anxiety." </w:t>
      </w:r>
      <w:r w:rsidDel="00000000" w:rsidR="00000000" w:rsidRPr="00000000">
        <w:rPr>
          <w:i w:val="1"/>
          <w:sz w:val="22"/>
          <w:szCs w:val="22"/>
          <w:rtl w:val="0"/>
        </w:rPr>
        <w:t xml:space="preserve">Br J Clin Psychol</w:t>
      </w:r>
      <w:r w:rsidDel="00000000" w:rsidR="00000000" w:rsidRPr="00000000">
        <w:rPr>
          <w:sz w:val="22"/>
          <w:szCs w:val="22"/>
          <w:rtl w:val="0"/>
        </w:rPr>
        <w:t xml:space="preserve"> 48(1): 1-20.</w:t>
      </w:r>
    </w:p>
    <w:p w:rsidR="00000000" w:rsidDel="00000000" w:rsidP="00000000" w:rsidRDefault="00000000" w:rsidRPr="00000000" w14:paraId="00001072">
      <w:pPr>
        <w:jc w:val="both"/>
        <w:rPr>
          <w:sz w:val="22"/>
          <w:szCs w:val="22"/>
        </w:rPr>
      </w:pPr>
      <w:r w:rsidDel="00000000" w:rsidR="00000000" w:rsidRPr="00000000">
        <w:rPr>
          <w:rtl w:val="0"/>
        </w:rPr>
      </w:r>
    </w:p>
    <w:p w:rsidR="00000000" w:rsidDel="00000000" w:rsidP="00000000" w:rsidRDefault="00000000" w:rsidRPr="00000000" w14:paraId="00001073">
      <w:pPr>
        <w:jc w:val="both"/>
        <w:rPr>
          <w:sz w:val="22"/>
          <w:szCs w:val="22"/>
        </w:rPr>
      </w:pPr>
      <w:r w:rsidDel="00000000" w:rsidR="00000000" w:rsidRPr="00000000">
        <w:rPr>
          <w:sz w:val="22"/>
          <w:szCs w:val="22"/>
          <w:rtl w:val="0"/>
        </w:rPr>
        <w:t xml:space="preserve">Tayal U. Pompei G. Wilkinson I. Adamson D. Sinha A. Hildick-Smith D. Cubbon R. Garbi M. Ingram TE. Colebourn CL. Camm CF. Guzik TJ. Anderson L. Page SP. Wicks E. Jenkins P. Rosen SD. Edtychiou S. Roberts E. Edtekhari H. Probert H. Cowie A. Thakkar R. Moore J. Berry C. Captur G. Deshpande A. Brown S. Malkin R. Harrison M. Lawson C. Ng GA. Kunadian V. (2024). Advancing the access to cardiovascular diagnosis and treatment among women with cardiovascular disease: a joint British Cardiovascular Societies’ consensus document. BMJ Journals Heart. 110(22)</w:t>
      </w:r>
    </w:p>
    <w:p w:rsidR="00000000" w:rsidDel="00000000" w:rsidP="00000000" w:rsidRDefault="00000000" w:rsidRPr="00000000" w14:paraId="00001074">
      <w:pPr>
        <w:jc w:val="both"/>
        <w:rPr>
          <w:sz w:val="22"/>
          <w:szCs w:val="22"/>
        </w:rPr>
      </w:pPr>
      <w:r w:rsidDel="00000000" w:rsidR="00000000" w:rsidRPr="00000000">
        <w:rPr>
          <w:sz w:val="22"/>
          <w:szCs w:val="22"/>
          <w:rtl w:val="0"/>
        </w:rPr>
        <w:tab/>
      </w:r>
    </w:p>
    <w:p w:rsidR="00000000" w:rsidDel="00000000" w:rsidP="00000000" w:rsidRDefault="00000000" w:rsidRPr="00000000" w14:paraId="00001075">
      <w:pPr>
        <w:jc w:val="both"/>
        <w:rPr>
          <w:sz w:val="22"/>
          <w:szCs w:val="22"/>
        </w:rPr>
      </w:pPr>
      <w:r w:rsidDel="00000000" w:rsidR="00000000" w:rsidRPr="00000000">
        <w:rPr>
          <w:sz w:val="22"/>
          <w:szCs w:val="22"/>
          <w:rtl w:val="0"/>
        </w:rPr>
        <w:t xml:space="preserve">Taylor KA. Wright K. Carter L. McShay J. SasserS. Jost MB.B. (1999). "Constructivist Theory into Practice: An Interpretivist Research Mural." 813-818.</w:t>
      </w:r>
    </w:p>
    <w:p w:rsidR="00000000" w:rsidDel="00000000" w:rsidP="00000000" w:rsidRDefault="00000000" w:rsidRPr="00000000" w14:paraId="00001076">
      <w:pPr>
        <w:jc w:val="both"/>
        <w:rPr>
          <w:sz w:val="22"/>
          <w:szCs w:val="22"/>
        </w:rPr>
      </w:pPr>
      <w:r w:rsidDel="00000000" w:rsidR="00000000" w:rsidRPr="00000000">
        <w:rPr>
          <w:sz w:val="22"/>
          <w:szCs w:val="22"/>
          <w:rtl w:val="0"/>
        </w:rPr>
        <w:tab/>
      </w:r>
    </w:p>
    <w:p w:rsidR="00000000" w:rsidDel="00000000" w:rsidP="00000000" w:rsidRDefault="00000000" w:rsidRPr="00000000" w14:paraId="00001077">
      <w:pPr>
        <w:jc w:val="both"/>
        <w:rPr>
          <w:sz w:val="22"/>
          <w:szCs w:val="22"/>
        </w:rPr>
      </w:pPr>
      <w:r w:rsidDel="00000000" w:rsidR="00000000" w:rsidRPr="00000000">
        <w:rPr>
          <w:sz w:val="22"/>
          <w:szCs w:val="22"/>
          <w:rtl w:val="0"/>
        </w:rPr>
        <w:t xml:space="preserve">Taylor L. Crockett J. Tayo B. Checketts D. Sommerville K. (2020). "Abrupt withdrawal of cannabidiol (CBD): A randomized trial." </w:t>
      </w:r>
      <w:r w:rsidDel="00000000" w:rsidR="00000000" w:rsidRPr="00000000">
        <w:rPr>
          <w:i w:val="1"/>
          <w:sz w:val="22"/>
          <w:szCs w:val="22"/>
          <w:rtl w:val="0"/>
        </w:rPr>
        <w:t xml:space="preserve">Epilepsy and Behaviour</w:t>
      </w:r>
      <w:r w:rsidDel="00000000" w:rsidR="00000000" w:rsidRPr="00000000">
        <w:rPr>
          <w:sz w:val="22"/>
          <w:szCs w:val="22"/>
          <w:rtl w:val="0"/>
        </w:rPr>
        <w:t xml:space="preserve"> 104.</w:t>
      </w:r>
    </w:p>
    <w:p w:rsidR="00000000" w:rsidDel="00000000" w:rsidP="00000000" w:rsidRDefault="00000000" w:rsidRPr="00000000" w14:paraId="00001078">
      <w:pPr>
        <w:jc w:val="both"/>
        <w:rPr>
          <w:sz w:val="22"/>
          <w:szCs w:val="22"/>
        </w:rPr>
      </w:pPr>
      <w:r w:rsidDel="00000000" w:rsidR="00000000" w:rsidRPr="00000000">
        <w:rPr>
          <w:sz w:val="22"/>
          <w:szCs w:val="22"/>
          <w:rtl w:val="0"/>
        </w:rPr>
        <w:tab/>
      </w:r>
    </w:p>
    <w:p w:rsidR="00000000" w:rsidDel="00000000" w:rsidP="00000000" w:rsidRDefault="00000000" w:rsidRPr="00000000" w14:paraId="00001079">
      <w:pPr>
        <w:jc w:val="both"/>
        <w:rPr>
          <w:sz w:val="22"/>
          <w:szCs w:val="22"/>
        </w:rPr>
      </w:pPr>
      <w:r w:rsidDel="00000000" w:rsidR="00000000" w:rsidRPr="00000000">
        <w:rPr>
          <w:sz w:val="22"/>
          <w:szCs w:val="22"/>
          <w:rtl w:val="0"/>
        </w:rPr>
        <w:t xml:space="preserve">Taylor, M. (2022). We cannot continue to neglect mental health funding. NHS Confederation. Available at: </w:t>
      </w:r>
      <w:hyperlink r:id="rId101">
        <w:r w:rsidDel="00000000" w:rsidR="00000000" w:rsidRPr="00000000">
          <w:rPr>
            <w:color w:val="467886"/>
            <w:sz w:val="22"/>
            <w:szCs w:val="22"/>
            <w:u w:val="single"/>
            <w:rtl w:val="0"/>
          </w:rPr>
          <w:t xml:space="preserve">https://www.nhsconfed.org/articles/we-cannot-continue-neglect-mental-health-funding</w:t>
        </w:r>
      </w:hyperlink>
      <w:r w:rsidDel="00000000" w:rsidR="00000000" w:rsidRPr="00000000">
        <w:rPr>
          <w:sz w:val="22"/>
          <w:szCs w:val="22"/>
          <w:rtl w:val="0"/>
        </w:rPr>
        <w:t xml:space="preserve"> (22/01/2023)</w:t>
      </w:r>
    </w:p>
    <w:p w:rsidR="00000000" w:rsidDel="00000000" w:rsidP="00000000" w:rsidRDefault="00000000" w:rsidRPr="00000000" w14:paraId="0000107A">
      <w:pPr>
        <w:jc w:val="both"/>
        <w:rPr>
          <w:sz w:val="22"/>
          <w:szCs w:val="22"/>
        </w:rPr>
      </w:pPr>
      <w:r w:rsidDel="00000000" w:rsidR="00000000" w:rsidRPr="00000000">
        <w:rPr>
          <w:sz w:val="22"/>
          <w:szCs w:val="22"/>
          <w:rtl w:val="0"/>
        </w:rPr>
        <w:tab/>
      </w:r>
    </w:p>
    <w:p w:rsidR="00000000" w:rsidDel="00000000" w:rsidP="00000000" w:rsidRDefault="00000000" w:rsidRPr="00000000" w14:paraId="0000107B">
      <w:pPr>
        <w:jc w:val="both"/>
        <w:rPr>
          <w:sz w:val="22"/>
          <w:szCs w:val="22"/>
        </w:rPr>
      </w:pPr>
      <w:r w:rsidDel="00000000" w:rsidR="00000000" w:rsidRPr="00000000">
        <w:rPr>
          <w:sz w:val="22"/>
          <w:szCs w:val="22"/>
          <w:rtl w:val="0"/>
        </w:rPr>
        <w:t xml:space="preserve">Taylor S. Annand F. Burkinshaw P. Greaves F. Kellher M. Knight J. Perkins C. Tran A. White M. Marsden J. (2019). Dependence and withdrawal associated with some prescribed medicines: an evidence review. London.</w:t>
      </w:r>
    </w:p>
    <w:p w:rsidR="00000000" w:rsidDel="00000000" w:rsidP="00000000" w:rsidRDefault="00000000" w:rsidRPr="00000000" w14:paraId="0000107C">
      <w:pPr>
        <w:jc w:val="both"/>
        <w:rPr>
          <w:sz w:val="22"/>
          <w:szCs w:val="22"/>
        </w:rPr>
      </w:pPr>
      <w:r w:rsidDel="00000000" w:rsidR="00000000" w:rsidRPr="00000000">
        <w:rPr>
          <w:sz w:val="22"/>
          <w:szCs w:val="22"/>
          <w:rtl w:val="0"/>
        </w:rPr>
        <w:tab/>
      </w:r>
    </w:p>
    <w:p w:rsidR="00000000" w:rsidDel="00000000" w:rsidP="00000000" w:rsidRDefault="00000000" w:rsidRPr="00000000" w14:paraId="0000107D">
      <w:pPr>
        <w:jc w:val="both"/>
        <w:rPr>
          <w:sz w:val="22"/>
          <w:szCs w:val="22"/>
        </w:rPr>
      </w:pPr>
      <w:r w:rsidDel="00000000" w:rsidR="00000000" w:rsidRPr="00000000">
        <w:rPr>
          <w:sz w:val="22"/>
          <w:szCs w:val="22"/>
          <w:rtl w:val="0"/>
        </w:rPr>
        <w:t xml:space="preserve">Terry L. Cardwell V. Understanding the whole person: What are the common concepts for recovery and desistance across the fields of mental health, substance misuse and criminology? Revolving Doors Agency.</w:t>
      </w:r>
    </w:p>
    <w:p w:rsidR="00000000" w:rsidDel="00000000" w:rsidP="00000000" w:rsidRDefault="00000000" w:rsidRPr="00000000" w14:paraId="0000107E">
      <w:pPr>
        <w:jc w:val="both"/>
        <w:rPr>
          <w:sz w:val="22"/>
          <w:szCs w:val="22"/>
        </w:rPr>
      </w:pPr>
      <w:r w:rsidDel="00000000" w:rsidR="00000000" w:rsidRPr="00000000">
        <w:rPr>
          <w:rtl w:val="0"/>
        </w:rPr>
      </w:r>
    </w:p>
    <w:p w:rsidR="00000000" w:rsidDel="00000000" w:rsidP="00000000" w:rsidRDefault="00000000" w:rsidRPr="00000000" w14:paraId="0000107F">
      <w:pPr>
        <w:jc w:val="both"/>
        <w:rPr>
          <w:sz w:val="22"/>
          <w:szCs w:val="22"/>
        </w:rPr>
      </w:pPr>
      <w:r w:rsidDel="00000000" w:rsidR="00000000" w:rsidRPr="00000000">
        <w:rPr>
          <w:sz w:val="22"/>
          <w:szCs w:val="22"/>
          <w:rtl w:val="0"/>
        </w:rPr>
        <w:t xml:space="preserve">The Beryl Institute (2020). About The Beryl Institute [online]. Available at: </w:t>
      </w:r>
      <w:hyperlink r:id="rId102">
        <w:r w:rsidDel="00000000" w:rsidR="00000000" w:rsidRPr="00000000">
          <w:rPr>
            <w:color w:val="467886"/>
            <w:sz w:val="22"/>
            <w:szCs w:val="22"/>
            <w:u w:val="single"/>
            <w:rtl w:val="0"/>
          </w:rPr>
          <w:t xml:space="preserve">https://www.theberylinstitute.org/page/About</w:t>
        </w:r>
      </w:hyperlink>
      <w:r w:rsidDel="00000000" w:rsidR="00000000" w:rsidRPr="00000000">
        <w:rPr>
          <w:sz w:val="22"/>
          <w:szCs w:val="22"/>
          <w:rtl w:val="0"/>
        </w:rPr>
        <w:t xml:space="preserve"> (23/10/2023)</w:t>
      </w:r>
    </w:p>
    <w:p w:rsidR="00000000" w:rsidDel="00000000" w:rsidP="00000000" w:rsidRDefault="00000000" w:rsidRPr="00000000" w14:paraId="00001080">
      <w:pPr>
        <w:jc w:val="both"/>
        <w:rPr>
          <w:sz w:val="22"/>
          <w:szCs w:val="22"/>
        </w:rPr>
      </w:pPr>
      <w:r w:rsidDel="00000000" w:rsidR="00000000" w:rsidRPr="00000000">
        <w:rPr>
          <w:rtl w:val="0"/>
        </w:rPr>
      </w:r>
    </w:p>
    <w:p w:rsidR="00000000" w:rsidDel="00000000" w:rsidP="00000000" w:rsidRDefault="00000000" w:rsidRPr="00000000" w14:paraId="00001081">
      <w:pPr>
        <w:jc w:val="both"/>
        <w:rPr>
          <w:sz w:val="22"/>
          <w:szCs w:val="22"/>
        </w:rPr>
      </w:pPr>
      <w:r w:rsidDel="00000000" w:rsidR="00000000" w:rsidRPr="00000000">
        <w:rPr>
          <w:sz w:val="22"/>
          <w:szCs w:val="22"/>
          <w:rtl w:val="0"/>
        </w:rPr>
        <w:t xml:space="preserve">The Blackberry, C. (2019). Exploring the Connection Between Domestic Violence and Addiction [online]. Available at: </w:t>
      </w:r>
      <w:hyperlink r:id="rId103">
        <w:r w:rsidDel="00000000" w:rsidR="00000000" w:rsidRPr="00000000">
          <w:rPr>
            <w:color w:val="467886"/>
            <w:sz w:val="22"/>
            <w:szCs w:val="22"/>
            <w:u w:val="single"/>
            <w:rtl w:val="0"/>
          </w:rPr>
          <w:t xml:space="preserve">https://www.theblackberrycenter.com/domestic-violence-and-addiction-exploring-the-connection/</w:t>
        </w:r>
      </w:hyperlink>
      <w:r w:rsidDel="00000000" w:rsidR="00000000" w:rsidRPr="00000000">
        <w:rPr>
          <w:sz w:val="22"/>
          <w:szCs w:val="22"/>
          <w:rtl w:val="0"/>
        </w:rPr>
        <w:t xml:space="preserve"> (21/10/2020)</w:t>
      </w:r>
    </w:p>
    <w:p w:rsidR="00000000" w:rsidDel="00000000" w:rsidP="00000000" w:rsidRDefault="00000000" w:rsidRPr="00000000" w14:paraId="00001082">
      <w:pPr>
        <w:jc w:val="both"/>
        <w:rPr>
          <w:sz w:val="22"/>
          <w:szCs w:val="22"/>
        </w:rPr>
      </w:pPr>
      <w:r w:rsidDel="00000000" w:rsidR="00000000" w:rsidRPr="00000000">
        <w:rPr>
          <w:sz w:val="22"/>
          <w:szCs w:val="22"/>
          <w:rtl w:val="0"/>
        </w:rPr>
        <w:tab/>
      </w:r>
    </w:p>
    <w:p w:rsidR="00000000" w:rsidDel="00000000" w:rsidP="00000000" w:rsidRDefault="00000000" w:rsidRPr="00000000" w14:paraId="00001083">
      <w:pPr>
        <w:jc w:val="both"/>
        <w:rPr>
          <w:sz w:val="22"/>
          <w:szCs w:val="22"/>
        </w:rPr>
      </w:pPr>
      <w:r w:rsidDel="00000000" w:rsidR="00000000" w:rsidRPr="00000000">
        <w:rPr>
          <w:sz w:val="22"/>
          <w:szCs w:val="22"/>
          <w:rtl w:val="0"/>
        </w:rPr>
        <w:t xml:space="preserve">The Kings Fund. (2021). New analysis shows ‘widespread decline’ in adult social care [online]. The Kings Fund. Available at: </w:t>
      </w:r>
      <w:hyperlink r:id="rId104">
        <w:r w:rsidDel="00000000" w:rsidR="00000000" w:rsidRPr="00000000">
          <w:rPr>
            <w:color w:val="467886"/>
            <w:sz w:val="22"/>
            <w:szCs w:val="22"/>
            <w:u w:val="single"/>
            <w:rtl w:val="0"/>
          </w:rPr>
          <w:t xml:space="preserve">https://www.kingsfund.org.uk/press/press-releases/new-analysis-shows-widespread-decline-adult-social-care</w:t>
        </w:r>
      </w:hyperlink>
      <w:r w:rsidDel="00000000" w:rsidR="00000000" w:rsidRPr="00000000">
        <w:rPr>
          <w:sz w:val="22"/>
          <w:szCs w:val="22"/>
          <w:rtl w:val="0"/>
        </w:rPr>
        <w:t xml:space="preserve"> (22/01/2023)</w:t>
      </w:r>
    </w:p>
    <w:p w:rsidR="00000000" w:rsidDel="00000000" w:rsidP="00000000" w:rsidRDefault="00000000" w:rsidRPr="00000000" w14:paraId="00001084">
      <w:pPr>
        <w:jc w:val="both"/>
        <w:rPr>
          <w:sz w:val="22"/>
          <w:szCs w:val="22"/>
        </w:rPr>
      </w:pPr>
      <w:r w:rsidDel="00000000" w:rsidR="00000000" w:rsidRPr="00000000">
        <w:rPr>
          <w:rtl w:val="0"/>
        </w:rPr>
      </w:r>
    </w:p>
    <w:p w:rsidR="00000000" w:rsidDel="00000000" w:rsidP="00000000" w:rsidRDefault="00000000" w:rsidRPr="00000000" w14:paraId="00001085">
      <w:pPr>
        <w:jc w:val="both"/>
        <w:rPr>
          <w:sz w:val="22"/>
          <w:szCs w:val="22"/>
        </w:rPr>
      </w:pPr>
      <w:r w:rsidDel="00000000" w:rsidR="00000000" w:rsidRPr="00000000">
        <w:rPr>
          <w:sz w:val="22"/>
          <w:szCs w:val="22"/>
          <w:rtl w:val="0"/>
        </w:rPr>
        <w:t xml:space="preserve">The Kings Fund (2022). Department of Health and Social Care spending. The Kings Fund[online]. Available at: </w:t>
      </w:r>
      <w:hyperlink r:id="rId105">
        <w:r w:rsidDel="00000000" w:rsidR="00000000" w:rsidRPr="00000000">
          <w:rPr>
            <w:color w:val="467886"/>
            <w:sz w:val="22"/>
            <w:szCs w:val="22"/>
            <w:u w:val="single"/>
            <w:rtl w:val="0"/>
          </w:rPr>
          <w:t xml:space="preserve">https://www.kingsfund.org.uk/projects/nhs-in-a-nutshell/nhs-budget</w:t>
        </w:r>
      </w:hyperlink>
      <w:r w:rsidDel="00000000" w:rsidR="00000000" w:rsidRPr="00000000">
        <w:rPr>
          <w:sz w:val="22"/>
          <w:szCs w:val="22"/>
          <w:rtl w:val="0"/>
        </w:rPr>
        <w:t xml:space="preserve"> (17/03/2022)</w:t>
      </w:r>
    </w:p>
    <w:p w:rsidR="00000000" w:rsidDel="00000000" w:rsidP="00000000" w:rsidRDefault="00000000" w:rsidRPr="00000000" w14:paraId="00001086">
      <w:pPr>
        <w:jc w:val="both"/>
        <w:rPr>
          <w:sz w:val="22"/>
          <w:szCs w:val="22"/>
        </w:rPr>
      </w:pPr>
      <w:r w:rsidDel="00000000" w:rsidR="00000000" w:rsidRPr="00000000">
        <w:rPr>
          <w:sz w:val="22"/>
          <w:szCs w:val="22"/>
          <w:rtl w:val="0"/>
        </w:rPr>
        <w:tab/>
      </w:r>
    </w:p>
    <w:p w:rsidR="00000000" w:rsidDel="00000000" w:rsidP="00000000" w:rsidRDefault="00000000" w:rsidRPr="00000000" w14:paraId="00001087">
      <w:pPr>
        <w:jc w:val="both"/>
        <w:rPr>
          <w:sz w:val="22"/>
          <w:szCs w:val="22"/>
        </w:rPr>
      </w:pPr>
      <w:r w:rsidDel="00000000" w:rsidR="00000000" w:rsidRPr="00000000">
        <w:rPr>
          <w:sz w:val="22"/>
          <w:szCs w:val="22"/>
          <w:rtl w:val="0"/>
        </w:rPr>
        <w:t xml:space="preserve">The Kings Fund (2022). The NHS nursing workforce- have the floodgates opened? [online]. The Kings Fund. Available at: </w:t>
      </w:r>
      <w:hyperlink r:id="rId106">
        <w:r w:rsidDel="00000000" w:rsidR="00000000" w:rsidRPr="00000000">
          <w:rPr>
            <w:color w:val="467886"/>
            <w:sz w:val="22"/>
            <w:szCs w:val="22"/>
            <w:u w:val="single"/>
            <w:rtl w:val="0"/>
          </w:rPr>
          <w:t xml:space="preserve">https://www.kingsfund.org.uk/blog/2022/10/nhs-nursing-workforce</w:t>
        </w:r>
      </w:hyperlink>
      <w:r w:rsidDel="00000000" w:rsidR="00000000" w:rsidRPr="00000000">
        <w:rPr>
          <w:sz w:val="22"/>
          <w:szCs w:val="22"/>
          <w:rtl w:val="0"/>
        </w:rPr>
        <w:t xml:space="preserve"> (22/01/2023)</w:t>
      </w:r>
    </w:p>
    <w:p w:rsidR="00000000" w:rsidDel="00000000" w:rsidP="00000000" w:rsidRDefault="00000000" w:rsidRPr="00000000" w14:paraId="00001088">
      <w:pPr>
        <w:jc w:val="both"/>
        <w:rPr>
          <w:sz w:val="22"/>
          <w:szCs w:val="22"/>
        </w:rPr>
      </w:pPr>
      <w:r w:rsidDel="00000000" w:rsidR="00000000" w:rsidRPr="00000000">
        <w:rPr>
          <w:sz w:val="22"/>
          <w:szCs w:val="22"/>
          <w:rtl w:val="0"/>
        </w:rPr>
        <w:tab/>
      </w:r>
    </w:p>
    <w:p w:rsidR="00000000" w:rsidDel="00000000" w:rsidP="00000000" w:rsidRDefault="00000000" w:rsidRPr="00000000" w14:paraId="00001089">
      <w:pPr>
        <w:jc w:val="both"/>
        <w:rPr>
          <w:sz w:val="22"/>
          <w:szCs w:val="22"/>
        </w:rPr>
      </w:pPr>
      <w:r w:rsidDel="00000000" w:rsidR="00000000" w:rsidRPr="00000000">
        <w:rPr>
          <w:sz w:val="22"/>
          <w:szCs w:val="22"/>
          <w:rtl w:val="0"/>
        </w:rPr>
        <w:t xml:space="preserve">The Kings Fund (2024). The King's Fund responds to the 2024 Autumn Budget [online]. The Kings Fund. Available at: </w:t>
      </w:r>
      <w:hyperlink r:id="rId107">
        <w:r w:rsidDel="00000000" w:rsidR="00000000" w:rsidRPr="00000000">
          <w:rPr>
            <w:color w:val="467886"/>
            <w:sz w:val="22"/>
            <w:szCs w:val="22"/>
            <w:u w:val="single"/>
            <w:rtl w:val="0"/>
          </w:rPr>
          <w:t xml:space="preserve">https://www.kingsfund.org.uk/insight-and-analysis/press-releases/response-autumn-budget-October-2024#:~:text=The%20King's%20Fund%20responds%20to%20the%202024%20Autumn%20Budget&amp;text=The%203.8%25%20real%2Dterms%20uplift,year%2C%20and%20certainly%20not%20overnight</w:t>
        </w:r>
      </w:hyperlink>
      <w:r w:rsidDel="00000000" w:rsidR="00000000" w:rsidRPr="00000000">
        <w:rPr>
          <w:sz w:val="22"/>
          <w:szCs w:val="22"/>
          <w:rtl w:val="0"/>
        </w:rPr>
        <w:t xml:space="preserve">. (31/10/2024)</w:t>
      </w:r>
    </w:p>
    <w:p w:rsidR="00000000" w:rsidDel="00000000" w:rsidP="00000000" w:rsidRDefault="00000000" w:rsidRPr="00000000" w14:paraId="0000108A">
      <w:pPr>
        <w:jc w:val="both"/>
        <w:rPr>
          <w:sz w:val="22"/>
          <w:szCs w:val="22"/>
        </w:rPr>
      </w:pPr>
      <w:r w:rsidDel="00000000" w:rsidR="00000000" w:rsidRPr="00000000">
        <w:rPr>
          <w:sz w:val="22"/>
          <w:szCs w:val="22"/>
          <w:rtl w:val="0"/>
        </w:rPr>
        <w:tab/>
      </w:r>
    </w:p>
    <w:p w:rsidR="00000000" w:rsidDel="00000000" w:rsidP="00000000" w:rsidRDefault="00000000" w:rsidRPr="00000000" w14:paraId="0000108B">
      <w:pPr>
        <w:jc w:val="both"/>
        <w:rPr>
          <w:sz w:val="22"/>
          <w:szCs w:val="22"/>
        </w:rPr>
      </w:pPr>
      <w:r w:rsidDel="00000000" w:rsidR="00000000" w:rsidRPr="00000000">
        <w:rPr>
          <w:sz w:val="22"/>
          <w:szCs w:val="22"/>
          <w:rtl w:val="0"/>
        </w:rPr>
        <w:t xml:space="preserve">The Movember Foundation (2024). Movember [online]. Movember. Available at: </w:t>
      </w:r>
      <w:hyperlink r:id="rId108">
        <w:r w:rsidDel="00000000" w:rsidR="00000000" w:rsidRPr="00000000">
          <w:rPr>
            <w:color w:val="467886"/>
            <w:sz w:val="22"/>
            <w:szCs w:val="22"/>
            <w:u w:val="single"/>
            <w:rtl w:val="0"/>
          </w:rPr>
          <w:t xml:space="preserve">https://uk.movember.com/donate/find-results/</w:t>
        </w:r>
      </w:hyperlink>
      <w:r w:rsidDel="00000000" w:rsidR="00000000" w:rsidRPr="00000000">
        <w:rPr>
          <w:sz w:val="22"/>
          <w:szCs w:val="22"/>
          <w:rtl w:val="0"/>
        </w:rPr>
        <w:t xml:space="preserve"> (10/10/2024)</w:t>
      </w:r>
    </w:p>
    <w:p w:rsidR="00000000" w:rsidDel="00000000" w:rsidP="00000000" w:rsidRDefault="00000000" w:rsidRPr="00000000" w14:paraId="0000108C">
      <w:pPr>
        <w:jc w:val="both"/>
        <w:rPr>
          <w:sz w:val="22"/>
          <w:szCs w:val="22"/>
        </w:rPr>
      </w:pPr>
      <w:r w:rsidDel="00000000" w:rsidR="00000000" w:rsidRPr="00000000">
        <w:rPr>
          <w:sz w:val="22"/>
          <w:szCs w:val="22"/>
          <w:rtl w:val="0"/>
        </w:rPr>
        <w:tab/>
      </w:r>
    </w:p>
    <w:p w:rsidR="00000000" w:rsidDel="00000000" w:rsidP="00000000" w:rsidRDefault="00000000" w:rsidRPr="00000000" w14:paraId="0000108D">
      <w:pPr>
        <w:jc w:val="both"/>
        <w:rPr>
          <w:sz w:val="22"/>
          <w:szCs w:val="22"/>
        </w:rPr>
      </w:pPr>
      <w:r w:rsidDel="00000000" w:rsidR="00000000" w:rsidRPr="00000000">
        <w:rPr>
          <w:sz w:val="22"/>
          <w:szCs w:val="22"/>
          <w:rtl w:val="0"/>
        </w:rPr>
        <w:t xml:space="preserve">The Organisation for Economic Co-operation and Development (OECD) (2021). Pharmaceutical Spending [online]. Available at: </w:t>
      </w:r>
      <w:hyperlink r:id="rId109">
        <w:r w:rsidDel="00000000" w:rsidR="00000000" w:rsidRPr="00000000">
          <w:rPr>
            <w:color w:val="467886"/>
            <w:sz w:val="22"/>
            <w:szCs w:val="22"/>
            <w:u w:val="single"/>
            <w:rtl w:val="0"/>
          </w:rPr>
          <w:t xml:space="preserve">https://data.oecd.org/healthres/health-spending.htm</w:t>
        </w:r>
      </w:hyperlink>
      <w:r w:rsidDel="00000000" w:rsidR="00000000" w:rsidRPr="00000000">
        <w:rPr>
          <w:sz w:val="22"/>
          <w:szCs w:val="22"/>
          <w:rtl w:val="0"/>
        </w:rPr>
        <w:t xml:space="preserve"> (25/10/2021)</w:t>
      </w:r>
    </w:p>
    <w:p w:rsidR="00000000" w:rsidDel="00000000" w:rsidP="00000000" w:rsidRDefault="00000000" w:rsidRPr="00000000" w14:paraId="0000108E">
      <w:pPr>
        <w:jc w:val="both"/>
        <w:rPr>
          <w:sz w:val="22"/>
          <w:szCs w:val="22"/>
        </w:rPr>
      </w:pPr>
      <w:r w:rsidDel="00000000" w:rsidR="00000000" w:rsidRPr="00000000">
        <w:rPr>
          <w:sz w:val="22"/>
          <w:szCs w:val="22"/>
          <w:rtl w:val="0"/>
        </w:rPr>
        <w:tab/>
      </w:r>
    </w:p>
    <w:p w:rsidR="00000000" w:rsidDel="00000000" w:rsidP="00000000" w:rsidRDefault="00000000" w:rsidRPr="00000000" w14:paraId="0000108F">
      <w:pPr>
        <w:jc w:val="both"/>
        <w:rPr>
          <w:sz w:val="22"/>
          <w:szCs w:val="22"/>
        </w:rPr>
      </w:pPr>
      <w:r w:rsidDel="00000000" w:rsidR="00000000" w:rsidRPr="00000000">
        <w:rPr>
          <w:sz w:val="22"/>
          <w:szCs w:val="22"/>
          <w:rtl w:val="0"/>
        </w:rPr>
        <w:t xml:space="preserve">The Priory Group (2021). Opioids: Understanding the current state in the UK [online]. Available at: </w:t>
      </w:r>
      <w:hyperlink r:id="rId110">
        <w:r w:rsidDel="00000000" w:rsidR="00000000" w:rsidRPr="00000000">
          <w:rPr>
            <w:color w:val="467886"/>
            <w:sz w:val="22"/>
            <w:szCs w:val="22"/>
            <w:u w:val="single"/>
            <w:rtl w:val="0"/>
          </w:rPr>
          <w:t xml:space="preserve">https://www.priorygroup.com/blog/opioids-understanding-the-current-state-in-the-uk</w:t>
        </w:r>
      </w:hyperlink>
      <w:r w:rsidDel="00000000" w:rsidR="00000000" w:rsidRPr="00000000">
        <w:rPr>
          <w:sz w:val="22"/>
          <w:szCs w:val="22"/>
          <w:rtl w:val="0"/>
        </w:rPr>
        <w:t xml:space="preserve"> (06/01/2022)</w:t>
      </w:r>
    </w:p>
    <w:p w:rsidR="00000000" w:rsidDel="00000000" w:rsidP="00000000" w:rsidRDefault="00000000" w:rsidRPr="00000000" w14:paraId="00001090">
      <w:pPr>
        <w:jc w:val="both"/>
        <w:rPr>
          <w:sz w:val="22"/>
          <w:szCs w:val="22"/>
        </w:rPr>
      </w:pPr>
      <w:r w:rsidDel="00000000" w:rsidR="00000000" w:rsidRPr="00000000">
        <w:rPr>
          <w:sz w:val="22"/>
          <w:szCs w:val="22"/>
          <w:rtl w:val="0"/>
        </w:rPr>
        <w:tab/>
      </w:r>
    </w:p>
    <w:p w:rsidR="00000000" w:rsidDel="00000000" w:rsidP="00000000" w:rsidRDefault="00000000" w:rsidRPr="00000000" w14:paraId="00001091">
      <w:pPr>
        <w:jc w:val="both"/>
        <w:rPr>
          <w:sz w:val="22"/>
          <w:szCs w:val="22"/>
        </w:rPr>
      </w:pPr>
      <w:r w:rsidDel="00000000" w:rsidR="00000000" w:rsidRPr="00000000">
        <w:rPr>
          <w:sz w:val="22"/>
          <w:szCs w:val="22"/>
          <w:rtl w:val="0"/>
        </w:rPr>
        <w:t xml:space="preserve">Thomas G. (2017). How to do your research project: A guide for students. London, SAGE.</w:t>
      </w:r>
    </w:p>
    <w:p w:rsidR="00000000" w:rsidDel="00000000" w:rsidP="00000000" w:rsidRDefault="00000000" w:rsidRPr="00000000" w14:paraId="00001092">
      <w:pPr>
        <w:jc w:val="both"/>
        <w:rPr>
          <w:sz w:val="22"/>
          <w:szCs w:val="22"/>
        </w:rPr>
      </w:pPr>
      <w:r w:rsidDel="00000000" w:rsidR="00000000" w:rsidRPr="00000000">
        <w:rPr>
          <w:sz w:val="22"/>
          <w:szCs w:val="22"/>
          <w:rtl w:val="0"/>
        </w:rPr>
        <w:tab/>
      </w:r>
    </w:p>
    <w:p w:rsidR="00000000" w:rsidDel="00000000" w:rsidP="00000000" w:rsidRDefault="00000000" w:rsidRPr="00000000" w14:paraId="00001093">
      <w:pPr>
        <w:jc w:val="both"/>
        <w:rPr>
          <w:sz w:val="22"/>
          <w:szCs w:val="22"/>
        </w:rPr>
      </w:pPr>
      <w:r w:rsidDel="00000000" w:rsidR="00000000" w:rsidRPr="00000000">
        <w:rPr>
          <w:sz w:val="22"/>
          <w:szCs w:val="22"/>
          <w:rtl w:val="0"/>
        </w:rPr>
        <w:t xml:space="preserve">Thompson J. Grunwald LM. (2023). "A systematic review exploring challenges of informed consent processes in antipsychotic prescribing." </w:t>
      </w:r>
      <w:r w:rsidDel="00000000" w:rsidR="00000000" w:rsidRPr="00000000">
        <w:rPr>
          <w:i w:val="1"/>
          <w:sz w:val="22"/>
          <w:szCs w:val="22"/>
          <w:rtl w:val="0"/>
        </w:rPr>
        <w:t xml:space="preserve">Psychosis, Psychological, Social and Integrative Approaches:</w:t>
      </w:r>
      <w:r w:rsidDel="00000000" w:rsidR="00000000" w:rsidRPr="00000000">
        <w:rPr>
          <w:sz w:val="22"/>
          <w:szCs w:val="22"/>
          <w:rtl w:val="0"/>
        </w:rPr>
        <w:t xml:space="preserve"> 1-14.</w:t>
      </w:r>
    </w:p>
    <w:p w:rsidR="00000000" w:rsidDel="00000000" w:rsidP="00000000" w:rsidRDefault="00000000" w:rsidRPr="00000000" w14:paraId="00001094">
      <w:pPr>
        <w:jc w:val="both"/>
        <w:rPr>
          <w:sz w:val="22"/>
          <w:szCs w:val="22"/>
        </w:rPr>
      </w:pPr>
      <w:r w:rsidDel="00000000" w:rsidR="00000000" w:rsidRPr="00000000">
        <w:rPr>
          <w:sz w:val="22"/>
          <w:szCs w:val="22"/>
          <w:rtl w:val="0"/>
        </w:rPr>
        <w:tab/>
      </w:r>
    </w:p>
    <w:p w:rsidR="00000000" w:rsidDel="00000000" w:rsidP="00000000" w:rsidRDefault="00000000" w:rsidRPr="00000000" w14:paraId="00001095">
      <w:pPr>
        <w:jc w:val="both"/>
        <w:rPr>
          <w:sz w:val="22"/>
          <w:szCs w:val="22"/>
        </w:rPr>
      </w:pPr>
      <w:r w:rsidDel="00000000" w:rsidR="00000000" w:rsidRPr="00000000">
        <w:rPr>
          <w:sz w:val="22"/>
          <w:szCs w:val="22"/>
          <w:rtl w:val="0"/>
        </w:rPr>
        <w:t xml:space="preserve">Timm A. Schmidt-Wilcke T. Blenk S. Studer B. (2020). "Altered social decision making in patients with chronic pain." </w:t>
      </w:r>
      <w:r w:rsidDel="00000000" w:rsidR="00000000" w:rsidRPr="00000000">
        <w:rPr>
          <w:i w:val="1"/>
          <w:sz w:val="22"/>
          <w:szCs w:val="22"/>
          <w:rtl w:val="0"/>
        </w:rPr>
        <w:t xml:space="preserve">Psychological Medicine</w:t>
      </w:r>
      <w:r w:rsidDel="00000000" w:rsidR="00000000" w:rsidRPr="00000000">
        <w:rPr>
          <w:sz w:val="22"/>
          <w:szCs w:val="22"/>
          <w:rtl w:val="0"/>
        </w:rPr>
        <w:t xml:space="preserve"> 53: 2466-2475.</w:t>
      </w:r>
    </w:p>
    <w:p w:rsidR="00000000" w:rsidDel="00000000" w:rsidP="00000000" w:rsidRDefault="00000000" w:rsidRPr="00000000" w14:paraId="00001096">
      <w:pPr>
        <w:jc w:val="both"/>
        <w:rPr>
          <w:sz w:val="22"/>
          <w:szCs w:val="22"/>
        </w:rPr>
      </w:pPr>
      <w:r w:rsidDel="00000000" w:rsidR="00000000" w:rsidRPr="00000000">
        <w:rPr>
          <w:sz w:val="22"/>
          <w:szCs w:val="22"/>
          <w:rtl w:val="0"/>
        </w:rPr>
        <w:tab/>
      </w:r>
    </w:p>
    <w:p w:rsidR="00000000" w:rsidDel="00000000" w:rsidP="00000000" w:rsidRDefault="00000000" w:rsidRPr="00000000" w14:paraId="00001097">
      <w:pPr>
        <w:jc w:val="both"/>
        <w:rPr>
          <w:sz w:val="22"/>
          <w:szCs w:val="22"/>
        </w:rPr>
      </w:pPr>
      <w:r w:rsidDel="00000000" w:rsidR="00000000" w:rsidRPr="00000000">
        <w:rPr>
          <w:sz w:val="22"/>
          <w:szCs w:val="22"/>
          <w:rtl w:val="0"/>
        </w:rPr>
        <w:t xml:space="preserve">Todd A. Akhter N. Cairns JM. Kasim A. Walton N. Ellison A, Chazot P. Eldabe S. Bambra C (2018). "The Pain Divide: a cross-sectional analysis of chronic pain prevalence, pain intensity and opioid utilisation in England." </w:t>
      </w:r>
      <w:r w:rsidDel="00000000" w:rsidR="00000000" w:rsidRPr="00000000">
        <w:rPr>
          <w:i w:val="1"/>
          <w:sz w:val="22"/>
          <w:szCs w:val="22"/>
          <w:rtl w:val="0"/>
        </w:rPr>
        <w:t xml:space="preserve">British Medical Journal</w:t>
      </w:r>
      <w:r w:rsidDel="00000000" w:rsidR="00000000" w:rsidRPr="00000000">
        <w:rPr>
          <w:sz w:val="22"/>
          <w:szCs w:val="22"/>
          <w:rtl w:val="0"/>
        </w:rPr>
        <w:t xml:space="preserve"> 8.</w:t>
      </w:r>
    </w:p>
    <w:p w:rsidR="00000000" w:rsidDel="00000000" w:rsidP="00000000" w:rsidRDefault="00000000" w:rsidRPr="00000000" w14:paraId="00001098">
      <w:pPr>
        <w:jc w:val="both"/>
        <w:rPr>
          <w:sz w:val="22"/>
          <w:szCs w:val="22"/>
        </w:rPr>
      </w:pPr>
      <w:r w:rsidDel="00000000" w:rsidR="00000000" w:rsidRPr="00000000">
        <w:rPr>
          <w:rtl w:val="0"/>
        </w:rPr>
      </w:r>
    </w:p>
    <w:p w:rsidR="00000000" w:rsidDel="00000000" w:rsidP="00000000" w:rsidRDefault="00000000" w:rsidRPr="00000000" w14:paraId="00001099">
      <w:pPr>
        <w:jc w:val="both"/>
        <w:rPr>
          <w:sz w:val="22"/>
          <w:szCs w:val="22"/>
        </w:rPr>
      </w:pPr>
      <w:r w:rsidDel="00000000" w:rsidR="00000000" w:rsidRPr="00000000">
        <w:rPr>
          <w:sz w:val="22"/>
          <w:szCs w:val="22"/>
          <w:rtl w:val="0"/>
        </w:rPr>
        <w:t xml:space="preserve">Toikko T. (2016). "Becoming an expert by experience: An analysis of service users' learning process." </w:t>
      </w:r>
      <w:r w:rsidDel="00000000" w:rsidR="00000000" w:rsidRPr="00000000">
        <w:rPr>
          <w:i w:val="1"/>
          <w:sz w:val="22"/>
          <w:szCs w:val="22"/>
          <w:rtl w:val="0"/>
        </w:rPr>
        <w:t xml:space="preserve">Social Work in Mental Health</w:t>
      </w:r>
      <w:r w:rsidDel="00000000" w:rsidR="00000000" w:rsidRPr="00000000">
        <w:rPr>
          <w:sz w:val="22"/>
          <w:szCs w:val="22"/>
          <w:rtl w:val="0"/>
        </w:rPr>
        <w:t xml:space="preserve"> 14(3): 292-312.</w:t>
      </w:r>
    </w:p>
    <w:p w:rsidR="00000000" w:rsidDel="00000000" w:rsidP="00000000" w:rsidRDefault="00000000" w:rsidRPr="00000000" w14:paraId="0000109A">
      <w:pPr>
        <w:jc w:val="both"/>
        <w:rPr>
          <w:sz w:val="22"/>
          <w:szCs w:val="22"/>
        </w:rPr>
      </w:pPr>
      <w:r w:rsidDel="00000000" w:rsidR="00000000" w:rsidRPr="00000000">
        <w:rPr>
          <w:rtl w:val="0"/>
        </w:rPr>
      </w:r>
    </w:p>
    <w:p w:rsidR="00000000" w:rsidDel="00000000" w:rsidP="00000000" w:rsidRDefault="00000000" w:rsidRPr="00000000" w14:paraId="0000109B">
      <w:pPr>
        <w:jc w:val="both"/>
        <w:rPr>
          <w:sz w:val="22"/>
          <w:szCs w:val="22"/>
        </w:rPr>
      </w:pPr>
      <w:r w:rsidDel="00000000" w:rsidR="00000000" w:rsidRPr="00000000">
        <w:rPr>
          <w:sz w:val="22"/>
          <w:szCs w:val="22"/>
          <w:rtl w:val="0"/>
        </w:rPr>
        <w:t xml:space="preserve">Torgrimson BN. Minson CT. (2005). "Sex and gender: what is the difference?" </w:t>
      </w:r>
      <w:r w:rsidDel="00000000" w:rsidR="00000000" w:rsidRPr="00000000">
        <w:rPr>
          <w:i w:val="1"/>
          <w:sz w:val="22"/>
          <w:szCs w:val="22"/>
          <w:rtl w:val="0"/>
        </w:rPr>
        <w:t xml:space="preserve">Journal of Applied Physiology</w:t>
      </w:r>
      <w:r w:rsidDel="00000000" w:rsidR="00000000" w:rsidRPr="00000000">
        <w:rPr>
          <w:sz w:val="22"/>
          <w:szCs w:val="22"/>
          <w:rtl w:val="0"/>
        </w:rPr>
        <w:t xml:space="preserve"> 99(3): 785-787.</w:t>
      </w:r>
    </w:p>
    <w:p w:rsidR="00000000" w:rsidDel="00000000" w:rsidP="00000000" w:rsidRDefault="00000000" w:rsidRPr="00000000" w14:paraId="0000109C">
      <w:pPr>
        <w:jc w:val="both"/>
        <w:rPr>
          <w:sz w:val="22"/>
          <w:szCs w:val="22"/>
        </w:rPr>
      </w:pPr>
      <w:r w:rsidDel="00000000" w:rsidR="00000000" w:rsidRPr="00000000">
        <w:rPr>
          <w:rtl w:val="0"/>
        </w:rPr>
      </w:r>
    </w:p>
    <w:p w:rsidR="00000000" w:rsidDel="00000000" w:rsidP="00000000" w:rsidRDefault="00000000" w:rsidRPr="00000000" w14:paraId="0000109D">
      <w:pPr>
        <w:jc w:val="both"/>
        <w:rPr>
          <w:sz w:val="22"/>
          <w:szCs w:val="22"/>
        </w:rPr>
      </w:pPr>
      <w:r w:rsidDel="00000000" w:rsidR="00000000" w:rsidRPr="00000000">
        <w:rPr>
          <w:sz w:val="22"/>
          <w:szCs w:val="22"/>
          <w:rtl w:val="0"/>
        </w:rPr>
        <w:t xml:space="preserve">Trade Union Congress (2022). Breaking Point: the crisis in mental health funding [online]. Trade Union Congress. Available at: </w:t>
      </w:r>
      <w:hyperlink r:id="rId111">
        <w:r w:rsidDel="00000000" w:rsidR="00000000" w:rsidRPr="00000000">
          <w:rPr>
            <w:color w:val="467886"/>
            <w:sz w:val="22"/>
            <w:szCs w:val="22"/>
            <w:u w:val="single"/>
            <w:rtl w:val="0"/>
          </w:rPr>
          <w:t xml:space="preserve">https://www.tuc.org.uk/sites/default/files/Mentalhealthfundingreport2_0.pdf</w:t>
        </w:r>
      </w:hyperlink>
      <w:r w:rsidDel="00000000" w:rsidR="00000000" w:rsidRPr="00000000">
        <w:rPr>
          <w:sz w:val="22"/>
          <w:szCs w:val="22"/>
          <w:rtl w:val="0"/>
        </w:rPr>
        <w:t xml:space="preserve"> (22/01/2023)</w:t>
      </w:r>
    </w:p>
    <w:p w:rsidR="00000000" w:rsidDel="00000000" w:rsidP="00000000" w:rsidRDefault="00000000" w:rsidRPr="00000000" w14:paraId="0000109E">
      <w:pPr>
        <w:jc w:val="both"/>
        <w:rPr>
          <w:sz w:val="22"/>
          <w:szCs w:val="22"/>
        </w:rPr>
      </w:pPr>
      <w:r w:rsidDel="00000000" w:rsidR="00000000" w:rsidRPr="00000000">
        <w:rPr>
          <w:sz w:val="22"/>
          <w:szCs w:val="22"/>
          <w:rtl w:val="0"/>
        </w:rPr>
        <w:tab/>
      </w:r>
    </w:p>
    <w:p w:rsidR="00000000" w:rsidDel="00000000" w:rsidP="00000000" w:rsidRDefault="00000000" w:rsidRPr="00000000" w14:paraId="0000109F">
      <w:pPr>
        <w:jc w:val="both"/>
        <w:rPr>
          <w:i w:val="1"/>
          <w:sz w:val="22"/>
          <w:szCs w:val="22"/>
        </w:rPr>
      </w:pPr>
      <w:r w:rsidDel="00000000" w:rsidR="00000000" w:rsidRPr="00000000">
        <w:rPr>
          <w:sz w:val="22"/>
          <w:szCs w:val="22"/>
          <w:rtl w:val="0"/>
        </w:rPr>
        <w:t xml:space="preserve">Tripaty JP. (2013). "Secondary Data Analysis: Ethical Issues and Challenges." </w:t>
      </w:r>
      <w:r w:rsidDel="00000000" w:rsidR="00000000" w:rsidRPr="00000000">
        <w:rPr>
          <w:i w:val="1"/>
          <w:sz w:val="22"/>
          <w:szCs w:val="22"/>
          <w:rtl w:val="0"/>
        </w:rPr>
        <w:t xml:space="preserve">Iranian J Publ Health 42(12): 1478-1479.</w:t>
      </w:r>
    </w:p>
    <w:p w:rsidR="00000000" w:rsidDel="00000000" w:rsidP="00000000" w:rsidRDefault="00000000" w:rsidRPr="00000000" w14:paraId="000010A0">
      <w:pPr>
        <w:jc w:val="both"/>
        <w:rPr>
          <w:i w:val="1"/>
          <w:sz w:val="22"/>
          <w:szCs w:val="22"/>
        </w:rPr>
      </w:pPr>
      <w:r w:rsidDel="00000000" w:rsidR="00000000" w:rsidRPr="00000000">
        <w:rPr>
          <w:rtl w:val="0"/>
        </w:rPr>
      </w:r>
    </w:p>
    <w:p w:rsidR="00000000" w:rsidDel="00000000" w:rsidP="00000000" w:rsidRDefault="00000000" w:rsidRPr="00000000" w14:paraId="000010A1">
      <w:pPr>
        <w:jc w:val="both"/>
        <w:rPr>
          <w:sz w:val="22"/>
          <w:szCs w:val="22"/>
        </w:rPr>
      </w:pPr>
      <w:r w:rsidDel="00000000" w:rsidR="00000000" w:rsidRPr="00000000">
        <w:rPr>
          <w:sz w:val="22"/>
          <w:szCs w:val="22"/>
          <w:rtl w:val="0"/>
        </w:rPr>
        <w:t xml:space="preserve">Tsimpida D. Tsakiridi A. Daras K. Corcoran R. Gabbay M. (2024). "Unravelling the dynamics of mental health inequalities in England: A 12-year nationwide longitudinal spatial analysis of recorded depression prevalence." </w:t>
      </w:r>
      <w:r w:rsidDel="00000000" w:rsidR="00000000" w:rsidRPr="00000000">
        <w:rPr>
          <w:i w:val="1"/>
          <w:sz w:val="22"/>
          <w:szCs w:val="22"/>
          <w:rtl w:val="0"/>
        </w:rPr>
        <w:t xml:space="preserve">SSM Population Health</w:t>
      </w:r>
      <w:r w:rsidDel="00000000" w:rsidR="00000000" w:rsidRPr="00000000">
        <w:rPr>
          <w:sz w:val="22"/>
          <w:szCs w:val="22"/>
          <w:rtl w:val="0"/>
        </w:rPr>
        <w:t xml:space="preserve">: 1-10.</w:t>
      </w:r>
    </w:p>
    <w:p w:rsidR="00000000" w:rsidDel="00000000" w:rsidP="00000000" w:rsidRDefault="00000000" w:rsidRPr="00000000" w14:paraId="000010A2">
      <w:pPr>
        <w:jc w:val="both"/>
        <w:rPr>
          <w:sz w:val="22"/>
          <w:szCs w:val="22"/>
        </w:rPr>
      </w:pPr>
      <w:r w:rsidDel="00000000" w:rsidR="00000000" w:rsidRPr="00000000">
        <w:rPr>
          <w:rtl w:val="0"/>
        </w:rPr>
      </w:r>
    </w:p>
    <w:p w:rsidR="00000000" w:rsidDel="00000000" w:rsidP="00000000" w:rsidRDefault="00000000" w:rsidRPr="00000000" w14:paraId="000010A3">
      <w:pPr>
        <w:jc w:val="both"/>
        <w:rPr>
          <w:sz w:val="22"/>
          <w:szCs w:val="22"/>
        </w:rPr>
      </w:pPr>
      <w:r w:rsidDel="00000000" w:rsidR="00000000" w:rsidRPr="00000000">
        <w:rPr>
          <w:sz w:val="22"/>
          <w:szCs w:val="22"/>
          <w:rtl w:val="0"/>
        </w:rPr>
        <w:t xml:space="preserve">Tuckett AG. (2005). "Applying thematic analysis theory to practice: a researcher’s experience." </w:t>
      </w:r>
      <w:r w:rsidDel="00000000" w:rsidR="00000000" w:rsidRPr="00000000">
        <w:rPr>
          <w:i w:val="1"/>
          <w:sz w:val="22"/>
          <w:szCs w:val="22"/>
          <w:rtl w:val="0"/>
        </w:rPr>
        <w:t xml:space="preserve">Contemporary Nurse</w:t>
      </w:r>
      <w:r w:rsidDel="00000000" w:rsidR="00000000" w:rsidRPr="00000000">
        <w:rPr>
          <w:sz w:val="22"/>
          <w:szCs w:val="22"/>
          <w:rtl w:val="0"/>
        </w:rPr>
        <w:t xml:space="preserve"> 19(75): 87-87.</w:t>
      </w:r>
    </w:p>
    <w:p w:rsidR="00000000" w:rsidDel="00000000" w:rsidP="00000000" w:rsidRDefault="00000000" w:rsidRPr="00000000" w14:paraId="000010A4">
      <w:pPr>
        <w:jc w:val="both"/>
        <w:rPr>
          <w:sz w:val="22"/>
          <w:szCs w:val="22"/>
        </w:rPr>
      </w:pPr>
      <w:r w:rsidDel="00000000" w:rsidR="00000000" w:rsidRPr="00000000">
        <w:rPr>
          <w:rtl w:val="0"/>
        </w:rPr>
      </w:r>
    </w:p>
    <w:p w:rsidR="00000000" w:rsidDel="00000000" w:rsidP="00000000" w:rsidRDefault="00000000" w:rsidRPr="00000000" w14:paraId="000010A5">
      <w:pPr>
        <w:jc w:val="both"/>
        <w:rPr>
          <w:sz w:val="22"/>
          <w:szCs w:val="22"/>
        </w:rPr>
      </w:pPr>
      <w:r w:rsidDel="00000000" w:rsidR="00000000" w:rsidRPr="00000000">
        <w:rPr>
          <w:sz w:val="22"/>
          <w:szCs w:val="22"/>
          <w:rtl w:val="0"/>
        </w:rPr>
        <w:t xml:space="preserve">Usser JM. (2013). Diagnosing difficult women and pathologizing femininity: Gender bias in psychiatric nosology. Feminism and Psychology. 23(1): 63-69</w:t>
      </w:r>
    </w:p>
    <w:p w:rsidR="00000000" w:rsidDel="00000000" w:rsidP="00000000" w:rsidRDefault="00000000" w:rsidRPr="00000000" w14:paraId="000010A6">
      <w:pPr>
        <w:jc w:val="both"/>
        <w:rPr>
          <w:sz w:val="22"/>
          <w:szCs w:val="22"/>
        </w:rPr>
      </w:pPr>
      <w:r w:rsidDel="00000000" w:rsidR="00000000" w:rsidRPr="00000000">
        <w:rPr>
          <w:rtl w:val="0"/>
        </w:rPr>
      </w:r>
    </w:p>
    <w:p w:rsidR="00000000" w:rsidDel="00000000" w:rsidP="00000000" w:rsidRDefault="00000000" w:rsidRPr="00000000" w14:paraId="000010A7">
      <w:pPr>
        <w:jc w:val="both"/>
        <w:rPr>
          <w:sz w:val="22"/>
          <w:szCs w:val="22"/>
        </w:rPr>
      </w:pPr>
      <w:r w:rsidDel="00000000" w:rsidR="00000000" w:rsidRPr="00000000">
        <w:rPr>
          <w:sz w:val="22"/>
          <w:szCs w:val="22"/>
          <w:rtl w:val="0"/>
        </w:rPr>
        <w:t xml:space="preserve">Unison (2021). "COVID-19 Pandemic, Bargaining over redeployment." [online]. Available at: </w:t>
      </w:r>
      <w:hyperlink r:id="rId112">
        <w:r w:rsidDel="00000000" w:rsidR="00000000" w:rsidRPr="00000000">
          <w:rPr>
            <w:color w:val="467886"/>
            <w:sz w:val="22"/>
            <w:szCs w:val="22"/>
            <w:u w:val="single"/>
            <w:rtl w:val="0"/>
          </w:rPr>
          <w:t xml:space="preserve">https://www.unison.org.uk/content/uploads/2020/05/Covid-19-Pandemic-Bargaining-over-Redeployment-v3.pdf</w:t>
        </w:r>
      </w:hyperlink>
      <w:r w:rsidDel="00000000" w:rsidR="00000000" w:rsidRPr="00000000">
        <w:rPr>
          <w:sz w:val="22"/>
          <w:szCs w:val="22"/>
          <w:rtl w:val="0"/>
        </w:rPr>
        <w:t xml:space="preserve"> (17/08/2021)</w:t>
      </w:r>
    </w:p>
    <w:p w:rsidR="00000000" w:rsidDel="00000000" w:rsidP="00000000" w:rsidRDefault="00000000" w:rsidRPr="00000000" w14:paraId="000010A8">
      <w:pPr>
        <w:jc w:val="both"/>
        <w:rPr>
          <w:sz w:val="22"/>
          <w:szCs w:val="22"/>
        </w:rPr>
      </w:pPr>
      <w:r w:rsidDel="00000000" w:rsidR="00000000" w:rsidRPr="00000000">
        <w:rPr>
          <w:sz w:val="22"/>
          <w:szCs w:val="22"/>
          <w:rtl w:val="0"/>
        </w:rPr>
        <w:tab/>
      </w:r>
    </w:p>
    <w:p w:rsidR="00000000" w:rsidDel="00000000" w:rsidP="00000000" w:rsidRDefault="00000000" w:rsidRPr="00000000" w14:paraId="000010A9">
      <w:pPr>
        <w:jc w:val="both"/>
        <w:rPr>
          <w:sz w:val="22"/>
          <w:szCs w:val="22"/>
        </w:rPr>
      </w:pPr>
      <w:r w:rsidDel="00000000" w:rsidR="00000000" w:rsidRPr="00000000">
        <w:rPr>
          <w:sz w:val="22"/>
          <w:szCs w:val="22"/>
          <w:rtl w:val="0"/>
        </w:rPr>
        <w:t xml:space="preserve">United Nations Office on Drugs and Crime (2010). World Drug Report 2010 [online]. Available at: </w:t>
      </w:r>
      <w:hyperlink r:id="rId113">
        <w:r w:rsidDel="00000000" w:rsidR="00000000" w:rsidRPr="00000000">
          <w:rPr>
            <w:color w:val="467886"/>
            <w:sz w:val="22"/>
            <w:szCs w:val="22"/>
            <w:u w:val="single"/>
            <w:rtl w:val="0"/>
          </w:rPr>
          <w:t xml:space="preserve">https://www.unodc.org/documents/wdr/WDR_2010/World_Drug_Report_2010_lo-res.pdf</w:t>
        </w:r>
      </w:hyperlink>
      <w:r w:rsidDel="00000000" w:rsidR="00000000" w:rsidRPr="00000000">
        <w:rPr>
          <w:sz w:val="22"/>
          <w:szCs w:val="22"/>
          <w:rtl w:val="0"/>
        </w:rPr>
        <w:t xml:space="preserve"> (17/08/2021)</w:t>
      </w:r>
    </w:p>
    <w:p w:rsidR="00000000" w:rsidDel="00000000" w:rsidP="00000000" w:rsidRDefault="00000000" w:rsidRPr="00000000" w14:paraId="000010AA">
      <w:pPr>
        <w:jc w:val="both"/>
        <w:rPr>
          <w:sz w:val="22"/>
          <w:szCs w:val="22"/>
        </w:rPr>
      </w:pPr>
      <w:r w:rsidDel="00000000" w:rsidR="00000000" w:rsidRPr="00000000">
        <w:rPr>
          <w:sz w:val="22"/>
          <w:szCs w:val="22"/>
          <w:rtl w:val="0"/>
        </w:rPr>
        <w:tab/>
      </w:r>
    </w:p>
    <w:p w:rsidR="00000000" w:rsidDel="00000000" w:rsidP="00000000" w:rsidRDefault="00000000" w:rsidRPr="00000000" w14:paraId="000010AB">
      <w:pPr>
        <w:jc w:val="both"/>
        <w:rPr>
          <w:sz w:val="22"/>
          <w:szCs w:val="22"/>
        </w:rPr>
      </w:pPr>
      <w:r w:rsidDel="00000000" w:rsidR="00000000" w:rsidRPr="00000000">
        <w:rPr>
          <w:sz w:val="22"/>
          <w:szCs w:val="22"/>
          <w:rtl w:val="0"/>
        </w:rPr>
        <w:t xml:space="preserve">University College London. (2022). Secondary Data Analysis [online]. Available at: </w:t>
      </w:r>
      <w:hyperlink r:id="rId114">
        <w:r w:rsidDel="00000000" w:rsidR="00000000" w:rsidRPr="00000000">
          <w:rPr>
            <w:color w:val="467886"/>
            <w:sz w:val="22"/>
            <w:szCs w:val="22"/>
            <w:u w:val="single"/>
            <w:rtl w:val="0"/>
          </w:rPr>
          <w:t xml:space="preserve">https://ethics.grad.ucl.ac.uk/forms/Secondary-data-analysis-file-note.pdf</w:t>
        </w:r>
      </w:hyperlink>
      <w:r w:rsidDel="00000000" w:rsidR="00000000" w:rsidRPr="00000000">
        <w:rPr>
          <w:sz w:val="22"/>
          <w:szCs w:val="22"/>
          <w:rtl w:val="0"/>
        </w:rPr>
        <w:t xml:space="preserve"> (17/03/2022)</w:t>
      </w:r>
    </w:p>
    <w:p w:rsidR="00000000" w:rsidDel="00000000" w:rsidP="00000000" w:rsidRDefault="00000000" w:rsidRPr="00000000" w14:paraId="000010AC">
      <w:pPr>
        <w:jc w:val="both"/>
        <w:rPr>
          <w:sz w:val="22"/>
          <w:szCs w:val="22"/>
        </w:rPr>
      </w:pPr>
      <w:r w:rsidDel="00000000" w:rsidR="00000000" w:rsidRPr="00000000">
        <w:rPr>
          <w:sz w:val="22"/>
          <w:szCs w:val="22"/>
          <w:rtl w:val="0"/>
        </w:rPr>
        <w:tab/>
      </w:r>
    </w:p>
    <w:p w:rsidR="00000000" w:rsidDel="00000000" w:rsidP="00000000" w:rsidRDefault="00000000" w:rsidRPr="00000000" w14:paraId="000010AD">
      <w:pPr>
        <w:jc w:val="both"/>
        <w:rPr>
          <w:sz w:val="22"/>
          <w:szCs w:val="22"/>
        </w:rPr>
      </w:pPr>
      <w:r w:rsidDel="00000000" w:rsidR="00000000" w:rsidRPr="00000000">
        <w:rPr>
          <w:sz w:val="22"/>
          <w:szCs w:val="22"/>
          <w:rtl w:val="0"/>
        </w:rPr>
        <w:t xml:space="preserve">Valentine, G. (2005). Tell me about… using interviews as a research methodology. Methods in Human Geography: A Guide for Students Doing a Research Project. Edinburgh Gate, Addison Wesley Longman: 110-127.</w:t>
      </w:r>
    </w:p>
    <w:p w:rsidR="00000000" w:rsidDel="00000000" w:rsidP="00000000" w:rsidRDefault="00000000" w:rsidRPr="00000000" w14:paraId="000010AE">
      <w:pPr>
        <w:jc w:val="both"/>
        <w:rPr>
          <w:sz w:val="22"/>
          <w:szCs w:val="22"/>
        </w:rPr>
      </w:pPr>
      <w:r w:rsidDel="00000000" w:rsidR="00000000" w:rsidRPr="00000000">
        <w:rPr>
          <w:sz w:val="22"/>
          <w:szCs w:val="22"/>
          <w:rtl w:val="0"/>
        </w:rPr>
        <w:tab/>
      </w:r>
    </w:p>
    <w:p w:rsidR="00000000" w:rsidDel="00000000" w:rsidP="00000000" w:rsidRDefault="00000000" w:rsidRPr="00000000" w14:paraId="000010AF">
      <w:pPr>
        <w:jc w:val="both"/>
        <w:rPr>
          <w:sz w:val="22"/>
          <w:szCs w:val="22"/>
        </w:rPr>
      </w:pPr>
      <w:r w:rsidDel="00000000" w:rsidR="00000000" w:rsidRPr="00000000">
        <w:rPr>
          <w:sz w:val="22"/>
          <w:szCs w:val="22"/>
          <w:rtl w:val="0"/>
        </w:rPr>
        <w:t xml:space="preserve">Van Leeuwen E. Antheirens S. van Driel ML. De Sutter A. De Beir R. Christiaens T. (2022). "Should I, can I, dare I? Patients' view on stopping long-term antidepressant use, a qualitative study." </w:t>
      </w:r>
      <w:r w:rsidDel="00000000" w:rsidR="00000000" w:rsidRPr="00000000">
        <w:rPr>
          <w:i w:val="1"/>
          <w:sz w:val="22"/>
          <w:szCs w:val="22"/>
          <w:rtl w:val="0"/>
        </w:rPr>
        <w:t xml:space="preserve">International Journal of Clinical and Laboratory Medicine</w:t>
      </w:r>
      <w:r w:rsidDel="00000000" w:rsidR="00000000" w:rsidRPr="00000000">
        <w:rPr>
          <w:sz w:val="22"/>
          <w:szCs w:val="22"/>
          <w:rtl w:val="0"/>
        </w:rPr>
        <w:t xml:space="preserve"> 77(6): 962-969.</w:t>
      </w:r>
    </w:p>
    <w:p w:rsidR="00000000" w:rsidDel="00000000" w:rsidP="00000000" w:rsidRDefault="00000000" w:rsidRPr="00000000" w14:paraId="000010B0">
      <w:pPr>
        <w:jc w:val="both"/>
        <w:rPr>
          <w:sz w:val="22"/>
          <w:szCs w:val="22"/>
        </w:rPr>
      </w:pPr>
      <w:r w:rsidDel="00000000" w:rsidR="00000000" w:rsidRPr="00000000">
        <w:rPr>
          <w:sz w:val="22"/>
          <w:szCs w:val="22"/>
          <w:rtl w:val="0"/>
        </w:rPr>
        <w:tab/>
      </w:r>
    </w:p>
    <w:p w:rsidR="00000000" w:rsidDel="00000000" w:rsidP="00000000" w:rsidRDefault="00000000" w:rsidRPr="00000000" w14:paraId="000010B1">
      <w:pPr>
        <w:jc w:val="both"/>
        <w:rPr>
          <w:sz w:val="22"/>
          <w:szCs w:val="22"/>
        </w:rPr>
      </w:pPr>
      <w:r w:rsidDel="00000000" w:rsidR="00000000" w:rsidRPr="00000000">
        <w:rPr>
          <w:sz w:val="22"/>
          <w:szCs w:val="22"/>
          <w:rtl w:val="0"/>
        </w:rPr>
        <w:t xml:space="preserve">Vandoros S. Gong X. Kawachi I. (2021). "The link between unemployment and opioid prescribing. An instrumental variable approach using evidence from England." </w:t>
      </w:r>
      <w:r w:rsidDel="00000000" w:rsidR="00000000" w:rsidRPr="00000000">
        <w:rPr>
          <w:i w:val="1"/>
          <w:sz w:val="22"/>
          <w:szCs w:val="22"/>
          <w:rtl w:val="0"/>
        </w:rPr>
        <w:t xml:space="preserve">The Journal of Epidemiology and Community Health</w:t>
      </w:r>
      <w:r w:rsidDel="00000000" w:rsidR="00000000" w:rsidRPr="00000000">
        <w:rPr>
          <w:sz w:val="22"/>
          <w:szCs w:val="22"/>
          <w:rtl w:val="0"/>
        </w:rPr>
        <w:t xml:space="preserve"> 75(4).</w:t>
      </w:r>
    </w:p>
    <w:p w:rsidR="00000000" w:rsidDel="00000000" w:rsidP="00000000" w:rsidRDefault="00000000" w:rsidRPr="00000000" w14:paraId="000010B2">
      <w:pPr>
        <w:jc w:val="both"/>
        <w:rPr>
          <w:sz w:val="22"/>
          <w:szCs w:val="22"/>
        </w:rPr>
      </w:pPr>
      <w:r w:rsidDel="00000000" w:rsidR="00000000" w:rsidRPr="00000000">
        <w:rPr>
          <w:sz w:val="22"/>
          <w:szCs w:val="22"/>
          <w:rtl w:val="0"/>
        </w:rPr>
        <w:tab/>
        <w:tab/>
      </w:r>
    </w:p>
    <w:p w:rsidR="00000000" w:rsidDel="00000000" w:rsidP="00000000" w:rsidRDefault="00000000" w:rsidRPr="00000000" w14:paraId="000010B3">
      <w:pPr>
        <w:jc w:val="both"/>
        <w:rPr>
          <w:sz w:val="22"/>
          <w:szCs w:val="22"/>
        </w:rPr>
      </w:pPr>
      <w:r w:rsidDel="00000000" w:rsidR="00000000" w:rsidRPr="00000000">
        <w:rPr>
          <w:sz w:val="22"/>
          <w:szCs w:val="22"/>
          <w:rtl w:val="0"/>
        </w:rPr>
        <w:t xml:space="preserve">Vitello M. (2021). "The War on Drugs: Moral Panic and Excessive Sentences." </w:t>
      </w:r>
      <w:r w:rsidDel="00000000" w:rsidR="00000000" w:rsidRPr="00000000">
        <w:rPr>
          <w:i w:val="1"/>
          <w:sz w:val="22"/>
          <w:szCs w:val="22"/>
          <w:rtl w:val="0"/>
        </w:rPr>
        <w:t xml:space="preserve">McGeorge School of Law</w:t>
      </w:r>
      <w:r w:rsidDel="00000000" w:rsidR="00000000" w:rsidRPr="00000000">
        <w:rPr>
          <w:sz w:val="22"/>
          <w:szCs w:val="22"/>
          <w:rtl w:val="0"/>
        </w:rPr>
        <w:t xml:space="preserve"> 69(2).</w:t>
      </w:r>
    </w:p>
    <w:p w:rsidR="00000000" w:rsidDel="00000000" w:rsidP="00000000" w:rsidRDefault="00000000" w:rsidRPr="00000000" w14:paraId="000010B4">
      <w:pPr>
        <w:jc w:val="both"/>
        <w:rPr>
          <w:sz w:val="22"/>
          <w:szCs w:val="22"/>
        </w:rPr>
      </w:pPr>
      <w:r w:rsidDel="00000000" w:rsidR="00000000" w:rsidRPr="00000000">
        <w:rPr>
          <w:sz w:val="22"/>
          <w:szCs w:val="22"/>
          <w:rtl w:val="0"/>
        </w:rPr>
        <w:tab/>
      </w:r>
    </w:p>
    <w:p w:rsidR="00000000" w:rsidDel="00000000" w:rsidP="00000000" w:rsidRDefault="00000000" w:rsidRPr="00000000" w14:paraId="000010B5">
      <w:pPr>
        <w:jc w:val="both"/>
        <w:rPr>
          <w:sz w:val="22"/>
          <w:szCs w:val="22"/>
        </w:rPr>
      </w:pPr>
      <w:r w:rsidDel="00000000" w:rsidR="00000000" w:rsidRPr="00000000">
        <w:rPr>
          <w:sz w:val="22"/>
          <w:szCs w:val="22"/>
          <w:rtl w:val="0"/>
        </w:rPr>
        <w:t xml:space="preserve">Vocci D. Acri J. Elkashef A. (2005). "Medication Development for Addictive Disorders: The State of the Science." </w:t>
      </w:r>
      <w:r w:rsidDel="00000000" w:rsidR="00000000" w:rsidRPr="00000000">
        <w:rPr>
          <w:i w:val="1"/>
          <w:sz w:val="22"/>
          <w:szCs w:val="22"/>
          <w:rtl w:val="0"/>
        </w:rPr>
        <w:t xml:space="preserve">American Journal of Psychiatry</w:t>
      </w:r>
      <w:r w:rsidDel="00000000" w:rsidR="00000000" w:rsidRPr="00000000">
        <w:rPr>
          <w:sz w:val="22"/>
          <w:szCs w:val="22"/>
          <w:rtl w:val="0"/>
        </w:rPr>
        <w:t xml:space="preserve"> 162: 1431-1440.</w:t>
      </w:r>
    </w:p>
    <w:p w:rsidR="00000000" w:rsidDel="00000000" w:rsidP="00000000" w:rsidRDefault="00000000" w:rsidRPr="00000000" w14:paraId="000010B6">
      <w:pPr>
        <w:jc w:val="both"/>
        <w:rPr>
          <w:sz w:val="22"/>
          <w:szCs w:val="22"/>
        </w:rPr>
      </w:pPr>
      <w:r w:rsidDel="00000000" w:rsidR="00000000" w:rsidRPr="00000000">
        <w:rPr>
          <w:sz w:val="22"/>
          <w:szCs w:val="22"/>
          <w:rtl w:val="0"/>
        </w:rPr>
        <w:tab/>
      </w:r>
    </w:p>
    <w:p w:rsidR="00000000" w:rsidDel="00000000" w:rsidP="00000000" w:rsidRDefault="00000000" w:rsidRPr="00000000" w14:paraId="000010B7">
      <w:pPr>
        <w:jc w:val="both"/>
        <w:rPr>
          <w:i w:val="1"/>
          <w:sz w:val="22"/>
          <w:szCs w:val="22"/>
        </w:rPr>
      </w:pPr>
      <w:r w:rsidDel="00000000" w:rsidR="00000000" w:rsidRPr="00000000">
        <w:rPr>
          <w:sz w:val="22"/>
          <w:szCs w:val="22"/>
          <w:rtl w:val="0"/>
        </w:rPr>
        <w:t xml:space="preserve">Volkow ND. (2005). "What do we know about drug addiction?"</w:t>
      </w:r>
      <w:r w:rsidDel="00000000" w:rsidR="00000000" w:rsidRPr="00000000">
        <w:rPr>
          <w:i w:val="1"/>
          <w:sz w:val="22"/>
          <w:szCs w:val="22"/>
          <w:rtl w:val="0"/>
        </w:rPr>
        <w:t xml:space="preserve"> American Journal of Psychiatry </w:t>
      </w:r>
      <w:r w:rsidDel="00000000" w:rsidR="00000000" w:rsidRPr="00000000">
        <w:rPr>
          <w:sz w:val="22"/>
          <w:szCs w:val="22"/>
          <w:rtl w:val="0"/>
        </w:rPr>
        <w:t xml:space="preserve">162(8): 1401-1402</w:t>
      </w:r>
      <w:r w:rsidDel="00000000" w:rsidR="00000000" w:rsidRPr="00000000">
        <w:rPr>
          <w:i w:val="1"/>
          <w:sz w:val="22"/>
          <w:szCs w:val="22"/>
          <w:rtl w:val="0"/>
        </w:rPr>
        <w:t xml:space="preserve">.</w:t>
      </w:r>
    </w:p>
    <w:p w:rsidR="00000000" w:rsidDel="00000000" w:rsidP="00000000" w:rsidRDefault="00000000" w:rsidRPr="00000000" w14:paraId="000010B8">
      <w:pPr>
        <w:jc w:val="both"/>
        <w:rPr>
          <w:i w:val="1"/>
          <w:sz w:val="22"/>
          <w:szCs w:val="22"/>
        </w:rPr>
      </w:pPr>
      <w:r w:rsidDel="00000000" w:rsidR="00000000" w:rsidRPr="00000000">
        <w:rPr>
          <w:rtl w:val="0"/>
        </w:rPr>
      </w:r>
    </w:p>
    <w:p w:rsidR="00000000" w:rsidDel="00000000" w:rsidP="00000000" w:rsidRDefault="00000000" w:rsidRPr="00000000" w14:paraId="000010B9">
      <w:pPr>
        <w:jc w:val="both"/>
        <w:rPr>
          <w:sz w:val="22"/>
          <w:szCs w:val="22"/>
        </w:rPr>
      </w:pPr>
      <w:r w:rsidDel="00000000" w:rsidR="00000000" w:rsidRPr="00000000">
        <w:rPr>
          <w:sz w:val="22"/>
          <w:szCs w:val="22"/>
          <w:rtl w:val="0"/>
        </w:rPr>
        <w:t xml:space="preserve">Volkow ND. (2007). "Drugs, brains and behaviour: The science of addiction?" </w:t>
      </w:r>
      <w:r w:rsidDel="00000000" w:rsidR="00000000" w:rsidRPr="00000000">
        <w:rPr>
          <w:i w:val="1"/>
          <w:sz w:val="22"/>
          <w:szCs w:val="22"/>
          <w:rtl w:val="0"/>
        </w:rPr>
        <w:t xml:space="preserve">NIH Medicine Plus </w:t>
      </w:r>
      <w:r w:rsidDel="00000000" w:rsidR="00000000" w:rsidRPr="00000000">
        <w:rPr>
          <w:sz w:val="22"/>
          <w:szCs w:val="22"/>
          <w:rtl w:val="0"/>
        </w:rPr>
        <w:t xml:space="preserve">2(2): 14-17.</w:t>
      </w:r>
    </w:p>
    <w:p w:rsidR="00000000" w:rsidDel="00000000" w:rsidP="00000000" w:rsidRDefault="00000000" w:rsidRPr="00000000" w14:paraId="000010BA">
      <w:pPr>
        <w:jc w:val="both"/>
        <w:rPr>
          <w:sz w:val="22"/>
          <w:szCs w:val="22"/>
        </w:rPr>
      </w:pPr>
      <w:r w:rsidDel="00000000" w:rsidR="00000000" w:rsidRPr="00000000">
        <w:rPr>
          <w:rtl w:val="0"/>
        </w:rPr>
      </w:r>
    </w:p>
    <w:p w:rsidR="00000000" w:rsidDel="00000000" w:rsidP="00000000" w:rsidRDefault="00000000" w:rsidRPr="00000000" w14:paraId="000010BB">
      <w:pPr>
        <w:jc w:val="both"/>
        <w:rPr>
          <w:sz w:val="22"/>
          <w:szCs w:val="22"/>
        </w:rPr>
      </w:pPr>
      <w:r w:rsidDel="00000000" w:rsidR="00000000" w:rsidRPr="00000000">
        <w:rPr>
          <w:sz w:val="22"/>
          <w:szCs w:val="22"/>
          <w:rtl w:val="0"/>
        </w:rPr>
        <w:t xml:space="preserve">Volkow ND. (2020). Collision of the COVID-19 and Addiction Epidemics.</w:t>
      </w:r>
    </w:p>
    <w:p w:rsidR="00000000" w:rsidDel="00000000" w:rsidP="00000000" w:rsidRDefault="00000000" w:rsidRPr="00000000" w14:paraId="000010BC">
      <w:pPr>
        <w:jc w:val="both"/>
        <w:rPr>
          <w:sz w:val="22"/>
          <w:szCs w:val="22"/>
        </w:rPr>
      </w:pPr>
      <w:r w:rsidDel="00000000" w:rsidR="00000000" w:rsidRPr="00000000">
        <w:rPr>
          <w:rtl w:val="0"/>
        </w:rPr>
      </w:r>
    </w:p>
    <w:p w:rsidR="00000000" w:rsidDel="00000000" w:rsidP="00000000" w:rsidRDefault="00000000" w:rsidRPr="00000000" w14:paraId="000010BD">
      <w:pPr>
        <w:jc w:val="both"/>
        <w:rPr>
          <w:sz w:val="22"/>
          <w:szCs w:val="22"/>
        </w:rPr>
      </w:pPr>
      <w:r w:rsidDel="00000000" w:rsidR="00000000" w:rsidRPr="00000000">
        <w:rPr>
          <w:sz w:val="22"/>
          <w:szCs w:val="22"/>
          <w:rtl w:val="0"/>
        </w:rPr>
        <w:t xml:space="preserve">Waisman A. Katz J. (2024). "The autobiographical memory system and chronic pain: A neurocognitive framework for the initiation and maintenance of chronic pain." </w:t>
      </w:r>
      <w:r w:rsidDel="00000000" w:rsidR="00000000" w:rsidRPr="00000000">
        <w:rPr>
          <w:i w:val="1"/>
          <w:sz w:val="22"/>
          <w:szCs w:val="22"/>
          <w:rtl w:val="0"/>
        </w:rPr>
        <w:t xml:space="preserve">Neuroscience and Biobehavioural Reviews</w:t>
      </w:r>
      <w:r w:rsidDel="00000000" w:rsidR="00000000" w:rsidRPr="00000000">
        <w:rPr>
          <w:sz w:val="22"/>
          <w:szCs w:val="22"/>
          <w:rtl w:val="0"/>
        </w:rPr>
        <w:t xml:space="preserve"> 162(105736).</w:t>
      </w:r>
    </w:p>
    <w:p w:rsidR="00000000" w:rsidDel="00000000" w:rsidP="00000000" w:rsidRDefault="00000000" w:rsidRPr="00000000" w14:paraId="000010BE">
      <w:pPr>
        <w:jc w:val="both"/>
        <w:rPr>
          <w:sz w:val="22"/>
          <w:szCs w:val="22"/>
        </w:rPr>
      </w:pPr>
      <w:r w:rsidDel="00000000" w:rsidR="00000000" w:rsidRPr="00000000">
        <w:rPr>
          <w:sz w:val="22"/>
          <w:szCs w:val="22"/>
          <w:rtl w:val="0"/>
        </w:rPr>
        <w:tab/>
        <w:tab/>
      </w:r>
    </w:p>
    <w:p w:rsidR="00000000" w:rsidDel="00000000" w:rsidP="00000000" w:rsidRDefault="00000000" w:rsidRPr="00000000" w14:paraId="000010BF">
      <w:pPr>
        <w:jc w:val="both"/>
        <w:rPr>
          <w:sz w:val="22"/>
          <w:szCs w:val="22"/>
        </w:rPr>
      </w:pPr>
      <w:r w:rsidDel="00000000" w:rsidR="00000000" w:rsidRPr="00000000">
        <w:rPr>
          <w:sz w:val="22"/>
          <w:szCs w:val="22"/>
          <w:rtl w:val="0"/>
        </w:rPr>
        <w:t xml:space="preserve">Welford J. Milner C. Moreton R. (2021). Involving people with lived experience in the workforce. Workforce development and multiple disadvantages [online]. Available at: </w:t>
      </w:r>
      <w:hyperlink r:id="rId115">
        <w:r w:rsidDel="00000000" w:rsidR="00000000" w:rsidRPr="00000000">
          <w:rPr>
            <w:color w:val="467886"/>
            <w:sz w:val="22"/>
            <w:szCs w:val="22"/>
            <w:u w:val="single"/>
            <w:rtl w:val="0"/>
          </w:rPr>
          <w:t xml:space="preserve">https://www.tnlcommunityfund.org.uk/media/insights/documents/Involving-people-with-lived-experience-in-the-workforce-2020.pdf</w:t>
        </w:r>
      </w:hyperlink>
      <w:r w:rsidDel="00000000" w:rsidR="00000000" w:rsidRPr="00000000">
        <w:rPr>
          <w:sz w:val="22"/>
          <w:szCs w:val="22"/>
          <w:rtl w:val="0"/>
        </w:rPr>
        <w:t xml:space="preserve"> (08/02/2023)</w:t>
      </w:r>
    </w:p>
    <w:p w:rsidR="00000000" w:rsidDel="00000000" w:rsidP="00000000" w:rsidRDefault="00000000" w:rsidRPr="00000000" w14:paraId="000010C0">
      <w:pPr>
        <w:jc w:val="both"/>
        <w:rPr>
          <w:sz w:val="22"/>
          <w:szCs w:val="22"/>
        </w:rPr>
      </w:pPr>
      <w:r w:rsidDel="00000000" w:rsidR="00000000" w:rsidRPr="00000000">
        <w:rPr>
          <w:rtl w:val="0"/>
        </w:rPr>
      </w:r>
    </w:p>
    <w:p w:rsidR="00000000" w:rsidDel="00000000" w:rsidP="00000000" w:rsidRDefault="00000000" w:rsidRPr="00000000" w14:paraId="000010C1">
      <w:pPr>
        <w:jc w:val="both"/>
        <w:rPr>
          <w:sz w:val="22"/>
          <w:szCs w:val="22"/>
        </w:rPr>
      </w:pPr>
      <w:r w:rsidDel="00000000" w:rsidR="00000000" w:rsidRPr="00000000">
        <w:rPr>
          <w:sz w:val="22"/>
          <w:szCs w:val="22"/>
          <w:rtl w:val="0"/>
        </w:rPr>
        <w:t xml:space="preserve">Wellings D. Appleby J. (2022). Public satisfaction with the NHS falls to a 25-year low. The Kings Fund. Available at: </w:t>
      </w:r>
      <w:hyperlink r:id="rId116">
        <w:r w:rsidDel="00000000" w:rsidR="00000000" w:rsidRPr="00000000">
          <w:rPr>
            <w:color w:val="467886"/>
            <w:sz w:val="22"/>
            <w:szCs w:val="22"/>
            <w:u w:val="single"/>
            <w:rtl w:val="0"/>
          </w:rPr>
          <w:t xml:space="preserve">https://www.kingsfund.org.uk/blog/2022/03/public-satisfaction-nhs-falls-25-year-low</w:t>
        </w:r>
      </w:hyperlink>
      <w:r w:rsidDel="00000000" w:rsidR="00000000" w:rsidRPr="00000000">
        <w:rPr>
          <w:sz w:val="22"/>
          <w:szCs w:val="22"/>
          <w:rtl w:val="0"/>
        </w:rPr>
        <w:t xml:space="preserve"> (11/02/2023)</w:t>
      </w:r>
    </w:p>
    <w:p w:rsidR="00000000" w:rsidDel="00000000" w:rsidP="00000000" w:rsidRDefault="00000000" w:rsidRPr="00000000" w14:paraId="000010C2">
      <w:pPr>
        <w:jc w:val="both"/>
        <w:rPr>
          <w:sz w:val="22"/>
          <w:szCs w:val="22"/>
        </w:rPr>
      </w:pPr>
      <w:r w:rsidDel="00000000" w:rsidR="00000000" w:rsidRPr="00000000">
        <w:rPr>
          <w:sz w:val="22"/>
          <w:szCs w:val="22"/>
          <w:rtl w:val="0"/>
        </w:rPr>
        <w:tab/>
      </w:r>
    </w:p>
    <w:p w:rsidR="00000000" w:rsidDel="00000000" w:rsidP="00000000" w:rsidRDefault="00000000" w:rsidRPr="00000000" w14:paraId="000010C3">
      <w:pPr>
        <w:jc w:val="both"/>
        <w:rPr>
          <w:sz w:val="22"/>
          <w:szCs w:val="22"/>
        </w:rPr>
      </w:pPr>
      <w:r w:rsidDel="00000000" w:rsidR="00000000" w:rsidRPr="00000000">
        <w:rPr>
          <w:sz w:val="22"/>
          <w:szCs w:val="22"/>
          <w:rtl w:val="0"/>
        </w:rPr>
        <w:t xml:space="preserve">Whelan E. (2007). "No one agrees except for those of us who have it: endometriosis patients as an epistemological community." </w:t>
      </w:r>
      <w:r w:rsidDel="00000000" w:rsidR="00000000" w:rsidRPr="00000000">
        <w:rPr>
          <w:i w:val="1"/>
          <w:sz w:val="22"/>
          <w:szCs w:val="22"/>
          <w:rtl w:val="0"/>
        </w:rPr>
        <w:t xml:space="preserve">Sociology of Health and Illness</w:t>
      </w:r>
      <w:r w:rsidDel="00000000" w:rsidR="00000000" w:rsidRPr="00000000">
        <w:rPr>
          <w:sz w:val="22"/>
          <w:szCs w:val="22"/>
          <w:rtl w:val="0"/>
        </w:rPr>
        <w:t xml:space="preserve"> 29(7): 957-982.</w:t>
      </w:r>
    </w:p>
    <w:p w:rsidR="00000000" w:rsidDel="00000000" w:rsidP="00000000" w:rsidRDefault="00000000" w:rsidRPr="00000000" w14:paraId="000010C4">
      <w:pPr>
        <w:jc w:val="both"/>
        <w:rPr>
          <w:sz w:val="22"/>
          <w:szCs w:val="22"/>
        </w:rPr>
      </w:pPr>
      <w:r w:rsidDel="00000000" w:rsidR="00000000" w:rsidRPr="00000000">
        <w:rPr>
          <w:sz w:val="22"/>
          <w:szCs w:val="22"/>
          <w:rtl w:val="0"/>
        </w:rPr>
        <w:tab/>
      </w:r>
    </w:p>
    <w:p w:rsidR="00000000" w:rsidDel="00000000" w:rsidP="00000000" w:rsidRDefault="00000000" w:rsidRPr="00000000" w14:paraId="000010C5">
      <w:pPr>
        <w:jc w:val="both"/>
        <w:rPr>
          <w:sz w:val="22"/>
          <w:szCs w:val="22"/>
        </w:rPr>
      </w:pPr>
      <w:r w:rsidDel="00000000" w:rsidR="00000000" w:rsidRPr="00000000">
        <w:rPr>
          <w:sz w:val="22"/>
          <w:szCs w:val="22"/>
          <w:rtl w:val="0"/>
        </w:rPr>
        <w:t xml:space="preserve">Whitlock EL. Diaz-Ramirez LG. Glymour MM. Boscardin WJ. Cobinsky KE. Smith AK.. (2017). "Association Between Persistent Pain and Memory Decline and Dementia in a Longitudinal Cohort of Elders." </w:t>
      </w:r>
      <w:r w:rsidDel="00000000" w:rsidR="00000000" w:rsidRPr="00000000">
        <w:rPr>
          <w:i w:val="1"/>
          <w:sz w:val="22"/>
          <w:szCs w:val="22"/>
          <w:rtl w:val="0"/>
        </w:rPr>
        <w:t xml:space="preserve">JAMA Intern Med</w:t>
      </w:r>
      <w:r w:rsidDel="00000000" w:rsidR="00000000" w:rsidRPr="00000000">
        <w:rPr>
          <w:sz w:val="22"/>
          <w:szCs w:val="22"/>
          <w:rtl w:val="0"/>
        </w:rPr>
        <w:t xml:space="preserve"> 117(8): 1146-1153.</w:t>
      </w:r>
    </w:p>
    <w:p w:rsidR="00000000" w:rsidDel="00000000" w:rsidP="00000000" w:rsidRDefault="00000000" w:rsidRPr="00000000" w14:paraId="000010C6">
      <w:pPr>
        <w:jc w:val="both"/>
        <w:rPr>
          <w:sz w:val="22"/>
          <w:szCs w:val="22"/>
        </w:rPr>
      </w:pPr>
      <w:r w:rsidDel="00000000" w:rsidR="00000000" w:rsidRPr="00000000">
        <w:rPr>
          <w:sz w:val="22"/>
          <w:szCs w:val="22"/>
          <w:rtl w:val="0"/>
        </w:rPr>
        <w:tab/>
      </w:r>
    </w:p>
    <w:p w:rsidR="00000000" w:rsidDel="00000000" w:rsidP="00000000" w:rsidRDefault="00000000" w:rsidRPr="00000000" w14:paraId="000010C7">
      <w:pPr>
        <w:jc w:val="both"/>
        <w:rPr>
          <w:sz w:val="22"/>
          <w:szCs w:val="22"/>
        </w:rPr>
      </w:pPr>
      <w:r w:rsidDel="00000000" w:rsidR="00000000" w:rsidRPr="00000000">
        <w:rPr>
          <w:sz w:val="22"/>
          <w:szCs w:val="22"/>
          <w:rtl w:val="0"/>
        </w:rPr>
        <w:t xml:space="preserve">Wickens C. Brown T. (2023). The NHS in crisis – evaluating the radical alternatives. The Kings Fund. Available at: </w:t>
      </w:r>
      <w:hyperlink r:id="rId117">
        <w:r w:rsidDel="00000000" w:rsidR="00000000" w:rsidRPr="00000000">
          <w:rPr>
            <w:color w:val="467886"/>
            <w:sz w:val="22"/>
            <w:szCs w:val="22"/>
            <w:u w:val="single"/>
            <w:rtl w:val="0"/>
          </w:rPr>
          <w:t xml:space="preserve">https://www.kingsfund.org.uk/insight-and-analysis/long-reads/nhs-crisis-evaluating-radical-alternatives</w:t>
        </w:r>
      </w:hyperlink>
      <w:r w:rsidDel="00000000" w:rsidR="00000000" w:rsidRPr="00000000">
        <w:rPr>
          <w:sz w:val="22"/>
          <w:szCs w:val="22"/>
          <w:rtl w:val="0"/>
        </w:rPr>
        <w:t xml:space="preserve"> (05/11/2024)</w:t>
      </w:r>
    </w:p>
    <w:p w:rsidR="00000000" w:rsidDel="00000000" w:rsidP="00000000" w:rsidRDefault="00000000" w:rsidRPr="00000000" w14:paraId="000010C8">
      <w:pPr>
        <w:jc w:val="both"/>
        <w:rPr>
          <w:sz w:val="22"/>
          <w:szCs w:val="22"/>
        </w:rPr>
      </w:pPr>
      <w:r w:rsidDel="00000000" w:rsidR="00000000" w:rsidRPr="00000000">
        <w:rPr>
          <w:sz w:val="22"/>
          <w:szCs w:val="22"/>
          <w:rtl w:val="0"/>
        </w:rPr>
        <w:tab/>
      </w:r>
    </w:p>
    <w:p w:rsidR="00000000" w:rsidDel="00000000" w:rsidP="00000000" w:rsidRDefault="00000000" w:rsidRPr="00000000" w14:paraId="000010C9">
      <w:pPr>
        <w:jc w:val="both"/>
        <w:rPr>
          <w:sz w:val="22"/>
          <w:szCs w:val="22"/>
        </w:rPr>
      </w:pPr>
      <w:r w:rsidDel="00000000" w:rsidR="00000000" w:rsidRPr="00000000">
        <w:rPr>
          <w:sz w:val="22"/>
          <w:szCs w:val="22"/>
          <w:rtl w:val="0"/>
        </w:rPr>
        <w:t xml:space="preserve">Wiesinger T. Kremer S. Bschor T. Baethge C. (2023). "Antidepressants and quality of life in patients with major depressive disorder – Systematic review and meta-analysis of double-blind, placebo-controlled RCTs." </w:t>
      </w:r>
      <w:r w:rsidDel="00000000" w:rsidR="00000000" w:rsidRPr="00000000">
        <w:rPr>
          <w:i w:val="1"/>
          <w:sz w:val="22"/>
          <w:szCs w:val="22"/>
          <w:rtl w:val="0"/>
        </w:rPr>
        <w:t xml:space="preserve">Wiley</w:t>
      </w:r>
      <w:r w:rsidDel="00000000" w:rsidR="00000000" w:rsidRPr="00000000">
        <w:rPr>
          <w:sz w:val="22"/>
          <w:szCs w:val="22"/>
          <w:rtl w:val="0"/>
        </w:rPr>
        <w:t xml:space="preserve"> 147: 545-560.</w:t>
      </w:r>
    </w:p>
    <w:p w:rsidR="00000000" w:rsidDel="00000000" w:rsidP="00000000" w:rsidRDefault="00000000" w:rsidRPr="00000000" w14:paraId="000010CA">
      <w:pPr>
        <w:jc w:val="both"/>
        <w:rPr>
          <w:sz w:val="22"/>
          <w:szCs w:val="22"/>
        </w:rPr>
      </w:pPr>
      <w:r w:rsidDel="00000000" w:rsidR="00000000" w:rsidRPr="00000000">
        <w:rPr>
          <w:sz w:val="22"/>
          <w:szCs w:val="22"/>
          <w:rtl w:val="0"/>
        </w:rPr>
        <w:tab/>
      </w:r>
    </w:p>
    <w:p w:rsidR="00000000" w:rsidDel="00000000" w:rsidP="00000000" w:rsidRDefault="00000000" w:rsidRPr="00000000" w14:paraId="000010CB">
      <w:pPr>
        <w:jc w:val="both"/>
        <w:rPr>
          <w:sz w:val="22"/>
          <w:szCs w:val="22"/>
        </w:rPr>
      </w:pPr>
      <w:r w:rsidDel="00000000" w:rsidR="00000000" w:rsidRPr="00000000">
        <w:rPr>
          <w:sz w:val="22"/>
          <w:szCs w:val="22"/>
          <w:rtl w:val="0"/>
        </w:rPr>
        <w:t xml:space="preserve">Wilcox S. (2010). Lay Knowledge: The Missing Middle of the Expertise Debates. Configuring Health Consumers. London, Palgrave MacMillan: 45-64.</w:t>
      </w:r>
    </w:p>
    <w:p w:rsidR="00000000" w:rsidDel="00000000" w:rsidP="00000000" w:rsidRDefault="00000000" w:rsidRPr="00000000" w14:paraId="000010CC">
      <w:pPr>
        <w:jc w:val="both"/>
        <w:rPr>
          <w:sz w:val="22"/>
          <w:szCs w:val="22"/>
        </w:rPr>
      </w:pPr>
      <w:r w:rsidDel="00000000" w:rsidR="00000000" w:rsidRPr="00000000">
        <w:rPr>
          <w:sz w:val="22"/>
          <w:szCs w:val="22"/>
          <w:rtl w:val="0"/>
        </w:rPr>
        <w:tab/>
      </w:r>
    </w:p>
    <w:p w:rsidR="00000000" w:rsidDel="00000000" w:rsidP="00000000" w:rsidRDefault="00000000" w:rsidRPr="00000000" w14:paraId="000010CD">
      <w:pPr>
        <w:jc w:val="both"/>
        <w:rPr>
          <w:i w:val="1"/>
          <w:sz w:val="22"/>
          <w:szCs w:val="22"/>
        </w:rPr>
      </w:pPr>
      <w:r w:rsidDel="00000000" w:rsidR="00000000" w:rsidRPr="00000000">
        <w:rPr>
          <w:sz w:val="22"/>
          <w:szCs w:val="22"/>
          <w:rtl w:val="0"/>
        </w:rPr>
        <w:t xml:space="preserve">Wilkinson R. Hines L. Holland A. Mandal S. Phipps E. (2020). "Rapid evidence review of harm reduction interventions and messaging for people who inject drugs during pandemic events: implications for the ongoing COVID-19 response." </w:t>
      </w:r>
      <w:r w:rsidDel="00000000" w:rsidR="00000000" w:rsidRPr="00000000">
        <w:rPr>
          <w:i w:val="1"/>
          <w:sz w:val="22"/>
          <w:szCs w:val="22"/>
          <w:rtl w:val="0"/>
        </w:rPr>
        <w:t xml:space="preserve">Harm Reduction Journal 17: 95-95.</w:t>
      </w:r>
    </w:p>
    <w:p w:rsidR="00000000" w:rsidDel="00000000" w:rsidP="00000000" w:rsidRDefault="00000000" w:rsidRPr="00000000" w14:paraId="000010CE">
      <w:pPr>
        <w:jc w:val="both"/>
        <w:rPr>
          <w:i w:val="1"/>
          <w:sz w:val="22"/>
          <w:szCs w:val="22"/>
        </w:rPr>
      </w:pPr>
      <w:r w:rsidDel="00000000" w:rsidR="00000000" w:rsidRPr="00000000">
        <w:rPr>
          <w:rtl w:val="0"/>
        </w:rPr>
      </w:r>
    </w:p>
    <w:p w:rsidR="00000000" w:rsidDel="00000000" w:rsidP="00000000" w:rsidRDefault="00000000" w:rsidRPr="00000000" w14:paraId="000010CF">
      <w:pPr>
        <w:jc w:val="both"/>
        <w:rPr>
          <w:sz w:val="22"/>
          <w:szCs w:val="22"/>
        </w:rPr>
      </w:pPr>
      <w:r w:rsidDel="00000000" w:rsidR="00000000" w:rsidRPr="00000000">
        <w:rPr>
          <w:sz w:val="22"/>
          <w:szCs w:val="22"/>
          <w:rtl w:val="0"/>
        </w:rPr>
        <w:t xml:space="preserve">Williams R. Farquharson L. Palmer L. Bassett P. Clarke J. Clark DM. Crawford MJ.. (2016). "Patient preference in psychological treatment and associations with self-reported outcome: national cross-sectional survey in England and Wales." </w:t>
      </w:r>
      <w:r w:rsidDel="00000000" w:rsidR="00000000" w:rsidRPr="00000000">
        <w:rPr>
          <w:i w:val="1"/>
          <w:sz w:val="22"/>
          <w:szCs w:val="22"/>
          <w:rtl w:val="0"/>
        </w:rPr>
        <w:t xml:space="preserve">BMC Psychiatry</w:t>
      </w:r>
      <w:r w:rsidDel="00000000" w:rsidR="00000000" w:rsidRPr="00000000">
        <w:rPr>
          <w:sz w:val="22"/>
          <w:szCs w:val="22"/>
          <w:rtl w:val="0"/>
        </w:rPr>
        <w:t xml:space="preserve"> 16: 4-4.</w:t>
      </w:r>
    </w:p>
    <w:p w:rsidR="00000000" w:rsidDel="00000000" w:rsidP="00000000" w:rsidRDefault="00000000" w:rsidRPr="00000000" w14:paraId="000010D0">
      <w:pPr>
        <w:jc w:val="both"/>
        <w:rPr>
          <w:sz w:val="22"/>
          <w:szCs w:val="22"/>
        </w:rPr>
      </w:pPr>
      <w:r w:rsidDel="00000000" w:rsidR="00000000" w:rsidRPr="00000000">
        <w:rPr>
          <w:sz w:val="22"/>
          <w:szCs w:val="22"/>
          <w:rtl w:val="0"/>
        </w:rPr>
        <w:tab/>
      </w:r>
    </w:p>
    <w:p w:rsidR="00000000" w:rsidDel="00000000" w:rsidP="00000000" w:rsidRDefault="00000000" w:rsidRPr="00000000" w14:paraId="000010D1">
      <w:pPr>
        <w:jc w:val="both"/>
        <w:rPr>
          <w:sz w:val="22"/>
          <w:szCs w:val="22"/>
        </w:rPr>
      </w:pPr>
      <w:r w:rsidDel="00000000" w:rsidR="00000000" w:rsidRPr="00000000">
        <w:rPr>
          <w:sz w:val="22"/>
          <w:szCs w:val="22"/>
          <w:rtl w:val="0"/>
        </w:rPr>
        <w:t xml:space="preserve">Williamson C (2010) </w:t>
      </w:r>
      <w:r w:rsidDel="00000000" w:rsidR="00000000" w:rsidRPr="00000000">
        <w:rPr>
          <w:i w:val="1"/>
          <w:sz w:val="22"/>
          <w:szCs w:val="22"/>
          <w:rtl w:val="0"/>
        </w:rPr>
        <w:t xml:space="preserve">Towards the Emancipation of Patients</w:t>
      </w:r>
      <w:r w:rsidDel="00000000" w:rsidR="00000000" w:rsidRPr="00000000">
        <w:rPr>
          <w:sz w:val="22"/>
          <w:szCs w:val="22"/>
          <w:rtl w:val="0"/>
        </w:rPr>
        <w:t xml:space="preserve">. Bristol: The Policy Press.  </w:t>
      </w:r>
    </w:p>
    <w:p w:rsidR="00000000" w:rsidDel="00000000" w:rsidP="00000000" w:rsidRDefault="00000000" w:rsidRPr="00000000" w14:paraId="000010D2">
      <w:pPr>
        <w:jc w:val="both"/>
        <w:rPr>
          <w:sz w:val="22"/>
          <w:szCs w:val="22"/>
        </w:rPr>
      </w:pPr>
      <w:r w:rsidDel="00000000" w:rsidR="00000000" w:rsidRPr="00000000">
        <w:rPr>
          <w:rtl w:val="0"/>
        </w:rPr>
      </w:r>
    </w:p>
    <w:p w:rsidR="00000000" w:rsidDel="00000000" w:rsidP="00000000" w:rsidRDefault="00000000" w:rsidRPr="00000000" w14:paraId="000010D3">
      <w:pPr>
        <w:jc w:val="both"/>
        <w:rPr>
          <w:sz w:val="22"/>
          <w:szCs w:val="22"/>
        </w:rPr>
      </w:pPr>
      <w:r w:rsidDel="00000000" w:rsidR="00000000" w:rsidRPr="00000000">
        <w:rPr>
          <w:sz w:val="22"/>
          <w:szCs w:val="22"/>
          <w:rtl w:val="0"/>
        </w:rPr>
        <w:t xml:space="preserve">Williamson C. 2018. Combining professional and lay knowledge to improve patient care. </w:t>
      </w:r>
      <w:r w:rsidDel="00000000" w:rsidR="00000000" w:rsidRPr="00000000">
        <w:rPr>
          <w:i w:val="1"/>
          <w:sz w:val="22"/>
          <w:szCs w:val="22"/>
          <w:rtl w:val="0"/>
        </w:rPr>
        <w:t xml:space="preserve">British Journal of General Practice</w:t>
      </w:r>
      <w:r w:rsidDel="00000000" w:rsidR="00000000" w:rsidRPr="00000000">
        <w:rPr>
          <w:sz w:val="22"/>
          <w:szCs w:val="22"/>
          <w:rtl w:val="0"/>
        </w:rPr>
        <w:t xml:space="preserve">. 68(666): 39-40</w:t>
      </w:r>
    </w:p>
    <w:p w:rsidR="00000000" w:rsidDel="00000000" w:rsidP="00000000" w:rsidRDefault="00000000" w:rsidRPr="00000000" w14:paraId="000010D4">
      <w:pPr>
        <w:jc w:val="both"/>
        <w:rPr>
          <w:sz w:val="22"/>
          <w:szCs w:val="22"/>
        </w:rPr>
      </w:pPr>
      <w:r w:rsidDel="00000000" w:rsidR="00000000" w:rsidRPr="00000000">
        <w:rPr>
          <w:rtl w:val="0"/>
        </w:rPr>
      </w:r>
    </w:p>
    <w:p w:rsidR="00000000" w:rsidDel="00000000" w:rsidP="00000000" w:rsidRDefault="00000000" w:rsidRPr="00000000" w14:paraId="000010D5">
      <w:pPr>
        <w:jc w:val="both"/>
        <w:rPr>
          <w:sz w:val="22"/>
          <w:szCs w:val="22"/>
        </w:rPr>
      </w:pPr>
      <w:r w:rsidDel="00000000" w:rsidR="00000000" w:rsidRPr="00000000">
        <w:rPr>
          <w:sz w:val="22"/>
          <w:szCs w:val="22"/>
          <w:rtl w:val="0"/>
        </w:rPr>
        <w:t xml:space="preserve">Willig C. (2013). Introducing Qualitative Research in Psychology. Maidenhead, Berkshire, Open University Press.</w:t>
      </w:r>
    </w:p>
    <w:p w:rsidR="00000000" w:rsidDel="00000000" w:rsidP="00000000" w:rsidRDefault="00000000" w:rsidRPr="00000000" w14:paraId="000010D6">
      <w:pPr>
        <w:jc w:val="both"/>
        <w:rPr>
          <w:sz w:val="22"/>
          <w:szCs w:val="22"/>
        </w:rPr>
      </w:pPr>
      <w:r w:rsidDel="00000000" w:rsidR="00000000" w:rsidRPr="00000000">
        <w:rPr>
          <w:sz w:val="22"/>
          <w:szCs w:val="22"/>
          <w:rtl w:val="0"/>
        </w:rPr>
        <w:t xml:space="preserve">Wilson C. Janes G. Williams J. (2022). "Identity, positionality and reflexivity: relevance and application to research paramedics." </w:t>
      </w:r>
      <w:r w:rsidDel="00000000" w:rsidR="00000000" w:rsidRPr="00000000">
        <w:rPr>
          <w:i w:val="1"/>
          <w:sz w:val="22"/>
          <w:szCs w:val="22"/>
          <w:rtl w:val="0"/>
        </w:rPr>
        <w:t xml:space="preserve">British Paramedic Journal</w:t>
      </w:r>
      <w:r w:rsidDel="00000000" w:rsidR="00000000" w:rsidRPr="00000000">
        <w:rPr>
          <w:sz w:val="22"/>
          <w:szCs w:val="22"/>
          <w:rtl w:val="0"/>
        </w:rPr>
        <w:t xml:space="preserve"> 7(2): 43-49.</w:t>
      </w:r>
    </w:p>
    <w:p w:rsidR="00000000" w:rsidDel="00000000" w:rsidP="00000000" w:rsidRDefault="00000000" w:rsidRPr="00000000" w14:paraId="000010D7">
      <w:pPr>
        <w:jc w:val="both"/>
        <w:rPr>
          <w:sz w:val="22"/>
          <w:szCs w:val="22"/>
        </w:rPr>
      </w:pPr>
      <w:r w:rsidDel="00000000" w:rsidR="00000000" w:rsidRPr="00000000">
        <w:rPr>
          <w:rtl w:val="0"/>
        </w:rPr>
      </w:r>
    </w:p>
    <w:p w:rsidR="00000000" w:rsidDel="00000000" w:rsidP="00000000" w:rsidRDefault="00000000" w:rsidRPr="00000000" w14:paraId="000010D8">
      <w:pPr>
        <w:jc w:val="both"/>
        <w:rPr>
          <w:sz w:val="22"/>
          <w:szCs w:val="22"/>
        </w:rPr>
      </w:pPr>
      <w:r w:rsidDel="00000000" w:rsidR="00000000" w:rsidRPr="00000000">
        <w:rPr>
          <w:sz w:val="22"/>
          <w:szCs w:val="22"/>
          <w:rtl w:val="0"/>
        </w:rPr>
        <w:t xml:space="preserve">Wilson WJ. Chaddha A. (2010). "The Role of Theory in Ethnographic Research." </w:t>
      </w:r>
      <w:r w:rsidDel="00000000" w:rsidR="00000000" w:rsidRPr="00000000">
        <w:rPr>
          <w:i w:val="1"/>
          <w:sz w:val="22"/>
          <w:szCs w:val="22"/>
          <w:rtl w:val="0"/>
        </w:rPr>
        <w:t xml:space="preserve">Ethnography</w:t>
      </w:r>
      <w:r w:rsidDel="00000000" w:rsidR="00000000" w:rsidRPr="00000000">
        <w:rPr>
          <w:sz w:val="22"/>
          <w:szCs w:val="22"/>
          <w:rtl w:val="0"/>
        </w:rPr>
        <w:t xml:space="preserve"> 10(4): 549-564.</w:t>
      </w:r>
    </w:p>
    <w:p w:rsidR="00000000" w:rsidDel="00000000" w:rsidP="00000000" w:rsidRDefault="00000000" w:rsidRPr="00000000" w14:paraId="000010D9">
      <w:pPr>
        <w:jc w:val="both"/>
        <w:rPr>
          <w:sz w:val="22"/>
          <w:szCs w:val="22"/>
        </w:rPr>
      </w:pPr>
      <w:r w:rsidDel="00000000" w:rsidR="00000000" w:rsidRPr="00000000">
        <w:rPr>
          <w:sz w:val="22"/>
          <w:szCs w:val="22"/>
          <w:rtl w:val="0"/>
        </w:rPr>
        <w:tab/>
      </w:r>
    </w:p>
    <w:p w:rsidR="00000000" w:rsidDel="00000000" w:rsidP="00000000" w:rsidRDefault="00000000" w:rsidRPr="00000000" w14:paraId="000010DA">
      <w:pPr>
        <w:jc w:val="both"/>
        <w:rPr>
          <w:sz w:val="22"/>
          <w:szCs w:val="22"/>
        </w:rPr>
      </w:pPr>
      <w:r w:rsidDel="00000000" w:rsidR="00000000" w:rsidRPr="00000000">
        <w:rPr>
          <w:sz w:val="22"/>
          <w:szCs w:val="22"/>
          <w:rtl w:val="0"/>
        </w:rPr>
        <w:t xml:space="preserve">Wittman FD. Polcin DL. (2014). "The evolution of peer run sober housing as a recovery resource for California communities." </w:t>
      </w:r>
      <w:r w:rsidDel="00000000" w:rsidR="00000000" w:rsidRPr="00000000">
        <w:rPr>
          <w:i w:val="1"/>
          <w:sz w:val="22"/>
          <w:szCs w:val="22"/>
          <w:rtl w:val="0"/>
        </w:rPr>
        <w:t xml:space="preserve">International Journal of Self Help and Self Care</w:t>
      </w:r>
      <w:r w:rsidDel="00000000" w:rsidR="00000000" w:rsidRPr="00000000">
        <w:rPr>
          <w:sz w:val="22"/>
          <w:szCs w:val="22"/>
          <w:rtl w:val="0"/>
        </w:rPr>
        <w:t xml:space="preserve"> 8(2): 157-187.</w:t>
      </w:r>
    </w:p>
    <w:p w:rsidR="00000000" w:rsidDel="00000000" w:rsidP="00000000" w:rsidRDefault="00000000" w:rsidRPr="00000000" w14:paraId="000010DB">
      <w:pPr>
        <w:jc w:val="both"/>
        <w:rPr>
          <w:sz w:val="22"/>
          <w:szCs w:val="22"/>
        </w:rPr>
      </w:pPr>
      <w:r w:rsidDel="00000000" w:rsidR="00000000" w:rsidRPr="00000000">
        <w:rPr>
          <w:rtl w:val="0"/>
        </w:rPr>
      </w:r>
    </w:p>
    <w:p w:rsidR="00000000" w:rsidDel="00000000" w:rsidP="00000000" w:rsidRDefault="00000000" w:rsidRPr="00000000" w14:paraId="000010DC">
      <w:pPr>
        <w:jc w:val="both"/>
        <w:rPr>
          <w:sz w:val="22"/>
          <w:szCs w:val="22"/>
        </w:rPr>
      </w:pPr>
      <w:r w:rsidDel="00000000" w:rsidR="00000000" w:rsidRPr="00000000">
        <w:rPr>
          <w:sz w:val="22"/>
          <w:szCs w:val="22"/>
          <w:rtl w:val="0"/>
        </w:rPr>
        <w:t xml:space="preserve">Wolf JA. (2013). The patient experience: strategies and approaches for providers to achieve and maintain a competitive advantage. Texas, The Beryl Institute.</w:t>
      </w:r>
    </w:p>
    <w:p w:rsidR="00000000" w:rsidDel="00000000" w:rsidP="00000000" w:rsidRDefault="00000000" w:rsidRPr="00000000" w14:paraId="000010DD">
      <w:pPr>
        <w:jc w:val="both"/>
        <w:rPr>
          <w:sz w:val="22"/>
          <w:szCs w:val="22"/>
        </w:rPr>
      </w:pPr>
      <w:r w:rsidDel="00000000" w:rsidR="00000000" w:rsidRPr="00000000">
        <w:rPr>
          <w:rtl w:val="0"/>
        </w:rPr>
      </w:r>
    </w:p>
    <w:p w:rsidR="00000000" w:rsidDel="00000000" w:rsidP="00000000" w:rsidRDefault="00000000" w:rsidRPr="00000000" w14:paraId="000010DE">
      <w:pPr>
        <w:jc w:val="both"/>
        <w:rPr>
          <w:sz w:val="22"/>
          <w:szCs w:val="22"/>
        </w:rPr>
      </w:pPr>
      <w:r w:rsidDel="00000000" w:rsidR="00000000" w:rsidRPr="00000000">
        <w:rPr>
          <w:sz w:val="22"/>
          <w:szCs w:val="22"/>
          <w:rtl w:val="0"/>
        </w:rPr>
        <w:t xml:space="preserve">Wolf JA. Niederhauser V. Marshburn D. LaVela SL. (2014). "Defining Patient Experience." </w:t>
      </w:r>
      <w:r w:rsidDel="00000000" w:rsidR="00000000" w:rsidRPr="00000000">
        <w:rPr>
          <w:i w:val="1"/>
          <w:sz w:val="22"/>
          <w:szCs w:val="22"/>
          <w:rtl w:val="0"/>
        </w:rPr>
        <w:t xml:space="preserve">Patient Experience Journal</w:t>
      </w:r>
      <w:r w:rsidDel="00000000" w:rsidR="00000000" w:rsidRPr="00000000">
        <w:rPr>
          <w:sz w:val="22"/>
          <w:szCs w:val="22"/>
          <w:rtl w:val="0"/>
        </w:rPr>
        <w:t xml:space="preserve"> 1(1): 7-9.</w:t>
      </w:r>
    </w:p>
    <w:p w:rsidR="00000000" w:rsidDel="00000000" w:rsidP="00000000" w:rsidRDefault="00000000" w:rsidRPr="00000000" w14:paraId="000010DF">
      <w:pPr>
        <w:jc w:val="both"/>
        <w:rPr>
          <w:sz w:val="22"/>
          <w:szCs w:val="22"/>
        </w:rPr>
      </w:pPr>
      <w:r w:rsidDel="00000000" w:rsidR="00000000" w:rsidRPr="00000000">
        <w:rPr>
          <w:sz w:val="22"/>
          <w:szCs w:val="22"/>
          <w:rtl w:val="0"/>
        </w:rPr>
        <w:tab/>
      </w:r>
    </w:p>
    <w:p w:rsidR="00000000" w:rsidDel="00000000" w:rsidP="00000000" w:rsidRDefault="00000000" w:rsidRPr="00000000" w14:paraId="000010E0">
      <w:pPr>
        <w:jc w:val="both"/>
        <w:rPr>
          <w:sz w:val="22"/>
          <w:szCs w:val="22"/>
        </w:rPr>
      </w:pPr>
      <w:r w:rsidDel="00000000" w:rsidR="00000000" w:rsidRPr="00000000">
        <w:rPr>
          <w:sz w:val="22"/>
          <w:szCs w:val="22"/>
          <w:rtl w:val="0"/>
        </w:rPr>
        <w:t xml:space="preserve">Wolff R. (1970). The Conflict Between Authority and Autonomy. In Defense of Anarchism.</w:t>
      </w:r>
    </w:p>
    <w:p w:rsidR="00000000" w:rsidDel="00000000" w:rsidP="00000000" w:rsidRDefault="00000000" w:rsidRPr="00000000" w14:paraId="000010E1">
      <w:pPr>
        <w:jc w:val="both"/>
        <w:rPr>
          <w:sz w:val="22"/>
          <w:szCs w:val="22"/>
        </w:rPr>
      </w:pPr>
      <w:r w:rsidDel="00000000" w:rsidR="00000000" w:rsidRPr="00000000">
        <w:rPr>
          <w:sz w:val="22"/>
          <w:szCs w:val="22"/>
          <w:rtl w:val="0"/>
        </w:rPr>
        <w:tab/>
      </w:r>
    </w:p>
    <w:p w:rsidR="00000000" w:rsidDel="00000000" w:rsidP="00000000" w:rsidRDefault="00000000" w:rsidRPr="00000000" w14:paraId="000010E2">
      <w:pPr>
        <w:jc w:val="both"/>
        <w:rPr>
          <w:sz w:val="22"/>
          <w:szCs w:val="22"/>
        </w:rPr>
      </w:pPr>
      <w:r w:rsidDel="00000000" w:rsidR="00000000" w:rsidRPr="00000000">
        <w:rPr>
          <w:sz w:val="22"/>
          <w:szCs w:val="22"/>
          <w:rtl w:val="0"/>
        </w:rPr>
        <w:t xml:space="preserve">Wong E. Mavondo F. Fisher J. (2020). "Patient feedback to improve quality of patient-centred care in public hospitals: a systematic review of the evidence." </w:t>
      </w:r>
      <w:r w:rsidDel="00000000" w:rsidR="00000000" w:rsidRPr="00000000">
        <w:rPr>
          <w:i w:val="1"/>
          <w:sz w:val="22"/>
          <w:szCs w:val="22"/>
          <w:rtl w:val="0"/>
        </w:rPr>
        <w:t xml:space="preserve">BMC Health Services Researc</w:t>
      </w:r>
      <w:r w:rsidDel="00000000" w:rsidR="00000000" w:rsidRPr="00000000">
        <w:rPr>
          <w:sz w:val="22"/>
          <w:szCs w:val="22"/>
          <w:rtl w:val="0"/>
        </w:rPr>
        <w:t xml:space="preserve">h 20(530).</w:t>
      </w:r>
    </w:p>
    <w:p w:rsidR="00000000" w:rsidDel="00000000" w:rsidP="00000000" w:rsidRDefault="00000000" w:rsidRPr="00000000" w14:paraId="000010E3">
      <w:pPr>
        <w:jc w:val="both"/>
        <w:rPr>
          <w:sz w:val="22"/>
          <w:szCs w:val="22"/>
        </w:rPr>
      </w:pPr>
      <w:r w:rsidDel="00000000" w:rsidR="00000000" w:rsidRPr="00000000">
        <w:rPr>
          <w:sz w:val="22"/>
          <w:szCs w:val="22"/>
          <w:rtl w:val="0"/>
        </w:rPr>
        <w:tab/>
      </w:r>
    </w:p>
    <w:p w:rsidR="00000000" w:rsidDel="00000000" w:rsidP="00000000" w:rsidRDefault="00000000" w:rsidRPr="00000000" w14:paraId="000010E4">
      <w:pPr>
        <w:jc w:val="both"/>
        <w:rPr>
          <w:sz w:val="22"/>
          <w:szCs w:val="22"/>
        </w:rPr>
      </w:pPr>
      <w:r w:rsidDel="00000000" w:rsidR="00000000" w:rsidRPr="00000000">
        <w:rPr>
          <w:sz w:val="22"/>
          <w:szCs w:val="22"/>
          <w:rtl w:val="0"/>
        </w:rPr>
        <w:t xml:space="preserve">World Health Organisation. (2018). Critical Review Report Expert Committee on Drug Dependence. Geneva. </w:t>
      </w:r>
    </w:p>
    <w:p w:rsidR="00000000" w:rsidDel="00000000" w:rsidP="00000000" w:rsidRDefault="00000000" w:rsidRPr="00000000" w14:paraId="000010E5">
      <w:pPr>
        <w:jc w:val="both"/>
        <w:rPr>
          <w:sz w:val="22"/>
          <w:szCs w:val="22"/>
        </w:rPr>
      </w:pPr>
      <w:r w:rsidDel="00000000" w:rsidR="00000000" w:rsidRPr="00000000">
        <w:rPr>
          <w:sz w:val="22"/>
          <w:szCs w:val="22"/>
          <w:rtl w:val="0"/>
        </w:rPr>
        <w:tab/>
      </w:r>
    </w:p>
    <w:p w:rsidR="00000000" w:rsidDel="00000000" w:rsidP="00000000" w:rsidRDefault="00000000" w:rsidRPr="00000000" w14:paraId="000010E6">
      <w:pPr>
        <w:jc w:val="both"/>
        <w:rPr>
          <w:sz w:val="22"/>
          <w:szCs w:val="22"/>
        </w:rPr>
      </w:pPr>
      <w:r w:rsidDel="00000000" w:rsidR="00000000" w:rsidRPr="00000000">
        <w:rPr>
          <w:sz w:val="22"/>
          <w:szCs w:val="22"/>
          <w:rtl w:val="0"/>
        </w:rPr>
        <w:t xml:space="preserve">World Health Organisation (1948). Preamble to the constitution of the WHO. Geneva, World Health Organisation.</w:t>
      </w:r>
    </w:p>
    <w:p w:rsidR="00000000" w:rsidDel="00000000" w:rsidP="00000000" w:rsidRDefault="00000000" w:rsidRPr="00000000" w14:paraId="000010E7">
      <w:pPr>
        <w:jc w:val="both"/>
        <w:rPr>
          <w:sz w:val="22"/>
          <w:szCs w:val="22"/>
        </w:rPr>
      </w:pPr>
      <w:r w:rsidDel="00000000" w:rsidR="00000000" w:rsidRPr="00000000">
        <w:rPr>
          <w:rtl w:val="0"/>
        </w:rPr>
      </w:r>
    </w:p>
    <w:p w:rsidR="00000000" w:rsidDel="00000000" w:rsidP="00000000" w:rsidRDefault="00000000" w:rsidRPr="00000000" w14:paraId="000010E8">
      <w:pPr>
        <w:jc w:val="both"/>
        <w:rPr>
          <w:sz w:val="22"/>
          <w:szCs w:val="22"/>
        </w:rPr>
      </w:pPr>
      <w:r w:rsidDel="00000000" w:rsidR="00000000" w:rsidRPr="00000000">
        <w:rPr>
          <w:sz w:val="22"/>
          <w:szCs w:val="22"/>
          <w:rtl w:val="0"/>
        </w:rPr>
        <w:t xml:space="preserve">World Health Organisation (2020). Global spending on health: Weathering the storm.</w:t>
      </w:r>
    </w:p>
    <w:p w:rsidR="00000000" w:rsidDel="00000000" w:rsidP="00000000" w:rsidRDefault="00000000" w:rsidRPr="00000000" w14:paraId="000010E9">
      <w:pPr>
        <w:jc w:val="both"/>
        <w:rPr>
          <w:sz w:val="22"/>
          <w:szCs w:val="22"/>
        </w:rPr>
      </w:pPr>
      <w:r w:rsidDel="00000000" w:rsidR="00000000" w:rsidRPr="00000000">
        <w:rPr>
          <w:sz w:val="22"/>
          <w:szCs w:val="22"/>
          <w:rtl w:val="0"/>
        </w:rPr>
        <w:tab/>
      </w:r>
    </w:p>
    <w:p w:rsidR="00000000" w:rsidDel="00000000" w:rsidP="00000000" w:rsidRDefault="00000000" w:rsidRPr="00000000" w14:paraId="000010EA">
      <w:pPr>
        <w:jc w:val="both"/>
        <w:rPr>
          <w:sz w:val="22"/>
          <w:szCs w:val="22"/>
        </w:rPr>
      </w:pPr>
      <w:r w:rsidDel="00000000" w:rsidR="00000000" w:rsidRPr="00000000">
        <w:rPr>
          <w:sz w:val="22"/>
          <w:szCs w:val="22"/>
          <w:rtl w:val="0"/>
        </w:rPr>
        <w:t xml:space="preserve">World Health Organisation. (2021). Defined Daily Dose (DDD). World Health Organisation.</w:t>
      </w:r>
    </w:p>
    <w:p w:rsidR="00000000" w:rsidDel="00000000" w:rsidP="00000000" w:rsidRDefault="00000000" w:rsidRPr="00000000" w14:paraId="000010EB">
      <w:pPr>
        <w:jc w:val="both"/>
        <w:rPr>
          <w:sz w:val="22"/>
          <w:szCs w:val="22"/>
        </w:rPr>
      </w:pPr>
      <w:r w:rsidDel="00000000" w:rsidR="00000000" w:rsidRPr="00000000">
        <w:rPr>
          <w:sz w:val="22"/>
          <w:szCs w:val="22"/>
          <w:rtl w:val="0"/>
        </w:rPr>
        <w:tab/>
      </w:r>
    </w:p>
    <w:p w:rsidR="00000000" w:rsidDel="00000000" w:rsidP="00000000" w:rsidRDefault="00000000" w:rsidRPr="00000000" w14:paraId="000010EC">
      <w:pPr>
        <w:jc w:val="both"/>
        <w:rPr>
          <w:sz w:val="22"/>
          <w:szCs w:val="22"/>
        </w:rPr>
      </w:pPr>
      <w:r w:rsidDel="00000000" w:rsidR="00000000" w:rsidRPr="00000000">
        <w:rPr>
          <w:sz w:val="22"/>
          <w:szCs w:val="22"/>
          <w:rtl w:val="0"/>
        </w:rPr>
        <w:t xml:space="preserve">World Health Organisation (2023). Endometriosis. World Health Organisation.</w:t>
      </w:r>
    </w:p>
    <w:p w:rsidR="00000000" w:rsidDel="00000000" w:rsidP="00000000" w:rsidRDefault="00000000" w:rsidRPr="00000000" w14:paraId="000010ED">
      <w:pPr>
        <w:jc w:val="both"/>
        <w:rPr>
          <w:sz w:val="22"/>
          <w:szCs w:val="22"/>
        </w:rPr>
      </w:pPr>
      <w:r w:rsidDel="00000000" w:rsidR="00000000" w:rsidRPr="00000000">
        <w:rPr>
          <w:sz w:val="22"/>
          <w:szCs w:val="22"/>
          <w:rtl w:val="0"/>
        </w:rPr>
        <w:tab/>
      </w:r>
    </w:p>
    <w:p w:rsidR="00000000" w:rsidDel="00000000" w:rsidP="00000000" w:rsidRDefault="00000000" w:rsidRPr="00000000" w14:paraId="000010EE">
      <w:pPr>
        <w:jc w:val="both"/>
        <w:rPr>
          <w:sz w:val="22"/>
          <w:szCs w:val="22"/>
        </w:rPr>
      </w:pPr>
      <w:r w:rsidDel="00000000" w:rsidR="00000000" w:rsidRPr="00000000">
        <w:rPr>
          <w:sz w:val="22"/>
          <w:szCs w:val="22"/>
          <w:rtl w:val="0"/>
        </w:rPr>
        <w:t xml:space="preserve">World Population, R. (2021). Population of Cities in United Kingdom (2021). World Population Review.</w:t>
      </w:r>
    </w:p>
    <w:p w:rsidR="00000000" w:rsidDel="00000000" w:rsidP="00000000" w:rsidRDefault="00000000" w:rsidRPr="00000000" w14:paraId="000010EF">
      <w:pPr>
        <w:jc w:val="both"/>
        <w:rPr>
          <w:sz w:val="22"/>
          <w:szCs w:val="22"/>
        </w:rPr>
      </w:pPr>
      <w:r w:rsidDel="00000000" w:rsidR="00000000" w:rsidRPr="00000000">
        <w:rPr>
          <w:sz w:val="22"/>
          <w:szCs w:val="22"/>
          <w:rtl w:val="0"/>
        </w:rPr>
        <w:tab/>
      </w:r>
    </w:p>
    <w:p w:rsidR="00000000" w:rsidDel="00000000" w:rsidP="00000000" w:rsidRDefault="00000000" w:rsidRPr="00000000" w14:paraId="000010F0">
      <w:pPr>
        <w:jc w:val="both"/>
        <w:rPr>
          <w:sz w:val="22"/>
          <w:szCs w:val="22"/>
        </w:rPr>
      </w:pPr>
      <w:r w:rsidDel="00000000" w:rsidR="00000000" w:rsidRPr="00000000">
        <w:rPr>
          <w:sz w:val="22"/>
          <w:szCs w:val="22"/>
          <w:rtl w:val="0"/>
        </w:rPr>
        <w:t xml:space="preserve">Wright A. (1990). What is a Social Model? Social Model Alcohol Recovery: An Environmental Approach. Burbank, CA, Bridge Focus Inc.: 7-10.</w:t>
      </w:r>
    </w:p>
    <w:p w:rsidR="00000000" w:rsidDel="00000000" w:rsidP="00000000" w:rsidRDefault="00000000" w:rsidRPr="00000000" w14:paraId="000010F1">
      <w:pPr>
        <w:jc w:val="both"/>
        <w:rPr>
          <w:sz w:val="22"/>
          <w:szCs w:val="22"/>
        </w:rPr>
      </w:pPr>
      <w:r w:rsidDel="00000000" w:rsidR="00000000" w:rsidRPr="00000000">
        <w:rPr>
          <w:sz w:val="22"/>
          <w:szCs w:val="22"/>
          <w:rtl w:val="0"/>
        </w:rPr>
        <w:tab/>
      </w:r>
    </w:p>
    <w:p w:rsidR="00000000" w:rsidDel="00000000" w:rsidP="00000000" w:rsidRDefault="00000000" w:rsidRPr="00000000" w14:paraId="000010F2">
      <w:pPr>
        <w:jc w:val="both"/>
        <w:rPr>
          <w:sz w:val="22"/>
          <w:szCs w:val="22"/>
        </w:rPr>
      </w:pPr>
      <w:r w:rsidDel="00000000" w:rsidR="00000000" w:rsidRPr="00000000">
        <w:rPr>
          <w:sz w:val="22"/>
          <w:szCs w:val="22"/>
          <w:rtl w:val="0"/>
        </w:rPr>
        <w:t xml:space="preserve">Wu CA. Simon AJ. Modrich MA. Stacey MW. Matyas BT. Shubrook JH. (2019). "Adapting the Social-Ecological Framework for Chronic Pain Management and Successful Opioid Tapering." </w:t>
      </w:r>
      <w:r w:rsidDel="00000000" w:rsidR="00000000" w:rsidRPr="00000000">
        <w:rPr>
          <w:i w:val="1"/>
          <w:sz w:val="22"/>
          <w:szCs w:val="22"/>
          <w:rtl w:val="0"/>
        </w:rPr>
        <w:t xml:space="preserve">The Journal of the American Osteopathic Association</w:t>
      </w:r>
      <w:r w:rsidDel="00000000" w:rsidR="00000000" w:rsidRPr="00000000">
        <w:rPr>
          <w:sz w:val="22"/>
          <w:szCs w:val="22"/>
          <w:rtl w:val="0"/>
        </w:rPr>
        <w:t xml:space="preserve"> 119(12): 793-801.</w:t>
      </w:r>
    </w:p>
    <w:p w:rsidR="00000000" w:rsidDel="00000000" w:rsidP="00000000" w:rsidRDefault="00000000" w:rsidRPr="00000000" w14:paraId="000010F3">
      <w:pPr>
        <w:jc w:val="both"/>
        <w:rPr>
          <w:sz w:val="22"/>
          <w:szCs w:val="22"/>
        </w:rPr>
      </w:pPr>
      <w:r w:rsidDel="00000000" w:rsidR="00000000" w:rsidRPr="00000000">
        <w:rPr>
          <w:sz w:val="22"/>
          <w:szCs w:val="22"/>
          <w:rtl w:val="0"/>
        </w:rPr>
        <w:tab/>
      </w:r>
    </w:p>
    <w:p w:rsidR="00000000" w:rsidDel="00000000" w:rsidP="00000000" w:rsidRDefault="00000000" w:rsidRPr="00000000" w14:paraId="000010F4">
      <w:pPr>
        <w:jc w:val="both"/>
        <w:rPr>
          <w:sz w:val="22"/>
          <w:szCs w:val="22"/>
        </w:rPr>
      </w:pPr>
      <w:r w:rsidDel="00000000" w:rsidR="00000000" w:rsidRPr="00000000">
        <w:rPr>
          <w:sz w:val="22"/>
          <w:szCs w:val="22"/>
          <w:rtl w:val="0"/>
        </w:rPr>
        <w:t xml:space="preserve">Yang L. Wong LY. Grivel MM. Hasin DS. (2017). "Stigma and substance use disorders: an international phenomenon." </w:t>
      </w:r>
      <w:r w:rsidDel="00000000" w:rsidR="00000000" w:rsidRPr="00000000">
        <w:rPr>
          <w:i w:val="1"/>
          <w:sz w:val="22"/>
          <w:szCs w:val="22"/>
          <w:rtl w:val="0"/>
        </w:rPr>
        <w:t xml:space="preserve">Current Opinions in Psychiatry</w:t>
      </w:r>
      <w:r w:rsidDel="00000000" w:rsidR="00000000" w:rsidRPr="00000000">
        <w:rPr>
          <w:sz w:val="22"/>
          <w:szCs w:val="22"/>
          <w:rtl w:val="0"/>
        </w:rPr>
        <w:t xml:space="preserve"> 30(5): 378-388.</w:t>
      </w:r>
    </w:p>
    <w:p w:rsidR="00000000" w:rsidDel="00000000" w:rsidP="00000000" w:rsidRDefault="00000000" w:rsidRPr="00000000" w14:paraId="000010F5">
      <w:pPr>
        <w:jc w:val="both"/>
        <w:rPr>
          <w:sz w:val="22"/>
          <w:szCs w:val="22"/>
        </w:rPr>
      </w:pPr>
      <w:r w:rsidDel="00000000" w:rsidR="00000000" w:rsidRPr="00000000">
        <w:rPr>
          <w:sz w:val="22"/>
          <w:szCs w:val="22"/>
          <w:rtl w:val="0"/>
        </w:rPr>
        <w:tab/>
      </w:r>
    </w:p>
    <w:p w:rsidR="00000000" w:rsidDel="00000000" w:rsidP="00000000" w:rsidRDefault="00000000" w:rsidRPr="00000000" w14:paraId="000010F6">
      <w:pPr>
        <w:jc w:val="both"/>
        <w:rPr>
          <w:sz w:val="22"/>
          <w:szCs w:val="22"/>
        </w:rPr>
      </w:pPr>
      <w:r w:rsidDel="00000000" w:rsidR="00000000" w:rsidRPr="00000000">
        <w:rPr>
          <w:sz w:val="22"/>
          <w:szCs w:val="22"/>
          <w:rtl w:val="0"/>
        </w:rPr>
        <w:t xml:space="preserve">Yang S. Gu C. (2023). "Exploring the principles of the influence of mental illness on decision-making." </w:t>
      </w:r>
      <w:r w:rsidDel="00000000" w:rsidR="00000000" w:rsidRPr="00000000">
        <w:rPr>
          <w:i w:val="1"/>
          <w:sz w:val="22"/>
          <w:szCs w:val="22"/>
          <w:rtl w:val="0"/>
        </w:rPr>
        <w:t xml:space="preserve">SHS Web of Conferences</w:t>
      </w:r>
      <w:r w:rsidDel="00000000" w:rsidR="00000000" w:rsidRPr="00000000">
        <w:rPr>
          <w:sz w:val="22"/>
          <w:szCs w:val="22"/>
          <w:rtl w:val="0"/>
        </w:rPr>
        <w:t xml:space="preserve"> 162: 1-9.</w:t>
      </w:r>
    </w:p>
    <w:p w:rsidR="00000000" w:rsidDel="00000000" w:rsidP="00000000" w:rsidRDefault="00000000" w:rsidRPr="00000000" w14:paraId="000010F7">
      <w:pPr>
        <w:jc w:val="both"/>
        <w:rPr>
          <w:sz w:val="22"/>
          <w:szCs w:val="22"/>
        </w:rPr>
      </w:pPr>
      <w:r w:rsidDel="00000000" w:rsidR="00000000" w:rsidRPr="00000000">
        <w:rPr>
          <w:sz w:val="22"/>
          <w:szCs w:val="22"/>
          <w:rtl w:val="0"/>
        </w:rPr>
        <w:tab/>
      </w:r>
    </w:p>
    <w:p w:rsidR="00000000" w:rsidDel="00000000" w:rsidP="00000000" w:rsidRDefault="00000000" w:rsidRPr="00000000" w14:paraId="000010F8">
      <w:pPr>
        <w:jc w:val="both"/>
        <w:rPr>
          <w:sz w:val="22"/>
          <w:szCs w:val="22"/>
        </w:rPr>
      </w:pPr>
      <w:r w:rsidDel="00000000" w:rsidR="00000000" w:rsidRPr="00000000">
        <w:rPr>
          <w:sz w:val="22"/>
          <w:szCs w:val="22"/>
          <w:rtl w:val="0"/>
        </w:rPr>
        <w:t xml:space="preserve">Yanos PT. Ziedonis DM. (2006). "The patient-oriented clinician-researcher: Advantages and challenges of being a double agent." </w:t>
      </w:r>
      <w:r w:rsidDel="00000000" w:rsidR="00000000" w:rsidRPr="00000000">
        <w:rPr>
          <w:i w:val="1"/>
          <w:sz w:val="22"/>
          <w:szCs w:val="22"/>
          <w:rtl w:val="0"/>
        </w:rPr>
        <w:t xml:space="preserve">Psychiatric Services</w:t>
      </w:r>
      <w:r w:rsidDel="00000000" w:rsidR="00000000" w:rsidRPr="00000000">
        <w:rPr>
          <w:sz w:val="22"/>
          <w:szCs w:val="22"/>
          <w:rtl w:val="0"/>
        </w:rPr>
        <w:t xml:space="preserve"> 57(2): 249-253.</w:t>
      </w:r>
    </w:p>
    <w:p w:rsidR="00000000" w:rsidDel="00000000" w:rsidP="00000000" w:rsidRDefault="00000000" w:rsidRPr="00000000" w14:paraId="000010F9">
      <w:pPr>
        <w:jc w:val="both"/>
        <w:rPr>
          <w:i w:val="1"/>
          <w:sz w:val="22"/>
          <w:szCs w:val="22"/>
        </w:rPr>
      </w:pPr>
      <w:r w:rsidDel="00000000" w:rsidR="00000000" w:rsidRPr="00000000">
        <w:rPr>
          <w:sz w:val="22"/>
          <w:szCs w:val="22"/>
          <w:rtl w:val="0"/>
        </w:rPr>
        <w:t xml:space="preserve">Yarborough BJH. Stumbo SP. Scheider J. Lapham GT. Negriff S. Rossom RC. (2024). "Patient perspectives on mental health and pain management support needed versus received during opioid deprescribing." </w:t>
      </w:r>
      <w:r w:rsidDel="00000000" w:rsidR="00000000" w:rsidRPr="00000000">
        <w:rPr>
          <w:i w:val="1"/>
          <w:sz w:val="22"/>
          <w:szCs w:val="22"/>
          <w:rtl w:val="0"/>
        </w:rPr>
        <w:t xml:space="preserve">The Journal of Pain.</w:t>
      </w:r>
    </w:p>
    <w:p w:rsidR="00000000" w:rsidDel="00000000" w:rsidP="00000000" w:rsidRDefault="00000000" w:rsidRPr="00000000" w14:paraId="000010FA">
      <w:pPr>
        <w:jc w:val="both"/>
        <w:rPr>
          <w:i w:val="1"/>
          <w:sz w:val="22"/>
          <w:szCs w:val="22"/>
        </w:rPr>
      </w:pPr>
      <w:r w:rsidDel="00000000" w:rsidR="00000000" w:rsidRPr="00000000">
        <w:rPr>
          <w:rtl w:val="0"/>
        </w:rPr>
      </w:r>
    </w:p>
    <w:p w:rsidR="00000000" w:rsidDel="00000000" w:rsidP="00000000" w:rsidRDefault="00000000" w:rsidRPr="00000000" w14:paraId="000010FB">
      <w:pPr>
        <w:jc w:val="both"/>
        <w:rPr>
          <w:sz w:val="22"/>
          <w:szCs w:val="22"/>
        </w:rPr>
      </w:pPr>
      <w:r w:rsidDel="00000000" w:rsidR="00000000" w:rsidRPr="00000000">
        <w:rPr>
          <w:sz w:val="22"/>
          <w:szCs w:val="22"/>
          <w:rtl w:val="0"/>
        </w:rPr>
        <w:t xml:space="preserve">Yassen AO. Mahmud NM. Bilal AD. Wahab MSA. (2024). "Antidepressant adherence among outpatients with major depressive disorder." </w:t>
      </w:r>
      <w:r w:rsidDel="00000000" w:rsidR="00000000" w:rsidRPr="00000000">
        <w:rPr>
          <w:i w:val="1"/>
          <w:sz w:val="22"/>
          <w:szCs w:val="22"/>
          <w:rtl w:val="0"/>
        </w:rPr>
        <w:t xml:space="preserve">Pharmacia</w:t>
      </w:r>
      <w:r w:rsidDel="00000000" w:rsidR="00000000" w:rsidRPr="00000000">
        <w:rPr>
          <w:sz w:val="22"/>
          <w:szCs w:val="22"/>
          <w:rtl w:val="0"/>
        </w:rPr>
        <w:t xml:space="preserve"> 71: 1-10.</w:t>
      </w:r>
    </w:p>
    <w:p w:rsidR="00000000" w:rsidDel="00000000" w:rsidP="00000000" w:rsidRDefault="00000000" w:rsidRPr="00000000" w14:paraId="000010FC">
      <w:pPr>
        <w:jc w:val="both"/>
        <w:rPr>
          <w:sz w:val="22"/>
          <w:szCs w:val="22"/>
        </w:rPr>
      </w:pPr>
      <w:r w:rsidDel="00000000" w:rsidR="00000000" w:rsidRPr="00000000">
        <w:rPr>
          <w:rtl w:val="0"/>
        </w:rPr>
      </w:r>
    </w:p>
    <w:p w:rsidR="00000000" w:rsidDel="00000000" w:rsidP="00000000" w:rsidRDefault="00000000" w:rsidRPr="00000000" w14:paraId="000010FD">
      <w:pPr>
        <w:jc w:val="both"/>
        <w:rPr>
          <w:sz w:val="22"/>
          <w:szCs w:val="22"/>
        </w:rPr>
      </w:pPr>
      <w:r w:rsidDel="00000000" w:rsidR="00000000" w:rsidRPr="00000000">
        <w:rPr>
          <w:sz w:val="22"/>
          <w:szCs w:val="22"/>
          <w:rtl w:val="0"/>
        </w:rPr>
        <w:t xml:space="preserve">Yen CF. Yen CN. Ko CH. Hwang TJ. Chen CS. Chen TT. Su PW. Chen ST. Lin JJ. (2015). "Correlates of Dependence and Beliefs About the Use of Hypnotics Among Zolpidem and Zopiclone Users." </w:t>
      </w:r>
      <w:r w:rsidDel="00000000" w:rsidR="00000000" w:rsidRPr="00000000">
        <w:rPr>
          <w:i w:val="1"/>
          <w:sz w:val="22"/>
          <w:szCs w:val="22"/>
          <w:rtl w:val="0"/>
        </w:rPr>
        <w:t xml:space="preserve">Substance Use and Misuse</w:t>
      </w:r>
      <w:r w:rsidDel="00000000" w:rsidR="00000000" w:rsidRPr="00000000">
        <w:rPr>
          <w:sz w:val="22"/>
          <w:szCs w:val="22"/>
          <w:rtl w:val="0"/>
        </w:rPr>
        <w:t xml:space="preserve">. 50: 350-357.</w:t>
      </w:r>
    </w:p>
    <w:p w:rsidR="00000000" w:rsidDel="00000000" w:rsidP="00000000" w:rsidRDefault="00000000" w:rsidRPr="00000000" w14:paraId="000010FE">
      <w:pPr>
        <w:jc w:val="both"/>
        <w:rPr>
          <w:sz w:val="22"/>
          <w:szCs w:val="22"/>
        </w:rPr>
      </w:pPr>
      <w:r w:rsidDel="00000000" w:rsidR="00000000" w:rsidRPr="00000000">
        <w:rPr>
          <w:sz w:val="22"/>
          <w:szCs w:val="22"/>
          <w:rtl w:val="0"/>
        </w:rPr>
        <w:tab/>
      </w:r>
    </w:p>
    <w:p w:rsidR="00000000" w:rsidDel="00000000" w:rsidP="00000000" w:rsidRDefault="00000000" w:rsidRPr="00000000" w14:paraId="000010FF">
      <w:pPr>
        <w:jc w:val="both"/>
        <w:rPr>
          <w:sz w:val="22"/>
          <w:szCs w:val="22"/>
        </w:rPr>
      </w:pPr>
      <w:r w:rsidDel="00000000" w:rsidR="00000000" w:rsidRPr="00000000">
        <w:rPr>
          <w:sz w:val="22"/>
          <w:szCs w:val="22"/>
          <w:rtl w:val="0"/>
        </w:rPr>
        <w:t xml:space="preserve">Yin RK. (2009). Case study research: design and methods. Los Angeles, Sage.</w:t>
      </w:r>
    </w:p>
    <w:p w:rsidR="00000000" w:rsidDel="00000000" w:rsidP="00000000" w:rsidRDefault="00000000" w:rsidRPr="00000000" w14:paraId="00001100">
      <w:pPr>
        <w:jc w:val="both"/>
        <w:rPr>
          <w:sz w:val="22"/>
          <w:szCs w:val="22"/>
        </w:rPr>
      </w:pPr>
      <w:r w:rsidDel="00000000" w:rsidR="00000000" w:rsidRPr="00000000">
        <w:rPr>
          <w:rtl w:val="0"/>
        </w:rPr>
      </w:r>
    </w:p>
    <w:p w:rsidR="00000000" w:rsidDel="00000000" w:rsidP="00000000" w:rsidRDefault="00000000" w:rsidRPr="00000000" w14:paraId="00001101">
      <w:pPr>
        <w:jc w:val="both"/>
        <w:rPr>
          <w:i w:val="1"/>
          <w:sz w:val="22"/>
          <w:szCs w:val="22"/>
        </w:rPr>
      </w:pPr>
      <w:r w:rsidDel="00000000" w:rsidR="00000000" w:rsidRPr="00000000">
        <w:rPr>
          <w:sz w:val="22"/>
          <w:szCs w:val="22"/>
          <w:rtl w:val="0"/>
        </w:rPr>
        <w:t xml:space="preserve">Yonkers KA. Gilstad-Hayden K. Forray A. Lipkind HS. (2017). "Association of Panic Disorder, Generalized Anxiety Disorder, and Benzodiazepine Treatment During Pregnancy With Risk of Adverse Birth Outcomes." </w:t>
      </w:r>
      <w:r w:rsidDel="00000000" w:rsidR="00000000" w:rsidRPr="00000000">
        <w:rPr>
          <w:i w:val="1"/>
          <w:sz w:val="22"/>
          <w:szCs w:val="22"/>
          <w:rtl w:val="0"/>
        </w:rPr>
        <w:t xml:space="preserve">JAMA Psychiatry.</w:t>
      </w:r>
    </w:p>
    <w:p w:rsidR="00000000" w:rsidDel="00000000" w:rsidP="00000000" w:rsidRDefault="00000000" w:rsidRPr="00000000" w14:paraId="00001102">
      <w:pPr>
        <w:jc w:val="both"/>
        <w:rPr>
          <w:sz w:val="22"/>
          <w:szCs w:val="22"/>
        </w:rPr>
      </w:pPr>
      <w:r w:rsidDel="00000000" w:rsidR="00000000" w:rsidRPr="00000000">
        <w:rPr>
          <w:sz w:val="22"/>
          <w:szCs w:val="22"/>
          <w:rtl w:val="0"/>
        </w:rPr>
        <w:tab/>
      </w:r>
    </w:p>
    <w:p w:rsidR="00000000" w:rsidDel="00000000" w:rsidP="00000000" w:rsidRDefault="00000000" w:rsidRPr="00000000" w14:paraId="00001103">
      <w:pPr>
        <w:jc w:val="both"/>
        <w:rPr>
          <w:sz w:val="22"/>
          <w:szCs w:val="22"/>
        </w:rPr>
      </w:pPr>
      <w:r w:rsidDel="00000000" w:rsidR="00000000" w:rsidRPr="00000000">
        <w:rPr>
          <w:sz w:val="22"/>
          <w:szCs w:val="22"/>
          <w:rtl w:val="0"/>
        </w:rPr>
        <w:t xml:space="preserve">YouGov.co.uk (2023). How good or bad are national NHS services. YouGov.co.uk.</w:t>
      </w:r>
    </w:p>
    <w:p w:rsidR="00000000" w:rsidDel="00000000" w:rsidP="00000000" w:rsidRDefault="00000000" w:rsidRPr="00000000" w14:paraId="00001104">
      <w:pPr>
        <w:jc w:val="both"/>
        <w:rPr>
          <w:sz w:val="22"/>
          <w:szCs w:val="22"/>
        </w:rPr>
      </w:pPr>
      <w:r w:rsidDel="00000000" w:rsidR="00000000" w:rsidRPr="00000000">
        <w:rPr>
          <w:sz w:val="22"/>
          <w:szCs w:val="22"/>
          <w:rtl w:val="0"/>
        </w:rPr>
        <w:tab/>
      </w:r>
    </w:p>
    <w:p w:rsidR="00000000" w:rsidDel="00000000" w:rsidP="00000000" w:rsidRDefault="00000000" w:rsidRPr="00000000" w14:paraId="00001105">
      <w:pPr>
        <w:jc w:val="both"/>
        <w:rPr>
          <w:sz w:val="22"/>
          <w:szCs w:val="22"/>
        </w:rPr>
      </w:pPr>
      <w:r w:rsidDel="00000000" w:rsidR="00000000" w:rsidRPr="00000000">
        <w:rPr>
          <w:sz w:val="22"/>
          <w:szCs w:val="22"/>
          <w:rtl w:val="0"/>
        </w:rPr>
        <w:t xml:space="preserve">Yousuf I. (2023). Exploring the Advantages and Disadvantages of Behaviour Therapy. Transformation International Wellness Clinics. Available at: </w:t>
      </w:r>
      <w:hyperlink r:id="rId118">
        <w:r w:rsidDel="00000000" w:rsidR="00000000" w:rsidRPr="00000000">
          <w:rPr>
            <w:color w:val="467886"/>
            <w:sz w:val="22"/>
            <w:szCs w:val="22"/>
            <w:u w:val="single"/>
            <w:rtl w:val="0"/>
          </w:rPr>
          <w:t xml:space="preserve">https://transformation.com.pk/exploring-the-advantages-and-disadvantages-of-behavior-therapy/</w:t>
        </w:r>
      </w:hyperlink>
      <w:r w:rsidDel="00000000" w:rsidR="00000000" w:rsidRPr="00000000">
        <w:rPr>
          <w:sz w:val="22"/>
          <w:szCs w:val="22"/>
          <w:rtl w:val="0"/>
        </w:rPr>
        <w:t xml:space="preserve"> (17/10/2024)</w:t>
      </w:r>
    </w:p>
    <w:p w:rsidR="00000000" w:rsidDel="00000000" w:rsidP="00000000" w:rsidRDefault="00000000" w:rsidRPr="00000000" w14:paraId="00001106">
      <w:pPr>
        <w:jc w:val="both"/>
        <w:rPr>
          <w:sz w:val="22"/>
          <w:szCs w:val="22"/>
        </w:rPr>
      </w:pPr>
      <w:r w:rsidDel="00000000" w:rsidR="00000000" w:rsidRPr="00000000">
        <w:rPr>
          <w:sz w:val="22"/>
          <w:szCs w:val="22"/>
          <w:rtl w:val="0"/>
        </w:rPr>
        <w:tab/>
      </w:r>
    </w:p>
    <w:p w:rsidR="00000000" w:rsidDel="00000000" w:rsidP="00000000" w:rsidRDefault="00000000" w:rsidRPr="00000000" w14:paraId="00001107">
      <w:pPr>
        <w:jc w:val="both"/>
        <w:rPr>
          <w:sz w:val="22"/>
          <w:szCs w:val="22"/>
        </w:rPr>
      </w:pPr>
      <w:r w:rsidDel="00000000" w:rsidR="00000000" w:rsidRPr="00000000">
        <w:rPr>
          <w:sz w:val="22"/>
          <w:szCs w:val="22"/>
          <w:rtl w:val="0"/>
        </w:rPr>
        <w:t xml:space="preserve">Yu C. Boone C. Askarian-Monavvari R. Brown T. (2021). "Trends in pharmacotherapy for anxiety and depression during COVID-19: A North York area pilot study." </w:t>
      </w:r>
      <w:r w:rsidDel="00000000" w:rsidR="00000000" w:rsidRPr="00000000">
        <w:rPr>
          <w:i w:val="1"/>
          <w:sz w:val="22"/>
          <w:szCs w:val="22"/>
          <w:rtl w:val="0"/>
        </w:rPr>
        <w:t xml:space="preserve">Un Toronto Med</w:t>
      </w:r>
      <w:r w:rsidDel="00000000" w:rsidR="00000000" w:rsidRPr="00000000">
        <w:rPr>
          <w:sz w:val="22"/>
          <w:szCs w:val="22"/>
          <w:rtl w:val="0"/>
        </w:rPr>
        <w:t xml:space="preserve"> 98: 41-46.</w:t>
      </w:r>
    </w:p>
    <w:p w:rsidR="00000000" w:rsidDel="00000000" w:rsidP="00000000" w:rsidRDefault="00000000" w:rsidRPr="00000000" w14:paraId="00001108">
      <w:pPr>
        <w:jc w:val="both"/>
        <w:rPr>
          <w:sz w:val="22"/>
          <w:szCs w:val="22"/>
        </w:rPr>
      </w:pPr>
      <w:r w:rsidDel="00000000" w:rsidR="00000000" w:rsidRPr="00000000">
        <w:rPr>
          <w:sz w:val="22"/>
          <w:szCs w:val="22"/>
          <w:rtl w:val="0"/>
        </w:rPr>
        <w:tab/>
      </w:r>
    </w:p>
    <w:p w:rsidR="00000000" w:rsidDel="00000000" w:rsidP="00000000" w:rsidRDefault="00000000" w:rsidRPr="00000000" w14:paraId="00001109">
      <w:pPr>
        <w:jc w:val="both"/>
        <w:rPr>
          <w:sz w:val="22"/>
          <w:szCs w:val="22"/>
        </w:rPr>
      </w:pPr>
      <w:r w:rsidDel="00000000" w:rsidR="00000000" w:rsidRPr="00000000">
        <w:rPr>
          <w:sz w:val="22"/>
          <w:szCs w:val="22"/>
          <w:rtl w:val="0"/>
        </w:rPr>
        <w:t xml:space="preserve">Zamboni P. Galeotti R. Menegatti E. Malagnoni AM. Tacconi G. Dall'Ara S. Bartolomei I. Salvi F. (2009). "Chronic cerebrospinal venous insufficiency in patients with multiple sclerosis." </w:t>
      </w:r>
      <w:r w:rsidDel="00000000" w:rsidR="00000000" w:rsidRPr="00000000">
        <w:rPr>
          <w:i w:val="1"/>
          <w:sz w:val="22"/>
          <w:szCs w:val="22"/>
          <w:rtl w:val="0"/>
        </w:rPr>
        <w:t xml:space="preserve">Journal of Neurology, Neurosurgery, and Psychiatry</w:t>
      </w:r>
      <w:r w:rsidDel="00000000" w:rsidR="00000000" w:rsidRPr="00000000">
        <w:rPr>
          <w:sz w:val="22"/>
          <w:szCs w:val="22"/>
          <w:rtl w:val="0"/>
        </w:rPr>
        <w:t xml:space="preserve"> 80: 392-409.</w:t>
      </w:r>
    </w:p>
    <w:p w:rsidR="00000000" w:rsidDel="00000000" w:rsidP="00000000" w:rsidRDefault="00000000" w:rsidRPr="00000000" w14:paraId="0000110A">
      <w:pPr>
        <w:jc w:val="both"/>
        <w:rPr>
          <w:sz w:val="22"/>
          <w:szCs w:val="22"/>
        </w:rPr>
      </w:pPr>
      <w:r w:rsidDel="00000000" w:rsidR="00000000" w:rsidRPr="00000000">
        <w:rPr>
          <w:sz w:val="22"/>
          <w:szCs w:val="22"/>
          <w:rtl w:val="0"/>
        </w:rPr>
        <w:tab/>
      </w:r>
    </w:p>
    <w:p w:rsidR="00000000" w:rsidDel="00000000" w:rsidP="00000000" w:rsidRDefault="00000000" w:rsidRPr="00000000" w14:paraId="0000110B">
      <w:pPr>
        <w:jc w:val="both"/>
        <w:rPr>
          <w:sz w:val="22"/>
          <w:szCs w:val="22"/>
        </w:rPr>
      </w:pPr>
      <w:r w:rsidDel="00000000" w:rsidR="00000000" w:rsidRPr="00000000">
        <w:rPr>
          <w:sz w:val="22"/>
          <w:szCs w:val="22"/>
          <w:rtl w:val="0"/>
        </w:rPr>
        <w:t xml:space="preserve">Zgierska A. Miller M. Rabago D. (2021). "Patient Satisfaction, Prescription Drug Abuse, and Potential Unintended Consequences." JAMA 307(13).</w:t>
      </w:r>
    </w:p>
    <w:p w:rsidR="00000000" w:rsidDel="00000000" w:rsidP="00000000" w:rsidRDefault="00000000" w:rsidRPr="00000000" w14:paraId="0000110C">
      <w:pPr>
        <w:jc w:val="both"/>
        <w:rPr>
          <w:sz w:val="22"/>
          <w:szCs w:val="22"/>
        </w:rPr>
      </w:pPr>
      <w:r w:rsidDel="00000000" w:rsidR="00000000" w:rsidRPr="00000000">
        <w:rPr>
          <w:sz w:val="22"/>
          <w:szCs w:val="22"/>
          <w:rtl w:val="0"/>
        </w:rPr>
        <w:tab/>
      </w:r>
    </w:p>
    <w:p w:rsidR="00000000" w:rsidDel="00000000" w:rsidP="00000000" w:rsidRDefault="00000000" w:rsidRPr="00000000" w14:paraId="0000110D">
      <w:pPr>
        <w:jc w:val="both"/>
        <w:rPr>
          <w:sz w:val="22"/>
          <w:szCs w:val="22"/>
        </w:rPr>
      </w:pPr>
      <w:r w:rsidDel="00000000" w:rsidR="00000000" w:rsidRPr="00000000">
        <w:rPr>
          <w:sz w:val="22"/>
          <w:szCs w:val="22"/>
          <w:rtl w:val="0"/>
        </w:rPr>
        <w:t xml:space="preserve">Zhang Z. Gerstein DR. Friedmann PD. (2008). "Patient Satisfaction and Sustained Outcomes of Drug Abuse Treatment." Journal of Health Psychology 13(3): 388-400.</w:t>
      </w:r>
    </w:p>
    <w:p w:rsidR="00000000" w:rsidDel="00000000" w:rsidP="00000000" w:rsidRDefault="00000000" w:rsidRPr="00000000" w14:paraId="0000110E">
      <w:pPr>
        <w:jc w:val="both"/>
        <w:rPr>
          <w:sz w:val="22"/>
          <w:szCs w:val="22"/>
        </w:rPr>
      </w:pPr>
      <w:r w:rsidDel="00000000" w:rsidR="00000000" w:rsidRPr="00000000">
        <w:rPr>
          <w:sz w:val="22"/>
          <w:szCs w:val="22"/>
          <w:rtl w:val="0"/>
        </w:rPr>
        <w:tab/>
      </w:r>
    </w:p>
    <w:p w:rsidR="00000000" w:rsidDel="00000000" w:rsidP="00000000" w:rsidRDefault="00000000" w:rsidRPr="00000000" w14:paraId="0000110F">
      <w:pPr>
        <w:jc w:val="both"/>
        <w:rPr>
          <w:sz w:val="22"/>
          <w:szCs w:val="22"/>
        </w:rPr>
      </w:pPr>
      <w:r w:rsidDel="00000000" w:rsidR="00000000" w:rsidRPr="00000000">
        <w:rPr>
          <w:sz w:val="22"/>
          <w:szCs w:val="22"/>
          <w:rtl w:val="0"/>
        </w:rPr>
        <w:t xml:space="preserve">Zin C. Chen L. Knaggs R. (2014). "Changes in trends and pattern of strong opioid prescribing in primary care." </w:t>
      </w:r>
      <w:r w:rsidDel="00000000" w:rsidR="00000000" w:rsidRPr="00000000">
        <w:rPr>
          <w:i w:val="1"/>
          <w:sz w:val="22"/>
          <w:szCs w:val="22"/>
          <w:rtl w:val="0"/>
        </w:rPr>
        <w:t xml:space="preserve">Eur J Pain</w:t>
      </w:r>
      <w:r w:rsidDel="00000000" w:rsidR="00000000" w:rsidRPr="00000000">
        <w:rPr>
          <w:sz w:val="22"/>
          <w:szCs w:val="22"/>
          <w:rtl w:val="0"/>
        </w:rPr>
        <w:t xml:space="preserve"> 18(9): 1343-1351.</w:t>
      </w:r>
    </w:p>
    <w:p w:rsidR="00000000" w:rsidDel="00000000" w:rsidP="00000000" w:rsidRDefault="00000000" w:rsidRPr="00000000" w14:paraId="00001110">
      <w:pPr>
        <w:jc w:val="both"/>
        <w:rPr>
          <w:sz w:val="22"/>
          <w:szCs w:val="22"/>
        </w:rPr>
      </w:pPr>
      <w:r w:rsidDel="00000000" w:rsidR="00000000" w:rsidRPr="00000000">
        <w:rPr>
          <w:sz w:val="22"/>
          <w:szCs w:val="22"/>
          <w:rtl w:val="0"/>
        </w:rPr>
        <w:tab/>
      </w:r>
    </w:p>
    <w:p w:rsidR="00000000" w:rsidDel="00000000" w:rsidP="00000000" w:rsidRDefault="00000000" w:rsidRPr="00000000" w14:paraId="00001111">
      <w:pPr>
        <w:jc w:val="both"/>
        <w:rPr>
          <w:sz w:val="22"/>
          <w:szCs w:val="22"/>
        </w:rPr>
      </w:pPr>
      <w:r w:rsidDel="00000000" w:rsidR="00000000" w:rsidRPr="00000000">
        <w:rPr>
          <w:sz w:val="22"/>
          <w:szCs w:val="22"/>
          <w:rtl w:val="0"/>
        </w:rPr>
        <w:t xml:space="preserve">Zisman-Ilani Y. Byrne L. (2023). "Shared Decision Making and Peer Support: New Directions for Research and Practice." </w:t>
      </w:r>
      <w:r w:rsidDel="00000000" w:rsidR="00000000" w:rsidRPr="00000000">
        <w:rPr>
          <w:i w:val="1"/>
          <w:sz w:val="22"/>
          <w:szCs w:val="22"/>
          <w:rtl w:val="0"/>
        </w:rPr>
        <w:t xml:space="preserve">Psychiatr Serv.</w:t>
      </w:r>
      <w:r w:rsidDel="00000000" w:rsidR="00000000" w:rsidRPr="00000000">
        <w:rPr>
          <w:sz w:val="22"/>
          <w:szCs w:val="22"/>
          <w:rtl w:val="0"/>
        </w:rPr>
        <w:t xml:space="preserve"> 74(4): 427-428.</w:t>
      </w:r>
    </w:p>
    <w:p w:rsidR="00000000" w:rsidDel="00000000" w:rsidP="00000000" w:rsidRDefault="00000000" w:rsidRPr="00000000" w14:paraId="00001112">
      <w:pPr>
        <w:jc w:val="both"/>
        <w:rPr>
          <w:sz w:val="22"/>
          <w:szCs w:val="22"/>
        </w:rPr>
      </w:pPr>
      <w:r w:rsidDel="00000000" w:rsidR="00000000" w:rsidRPr="00000000">
        <w:rPr>
          <w:rtl w:val="0"/>
        </w:rPr>
      </w:r>
    </w:p>
    <w:p w:rsidR="00000000" w:rsidDel="00000000" w:rsidP="00000000" w:rsidRDefault="00000000" w:rsidRPr="00000000" w14:paraId="00001113">
      <w:pPr>
        <w:jc w:val="both"/>
        <w:rPr>
          <w:sz w:val="22"/>
          <w:szCs w:val="22"/>
        </w:rPr>
      </w:pPr>
      <w:r w:rsidDel="00000000" w:rsidR="00000000" w:rsidRPr="00000000">
        <w:rPr>
          <w:sz w:val="22"/>
          <w:szCs w:val="22"/>
          <w:rtl w:val="0"/>
        </w:rPr>
        <w:t xml:space="preserve">Zucker I. Prendergast BJ. (2020). Sex differences in pharmacokinetics predict adverse drug reactions in women. Biology of Sex Differences. 11(32): 1-14</w:t>
      </w:r>
    </w:p>
    <w:p w:rsidR="00000000" w:rsidDel="00000000" w:rsidP="00000000" w:rsidRDefault="00000000" w:rsidRPr="00000000" w14:paraId="00001114">
      <w:pPr>
        <w:rPr/>
      </w:pPr>
      <w:r w:rsidDel="00000000" w:rsidR="00000000" w:rsidRPr="00000000">
        <w:rPr>
          <w:rtl w:val="0"/>
        </w:rPr>
      </w:r>
    </w:p>
    <w:p w:rsidR="00000000" w:rsidDel="00000000" w:rsidP="00000000" w:rsidRDefault="00000000" w:rsidRPr="00000000" w14:paraId="00001115">
      <w:pPr>
        <w:rPr/>
      </w:pPr>
      <w:r w:rsidDel="00000000" w:rsidR="00000000" w:rsidRPr="00000000">
        <w:rPr>
          <w:rtl w:val="0"/>
        </w:rPr>
      </w:r>
    </w:p>
    <w:p w:rsidR="00000000" w:rsidDel="00000000" w:rsidP="00000000" w:rsidRDefault="00000000" w:rsidRPr="00000000" w14:paraId="00001116">
      <w:pPr>
        <w:rPr/>
      </w:pPr>
      <w:r w:rsidDel="00000000" w:rsidR="00000000" w:rsidRPr="00000000">
        <w:rPr>
          <w:rtl w:val="0"/>
        </w:rPr>
      </w:r>
    </w:p>
    <w:p w:rsidR="00000000" w:rsidDel="00000000" w:rsidP="00000000" w:rsidRDefault="00000000" w:rsidRPr="00000000" w14:paraId="00001117">
      <w:pPr>
        <w:rPr/>
      </w:pPr>
      <w:r w:rsidDel="00000000" w:rsidR="00000000" w:rsidRPr="00000000">
        <w:rPr>
          <w:rtl w:val="0"/>
        </w:rPr>
      </w:r>
    </w:p>
    <w:p w:rsidR="00000000" w:rsidDel="00000000" w:rsidP="00000000" w:rsidRDefault="00000000" w:rsidRPr="00000000" w14:paraId="00001118">
      <w:pPr>
        <w:rPr/>
      </w:pPr>
      <w:r w:rsidDel="00000000" w:rsidR="00000000" w:rsidRPr="00000000">
        <w:rPr>
          <w:rtl w:val="0"/>
        </w:rPr>
      </w:r>
    </w:p>
    <w:p w:rsidR="00000000" w:rsidDel="00000000" w:rsidP="00000000" w:rsidRDefault="00000000" w:rsidRPr="00000000" w14:paraId="00001119">
      <w:pPr>
        <w:rPr/>
      </w:pPr>
      <w:r w:rsidDel="00000000" w:rsidR="00000000" w:rsidRPr="00000000">
        <w:rPr>
          <w:rtl w:val="0"/>
        </w:rPr>
      </w:r>
    </w:p>
    <w:p w:rsidR="00000000" w:rsidDel="00000000" w:rsidP="00000000" w:rsidRDefault="00000000" w:rsidRPr="00000000" w14:paraId="0000111A">
      <w:pPr>
        <w:rPr/>
      </w:pPr>
      <w:r w:rsidDel="00000000" w:rsidR="00000000" w:rsidRPr="00000000">
        <w:rPr>
          <w:rtl w:val="0"/>
        </w:rPr>
      </w:r>
    </w:p>
    <w:p w:rsidR="00000000" w:rsidDel="00000000" w:rsidP="00000000" w:rsidRDefault="00000000" w:rsidRPr="00000000" w14:paraId="0000111B">
      <w:pPr>
        <w:rPr/>
      </w:pPr>
      <w:r w:rsidDel="00000000" w:rsidR="00000000" w:rsidRPr="00000000">
        <w:rPr>
          <w:rtl w:val="0"/>
        </w:rPr>
      </w:r>
    </w:p>
    <w:p w:rsidR="00000000" w:rsidDel="00000000" w:rsidP="00000000" w:rsidRDefault="00000000" w:rsidRPr="00000000" w14:paraId="0000111C">
      <w:pPr>
        <w:rPr/>
      </w:pPr>
      <w:r w:rsidDel="00000000" w:rsidR="00000000" w:rsidRPr="00000000">
        <w:rPr>
          <w:rtl w:val="0"/>
        </w:rPr>
      </w:r>
    </w:p>
    <w:p w:rsidR="00000000" w:rsidDel="00000000" w:rsidP="00000000" w:rsidRDefault="00000000" w:rsidRPr="00000000" w14:paraId="0000111D">
      <w:pPr>
        <w:rPr/>
      </w:pPr>
      <w:r w:rsidDel="00000000" w:rsidR="00000000" w:rsidRPr="00000000">
        <w:rPr>
          <w:rtl w:val="0"/>
        </w:rPr>
      </w:r>
    </w:p>
    <w:p w:rsidR="00000000" w:rsidDel="00000000" w:rsidP="00000000" w:rsidRDefault="00000000" w:rsidRPr="00000000" w14:paraId="0000111E">
      <w:pPr>
        <w:rPr/>
      </w:pPr>
      <w:r w:rsidDel="00000000" w:rsidR="00000000" w:rsidRPr="00000000">
        <w:rPr>
          <w:rtl w:val="0"/>
        </w:rPr>
      </w:r>
    </w:p>
    <w:p w:rsidR="00000000" w:rsidDel="00000000" w:rsidP="00000000" w:rsidRDefault="00000000" w:rsidRPr="00000000" w14:paraId="0000111F">
      <w:pPr>
        <w:rPr/>
      </w:pPr>
      <w:r w:rsidDel="00000000" w:rsidR="00000000" w:rsidRPr="00000000">
        <w:rPr>
          <w:rtl w:val="0"/>
        </w:rPr>
      </w:r>
    </w:p>
    <w:p w:rsidR="00000000" w:rsidDel="00000000" w:rsidP="00000000" w:rsidRDefault="00000000" w:rsidRPr="00000000" w14:paraId="00001120">
      <w:pPr>
        <w:rPr/>
      </w:pPr>
      <w:r w:rsidDel="00000000" w:rsidR="00000000" w:rsidRPr="00000000">
        <w:rPr>
          <w:rtl w:val="0"/>
        </w:rPr>
      </w:r>
    </w:p>
    <w:p w:rsidR="00000000" w:rsidDel="00000000" w:rsidP="00000000" w:rsidRDefault="00000000" w:rsidRPr="00000000" w14:paraId="00001121">
      <w:pPr>
        <w:rPr/>
      </w:pPr>
      <w:r w:rsidDel="00000000" w:rsidR="00000000" w:rsidRPr="00000000">
        <w:rPr>
          <w:rtl w:val="0"/>
        </w:rPr>
      </w:r>
    </w:p>
    <w:p w:rsidR="00000000" w:rsidDel="00000000" w:rsidP="00000000" w:rsidRDefault="00000000" w:rsidRPr="00000000" w14:paraId="00001122">
      <w:pPr>
        <w:rPr/>
      </w:pPr>
      <w:r w:rsidDel="00000000" w:rsidR="00000000" w:rsidRPr="00000000">
        <w:rPr>
          <w:rtl w:val="0"/>
        </w:rPr>
      </w:r>
    </w:p>
    <w:p w:rsidR="00000000" w:rsidDel="00000000" w:rsidP="00000000" w:rsidRDefault="00000000" w:rsidRPr="00000000" w14:paraId="00001123">
      <w:pPr>
        <w:rPr/>
      </w:pPr>
      <w:r w:rsidDel="00000000" w:rsidR="00000000" w:rsidRPr="00000000">
        <w:rPr>
          <w:rtl w:val="0"/>
        </w:rPr>
      </w:r>
    </w:p>
    <w:p w:rsidR="00000000" w:rsidDel="00000000" w:rsidP="00000000" w:rsidRDefault="00000000" w:rsidRPr="00000000" w14:paraId="00001124">
      <w:pPr>
        <w:rPr/>
      </w:pPr>
      <w:r w:rsidDel="00000000" w:rsidR="00000000" w:rsidRPr="00000000">
        <w:rPr>
          <w:rtl w:val="0"/>
        </w:rPr>
      </w:r>
    </w:p>
    <w:p w:rsidR="00000000" w:rsidDel="00000000" w:rsidP="00000000" w:rsidRDefault="00000000" w:rsidRPr="00000000" w14:paraId="00001125">
      <w:pPr>
        <w:rPr/>
      </w:pPr>
      <w:r w:rsidDel="00000000" w:rsidR="00000000" w:rsidRPr="00000000">
        <w:rPr>
          <w:rtl w:val="0"/>
        </w:rPr>
      </w:r>
    </w:p>
    <w:p w:rsidR="00000000" w:rsidDel="00000000" w:rsidP="00000000" w:rsidRDefault="00000000" w:rsidRPr="00000000" w14:paraId="00001126">
      <w:pPr>
        <w:rPr/>
      </w:pPr>
      <w:r w:rsidDel="00000000" w:rsidR="00000000" w:rsidRPr="00000000">
        <w:rPr>
          <w:rtl w:val="0"/>
        </w:rPr>
      </w:r>
    </w:p>
    <w:p w:rsidR="00000000" w:rsidDel="00000000" w:rsidP="00000000" w:rsidRDefault="00000000" w:rsidRPr="00000000" w14:paraId="00001127">
      <w:pPr>
        <w:rPr/>
      </w:pPr>
      <w:r w:rsidDel="00000000" w:rsidR="00000000" w:rsidRPr="00000000">
        <w:rPr>
          <w:rtl w:val="0"/>
        </w:rPr>
      </w:r>
    </w:p>
    <w:p w:rsidR="00000000" w:rsidDel="00000000" w:rsidP="00000000" w:rsidRDefault="00000000" w:rsidRPr="00000000" w14:paraId="00001128">
      <w:pPr>
        <w:rPr/>
      </w:pPr>
      <w:r w:rsidDel="00000000" w:rsidR="00000000" w:rsidRPr="00000000">
        <w:rPr>
          <w:rtl w:val="0"/>
        </w:rPr>
      </w:r>
    </w:p>
    <w:p w:rsidR="00000000" w:rsidDel="00000000" w:rsidP="00000000" w:rsidRDefault="00000000" w:rsidRPr="00000000" w14:paraId="00001129">
      <w:pPr>
        <w:rPr/>
      </w:pPr>
      <w:r w:rsidDel="00000000" w:rsidR="00000000" w:rsidRPr="00000000">
        <w:rPr>
          <w:rtl w:val="0"/>
        </w:rPr>
      </w:r>
    </w:p>
    <w:p w:rsidR="00000000" w:rsidDel="00000000" w:rsidP="00000000" w:rsidRDefault="00000000" w:rsidRPr="00000000" w14:paraId="0000112A">
      <w:pPr>
        <w:rPr/>
      </w:pPr>
      <w:r w:rsidDel="00000000" w:rsidR="00000000" w:rsidRPr="00000000">
        <w:rPr>
          <w:rtl w:val="0"/>
        </w:rPr>
      </w:r>
    </w:p>
    <w:p w:rsidR="00000000" w:rsidDel="00000000" w:rsidP="00000000" w:rsidRDefault="00000000" w:rsidRPr="00000000" w14:paraId="0000112B">
      <w:pPr>
        <w:rPr/>
      </w:pPr>
      <w:r w:rsidDel="00000000" w:rsidR="00000000" w:rsidRPr="00000000">
        <w:rPr>
          <w:rtl w:val="0"/>
        </w:rPr>
      </w:r>
    </w:p>
    <w:p w:rsidR="00000000" w:rsidDel="00000000" w:rsidP="00000000" w:rsidRDefault="00000000" w:rsidRPr="00000000" w14:paraId="0000112C">
      <w:pPr>
        <w:rPr/>
      </w:pPr>
      <w:r w:rsidDel="00000000" w:rsidR="00000000" w:rsidRPr="00000000">
        <w:rPr>
          <w:rtl w:val="0"/>
        </w:rPr>
      </w:r>
    </w:p>
    <w:p w:rsidR="00000000" w:rsidDel="00000000" w:rsidP="00000000" w:rsidRDefault="00000000" w:rsidRPr="00000000" w14:paraId="0000112D">
      <w:pPr>
        <w:rPr/>
      </w:pPr>
      <w:r w:rsidDel="00000000" w:rsidR="00000000" w:rsidRPr="00000000">
        <w:rPr>
          <w:rtl w:val="0"/>
        </w:rPr>
      </w:r>
    </w:p>
    <w:p w:rsidR="00000000" w:rsidDel="00000000" w:rsidP="00000000" w:rsidRDefault="00000000" w:rsidRPr="00000000" w14:paraId="0000112E">
      <w:pPr>
        <w:rPr/>
      </w:pPr>
      <w:r w:rsidDel="00000000" w:rsidR="00000000" w:rsidRPr="00000000">
        <w:rPr>
          <w:rtl w:val="0"/>
        </w:rPr>
      </w:r>
    </w:p>
    <w:p w:rsidR="00000000" w:rsidDel="00000000" w:rsidP="00000000" w:rsidRDefault="00000000" w:rsidRPr="00000000" w14:paraId="0000112F">
      <w:pPr>
        <w:rPr/>
      </w:pPr>
      <w:r w:rsidDel="00000000" w:rsidR="00000000" w:rsidRPr="00000000">
        <w:rPr>
          <w:rtl w:val="0"/>
        </w:rPr>
      </w:r>
    </w:p>
    <w:p w:rsidR="00000000" w:rsidDel="00000000" w:rsidP="00000000" w:rsidRDefault="00000000" w:rsidRPr="00000000" w14:paraId="00001130">
      <w:pPr>
        <w:rPr/>
      </w:pPr>
      <w:r w:rsidDel="00000000" w:rsidR="00000000" w:rsidRPr="00000000">
        <w:rPr>
          <w:rtl w:val="0"/>
        </w:rPr>
      </w:r>
    </w:p>
    <w:p w:rsidR="00000000" w:rsidDel="00000000" w:rsidP="00000000" w:rsidRDefault="00000000" w:rsidRPr="00000000" w14:paraId="00001131">
      <w:pPr>
        <w:rPr/>
      </w:pPr>
      <w:r w:rsidDel="00000000" w:rsidR="00000000" w:rsidRPr="00000000">
        <w:rPr>
          <w:rtl w:val="0"/>
        </w:rPr>
      </w:r>
    </w:p>
    <w:p w:rsidR="00000000" w:rsidDel="00000000" w:rsidP="00000000" w:rsidRDefault="00000000" w:rsidRPr="00000000" w14:paraId="00001132">
      <w:pPr>
        <w:rPr/>
      </w:pPr>
      <w:r w:rsidDel="00000000" w:rsidR="00000000" w:rsidRPr="00000000">
        <w:rPr>
          <w:rtl w:val="0"/>
        </w:rPr>
      </w:r>
    </w:p>
    <w:p w:rsidR="00000000" w:rsidDel="00000000" w:rsidP="00000000" w:rsidRDefault="00000000" w:rsidRPr="00000000" w14:paraId="00001133">
      <w:pPr>
        <w:rPr/>
      </w:pPr>
      <w:r w:rsidDel="00000000" w:rsidR="00000000" w:rsidRPr="00000000">
        <w:rPr>
          <w:rtl w:val="0"/>
        </w:rPr>
      </w:r>
    </w:p>
    <w:p w:rsidR="00000000" w:rsidDel="00000000" w:rsidP="00000000" w:rsidRDefault="00000000" w:rsidRPr="00000000" w14:paraId="00001134">
      <w:pPr>
        <w:rPr/>
      </w:pPr>
      <w:r w:rsidDel="00000000" w:rsidR="00000000" w:rsidRPr="00000000">
        <w:rPr>
          <w:rtl w:val="0"/>
        </w:rPr>
      </w:r>
    </w:p>
    <w:p w:rsidR="00000000" w:rsidDel="00000000" w:rsidP="00000000" w:rsidRDefault="00000000" w:rsidRPr="00000000" w14:paraId="00001135">
      <w:pPr>
        <w:rPr/>
      </w:pPr>
      <w:r w:rsidDel="00000000" w:rsidR="00000000" w:rsidRPr="00000000">
        <w:rPr>
          <w:rtl w:val="0"/>
        </w:rPr>
      </w:r>
    </w:p>
    <w:p w:rsidR="00000000" w:rsidDel="00000000" w:rsidP="00000000" w:rsidRDefault="00000000" w:rsidRPr="00000000" w14:paraId="00001136">
      <w:pPr>
        <w:rPr/>
      </w:pPr>
      <w:r w:rsidDel="00000000" w:rsidR="00000000" w:rsidRPr="00000000">
        <w:rPr>
          <w:rtl w:val="0"/>
        </w:rPr>
      </w:r>
    </w:p>
    <w:p w:rsidR="00000000" w:rsidDel="00000000" w:rsidP="00000000" w:rsidRDefault="00000000" w:rsidRPr="00000000" w14:paraId="00001137">
      <w:pPr>
        <w:rPr/>
      </w:pPr>
      <w:r w:rsidDel="00000000" w:rsidR="00000000" w:rsidRPr="00000000">
        <w:rPr>
          <w:rtl w:val="0"/>
        </w:rPr>
      </w:r>
    </w:p>
    <w:p w:rsidR="00000000" w:rsidDel="00000000" w:rsidP="00000000" w:rsidRDefault="00000000" w:rsidRPr="00000000" w14:paraId="00001138">
      <w:pPr>
        <w:rPr/>
      </w:pPr>
      <w:r w:rsidDel="00000000" w:rsidR="00000000" w:rsidRPr="00000000">
        <w:rPr>
          <w:rtl w:val="0"/>
        </w:rPr>
      </w:r>
    </w:p>
    <w:p w:rsidR="00000000" w:rsidDel="00000000" w:rsidP="00000000" w:rsidRDefault="00000000" w:rsidRPr="00000000" w14:paraId="00001139">
      <w:pPr>
        <w:rPr/>
      </w:pPr>
      <w:r w:rsidDel="00000000" w:rsidR="00000000" w:rsidRPr="00000000">
        <w:rPr>
          <w:rtl w:val="0"/>
        </w:rPr>
      </w:r>
    </w:p>
    <w:p w:rsidR="00000000" w:rsidDel="00000000" w:rsidP="00000000" w:rsidRDefault="00000000" w:rsidRPr="00000000" w14:paraId="0000113A">
      <w:pPr>
        <w:rPr/>
      </w:pPr>
      <w:r w:rsidDel="00000000" w:rsidR="00000000" w:rsidRPr="00000000">
        <w:rPr>
          <w:rtl w:val="0"/>
        </w:rPr>
      </w:r>
    </w:p>
    <w:p w:rsidR="00000000" w:rsidDel="00000000" w:rsidP="00000000" w:rsidRDefault="00000000" w:rsidRPr="00000000" w14:paraId="0000113B">
      <w:pPr>
        <w:rPr/>
      </w:pPr>
      <w:r w:rsidDel="00000000" w:rsidR="00000000" w:rsidRPr="00000000">
        <w:rPr>
          <w:rtl w:val="0"/>
        </w:rPr>
      </w:r>
    </w:p>
    <w:p w:rsidR="00000000" w:rsidDel="00000000" w:rsidP="00000000" w:rsidRDefault="00000000" w:rsidRPr="00000000" w14:paraId="0000113C">
      <w:pPr>
        <w:pStyle w:val="Heading1"/>
        <w:rPr/>
        <w:sectPr>
          <w:footerReference r:id="rId119" w:type="default"/>
          <w:footerReference r:id="rId120" w:type="even"/>
          <w:pgSz w:h="16838" w:w="11906" w:orient="portrait"/>
          <w:pgMar w:bottom="1440" w:top="1440" w:left="1440" w:right="1440" w:header="708" w:footer="708"/>
          <w:pgNumType w:start="1"/>
          <w:titlePg w:val="1"/>
        </w:sectPr>
      </w:pPr>
      <w:bookmarkStart w:colFirst="0" w:colLast="0" w:name="_heading=h.1f7o1he" w:id="147"/>
      <w:bookmarkEnd w:id="147"/>
      <w:r w:rsidDel="00000000" w:rsidR="00000000" w:rsidRPr="00000000">
        <w:rPr>
          <w:rtl w:val="0"/>
        </w:rPr>
        <w:t xml:space="preserve">Appendices</w:t>
      </w:r>
    </w:p>
    <w:p w:rsidR="00000000" w:rsidDel="00000000" w:rsidP="00000000" w:rsidRDefault="00000000" w:rsidRPr="00000000" w14:paraId="0000113D">
      <w:pPr>
        <w:pStyle w:val="Heading2"/>
        <w:spacing w:line="480" w:lineRule="auto"/>
        <w:rPr/>
      </w:pPr>
      <w:bookmarkStart w:colFirst="0" w:colLast="0" w:name="_heading=h.3z7bk57" w:id="148"/>
      <w:bookmarkEnd w:id="148"/>
      <w:r w:rsidDel="00000000" w:rsidR="00000000" w:rsidRPr="00000000">
        <w:rPr>
          <w:rtl w:val="0"/>
        </w:rPr>
        <w:t xml:space="preserve">Appendix 1 - A Table of Included Studies from the Literature Searches</w:t>
      </w:r>
    </w:p>
    <w:tbl>
      <w:tblPr>
        <w:tblStyle w:val="Table12"/>
        <w:tblW w:w="14593.999999999998"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A0"/>
      </w:tblPr>
      <w:tblGrid>
        <w:gridCol w:w="479"/>
        <w:gridCol w:w="1281"/>
        <w:gridCol w:w="1264"/>
        <w:gridCol w:w="651"/>
        <w:gridCol w:w="1756"/>
        <w:gridCol w:w="1757"/>
        <w:gridCol w:w="1705"/>
        <w:gridCol w:w="3970"/>
        <w:gridCol w:w="1731"/>
        <w:tblGridChange w:id="0">
          <w:tblGrid>
            <w:gridCol w:w="479"/>
            <w:gridCol w:w="1281"/>
            <w:gridCol w:w="1264"/>
            <w:gridCol w:w="651"/>
            <w:gridCol w:w="1756"/>
            <w:gridCol w:w="1757"/>
            <w:gridCol w:w="1705"/>
            <w:gridCol w:w="3970"/>
            <w:gridCol w:w="1731"/>
          </w:tblGrid>
        </w:tblGridChange>
      </w:tblGrid>
      <w:tr>
        <w:trPr>
          <w:cantSplit w:val="0"/>
          <w:trHeight w:val="340" w:hRule="atLeast"/>
          <w:tblHeader w:val="0"/>
        </w:trPr>
        <w:tc>
          <w:tcPr>
            <w:vAlign w:val="center"/>
          </w:tcPr>
          <w:p w:rsidR="00000000" w:rsidDel="00000000" w:rsidP="00000000" w:rsidRDefault="00000000" w:rsidRPr="00000000" w14:paraId="0000113E">
            <w:pPr>
              <w:jc w:val="center"/>
              <w:rPr>
                <w:color w:val="000000"/>
                <w:sz w:val="18"/>
                <w:szCs w:val="18"/>
              </w:rPr>
            </w:pPr>
            <w:r w:rsidDel="00000000" w:rsidR="00000000" w:rsidRPr="00000000">
              <w:rPr>
                <w:color w:val="000000"/>
                <w:sz w:val="18"/>
                <w:szCs w:val="18"/>
                <w:rtl w:val="0"/>
              </w:rPr>
              <w:t xml:space="preserve">NO</w:t>
            </w:r>
          </w:p>
        </w:tc>
        <w:tc>
          <w:tcPr>
            <w:vAlign w:val="center"/>
          </w:tcPr>
          <w:p w:rsidR="00000000" w:rsidDel="00000000" w:rsidP="00000000" w:rsidRDefault="00000000" w:rsidRPr="00000000" w14:paraId="0000113F">
            <w:pPr>
              <w:jc w:val="center"/>
              <w:rPr>
                <w:color w:val="000000"/>
                <w:sz w:val="18"/>
                <w:szCs w:val="18"/>
              </w:rPr>
            </w:pPr>
            <w:r w:rsidDel="00000000" w:rsidR="00000000" w:rsidRPr="00000000">
              <w:rPr>
                <w:color w:val="000000"/>
                <w:sz w:val="18"/>
                <w:szCs w:val="18"/>
                <w:rtl w:val="0"/>
              </w:rPr>
              <w:t xml:space="preserve">COUNTRY</w:t>
            </w:r>
          </w:p>
        </w:tc>
        <w:tc>
          <w:tcPr>
            <w:vAlign w:val="center"/>
          </w:tcPr>
          <w:p w:rsidR="00000000" w:rsidDel="00000000" w:rsidP="00000000" w:rsidRDefault="00000000" w:rsidRPr="00000000" w14:paraId="00001140">
            <w:pPr>
              <w:jc w:val="center"/>
              <w:rPr>
                <w:color w:val="000000"/>
                <w:sz w:val="18"/>
                <w:szCs w:val="18"/>
              </w:rPr>
            </w:pPr>
            <w:r w:rsidDel="00000000" w:rsidR="00000000" w:rsidRPr="00000000">
              <w:rPr>
                <w:color w:val="000000"/>
                <w:sz w:val="18"/>
                <w:szCs w:val="18"/>
                <w:rtl w:val="0"/>
              </w:rPr>
              <w:t xml:space="preserve">AUTHOR(S)</w:t>
            </w:r>
          </w:p>
        </w:tc>
        <w:tc>
          <w:tcPr>
            <w:vAlign w:val="center"/>
          </w:tcPr>
          <w:p w:rsidR="00000000" w:rsidDel="00000000" w:rsidP="00000000" w:rsidRDefault="00000000" w:rsidRPr="00000000" w14:paraId="00001141">
            <w:pPr>
              <w:jc w:val="center"/>
              <w:rPr>
                <w:color w:val="000000"/>
                <w:sz w:val="18"/>
                <w:szCs w:val="18"/>
              </w:rPr>
            </w:pPr>
            <w:r w:rsidDel="00000000" w:rsidR="00000000" w:rsidRPr="00000000">
              <w:rPr>
                <w:color w:val="000000"/>
                <w:sz w:val="18"/>
                <w:szCs w:val="18"/>
                <w:rtl w:val="0"/>
              </w:rPr>
              <w:t xml:space="preserve">YEAR</w:t>
            </w:r>
          </w:p>
        </w:tc>
        <w:tc>
          <w:tcPr>
            <w:vAlign w:val="center"/>
          </w:tcPr>
          <w:p w:rsidR="00000000" w:rsidDel="00000000" w:rsidP="00000000" w:rsidRDefault="00000000" w:rsidRPr="00000000" w14:paraId="00001142">
            <w:pPr>
              <w:jc w:val="center"/>
              <w:rPr>
                <w:color w:val="000000"/>
                <w:sz w:val="18"/>
                <w:szCs w:val="18"/>
              </w:rPr>
            </w:pPr>
            <w:r w:rsidDel="00000000" w:rsidR="00000000" w:rsidRPr="00000000">
              <w:rPr>
                <w:color w:val="000000"/>
                <w:sz w:val="18"/>
                <w:szCs w:val="18"/>
                <w:rtl w:val="0"/>
              </w:rPr>
              <w:t xml:space="preserve">TITLE</w:t>
            </w:r>
          </w:p>
        </w:tc>
        <w:tc>
          <w:tcPr>
            <w:vAlign w:val="center"/>
          </w:tcPr>
          <w:p w:rsidR="00000000" w:rsidDel="00000000" w:rsidP="00000000" w:rsidRDefault="00000000" w:rsidRPr="00000000" w14:paraId="00001143">
            <w:pPr>
              <w:jc w:val="center"/>
              <w:rPr>
                <w:color w:val="000000"/>
                <w:sz w:val="18"/>
                <w:szCs w:val="18"/>
              </w:rPr>
            </w:pPr>
            <w:r w:rsidDel="00000000" w:rsidR="00000000" w:rsidRPr="00000000">
              <w:rPr>
                <w:color w:val="000000"/>
                <w:sz w:val="18"/>
                <w:szCs w:val="18"/>
                <w:rtl w:val="0"/>
              </w:rPr>
              <w:t xml:space="preserve">METHODOLOGY</w:t>
            </w:r>
          </w:p>
        </w:tc>
        <w:tc>
          <w:tcPr>
            <w:vAlign w:val="center"/>
          </w:tcPr>
          <w:p w:rsidR="00000000" w:rsidDel="00000000" w:rsidP="00000000" w:rsidRDefault="00000000" w:rsidRPr="00000000" w14:paraId="00001144">
            <w:pPr>
              <w:jc w:val="center"/>
              <w:rPr>
                <w:color w:val="000000"/>
                <w:sz w:val="18"/>
                <w:szCs w:val="18"/>
              </w:rPr>
            </w:pPr>
            <w:r w:rsidDel="00000000" w:rsidR="00000000" w:rsidRPr="00000000">
              <w:rPr>
                <w:color w:val="000000"/>
                <w:sz w:val="18"/>
                <w:szCs w:val="18"/>
                <w:rtl w:val="0"/>
              </w:rPr>
              <w:t xml:space="preserve">SAMPLE</w:t>
            </w:r>
          </w:p>
          <w:p w:rsidR="00000000" w:rsidDel="00000000" w:rsidP="00000000" w:rsidRDefault="00000000" w:rsidRPr="00000000" w14:paraId="00001145">
            <w:pPr>
              <w:jc w:val="center"/>
              <w:rPr>
                <w:color w:val="000000"/>
                <w:sz w:val="18"/>
                <w:szCs w:val="18"/>
              </w:rPr>
            </w:pPr>
            <w:r w:rsidDel="00000000" w:rsidR="00000000" w:rsidRPr="00000000">
              <w:rPr>
                <w:color w:val="000000"/>
                <w:sz w:val="18"/>
                <w:szCs w:val="18"/>
                <w:rtl w:val="0"/>
              </w:rPr>
              <w:t xml:space="preserve">SIZE</w:t>
            </w:r>
          </w:p>
        </w:tc>
        <w:tc>
          <w:tcPr>
            <w:vAlign w:val="center"/>
          </w:tcPr>
          <w:p w:rsidR="00000000" w:rsidDel="00000000" w:rsidP="00000000" w:rsidRDefault="00000000" w:rsidRPr="00000000" w14:paraId="00001146">
            <w:pPr>
              <w:jc w:val="center"/>
              <w:rPr>
                <w:color w:val="000000"/>
                <w:sz w:val="18"/>
                <w:szCs w:val="18"/>
              </w:rPr>
            </w:pPr>
            <w:r w:rsidDel="00000000" w:rsidR="00000000" w:rsidRPr="00000000">
              <w:rPr>
                <w:color w:val="000000"/>
                <w:sz w:val="18"/>
                <w:szCs w:val="18"/>
                <w:rtl w:val="0"/>
              </w:rPr>
              <w:t xml:space="preserve">FINDINGS</w:t>
            </w:r>
          </w:p>
        </w:tc>
        <w:tc>
          <w:tcPr>
            <w:vAlign w:val="center"/>
          </w:tcPr>
          <w:p w:rsidR="00000000" w:rsidDel="00000000" w:rsidP="00000000" w:rsidRDefault="00000000" w:rsidRPr="00000000" w14:paraId="00001147">
            <w:pPr>
              <w:jc w:val="center"/>
              <w:rPr>
                <w:color w:val="000000"/>
                <w:sz w:val="18"/>
                <w:szCs w:val="18"/>
              </w:rPr>
            </w:pPr>
            <w:r w:rsidDel="00000000" w:rsidR="00000000" w:rsidRPr="00000000">
              <w:rPr>
                <w:color w:val="000000"/>
                <w:sz w:val="18"/>
                <w:szCs w:val="18"/>
                <w:rtl w:val="0"/>
              </w:rPr>
              <w:t xml:space="preserve">LIMITATIONS</w:t>
            </w:r>
          </w:p>
        </w:tc>
      </w:tr>
      <w:tr>
        <w:trPr>
          <w:cantSplit w:val="0"/>
          <w:trHeight w:val="81" w:hRule="atLeast"/>
          <w:tblHeader w:val="0"/>
        </w:trPr>
        <w:tc>
          <w:tcPr>
            <w:vAlign w:val="center"/>
          </w:tcPr>
          <w:p w:rsidR="00000000" w:rsidDel="00000000" w:rsidP="00000000" w:rsidRDefault="00000000" w:rsidRPr="00000000" w14:paraId="00001148">
            <w:pPr>
              <w:rPr>
                <w:b w:val="0"/>
                <w:color w:val="000000"/>
                <w:sz w:val="18"/>
                <w:szCs w:val="18"/>
              </w:rPr>
            </w:pPr>
            <w:r w:rsidDel="00000000" w:rsidR="00000000" w:rsidRPr="00000000">
              <w:rPr>
                <w:b w:val="0"/>
                <w:color w:val="000000"/>
                <w:sz w:val="18"/>
                <w:szCs w:val="18"/>
                <w:rtl w:val="0"/>
              </w:rPr>
              <w:t xml:space="preserve">1</w:t>
            </w:r>
          </w:p>
        </w:tc>
        <w:tc>
          <w:tcPr>
            <w:vAlign w:val="center"/>
          </w:tcPr>
          <w:p w:rsidR="00000000" w:rsidDel="00000000" w:rsidP="00000000" w:rsidRDefault="00000000" w:rsidRPr="00000000" w14:paraId="00001149">
            <w:pPr>
              <w:rPr>
                <w:b w:val="1"/>
                <w:sz w:val="18"/>
                <w:szCs w:val="18"/>
              </w:rPr>
            </w:pPr>
            <w:r w:rsidDel="00000000" w:rsidR="00000000" w:rsidRPr="00000000">
              <w:rPr>
                <w:b w:val="1"/>
                <w:sz w:val="18"/>
                <w:szCs w:val="18"/>
                <w:rtl w:val="0"/>
              </w:rPr>
              <w:t xml:space="preserve">Australia</w:t>
            </w:r>
          </w:p>
        </w:tc>
        <w:tc>
          <w:tcPr>
            <w:vAlign w:val="center"/>
          </w:tcPr>
          <w:p w:rsidR="00000000" w:rsidDel="00000000" w:rsidP="00000000" w:rsidRDefault="00000000" w:rsidRPr="00000000" w14:paraId="0000114A">
            <w:pPr>
              <w:rPr>
                <w:sz w:val="18"/>
                <w:szCs w:val="18"/>
              </w:rPr>
            </w:pPr>
            <w:r w:rsidDel="00000000" w:rsidR="00000000" w:rsidRPr="00000000">
              <w:rPr>
                <w:sz w:val="18"/>
                <w:szCs w:val="18"/>
                <w:rtl w:val="0"/>
              </w:rPr>
              <w:t xml:space="preserve">Cheung</w:t>
              <w:br w:type="textWrapping"/>
              <w:t xml:space="preserve">Bartlett</w:t>
              <w:br w:type="textWrapping"/>
              <w:t xml:space="preserve">Armour</w:t>
              <w:br w:type="textWrapping"/>
              <w:t xml:space="preserve">Ellis Sani</w:t>
            </w:r>
          </w:p>
        </w:tc>
        <w:tc>
          <w:tcPr>
            <w:vAlign w:val="center"/>
          </w:tcPr>
          <w:p w:rsidR="00000000" w:rsidDel="00000000" w:rsidP="00000000" w:rsidRDefault="00000000" w:rsidRPr="00000000" w14:paraId="0000114B">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4C">
            <w:pPr>
              <w:jc w:val="center"/>
              <w:rPr>
                <w:sz w:val="18"/>
                <w:szCs w:val="18"/>
              </w:rPr>
            </w:pPr>
            <w:r w:rsidDel="00000000" w:rsidR="00000000" w:rsidRPr="00000000">
              <w:rPr>
                <w:sz w:val="18"/>
                <w:szCs w:val="18"/>
                <w:rtl w:val="0"/>
              </w:rPr>
              <w:t xml:space="preserve">People with insomnia: experiences with sedative hypnotics and risk perception.</w:t>
            </w:r>
          </w:p>
        </w:tc>
        <w:tc>
          <w:tcPr>
            <w:vAlign w:val="center"/>
          </w:tcPr>
          <w:p w:rsidR="00000000" w:rsidDel="00000000" w:rsidP="00000000" w:rsidRDefault="00000000" w:rsidRPr="00000000" w14:paraId="0000114D">
            <w:pPr>
              <w:jc w:val="center"/>
              <w:rPr>
                <w:sz w:val="18"/>
                <w:szCs w:val="18"/>
              </w:rPr>
            </w:pPr>
            <w:r w:rsidDel="00000000" w:rsidR="00000000" w:rsidRPr="00000000">
              <w:rPr>
                <w:sz w:val="18"/>
                <w:szCs w:val="18"/>
                <w:rtl w:val="0"/>
              </w:rPr>
              <w:t xml:space="preserve">Semi-structured interviews and analysed using Framework Analysis</w:t>
            </w:r>
          </w:p>
        </w:tc>
        <w:tc>
          <w:tcPr>
            <w:vAlign w:val="center"/>
          </w:tcPr>
          <w:p w:rsidR="00000000" w:rsidDel="00000000" w:rsidP="00000000" w:rsidRDefault="00000000" w:rsidRPr="00000000" w14:paraId="0000114E">
            <w:pPr>
              <w:jc w:val="center"/>
              <w:rPr>
                <w:sz w:val="18"/>
                <w:szCs w:val="18"/>
              </w:rPr>
            </w:pPr>
            <w:r w:rsidDel="00000000" w:rsidR="00000000" w:rsidRPr="00000000">
              <w:rPr>
                <w:sz w:val="18"/>
                <w:szCs w:val="18"/>
                <w:rtl w:val="0"/>
              </w:rPr>
              <w:t xml:space="preserve">51</w:t>
            </w:r>
          </w:p>
        </w:tc>
        <w:tc>
          <w:tcPr>
            <w:vAlign w:val="center"/>
          </w:tcPr>
          <w:p w:rsidR="00000000" w:rsidDel="00000000" w:rsidP="00000000" w:rsidRDefault="00000000" w:rsidRPr="00000000" w14:paraId="0000114F">
            <w:pPr>
              <w:rPr>
                <w:sz w:val="18"/>
                <w:szCs w:val="18"/>
              </w:rPr>
            </w:pPr>
            <w:r w:rsidDel="00000000" w:rsidR="00000000" w:rsidRPr="00000000">
              <w:rPr>
                <w:sz w:val="18"/>
                <w:szCs w:val="18"/>
                <w:rtl w:val="0"/>
              </w:rPr>
              <w:t xml:space="preserve">Perceived safety of medicines; were more effective as they were not as readily available as over-the-counter medicines such as melatonin; understand that z-drugs do not treat the underlying cause of insomnia; perceived lack of an alternative, struggle to achieve a balance of not taking too much to minimising side effects; balancing “when” and “how much” to take; only use z-drugs when natural alternative therapies do not work; fear becoming resistant to medications; perceived taking smaller doses as a sign of recovery and resuming control.</w:t>
            </w:r>
          </w:p>
        </w:tc>
        <w:tc>
          <w:tcPr>
            <w:vAlign w:val="center"/>
          </w:tcPr>
          <w:p w:rsidR="00000000" w:rsidDel="00000000" w:rsidP="00000000" w:rsidRDefault="00000000" w:rsidRPr="00000000" w14:paraId="00001150">
            <w:pPr>
              <w:rPr>
                <w:sz w:val="18"/>
                <w:szCs w:val="18"/>
              </w:rPr>
            </w:pPr>
            <w:r w:rsidDel="00000000" w:rsidR="00000000" w:rsidRPr="00000000">
              <w:rPr>
                <w:sz w:val="18"/>
                <w:szCs w:val="18"/>
                <w:rtl w:val="0"/>
              </w:rPr>
              <w:t xml:space="preserve">self-report methodology which may result in a sample that is more actively engaged in insomnia management.</w:t>
              <w:br w:type="textWrapping"/>
              <w:br w:type="textWrapping"/>
              <w:t xml:space="preserve">Retrospective reflections are reported and recall accuracy must be considered.</w:t>
              <w:br w:type="textWrapping"/>
              <w:br w:type="textWrapping"/>
              <w:t xml:space="preserve">Data collected by phone so visual cues to questions cannot be measured.</w:t>
            </w:r>
          </w:p>
        </w:tc>
      </w:tr>
      <w:tr>
        <w:trPr>
          <w:cantSplit w:val="0"/>
          <w:trHeight w:val="79" w:hRule="atLeast"/>
          <w:tblHeader w:val="0"/>
        </w:trPr>
        <w:tc>
          <w:tcPr>
            <w:vAlign w:val="center"/>
          </w:tcPr>
          <w:p w:rsidR="00000000" w:rsidDel="00000000" w:rsidP="00000000" w:rsidRDefault="00000000" w:rsidRPr="00000000" w14:paraId="00001151">
            <w:pPr>
              <w:rPr>
                <w:b w:val="0"/>
                <w:color w:val="000000"/>
                <w:sz w:val="18"/>
                <w:szCs w:val="18"/>
              </w:rPr>
            </w:pPr>
            <w:r w:rsidDel="00000000" w:rsidR="00000000" w:rsidRPr="00000000">
              <w:rPr>
                <w:b w:val="0"/>
                <w:color w:val="000000"/>
                <w:sz w:val="18"/>
                <w:szCs w:val="18"/>
                <w:rtl w:val="0"/>
              </w:rPr>
              <w:t xml:space="preserve">2</w:t>
            </w:r>
          </w:p>
        </w:tc>
        <w:tc>
          <w:tcPr>
            <w:vAlign w:val="center"/>
          </w:tcPr>
          <w:p w:rsidR="00000000" w:rsidDel="00000000" w:rsidP="00000000" w:rsidRDefault="00000000" w:rsidRPr="00000000" w14:paraId="00001152">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153">
            <w:pPr>
              <w:rPr>
                <w:sz w:val="18"/>
                <w:szCs w:val="18"/>
              </w:rPr>
            </w:pPr>
            <w:r w:rsidDel="00000000" w:rsidR="00000000" w:rsidRPr="00000000">
              <w:rPr>
                <w:sz w:val="18"/>
                <w:szCs w:val="18"/>
                <w:rtl w:val="0"/>
              </w:rPr>
              <w:t xml:space="preserve">Fixsen A</w:t>
            </w:r>
          </w:p>
        </w:tc>
        <w:tc>
          <w:tcPr>
            <w:vAlign w:val="center"/>
          </w:tcPr>
          <w:p w:rsidR="00000000" w:rsidDel="00000000" w:rsidP="00000000" w:rsidRDefault="00000000" w:rsidRPr="00000000" w14:paraId="00001154">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55">
            <w:pPr>
              <w:jc w:val="center"/>
              <w:rPr>
                <w:sz w:val="18"/>
                <w:szCs w:val="18"/>
              </w:rPr>
            </w:pPr>
            <w:r w:rsidDel="00000000" w:rsidR="00000000" w:rsidRPr="00000000">
              <w:rPr>
                <w:sz w:val="18"/>
                <w:szCs w:val="18"/>
                <w:rtl w:val="0"/>
              </w:rPr>
              <w:t xml:space="preserve">“I’m Not Waving, I’m Drowning”: An Autoethnographical Exploration of Biographical Disruption and Reconstruction During Recovery From Prescribed Benzodiazepine Use</w:t>
            </w:r>
          </w:p>
        </w:tc>
        <w:tc>
          <w:tcPr>
            <w:vAlign w:val="center"/>
          </w:tcPr>
          <w:p w:rsidR="00000000" w:rsidDel="00000000" w:rsidP="00000000" w:rsidRDefault="00000000" w:rsidRPr="00000000" w14:paraId="00001156">
            <w:pPr>
              <w:jc w:val="center"/>
              <w:rPr>
                <w:sz w:val="18"/>
                <w:szCs w:val="18"/>
              </w:rPr>
            </w:pPr>
            <w:r w:rsidDel="00000000" w:rsidR="00000000" w:rsidRPr="00000000">
              <w:rPr>
                <w:sz w:val="18"/>
                <w:szCs w:val="18"/>
                <w:rtl w:val="0"/>
              </w:rPr>
              <w:t xml:space="preserve">Autoethnographical analysis of personal journals and blog entries</w:t>
            </w:r>
          </w:p>
        </w:tc>
        <w:tc>
          <w:tcPr>
            <w:vAlign w:val="center"/>
          </w:tcPr>
          <w:p w:rsidR="00000000" w:rsidDel="00000000" w:rsidP="00000000" w:rsidRDefault="00000000" w:rsidRPr="00000000" w14:paraId="00001157">
            <w:pPr>
              <w:jc w:val="center"/>
              <w:rPr>
                <w:sz w:val="18"/>
                <w:szCs w:val="18"/>
              </w:rPr>
            </w:pPr>
            <w:r w:rsidDel="00000000" w:rsidR="00000000" w:rsidRPr="00000000">
              <w:rPr>
                <w:sz w:val="18"/>
                <w:szCs w:val="18"/>
                <w:rtl w:val="0"/>
              </w:rPr>
              <w:t xml:space="preserve">1</w:t>
            </w:r>
          </w:p>
        </w:tc>
        <w:tc>
          <w:tcPr>
            <w:vAlign w:val="center"/>
          </w:tcPr>
          <w:p w:rsidR="00000000" w:rsidDel="00000000" w:rsidP="00000000" w:rsidRDefault="00000000" w:rsidRPr="00000000" w14:paraId="00001158">
            <w:pPr>
              <w:rPr>
                <w:sz w:val="18"/>
                <w:szCs w:val="18"/>
              </w:rPr>
            </w:pPr>
            <w:r w:rsidDel="00000000" w:rsidR="00000000" w:rsidRPr="00000000">
              <w:rPr>
                <w:sz w:val="18"/>
                <w:szCs w:val="18"/>
                <w:rtl w:val="0"/>
              </w:rPr>
              <w:t xml:space="preserve">“Drowning” themes suggest an inability to function with physical (heart palpitations, shaking, dizziness) and psychological symptoms (anxiety, intrusive thoughts, suicidal nightmares).</w:t>
              <w:br w:type="textWrapping"/>
              <w:br w:type="textWrapping"/>
              <w:t xml:space="preserve">“Locked In” theme suggests a plethora of side effects ranging from psychological side effects: amnesia, loss of balance, poor judgement and inability to concentrate, loss of interest, numbness, inability to express normative emotions, indecisiveness, inability to look people in the eye, memory loss, slurred speech, headache, fear, guilt of the impact on their family and shame.</w:t>
              <w:br w:type="textWrapping"/>
              <w:br w:type="textWrapping"/>
              <w:t xml:space="preserve">“The Lonely Struggle” theme exploring how early withdrawal was tough, feelings of isolation and daily despair, erratic symptoms of withdrawal, loss of identity, distrust in medical professionals, angry, frustrated and the “urge to self-destruct”.  There is a movement towards recovery: regular attempts at meditation, cooking for their local community centre, outdoor exercise and positive affirmations (Emotional Freedom Technique).</w:t>
              <w:br w:type="textWrapping"/>
              <w:br w:type="textWrapping"/>
              <w:t xml:space="preserve">“The Raft” suggests an anxiety and preoccupation with their changeable symptoms, disappointment with the slow and solitary tapering process whilst attempting to “live a normal life”</w:t>
              <w:br w:type="textWrapping"/>
              <w:br w:type="textWrapping"/>
              <w:t xml:space="preserve">“Back to the Surface” suggesting the participant felt supported by their doctor.</w:t>
            </w:r>
          </w:p>
        </w:tc>
        <w:tc>
          <w:tcPr>
            <w:vAlign w:val="center"/>
          </w:tcPr>
          <w:p w:rsidR="00000000" w:rsidDel="00000000" w:rsidP="00000000" w:rsidRDefault="00000000" w:rsidRPr="00000000" w14:paraId="00001159">
            <w:pPr>
              <w:rPr>
                <w:sz w:val="18"/>
                <w:szCs w:val="18"/>
              </w:rPr>
            </w:pPr>
            <w:r w:rsidDel="00000000" w:rsidR="00000000" w:rsidRPr="00000000">
              <w:rPr>
                <w:sz w:val="18"/>
                <w:szCs w:val="18"/>
                <w:rtl w:val="0"/>
              </w:rPr>
              <w:t xml:space="preserve">narrative of one participant so cannot be generalised.</w:t>
            </w:r>
          </w:p>
        </w:tc>
      </w:tr>
      <w:tr>
        <w:trPr>
          <w:cantSplit w:val="0"/>
          <w:trHeight w:val="79" w:hRule="atLeast"/>
          <w:tblHeader w:val="0"/>
        </w:trPr>
        <w:tc>
          <w:tcPr>
            <w:vAlign w:val="center"/>
          </w:tcPr>
          <w:p w:rsidR="00000000" w:rsidDel="00000000" w:rsidP="00000000" w:rsidRDefault="00000000" w:rsidRPr="00000000" w14:paraId="0000115A">
            <w:pPr>
              <w:rPr>
                <w:b w:val="0"/>
                <w:color w:val="000000"/>
                <w:sz w:val="18"/>
                <w:szCs w:val="18"/>
              </w:rPr>
            </w:pPr>
            <w:r w:rsidDel="00000000" w:rsidR="00000000" w:rsidRPr="00000000">
              <w:rPr>
                <w:b w:val="0"/>
                <w:color w:val="000000"/>
                <w:sz w:val="18"/>
                <w:szCs w:val="18"/>
                <w:rtl w:val="0"/>
              </w:rPr>
              <w:t xml:space="preserve">3</w:t>
            </w:r>
          </w:p>
        </w:tc>
        <w:tc>
          <w:tcPr>
            <w:vAlign w:val="center"/>
          </w:tcPr>
          <w:p w:rsidR="00000000" w:rsidDel="00000000" w:rsidP="00000000" w:rsidRDefault="00000000" w:rsidRPr="00000000" w14:paraId="0000115B">
            <w:pPr>
              <w:rPr>
                <w:b w:val="1"/>
                <w:sz w:val="18"/>
                <w:szCs w:val="18"/>
              </w:rPr>
            </w:pPr>
            <w:r w:rsidDel="00000000" w:rsidR="00000000" w:rsidRPr="00000000">
              <w:rPr>
                <w:b w:val="1"/>
                <w:sz w:val="18"/>
                <w:szCs w:val="18"/>
                <w:rtl w:val="0"/>
              </w:rPr>
              <w:t xml:space="preserve">USA</w:t>
            </w:r>
          </w:p>
        </w:tc>
        <w:tc>
          <w:tcPr>
            <w:vAlign w:val="center"/>
          </w:tcPr>
          <w:p w:rsidR="00000000" w:rsidDel="00000000" w:rsidP="00000000" w:rsidRDefault="00000000" w:rsidRPr="00000000" w14:paraId="0000115C">
            <w:pPr>
              <w:rPr>
                <w:sz w:val="18"/>
                <w:szCs w:val="18"/>
              </w:rPr>
            </w:pPr>
            <w:r w:rsidDel="00000000" w:rsidR="00000000" w:rsidRPr="00000000">
              <w:rPr>
                <w:sz w:val="18"/>
                <w:szCs w:val="18"/>
                <w:rtl w:val="0"/>
              </w:rPr>
              <w:t xml:space="preserve">Liebrenz M. </w:t>
            </w:r>
          </w:p>
          <w:p w:rsidR="00000000" w:rsidDel="00000000" w:rsidP="00000000" w:rsidRDefault="00000000" w:rsidRPr="00000000" w14:paraId="0000115D">
            <w:pPr>
              <w:rPr>
                <w:sz w:val="18"/>
                <w:szCs w:val="18"/>
              </w:rPr>
            </w:pPr>
            <w:r w:rsidDel="00000000" w:rsidR="00000000" w:rsidRPr="00000000">
              <w:rPr>
                <w:sz w:val="18"/>
                <w:szCs w:val="18"/>
                <w:rtl w:val="0"/>
              </w:rPr>
              <w:t xml:space="preserve">Schneider M. </w:t>
              <w:br w:type="textWrapping"/>
              <w:t xml:space="preserve">Buadze A.</w:t>
              <w:br w:type="textWrapping"/>
              <w:t xml:space="preserve">Gehring MT.</w:t>
              <w:br w:type="textWrapping"/>
              <w:t xml:space="preserve">Dube A.</w:t>
              <w:br w:type="textWrapping"/>
              <w:t xml:space="preserve">Caflisch C.</w:t>
            </w:r>
          </w:p>
        </w:tc>
        <w:tc>
          <w:tcPr>
            <w:vAlign w:val="center"/>
          </w:tcPr>
          <w:p w:rsidR="00000000" w:rsidDel="00000000" w:rsidP="00000000" w:rsidRDefault="00000000" w:rsidRPr="00000000" w14:paraId="0000115E">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5F">
            <w:pPr>
              <w:jc w:val="center"/>
              <w:rPr>
                <w:sz w:val="18"/>
                <w:szCs w:val="18"/>
              </w:rPr>
            </w:pPr>
            <w:r w:rsidDel="00000000" w:rsidR="00000000" w:rsidRPr="00000000">
              <w:rPr>
                <w:sz w:val="18"/>
                <w:szCs w:val="18"/>
                <w:rtl w:val="0"/>
              </w:rPr>
              <w:t xml:space="preserve">High-dose benzodiazepine dependence: a qualitative study of patients’ perception on cessation and withdrawal.</w:t>
            </w:r>
          </w:p>
        </w:tc>
        <w:tc>
          <w:tcPr>
            <w:vAlign w:val="center"/>
          </w:tcPr>
          <w:p w:rsidR="00000000" w:rsidDel="00000000" w:rsidP="00000000" w:rsidRDefault="00000000" w:rsidRPr="00000000" w14:paraId="00001160">
            <w:pPr>
              <w:jc w:val="center"/>
              <w:rPr>
                <w:sz w:val="18"/>
                <w:szCs w:val="18"/>
              </w:rPr>
            </w:pPr>
            <w:r w:rsidDel="00000000" w:rsidR="00000000" w:rsidRPr="00000000">
              <w:rPr>
                <w:sz w:val="18"/>
                <w:szCs w:val="18"/>
                <w:rtl w:val="0"/>
              </w:rPr>
              <w:t xml:space="preserve">Interviews</w:t>
            </w:r>
          </w:p>
        </w:tc>
        <w:tc>
          <w:tcPr>
            <w:vAlign w:val="center"/>
          </w:tcPr>
          <w:p w:rsidR="00000000" w:rsidDel="00000000" w:rsidP="00000000" w:rsidRDefault="00000000" w:rsidRPr="00000000" w14:paraId="00001161">
            <w:pPr>
              <w:jc w:val="center"/>
              <w:rPr>
                <w:sz w:val="18"/>
                <w:szCs w:val="18"/>
              </w:rPr>
            </w:pPr>
            <w:r w:rsidDel="00000000" w:rsidR="00000000" w:rsidRPr="00000000">
              <w:rPr>
                <w:sz w:val="18"/>
                <w:szCs w:val="18"/>
                <w:rtl w:val="0"/>
              </w:rPr>
              <w:t xml:space="preserve">41 Patients</w:t>
            </w:r>
          </w:p>
        </w:tc>
        <w:tc>
          <w:tcPr>
            <w:vAlign w:val="center"/>
          </w:tcPr>
          <w:p w:rsidR="00000000" w:rsidDel="00000000" w:rsidP="00000000" w:rsidRDefault="00000000" w:rsidRPr="00000000" w14:paraId="00001162">
            <w:pPr>
              <w:rPr>
                <w:sz w:val="18"/>
                <w:szCs w:val="18"/>
              </w:rPr>
            </w:pPr>
            <w:r w:rsidDel="00000000" w:rsidR="00000000" w:rsidRPr="00000000">
              <w:rPr>
                <w:sz w:val="18"/>
                <w:szCs w:val="18"/>
                <w:rtl w:val="0"/>
              </w:rPr>
              <w:t xml:space="preserve">Decision to change behaviour is associated with health concerns.</w:t>
              <w:br w:type="textWrapping"/>
              <w:br w:type="textWrapping"/>
              <w:t xml:space="preserve">Discontinuation attempts were frequent, unsuccessful, with a fast relapse.</w:t>
              <w:br w:type="textWrapping"/>
              <w:br w:type="textWrapping"/>
              <w:t xml:space="preserve">Withdrawal is a difficult and highly unpredictable process made easier when at home as opposed to a clinic.</w:t>
              <w:br w:type="textWrapping"/>
              <w:br w:type="textWrapping"/>
              <w:t xml:space="preserve">Withdrawal in the clinic was associated with successful long-term treatment.</w:t>
              <w:br w:type="textWrapping"/>
              <w:br w:type="textWrapping"/>
              <w:t xml:space="preserve">Patients preferred a gradual reduction as opposed to an abrupt cessation.</w:t>
            </w:r>
          </w:p>
        </w:tc>
        <w:tc>
          <w:tcPr>
            <w:vAlign w:val="center"/>
          </w:tcPr>
          <w:p w:rsidR="00000000" w:rsidDel="00000000" w:rsidP="00000000" w:rsidRDefault="00000000" w:rsidRPr="00000000" w14:paraId="00001163">
            <w:pPr>
              <w:rPr>
                <w:sz w:val="18"/>
                <w:szCs w:val="18"/>
              </w:rPr>
            </w:pPr>
            <w:r w:rsidDel="00000000" w:rsidR="00000000" w:rsidRPr="00000000">
              <w:rPr>
                <w:sz w:val="18"/>
                <w:szCs w:val="18"/>
                <w:rtl w:val="0"/>
              </w:rPr>
              <w:t xml:space="preserve">inpatient treatment for dependency so cannot be generalised.</w:t>
              <w:br w:type="textWrapping"/>
              <w:br w:type="textWrapping"/>
              <w:t xml:space="preserve">Self-selected so potentially missed potential participants who were not as comfortable discussing their dependency.</w:t>
              <w:br w:type="textWrapping"/>
              <w:br w:type="textWrapping"/>
              <w:t xml:space="preserve">Participants may fear their information and thoughts would be shared with healthcare practitioners,</w:t>
            </w:r>
          </w:p>
        </w:tc>
      </w:tr>
      <w:tr>
        <w:trPr>
          <w:cantSplit w:val="0"/>
          <w:trHeight w:val="1125" w:hRule="atLeast"/>
          <w:tblHeader w:val="0"/>
        </w:trPr>
        <w:tc>
          <w:tcPr>
            <w:vAlign w:val="center"/>
          </w:tcPr>
          <w:p w:rsidR="00000000" w:rsidDel="00000000" w:rsidP="00000000" w:rsidRDefault="00000000" w:rsidRPr="00000000" w14:paraId="00001164">
            <w:pPr>
              <w:rPr>
                <w:b w:val="0"/>
                <w:color w:val="000000"/>
                <w:sz w:val="18"/>
                <w:szCs w:val="18"/>
              </w:rPr>
            </w:pPr>
            <w:r w:rsidDel="00000000" w:rsidR="00000000" w:rsidRPr="00000000">
              <w:rPr>
                <w:b w:val="0"/>
                <w:color w:val="000000"/>
                <w:sz w:val="18"/>
                <w:szCs w:val="18"/>
                <w:rtl w:val="0"/>
              </w:rPr>
              <w:t xml:space="preserve">4</w:t>
            </w:r>
          </w:p>
        </w:tc>
        <w:tc>
          <w:tcPr>
            <w:vAlign w:val="center"/>
          </w:tcPr>
          <w:p w:rsidR="00000000" w:rsidDel="00000000" w:rsidP="00000000" w:rsidRDefault="00000000" w:rsidRPr="00000000" w14:paraId="00001165">
            <w:pPr>
              <w:rPr>
                <w:b w:val="1"/>
                <w:sz w:val="18"/>
                <w:szCs w:val="18"/>
              </w:rPr>
            </w:pPr>
            <w:r w:rsidDel="00000000" w:rsidR="00000000" w:rsidRPr="00000000">
              <w:rPr>
                <w:b w:val="1"/>
                <w:sz w:val="18"/>
                <w:szCs w:val="18"/>
                <w:rtl w:val="0"/>
              </w:rPr>
              <w:t xml:space="preserve">Netherlands</w:t>
            </w:r>
          </w:p>
        </w:tc>
        <w:tc>
          <w:tcPr>
            <w:vAlign w:val="center"/>
          </w:tcPr>
          <w:p w:rsidR="00000000" w:rsidDel="00000000" w:rsidP="00000000" w:rsidRDefault="00000000" w:rsidRPr="00000000" w14:paraId="00001166">
            <w:pPr>
              <w:rPr>
                <w:sz w:val="18"/>
                <w:szCs w:val="18"/>
              </w:rPr>
            </w:pPr>
            <w:r w:rsidDel="00000000" w:rsidR="00000000" w:rsidRPr="00000000">
              <w:rPr>
                <w:sz w:val="18"/>
                <w:szCs w:val="18"/>
                <w:rtl w:val="0"/>
              </w:rPr>
              <w:t xml:space="preserve">Bosman RC.</w:t>
              <w:br w:type="textWrapping"/>
              <w:t xml:space="preserve">Hudibras’s KM.</w:t>
              <w:br w:type="textWrapping"/>
              <w:t xml:space="preserve">Verhaak PFM.</w:t>
              <w:br w:type="textWrapping"/>
              <w:t xml:space="preserve">Ruhe BG. </w:t>
              <w:br w:type="textWrapping"/>
              <w:t xml:space="preserve">Van Marwijk HWJ.</w:t>
              <w:br w:type="textWrapping"/>
              <w:t xml:space="preserve">Van Baljom A JLM.</w:t>
            </w:r>
          </w:p>
        </w:tc>
        <w:tc>
          <w:tcPr>
            <w:vAlign w:val="center"/>
          </w:tcPr>
          <w:p w:rsidR="00000000" w:rsidDel="00000000" w:rsidP="00000000" w:rsidRDefault="00000000" w:rsidRPr="00000000" w14:paraId="00001167">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68">
            <w:pPr>
              <w:jc w:val="center"/>
              <w:rPr>
                <w:sz w:val="18"/>
                <w:szCs w:val="18"/>
              </w:rPr>
            </w:pPr>
            <w:r w:rsidDel="00000000" w:rsidR="00000000" w:rsidRPr="00000000">
              <w:rPr>
                <w:sz w:val="18"/>
                <w:szCs w:val="18"/>
                <w:rtl w:val="0"/>
              </w:rPr>
              <w:t xml:space="preserve">Long term antidepressant use: a qualitative study on perspectives of patients and GPs in primary care.</w:t>
            </w:r>
          </w:p>
        </w:tc>
        <w:tc>
          <w:tcPr>
            <w:vAlign w:val="center"/>
          </w:tcPr>
          <w:p w:rsidR="00000000" w:rsidDel="00000000" w:rsidP="00000000" w:rsidRDefault="00000000" w:rsidRPr="00000000" w14:paraId="00001169">
            <w:pPr>
              <w:jc w:val="center"/>
              <w:rPr>
                <w:sz w:val="18"/>
                <w:szCs w:val="18"/>
              </w:rPr>
            </w:pPr>
            <w:r w:rsidDel="00000000" w:rsidR="00000000" w:rsidRPr="00000000">
              <w:rPr>
                <w:sz w:val="18"/>
                <w:szCs w:val="18"/>
                <w:rtl w:val="0"/>
              </w:rPr>
              <w:t xml:space="preserve">Interviews with Dutch GPs and patients</w:t>
            </w:r>
          </w:p>
        </w:tc>
        <w:tc>
          <w:tcPr>
            <w:vAlign w:val="center"/>
          </w:tcPr>
          <w:p w:rsidR="00000000" w:rsidDel="00000000" w:rsidP="00000000" w:rsidRDefault="00000000" w:rsidRPr="00000000" w14:paraId="0000116A">
            <w:pPr>
              <w:jc w:val="center"/>
              <w:rPr>
                <w:sz w:val="18"/>
                <w:szCs w:val="18"/>
              </w:rPr>
            </w:pPr>
            <w:r w:rsidDel="00000000" w:rsidR="00000000" w:rsidRPr="00000000">
              <w:rPr>
                <w:sz w:val="18"/>
                <w:szCs w:val="18"/>
                <w:rtl w:val="0"/>
              </w:rPr>
              <w:t xml:space="preserve">total - 64</w:t>
              <w:br w:type="textWrapping"/>
              <w:br w:type="textWrapping"/>
              <w:t xml:space="preserve">38 patients, 26 GPs</w:t>
            </w:r>
          </w:p>
        </w:tc>
        <w:tc>
          <w:tcPr>
            <w:vAlign w:val="center"/>
          </w:tcPr>
          <w:p w:rsidR="00000000" w:rsidDel="00000000" w:rsidP="00000000" w:rsidRDefault="00000000" w:rsidRPr="00000000" w14:paraId="0000116B">
            <w:pPr>
              <w:rPr>
                <w:sz w:val="18"/>
                <w:szCs w:val="18"/>
              </w:rPr>
            </w:pPr>
            <w:r w:rsidDel="00000000" w:rsidR="00000000" w:rsidRPr="00000000">
              <w:rPr>
                <w:sz w:val="18"/>
                <w:szCs w:val="18"/>
                <w:rtl w:val="0"/>
              </w:rPr>
              <w:t xml:space="preserve">GPs consider themselves suitable to provide support during discontinuation, patients did not agree suggesting a lack of knowledge. GPs were unsure who should initiate the conversation about discontinuation.</w:t>
              <w:br w:type="textWrapping"/>
              <w:br w:type="textWrapping"/>
              <w:t xml:space="preserve">GPs and Patients agree that mental health specialists (psychiatrists/mental health workers/psychologists/GP themselves) were responsible for support during discontinuation.</w:t>
              <w:br w:type="textWrapping"/>
              <w:br w:type="textWrapping"/>
              <w:t xml:space="preserve">Patients wished to discontinue due to side effects, felt they were a burden to their social environment, perceived dependency (50% of patients wished to continue due to their biological approach to their disorder, few GPs agreed). GPs felt that psychological therapy was varied in its efficacy, 14 GPs felt patients were psychologically dependent on antidepressants, and felt that symptoms in some of their patients worsened in winter (Seasonal Affective Disorder).</w:t>
            </w:r>
          </w:p>
        </w:tc>
        <w:tc>
          <w:tcPr>
            <w:vAlign w:val="center"/>
          </w:tcPr>
          <w:p w:rsidR="00000000" w:rsidDel="00000000" w:rsidP="00000000" w:rsidRDefault="00000000" w:rsidRPr="00000000" w14:paraId="0000116C">
            <w:pPr>
              <w:rPr>
                <w:sz w:val="18"/>
                <w:szCs w:val="18"/>
              </w:rPr>
            </w:pPr>
            <w:r w:rsidDel="00000000" w:rsidR="00000000" w:rsidRPr="00000000">
              <w:rPr>
                <w:sz w:val="18"/>
                <w:szCs w:val="18"/>
                <w:rtl w:val="0"/>
              </w:rPr>
              <w:t xml:space="preserve">Only one participant was non-Western European.</w:t>
              <w:br w:type="textWrapping"/>
              <w:br w:type="textWrapping"/>
              <w:t xml:space="preserve">Diagnoses were not verified with GP.</w:t>
            </w:r>
          </w:p>
        </w:tc>
      </w:tr>
      <w:tr>
        <w:trPr>
          <w:cantSplit w:val="0"/>
          <w:trHeight w:val="79" w:hRule="atLeast"/>
          <w:tblHeader w:val="0"/>
        </w:trPr>
        <w:tc>
          <w:tcPr>
            <w:vAlign w:val="center"/>
          </w:tcPr>
          <w:p w:rsidR="00000000" w:rsidDel="00000000" w:rsidP="00000000" w:rsidRDefault="00000000" w:rsidRPr="00000000" w14:paraId="0000116D">
            <w:pPr>
              <w:rPr>
                <w:b w:val="0"/>
                <w:color w:val="000000"/>
                <w:sz w:val="18"/>
                <w:szCs w:val="18"/>
              </w:rPr>
            </w:pPr>
            <w:r w:rsidDel="00000000" w:rsidR="00000000" w:rsidRPr="00000000">
              <w:rPr>
                <w:b w:val="0"/>
                <w:color w:val="000000"/>
                <w:sz w:val="18"/>
                <w:szCs w:val="18"/>
                <w:rtl w:val="0"/>
              </w:rPr>
              <w:t xml:space="preserve">5</w:t>
            </w:r>
          </w:p>
        </w:tc>
        <w:tc>
          <w:tcPr>
            <w:vAlign w:val="center"/>
          </w:tcPr>
          <w:p w:rsidR="00000000" w:rsidDel="00000000" w:rsidP="00000000" w:rsidRDefault="00000000" w:rsidRPr="00000000" w14:paraId="0000116E">
            <w:pPr>
              <w:rPr>
                <w:b w:val="1"/>
                <w:sz w:val="18"/>
                <w:szCs w:val="18"/>
              </w:rPr>
            </w:pPr>
            <w:r w:rsidDel="00000000" w:rsidR="00000000" w:rsidRPr="00000000">
              <w:rPr>
                <w:b w:val="1"/>
                <w:sz w:val="18"/>
                <w:szCs w:val="18"/>
                <w:rtl w:val="0"/>
              </w:rPr>
              <w:t xml:space="preserve">Taiwan</w:t>
            </w:r>
          </w:p>
        </w:tc>
        <w:tc>
          <w:tcPr>
            <w:vAlign w:val="center"/>
          </w:tcPr>
          <w:p w:rsidR="00000000" w:rsidDel="00000000" w:rsidP="00000000" w:rsidRDefault="00000000" w:rsidRPr="00000000" w14:paraId="0000116F">
            <w:pPr>
              <w:rPr>
                <w:sz w:val="18"/>
                <w:szCs w:val="18"/>
              </w:rPr>
            </w:pPr>
            <w:r w:rsidDel="00000000" w:rsidR="00000000" w:rsidRPr="00000000">
              <w:rPr>
                <w:sz w:val="18"/>
                <w:szCs w:val="18"/>
                <w:rtl w:val="0"/>
              </w:rPr>
              <w:t xml:space="preserve">Yen Ko. </w:t>
              <w:br w:type="textWrapping"/>
              <w:t xml:space="preserve">Hwang Chen. </w:t>
              <w:br w:type="textWrapping"/>
              <w:t xml:space="preserve">Chen Su.</w:t>
              <w:br w:type="textWrapping"/>
              <w:t xml:space="preserve">Chen Lin.</w:t>
            </w:r>
          </w:p>
        </w:tc>
        <w:tc>
          <w:tcPr>
            <w:vAlign w:val="center"/>
          </w:tcPr>
          <w:p w:rsidR="00000000" w:rsidDel="00000000" w:rsidP="00000000" w:rsidRDefault="00000000" w:rsidRPr="00000000" w14:paraId="00001170">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71">
            <w:pPr>
              <w:jc w:val="center"/>
              <w:rPr>
                <w:sz w:val="18"/>
                <w:szCs w:val="18"/>
              </w:rPr>
            </w:pPr>
            <w:r w:rsidDel="00000000" w:rsidR="00000000" w:rsidRPr="00000000">
              <w:rPr>
                <w:sz w:val="18"/>
                <w:szCs w:val="18"/>
                <w:rtl w:val="0"/>
              </w:rPr>
              <w:t xml:space="preserve">Correlates of Dependence and Beliefs about the Use of Hypnotics Among Zolpidem and Zopiclone Users.</w:t>
            </w:r>
          </w:p>
        </w:tc>
        <w:tc>
          <w:tcPr>
            <w:vAlign w:val="center"/>
          </w:tcPr>
          <w:p w:rsidR="00000000" w:rsidDel="00000000" w:rsidP="00000000" w:rsidRDefault="00000000" w:rsidRPr="00000000" w14:paraId="00001172">
            <w:pPr>
              <w:jc w:val="center"/>
              <w:rPr>
                <w:sz w:val="18"/>
                <w:szCs w:val="18"/>
              </w:rPr>
            </w:pPr>
            <w:r w:rsidDel="00000000" w:rsidR="00000000" w:rsidRPr="00000000">
              <w:rPr>
                <w:sz w:val="18"/>
                <w:szCs w:val="18"/>
                <w:rtl w:val="0"/>
              </w:rPr>
              <w:t xml:space="preserve">Interviews with outpatient psychiatric patients</w:t>
            </w:r>
          </w:p>
        </w:tc>
        <w:tc>
          <w:tcPr>
            <w:vAlign w:val="center"/>
          </w:tcPr>
          <w:p w:rsidR="00000000" w:rsidDel="00000000" w:rsidP="00000000" w:rsidRDefault="00000000" w:rsidRPr="00000000" w14:paraId="00001173">
            <w:pPr>
              <w:jc w:val="center"/>
              <w:rPr>
                <w:sz w:val="18"/>
                <w:szCs w:val="18"/>
              </w:rPr>
            </w:pPr>
            <w:r w:rsidDel="00000000" w:rsidR="00000000" w:rsidRPr="00000000">
              <w:rPr>
                <w:sz w:val="18"/>
                <w:szCs w:val="18"/>
                <w:rtl w:val="0"/>
              </w:rPr>
              <w:t xml:space="preserve">392</w:t>
            </w:r>
          </w:p>
        </w:tc>
        <w:tc>
          <w:tcPr>
            <w:vAlign w:val="center"/>
          </w:tcPr>
          <w:p w:rsidR="00000000" w:rsidDel="00000000" w:rsidP="00000000" w:rsidRDefault="00000000" w:rsidRPr="00000000" w14:paraId="00001174">
            <w:pPr>
              <w:rPr>
                <w:sz w:val="18"/>
                <w:szCs w:val="18"/>
              </w:rPr>
            </w:pPr>
            <w:r w:rsidDel="00000000" w:rsidR="00000000" w:rsidRPr="00000000">
              <w:rPr>
                <w:sz w:val="18"/>
                <w:szCs w:val="18"/>
                <w:rtl w:val="0"/>
              </w:rPr>
              <w:t xml:space="preserve">Zolpidem users report more severe dependence and a lower level of necessity than Zopiclone users. </w:t>
              <w:br w:type="textWrapping"/>
              <w:br w:type="textWrapping"/>
              <w:t xml:space="preserve">High doses and a long duration of prescribing was associated with the severity of dependence, low level of necessity and low level of concern. </w:t>
              <w:br w:type="textWrapping"/>
              <w:br w:type="textWrapping"/>
              <w:t xml:space="preserve">Educational level was associated with levels of concern and necessity.</w:t>
            </w:r>
          </w:p>
        </w:tc>
        <w:tc>
          <w:tcPr>
            <w:vAlign w:val="center"/>
          </w:tcPr>
          <w:p w:rsidR="00000000" w:rsidDel="00000000" w:rsidP="00000000" w:rsidRDefault="00000000" w:rsidRPr="00000000" w14:paraId="00001175">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176">
            <w:pPr>
              <w:rPr>
                <w:b w:val="0"/>
                <w:color w:val="000000"/>
                <w:sz w:val="18"/>
                <w:szCs w:val="18"/>
              </w:rPr>
            </w:pPr>
            <w:r w:rsidDel="00000000" w:rsidR="00000000" w:rsidRPr="00000000">
              <w:rPr>
                <w:b w:val="0"/>
                <w:color w:val="000000"/>
                <w:sz w:val="18"/>
                <w:szCs w:val="18"/>
                <w:rtl w:val="0"/>
              </w:rPr>
              <w:t xml:space="preserve">6</w:t>
            </w:r>
          </w:p>
        </w:tc>
        <w:tc>
          <w:tcPr>
            <w:vAlign w:val="center"/>
          </w:tcPr>
          <w:p w:rsidR="00000000" w:rsidDel="00000000" w:rsidP="00000000" w:rsidRDefault="00000000" w:rsidRPr="00000000" w14:paraId="00001177">
            <w:pPr>
              <w:rPr>
                <w:b w:val="1"/>
                <w:sz w:val="18"/>
                <w:szCs w:val="18"/>
              </w:rPr>
            </w:pPr>
            <w:r w:rsidDel="00000000" w:rsidR="00000000" w:rsidRPr="00000000">
              <w:rPr>
                <w:b w:val="1"/>
                <w:sz w:val="18"/>
                <w:szCs w:val="18"/>
                <w:rtl w:val="0"/>
              </w:rPr>
              <w:t xml:space="preserve">New Zealand</w:t>
            </w:r>
          </w:p>
        </w:tc>
        <w:tc>
          <w:tcPr>
            <w:vAlign w:val="center"/>
          </w:tcPr>
          <w:p w:rsidR="00000000" w:rsidDel="00000000" w:rsidP="00000000" w:rsidRDefault="00000000" w:rsidRPr="00000000" w14:paraId="00001178">
            <w:pPr>
              <w:rPr>
                <w:sz w:val="18"/>
                <w:szCs w:val="18"/>
              </w:rPr>
            </w:pPr>
            <w:r w:rsidDel="00000000" w:rsidR="00000000" w:rsidRPr="00000000">
              <w:rPr>
                <w:sz w:val="18"/>
                <w:szCs w:val="18"/>
                <w:rtl w:val="0"/>
              </w:rPr>
              <w:t xml:space="preserve">Cartwright C.</w:t>
              <w:br w:type="textWrapping"/>
              <w:t xml:space="preserve">Gibson K. </w:t>
              <w:br w:type="textWrapping"/>
              <w:t xml:space="preserve">Read J. </w:t>
              <w:br w:type="textWrapping"/>
              <w:t xml:space="preserve">Cowan. </w:t>
              <w:br w:type="textWrapping"/>
              <w:t xml:space="preserve">Dehar.</w:t>
            </w:r>
          </w:p>
        </w:tc>
        <w:tc>
          <w:tcPr>
            <w:vAlign w:val="center"/>
          </w:tcPr>
          <w:p w:rsidR="00000000" w:rsidDel="00000000" w:rsidP="00000000" w:rsidRDefault="00000000" w:rsidRPr="00000000" w14:paraId="00001179">
            <w:pPr>
              <w:jc w:val="center"/>
              <w:rPr>
                <w:sz w:val="18"/>
                <w:szCs w:val="18"/>
              </w:rPr>
            </w:pPr>
            <w:r w:rsidDel="00000000" w:rsidR="00000000" w:rsidRPr="00000000">
              <w:rPr>
                <w:sz w:val="18"/>
                <w:szCs w:val="18"/>
                <w:rtl w:val="0"/>
              </w:rPr>
              <w:t xml:space="preserve">2015</w:t>
            </w:r>
          </w:p>
        </w:tc>
        <w:tc>
          <w:tcPr>
            <w:vAlign w:val="center"/>
          </w:tcPr>
          <w:p w:rsidR="00000000" w:rsidDel="00000000" w:rsidP="00000000" w:rsidRDefault="00000000" w:rsidRPr="00000000" w14:paraId="0000117A">
            <w:pPr>
              <w:jc w:val="center"/>
              <w:rPr>
                <w:sz w:val="18"/>
                <w:szCs w:val="18"/>
              </w:rPr>
            </w:pPr>
            <w:r w:rsidDel="00000000" w:rsidR="00000000" w:rsidRPr="00000000">
              <w:rPr>
                <w:sz w:val="18"/>
                <w:szCs w:val="18"/>
                <w:rtl w:val="0"/>
              </w:rPr>
              <w:t xml:space="preserve">Long term antidepressant use: patient perspectives of benefits and adverse effects.</w:t>
            </w:r>
          </w:p>
        </w:tc>
        <w:tc>
          <w:tcPr>
            <w:vAlign w:val="center"/>
          </w:tcPr>
          <w:p w:rsidR="00000000" w:rsidDel="00000000" w:rsidP="00000000" w:rsidRDefault="00000000" w:rsidRPr="00000000" w14:paraId="0000117B">
            <w:pPr>
              <w:jc w:val="center"/>
              <w:rPr>
                <w:sz w:val="18"/>
                <w:szCs w:val="18"/>
              </w:rPr>
            </w:pPr>
            <w:r w:rsidDel="00000000" w:rsidR="00000000" w:rsidRPr="00000000">
              <w:rPr>
                <w:sz w:val="18"/>
                <w:szCs w:val="18"/>
                <w:rtl w:val="0"/>
              </w:rPr>
              <w:t xml:space="preserve">Interviews with patients 18+ with antidepressant use within the past 5 years</w:t>
            </w:r>
          </w:p>
        </w:tc>
        <w:tc>
          <w:tcPr>
            <w:vAlign w:val="center"/>
          </w:tcPr>
          <w:p w:rsidR="00000000" w:rsidDel="00000000" w:rsidP="00000000" w:rsidRDefault="00000000" w:rsidRPr="00000000" w14:paraId="0000117C">
            <w:pPr>
              <w:jc w:val="center"/>
              <w:rPr>
                <w:sz w:val="18"/>
                <w:szCs w:val="18"/>
              </w:rPr>
            </w:pPr>
            <w:r w:rsidDel="00000000" w:rsidR="00000000" w:rsidRPr="00000000">
              <w:rPr>
                <w:sz w:val="18"/>
                <w:szCs w:val="18"/>
                <w:rtl w:val="0"/>
              </w:rPr>
              <w:t xml:space="preserve">180</w:t>
            </w:r>
          </w:p>
        </w:tc>
        <w:tc>
          <w:tcPr>
            <w:vAlign w:val="center"/>
          </w:tcPr>
          <w:p w:rsidR="00000000" w:rsidDel="00000000" w:rsidP="00000000" w:rsidRDefault="00000000" w:rsidRPr="00000000" w14:paraId="0000117D">
            <w:pPr>
              <w:rPr>
                <w:sz w:val="18"/>
                <w:szCs w:val="18"/>
              </w:rPr>
            </w:pPr>
            <w:r w:rsidDel="00000000" w:rsidR="00000000" w:rsidRPr="00000000">
              <w:rPr>
                <w:sz w:val="18"/>
                <w:szCs w:val="18"/>
                <w:rtl w:val="0"/>
              </w:rPr>
              <w:t xml:space="preserve">73.5% of ppts experiences withdrawal effects, and an outright expression of addiction was reported in 43% of ppts. (16. 8% mild, 23.2% moderate, 33.5% severe).</w:t>
              <w:br w:type="textWrapping"/>
              <w:br w:type="textWrapping"/>
              <w:t xml:space="preserve">Participants had physical symptoms such as “head zaps” and psychological challenges (p.1404-5).</w:t>
              <w:br w:type="textWrapping"/>
              <w:t xml:space="preserve">Participants expressed they needed more support to discontinue.</w:t>
              <w:br w:type="textWrapping"/>
              <w:br w:type="textWrapping"/>
              <w:t xml:space="preserve">“I was never informed by any doctors of long-term side effects or addiction/development of tolerance and went through some extremely severe withdrawal symptoms attempting to get off” (p.1404).</w:t>
            </w:r>
          </w:p>
        </w:tc>
        <w:tc>
          <w:tcPr>
            <w:vAlign w:val="center"/>
          </w:tcPr>
          <w:p w:rsidR="00000000" w:rsidDel="00000000" w:rsidP="00000000" w:rsidRDefault="00000000" w:rsidRPr="00000000" w14:paraId="0000117E">
            <w:pPr>
              <w:rPr>
                <w:sz w:val="18"/>
                <w:szCs w:val="18"/>
              </w:rPr>
            </w:pPr>
            <w:r w:rsidDel="00000000" w:rsidR="00000000" w:rsidRPr="00000000">
              <w:rPr>
                <w:sz w:val="18"/>
                <w:szCs w:val="18"/>
                <w:rtl w:val="0"/>
              </w:rPr>
              <w:t xml:space="preserve">High rate of adverse events due to biased sample.</w:t>
              <w:br w:type="textWrapping"/>
              <w:br w:type="textWrapping"/>
              <w:t xml:space="preserve">Data was unavailable for patient's perceptions of antidepressants nor histories and experiences of relapses.</w:t>
            </w:r>
          </w:p>
        </w:tc>
      </w:tr>
      <w:tr>
        <w:trPr>
          <w:cantSplit w:val="0"/>
          <w:trHeight w:val="1691" w:hRule="atLeast"/>
          <w:tblHeader w:val="0"/>
        </w:trPr>
        <w:tc>
          <w:tcPr>
            <w:vAlign w:val="center"/>
          </w:tcPr>
          <w:p w:rsidR="00000000" w:rsidDel="00000000" w:rsidP="00000000" w:rsidRDefault="00000000" w:rsidRPr="00000000" w14:paraId="0000117F">
            <w:pPr>
              <w:rPr>
                <w:b w:val="0"/>
                <w:color w:val="000000"/>
                <w:sz w:val="18"/>
                <w:szCs w:val="18"/>
              </w:rPr>
            </w:pPr>
            <w:r w:rsidDel="00000000" w:rsidR="00000000" w:rsidRPr="00000000">
              <w:rPr>
                <w:b w:val="0"/>
                <w:color w:val="000000"/>
                <w:sz w:val="18"/>
                <w:szCs w:val="18"/>
                <w:rtl w:val="0"/>
              </w:rPr>
              <w:t xml:space="preserve">7</w:t>
            </w:r>
          </w:p>
        </w:tc>
        <w:tc>
          <w:tcPr>
            <w:vAlign w:val="center"/>
          </w:tcPr>
          <w:p w:rsidR="00000000" w:rsidDel="00000000" w:rsidP="00000000" w:rsidRDefault="00000000" w:rsidRPr="00000000" w14:paraId="00001180">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181">
            <w:pPr>
              <w:rPr>
                <w:color w:val="000000"/>
                <w:sz w:val="18"/>
                <w:szCs w:val="18"/>
              </w:rPr>
            </w:pPr>
            <w:r w:rsidDel="00000000" w:rsidR="00000000" w:rsidRPr="00000000">
              <w:rPr>
                <w:color w:val="000000"/>
                <w:sz w:val="18"/>
                <w:szCs w:val="18"/>
                <w:rtl w:val="0"/>
              </w:rPr>
              <w:t xml:space="preserve">Anderson C.</w:t>
              <w:br w:type="textWrapping"/>
              <w:t xml:space="preserve">Kirkpatrick S.</w:t>
              <w:br w:type="textWrapping"/>
              <w:t xml:space="preserve">Ridge D.</w:t>
              <w:br w:type="textWrapping"/>
              <w:t xml:space="preserve">Kokanovic R.</w:t>
              <w:br w:type="textWrapping"/>
              <w:t xml:space="preserve">Tanner C.</w:t>
            </w:r>
          </w:p>
        </w:tc>
        <w:tc>
          <w:tcPr>
            <w:vAlign w:val="center"/>
          </w:tcPr>
          <w:p w:rsidR="00000000" w:rsidDel="00000000" w:rsidP="00000000" w:rsidRDefault="00000000" w:rsidRPr="00000000" w14:paraId="00001182">
            <w:pPr>
              <w:jc w:val="center"/>
              <w:rPr>
                <w:color w:val="000000"/>
                <w:sz w:val="18"/>
                <w:szCs w:val="18"/>
              </w:rPr>
            </w:pPr>
            <w:r w:rsidDel="00000000" w:rsidR="00000000" w:rsidRPr="00000000">
              <w:rPr>
                <w:color w:val="000000"/>
                <w:sz w:val="18"/>
                <w:szCs w:val="18"/>
                <w:rtl w:val="0"/>
              </w:rPr>
              <w:t xml:space="preserve">2015</w:t>
            </w:r>
          </w:p>
        </w:tc>
        <w:tc>
          <w:tcPr>
            <w:vAlign w:val="center"/>
          </w:tcPr>
          <w:p w:rsidR="00000000" w:rsidDel="00000000" w:rsidP="00000000" w:rsidRDefault="00000000" w:rsidRPr="00000000" w14:paraId="00001183">
            <w:pPr>
              <w:jc w:val="center"/>
              <w:rPr>
                <w:color w:val="000000"/>
                <w:sz w:val="18"/>
                <w:szCs w:val="18"/>
              </w:rPr>
            </w:pPr>
            <w:r w:rsidDel="00000000" w:rsidR="00000000" w:rsidRPr="00000000">
              <w:rPr>
                <w:color w:val="000000"/>
                <w:sz w:val="18"/>
                <w:szCs w:val="18"/>
                <w:rtl w:val="0"/>
              </w:rPr>
              <w:t xml:space="preserve">Starting antidepressant use: a qualitative synthesis of UK and Australian data.</w:t>
            </w:r>
          </w:p>
        </w:tc>
        <w:tc>
          <w:tcPr>
            <w:vAlign w:val="center"/>
          </w:tcPr>
          <w:p w:rsidR="00000000" w:rsidDel="00000000" w:rsidP="00000000" w:rsidRDefault="00000000" w:rsidRPr="00000000" w14:paraId="00001184">
            <w:pPr>
              <w:jc w:val="center"/>
              <w:rPr>
                <w:color w:val="000000"/>
                <w:sz w:val="18"/>
                <w:szCs w:val="18"/>
              </w:rPr>
            </w:pPr>
            <w:r w:rsidDel="00000000" w:rsidR="00000000" w:rsidRPr="00000000">
              <w:rPr>
                <w:color w:val="000000"/>
                <w:sz w:val="18"/>
                <w:szCs w:val="18"/>
                <w:rtl w:val="0"/>
              </w:rPr>
              <w:t xml:space="preserve">Interviews with patients who have used antidepressants</w:t>
            </w:r>
          </w:p>
        </w:tc>
        <w:tc>
          <w:tcPr>
            <w:vAlign w:val="center"/>
          </w:tcPr>
          <w:p w:rsidR="00000000" w:rsidDel="00000000" w:rsidP="00000000" w:rsidRDefault="00000000" w:rsidRPr="00000000" w14:paraId="00001185">
            <w:pPr>
              <w:jc w:val="center"/>
              <w:rPr>
                <w:color w:val="000000"/>
                <w:sz w:val="18"/>
                <w:szCs w:val="18"/>
              </w:rPr>
            </w:pPr>
            <w:r w:rsidDel="00000000" w:rsidR="00000000" w:rsidRPr="00000000">
              <w:rPr>
                <w:color w:val="000000"/>
                <w:sz w:val="18"/>
                <w:szCs w:val="18"/>
                <w:rtl w:val="0"/>
              </w:rPr>
              <w:t xml:space="preserve">108</w:t>
            </w:r>
          </w:p>
        </w:tc>
        <w:tc>
          <w:tcPr>
            <w:vAlign w:val="center"/>
          </w:tcPr>
          <w:p w:rsidR="00000000" w:rsidDel="00000000" w:rsidP="00000000" w:rsidRDefault="00000000" w:rsidRPr="00000000" w14:paraId="00001186">
            <w:pPr>
              <w:rPr>
                <w:color w:val="000000"/>
                <w:sz w:val="18"/>
                <w:szCs w:val="18"/>
              </w:rPr>
            </w:pPr>
            <w:r w:rsidDel="00000000" w:rsidR="00000000" w:rsidRPr="00000000">
              <w:rPr>
                <w:color w:val="000000"/>
                <w:sz w:val="18"/>
                <w:szCs w:val="18"/>
                <w:rtl w:val="0"/>
              </w:rPr>
              <w:t xml:space="preserve">Attitudes towards antidepressants were shaped by stereotypes related to perceived dependency and side effects. </w:t>
              <w:br w:type="textWrapping"/>
              <w:br w:type="textWrapping"/>
              <w:t xml:space="preserve">Some found them as a "means to and end", "no different to taking insulin for diabetes", "sign of weakness".</w:t>
              <w:br w:type="textWrapping"/>
              <w:br w:type="textWrapping"/>
              <w:t xml:space="preserve">Anxietites regarding how long they would take to work, how it may help or hinder them, and what to expect in the following weeks. </w:t>
              <w:br w:type="textWrapping"/>
              <w:br w:type="textWrapping"/>
              <w:t xml:space="preserve">Concerns about experiencing adverse effects.</w:t>
              <w:br w:type="textWrapping"/>
              <w:br w:type="textWrapping"/>
              <w:t xml:space="preserve">Those who did not feel they had sufficient time during their appointment, information or support impacted their views of antidepressants as a viable treatment option. Shared decision making not present. </w:t>
              <w:br w:type="textWrapping"/>
              <w:br w:type="textWrapping"/>
              <w:t xml:space="preserve">People need additional support to make decisions about starting antidepressants.</w:t>
            </w:r>
          </w:p>
        </w:tc>
        <w:tc>
          <w:tcPr>
            <w:vAlign w:val="center"/>
          </w:tcPr>
          <w:p w:rsidR="00000000" w:rsidDel="00000000" w:rsidP="00000000" w:rsidRDefault="00000000" w:rsidRPr="00000000" w14:paraId="00001187">
            <w:pPr>
              <w:rPr>
                <w:color w:val="000000"/>
                <w:sz w:val="18"/>
                <w:szCs w:val="18"/>
              </w:rPr>
            </w:pPr>
            <w:r w:rsidDel="00000000" w:rsidR="00000000" w:rsidRPr="00000000">
              <w:rPr>
                <w:color w:val="000000"/>
                <w:sz w:val="18"/>
                <w:szCs w:val="18"/>
                <w:rtl w:val="0"/>
              </w:rPr>
              <w:t xml:space="preserve">Only those who were willing to speak about their antidepressant use were interviewed, who regarded themselves as "doing well" in their recovery.</w:t>
            </w:r>
          </w:p>
        </w:tc>
      </w:tr>
      <w:tr>
        <w:trPr>
          <w:cantSplit w:val="0"/>
          <w:trHeight w:val="79" w:hRule="atLeast"/>
          <w:tblHeader w:val="0"/>
        </w:trPr>
        <w:tc>
          <w:tcPr>
            <w:vAlign w:val="center"/>
          </w:tcPr>
          <w:p w:rsidR="00000000" w:rsidDel="00000000" w:rsidP="00000000" w:rsidRDefault="00000000" w:rsidRPr="00000000" w14:paraId="00001188">
            <w:pPr>
              <w:rPr>
                <w:b w:val="0"/>
                <w:color w:val="000000"/>
                <w:sz w:val="18"/>
                <w:szCs w:val="18"/>
              </w:rPr>
            </w:pPr>
            <w:r w:rsidDel="00000000" w:rsidR="00000000" w:rsidRPr="00000000">
              <w:rPr>
                <w:b w:val="0"/>
                <w:color w:val="000000"/>
                <w:sz w:val="18"/>
                <w:szCs w:val="18"/>
                <w:rtl w:val="0"/>
              </w:rPr>
              <w:t xml:space="preserve">8</w:t>
            </w:r>
          </w:p>
        </w:tc>
        <w:tc>
          <w:tcPr>
            <w:vAlign w:val="center"/>
          </w:tcPr>
          <w:p w:rsidR="00000000" w:rsidDel="00000000" w:rsidP="00000000" w:rsidRDefault="00000000" w:rsidRPr="00000000" w14:paraId="00001189">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18A">
            <w:pPr>
              <w:rPr>
                <w:color w:val="000000"/>
                <w:sz w:val="18"/>
                <w:szCs w:val="18"/>
              </w:rPr>
            </w:pPr>
            <w:r w:rsidDel="00000000" w:rsidR="00000000" w:rsidRPr="00000000">
              <w:rPr>
                <w:color w:val="000000"/>
                <w:sz w:val="18"/>
                <w:szCs w:val="18"/>
                <w:rtl w:val="0"/>
              </w:rPr>
              <w:t xml:space="preserve">Bayliss P.</w:t>
              <w:br w:type="textWrapping"/>
              <w:t xml:space="preserve">Holttum S.</w:t>
            </w:r>
          </w:p>
        </w:tc>
        <w:tc>
          <w:tcPr>
            <w:vAlign w:val="center"/>
          </w:tcPr>
          <w:p w:rsidR="00000000" w:rsidDel="00000000" w:rsidP="00000000" w:rsidRDefault="00000000" w:rsidRPr="00000000" w14:paraId="0000118B">
            <w:pPr>
              <w:jc w:val="center"/>
              <w:rPr>
                <w:color w:val="000000"/>
                <w:sz w:val="18"/>
                <w:szCs w:val="18"/>
              </w:rPr>
            </w:pPr>
            <w:r w:rsidDel="00000000" w:rsidR="00000000" w:rsidRPr="00000000">
              <w:rPr>
                <w:color w:val="000000"/>
                <w:sz w:val="18"/>
                <w:szCs w:val="18"/>
                <w:rtl w:val="0"/>
              </w:rPr>
              <w:t xml:space="preserve">2015</w:t>
            </w:r>
          </w:p>
        </w:tc>
        <w:tc>
          <w:tcPr>
            <w:vAlign w:val="center"/>
          </w:tcPr>
          <w:p w:rsidR="00000000" w:rsidDel="00000000" w:rsidP="00000000" w:rsidRDefault="00000000" w:rsidRPr="00000000" w14:paraId="0000118C">
            <w:pPr>
              <w:jc w:val="center"/>
              <w:rPr>
                <w:color w:val="000000"/>
                <w:sz w:val="18"/>
                <w:szCs w:val="18"/>
              </w:rPr>
            </w:pPr>
            <w:r w:rsidDel="00000000" w:rsidR="00000000" w:rsidRPr="00000000">
              <w:rPr>
                <w:color w:val="000000"/>
                <w:sz w:val="18"/>
                <w:szCs w:val="18"/>
                <w:rtl w:val="0"/>
              </w:rPr>
              <w:t xml:space="preserve">Experiences of antidepressant medication and cognitive-behavioural therapy for depression: a grounded theory study.</w:t>
            </w:r>
          </w:p>
        </w:tc>
        <w:tc>
          <w:tcPr>
            <w:vAlign w:val="center"/>
          </w:tcPr>
          <w:p w:rsidR="00000000" w:rsidDel="00000000" w:rsidP="00000000" w:rsidRDefault="00000000" w:rsidRPr="00000000" w14:paraId="0000118D">
            <w:pPr>
              <w:jc w:val="center"/>
              <w:rPr>
                <w:color w:val="000000"/>
                <w:sz w:val="18"/>
                <w:szCs w:val="18"/>
              </w:rPr>
            </w:pPr>
            <w:r w:rsidDel="00000000" w:rsidR="00000000" w:rsidRPr="00000000">
              <w:rPr>
                <w:color w:val="000000"/>
                <w:sz w:val="18"/>
                <w:szCs w:val="18"/>
                <w:rtl w:val="0"/>
              </w:rPr>
              <w:t xml:space="preserve">Participants who had received CBT alongside antidepressant treatment</w:t>
            </w:r>
          </w:p>
        </w:tc>
        <w:tc>
          <w:tcPr>
            <w:vAlign w:val="center"/>
          </w:tcPr>
          <w:p w:rsidR="00000000" w:rsidDel="00000000" w:rsidP="00000000" w:rsidRDefault="00000000" w:rsidRPr="00000000" w14:paraId="0000118E">
            <w:pPr>
              <w:jc w:val="center"/>
              <w:rPr>
                <w:color w:val="000000"/>
                <w:sz w:val="18"/>
                <w:szCs w:val="18"/>
              </w:rPr>
            </w:pPr>
            <w:r w:rsidDel="00000000" w:rsidR="00000000" w:rsidRPr="00000000">
              <w:rPr>
                <w:color w:val="000000"/>
                <w:sz w:val="18"/>
                <w:szCs w:val="18"/>
                <w:rtl w:val="0"/>
              </w:rPr>
              <w:t xml:space="preserve">12</w:t>
            </w:r>
          </w:p>
        </w:tc>
        <w:tc>
          <w:tcPr>
            <w:vAlign w:val="center"/>
          </w:tcPr>
          <w:p w:rsidR="00000000" w:rsidDel="00000000" w:rsidP="00000000" w:rsidRDefault="00000000" w:rsidRPr="00000000" w14:paraId="0000118F">
            <w:pPr>
              <w:rPr>
                <w:color w:val="000000"/>
                <w:sz w:val="18"/>
                <w:szCs w:val="18"/>
              </w:rPr>
            </w:pPr>
            <w:r w:rsidDel="00000000" w:rsidR="00000000" w:rsidRPr="00000000">
              <w:rPr>
                <w:color w:val="000000"/>
                <w:sz w:val="18"/>
                <w:szCs w:val="18"/>
                <w:rtl w:val="0"/>
              </w:rPr>
              <w:t xml:space="preserve">Medication is often seen as an aid to surviving a crisis.</w:t>
              <w:br w:type="textWrapping"/>
              <w:br w:type="textWrapping"/>
              <w:t xml:space="preserve">Staying on medication is seen as a "drug loop" they can get caught in. </w:t>
              <w:br w:type="textWrapping"/>
              <w:br w:type="textWrapping"/>
              <w:t xml:space="preserve">Feeling medication is unhelpful or harmful can contribute to seeking CBT. </w:t>
              <w:br w:type="textWrapping"/>
              <w:t xml:space="preserve">CBT.</w:t>
              <w:br w:type="textWrapping"/>
              <w:br w:type="textWrapping"/>
              <w:t xml:space="preserve">Medics offered information on CBT and acted as "gatekeepers", resulting in negotiation between patients and practitioners. </w:t>
              <w:br w:type="textWrapping"/>
              <w:br w:type="textWrapping"/>
              <w:t xml:space="preserve">Some participants felt medication aided CBT at one or more stages.</w:t>
              <w:br w:type="textWrapping"/>
              <w:br w:type="textWrapping"/>
              <w:t xml:space="preserve">Developing self-management techniques affect their engagement and goals in CBT and is important that therapists consider this. </w:t>
              <w:br w:type="textWrapping"/>
              <w:br w:type="textWrapping"/>
              <w:t xml:space="preserve">Practitioners should offer more information on CBT, opening the dialogue between them and patients. </w:t>
              <w:br w:type="textWrapping"/>
              <w:br w:type="textWrapping"/>
              <w:t xml:space="preserve">CBT practitioners should explore medication beliefs and practices.</w:t>
            </w:r>
          </w:p>
        </w:tc>
        <w:tc>
          <w:tcPr>
            <w:vAlign w:val="center"/>
          </w:tcPr>
          <w:p w:rsidR="00000000" w:rsidDel="00000000" w:rsidP="00000000" w:rsidRDefault="00000000" w:rsidRPr="00000000" w14:paraId="00001190">
            <w:pPr>
              <w:rPr>
                <w:color w:val="000000"/>
                <w:sz w:val="18"/>
                <w:szCs w:val="18"/>
              </w:rPr>
            </w:pPr>
            <w:r w:rsidDel="00000000" w:rsidR="00000000" w:rsidRPr="00000000">
              <w:rPr>
                <w:color w:val="000000"/>
                <w:sz w:val="18"/>
                <w:szCs w:val="18"/>
                <w:rtl w:val="0"/>
              </w:rPr>
              <w:t xml:space="preserve">Participants were long standing patients with severe difficulties. They were recruited through secondary care. Several participants were using more than one medication. Participants engaged well in CBT.</w:t>
            </w:r>
          </w:p>
        </w:tc>
      </w:tr>
      <w:tr>
        <w:trPr>
          <w:cantSplit w:val="0"/>
          <w:trHeight w:val="79" w:hRule="atLeast"/>
          <w:tblHeader w:val="0"/>
        </w:trPr>
        <w:tc>
          <w:tcPr>
            <w:vAlign w:val="center"/>
          </w:tcPr>
          <w:p w:rsidR="00000000" w:rsidDel="00000000" w:rsidP="00000000" w:rsidRDefault="00000000" w:rsidRPr="00000000" w14:paraId="00001191">
            <w:pPr>
              <w:rPr>
                <w:b w:val="0"/>
                <w:color w:val="000000"/>
                <w:sz w:val="18"/>
                <w:szCs w:val="18"/>
              </w:rPr>
            </w:pPr>
            <w:r w:rsidDel="00000000" w:rsidR="00000000" w:rsidRPr="00000000">
              <w:rPr>
                <w:b w:val="0"/>
                <w:color w:val="000000"/>
                <w:sz w:val="18"/>
                <w:szCs w:val="18"/>
                <w:rtl w:val="0"/>
              </w:rPr>
              <w:t xml:space="preserve">9</w:t>
            </w:r>
          </w:p>
        </w:tc>
        <w:tc>
          <w:tcPr>
            <w:vAlign w:val="center"/>
          </w:tcPr>
          <w:p w:rsidR="00000000" w:rsidDel="00000000" w:rsidP="00000000" w:rsidRDefault="00000000" w:rsidRPr="00000000" w14:paraId="00001192">
            <w:pPr>
              <w:rPr>
                <w:b w:val="1"/>
                <w:sz w:val="18"/>
                <w:szCs w:val="18"/>
              </w:rPr>
            </w:pPr>
            <w:r w:rsidDel="00000000" w:rsidR="00000000" w:rsidRPr="00000000">
              <w:rPr>
                <w:b w:val="1"/>
                <w:sz w:val="18"/>
                <w:szCs w:val="18"/>
                <w:rtl w:val="0"/>
              </w:rPr>
              <w:t xml:space="preserve">New Zealand</w:t>
            </w:r>
          </w:p>
        </w:tc>
        <w:tc>
          <w:tcPr>
            <w:vAlign w:val="center"/>
          </w:tcPr>
          <w:p w:rsidR="00000000" w:rsidDel="00000000" w:rsidP="00000000" w:rsidRDefault="00000000" w:rsidRPr="00000000" w14:paraId="00001193">
            <w:pPr>
              <w:rPr>
                <w:sz w:val="18"/>
                <w:szCs w:val="18"/>
              </w:rPr>
            </w:pPr>
            <w:r w:rsidDel="00000000" w:rsidR="00000000" w:rsidRPr="00000000">
              <w:rPr>
                <w:sz w:val="18"/>
                <w:szCs w:val="18"/>
                <w:rtl w:val="0"/>
              </w:rPr>
              <w:t xml:space="preserve">Gibson K. </w:t>
              <w:br w:type="textWrapping"/>
              <w:t xml:space="preserve">Cartwright TC.  </w:t>
              <w:br w:type="textWrapping"/>
              <w:t xml:space="preserve">Read J.</w:t>
            </w:r>
          </w:p>
        </w:tc>
        <w:tc>
          <w:tcPr>
            <w:vAlign w:val="center"/>
          </w:tcPr>
          <w:p w:rsidR="00000000" w:rsidDel="00000000" w:rsidP="00000000" w:rsidRDefault="00000000" w:rsidRPr="00000000" w14:paraId="00001194">
            <w:pPr>
              <w:jc w:val="center"/>
              <w:rPr>
                <w:sz w:val="18"/>
                <w:szCs w:val="18"/>
              </w:rPr>
            </w:pPr>
            <w:r w:rsidDel="00000000" w:rsidR="00000000" w:rsidRPr="00000000">
              <w:rPr>
                <w:sz w:val="18"/>
                <w:szCs w:val="18"/>
                <w:rtl w:val="0"/>
              </w:rPr>
              <w:t xml:space="preserve">2016</w:t>
            </w:r>
          </w:p>
        </w:tc>
        <w:tc>
          <w:tcPr>
            <w:vAlign w:val="center"/>
          </w:tcPr>
          <w:p w:rsidR="00000000" w:rsidDel="00000000" w:rsidP="00000000" w:rsidRDefault="00000000" w:rsidRPr="00000000" w14:paraId="00001195">
            <w:pPr>
              <w:jc w:val="center"/>
              <w:rPr>
                <w:sz w:val="18"/>
                <w:szCs w:val="18"/>
              </w:rPr>
            </w:pPr>
            <w:r w:rsidDel="00000000" w:rsidR="00000000" w:rsidRPr="00000000">
              <w:rPr>
                <w:sz w:val="18"/>
                <w:szCs w:val="18"/>
                <w:rtl w:val="0"/>
              </w:rPr>
              <w:t xml:space="preserve">‘In my life antidepressants have been:’ a qualitative analysis of user diverse experiences with antidepressants.</w:t>
            </w:r>
          </w:p>
        </w:tc>
        <w:tc>
          <w:tcPr>
            <w:vAlign w:val="center"/>
          </w:tcPr>
          <w:p w:rsidR="00000000" w:rsidDel="00000000" w:rsidP="00000000" w:rsidRDefault="00000000" w:rsidRPr="00000000" w14:paraId="00001196">
            <w:pPr>
              <w:jc w:val="center"/>
              <w:rPr>
                <w:sz w:val="18"/>
                <w:szCs w:val="18"/>
              </w:rPr>
            </w:pPr>
            <w:r w:rsidDel="00000000" w:rsidR="00000000" w:rsidRPr="00000000">
              <w:rPr>
                <w:sz w:val="18"/>
                <w:szCs w:val="18"/>
                <w:rtl w:val="0"/>
              </w:rPr>
              <w:t xml:space="preserve">Open-ended questionnaire, thematic and content analysis.</w:t>
            </w:r>
          </w:p>
        </w:tc>
        <w:tc>
          <w:tcPr>
            <w:vAlign w:val="center"/>
          </w:tcPr>
          <w:p w:rsidR="00000000" w:rsidDel="00000000" w:rsidP="00000000" w:rsidRDefault="00000000" w:rsidRPr="00000000" w14:paraId="00001197">
            <w:pPr>
              <w:jc w:val="center"/>
              <w:rPr>
                <w:sz w:val="18"/>
                <w:szCs w:val="18"/>
              </w:rPr>
            </w:pPr>
            <w:r w:rsidDel="00000000" w:rsidR="00000000" w:rsidRPr="00000000">
              <w:rPr>
                <w:sz w:val="18"/>
                <w:szCs w:val="18"/>
                <w:rtl w:val="0"/>
              </w:rPr>
              <w:t xml:space="preserve">1747</w:t>
            </w:r>
          </w:p>
        </w:tc>
        <w:tc>
          <w:tcPr>
            <w:vAlign w:val="center"/>
          </w:tcPr>
          <w:p w:rsidR="00000000" w:rsidDel="00000000" w:rsidP="00000000" w:rsidRDefault="00000000" w:rsidRPr="00000000" w14:paraId="00001198">
            <w:pPr>
              <w:rPr>
                <w:sz w:val="18"/>
                <w:szCs w:val="18"/>
              </w:rPr>
            </w:pPr>
            <w:r w:rsidDel="00000000" w:rsidR="00000000" w:rsidRPr="00000000">
              <w:rPr>
                <w:sz w:val="18"/>
                <w:szCs w:val="18"/>
                <w:rtl w:val="0"/>
              </w:rPr>
              <w:t xml:space="preserve">Experiences with antidepressants- positive (54%), negative (16%), mixed (28%).</w:t>
              <w:br w:type="textWrapping"/>
              <w:br w:type="textWrapping"/>
              <w:t xml:space="preserve">Positive: “life saver”, a way of meeting social obligations, dealing with difficult circumstances, a stepping-stone to further help.</w:t>
              <w:br w:type="textWrapping"/>
              <w:br w:type="textWrapping"/>
              <w:t xml:space="preserve">Negative: ineffective, unbearable side effects, undermining emotional authenticity, masking real problems and reducing the experience of control.</w:t>
              <w:br w:type="textWrapping"/>
              <w:br w:type="textWrapping"/>
              <w:t xml:space="preserve">Mixed: unpleasant side effects but felt calmer yet unlike themselves, struggled to find the right one or dosage and felt stuck with continuing on antidepressants when they wished to stop.</w:t>
              <w:br w:type="textWrapping"/>
              <w:br w:type="textWrapping"/>
              <w:t xml:space="preserve">Conclusion: mental health professionals need to realise that pharmacological therapy is not a “one size fits all” approach.</w:t>
            </w:r>
          </w:p>
        </w:tc>
        <w:tc>
          <w:tcPr>
            <w:vAlign w:val="center"/>
          </w:tcPr>
          <w:p w:rsidR="00000000" w:rsidDel="00000000" w:rsidP="00000000" w:rsidRDefault="00000000" w:rsidRPr="00000000" w14:paraId="00001199">
            <w:pPr>
              <w:rPr>
                <w:sz w:val="18"/>
                <w:szCs w:val="18"/>
              </w:rPr>
            </w:pPr>
            <w:r w:rsidDel="00000000" w:rsidR="00000000" w:rsidRPr="00000000">
              <w:rPr>
                <w:sz w:val="18"/>
                <w:szCs w:val="18"/>
                <w:rtl w:val="0"/>
              </w:rPr>
              <w:t xml:space="preserve">Volunteer sample may have a stronger investment in the issue, e.g. those who have been using antidepressants for longer and those with a stronger view on antidepressants.</w:t>
              <w:br w:type="textWrapping"/>
              <w:br w:type="textWrapping"/>
              <w:t xml:space="preserve">Internet sample may skew the sample to a younger and more computer literature sample with internet access.</w:t>
            </w:r>
          </w:p>
        </w:tc>
      </w:tr>
      <w:tr>
        <w:trPr>
          <w:cantSplit w:val="0"/>
          <w:trHeight w:val="79" w:hRule="atLeast"/>
          <w:tblHeader w:val="0"/>
        </w:trPr>
        <w:tc>
          <w:tcPr>
            <w:vAlign w:val="center"/>
          </w:tcPr>
          <w:p w:rsidR="00000000" w:rsidDel="00000000" w:rsidP="00000000" w:rsidRDefault="00000000" w:rsidRPr="00000000" w14:paraId="0000119A">
            <w:pPr>
              <w:rPr>
                <w:b w:val="0"/>
                <w:color w:val="000000"/>
                <w:sz w:val="18"/>
                <w:szCs w:val="18"/>
              </w:rPr>
            </w:pPr>
            <w:r w:rsidDel="00000000" w:rsidR="00000000" w:rsidRPr="00000000">
              <w:rPr>
                <w:b w:val="0"/>
                <w:color w:val="000000"/>
                <w:sz w:val="18"/>
                <w:szCs w:val="18"/>
                <w:rtl w:val="0"/>
              </w:rPr>
              <w:t xml:space="preserve">10</w:t>
            </w:r>
          </w:p>
        </w:tc>
        <w:tc>
          <w:tcPr>
            <w:vAlign w:val="center"/>
          </w:tcPr>
          <w:p w:rsidR="00000000" w:rsidDel="00000000" w:rsidP="00000000" w:rsidRDefault="00000000" w:rsidRPr="00000000" w14:paraId="0000119B">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19C">
            <w:pPr>
              <w:rPr>
                <w:sz w:val="18"/>
                <w:szCs w:val="18"/>
              </w:rPr>
            </w:pPr>
            <w:r w:rsidDel="00000000" w:rsidR="00000000" w:rsidRPr="00000000">
              <w:rPr>
                <w:sz w:val="18"/>
                <w:szCs w:val="18"/>
                <w:rtl w:val="0"/>
              </w:rPr>
              <w:t xml:space="preserve">Lader M. </w:t>
              <w:br w:type="textWrapping"/>
              <w:t xml:space="preserve">Kyriacou A.</w:t>
            </w:r>
          </w:p>
        </w:tc>
        <w:tc>
          <w:tcPr>
            <w:vAlign w:val="center"/>
          </w:tcPr>
          <w:p w:rsidR="00000000" w:rsidDel="00000000" w:rsidP="00000000" w:rsidRDefault="00000000" w:rsidRPr="00000000" w14:paraId="0000119D">
            <w:pPr>
              <w:jc w:val="center"/>
              <w:rPr>
                <w:sz w:val="18"/>
                <w:szCs w:val="18"/>
              </w:rPr>
            </w:pPr>
            <w:r w:rsidDel="00000000" w:rsidR="00000000" w:rsidRPr="00000000">
              <w:rPr>
                <w:sz w:val="18"/>
                <w:szCs w:val="18"/>
                <w:rtl w:val="0"/>
              </w:rPr>
              <w:t xml:space="preserve">2016</w:t>
            </w:r>
          </w:p>
        </w:tc>
        <w:tc>
          <w:tcPr>
            <w:vAlign w:val="center"/>
          </w:tcPr>
          <w:p w:rsidR="00000000" w:rsidDel="00000000" w:rsidP="00000000" w:rsidRDefault="00000000" w:rsidRPr="00000000" w14:paraId="0000119E">
            <w:pPr>
              <w:jc w:val="center"/>
              <w:rPr>
                <w:sz w:val="18"/>
                <w:szCs w:val="18"/>
              </w:rPr>
            </w:pPr>
            <w:r w:rsidDel="00000000" w:rsidR="00000000" w:rsidRPr="00000000">
              <w:rPr>
                <w:sz w:val="18"/>
                <w:szCs w:val="18"/>
                <w:rtl w:val="0"/>
              </w:rPr>
              <w:t xml:space="preserve">Withdrawing Benzodiazepines in Patients with Anxiety Disorders</w:t>
            </w:r>
          </w:p>
        </w:tc>
        <w:tc>
          <w:tcPr>
            <w:vAlign w:val="center"/>
          </w:tcPr>
          <w:p w:rsidR="00000000" w:rsidDel="00000000" w:rsidP="00000000" w:rsidRDefault="00000000" w:rsidRPr="00000000" w14:paraId="0000119F">
            <w:pPr>
              <w:jc w:val="center"/>
              <w:rPr>
                <w:sz w:val="18"/>
                <w:szCs w:val="18"/>
              </w:rPr>
            </w:pPr>
            <w:r w:rsidDel="00000000" w:rsidR="00000000" w:rsidRPr="00000000">
              <w:rPr>
                <w:sz w:val="18"/>
                <w:szCs w:val="18"/>
                <w:rtl w:val="0"/>
              </w:rPr>
              <w:t xml:space="preserve">Report</w:t>
            </w:r>
          </w:p>
        </w:tc>
        <w:tc>
          <w:tcPr>
            <w:vAlign w:val="center"/>
          </w:tcPr>
          <w:p w:rsidR="00000000" w:rsidDel="00000000" w:rsidP="00000000" w:rsidRDefault="00000000" w:rsidRPr="00000000" w14:paraId="000011A0">
            <w:pPr>
              <w:jc w:val="center"/>
              <w:rPr>
                <w:sz w:val="18"/>
                <w:szCs w:val="18"/>
              </w:rPr>
            </w:pPr>
            <w:r w:rsidDel="00000000" w:rsidR="00000000" w:rsidRPr="00000000">
              <w:rPr>
                <w:sz w:val="18"/>
                <w:szCs w:val="18"/>
                <w:rtl w:val="0"/>
              </w:rPr>
              <w:t xml:space="preserve">N/A</w:t>
            </w:r>
          </w:p>
        </w:tc>
        <w:tc>
          <w:tcPr>
            <w:vAlign w:val="center"/>
          </w:tcPr>
          <w:p w:rsidR="00000000" w:rsidDel="00000000" w:rsidP="00000000" w:rsidRDefault="00000000" w:rsidRPr="00000000" w14:paraId="000011A1">
            <w:pPr>
              <w:rPr>
                <w:sz w:val="18"/>
                <w:szCs w:val="18"/>
              </w:rPr>
            </w:pPr>
            <w:r w:rsidDel="00000000" w:rsidR="00000000" w:rsidRPr="00000000">
              <w:rPr>
                <w:sz w:val="18"/>
                <w:szCs w:val="18"/>
                <w:rtl w:val="0"/>
              </w:rPr>
              <w:t xml:space="preserve">There does not appear to be an optimum regiment for withdrawal on an individual case, therefore general principles should be used by the practitioner to titrate their patients.</w:t>
              <w:br w:type="textWrapping"/>
              <w:br w:type="textWrapping"/>
              <w:t xml:space="preserve">There is no evidentiary support for optimal benzodiazepine withdrawal.</w:t>
              <w:br w:type="textWrapping"/>
              <w:br w:type="textWrapping"/>
              <w:t xml:space="preserve">Group therapy could be beneficial – CBT has been shown to be useful by patients on the internet but showed no advantage over normal therapy.</w:t>
              <w:br w:type="textWrapping"/>
              <w:br w:type="textWrapping"/>
              <w:t xml:space="preserve">A reduction in dosage is unsatisfactory as there is a high incidence of relapse.</w:t>
            </w:r>
          </w:p>
        </w:tc>
        <w:tc>
          <w:tcPr>
            <w:vAlign w:val="center"/>
          </w:tcPr>
          <w:p w:rsidR="00000000" w:rsidDel="00000000" w:rsidP="00000000" w:rsidRDefault="00000000" w:rsidRPr="00000000" w14:paraId="000011A2">
            <w:pPr>
              <w:rPr>
                <w:sz w:val="18"/>
                <w:szCs w:val="18"/>
              </w:rPr>
            </w:pPr>
            <w:r w:rsidDel="00000000" w:rsidR="00000000" w:rsidRPr="00000000">
              <w:rPr>
                <w:rtl w:val="0"/>
              </w:rPr>
            </w:r>
          </w:p>
        </w:tc>
      </w:tr>
      <w:tr>
        <w:trPr>
          <w:cantSplit w:val="0"/>
          <w:trHeight w:val="1125" w:hRule="atLeast"/>
          <w:tblHeader w:val="0"/>
        </w:trPr>
        <w:tc>
          <w:tcPr>
            <w:vAlign w:val="center"/>
          </w:tcPr>
          <w:p w:rsidR="00000000" w:rsidDel="00000000" w:rsidP="00000000" w:rsidRDefault="00000000" w:rsidRPr="00000000" w14:paraId="000011A3">
            <w:pPr>
              <w:rPr>
                <w:b w:val="0"/>
                <w:color w:val="000000"/>
                <w:sz w:val="18"/>
                <w:szCs w:val="18"/>
              </w:rPr>
            </w:pPr>
            <w:r w:rsidDel="00000000" w:rsidR="00000000" w:rsidRPr="00000000">
              <w:rPr>
                <w:b w:val="0"/>
                <w:color w:val="000000"/>
                <w:sz w:val="18"/>
                <w:szCs w:val="18"/>
                <w:rtl w:val="0"/>
              </w:rPr>
              <w:t xml:space="preserve">11</w:t>
            </w:r>
          </w:p>
        </w:tc>
        <w:tc>
          <w:tcPr>
            <w:vAlign w:val="center"/>
          </w:tcPr>
          <w:p w:rsidR="00000000" w:rsidDel="00000000" w:rsidP="00000000" w:rsidRDefault="00000000" w:rsidRPr="00000000" w14:paraId="000011A4">
            <w:pPr>
              <w:rPr>
                <w:b w:val="1"/>
                <w:sz w:val="18"/>
                <w:szCs w:val="18"/>
              </w:rPr>
            </w:pPr>
            <w:r w:rsidDel="00000000" w:rsidR="00000000" w:rsidRPr="00000000">
              <w:rPr>
                <w:b w:val="1"/>
                <w:sz w:val="18"/>
                <w:szCs w:val="18"/>
                <w:rtl w:val="0"/>
              </w:rPr>
              <w:t xml:space="preserve">Australia</w:t>
            </w:r>
          </w:p>
        </w:tc>
        <w:tc>
          <w:tcPr>
            <w:vAlign w:val="center"/>
          </w:tcPr>
          <w:p w:rsidR="00000000" w:rsidDel="00000000" w:rsidP="00000000" w:rsidRDefault="00000000" w:rsidRPr="00000000" w14:paraId="000011A5">
            <w:pPr>
              <w:rPr>
                <w:sz w:val="18"/>
                <w:szCs w:val="18"/>
              </w:rPr>
            </w:pPr>
            <w:r w:rsidDel="00000000" w:rsidR="00000000" w:rsidRPr="00000000">
              <w:rPr>
                <w:sz w:val="18"/>
                <w:szCs w:val="18"/>
                <w:rtl w:val="0"/>
              </w:rPr>
              <w:t xml:space="preserve">Paterson.</w:t>
              <w:br w:type="textWrapping"/>
              <w:t xml:space="preserve">Ledgerwood. </w:t>
              <w:br w:type="textWrapping"/>
              <w:t xml:space="preserve">Arnold. </w:t>
              <w:br w:type="textWrapping"/>
              <w:t xml:space="preserve">Hoff. </w:t>
              <w:br w:type="textWrapping"/>
              <w:t xml:space="preserve">Xue. </w:t>
              <w:br w:type="textWrapping"/>
              <w:t xml:space="preserve">Zheng. </w:t>
            </w:r>
          </w:p>
        </w:tc>
        <w:tc>
          <w:tcPr>
            <w:vAlign w:val="center"/>
          </w:tcPr>
          <w:p w:rsidR="00000000" w:rsidDel="00000000" w:rsidP="00000000" w:rsidRDefault="00000000" w:rsidRPr="00000000" w14:paraId="000011A6">
            <w:pPr>
              <w:jc w:val="center"/>
              <w:rPr>
                <w:sz w:val="18"/>
                <w:szCs w:val="18"/>
              </w:rPr>
            </w:pPr>
            <w:r w:rsidDel="00000000" w:rsidR="00000000" w:rsidRPr="00000000">
              <w:rPr>
                <w:sz w:val="18"/>
                <w:szCs w:val="18"/>
                <w:rtl w:val="0"/>
              </w:rPr>
              <w:t xml:space="preserve">2016</w:t>
            </w:r>
          </w:p>
        </w:tc>
        <w:tc>
          <w:tcPr>
            <w:vAlign w:val="center"/>
          </w:tcPr>
          <w:p w:rsidR="00000000" w:rsidDel="00000000" w:rsidP="00000000" w:rsidRDefault="00000000" w:rsidRPr="00000000" w14:paraId="000011A7">
            <w:pPr>
              <w:jc w:val="center"/>
              <w:rPr>
                <w:sz w:val="18"/>
                <w:szCs w:val="18"/>
              </w:rPr>
            </w:pPr>
            <w:r w:rsidDel="00000000" w:rsidR="00000000" w:rsidRPr="00000000">
              <w:rPr>
                <w:sz w:val="18"/>
                <w:szCs w:val="18"/>
                <w:rtl w:val="0"/>
              </w:rPr>
              <w:t xml:space="preserve">Resisting Prescribed Opioids: A Qualitative Study of Decision Making in Patients Taking Opioids for Chronic Noncancer Pain.</w:t>
            </w:r>
          </w:p>
        </w:tc>
        <w:tc>
          <w:tcPr>
            <w:vAlign w:val="center"/>
          </w:tcPr>
          <w:p w:rsidR="00000000" w:rsidDel="00000000" w:rsidP="00000000" w:rsidRDefault="00000000" w:rsidRPr="00000000" w14:paraId="000011A8">
            <w:pPr>
              <w:jc w:val="center"/>
              <w:rPr>
                <w:sz w:val="18"/>
                <w:szCs w:val="18"/>
              </w:rPr>
            </w:pPr>
            <w:r w:rsidDel="00000000" w:rsidR="00000000" w:rsidRPr="00000000">
              <w:rPr>
                <w:sz w:val="18"/>
                <w:szCs w:val="18"/>
                <w:rtl w:val="0"/>
              </w:rPr>
              <w:t xml:space="preserve">Qualitative: Purposive sample</w:t>
            </w:r>
          </w:p>
        </w:tc>
        <w:tc>
          <w:tcPr>
            <w:vAlign w:val="center"/>
          </w:tcPr>
          <w:p w:rsidR="00000000" w:rsidDel="00000000" w:rsidP="00000000" w:rsidRDefault="00000000" w:rsidRPr="00000000" w14:paraId="000011A9">
            <w:pPr>
              <w:jc w:val="center"/>
              <w:rPr>
                <w:sz w:val="18"/>
                <w:szCs w:val="18"/>
              </w:rPr>
            </w:pPr>
            <w:r w:rsidDel="00000000" w:rsidR="00000000" w:rsidRPr="00000000">
              <w:rPr>
                <w:sz w:val="18"/>
                <w:szCs w:val="18"/>
                <w:rtl w:val="0"/>
              </w:rPr>
              <w:t xml:space="preserve">20</w:t>
            </w:r>
          </w:p>
        </w:tc>
        <w:tc>
          <w:tcPr>
            <w:vAlign w:val="center"/>
          </w:tcPr>
          <w:p w:rsidR="00000000" w:rsidDel="00000000" w:rsidP="00000000" w:rsidRDefault="00000000" w:rsidRPr="00000000" w14:paraId="000011AA">
            <w:pPr>
              <w:rPr>
                <w:sz w:val="18"/>
                <w:szCs w:val="18"/>
              </w:rPr>
            </w:pPr>
            <w:r w:rsidDel="00000000" w:rsidR="00000000" w:rsidRPr="00000000">
              <w:rPr>
                <w:sz w:val="18"/>
                <w:szCs w:val="18"/>
                <w:rtl w:val="0"/>
              </w:rPr>
              <w:t xml:space="preserve">Needs to obtain pain relief from severe pain, maintain function and minimise side effects could lead to the over AND under use of opioids for non-cancer pain.</w:t>
              <w:br w:type="textWrapping"/>
              <w:br w:type="textWrapping"/>
              <w:t xml:space="preserve">Resistance to taking opioids was a common and important influence on behaviour.  </w:t>
              <w:br w:type="textWrapping"/>
              <w:br w:type="textWrapping"/>
              <w:t xml:space="preserve">Participants perceived a resistance to opioids within the system and among some healthcare professionals.</w:t>
              <w:br w:type="textWrapping"/>
              <w:br w:type="textWrapping"/>
              <w:t xml:space="preserve">Both patients and doctors exhibit some resistance to prescription opioids for chronic non-cancer pain. This could prove a beneficial therapeutic alliance to share decision making and improve communication.</w:t>
            </w:r>
          </w:p>
        </w:tc>
        <w:tc>
          <w:tcPr>
            <w:vAlign w:val="center"/>
          </w:tcPr>
          <w:p w:rsidR="00000000" w:rsidDel="00000000" w:rsidP="00000000" w:rsidRDefault="00000000" w:rsidRPr="00000000" w14:paraId="000011AB">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1AC">
            <w:pPr>
              <w:rPr>
                <w:b w:val="0"/>
                <w:color w:val="000000"/>
                <w:sz w:val="18"/>
                <w:szCs w:val="18"/>
              </w:rPr>
            </w:pPr>
            <w:r w:rsidDel="00000000" w:rsidR="00000000" w:rsidRPr="00000000">
              <w:rPr>
                <w:b w:val="0"/>
                <w:color w:val="000000"/>
                <w:sz w:val="18"/>
                <w:szCs w:val="18"/>
                <w:rtl w:val="0"/>
              </w:rPr>
              <w:t xml:space="preserve">12</w:t>
            </w:r>
          </w:p>
        </w:tc>
        <w:tc>
          <w:tcPr>
            <w:vAlign w:val="center"/>
          </w:tcPr>
          <w:p w:rsidR="00000000" w:rsidDel="00000000" w:rsidP="00000000" w:rsidRDefault="00000000" w:rsidRPr="00000000" w14:paraId="000011AD">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1AE">
            <w:pPr>
              <w:rPr>
                <w:sz w:val="18"/>
                <w:szCs w:val="18"/>
              </w:rPr>
            </w:pPr>
            <w:r w:rsidDel="00000000" w:rsidR="00000000" w:rsidRPr="00000000">
              <w:rPr>
                <w:sz w:val="18"/>
                <w:szCs w:val="18"/>
                <w:rtl w:val="0"/>
              </w:rPr>
              <w:t xml:space="preserve">Fixsen AM. </w:t>
              <w:br w:type="textWrapping"/>
              <w:t xml:space="preserve">Ridge D.</w:t>
            </w:r>
          </w:p>
        </w:tc>
        <w:tc>
          <w:tcPr>
            <w:vAlign w:val="center"/>
          </w:tcPr>
          <w:p w:rsidR="00000000" w:rsidDel="00000000" w:rsidP="00000000" w:rsidRDefault="00000000" w:rsidRPr="00000000" w14:paraId="000011AF">
            <w:pPr>
              <w:jc w:val="center"/>
              <w:rPr>
                <w:sz w:val="18"/>
                <w:szCs w:val="18"/>
              </w:rPr>
            </w:pPr>
            <w:r w:rsidDel="00000000" w:rsidR="00000000" w:rsidRPr="00000000">
              <w:rPr>
                <w:sz w:val="18"/>
                <w:szCs w:val="18"/>
                <w:rtl w:val="0"/>
              </w:rPr>
              <w:t xml:space="preserve">2016</w:t>
            </w:r>
          </w:p>
        </w:tc>
        <w:tc>
          <w:tcPr>
            <w:vAlign w:val="center"/>
          </w:tcPr>
          <w:p w:rsidR="00000000" w:rsidDel="00000000" w:rsidP="00000000" w:rsidRDefault="00000000" w:rsidRPr="00000000" w14:paraId="000011B0">
            <w:pPr>
              <w:jc w:val="center"/>
              <w:rPr>
                <w:sz w:val="18"/>
                <w:szCs w:val="18"/>
              </w:rPr>
            </w:pPr>
            <w:r w:rsidDel="00000000" w:rsidR="00000000" w:rsidRPr="00000000">
              <w:rPr>
                <w:sz w:val="18"/>
                <w:szCs w:val="18"/>
                <w:rtl w:val="0"/>
              </w:rPr>
              <w:t xml:space="preserve">Stories of Hell and Healing: Internet Users Construction of Benzodiazepine Distress and Withdrawal.</w:t>
            </w:r>
          </w:p>
        </w:tc>
        <w:tc>
          <w:tcPr>
            <w:vAlign w:val="center"/>
          </w:tcPr>
          <w:p w:rsidR="00000000" w:rsidDel="00000000" w:rsidP="00000000" w:rsidRDefault="00000000" w:rsidRPr="00000000" w14:paraId="000011B1">
            <w:pPr>
              <w:jc w:val="center"/>
              <w:rPr>
                <w:sz w:val="18"/>
                <w:szCs w:val="18"/>
              </w:rPr>
            </w:pPr>
            <w:r w:rsidDel="00000000" w:rsidR="00000000" w:rsidRPr="00000000">
              <w:rPr>
                <w:sz w:val="18"/>
                <w:szCs w:val="18"/>
                <w:rtl w:val="0"/>
              </w:rPr>
              <w:t xml:space="preserve">Analysis of secondary data found through online recovery websites and YouTube.</w:t>
            </w:r>
          </w:p>
        </w:tc>
        <w:tc>
          <w:tcPr>
            <w:vAlign w:val="center"/>
          </w:tcPr>
          <w:p w:rsidR="00000000" w:rsidDel="00000000" w:rsidP="00000000" w:rsidRDefault="00000000" w:rsidRPr="00000000" w14:paraId="000011B2">
            <w:pPr>
              <w:jc w:val="center"/>
              <w:rPr>
                <w:sz w:val="18"/>
                <w:szCs w:val="18"/>
              </w:rPr>
            </w:pPr>
            <w:r w:rsidDel="00000000" w:rsidR="00000000" w:rsidRPr="00000000">
              <w:rPr>
                <w:sz w:val="18"/>
                <w:szCs w:val="18"/>
                <w:rtl w:val="0"/>
              </w:rPr>
              <w:t xml:space="preserve">12 sites</w:t>
            </w:r>
          </w:p>
        </w:tc>
        <w:tc>
          <w:tcPr>
            <w:vAlign w:val="center"/>
          </w:tcPr>
          <w:p w:rsidR="00000000" w:rsidDel="00000000" w:rsidP="00000000" w:rsidRDefault="00000000" w:rsidRPr="00000000" w14:paraId="000011B3">
            <w:pPr>
              <w:rPr>
                <w:sz w:val="18"/>
                <w:szCs w:val="18"/>
              </w:rPr>
            </w:pPr>
            <w:r w:rsidDel="00000000" w:rsidR="00000000" w:rsidRPr="00000000">
              <w:rPr>
                <w:sz w:val="18"/>
                <w:szCs w:val="18"/>
                <w:rtl w:val="0"/>
              </w:rPr>
              <w:t xml:space="preserve">“Hell and Isolation”: Users experience a ‘harrowing’ withdrawal: “pure hell”, “deep, dark unmentionable”, “someone ripped your soul out of your body and left you with just a shell of a person”. YouTube users explicitly warn others to “Never abuse this drug. Never take it as prescribed. My life is hell”.</w:t>
              <w:br w:type="textWrapping"/>
              <w:br w:type="textWrapping"/>
              <w:t xml:space="preserve">“Anxiety and Depression”: Constant fear of dread that leaves the participant “hidden from the world, stricken with panic and fear”. Long term users: reduce their dosage over time- greatest fear is the “jump off” (where the patient will go from a low dose of benzodiazepine to nothing at all), Empathy for those who end their lives: “I can see why people kill themselves feeling like this. I’ve only been taking [benzodiazepines] for a few months…. But this is just awful”. Sense of numbness, separation of self and the feeling of being ‘completely flat’.</w:t>
              <w:br w:type="textWrapping"/>
              <w:br w:type="textWrapping"/>
              <w:t xml:space="preserve">“Alienation”: Derealisation, disassociation, cognitive impairment, feeling “spaced out”, a “dreamlike state”, senses distorted in ‘disturbing ways’ and normality being replaced by a sense of ‘otherworldliness’, nightmarish, “in a bad dream that I couldn’t waken up from”, confined to an alien landscape, “like being locked in jail… and having the jailer walk by rattling his keys”, Entire withdrawal experience being a “strange, isolating experience”, Hyperawareness of one’s own suffering and existential distress.</w:t>
              <w:br w:type="textWrapping"/>
              <w:br w:type="textWrapping"/>
              <w:t xml:space="preserve">“Physical distress”: Patient experienced weakness, chills, sweats, bodily pains, diarrhoea, hypersensitivity to outside stimuli, exhaustion, insomnia, metaphorically described as “burning, wildfire, acid, electricity, knifelike pain, crushing”</w:t>
              <w:br w:type="textWrapping"/>
              <w:br w:type="textWrapping"/>
              <w:t xml:space="preserve">“Anger and Remorse”: Common to experience remorse for starting to use benzodiazepines, direct disappointment for the medical professionals who ‘allowed this to happen’</w:t>
              <w:br w:type="textWrapping"/>
              <w:br w:type="textWrapping"/>
              <w:t xml:space="preserve">“Waves and Windows”: Withdrawal is a slow and uneven process, tedious nature of a “safe taper”, cycles of hope and hopelessness</w:t>
              <w:br w:type="textWrapping"/>
              <w:br w:type="textWrapping"/>
              <w:t xml:space="preserve">“Healing”: Those who have ‘healed’ often express a sense of triumph and are compelled to share their story to support those who are withdrawing, discussion and analysis of the ‘cold turkey’ approach by patients.</w:t>
              <w:br w:type="textWrapping"/>
              <w:br w:type="textWrapping"/>
              <w:t xml:space="preserve">“Renewal”: Some stop posting on the recovery sites after discontinuing, others become active site moderators, reassurance, education, inspiration “spiritual rebirth”</w:t>
            </w:r>
          </w:p>
        </w:tc>
        <w:tc>
          <w:tcPr>
            <w:vAlign w:val="center"/>
          </w:tcPr>
          <w:p w:rsidR="00000000" w:rsidDel="00000000" w:rsidP="00000000" w:rsidRDefault="00000000" w:rsidRPr="00000000" w14:paraId="000011B4">
            <w:pPr>
              <w:rPr>
                <w:sz w:val="18"/>
                <w:szCs w:val="18"/>
              </w:rPr>
            </w:pPr>
            <w:r w:rsidDel="00000000" w:rsidR="00000000" w:rsidRPr="00000000">
              <w:rPr>
                <w:sz w:val="18"/>
                <w:szCs w:val="18"/>
                <w:rtl w:val="0"/>
              </w:rPr>
              <w:t xml:space="preserve">Narrative information is voluminous, therefore unable to analyse all data.</w:t>
            </w:r>
          </w:p>
        </w:tc>
      </w:tr>
      <w:tr>
        <w:trPr>
          <w:cantSplit w:val="0"/>
          <w:trHeight w:val="416" w:hRule="atLeast"/>
          <w:tblHeader w:val="0"/>
        </w:trPr>
        <w:tc>
          <w:tcPr>
            <w:vAlign w:val="center"/>
          </w:tcPr>
          <w:p w:rsidR="00000000" w:rsidDel="00000000" w:rsidP="00000000" w:rsidRDefault="00000000" w:rsidRPr="00000000" w14:paraId="000011B5">
            <w:pPr>
              <w:rPr>
                <w:b w:val="0"/>
                <w:color w:val="000000"/>
                <w:sz w:val="18"/>
                <w:szCs w:val="18"/>
              </w:rPr>
            </w:pPr>
            <w:r w:rsidDel="00000000" w:rsidR="00000000" w:rsidRPr="00000000">
              <w:rPr>
                <w:b w:val="0"/>
                <w:color w:val="000000"/>
                <w:sz w:val="18"/>
                <w:szCs w:val="18"/>
                <w:rtl w:val="0"/>
              </w:rPr>
              <w:t xml:space="preserve">13</w:t>
            </w:r>
          </w:p>
        </w:tc>
        <w:tc>
          <w:tcPr>
            <w:vAlign w:val="center"/>
          </w:tcPr>
          <w:p w:rsidR="00000000" w:rsidDel="00000000" w:rsidP="00000000" w:rsidRDefault="00000000" w:rsidRPr="00000000" w14:paraId="000011B6">
            <w:pPr>
              <w:rPr>
                <w:b w:val="1"/>
                <w:sz w:val="18"/>
                <w:szCs w:val="18"/>
              </w:rPr>
            </w:pPr>
            <w:r w:rsidDel="00000000" w:rsidR="00000000" w:rsidRPr="00000000">
              <w:rPr>
                <w:b w:val="1"/>
                <w:sz w:val="18"/>
                <w:szCs w:val="18"/>
                <w:rtl w:val="0"/>
              </w:rPr>
              <w:t xml:space="preserve">International</w:t>
            </w:r>
          </w:p>
        </w:tc>
        <w:tc>
          <w:tcPr>
            <w:vAlign w:val="center"/>
          </w:tcPr>
          <w:p w:rsidR="00000000" w:rsidDel="00000000" w:rsidP="00000000" w:rsidRDefault="00000000" w:rsidRPr="00000000" w14:paraId="000011B7">
            <w:pPr>
              <w:rPr>
                <w:sz w:val="18"/>
                <w:szCs w:val="18"/>
              </w:rPr>
            </w:pPr>
            <w:r w:rsidDel="00000000" w:rsidR="00000000" w:rsidRPr="00000000">
              <w:rPr>
                <w:sz w:val="18"/>
                <w:szCs w:val="18"/>
                <w:rtl w:val="0"/>
              </w:rPr>
              <w:t xml:space="preserve">Abbe A. </w:t>
              <w:br w:type="textWrapping"/>
              <w:t xml:space="preserve">Falissard B</w:t>
            </w:r>
          </w:p>
        </w:tc>
        <w:tc>
          <w:tcPr>
            <w:vAlign w:val="center"/>
          </w:tcPr>
          <w:p w:rsidR="00000000" w:rsidDel="00000000" w:rsidP="00000000" w:rsidRDefault="00000000" w:rsidRPr="00000000" w14:paraId="000011B8">
            <w:pPr>
              <w:jc w:val="center"/>
              <w:rPr>
                <w:sz w:val="18"/>
                <w:szCs w:val="18"/>
              </w:rPr>
            </w:pPr>
            <w:r w:rsidDel="00000000" w:rsidR="00000000" w:rsidRPr="00000000">
              <w:rPr>
                <w:sz w:val="18"/>
                <w:szCs w:val="18"/>
                <w:rtl w:val="0"/>
              </w:rPr>
              <w:t xml:space="preserve">2017</w:t>
            </w:r>
          </w:p>
        </w:tc>
        <w:tc>
          <w:tcPr>
            <w:vAlign w:val="center"/>
          </w:tcPr>
          <w:p w:rsidR="00000000" w:rsidDel="00000000" w:rsidP="00000000" w:rsidRDefault="00000000" w:rsidRPr="00000000" w14:paraId="000011B9">
            <w:pPr>
              <w:jc w:val="center"/>
              <w:rPr>
                <w:sz w:val="18"/>
                <w:szCs w:val="18"/>
              </w:rPr>
            </w:pPr>
            <w:hyperlink r:id="rId121">
              <w:r w:rsidDel="00000000" w:rsidR="00000000" w:rsidRPr="00000000">
                <w:rPr>
                  <w:sz w:val="18"/>
                  <w:szCs w:val="18"/>
                  <w:rtl w:val="0"/>
                </w:rPr>
                <w:t xml:space="preserve">Stopping Antidepressants and Anxiolytics as Major Concerns Reported in Online Health Communities: A Text Mining Approach.</w:t>
              </w:r>
            </w:hyperlink>
            <w:r w:rsidDel="00000000" w:rsidR="00000000" w:rsidRPr="00000000">
              <w:rPr>
                <w:rtl w:val="0"/>
              </w:rPr>
            </w:r>
          </w:p>
        </w:tc>
        <w:tc>
          <w:tcPr>
            <w:vAlign w:val="center"/>
          </w:tcPr>
          <w:p w:rsidR="00000000" w:rsidDel="00000000" w:rsidP="00000000" w:rsidRDefault="00000000" w:rsidRPr="00000000" w14:paraId="000011BA">
            <w:pPr>
              <w:jc w:val="center"/>
              <w:rPr>
                <w:sz w:val="18"/>
                <w:szCs w:val="18"/>
              </w:rPr>
            </w:pPr>
            <w:r w:rsidDel="00000000" w:rsidR="00000000" w:rsidRPr="00000000">
              <w:rPr>
                <w:sz w:val="18"/>
                <w:szCs w:val="18"/>
                <w:rtl w:val="0"/>
              </w:rPr>
              <w:t xml:space="preserve">text mining on online communities in relation to antidepressants and anxiolytics</w:t>
            </w:r>
          </w:p>
        </w:tc>
        <w:tc>
          <w:tcPr>
            <w:vAlign w:val="center"/>
          </w:tcPr>
          <w:p w:rsidR="00000000" w:rsidDel="00000000" w:rsidP="00000000" w:rsidRDefault="00000000" w:rsidRPr="00000000" w14:paraId="000011BB">
            <w:pPr>
              <w:jc w:val="center"/>
              <w:rPr>
                <w:sz w:val="18"/>
                <w:szCs w:val="18"/>
              </w:rPr>
            </w:pPr>
            <w:r w:rsidDel="00000000" w:rsidR="00000000" w:rsidRPr="00000000">
              <w:rPr>
                <w:sz w:val="18"/>
                <w:szCs w:val="18"/>
                <w:rtl w:val="0"/>
              </w:rPr>
              <w:t xml:space="preserve">2415 posts</w:t>
            </w:r>
          </w:p>
        </w:tc>
        <w:tc>
          <w:tcPr>
            <w:vAlign w:val="center"/>
          </w:tcPr>
          <w:p w:rsidR="00000000" w:rsidDel="00000000" w:rsidP="00000000" w:rsidRDefault="00000000" w:rsidRPr="00000000" w14:paraId="000011BC">
            <w:pPr>
              <w:rPr>
                <w:sz w:val="18"/>
                <w:szCs w:val="18"/>
              </w:rPr>
            </w:pPr>
            <w:r w:rsidDel="00000000" w:rsidR="00000000" w:rsidRPr="00000000">
              <w:rPr>
                <w:sz w:val="18"/>
                <w:szCs w:val="18"/>
                <w:rtl w:val="0"/>
              </w:rPr>
              <w:t xml:space="preserve">Withdrawal symptoms: nausea, vomiting, headache, dizziness, insomnia, sexual side effects, weight gain.</w:t>
            </w:r>
          </w:p>
        </w:tc>
        <w:tc>
          <w:tcPr>
            <w:vAlign w:val="center"/>
          </w:tcPr>
          <w:p w:rsidR="00000000" w:rsidDel="00000000" w:rsidP="00000000" w:rsidRDefault="00000000" w:rsidRPr="00000000" w14:paraId="000011BD">
            <w:pPr>
              <w:rPr>
                <w:sz w:val="18"/>
                <w:szCs w:val="18"/>
              </w:rPr>
            </w:pPr>
            <w:r w:rsidDel="00000000" w:rsidR="00000000" w:rsidRPr="00000000">
              <w:rPr>
                <w:sz w:val="18"/>
                <w:szCs w:val="18"/>
                <w:rtl w:val="0"/>
              </w:rPr>
              <w:t xml:space="preserve">not an easy way to obtain general health information and therefore cannot be extrapolated.</w:t>
            </w:r>
          </w:p>
        </w:tc>
      </w:tr>
      <w:tr>
        <w:trPr>
          <w:cantSplit w:val="0"/>
          <w:trHeight w:val="633" w:hRule="atLeast"/>
          <w:tblHeader w:val="0"/>
        </w:trPr>
        <w:tc>
          <w:tcPr>
            <w:vAlign w:val="center"/>
          </w:tcPr>
          <w:p w:rsidR="00000000" w:rsidDel="00000000" w:rsidP="00000000" w:rsidRDefault="00000000" w:rsidRPr="00000000" w14:paraId="000011BE">
            <w:pPr>
              <w:rPr>
                <w:b w:val="0"/>
                <w:color w:val="000000"/>
                <w:sz w:val="18"/>
                <w:szCs w:val="18"/>
              </w:rPr>
            </w:pPr>
            <w:r w:rsidDel="00000000" w:rsidR="00000000" w:rsidRPr="00000000">
              <w:rPr>
                <w:b w:val="0"/>
                <w:color w:val="000000"/>
                <w:sz w:val="18"/>
                <w:szCs w:val="18"/>
                <w:rtl w:val="0"/>
              </w:rPr>
              <w:t xml:space="preserve">14</w:t>
            </w:r>
          </w:p>
        </w:tc>
        <w:tc>
          <w:tcPr>
            <w:vAlign w:val="center"/>
          </w:tcPr>
          <w:p w:rsidR="00000000" w:rsidDel="00000000" w:rsidP="00000000" w:rsidRDefault="00000000" w:rsidRPr="00000000" w14:paraId="000011BF">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1C0">
            <w:pPr>
              <w:rPr>
                <w:color w:val="000000"/>
                <w:sz w:val="18"/>
                <w:szCs w:val="18"/>
              </w:rPr>
            </w:pPr>
            <w:r w:rsidDel="00000000" w:rsidR="00000000" w:rsidRPr="00000000">
              <w:rPr>
                <w:color w:val="000000"/>
                <w:sz w:val="18"/>
                <w:szCs w:val="18"/>
                <w:rtl w:val="0"/>
              </w:rPr>
              <w:t xml:space="preserve">Matthias MS.</w:t>
              <w:br w:type="textWrapping"/>
              <w:t xml:space="preserve">Johnson NL.</w:t>
              <w:br w:type="textWrapping"/>
              <w:t xml:space="preserve">Shields CG.</w:t>
              <w:br w:type="textWrapping"/>
              <w:t xml:space="preserve">Bair MJ.</w:t>
              <w:br w:type="textWrapping"/>
              <w:t xml:space="preserve">MacKie P</w:t>
              <w:br w:type="textWrapping"/>
              <w:t xml:space="preserve">Huffman M</w:t>
              <w:br w:type="textWrapping"/>
              <w:t xml:space="preserve">Alexander SC</w:t>
            </w:r>
          </w:p>
        </w:tc>
        <w:tc>
          <w:tcPr>
            <w:vAlign w:val="center"/>
          </w:tcPr>
          <w:p w:rsidR="00000000" w:rsidDel="00000000" w:rsidP="00000000" w:rsidRDefault="00000000" w:rsidRPr="00000000" w14:paraId="000011C1">
            <w:pPr>
              <w:jc w:val="center"/>
              <w:rPr>
                <w:color w:val="000000"/>
                <w:sz w:val="18"/>
                <w:szCs w:val="18"/>
              </w:rPr>
            </w:pPr>
            <w:r w:rsidDel="00000000" w:rsidR="00000000" w:rsidRPr="00000000">
              <w:rPr>
                <w:color w:val="000000"/>
                <w:sz w:val="18"/>
                <w:szCs w:val="18"/>
                <w:rtl w:val="0"/>
              </w:rPr>
              <w:t xml:space="preserve">2017</w:t>
            </w:r>
          </w:p>
        </w:tc>
        <w:tc>
          <w:tcPr>
            <w:vAlign w:val="center"/>
          </w:tcPr>
          <w:p w:rsidR="00000000" w:rsidDel="00000000" w:rsidP="00000000" w:rsidRDefault="00000000" w:rsidRPr="00000000" w14:paraId="000011C2">
            <w:pPr>
              <w:jc w:val="center"/>
              <w:rPr>
                <w:color w:val="000000"/>
                <w:sz w:val="18"/>
                <w:szCs w:val="18"/>
              </w:rPr>
            </w:pPr>
            <w:r w:rsidDel="00000000" w:rsidR="00000000" w:rsidRPr="00000000">
              <w:rPr>
                <w:color w:val="000000"/>
                <w:sz w:val="18"/>
                <w:szCs w:val="18"/>
                <w:rtl w:val="0"/>
              </w:rPr>
              <w:t xml:space="preserve">"I'm Not Gonna Pull the Rug out From Under You": Patient-Provider Communication About Opioid Tapering.</w:t>
            </w:r>
          </w:p>
        </w:tc>
        <w:tc>
          <w:tcPr>
            <w:vAlign w:val="center"/>
          </w:tcPr>
          <w:p w:rsidR="00000000" w:rsidDel="00000000" w:rsidP="00000000" w:rsidRDefault="00000000" w:rsidRPr="00000000" w14:paraId="000011C3">
            <w:pPr>
              <w:jc w:val="center"/>
              <w:rPr>
                <w:color w:val="000000"/>
                <w:sz w:val="18"/>
                <w:szCs w:val="18"/>
              </w:rPr>
            </w:pPr>
            <w:r w:rsidDel="00000000" w:rsidR="00000000" w:rsidRPr="00000000">
              <w:rPr>
                <w:color w:val="000000"/>
                <w:sz w:val="18"/>
                <w:szCs w:val="18"/>
                <w:rtl w:val="0"/>
              </w:rPr>
              <w:t xml:space="preserve">Interviews</w:t>
            </w:r>
          </w:p>
        </w:tc>
        <w:tc>
          <w:tcPr>
            <w:vAlign w:val="center"/>
          </w:tcPr>
          <w:p w:rsidR="00000000" w:rsidDel="00000000" w:rsidP="00000000" w:rsidRDefault="00000000" w:rsidRPr="00000000" w14:paraId="000011C4">
            <w:pPr>
              <w:jc w:val="center"/>
              <w:rPr>
                <w:color w:val="000000"/>
                <w:sz w:val="18"/>
                <w:szCs w:val="18"/>
              </w:rPr>
            </w:pPr>
            <w:r w:rsidDel="00000000" w:rsidR="00000000" w:rsidRPr="00000000">
              <w:rPr>
                <w:color w:val="000000"/>
                <w:sz w:val="18"/>
                <w:szCs w:val="18"/>
                <w:rtl w:val="0"/>
              </w:rPr>
              <w:t xml:space="preserve">37 Patients</w:t>
              <w:br w:type="textWrapping"/>
              <w:t xml:space="preserve">9 Practitioners</w:t>
            </w:r>
          </w:p>
        </w:tc>
        <w:tc>
          <w:tcPr>
            <w:vAlign w:val="center"/>
          </w:tcPr>
          <w:p w:rsidR="00000000" w:rsidDel="00000000" w:rsidP="00000000" w:rsidRDefault="00000000" w:rsidRPr="00000000" w14:paraId="000011C5">
            <w:pPr>
              <w:rPr>
                <w:color w:val="000000"/>
                <w:sz w:val="18"/>
                <w:szCs w:val="18"/>
              </w:rPr>
            </w:pPr>
            <w:r w:rsidDel="00000000" w:rsidR="00000000" w:rsidRPr="00000000">
              <w:rPr>
                <w:color w:val="000000"/>
                <w:sz w:val="18"/>
                <w:szCs w:val="18"/>
                <w:rtl w:val="0"/>
              </w:rPr>
              <w:t xml:space="preserve">Both patients and practitioners emphasised the need for individualised explanations and reasons for tapering, including the risk of side effects and harms. </w:t>
              <w:br w:type="textWrapping"/>
              <w:br w:type="textWrapping"/>
              <w:t xml:space="preserve">Practitioners recognise patients often have difficulty understanding opioid risks, resulting in a tailored approach to explaining these risks. </w:t>
              <w:br w:type="textWrapping"/>
              <w:br w:type="textWrapping"/>
              <w:t xml:space="preserve">Patient input is imperative in the tapering process, involving negotiation. Communication breaks down when one believed the other was not listening. </w:t>
              <w:br w:type="textWrapping"/>
              <w:br w:type="textWrapping"/>
              <w:t xml:space="preserve">Important components of the tapering conversation: explaining the reason for tapering, negotiation in the tapering plan, managing difficult conversations, reassurance that patients will not be abandoned. </w:t>
              <w:br w:type="textWrapping"/>
              <w:t xml:space="preserve">Reassurance that patients will not be abandoned was important, support during the tapering process was provided.</w:t>
            </w:r>
          </w:p>
        </w:tc>
        <w:tc>
          <w:tcPr>
            <w:vAlign w:val="center"/>
          </w:tcPr>
          <w:p w:rsidR="00000000" w:rsidDel="00000000" w:rsidP="00000000" w:rsidRDefault="00000000" w:rsidRPr="00000000" w14:paraId="000011C6">
            <w:pPr>
              <w:rPr>
                <w:color w:val="000000"/>
                <w:sz w:val="18"/>
                <w:szCs w:val="18"/>
              </w:rPr>
            </w:pPr>
            <w:r w:rsidDel="00000000" w:rsidR="00000000" w:rsidRPr="00000000">
              <w:rPr>
                <w:color w:val="000000"/>
                <w:sz w:val="18"/>
                <w:szCs w:val="18"/>
                <w:rtl w:val="0"/>
              </w:rPr>
              <w:t xml:space="preserve">Some aspects of clinical tapering may be missed due to some practitioner’s approaches to tapering. Dose type was not assessed.</w:t>
            </w:r>
          </w:p>
        </w:tc>
      </w:tr>
      <w:tr>
        <w:trPr>
          <w:cantSplit w:val="0"/>
          <w:trHeight w:val="79" w:hRule="atLeast"/>
          <w:tblHeader w:val="0"/>
        </w:trPr>
        <w:tc>
          <w:tcPr>
            <w:vAlign w:val="center"/>
          </w:tcPr>
          <w:p w:rsidR="00000000" w:rsidDel="00000000" w:rsidP="00000000" w:rsidRDefault="00000000" w:rsidRPr="00000000" w14:paraId="000011C7">
            <w:pPr>
              <w:rPr>
                <w:b w:val="0"/>
                <w:color w:val="000000"/>
                <w:sz w:val="18"/>
                <w:szCs w:val="18"/>
              </w:rPr>
            </w:pPr>
            <w:r w:rsidDel="00000000" w:rsidR="00000000" w:rsidRPr="00000000">
              <w:rPr>
                <w:b w:val="0"/>
                <w:color w:val="000000"/>
                <w:sz w:val="18"/>
                <w:szCs w:val="18"/>
                <w:rtl w:val="0"/>
              </w:rPr>
              <w:t xml:space="preserve">15</w:t>
            </w:r>
          </w:p>
        </w:tc>
        <w:tc>
          <w:tcPr>
            <w:vAlign w:val="center"/>
          </w:tcPr>
          <w:p w:rsidR="00000000" w:rsidDel="00000000" w:rsidP="00000000" w:rsidRDefault="00000000" w:rsidRPr="00000000" w14:paraId="000011C8">
            <w:pPr>
              <w:rPr>
                <w:b w:val="1"/>
                <w:color w:val="000000"/>
                <w:sz w:val="18"/>
                <w:szCs w:val="18"/>
              </w:rPr>
            </w:pPr>
            <w:r w:rsidDel="00000000" w:rsidR="00000000" w:rsidRPr="00000000">
              <w:rPr>
                <w:b w:val="1"/>
                <w:color w:val="000000"/>
                <w:sz w:val="18"/>
                <w:szCs w:val="18"/>
                <w:rtl w:val="0"/>
              </w:rPr>
              <w:t xml:space="preserve">International</w:t>
            </w:r>
          </w:p>
        </w:tc>
        <w:tc>
          <w:tcPr>
            <w:vAlign w:val="center"/>
          </w:tcPr>
          <w:p w:rsidR="00000000" w:rsidDel="00000000" w:rsidP="00000000" w:rsidRDefault="00000000" w:rsidRPr="00000000" w14:paraId="000011C9">
            <w:pPr>
              <w:rPr>
                <w:color w:val="000000"/>
                <w:sz w:val="18"/>
                <w:szCs w:val="18"/>
              </w:rPr>
            </w:pPr>
            <w:r w:rsidDel="00000000" w:rsidR="00000000" w:rsidRPr="00000000">
              <w:rPr>
                <w:color w:val="000000"/>
                <w:sz w:val="18"/>
                <w:szCs w:val="18"/>
                <w:rtl w:val="0"/>
              </w:rPr>
              <w:t xml:space="preserve">Sirdifield C.</w:t>
              <w:br w:type="textWrapping"/>
              <w:t xml:space="preserve">Chipchase SY.</w:t>
              <w:br w:type="textWrapping"/>
              <w:t xml:space="preserve">Owen S.</w:t>
              <w:br w:type="textWrapping"/>
              <w:t xml:space="preserve">Siriwardena AN.</w:t>
            </w:r>
          </w:p>
        </w:tc>
        <w:tc>
          <w:tcPr>
            <w:vAlign w:val="center"/>
          </w:tcPr>
          <w:p w:rsidR="00000000" w:rsidDel="00000000" w:rsidP="00000000" w:rsidRDefault="00000000" w:rsidRPr="00000000" w14:paraId="000011CA">
            <w:pPr>
              <w:jc w:val="center"/>
              <w:rPr>
                <w:color w:val="000000"/>
                <w:sz w:val="18"/>
                <w:szCs w:val="18"/>
              </w:rPr>
            </w:pPr>
            <w:r w:rsidDel="00000000" w:rsidR="00000000" w:rsidRPr="00000000">
              <w:rPr>
                <w:color w:val="000000"/>
                <w:sz w:val="18"/>
                <w:szCs w:val="18"/>
                <w:rtl w:val="0"/>
              </w:rPr>
              <w:t xml:space="preserve">2017</w:t>
            </w:r>
          </w:p>
        </w:tc>
        <w:tc>
          <w:tcPr>
            <w:vAlign w:val="center"/>
          </w:tcPr>
          <w:p w:rsidR="00000000" w:rsidDel="00000000" w:rsidP="00000000" w:rsidRDefault="00000000" w:rsidRPr="00000000" w14:paraId="000011CB">
            <w:pPr>
              <w:jc w:val="center"/>
              <w:rPr>
                <w:color w:val="000000"/>
                <w:sz w:val="18"/>
                <w:szCs w:val="18"/>
              </w:rPr>
            </w:pPr>
            <w:r w:rsidDel="00000000" w:rsidR="00000000" w:rsidRPr="00000000">
              <w:rPr>
                <w:color w:val="000000"/>
                <w:sz w:val="18"/>
                <w:szCs w:val="18"/>
                <w:rtl w:val="0"/>
              </w:rPr>
              <w:t xml:space="preserve">A Systematic Review and Meta-Synthesis of Patients' Experiences and Perceptions of Seeking and Using Benzodiazepines and Z-Drugs: Towards Safer Prescribing. [Review]</w:t>
            </w:r>
          </w:p>
        </w:tc>
        <w:tc>
          <w:tcPr>
            <w:vAlign w:val="center"/>
          </w:tcPr>
          <w:p w:rsidR="00000000" w:rsidDel="00000000" w:rsidP="00000000" w:rsidRDefault="00000000" w:rsidRPr="00000000" w14:paraId="000011CC">
            <w:pPr>
              <w:jc w:val="center"/>
              <w:rPr>
                <w:color w:val="000000"/>
                <w:sz w:val="18"/>
                <w:szCs w:val="18"/>
              </w:rPr>
            </w:pPr>
            <w:r w:rsidDel="00000000" w:rsidR="00000000" w:rsidRPr="00000000">
              <w:rPr>
                <w:color w:val="000000"/>
                <w:sz w:val="18"/>
                <w:szCs w:val="18"/>
                <w:rtl w:val="0"/>
              </w:rPr>
              <w:t xml:space="preserve">Systematic search of qualitative studies exploring patient experiences of benzodiazepine and z-drug prescribing in primary care.</w:t>
            </w:r>
          </w:p>
        </w:tc>
        <w:tc>
          <w:tcPr>
            <w:vAlign w:val="center"/>
          </w:tcPr>
          <w:p w:rsidR="00000000" w:rsidDel="00000000" w:rsidP="00000000" w:rsidRDefault="00000000" w:rsidRPr="00000000" w14:paraId="000011CD">
            <w:pPr>
              <w:jc w:val="center"/>
              <w:rPr>
                <w:color w:val="000000"/>
                <w:sz w:val="18"/>
                <w:szCs w:val="18"/>
              </w:rPr>
            </w:pPr>
            <w:r w:rsidDel="00000000" w:rsidR="00000000" w:rsidRPr="00000000">
              <w:rPr>
                <w:color w:val="000000"/>
                <w:sz w:val="18"/>
                <w:szCs w:val="18"/>
                <w:rtl w:val="0"/>
              </w:rPr>
              <w:t xml:space="preserve">6 databases</w:t>
              <w:br w:type="textWrapping"/>
              <w:br w:type="textWrapping"/>
              <w:t xml:space="preserve">9 papers</w:t>
            </w:r>
          </w:p>
        </w:tc>
        <w:tc>
          <w:tcPr>
            <w:vAlign w:val="center"/>
          </w:tcPr>
          <w:p w:rsidR="00000000" w:rsidDel="00000000" w:rsidP="00000000" w:rsidRDefault="00000000" w:rsidRPr="00000000" w14:paraId="000011CE">
            <w:pPr>
              <w:rPr>
                <w:color w:val="000000"/>
                <w:sz w:val="18"/>
                <w:szCs w:val="18"/>
              </w:rPr>
            </w:pPr>
            <w:r w:rsidDel="00000000" w:rsidR="00000000" w:rsidRPr="00000000">
              <w:rPr>
                <w:color w:val="000000"/>
                <w:sz w:val="18"/>
                <w:szCs w:val="18"/>
                <w:rtl w:val="0"/>
              </w:rPr>
              <w:t xml:space="preserve">1. Negative perception of insomnia: insomnia causes other health conditions, caused by other health conditions, has a deep/wide reaching impact on the patients QoL. Perceived severity of negative impact encourages help seeking</w:t>
              <w:br w:type="textWrapping"/>
              <w:br w:type="textWrapping"/>
              <w:t xml:space="preserve">2. Failed self-care strategies: patients engage in self-help prior to seeking medical help, lifestyle changes, OTC medication, distraction, Perceived inefficacy encourages help seeking</w:t>
              <w:br w:type="textWrapping"/>
              <w:br w:type="textWrapping"/>
              <w:t xml:space="preserve">3. Triggers to help seeking: Inefficacy of alternatives and perceived severity of the condition. </w:t>
              <w:br w:type="textWrapping"/>
              <w:br w:type="textWrapping"/>
              <w:t xml:space="preserve">4. Attitudes towards treatment options: disappointment in alternatives suggested by practitioners, expectation of medication, desire for longer consultation times/detailed information/to be taken seriously, knowledge/attitude of side effects influence patterns of use - proposed medication was addictive so preferred alternatives. Dependence risk influenced their decision making. </w:t>
              <w:br w:type="textWrapping"/>
              <w:br w:type="textWrapping"/>
              <w:t xml:space="preserve">5. Patterns of use: medication is typically used as prescribed due to awareness and fear of dependence/withdrawal</w:t>
              <w:br w:type="textWrapping"/>
              <w:br w:type="textWrapping"/>
              <w:t xml:space="preserve">6. Withdrawal: strategies include individually tailored approach, focused on alternative strategies, realisation their use of drugs was impacting their life/people around them, barriers: unable to reduce medication, fear of discontinuing, psychological dependence. </w:t>
              <w:br w:type="textWrapping"/>
              <w:br w:type="textWrapping"/>
              <w:t xml:space="preserve">7. reason for ongoing use: life events, specific health conditions, efficacy of medication/inefficacy of alternatives, that medication was prescribed by a GP.</w:t>
            </w:r>
          </w:p>
        </w:tc>
        <w:tc>
          <w:tcPr>
            <w:vAlign w:val="center"/>
          </w:tcPr>
          <w:p w:rsidR="00000000" w:rsidDel="00000000" w:rsidP="00000000" w:rsidRDefault="00000000" w:rsidRPr="00000000" w14:paraId="000011CF">
            <w:pPr>
              <w:rPr>
                <w:color w:val="000000"/>
                <w:sz w:val="18"/>
                <w:szCs w:val="18"/>
              </w:rPr>
            </w:pPr>
            <w:r w:rsidDel="00000000" w:rsidR="00000000" w:rsidRPr="00000000">
              <w:rPr>
                <w:color w:val="000000"/>
                <w:sz w:val="18"/>
                <w:szCs w:val="18"/>
                <w:rtl w:val="0"/>
              </w:rPr>
              <w:t xml:space="preserve">Older adults, frequent users of benzodiazepines/z-drugs, one study focussed on loneliness and isolation</w:t>
            </w:r>
          </w:p>
        </w:tc>
      </w:tr>
      <w:tr>
        <w:trPr>
          <w:cantSplit w:val="0"/>
          <w:trHeight w:val="79" w:hRule="atLeast"/>
          <w:tblHeader w:val="0"/>
        </w:trPr>
        <w:tc>
          <w:tcPr>
            <w:vAlign w:val="center"/>
          </w:tcPr>
          <w:p w:rsidR="00000000" w:rsidDel="00000000" w:rsidP="00000000" w:rsidRDefault="00000000" w:rsidRPr="00000000" w14:paraId="000011D0">
            <w:pPr>
              <w:rPr>
                <w:b w:val="0"/>
                <w:color w:val="000000"/>
                <w:sz w:val="18"/>
                <w:szCs w:val="18"/>
              </w:rPr>
            </w:pPr>
            <w:r w:rsidDel="00000000" w:rsidR="00000000" w:rsidRPr="00000000">
              <w:rPr>
                <w:b w:val="0"/>
                <w:color w:val="000000"/>
                <w:sz w:val="18"/>
                <w:szCs w:val="18"/>
                <w:rtl w:val="0"/>
              </w:rPr>
              <w:t xml:space="preserve">16</w:t>
            </w:r>
          </w:p>
        </w:tc>
        <w:tc>
          <w:tcPr>
            <w:vAlign w:val="center"/>
          </w:tcPr>
          <w:p w:rsidR="00000000" w:rsidDel="00000000" w:rsidP="00000000" w:rsidRDefault="00000000" w:rsidRPr="00000000" w14:paraId="000011D1">
            <w:pPr>
              <w:rPr>
                <w:b w:val="1"/>
                <w:sz w:val="18"/>
                <w:szCs w:val="18"/>
              </w:rPr>
            </w:pPr>
            <w:r w:rsidDel="00000000" w:rsidR="00000000" w:rsidRPr="00000000">
              <w:rPr>
                <w:b w:val="1"/>
                <w:sz w:val="18"/>
                <w:szCs w:val="18"/>
                <w:rtl w:val="0"/>
              </w:rPr>
              <w:t xml:space="preserve">Finland</w:t>
            </w:r>
          </w:p>
        </w:tc>
        <w:tc>
          <w:tcPr>
            <w:vAlign w:val="center"/>
          </w:tcPr>
          <w:p w:rsidR="00000000" w:rsidDel="00000000" w:rsidP="00000000" w:rsidRDefault="00000000" w:rsidRPr="00000000" w14:paraId="000011D2">
            <w:pPr>
              <w:rPr>
                <w:sz w:val="18"/>
                <w:szCs w:val="18"/>
              </w:rPr>
            </w:pPr>
            <w:r w:rsidDel="00000000" w:rsidR="00000000" w:rsidRPr="00000000">
              <w:rPr>
                <w:sz w:val="18"/>
                <w:szCs w:val="18"/>
                <w:rtl w:val="0"/>
              </w:rPr>
              <w:t xml:space="preserve">Lahteenmaki R. Neuvonen PJJ. Puustinen JL.</w:t>
              <w:br w:type="textWrapping"/>
              <w:t xml:space="preserve">Vahlberg T. </w:t>
              <w:br w:type="textWrapping"/>
              <w:t xml:space="preserve">Partinen M. </w:t>
              <w:br w:type="textWrapping"/>
              <w:t xml:space="preserve">Raiha I. </w:t>
              <w:br w:type="textWrapping"/>
              <w:t xml:space="preserve">Kivela Sl. </w:t>
            </w:r>
          </w:p>
        </w:tc>
        <w:tc>
          <w:tcPr>
            <w:vAlign w:val="center"/>
          </w:tcPr>
          <w:p w:rsidR="00000000" w:rsidDel="00000000" w:rsidP="00000000" w:rsidRDefault="00000000" w:rsidRPr="00000000" w14:paraId="000011D3">
            <w:pPr>
              <w:jc w:val="center"/>
              <w:rPr>
                <w:sz w:val="18"/>
                <w:szCs w:val="18"/>
              </w:rPr>
            </w:pPr>
            <w:r w:rsidDel="00000000" w:rsidR="00000000" w:rsidRPr="00000000">
              <w:rPr>
                <w:sz w:val="18"/>
                <w:szCs w:val="18"/>
                <w:rtl w:val="0"/>
              </w:rPr>
              <w:t xml:space="preserve">2018</w:t>
            </w:r>
          </w:p>
        </w:tc>
        <w:tc>
          <w:tcPr>
            <w:vAlign w:val="center"/>
          </w:tcPr>
          <w:p w:rsidR="00000000" w:rsidDel="00000000" w:rsidP="00000000" w:rsidRDefault="00000000" w:rsidRPr="00000000" w14:paraId="000011D4">
            <w:pPr>
              <w:jc w:val="center"/>
              <w:rPr>
                <w:sz w:val="18"/>
                <w:szCs w:val="18"/>
              </w:rPr>
            </w:pPr>
            <w:r w:rsidDel="00000000" w:rsidR="00000000" w:rsidRPr="00000000">
              <w:rPr>
                <w:sz w:val="18"/>
                <w:szCs w:val="18"/>
                <w:rtl w:val="0"/>
              </w:rPr>
              <w:t xml:space="preserve">Withdrawal from long term use of zopiclone, zolpidem and temazepam may improve perceived sleep and quality of life in older adults with primary insomnia.</w:t>
            </w:r>
          </w:p>
        </w:tc>
        <w:tc>
          <w:tcPr>
            <w:vAlign w:val="center"/>
          </w:tcPr>
          <w:p w:rsidR="00000000" w:rsidDel="00000000" w:rsidP="00000000" w:rsidRDefault="00000000" w:rsidRPr="00000000" w14:paraId="000011D5">
            <w:pPr>
              <w:jc w:val="center"/>
              <w:rPr>
                <w:sz w:val="18"/>
                <w:szCs w:val="18"/>
              </w:rPr>
            </w:pPr>
            <w:r w:rsidDel="00000000" w:rsidR="00000000" w:rsidRPr="00000000">
              <w:rPr>
                <w:sz w:val="18"/>
                <w:szCs w:val="18"/>
                <w:rtl w:val="0"/>
              </w:rPr>
              <w:t xml:space="preserve">Questionnaire and Basic Nordic Sleep Questionnaire</w:t>
            </w:r>
          </w:p>
        </w:tc>
        <w:tc>
          <w:tcPr>
            <w:vAlign w:val="center"/>
          </w:tcPr>
          <w:p w:rsidR="00000000" w:rsidDel="00000000" w:rsidP="00000000" w:rsidRDefault="00000000" w:rsidRPr="00000000" w14:paraId="000011D6">
            <w:pPr>
              <w:jc w:val="center"/>
              <w:rPr>
                <w:sz w:val="18"/>
                <w:szCs w:val="18"/>
              </w:rPr>
            </w:pPr>
            <w:r w:rsidDel="00000000" w:rsidR="00000000" w:rsidRPr="00000000">
              <w:rPr>
                <w:sz w:val="18"/>
                <w:szCs w:val="18"/>
                <w:rtl w:val="0"/>
              </w:rPr>
              <w:t xml:space="preserve">n=89</w:t>
            </w:r>
          </w:p>
        </w:tc>
        <w:tc>
          <w:tcPr>
            <w:vAlign w:val="center"/>
          </w:tcPr>
          <w:p w:rsidR="00000000" w:rsidDel="00000000" w:rsidP="00000000" w:rsidRDefault="00000000" w:rsidRPr="00000000" w14:paraId="000011D7">
            <w:pPr>
              <w:rPr>
                <w:sz w:val="18"/>
                <w:szCs w:val="18"/>
              </w:rPr>
            </w:pPr>
            <w:r w:rsidDel="00000000" w:rsidR="00000000" w:rsidRPr="00000000">
              <w:rPr>
                <w:sz w:val="18"/>
                <w:szCs w:val="18"/>
                <w:rtl w:val="0"/>
              </w:rPr>
              <w:t xml:space="preserve">Patients experienced an improvement in the ability to initiate sleep after 6 months.</w:t>
              <w:br w:type="textWrapping"/>
              <w:br w:type="textWrapping"/>
              <w:t xml:space="preserve">Compulsive sleepiness on weekdays was reduced in those who withdrew from these medicines.</w:t>
              <w:br w:type="textWrapping"/>
              <w:br w:type="textWrapping"/>
              <w:t xml:space="preserve">The group that withdrew experienced a greater quality of life at both the one- and six-month review.</w:t>
            </w:r>
          </w:p>
        </w:tc>
        <w:tc>
          <w:tcPr>
            <w:vAlign w:val="center"/>
          </w:tcPr>
          <w:p w:rsidR="00000000" w:rsidDel="00000000" w:rsidP="00000000" w:rsidRDefault="00000000" w:rsidRPr="00000000" w14:paraId="000011D8">
            <w:pPr>
              <w:rPr>
                <w:sz w:val="18"/>
                <w:szCs w:val="18"/>
              </w:rPr>
            </w:pPr>
            <w:r w:rsidDel="00000000" w:rsidR="00000000" w:rsidRPr="00000000">
              <w:rPr>
                <w:sz w:val="18"/>
                <w:szCs w:val="18"/>
                <w:rtl w:val="0"/>
              </w:rPr>
              <w:t xml:space="preserve">Patients were typically older insomnia patients.</w:t>
              <w:br w:type="textWrapping"/>
              <w:br w:type="textWrapping"/>
              <w:t xml:space="preserve">Characteristics were similar.</w:t>
              <w:br w:type="textWrapping"/>
              <w:br w:type="textWrapping"/>
              <w:t xml:space="preserve">No laboratory methods for sleep were used.</w:t>
            </w:r>
          </w:p>
        </w:tc>
      </w:tr>
      <w:tr>
        <w:trPr>
          <w:cantSplit w:val="0"/>
          <w:trHeight w:val="1691" w:hRule="atLeast"/>
          <w:tblHeader w:val="0"/>
        </w:trPr>
        <w:tc>
          <w:tcPr>
            <w:vAlign w:val="center"/>
          </w:tcPr>
          <w:p w:rsidR="00000000" w:rsidDel="00000000" w:rsidP="00000000" w:rsidRDefault="00000000" w:rsidRPr="00000000" w14:paraId="000011D9">
            <w:pPr>
              <w:rPr>
                <w:b w:val="0"/>
                <w:color w:val="000000"/>
                <w:sz w:val="18"/>
                <w:szCs w:val="18"/>
              </w:rPr>
            </w:pPr>
            <w:r w:rsidDel="00000000" w:rsidR="00000000" w:rsidRPr="00000000">
              <w:rPr>
                <w:b w:val="0"/>
                <w:color w:val="000000"/>
                <w:sz w:val="18"/>
                <w:szCs w:val="18"/>
                <w:rtl w:val="0"/>
              </w:rPr>
              <w:t xml:space="preserve">17</w:t>
            </w:r>
          </w:p>
        </w:tc>
        <w:tc>
          <w:tcPr>
            <w:vAlign w:val="center"/>
          </w:tcPr>
          <w:p w:rsidR="00000000" w:rsidDel="00000000" w:rsidP="00000000" w:rsidRDefault="00000000" w:rsidRPr="00000000" w14:paraId="000011DA">
            <w:pPr>
              <w:rPr>
                <w:b w:val="1"/>
                <w:sz w:val="18"/>
                <w:szCs w:val="18"/>
              </w:rPr>
            </w:pPr>
            <w:r w:rsidDel="00000000" w:rsidR="00000000" w:rsidRPr="00000000">
              <w:rPr>
                <w:b w:val="1"/>
                <w:sz w:val="18"/>
                <w:szCs w:val="18"/>
                <w:rtl w:val="0"/>
              </w:rPr>
              <w:t xml:space="preserve">Germany</w:t>
            </w:r>
          </w:p>
        </w:tc>
        <w:tc>
          <w:tcPr>
            <w:vAlign w:val="center"/>
          </w:tcPr>
          <w:p w:rsidR="00000000" w:rsidDel="00000000" w:rsidP="00000000" w:rsidRDefault="00000000" w:rsidRPr="00000000" w14:paraId="000011DB">
            <w:pPr>
              <w:rPr>
                <w:sz w:val="18"/>
                <w:szCs w:val="18"/>
              </w:rPr>
            </w:pPr>
            <w:r w:rsidDel="00000000" w:rsidR="00000000" w:rsidRPr="00000000">
              <w:rPr>
                <w:sz w:val="18"/>
                <w:szCs w:val="18"/>
                <w:rtl w:val="0"/>
              </w:rPr>
              <w:t xml:space="preserve">Mokhar A. </w:t>
              <w:br w:type="textWrapping"/>
              <w:t xml:space="preserve">Topp J. </w:t>
              <w:br w:type="textWrapping"/>
              <w:t xml:space="preserve">Harter M. </w:t>
              <w:br w:type="textWrapping"/>
              <w:t xml:space="preserve">Schilz H. </w:t>
              <w:br w:type="textWrapping"/>
              <w:t xml:space="preserve">Kuhn S. </w:t>
              <w:br w:type="textWrapping"/>
              <w:t xml:space="preserve">Verthein U. </w:t>
              <w:br w:type="textWrapping"/>
              <w:t xml:space="preserve">Dirmaier J.</w:t>
            </w:r>
          </w:p>
        </w:tc>
        <w:tc>
          <w:tcPr>
            <w:vAlign w:val="center"/>
          </w:tcPr>
          <w:p w:rsidR="00000000" w:rsidDel="00000000" w:rsidP="00000000" w:rsidRDefault="00000000" w:rsidRPr="00000000" w14:paraId="000011DC">
            <w:pPr>
              <w:jc w:val="center"/>
              <w:rPr>
                <w:sz w:val="18"/>
                <w:szCs w:val="18"/>
              </w:rPr>
            </w:pPr>
            <w:r w:rsidDel="00000000" w:rsidR="00000000" w:rsidRPr="00000000">
              <w:rPr>
                <w:sz w:val="18"/>
                <w:szCs w:val="18"/>
                <w:rtl w:val="0"/>
              </w:rPr>
              <w:t xml:space="preserve">2018</w:t>
            </w:r>
          </w:p>
        </w:tc>
        <w:tc>
          <w:tcPr>
            <w:vAlign w:val="center"/>
          </w:tcPr>
          <w:p w:rsidR="00000000" w:rsidDel="00000000" w:rsidP="00000000" w:rsidRDefault="00000000" w:rsidRPr="00000000" w14:paraId="000011DD">
            <w:pPr>
              <w:jc w:val="center"/>
              <w:rPr>
                <w:sz w:val="18"/>
                <w:szCs w:val="18"/>
              </w:rPr>
            </w:pPr>
            <w:r w:rsidDel="00000000" w:rsidR="00000000" w:rsidRPr="00000000">
              <w:rPr>
                <w:sz w:val="18"/>
                <w:szCs w:val="18"/>
                <w:rtl w:val="0"/>
              </w:rPr>
              <w:t xml:space="preserve">Patient centred care interventions to reduce the inappropriate prescription and use of benzodiazepines and z-drugs: a systematic review.</w:t>
            </w:r>
          </w:p>
        </w:tc>
        <w:tc>
          <w:tcPr>
            <w:vAlign w:val="center"/>
          </w:tcPr>
          <w:p w:rsidR="00000000" w:rsidDel="00000000" w:rsidP="00000000" w:rsidRDefault="00000000" w:rsidRPr="00000000" w14:paraId="000011DE">
            <w:pPr>
              <w:jc w:val="center"/>
              <w:rPr>
                <w:sz w:val="18"/>
                <w:szCs w:val="18"/>
              </w:rPr>
            </w:pPr>
            <w:r w:rsidDel="00000000" w:rsidR="00000000" w:rsidRPr="00000000">
              <w:rPr>
                <w:sz w:val="18"/>
                <w:szCs w:val="18"/>
                <w:rtl w:val="0"/>
              </w:rPr>
              <w:t xml:space="preserve">Systematic review</w:t>
            </w:r>
          </w:p>
        </w:tc>
        <w:tc>
          <w:tcPr>
            <w:vAlign w:val="center"/>
          </w:tcPr>
          <w:p w:rsidR="00000000" w:rsidDel="00000000" w:rsidP="00000000" w:rsidRDefault="00000000" w:rsidRPr="00000000" w14:paraId="000011DF">
            <w:pPr>
              <w:jc w:val="center"/>
              <w:rPr>
                <w:sz w:val="18"/>
                <w:szCs w:val="18"/>
              </w:rPr>
            </w:pPr>
            <w:r w:rsidDel="00000000" w:rsidR="00000000" w:rsidRPr="00000000">
              <w:rPr>
                <w:sz w:val="18"/>
                <w:szCs w:val="18"/>
                <w:rtl w:val="0"/>
              </w:rPr>
              <w:t xml:space="preserve">20</w:t>
            </w:r>
          </w:p>
        </w:tc>
        <w:tc>
          <w:tcPr>
            <w:vAlign w:val="center"/>
          </w:tcPr>
          <w:p w:rsidR="00000000" w:rsidDel="00000000" w:rsidP="00000000" w:rsidRDefault="00000000" w:rsidRPr="00000000" w14:paraId="000011E0">
            <w:pPr>
              <w:rPr>
                <w:sz w:val="18"/>
                <w:szCs w:val="18"/>
              </w:rPr>
            </w:pPr>
            <w:r w:rsidDel="00000000" w:rsidR="00000000" w:rsidRPr="00000000">
              <w:rPr>
                <w:sz w:val="18"/>
                <w:szCs w:val="18"/>
                <w:rtl w:val="0"/>
              </w:rPr>
              <w:t xml:space="preserve">Patient information: Self-help booklet reduced benzodiazepine intake after 6 months in patients who have used benzodiazepines for more than one year (Bashir, King and Ashworth 1994),  Letters and other literature reduced the intake of benzodiazepines by 1/3 in 6 months (Cormack et al 1994), Tannenbaum et al (2014) suggest an 8 page empowerment intervention booklet based on social constructivism supported complete cessation, Patient information and clinician-patient communication, Letter from a GP with a request to stop or reduce benzodiazepine use with a 6 monthly reminder can significantly reduce the number of prescriptions per patient per year (Stewart et al 2007).</w:t>
              <w:br w:type="textWrapping"/>
              <w:br w:type="textWrapping"/>
              <w:t xml:space="preserve">Essential characteristics of the clinician: Physician contact and written information together led to a decrease in prescribing rate (Berings, Blondeel and Habraken 1994), Outreach visits decreased the prescription rate by 25.8% (Midlov et al 2006), An intervention package containing an intervention letter, a review of drug use, guidelines and a prescriber specific profile of the patient decreased the use of sedative hypnotic medication by 27.6% (Smith et al 1998).</w:t>
              <w:br w:type="textWrapping"/>
              <w:br w:type="textWrapping"/>
              <w:t xml:space="preserve">Essential characteristics of the clinician and clinician-patient communication: Educational outreach programmes at three nursing homes reduced the use of Benzodiazepines by 20% (Avorn et al 1992),  Interactive lectures to physicians, nurses and pharmacists did result in prescriptions being handle,   Medication reviews of pharmacists combined with an algorithm assessing the appropriateness of prescribing reduces prescriptions in the intervention group by 19.5%  (Patterson et al 2010).</w:t>
            </w:r>
          </w:p>
        </w:tc>
        <w:tc>
          <w:tcPr>
            <w:vAlign w:val="center"/>
          </w:tcPr>
          <w:p w:rsidR="00000000" w:rsidDel="00000000" w:rsidP="00000000" w:rsidRDefault="00000000" w:rsidRPr="00000000" w14:paraId="000011E1">
            <w:pPr>
              <w:rPr>
                <w:sz w:val="18"/>
                <w:szCs w:val="18"/>
              </w:rPr>
            </w:pPr>
            <w:r w:rsidDel="00000000" w:rsidR="00000000" w:rsidRPr="00000000">
              <w:rPr>
                <w:sz w:val="18"/>
                <w:szCs w:val="18"/>
                <w:rtl w:val="0"/>
              </w:rPr>
              <w:t xml:space="preserve">Study protocols were missing in each study.</w:t>
              <w:br w:type="textWrapping"/>
              <w:br w:type="textWrapping"/>
              <w:t xml:space="preserve">Lack of specific negatively impacted the study qualities.</w:t>
              <w:br w:type="textWrapping"/>
              <w:br w:type="textWrapping"/>
              <w:t xml:space="preserve">Did not consider secondary outcomes such as the patient's general health, social lives or mental health status.</w:t>
              <w:br w:type="textWrapping"/>
              <w:br w:type="textWrapping"/>
              <w:t xml:space="preserve">Healthcare professionals were not assessed in terms of duration in the profession or experience in treating older patients.</w:t>
              <w:br w:type="textWrapping"/>
              <w:br w:type="textWrapping"/>
              <w:t xml:space="preserve">Patient education appears to be more effective than approaches with healthcare professionals.</w:t>
              <w:br w:type="textWrapping"/>
              <w:br w:type="textWrapping"/>
              <w:t xml:space="preserve">Cognitive difficulties such as dementia were not able to benefit from the interventions.</w:t>
            </w:r>
          </w:p>
        </w:tc>
      </w:tr>
      <w:tr>
        <w:trPr>
          <w:cantSplit w:val="0"/>
          <w:trHeight w:val="79" w:hRule="atLeast"/>
          <w:tblHeader w:val="0"/>
        </w:trPr>
        <w:tc>
          <w:tcPr>
            <w:vAlign w:val="center"/>
          </w:tcPr>
          <w:p w:rsidR="00000000" w:rsidDel="00000000" w:rsidP="00000000" w:rsidRDefault="00000000" w:rsidRPr="00000000" w14:paraId="000011E2">
            <w:pPr>
              <w:rPr>
                <w:b w:val="0"/>
                <w:color w:val="000000"/>
                <w:sz w:val="18"/>
                <w:szCs w:val="18"/>
              </w:rPr>
            </w:pPr>
            <w:r w:rsidDel="00000000" w:rsidR="00000000" w:rsidRPr="00000000">
              <w:rPr>
                <w:b w:val="0"/>
                <w:color w:val="000000"/>
                <w:sz w:val="18"/>
                <w:szCs w:val="18"/>
                <w:rtl w:val="0"/>
              </w:rPr>
              <w:t xml:space="preserve">18</w:t>
            </w:r>
          </w:p>
        </w:tc>
        <w:tc>
          <w:tcPr>
            <w:vAlign w:val="center"/>
          </w:tcPr>
          <w:p w:rsidR="00000000" w:rsidDel="00000000" w:rsidP="00000000" w:rsidRDefault="00000000" w:rsidRPr="00000000" w14:paraId="000011E3">
            <w:pPr>
              <w:rPr>
                <w:b w:val="1"/>
                <w:sz w:val="18"/>
                <w:szCs w:val="18"/>
              </w:rPr>
            </w:pPr>
            <w:r w:rsidDel="00000000" w:rsidR="00000000" w:rsidRPr="00000000">
              <w:rPr>
                <w:b w:val="1"/>
                <w:sz w:val="18"/>
                <w:szCs w:val="18"/>
                <w:rtl w:val="0"/>
              </w:rPr>
              <w:t xml:space="preserve">International</w:t>
            </w:r>
          </w:p>
        </w:tc>
        <w:tc>
          <w:tcPr>
            <w:vAlign w:val="center"/>
          </w:tcPr>
          <w:p w:rsidR="00000000" w:rsidDel="00000000" w:rsidP="00000000" w:rsidRDefault="00000000" w:rsidRPr="00000000" w14:paraId="000011E4">
            <w:pPr>
              <w:rPr>
                <w:sz w:val="18"/>
                <w:szCs w:val="18"/>
              </w:rPr>
            </w:pPr>
            <w:r w:rsidDel="00000000" w:rsidR="00000000" w:rsidRPr="00000000">
              <w:rPr>
                <w:sz w:val="18"/>
                <w:szCs w:val="18"/>
                <w:rtl w:val="0"/>
              </w:rPr>
              <w:t xml:space="preserve">Read J. </w:t>
              <w:br w:type="textWrapping"/>
              <w:t xml:space="preserve">Williams J.</w:t>
            </w:r>
          </w:p>
        </w:tc>
        <w:tc>
          <w:tcPr>
            <w:vAlign w:val="center"/>
          </w:tcPr>
          <w:p w:rsidR="00000000" w:rsidDel="00000000" w:rsidP="00000000" w:rsidRDefault="00000000" w:rsidRPr="00000000" w14:paraId="000011E5">
            <w:pPr>
              <w:jc w:val="center"/>
              <w:rPr>
                <w:sz w:val="18"/>
                <w:szCs w:val="18"/>
              </w:rPr>
            </w:pPr>
            <w:r w:rsidDel="00000000" w:rsidR="00000000" w:rsidRPr="00000000">
              <w:rPr>
                <w:sz w:val="18"/>
                <w:szCs w:val="18"/>
                <w:rtl w:val="0"/>
              </w:rPr>
              <w:t xml:space="preserve">2018</w:t>
            </w:r>
          </w:p>
        </w:tc>
        <w:tc>
          <w:tcPr>
            <w:vAlign w:val="center"/>
          </w:tcPr>
          <w:p w:rsidR="00000000" w:rsidDel="00000000" w:rsidP="00000000" w:rsidRDefault="00000000" w:rsidRPr="00000000" w14:paraId="000011E6">
            <w:pPr>
              <w:jc w:val="center"/>
              <w:rPr>
                <w:sz w:val="18"/>
                <w:szCs w:val="18"/>
              </w:rPr>
            </w:pPr>
            <w:hyperlink r:id="rId122">
              <w:r w:rsidDel="00000000" w:rsidR="00000000" w:rsidRPr="00000000">
                <w:rPr>
                  <w:sz w:val="18"/>
                  <w:szCs w:val="18"/>
                  <w:rtl w:val="0"/>
                </w:rPr>
                <w:t xml:space="preserve">Adverse Effects of Antidepressants Reported by a Large International Cohort: Emotional Blunting, Suicidality, and Withdrawal Effects.</w:t>
              </w:r>
            </w:hyperlink>
            <w:r w:rsidDel="00000000" w:rsidR="00000000" w:rsidRPr="00000000">
              <w:rPr>
                <w:rtl w:val="0"/>
              </w:rPr>
            </w:r>
          </w:p>
        </w:tc>
        <w:tc>
          <w:tcPr>
            <w:vAlign w:val="center"/>
          </w:tcPr>
          <w:p w:rsidR="00000000" w:rsidDel="00000000" w:rsidP="00000000" w:rsidRDefault="00000000" w:rsidRPr="00000000" w14:paraId="000011E7">
            <w:pPr>
              <w:jc w:val="center"/>
              <w:rPr>
                <w:sz w:val="18"/>
                <w:szCs w:val="18"/>
              </w:rPr>
            </w:pPr>
            <w:r w:rsidDel="00000000" w:rsidR="00000000" w:rsidRPr="00000000">
              <w:rPr>
                <w:sz w:val="18"/>
                <w:szCs w:val="18"/>
                <w:rtl w:val="0"/>
              </w:rPr>
              <w:t xml:space="preserve">Online survey of 1431 people from 38 countries.</w:t>
            </w:r>
          </w:p>
        </w:tc>
        <w:tc>
          <w:tcPr>
            <w:vAlign w:val="center"/>
          </w:tcPr>
          <w:p w:rsidR="00000000" w:rsidDel="00000000" w:rsidP="00000000" w:rsidRDefault="00000000" w:rsidRPr="00000000" w14:paraId="000011E8">
            <w:pPr>
              <w:jc w:val="center"/>
              <w:rPr>
                <w:sz w:val="18"/>
                <w:szCs w:val="18"/>
              </w:rPr>
            </w:pPr>
            <w:r w:rsidDel="00000000" w:rsidR="00000000" w:rsidRPr="00000000">
              <w:rPr>
                <w:sz w:val="18"/>
                <w:szCs w:val="18"/>
                <w:rtl w:val="0"/>
              </w:rPr>
              <w:t xml:space="preserve">1431</w:t>
            </w:r>
          </w:p>
        </w:tc>
        <w:tc>
          <w:tcPr>
            <w:vAlign w:val="center"/>
          </w:tcPr>
          <w:p w:rsidR="00000000" w:rsidDel="00000000" w:rsidP="00000000" w:rsidRDefault="00000000" w:rsidRPr="00000000" w14:paraId="000011E9">
            <w:pPr>
              <w:rPr>
                <w:sz w:val="18"/>
                <w:szCs w:val="18"/>
              </w:rPr>
            </w:pPr>
            <w:r w:rsidDel="00000000" w:rsidR="00000000" w:rsidRPr="00000000">
              <w:rPr>
                <w:sz w:val="18"/>
                <w:szCs w:val="18"/>
                <w:rtl w:val="0"/>
              </w:rPr>
              <w:t xml:space="preserve">61% reported at least 10 of the 20 adverse effects outlined.</w:t>
              <w:br w:type="textWrapping"/>
              <w:br w:type="textWrapping"/>
              <w:t xml:space="preserve">71% reported "feeling emotionally numb"</w:t>
              <w:br w:type="textWrapping"/>
              <w:br w:type="textWrapping"/>
              <w:t xml:space="preserve">70% reported "feeling foggy or dethatched"</w:t>
              <w:br w:type="textWrapping"/>
              <w:br w:type="textWrapping"/>
              <w:t xml:space="preserve">66% reported "feeling not like myself"</w:t>
              <w:br w:type="textWrapping"/>
              <w:br w:type="textWrapping"/>
              <w:t xml:space="preserve">66% reported "sexual difficulties"</w:t>
              <w:br w:type="textWrapping"/>
              <w:br w:type="textWrapping"/>
              <w:t xml:space="preserve">63% reported "drowsiness"</w:t>
              <w:br w:type="textWrapping"/>
              <w:br w:type="textWrapping"/>
              <w:t xml:space="preserve">60% reported "a reduction in positive feelings"</w:t>
              <w:br w:type="textWrapping"/>
              <w:br w:type="textWrapping"/>
              <w:t xml:space="preserve">50% reported "withdrawal effects"</w:t>
              <w:br w:type="textWrapping"/>
              <w:br w:type="textWrapping"/>
              <w:t xml:space="preserve">40% reported an "addiction"</w:t>
            </w:r>
          </w:p>
        </w:tc>
        <w:tc>
          <w:tcPr>
            <w:vAlign w:val="center"/>
          </w:tcPr>
          <w:p w:rsidR="00000000" w:rsidDel="00000000" w:rsidP="00000000" w:rsidRDefault="00000000" w:rsidRPr="00000000" w14:paraId="000011EA">
            <w:pPr>
              <w:rPr>
                <w:sz w:val="18"/>
                <w:szCs w:val="18"/>
              </w:rPr>
            </w:pPr>
            <w:r w:rsidDel="00000000" w:rsidR="00000000" w:rsidRPr="00000000">
              <w:rPr>
                <w:sz w:val="18"/>
                <w:szCs w:val="18"/>
                <w:rtl w:val="0"/>
              </w:rPr>
              <w:t xml:space="preserve">self-selected convenience sample, almost entirely in Europe, North America or Australasia.</w:t>
              <w:br w:type="textWrapping"/>
              <w:br w:type="textWrapping"/>
              <w:t xml:space="preserve">70.8% of respondents were female.</w:t>
            </w:r>
          </w:p>
        </w:tc>
      </w:tr>
      <w:tr>
        <w:trPr>
          <w:cantSplit w:val="0"/>
          <w:trHeight w:val="79" w:hRule="atLeast"/>
          <w:tblHeader w:val="0"/>
        </w:trPr>
        <w:tc>
          <w:tcPr>
            <w:vAlign w:val="center"/>
          </w:tcPr>
          <w:p w:rsidR="00000000" w:rsidDel="00000000" w:rsidP="00000000" w:rsidRDefault="00000000" w:rsidRPr="00000000" w14:paraId="000011EB">
            <w:pPr>
              <w:rPr>
                <w:b w:val="0"/>
                <w:color w:val="000000"/>
                <w:sz w:val="18"/>
                <w:szCs w:val="18"/>
              </w:rPr>
            </w:pPr>
            <w:r w:rsidDel="00000000" w:rsidR="00000000" w:rsidRPr="00000000">
              <w:rPr>
                <w:b w:val="0"/>
                <w:color w:val="000000"/>
                <w:sz w:val="18"/>
                <w:szCs w:val="18"/>
                <w:rtl w:val="0"/>
              </w:rPr>
              <w:t xml:space="preserve">19</w:t>
            </w:r>
          </w:p>
        </w:tc>
        <w:tc>
          <w:tcPr>
            <w:vAlign w:val="center"/>
          </w:tcPr>
          <w:p w:rsidR="00000000" w:rsidDel="00000000" w:rsidP="00000000" w:rsidRDefault="00000000" w:rsidRPr="00000000" w14:paraId="000011EC">
            <w:pPr>
              <w:rPr>
                <w:b w:val="1"/>
                <w:sz w:val="18"/>
                <w:szCs w:val="18"/>
              </w:rPr>
            </w:pPr>
            <w:r w:rsidDel="00000000" w:rsidR="00000000" w:rsidRPr="00000000">
              <w:rPr>
                <w:b w:val="1"/>
                <w:sz w:val="18"/>
                <w:szCs w:val="18"/>
                <w:rtl w:val="0"/>
              </w:rPr>
              <w:t xml:space="preserve">New Zealand</w:t>
            </w:r>
          </w:p>
        </w:tc>
        <w:tc>
          <w:tcPr>
            <w:vAlign w:val="center"/>
          </w:tcPr>
          <w:p w:rsidR="00000000" w:rsidDel="00000000" w:rsidP="00000000" w:rsidRDefault="00000000" w:rsidRPr="00000000" w14:paraId="000011ED">
            <w:pPr>
              <w:rPr>
                <w:sz w:val="18"/>
                <w:szCs w:val="18"/>
              </w:rPr>
            </w:pPr>
            <w:r w:rsidDel="00000000" w:rsidR="00000000" w:rsidRPr="00000000">
              <w:rPr>
                <w:sz w:val="18"/>
                <w:szCs w:val="18"/>
                <w:rtl w:val="0"/>
              </w:rPr>
              <w:t xml:space="preserve">Read J. </w:t>
              <w:br w:type="textWrapping"/>
              <w:t xml:space="preserve">Cartwright C. </w:t>
              <w:br w:type="textWrapping"/>
              <w:t xml:space="preserve">Gibson K.</w:t>
            </w:r>
          </w:p>
        </w:tc>
        <w:tc>
          <w:tcPr>
            <w:vAlign w:val="center"/>
          </w:tcPr>
          <w:p w:rsidR="00000000" w:rsidDel="00000000" w:rsidP="00000000" w:rsidRDefault="00000000" w:rsidRPr="00000000" w14:paraId="000011EE">
            <w:pPr>
              <w:jc w:val="center"/>
              <w:rPr>
                <w:sz w:val="18"/>
                <w:szCs w:val="18"/>
              </w:rPr>
            </w:pPr>
            <w:r w:rsidDel="00000000" w:rsidR="00000000" w:rsidRPr="00000000">
              <w:rPr>
                <w:sz w:val="18"/>
                <w:szCs w:val="18"/>
                <w:rtl w:val="0"/>
              </w:rPr>
              <w:t xml:space="preserve">2018</w:t>
            </w:r>
          </w:p>
        </w:tc>
        <w:tc>
          <w:tcPr>
            <w:vAlign w:val="center"/>
          </w:tcPr>
          <w:p w:rsidR="00000000" w:rsidDel="00000000" w:rsidP="00000000" w:rsidRDefault="00000000" w:rsidRPr="00000000" w14:paraId="000011EF">
            <w:pPr>
              <w:jc w:val="center"/>
              <w:rPr>
                <w:sz w:val="18"/>
                <w:szCs w:val="18"/>
              </w:rPr>
            </w:pPr>
            <w:hyperlink r:id="rId123">
              <w:r w:rsidDel="00000000" w:rsidR="00000000" w:rsidRPr="00000000">
                <w:rPr>
                  <w:sz w:val="18"/>
                  <w:szCs w:val="18"/>
                  <w:rtl w:val="0"/>
                </w:rPr>
                <w:t xml:space="preserve">How many of 1829 antidepressant users report withdrawal effects or addiction?</w:t>
              </w:r>
            </w:hyperlink>
            <w:r w:rsidDel="00000000" w:rsidR="00000000" w:rsidRPr="00000000">
              <w:rPr>
                <w:rtl w:val="0"/>
              </w:rPr>
            </w:r>
          </w:p>
        </w:tc>
        <w:tc>
          <w:tcPr>
            <w:vAlign w:val="center"/>
          </w:tcPr>
          <w:p w:rsidR="00000000" w:rsidDel="00000000" w:rsidP="00000000" w:rsidRDefault="00000000" w:rsidRPr="00000000" w14:paraId="000011F0">
            <w:pPr>
              <w:jc w:val="center"/>
              <w:rPr>
                <w:sz w:val="18"/>
                <w:szCs w:val="18"/>
              </w:rPr>
            </w:pPr>
            <w:r w:rsidDel="00000000" w:rsidR="00000000" w:rsidRPr="00000000">
              <w:rPr>
                <w:sz w:val="18"/>
                <w:szCs w:val="18"/>
                <w:rtl w:val="0"/>
              </w:rPr>
              <w:t xml:space="preserve">“Views and Experiences of Antidepressants in New Zealand” questionnaire</w:t>
            </w:r>
          </w:p>
        </w:tc>
        <w:tc>
          <w:tcPr>
            <w:vAlign w:val="center"/>
          </w:tcPr>
          <w:p w:rsidR="00000000" w:rsidDel="00000000" w:rsidP="00000000" w:rsidRDefault="00000000" w:rsidRPr="00000000" w14:paraId="000011F1">
            <w:pPr>
              <w:jc w:val="center"/>
              <w:rPr>
                <w:sz w:val="18"/>
                <w:szCs w:val="18"/>
              </w:rPr>
            </w:pPr>
            <w:r w:rsidDel="00000000" w:rsidR="00000000" w:rsidRPr="00000000">
              <w:rPr>
                <w:sz w:val="18"/>
                <w:szCs w:val="18"/>
                <w:rtl w:val="0"/>
              </w:rPr>
              <w:t xml:space="preserve">1829</w:t>
            </w:r>
          </w:p>
        </w:tc>
        <w:tc>
          <w:tcPr>
            <w:vAlign w:val="center"/>
          </w:tcPr>
          <w:p w:rsidR="00000000" w:rsidDel="00000000" w:rsidP="00000000" w:rsidRDefault="00000000" w:rsidRPr="00000000" w14:paraId="000011F2">
            <w:pPr>
              <w:rPr>
                <w:sz w:val="18"/>
                <w:szCs w:val="18"/>
              </w:rPr>
            </w:pPr>
            <w:r w:rsidDel="00000000" w:rsidR="00000000" w:rsidRPr="00000000">
              <w:rPr>
                <w:sz w:val="18"/>
                <w:szCs w:val="18"/>
                <w:rtl w:val="0"/>
              </w:rPr>
              <w:t xml:space="preserve">54.9% of participants report withdrawal symptoms</w:t>
              <w:br w:type="textWrapping"/>
              <w:br w:type="textWrapping"/>
              <w:t xml:space="preserve">12.4% report 'mild' symptoms, 17.4% report 'moderate' symptoms, 25.1% report 'severe' symptoms.</w:t>
              <w:br w:type="textWrapping"/>
              <w:br w:type="textWrapping"/>
              <w:t xml:space="preserve">These include: dizziness, nausea, unsteadiness, vivid nightmares, "electric shocks to the brain", panic attacks, migraines, vomiting, fatigue and anger.</w:t>
            </w:r>
          </w:p>
        </w:tc>
        <w:tc>
          <w:tcPr>
            <w:vAlign w:val="center"/>
          </w:tcPr>
          <w:p w:rsidR="00000000" w:rsidDel="00000000" w:rsidP="00000000" w:rsidRDefault="00000000" w:rsidRPr="00000000" w14:paraId="000011F3">
            <w:pPr>
              <w:rPr>
                <w:sz w:val="18"/>
                <w:szCs w:val="18"/>
              </w:rPr>
            </w:pPr>
            <w:r w:rsidDel="00000000" w:rsidR="00000000" w:rsidRPr="00000000">
              <w:rPr>
                <w:sz w:val="18"/>
                <w:szCs w:val="18"/>
                <w:rtl w:val="0"/>
              </w:rPr>
              <w:t xml:space="preserve">younger sample, less older respondents.</w:t>
              <w:br w:type="textWrapping"/>
              <w:br w:type="textWrapping"/>
              <w:t xml:space="preserve">Māori, Pacific Islanders and Asian populations underrepresented</w:t>
            </w:r>
          </w:p>
        </w:tc>
      </w:tr>
      <w:tr>
        <w:trPr>
          <w:cantSplit w:val="0"/>
          <w:trHeight w:val="79" w:hRule="atLeast"/>
          <w:tblHeader w:val="0"/>
        </w:trPr>
        <w:tc>
          <w:tcPr>
            <w:vAlign w:val="center"/>
          </w:tcPr>
          <w:p w:rsidR="00000000" w:rsidDel="00000000" w:rsidP="00000000" w:rsidRDefault="00000000" w:rsidRPr="00000000" w14:paraId="000011F4">
            <w:pPr>
              <w:rPr>
                <w:b w:val="0"/>
                <w:color w:val="000000"/>
                <w:sz w:val="18"/>
                <w:szCs w:val="18"/>
              </w:rPr>
            </w:pPr>
            <w:r w:rsidDel="00000000" w:rsidR="00000000" w:rsidRPr="00000000">
              <w:rPr>
                <w:b w:val="0"/>
                <w:color w:val="000000"/>
                <w:sz w:val="18"/>
                <w:szCs w:val="18"/>
                <w:rtl w:val="0"/>
              </w:rPr>
              <w:t xml:space="preserve">20</w:t>
            </w:r>
          </w:p>
        </w:tc>
        <w:tc>
          <w:tcPr>
            <w:vAlign w:val="center"/>
          </w:tcPr>
          <w:p w:rsidR="00000000" w:rsidDel="00000000" w:rsidP="00000000" w:rsidRDefault="00000000" w:rsidRPr="00000000" w14:paraId="000011F5">
            <w:pPr>
              <w:rPr>
                <w:b w:val="1"/>
                <w:sz w:val="18"/>
                <w:szCs w:val="18"/>
              </w:rPr>
            </w:pPr>
            <w:r w:rsidDel="00000000" w:rsidR="00000000" w:rsidRPr="00000000">
              <w:rPr>
                <w:b w:val="1"/>
                <w:sz w:val="18"/>
                <w:szCs w:val="18"/>
                <w:rtl w:val="0"/>
              </w:rPr>
              <w:t xml:space="preserve">Canada</w:t>
            </w:r>
          </w:p>
        </w:tc>
        <w:tc>
          <w:tcPr>
            <w:vAlign w:val="center"/>
          </w:tcPr>
          <w:p w:rsidR="00000000" w:rsidDel="00000000" w:rsidP="00000000" w:rsidRDefault="00000000" w:rsidRPr="00000000" w14:paraId="000011F6">
            <w:pPr>
              <w:rPr>
                <w:sz w:val="18"/>
                <w:szCs w:val="18"/>
              </w:rPr>
            </w:pPr>
            <w:r w:rsidDel="00000000" w:rsidR="00000000" w:rsidRPr="00000000">
              <w:rPr>
                <w:sz w:val="18"/>
                <w:szCs w:val="18"/>
                <w:rtl w:val="0"/>
              </w:rPr>
              <w:t xml:space="preserve">Goshua A. </w:t>
              <w:br w:type="textWrapping"/>
              <w:t xml:space="preserve">Craigie S. </w:t>
              <w:br w:type="textWrapping"/>
              <w:t xml:space="preserve">Guyatt GH. </w:t>
              <w:br w:type="textWrapping"/>
              <w:t xml:space="preserve">Agarwal A. </w:t>
              <w:br w:type="textWrapping"/>
              <w:t xml:space="preserve">Li R. </w:t>
              <w:br w:type="textWrapping"/>
              <w:t xml:space="preserve">Bhullar JS. </w:t>
              <w:br w:type="textWrapping"/>
              <w:t xml:space="preserve">Scott N. </w:t>
              <w:br w:type="textWrapping"/>
              <w:t xml:space="preserve">Chahal J. </w:t>
              <w:br w:type="textWrapping"/>
              <w:t xml:space="preserve">Pavalafant Harajah S. </w:t>
              <w:br w:type="textWrapping"/>
              <w:t xml:space="preserve">Chang Y.</w:t>
              <w:br w:type="textWrapping"/>
              <w:t xml:space="preserve"> Couban R. </w:t>
              <w:br w:type="textWrapping"/>
              <w:t xml:space="preserve">Busse JW.</w:t>
            </w:r>
          </w:p>
        </w:tc>
        <w:tc>
          <w:tcPr>
            <w:vAlign w:val="center"/>
          </w:tcPr>
          <w:p w:rsidR="00000000" w:rsidDel="00000000" w:rsidP="00000000" w:rsidRDefault="00000000" w:rsidRPr="00000000" w14:paraId="000011F7">
            <w:pPr>
              <w:jc w:val="center"/>
              <w:rPr>
                <w:sz w:val="18"/>
                <w:szCs w:val="18"/>
              </w:rPr>
            </w:pPr>
            <w:r w:rsidDel="00000000" w:rsidR="00000000" w:rsidRPr="00000000">
              <w:rPr>
                <w:sz w:val="18"/>
                <w:szCs w:val="18"/>
                <w:rtl w:val="0"/>
              </w:rPr>
              <w:t xml:space="preserve">2018</w:t>
            </w:r>
          </w:p>
        </w:tc>
        <w:tc>
          <w:tcPr>
            <w:vAlign w:val="center"/>
          </w:tcPr>
          <w:p w:rsidR="00000000" w:rsidDel="00000000" w:rsidP="00000000" w:rsidRDefault="00000000" w:rsidRPr="00000000" w14:paraId="000011F8">
            <w:pPr>
              <w:jc w:val="center"/>
              <w:rPr>
                <w:sz w:val="18"/>
                <w:szCs w:val="18"/>
              </w:rPr>
            </w:pPr>
            <w:hyperlink r:id="rId124">
              <w:r w:rsidDel="00000000" w:rsidR="00000000" w:rsidRPr="00000000">
                <w:rPr>
                  <w:sz w:val="18"/>
                  <w:szCs w:val="18"/>
                  <w:rtl w:val="0"/>
                </w:rPr>
                <w:t xml:space="preserve">Patient Values and Preferences Regarding Opioids for Chronic Noncancer Pain: A Systematic Review.</w:t>
              </w:r>
            </w:hyperlink>
            <w:r w:rsidDel="00000000" w:rsidR="00000000" w:rsidRPr="00000000">
              <w:rPr>
                <w:rtl w:val="0"/>
              </w:rPr>
            </w:r>
          </w:p>
        </w:tc>
        <w:tc>
          <w:tcPr>
            <w:vAlign w:val="center"/>
          </w:tcPr>
          <w:p w:rsidR="00000000" w:rsidDel="00000000" w:rsidP="00000000" w:rsidRDefault="00000000" w:rsidRPr="00000000" w14:paraId="000011F9">
            <w:pPr>
              <w:jc w:val="center"/>
              <w:rPr>
                <w:sz w:val="18"/>
                <w:szCs w:val="18"/>
              </w:rPr>
            </w:pPr>
            <w:r w:rsidDel="00000000" w:rsidR="00000000" w:rsidRPr="00000000">
              <w:rPr>
                <w:sz w:val="18"/>
                <w:szCs w:val="18"/>
                <w:rtl w:val="0"/>
              </w:rPr>
              <w:t xml:space="preserve">Literature review</w:t>
            </w:r>
          </w:p>
        </w:tc>
        <w:tc>
          <w:tcPr>
            <w:vAlign w:val="center"/>
          </w:tcPr>
          <w:p w:rsidR="00000000" w:rsidDel="00000000" w:rsidP="00000000" w:rsidRDefault="00000000" w:rsidRPr="00000000" w14:paraId="000011FA">
            <w:pPr>
              <w:jc w:val="center"/>
              <w:rPr>
                <w:sz w:val="18"/>
                <w:szCs w:val="18"/>
              </w:rPr>
            </w:pPr>
            <w:r w:rsidDel="00000000" w:rsidR="00000000" w:rsidRPr="00000000">
              <w:rPr>
                <w:sz w:val="18"/>
                <w:szCs w:val="18"/>
                <w:rtl w:val="0"/>
              </w:rPr>
              <w:t xml:space="preserve">6</w:t>
            </w:r>
          </w:p>
        </w:tc>
        <w:tc>
          <w:tcPr>
            <w:vAlign w:val="center"/>
          </w:tcPr>
          <w:p w:rsidR="00000000" w:rsidDel="00000000" w:rsidP="00000000" w:rsidRDefault="00000000" w:rsidRPr="00000000" w14:paraId="000011FB">
            <w:pPr>
              <w:rPr>
                <w:sz w:val="18"/>
                <w:szCs w:val="18"/>
              </w:rPr>
            </w:pPr>
            <w:r w:rsidDel="00000000" w:rsidR="00000000" w:rsidRPr="00000000">
              <w:rPr>
                <w:sz w:val="18"/>
                <w:szCs w:val="18"/>
                <w:rtl w:val="0"/>
              </w:rPr>
              <w:t xml:space="preserve">Opioid induced side effects:</w:t>
              <w:br w:type="textWrapping"/>
              <w:br w:type="textWrapping"/>
              <w:t xml:space="preserve">Nausea and Vomiting: Nausea was considered in five studies, vomiting considered in three studies. This was an important patient issue above all other side effects.</w:t>
              <w:br w:type="textWrapping"/>
              <w:br w:type="textWrapping"/>
              <w:t xml:space="preserve">Alteration of State: alteration of mood, state or personality and was the highest of patient priorities, as important as pain relief.</w:t>
              <w:br w:type="textWrapping"/>
              <w:br w:type="textWrapping"/>
              <w:t xml:space="preserve">Constipation: less important than other side effects.</w:t>
              <w:br w:type="textWrapping"/>
              <w:br w:type="textWrapping"/>
              <w:t xml:space="preserve">risk of addiction: this was a lower importance compared to other side effects.</w:t>
            </w:r>
          </w:p>
        </w:tc>
        <w:tc>
          <w:tcPr>
            <w:vAlign w:val="center"/>
          </w:tcPr>
          <w:p w:rsidR="00000000" w:rsidDel="00000000" w:rsidP="00000000" w:rsidRDefault="00000000" w:rsidRPr="00000000" w14:paraId="000011FC">
            <w:pPr>
              <w:rPr>
                <w:sz w:val="18"/>
                <w:szCs w:val="18"/>
              </w:rPr>
            </w:pPr>
            <w:r w:rsidDel="00000000" w:rsidR="00000000" w:rsidRPr="00000000">
              <w:rPr>
                <w:sz w:val="18"/>
                <w:szCs w:val="18"/>
                <w:rtl w:val="0"/>
              </w:rPr>
              <w:t xml:space="preserve">only six studies were eligible for the literature review.</w:t>
              <w:br w:type="textWrapping"/>
              <w:br w:type="textWrapping"/>
              <w:t xml:space="preserve">No studies measured the patient values and preferences toward opioid overdose, diversion or mortality.</w:t>
            </w:r>
          </w:p>
        </w:tc>
      </w:tr>
      <w:tr>
        <w:trPr>
          <w:cantSplit w:val="0"/>
          <w:trHeight w:val="394" w:hRule="atLeast"/>
          <w:tblHeader w:val="0"/>
        </w:trPr>
        <w:tc>
          <w:tcPr>
            <w:vAlign w:val="center"/>
          </w:tcPr>
          <w:p w:rsidR="00000000" w:rsidDel="00000000" w:rsidP="00000000" w:rsidRDefault="00000000" w:rsidRPr="00000000" w14:paraId="000011FD">
            <w:pPr>
              <w:rPr>
                <w:b w:val="0"/>
                <w:color w:val="000000"/>
                <w:sz w:val="18"/>
                <w:szCs w:val="18"/>
              </w:rPr>
            </w:pPr>
            <w:r w:rsidDel="00000000" w:rsidR="00000000" w:rsidRPr="00000000">
              <w:rPr>
                <w:b w:val="0"/>
                <w:color w:val="000000"/>
                <w:sz w:val="18"/>
                <w:szCs w:val="18"/>
                <w:rtl w:val="0"/>
              </w:rPr>
              <w:t xml:space="preserve">21</w:t>
            </w:r>
          </w:p>
        </w:tc>
        <w:tc>
          <w:tcPr>
            <w:vAlign w:val="center"/>
          </w:tcPr>
          <w:p w:rsidR="00000000" w:rsidDel="00000000" w:rsidP="00000000" w:rsidRDefault="00000000" w:rsidRPr="00000000" w14:paraId="000011FE">
            <w:pPr>
              <w:rPr>
                <w:b w:val="1"/>
                <w:color w:val="000000"/>
                <w:sz w:val="18"/>
                <w:szCs w:val="18"/>
              </w:rPr>
            </w:pPr>
            <w:r w:rsidDel="00000000" w:rsidR="00000000" w:rsidRPr="00000000">
              <w:rPr>
                <w:b w:val="1"/>
                <w:color w:val="000000"/>
                <w:sz w:val="18"/>
                <w:szCs w:val="18"/>
                <w:rtl w:val="0"/>
              </w:rPr>
              <w:t xml:space="preserve">International</w:t>
            </w:r>
          </w:p>
        </w:tc>
        <w:tc>
          <w:tcPr>
            <w:vAlign w:val="center"/>
          </w:tcPr>
          <w:p w:rsidR="00000000" w:rsidDel="00000000" w:rsidP="00000000" w:rsidRDefault="00000000" w:rsidRPr="00000000" w14:paraId="000011FF">
            <w:pPr>
              <w:rPr>
                <w:color w:val="000000"/>
                <w:sz w:val="18"/>
                <w:szCs w:val="18"/>
              </w:rPr>
            </w:pPr>
            <w:r w:rsidDel="00000000" w:rsidR="00000000" w:rsidRPr="00000000">
              <w:rPr>
                <w:color w:val="000000"/>
                <w:sz w:val="18"/>
                <w:szCs w:val="18"/>
                <w:rtl w:val="0"/>
              </w:rPr>
              <w:t xml:space="preserve">Papp A.</w:t>
              <w:br w:type="textWrapping"/>
              <w:t xml:space="preserve">Onton JA.</w:t>
            </w:r>
          </w:p>
        </w:tc>
        <w:tc>
          <w:tcPr>
            <w:vAlign w:val="center"/>
          </w:tcPr>
          <w:p w:rsidR="00000000" w:rsidDel="00000000" w:rsidP="00000000" w:rsidRDefault="00000000" w:rsidRPr="00000000" w14:paraId="00001200">
            <w:pPr>
              <w:jc w:val="center"/>
              <w:rPr>
                <w:color w:val="000000"/>
                <w:sz w:val="18"/>
                <w:szCs w:val="18"/>
              </w:rPr>
            </w:pPr>
            <w:r w:rsidDel="00000000" w:rsidR="00000000" w:rsidRPr="00000000">
              <w:rPr>
                <w:color w:val="000000"/>
                <w:sz w:val="18"/>
                <w:szCs w:val="18"/>
                <w:rtl w:val="0"/>
              </w:rPr>
              <w:t xml:space="preserve">2018</w:t>
            </w:r>
          </w:p>
        </w:tc>
        <w:tc>
          <w:tcPr>
            <w:vAlign w:val="center"/>
          </w:tcPr>
          <w:p w:rsidR="00000000" w:rsidDel="00000000" w:rsidP="00000000" w:rsidRDefault="00000000" w:rsidRPr="00000000" w14:paraId="00001201">
            <w:pPr>
              <w:jc w:val="center"/>
              <w:rPr>
                <w:color w:val="000000"/>
                <w:sz w:val="18"/>
                <w:szCs w:val="18"/>
              </w:rPr>
            </w:pPr>
            <w:r w:rsidDel="00000000" w:rsidR="00000000" w:rsidRPr="00000000">
              <w:rPr>
                <w:color w:val="000000"/>
                <w:sz w:val="18"/>
                <w:szCs w:val="18"/>
                <w:rtl w:val="0"/>
              </w:rPr>
              <w:t xml:space="preserve">Brain Zaps: An Underappreciated Symptom of Antidepressant Discontinuation.</w:t>
            </w:r>
          </w:p>
        </w:tc>
        <w:tc>
          <w:tcPr>
            <w:vAlign w:val="center"/>
          </w:tcPr>
          <w:p w:rsidR="00000000" w:rsidDel="00000000" w:rsidP="00000000" w:rsidRDefault="00000000" w:rsidRPr="00000000" w14:paraId="00001202">
            <w:pPr>
              <w:jc w:val="center"/>
              <w:rPr>
                <w:color w:val="000000"/>
                <w:sz w:val="18"/>
                <w:szCs w:val="18"/>
              </w:rPr>
            </w:pPr>
            <w:r w:rsidDel="00000000" w:rsidR="00000000" w:rsidRPr="00000000">
              <w:rPr>
                <w:color w:val="000000"/>
                <w:sz w:val="18"/>
                <w:szCs w:val="18"/>
                <w:rtl w:val="0"/>
              </w:rPr>
              <w:t xml:space="preserve">Analysis of posts on a mental health website</w:t>
            </w:r>
          </w:p>
        </w:tc>
        <w:tc>
          <w:tcPr>
            <w:vAlign w:val="center"/>
          </w:tcPr>
          <w:p w:rsidR="00000000" w:rsidDel="00000000" w:rsidP="00000000" w:rsidRDefault="00000000" w:rsidRPr="00000000" w14:paraId="00001203">
            <w:pPr>
              <w:jc w:val="center"/>
              <w:rPr>
                <w:color w:val="000000"/>
                <w:sz w:val="18"/>
                <w:szCs w:val="18"/>
              </w:rPr>
            </w:pPr>
            <w:r w:rsidDel="00000000" w:rsidR="00000000" w:rsidRPr="00000000">
              <w:rPr>
                <w:color w:val="000000"/>
                <w:sz w:val="18"/>
                <w:szCs w:val="18"/>
                <w:rtl w:val="0"/>
              </w:rPr>
              <w:t xml:space="preserve">595 posts assessed</w:t>
            </w:r>
          </w:p>
        </w:tc>
        <w:tc>
          <w:tcPr>
            <w:vAlign w:val="center"/>
          </w:tcPr>
          <w:p w:rsidR="00000000" w:rsidDel="00000000" w:rsidP="00000000" w:rsidRDefault="00000000" w:rsidRPr="00000000" w14:paraId="00001204">
            <w:pPr>
              <w:rPr>
                <w:color w:val="000000"/>
                <w:sz w:val="18"/>
                <w:szCs w:val="18"/>
              </w:rPr>
            </w:pPr>
            <w:r w:rsidDel="00000000" w:rsidR="00000000" w:rsidRPr="00000000">
              <w:rPr>
                <w:color w:val="000000"/>
                <w:sz w:val="18"/>
                <w:szCs w:val="18"/>
                <w:rtl w:val="0"/>
              </w:rPr>
              <w:t xml:space="preserve">Venlafaxine and paroxetine were reported more frequently (23.3%)</w:t>
              <w:br w:type="textWrapping"/>
              <w:br w:type="textWrapping"/>
              <w:t xml:space="preserve">Brain zaps were reported for less than a year (77%), and a 37% of these report them for less than a month. </w:t>
              <w:br w:type="textWrapping"/>
              <w:br w:type="textWrapping"/>
              <w:t xml:space="preserve">Most reports when the cessation was "immediate", "whilst taking" or "1-2 weeks". </w:t>
              <w:br w:type="textWrapping"/>
              <w:br w:type="textWrapping"/>
              <w:t xml:space="preserve">Led to medical mistrust and pharmacophobia "</w:t>
            </w:r>
            <w:r w:rsidDel="00000000" w:rsidR="00000000" w:rsidRPr="00000000">
              <w:rPr>
                <w:i w:val="1"/>
                <w:color w:val="000000"/>
                <w:sz w:val="18"/>
                <w:szCs w:val="18"/>
                <w:rtl w:val="0"/>
              </w:rPr>
              <w:t xml:space="preserve">never trust drug companies"</w:t>
            </w:r>
            <w:r w:rsidDel="00000000" w:rsidR="00000000" w:rsidRPr="00000000">
              <w:rPr>
                <w:color w:val="000000"/>
                <w:sz w:val="18"/>
                <w:szCs w:val="18"/>
                <w:rtl w:val="0"/>
              </w:rPr>
              <w:t xml:space="preserve"> with 5 posts reporting a desire to sue drug companies.</w:t>
            </w:r>
          </w:p>
        </w:tc>
        <w:tc>
          <w:tcPr>
            <w:vAlign w:val="center"/>
          </w:tcPr>
          <w:p w:rsidR="00000000" w:rsidDel="00000000" w:rsidP="00000000" w:rsidRDefault="00000000" w:rsidRPr="00000000" w14:paraId="00001205">
            <w:pPr>
              <w:rPr>
                <w:color w:val="000000"/>
                <w:sz w:val="18"/>
                <w:szCs w:val="18"/>
              </w:rPr>
            </w:pPr>
            <w:r w:rsidDel="00000000" w:rsidR="00000000" w:rsidRPr="00000000">
              <w:rPr>
                <w:color w:val="000000"/>
                <w:sz w:val="18"/>
                <w:szCs w:val="18"/>
                <w:rtl w:val="0"/>
              </w:rPr>
              <w:t xml:space="preserve">Convenience sample of spontaneous self-reports.</w:t>
            </w:r>
          </w:p>
        </w:tc>
      </w:tr>
      <w:tr>
        <w:trPr>
          <w:cantSplit w:val="0"/>
          <w:trHeight w:val="319" w:hRule="atLeast"/>
          <w:tblHeader w:val="0"/>
        </w:trPr>
        <w:tc>
          <w:tcPr>
            <w:vAlign w:val="center"/>
          </w:tcPr>
          <w:p w:rsidR="00000000" w:rsidDel="00000000" w:rsidP="00000000" w:rsidRDefault="00000000" w:rsidRPr="00000000" w14:paraId="00001206">
            <w:pPr>
              <w:rPr>
                <w:b w:val="0"/>
                <w:color w:val="000000"/>
                <w:sz w:val="18"/>
                <w:szCs w:val="18"/>
              </w:rPr>
            </w:pPr>
            <w:r w:rsidDel="00000000" w:rsidR="00000000" w:rsidRPr="00000000">
              <w:rPr>
                <w:b w:val="0"/>
                <w:color w:val="000000"/>
                <w:sz w:val="18"/>
                <w:szCs w:val="18"/>
                <w:rtl w:val="0"/>
              </w:rPr>
              <w:t xml:space="preserve">22</w:t>
            </w:r>
          </w:p>
        </w:tc>
        <w:tc>
          <w:tcPr>
            <w:vAlign w:val="center"/>
          </w:tcPr>
          <w:p w:rsidR="00000000" w:rsidDel="00000000" w:rsidP="00000000" w:rsidRDefault="00000000" w:rsidRPr="00000000" w14:paraId="00001207">
            <w:pPr>
              <w:rPr>
                <w:b w:val="1"/>
                <w:sz w:val="18"/>
                <w:szCs w:val="18"/>
              </w:rPr>
            </w:pPr>
            <w:r w:rsidDel="00000000" w:rsidR="00000000" w:rsidRPr="00000000">
              <w:rPr>
                <w:b w:val="1"/>
                <w:sz w:val="18"/>
                <w:szCs w:val="18"/>
                <w:rtl w:val="0"/>
              </w:rPr>
              <w:t xml:space="preserve">Switzerland</w:t>
            </w:r>
          </w:p>
        </w:tc>
        <w:tc>
          <w:tcPr>
            <w:vAlign w:val="center"/>
          </w:tcPr>
          <w:p w:rsidR="00000000" w:rsidDel="00000000" w:rsidP="00000000" w:rsidRDefault="00000000" w:rsidRPr="00000000" w14:paraId="00001208">
            <w:pPr>
              <w:rPr>
                <w:sz w:val="18"/>
                <w:szCs w:val="18"/>
              </w:rPr>
            </w:pPr>
            <w:r w:rsidDel="00000000" w:rsidR="00000000" w:rsidRPr="00000000">
              <w:rPr>
                <w:sz w:val="18"/>
                <w:szCs w:val="18"/>
                <w:rtl w:val="0"/>
              </w:rPr>
              <w:t xml:space="preserve">Hengarter MP.</w:t>
              <w:br w:type="textWrapping"/>
              <w:t xml:space="preserve">Schulthes L. </w:t>
              <w:br w:type="textWrapping"/>
              <w:t xml:space="preserve">Sorensen A. </w:t>
              <w:br w:type="textWrapping"/>
              <w:t xml:space="preserve">Framer A.</w:t>
            </w:r>
          </w:p>
        </w:tc>
        <w:tc>
          <w:tcPr>
            <w:vAlign w:val="center"/>
          </w:tcPr>
          <w:p w:rsidR="00000000" w:rsidDel="00000000" w:rsidP="00000000" w:rsidRDefault="00000000" w:rsidRPr="00000000" w14:paraId="00001209">
            <w:pPr>
              <w:jc w:val="center"/>
              <w:rPr>
                <w:sz w:val="18"/>
                <w:szCs w:val="18"/>
              </w:rPr>
            </w:pPr>
            <w:r w:rsidDel="00000000" w:rsidR="00000000" w:rsidRPr="00000000">
              <w:rPr>
                <w:sz w:val="18"/>
                <w:szCs w:val="18"/>
                <w:rtl w:val="0"/>
              </w:rPr>
              <w:t xml:space="preserve">2019</w:t>
            </w:r>
          </w:p>
        </w:tc>
        <w:tc>
          <w:tcPr>
            <w:vAlign w:val="center"/>
          </w:tcPr>
          <w:p w:rsidR="00000000" w:rsidDel="00000000" w:rsidP="00000000" w:rsidRDefault="00000000" w:rsidRPr="00000000" w14:paraId="0000120A">
            <w:pPr>
              <w:jc w:val="center"/>
              <w:rPr>
                <w:sz w:val="18"/>
                <w:szCs w:val="18"/>
              </w:rPr>
            </w:pPr>
            <w:r w:rsidDel="00000000" w:rsidR="00000000" w:rsidRPr="00000000">
              <w:rPr>
                <w:sz w:val="18"/>
                <w:szCs w:val="18"/>
                <w:rtl w:val="0"/>
              </w:rPr>
              <w:t xml:space="preserve">Protracted withdrawal syndrome after stopping antidepressants: a descriptive quantitative analysis of consumer narratives from a large internet forum</w:t>
            </w:r>
          </w:p>
        </w:tc>
        <w:tc>
          <w:tcPr>
            <w:vAlign w:val="center"/>
          </w:tcPr>
          <w:p w:rsidR="00000000" w:rsidDel="00000000" w:rsidP="00000000" w:rsidRDefault="00000000" w:rsidRPr="00000000" w14:paraId="0000120B">
            <w:pPr>
              <w:jc w:val="center"/>
              <w:rPr>
                <w:sz w:val="18"/>
                <w:szCs w:val="18"/>
              </w:rPr>
            </w:pPr>
            <w:r w:rsidDel="00000000" w:rsidR="00000000" w:rsidRPr="00000000">
              <w:rPr>
                <w:sz w:val="18"/>
                <w:szCs w:val="18"/>
                <w:rtl w:val="0"/>
              </w:rPr>
              <w:t xml:space="preserve">Online text mining</w:t>
            </w:r>
          </w:p>
        </w:tc>
        <w:tc>
          <w:tcPr>
            <w:vAlign w:val="center"/>
          </w:tcPr>
          <w:p w:rsidR="00000000" w:rsidDel="00000000" w:rsidP="00000000" w:rsidRDefault="00000000" w:rsidRPr="00000000" w14:paraId="0000120C">
            <w:pPr>
              <w:jc w:val="center"/>
              <w:rPr>
                <w:sz w:val="18"/>
                <w:szCs w:val="18"/>
              </w:rPr>
            </w:pPr>
            <w:r w:rsidDel="00000000" w:rsidR="00000000" w:rsidRPr="00000000">
              <w:rPr>
                <w:sz w:val="18"/>
                <w:szCs w:val="18"/>
                <w:rtl w:val="0"/>
              </w:rPr>
              <w:t xml:space="preserve">69</w:t>
            </w:r>
          </w:p>
        </w:tc>
        <w:tc>
          <w:tcPr>
            <w:vAlign w:val="center"/>
          </w:tcPr>
          <w:p w:rsidR="00000000" w:rsidDel="00000000" w:rsidP="00000000" w:rsidRDefault="00000000" w:rsidRPr="00000000" w14:paraId="0000120D">
            <w:pPr>
              <w:rPr>
                <w:sz w:val="18"/>
                <w:szCs w:val="18"/>
              </w:rPr>
            </w:pPr>
            <w:r w:rsidDel="00000000" w:rsidR="00000000" w:rsidRPr="00000000">
              <w:rPr>
                <w:sz w:val="18"/>
                <w:szCs w:val="18"/>
                <w:rtl w:val="0"/>
              </w:rPr>
              <w:t xml:space="preserve">Extracted patient narratives from a peer support internet forum “SurvivingAntidepressants.org”</w:t>
              <w:br w:type="textWrapping"/>
              <w:br w:type="textWrapping"/>
              <w:t xml:space="preserve">Duration of protracted withdrawal syndrome (PWS) ranged from 5 to 166 months (mean= 37m, median=26m)</w:t>
              <w:br w:type="textWrapping"/>
              <w:br w:type="textWrapping"/>
              <w:t xml:space="preserve">Affective symptoms include: anxiety, depression, emerging suicidality, agitation (experienced by 81% of participants)</w:t>
              <w:br w:type="textWrapping"/>
              <w:br w:type="textWrapping"/>
              <w:t xml:space="preserve">Somatic symptoms: headache, fatigue, dizziness, brain zaps, visual changes, muscle aches, tremor, stomach issues, nausea (experienced by 75% of participants). Sleep problems (44%), cognitive impairments (32%).</w:t>
              <w:br w:type="textWrapping"/>
              <w:br w:type="textWrapping"/>
              <w:t xml:space="preserve">Conclusion: PWS can be severe and long lasting and clinically heterogeneous, and long-term use may cause multiple body system impairments.</w:t>
            </w:r>
          </w:p>
        </w:tc>
        <w:tc>
          <w:tcPr>
            <w:vAlign w:val="center"/>
          </w:tcPr>
          <w:p w:rsidR="00000000" w:rsidDel="00000000" w:rsidP="00000000" w:rsidRDefault="00000000" w:rsidRPr="00000000" w14:paraId="0000120E">
            <w:pPr>
              <w:rPr>
                <w:sz w:val="18"/>
                <w:szCs w:val="18"/>
              </w:rPr>
            </w:pPr>
            <w:r w:rsidDel="00000000" w:rsidR="00000000" w:rsidRPr="00000000">
              <w:rPr>
                <w:sz w:val="18"/>
                <w:szCs w:val="18"/>
                <w:rtl w:val="0"/>
              </w:rPr>
              <w:t xml:space="preserve">Modest sample size.</w:t>
            </w:r>
          </w:p>
        </w:tc>
      </w:tr>
      <w:tr>
        <w:trPr>
          <w:cantSplit w:val="0"/>
          <w:trHeight w:val="79" w:hRule="atLeast"/>
          <w:tblHeader w:val="0"/>
        </w:trPr>
        <w:tc>
          <w:tcPr>
            <w:vAlign w:val="center"/>
          </w:tcPr>
          <w:p w:rsidR="00000000" w:rsidDel="00000000" w:rsidP="00000000" w:rsidRDefault="00000000" w:rsidRPr="00000000" w14:paraId="0000120F">
            <w:pPr>
              <w:rPr>
                <w:b w:val="0"/>
                <w:color w:val="000000"/>
                <w:sz w:val="18"/>
                <w:szCs w:val="18"/>
              </w:rPr>
            </w:pPr>
            <w:r w:rsidDel="00000000" w:rsidR="00000000" w:rsidRPr="00000000">
              <w:rPr>
                <w:b w:val="0"/>
                <w:color w:val="000000"/>
                <w:sz w:val="18"/>
                <w:szCs w:val="18"/>
                <w:rtl w:val="0"/>
              </w:rPr>
              <w:t xml:space="preserve">23</w:t>
            </w:r>
          </w:p>
        </w:tc>
        <w:tc>
          <w:tcPr>
            <w:vAlign w:val="center"/>
          </w:tcPr>
          <w:p w:rsidR="00000000" w:rsidDel="00000000" w:rsidP="00000000" w:rsidRDefault="00000000" w:rsidRPr="00000000" w14:paraId="00001210">
            <w:pPr>
              <w:rPr>
                <w:b w:val="1"/>
                <w:sz w:val="18"/>
                <w:szCs w:val="18"/>
              </w:rPr>
            </w:pPr>
            <w:r w:rsidDel="00000000" w:rsidR="00000000" w:rsidRPr="00000000">
              <w:rPr>
                <w:b w:val="1"/>
                <w:sz w:val="18"/>
                <w:szCs w:val="18"/>
                <w:rtl w:val="0"/>
              </w:rPr>
              <w:t xml:space="preserve">USA</w:t>
            </w:r>
          </w:p>
        </w:tc>
        <w:tc>
          <w:tcPr>
            <w:vAlign w:val="center"/>
          </w:tcPr>
          <w:p w:rsidR="00000000" w:rsidDel="00000000" w:rsidP="00000000" w:rsidRDefault="00000000" w:rsidRPr="00000000" w14:paraId="00001211">
            <w:pPr>
              <w:rPr>
                <w:sz w:val="18"/>
                <w:szCs w:val="18"/>
              </w:rPr>
            </w:pPr>
            <w:r w:rsidDel="00000000" w:rsidR="00000000" w:rsidRPr="00000000">
              <w:rPr>
                <w:sz w:val="18"/>
                <w:szCs w:val="18"/>
                <w:rtl w:val="0"/>
              </w:rPr>
              <w:t xml:space="preserve">Hillman LA. </w:t>
              <w:br w:type="textWrapping"/>
              <w:t xml:space="preserve">Peden-Macalpine C. </w:t>
              <w:br w:type="textWrapping"/>
              <w:t xml:space="preserve">Ramalho-De-Oliveria D.</w:t>
            </w:r>
          </w:p>
        </w:tc>
        <w:tc>
          <w:tcPr>
            <w:vAlign w:val="center"/>
          </w:tcPr>
          <w:p w:rsidR="00000000" w:rsidDel="00000000" w:rsidP="00000000" w:rsidRDefault="00000000" w:rsidRPr="00000000" w14:paraId="00001212">
            <w:pPr>
              <w:jc w:val="center"/>
              <w:rPr>
                <w:sz w:val="18"/>
                <w:szCs w:val="18"/>
              </w:rPr>
            </w:pPr>
            <w:r w:rsidDel="00000000" w:rsidR="00000000" w:rsidRPr="00000000">
              <w:rPr>
                <w:sz w:val="18"/>
                <w:szCs w:val="18"/>
                <w:rtl w:val="0"/>
              </w:rPr>
              <w:t xml:space="preserve">2019</w:t>
            </w:r>
          </w:p>
        </w:tc>
        <w:tc>
          <w:tcPr>
            <w:vAlign w:val="center"/>
          </w:tcPr>
          <w:p w:rsidR="00000000" w:rsidDel="00000000" w:rsidP="00000000" w:rsidRDefault="00000000" w:rsidRPr="00000000" w14:paraId="00001213">
            <w:pPr>
              <w:jc w:val="center"/>
              <w:rPr>
                <w:sz w:val="18"/>
                <w:szCs w:val="18"/>
              </w:rPr>
            </w:pPr>
            <w:r w:rsidDel="00000000" w:rsidR="00000000" w:rsidRPr="00000000">
              <w:rPr>
                <w:sz w:val="18"/>
                <w:szCs w:val="18"/>
                <w:rtl w:val="0"/>
              </w:rPr>
              <w:t xml:space="preserve">The Medication Experience: A Concept Analysis</w:t>
            </w:r>
          </w:p>
        </w:tc>
        <w:tc>
          <w:tcPr>
            <w:vAlign w:val="center"/>
          </w:tcPr>
          <w:p w:rsidR="00000000" w:rsidDel="00000000" w:rsidP="00000000" w:rsidRDefault="00000000" w:rsidRPr="00000000" w14:paraId="00001214">
            <w:pPr>
              <w:jc w:val="center"/>
              <w:rPr>
                <w:sz w:val="18"/>
                <w:szCs w:val="18"/>
              </w:rPr>
            </w:pPr>
            <w:r w:rsidDel="00000000" w:rsidR="00000000" w:rsidRPr="00000000">
              <w:rPr>
                <w:sz w:val="18"/>
                <w:szCs w:val="18"/>
                <w:rtl w:val="0"/>
              </w:rPr>
              <w:t xml:space="preserve">Concept Analysis</w:t>
            </w:r>
          </w:p>
        </w:tc>
        <w:tc>
          <w:tcPr>
            <w:vAlign w:val="center"/>
          </w:tcPr>
          <w:p w:rsidR="00000000" w:rsidDel="00000000" w:rsidP="00000000" w:rsidRDefault="00000000" w:rsidRPr="00000000" w14:paraId="00001215">
            <w:pPr>
              <w:jc w:val="center"/>
              <w:rPr>
                <w:sz w:val="18"/>
                <w:szCs w:val="18"/>
              </w:rPr>
            </w:pPr>
            <w:r w:rsidDel="00000000" w:rsidR="00000000" w:rsidRPr="00000000">
              <w:rPr>
                <w:sz w:val="18"/>
                <w:szCs w:val="18"/>
                <w:rtl w:val="0"/>
              </w:rPr>
              <w:t xml:space="preserve">61</w:t>
            </w:r>
          </w:p>
        </w:tc>
        <w:tc>
          <w:tcPr>
            <w:vAlign w:val="center"/>
          </w:tcPr>
          <w:p w:rsidR="00000000" w:rsidDel="00000000" w:rsidP="00000000" w:rsidRDefault="00000000" w:rsidRPr="00000000" w14:paraId="00001216">
            <w:pPr>
              <w:rPr>
                <w:sz w:val="18"/>
                <w:szCs w:val="18"/>
              </w:rPr>
            </w:pPr>
            <w:r w:rsidDel="00000000" w:rsidR="00000000" w:rsidRPr="00000000">
              <w:rPr>
                <w:sz w:val="18"/>
                <w:szCs w:val="18"/>
                <w:rtl w:val="0"/>
              </w:rPr>
              <w:t xml:space="preserve">Ambivalence: the patient feels both simultaneous and contradictory attitudes towards medication. Examples include avoidance but understanding of the need for medication, gratitude for benefits but anxiety and scepticism of side effects.</w:t>
              <w:br w:type="textWrapping"/>
              <w:br w:type="textWrapping"/>
              <w:t xml:space="preserve">Vulnerability: perceived vulnerability of taking medication, for example physical harm from side effects of medication or their potential to cause harm.</w:t>
            </w:r>
          </w:p>
        </w:tc>
        <w:tc>
          <w:tcPr>
            <w:vAlign w:val="center"/>
          </w:tcPr>
          <w:p w:rsidR="00000000" w:rsidDel="00000000" w:rsidP="00000000" w:rsidRDefault="00000000" w:rsidRPr="00000000" w14:paraId="00001217">
            <w:pPr>
              <w:rPr>
                <w:sz w:val="18"/>
                <w:szCs w:val="18"/>
              </w:rPr>
            </w:pPr>
            <w:r w:rsidDel="00000000" w:rsidR="00000000" w:rsidRPr="00000000">
              <w:rPr>
                <w:sz w:val="18"/>
                <w:szCs w:val="18"/>
                <w:rtl w:val="0"/>
              </w:rPr>
              <w:t xml:space="preserve">the term "medication experience" was often not used directly, so some data may be left out.</w:t>
            </w:r>
          </w:p>
        </w:tc>
      </w:tr>
      <w:tr>
        <w:trPr>
          <w:cantSplit w:val="0"/>
          <w:trHeight w:val="79" w:hRule="atLeast"/>
          <w:tblHeader w:val="0"/>
        </w:trPr>
        <w:tc>
          <w:tcPr>
            <w:vAlign w:val="center"/>
          </w:tcPr>
          <w:p w:rsidR="00000000" w:rsidDel="00000000" w:rsidP="00000000" w:rsidRDefault="00000000" w:rsidRPr="00000000" w14:paraId="00001218">
            <w:pPr>
              <w:rPr>
                <w:b w:val="0"/>
                <w:color w:val="000000"/>
                <w:sz w:val="18"/>
                <w:szCs w:val="18"/>
              </w:rPr>
            </w:pPr>
            <w:r w:rsidDel="00000000" w:rsidR="00000000" w:rsidRPr="00000000">
              <w:rPr>
                <w:b w:val="0"/>
                <w:color w:val="000000"/>
                <w:sz w:val="18"/>
                <w:szCs w:val="18"/>
                <w:rtl w:val="0"/>
              </w:rPr>
              <w:t xml:space="preserve">24</w:t>
            </w:r>
          </w:p>
        </w:tc>
        <w:tc>
          <w:tcPr>
            <w:vAlign w:val="center"/>
          </w:tcPr>
          <w:p w:rsidR="00000000" w:rsidDel="00000000" w:rsidP="00000000" w:rsidRDefault="00000000" w:rsidRPr="00000000" w14:paraId="00001219">
            <w:pPr>
              <w:rPr>
                <w:b w:val="1"/>
                <w:sz w:val="18"/>
                <w:szCs w:val="18"/>
              </w:rPr>
            </w:pPr>
            <w:r w:rsidDel="00000000" w:rsidR="00000000" w:rsidRPr="00000000">
              <w:rPr>
                <w:b w:val="1"/>
                <w:sz w:val="18"/>
                <w:szCs w:val="18"/>
                <w:rtl w:val="0"/>
              </w:rPr>
              <w:t xml:space="preserve">Spain</w:t>
            </w:r>
          </w:p>
        </w:tc>
        <w:tc>
          <w:tcPr>
            <w:vAlign w:val="center"/>
          </w:tcPr>
          <w:p w:rsidR="00000000" w:rsidDel="00000000" w:rsidP="00000000" w:rsidRDefault="00000000" w:rsidRPr="00000000" w14:paraId="0000121A">
            <w:pPr>
              <w:rPr>
                <w:sz w:val="18"/>
                <w:szCs w:val="18"/>
              </w:rPr>
            </w:pPr>
            <w:r w:rsidDel="00000000" w:rsidR="00000000" w:rsidRPr="00000000">
              <w:rPr>
                <w:sz w:val="18"/>
                <w:szCs w:val="18"/>
                <w:rtl w:val="0"/>
              </w:rPr>
              <w:t xml:space="preserve">Coloma-Carmona A. </w:t>
              <w:br w:type="textWrapping"/>
              <w:t xml:space="preserve">Carballo JL. </w:t>
              <w:br w:type="textWrapping"/>
              <w:t xml:space="preserve">Rodríguez-Marín J.</w:t>
              <w:br w:type="textWrapping"/>
              <w:t xml:space="preserve">Pérez-Carbonell A.</w:t>
            </w:r>
          </w:p>
        </w:tc>
        <w:tc>
          <w:tcPr>
            <w:vAlign w:val="center"/>
          </w:tcPr>
          <w:p w:rsidR="00000000" w:rsidDel="00000000" w:rsidP="00000000" w:rsidRDefault="00000000" w:rsidRPr="00000000" w14:paraId="0000121B">
            <w:pPr>
              <w:jc w:val="center"/>
              <w:rPr>
                <w:sz w:val="18"/>
                <w:szCs w:val="18"/>
              </w:rPr>
            </w:pPr>
            <w:r w:rsidDel="00000000" w:rsidR="00000000" w:rsidRPr="00000000">
              <w:rPr>
                <w:sz w:val="18"/>
                <w:szCs w:val="18"/>
                <w:rtl w:val="0"/>
              </w:rPr>
              <w:t xml:space="preserve">2019</w:t>
            </w:r>
          </w:p>
        </w:tc>
        <w:tc>
          <w:tcPr>
            <w:vAlign w:val="center"/>
          </w:tcPr>
          <w:p w:rsidR="00000000" w:rsidDel="00000000" w:rsidP="00000000" w:rsidRDefault="00000000" w:rsidRPr="00000000" w14:paraId="0000121C">
            <w:pPr>
              <w:jc w:val="center"/>
              <w:rPr>
                <w:sz w:val="18"/>
                <w:szCs w:val="18"/>
              </w:rPr>
            </w:pPr>
            <w:hyperlink r:id="rId125">
              <w:r w:rsidDel="00000000" w:rsidR="00000000" w:rsidRPr="00000000">
                <w:rPr>
                  <w:sz w:val="18"/>
                  <w:szCs w:val="18"/>
                  <w:rtl w:val="0"/>
                </w:rPr>
                <w:t xml:space="preserve">Withdrawal symptoms predict prescription opioid dependence in chronic pain patients.</w:t>
              </w:r>
            </w:hyperlink>
            <w:r w:rsidDel="00000000" w:rsidR="00000000" w:rsidRPr="00000000">
              <w:rPr>
                <w:rtl w:val="0"/>
              </w:rPr>
            </w:r>
          </w:p>
        </w:tc>
        <w:tc>
          <w:tcPr>
            <w:vAlign w:val="center"/>
          </w:tcPr>
          <w:p w:rsidR="00000000" w:rsidDel="00000000" w:rsidP="00000000" w:rsidRDefault="00000000" w:rsidRPr="00000000" w14:paraId="0000121D">
            <w:pPr>
              <w:jc w:val="center"/>
              <w:rPr>
                <w:sz w:val="18"/>
                <w:szCs w:val="18"/>
              </w:rPr>
            </w:pPr>
            <w:r w:rsidDel="00000000" w:rsidR="00000000" w:rsidRPr="00000000">
              <w:rPr>
                <w:sz w:val="18"/>
                <w:szCs w:val="18"/>
                <w:rtl w:val="0"/>
              </w:rPr>
              <w:t xml:space="preserve">Adjective Rating Scale for Withdrawal (ARSW)</w:t>
            </w:r>
          </w:p>
        </w:tc>
        <w:tc>
          <w:tcPr>
            <w:vAlign w:val="center"/>
          </w:tcPr>
          <w:p w:rsidR="00000000" w:rsidDel="00000000" w:rsidP="00000000" w:rsidRDefault="00000000" w:rsidRPr="00000000" w14:paraId="0000121E">
            <w:pPr>
              <w:jc w:val="center"/>
              <w:rPr>
                <w:sz w:val="18"/>
                <w:szCs w:val="18"/>
              </w:rPr>
            </w:pPr>
            <w:r w:rsidDel="00000000" w:rsidR="00000000" w:rsidRPr="00000000">
              <w:rPr>
                <w:sz w:val="18"/>
                <w:szCs w:val="18"/>
                <w:rtl w:val="0"/>
              </w:rPr>
              <w:t xml:space="preserve">215</w:t>
            </w:r>
          </w:p>
        </w:tc>
        <w:tc>
          <w:tcPr>
            <w:vAlign w:val="center"/>
          </w:tcPr>
          <w:p w:rsidR="00000000" w:rsidDel="00000000" w:rsidP="00000000" w:rsidRDefault="00000000" w:rsidRPr="00000000" w14:paraId="0000121F">
            <w:pPr>
              <w:rPr>
                <w:sz w:val="18"/>
                <w:szCs w:val="18"/>
              </w:rPr>
            </w:pPr>
            <w:r w:rsidDel="00000000" w:rsidR="00000000" w:rsidRPr="00000000">
              <w:rPr>
                <w:sz w:val="18"/>
                <w:szCs w:val="18"/>
                <w:rtl w:val="0"/>
              </w:rPr>
              <w:t xml:space="preserve">26.6% of participants were classified with a moderate to severe prescription opioid use disorder.</w:t>
              <w:br w:type="textWrapping"/>
              <w:br w:type="textWrapping"/>
              <w:t xml:space="preserve">Higher intensity pain is associated with dependence formation.</w:t>
              <w:br w:type="textWrapping"/>
              <w:br w:type="textWrapping"/>
              <w:t xml:space="preserve">Younger age of dose initiation is associated with dependence formation.</w:t>
              <w:br w:type="textWrapping"/>
              <w:br w:type="textWrapping"/>
              <w:t xml:space="preserve">Patients who were experiencing withdrawal were more likely to smoke cigarettes and use antidepressants.</w:t>
            </w:r>
          </w:p>
        </w:tc>
        <w:tc>
          <w:tcPr>
            <w:vAlign w:val="center"/>
          </w:tcPr>
          <w:p w:rsidR="00000000" w:rsidDel="00000000" w:rsidP="00000000" w:rsidRDefault="00000000" w:rsidRPr="00000000" w14:paraId="00001220">
            <w:pPr>
              <w:rPr>
                <w:sz w:val="18"/>
                <w:szCs w:val="18"/>
              </w:rPr>
            </w:pPr>
            <w:r w:rsidDel="00000000" w:rsidR="00000000" w:rsidRPr="00000000">
              <w:rPr>
                <w:sz w:val="18"/>
                <w:szCs w:val="18"/>
                <w:rtl w:val="0"/>
              </w:rPr>
              <w:t xml:space="preserve">not a representative sample.</w:t>
              <w:br w:type="textWrapping"/>
              <w:br w:type="textWrapping"/>
              <w:t xml:space="preserve">Self-reporting</w:t>
            </w:r>
          </w:p>
        </w:tc>
      </w:tr>
      <w:tr>
        <w:trPr>
          <w:cantSplit w:val="0"/>
          <w:trHeight w:val="3920" w:hRule="atLeast"/>
          <w:tblHeader w:val="0"/>
        </w:trPr>
        <w:tc>
          <w:tcPr>
            <w:vAlign w:val="center"/>
          </w:tcPr>
          <w:p w:rsidR="00000000" w:rsidDel="00000000" w:rsidP="00000000" w:rsidRDefault="00000000" w:rsidRPr="00000000" w14:paraId="00001221">
            <w:pPr>
              <w:rPr>
                <w:b w:val="0"/>
                <w:color w:val="000000"/>
                <w:sz w:val="18"/>
                <w:szCs w:val="18"/>
              </w:rPr>
            </w:pPr>
            <w:r w:rsidDel="00000000" w:rsidR="00000000" w:rsidRPr="00000000">
              <w:rPr>
                <w:b w:val="0"/>
                <w:color w:val="000000"/>
                <w:sz w:val="18"/>
                <w:szCs w:val="18"/>
                <w:rtl w:val="0"/>
              </w:rPr>
              <w:t xml:space="preserve">25</w:t>
            </w:r>
          </w:p>
        </w:tc>
        <w:tc>
          <w:tcPr>
            <w:vAlign w:val="center"/>
          </w:tcPr>
          <w:p w:rsidR="00000000" w:rsidDel="00000000" w:rsidP="00000000" w:rsidRDefault="00000000" w:rsidRPr="00000000" w14:paraId="00001222">
            <w:pPr>
              <w:rPr>
                <w:b w:val="1"/>
                <w:sz w:val="18"/>
                <w:szCs w:val="18"/>
              </w:rPr>
            </w:pPr>
            <w:r w:rsidDel="00000000" w:rsidR="00000000" w:rsidRPr="00000000">
              <w:rPr>
                <w:b w:val="1"/>
                <w:sz w:val="18"/>
                <w:szCs w:val="18"/>
                <w:rtl w:val="0"/>
              </w:rPr>
              <w:t xml:space="preserve">Germany</w:t>
            </w:r>
          </w:p>
        </w:tc>
        <w:tc>
          <w:tcPr>
            <w:vAlign w:val="center"/>
          </w:tcPr>
          <w:p w:rsidR="00000000" w:rsidDel="00000000" w:rsidP="00000000" w:rsidRDefault="00000000" w:rsidRPr="00000000" w14:paraId="00001223">
            <w:pPr>
              <w:rPr>
                <w:sz w:val="18"/>
                <w:szCs w:val="18"/>
              </w:rPr>
            </w:pPr>
            <w:r w:rsidDel="00000000" w:rsidR="00000000" w:rsidRPr="00000000">
              <w:rPr>
                <w:sz w:val="18"/>
                <w:szCs w:val="18"/>
                <w:rtl w:val="0"/>
              </w:rPr>
              <w:t xml:space="preserve">Mokhar A. </w:t>
              <w:br w:type="textWrapping"/>
              <w:t xml:space="preserve">Kuhn S. </w:t>
              <w:br w:type="textWrapping"/>
              <w:t xml:space="preserve">Topp J. </w:t>
              <w:br w:type="textWrapping"/>
              <w:t xml:space="preserve">Dirmaier J. </w:t>
              <w:br w:type="textWrapping"/>
              <w:t xml:space="preserve">Harter M. </w:t>
              <w:br w:type="textWrapping"/>
              <w:t xml:space="preserve">Verthein U.</w:t>
            </w:r>
          </w:p>
        </w:tc>
        <w:tc>
          <w:tcPr>
            <w:vAlign w:val="center"/>
          </w:tcPr>
          <w:p w:rsidR="00000000" w:rsidDel="00000000" w:rsidP="00000000" w:rsidRDefault="00000000" w:rsidRPr="00000000" w14:paraId="00001224">
            <w:pPr>
              <w:jc w:val="center"/>
              <w:rPr>
                <w:sz w:val="18"/>
                <w:szCs w:val="18"/>
              </w:rPr>
            </w:pPr>
            <w:r w:rsidDel="00000000" w:rsidR="00000000" w:rsidRPr="00000000">
              <w:rPr>
                <w:sz w:val="18"/>
                <w:szCs w:val="18"/>
                <w:rtl w:val="0"/>
              </w:rPr>
              <w:t xml:space="preserve">2019</w:t>
            </w:r>
          </w:p>
        </w:tc>
        <w:tc>
          <w:tcPr>
            <w:vAlign w:val="center"/>
          </w:tcPr>
          <w:p w:rsidR="00000000" w:rsidDel="00000000" w:rsidP="00000000" w:rsidRDefault="00000000" w:rsidRPr="00000000" w14:paraId="00001225">
            <w:pPr>
              <w:jc w:val="center"/>
              <w:rPr>
                <w:sz w:val="18"/>
                <w:szCs w:val="18"/>
              </w:rPr>
            </w:pPr>
            <w:hyperlink r:id="rId126">
              <w:r w:rsidDel="00000000" w:rsidR="00000000" w:rsidRPr="00000000">
                <w:rPr>
                  <w:sz w:val="18"/>
                  <w:szCs w:val="18"/>
                  <w:rtl w:val="0"/>
                </w:rPr>
                <w:t xml:space="preserve">Long-term use of benzodiazepines and Z drugs: a qualitative study of patients' and healthcare professionals' perceptions and possible levers for change.</w:t>
              </w:r>
            </w:hyperlink>
            <w:r w:rsidDel="00000000" w:rsidR="00000000" w:rsidRPr="00000000">
              <w:rPr>
                <w:rtl w:val="0"/>
              </w:rPr>
            </w:r>
          </w:p>
        </w:tc>
        <w:tc>
          <w:tcPr>
            <w:vAlign w:val="center"/>
          </w:tcPr>
          <w:p w:rsidR="00000000" w:rsidDel="00000000" w:rsidP="00000000" w:rsidRDefault="00000000" w:rsidRPr="00000000" w14:paraId="00001226">
            <w:pPr>
              <w:jc w:val="center"/>
              <w:rPr>
                <w:sz w:val="18"/>
                <w:szCs w:val="18"/>
              </w:rPr>
            </w:pPr>
            <w:r w:rsidDel="00000000" w:rsidR="00000000" w:rsidRPr="00000000">
              <w:rPr>
                <w:sz w:val="18"/>
                <w:szCs w:val="18"/>
                <w:rtl w:val="0"/>
              </w:rPr>
              <w:t xml:space="preserve">interviews with patients and healthcare practitioners</w:t>
            </w:r>
          </w:p>
        </w:tc>
        <w:tc>
          <w:tcPr>
            <w:vAlign w:val="center"/>
          </w:tcPr>
          <w:p w:rsidR="00000000" w:rsidDel="00000000" w:rsidP="00000000" w:rsidRDefault="00000000" w:rsidRPr="00000000" w14:paraId="00001227">
            <w:pPr>
              <w:jc w:val="center"/>
              <w:rPr>
                <w:sz w:val="18"/>
                <w:szCs w:val="18"/>
              </w:rPr>
            </w:pPr>
            <w:r w:rsidDel="00000000" w:rsidR="00000000" w:rsidRPr="00000000">
              <w:rPr>
                <w:sz w:val="18"/>
                <w:szCs w:val="18"/>
                <w:rtl w:val="0"/>
              </w:rPr>
              <w:t xml:space="preserve">total - 28</w:t>
              <w:br w:type="textWrapping"/>
              <w:br w:type="textWrapping"/>
              <w:t xml:space="preserve">8 patients (3 male, 5 female)</w:t>
              <w:br w:type="textWrapping"/>
              <w:br w:type="textWrapping"/>
              <w:t xml:space="preserve">7 Doctors (2 male, 5 female)</w:t>
              <w:br w:type="textWrapping"/>
              <w:br w:type="textWrapping"/>
              <w:t xml:space="preserve">6 Pharmacists (0 male, 6 female)</w:t>
              <w:br w:type="textWrapping"/>
              <w:br w:type="textWrapping"/>
              <w:t xml:space="preserve">7 nurses (0 male, 7 female)</w:t>
            </w:r>
          </w:p>
        </w:tc>
        <w:tc>
          <w:tcPr>
            <w:vAlign w:val="center"/>
          </w:tcPr>
          <w:p w:rsidR="00000000" w:rsidDel="00000000" w:rsidP="00000000" w:rsidRDefault="00000000" w:rsidRPr="00000000" w14:paraId="00001228">
            <w:pPr>
              <w:rPr>
                <w:sz w:val="18"/>
                <w:szCs w:val="18"/>
              </w:rPr>
            </w:pPr>
            <w:r w:rsidDel="00000000" w:rsidR="00000000" w:rsidRPr="00000000">
              <w:rPr>
                <w:sz w:val="18"/>
                <w:szCs w:val="18"/>
                <w:rtl w:val="0"/>
              </w:rPr>
              <w:t xml:space="preserve">patients indicated lack of knowledge about risks and side effects of benzodiazepines and Z-Drugs, with a difficulty to access alternative healthcare treatments, fears of withdrawal and the lack of practitioner support.</w:t>
              <w:br w:type="textWrapping"/>
              <w:br w:type="textWrapping"/>
              <w:t xml:space="preserve">Doctors reported to be hesitant to prescribe these medicines, however due to the complexities of geriatric patients they did not feel they had adequate knowledge or resources to manage older patients in any other way.</w:t>
              <w:br w:type="textWrapping"/>
              <w:br w:type="textWrapping"/>
              <w:t xml:space="preserve">Nurses did not feel it was their responsibility to evaluate their effects.</w:t>
              <w:br w:type="textWrapping"/>
              <w:br w:type="textWrapping"/>
              <w:t xml:space="preserve">Pharmacists reported ambivalence in informing patients about the risks associated with these medicines, as it may contradict the Doctor's advice.</w:t>
            </w:r>
          </w:p>
        </w:tc>
        <w:tc>
          <w:tcPr>
            <w:vAlign w:val="center"/>
          </w:tcPr>
          <w:p w:rsidR="00000000" w:rsidDel="00000000" w:rsidP="00000000" w:rsidRDefault="00000000" w:rsidRPr="00000000" w14:paraId="00001229">
            <w:pPr>
              <w:rPr>
                <w:sz w:val="18"/>
                <w:szCs w:val="18"/>
              </w:rPr>
            </w:pPr>
            <w:r w:rsidDel="00000000" w:rsidR="00000000" w:rsidRPr="00000000">
              <w:rPr>
                <w:sz w:val="18"/>
                <w:szCs w:val="18"/>
                <w:rtl w:val="0"/>
              </w:rPr>
              <w:t xml:space="preserve">recruitment was difficult and the researchers assumed the financial incentive was the main motivation to participate.</w:t>
              <w:br w:type="textWrapping"/>
              <w:br w:type="textWrapping"/>
              <w:t xml:space="preserve">More females than males in the sample which can produce gender biases.</w:t>
              <w:br w:type="textWrapping"/>
              <w:br w:type="textWrapping"/>
              <w:t xml:space="preserve">Reducing the long-term use of these medicines were not discussed.</w:t>
            </w:r>
          </w:p>
        </w:tc>
      </w:tr>
      <w:tr>
        <w:trPr>
          <w:cantSplit w:val="0"/>
          <w:trHeight w:val="1408" w:hRule="atLeast"/>
          <w:tblHeader w:val="0"/>
        </w:trPr>
        <w:tc>
          <w:tcPr>
            <w:vAlign w:val="center"/>
          </w:tcPr>
          <w:p w:rsidR="00000000" w:rsidDel="00000000" w:rsidP="00000000" w:rsidRDefault="00000000" w:rsidRPr="00000000" w14:paraId="0000122A">
            <w:pPr>
              <w:rPr>
                <w:b w:val="0"/>
                <w:color w:val="000000"/>
                <w:sz w:val="18"/>
                <w:szCs w:val="18"/>
              </w:rPr>
            </w:pPr>
            <w:r w:rsidDel="00000000" w:rsidR="00000000" w:rsidRPr="00000000">
              <w:rPr>
                <w:b w:val="0"/>
                <w:color w:val="000000"/>
                <w:sz w:val="18"/>
                <w:szCs w:val="18"/>
                <w:rtl w:val="0"/>
              </w:rPr>
              <w:t xml:space="preserve">26</w:t>
            </w:r>
          </w:p>
        </w:tc>
        <w:tc>
          <w:tcPr>
            <w:vAlign w:val="center"/>
          </w:tcPr>
          <w:p w:rsidR="00000000" w:rsidDel="00000000" w:rsidP="00000000" w:rsidRDefault="00000000" w:rsidRPr="00000000" w14:paraId="0000122B">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22C">
            <w:pPr>
              <w:rPr>
                <w:color w:val="000000"/>
                <w:sz w:val="18"/>
                <w:szCs w:val="18"/>
              </w:rPr>
            </w:pPr>
            <w:r w:rsidDel="00000000" w:rsidR="00000000" w:rsidRPr="00000000">
              <w:rPr>
                <w:color w:val="000000"/>
                <w:sz w:val="18"/>
                <w:szCs w:val="18"/>
                <w:rtl w:val="0"/>
              </w:rPr>
              <w:t xml:space="preserve">Kinnaird E.</w:t>
              <w:br w:type="textWrapping"/>
              <w:t xml:space="preserve">Kimergard A.</w:t>
              <w:br w:type="textWrapping"/>
              <w:t xml:space="preserve">Jennings S.</w:t>
              <w:br w:type="textWrapping"/>
              <w:t xml:space="preserve">Drummond C.</w:t>
              <w:br w:type="textWrapping"/>
              <w:t xml:space="preserve">Deluca P.</w:t>
            </w:r>
          </w:p>
        </w:tc>
        <w:tc>
          <w:tcPr>
            <w:vAlign w:val="center"/>
          </w:tcPr>
          <w:p w:rsidR="00000000" w:rsidDel="00000000" w:rsidP="00000000" w:rsidRDefault="00000000" w:rsidRPr="00000000" w14:paraId="0000122D">
            <w:pPr>
              <w:jc w:val="center"/>
              <w:rPr>
                <w:color w:val="000000"/>
                <w:sz w:val="18"/>
                <w:szCs w:val="18"/>
              </w:rPr>
            </w:pPr>
            <w:r w:rsidDel="00000000" w:rsidR="00000000" w:rsidRPr="00000000">
              <w:rPr>
                <w:color w:val="000000"/>
                <w:sz w:val="18"/>
                <w:szCs w:val="18"/>
                <w:rtl w:val="0"/>
              </w:rPr>
              <w:t xml:space="preserve">2019</w:t>
            </w:r>
          </w:p>
        </w:tc>
        <w:tc>
          <w:tcPr>
            <w:vAlign w:val="center"/>
          </w:tcPr>
          <w:p w:rsidR="00000000" w:rsidDel="00000000" w:rsidP="00000000" w:rsidRDefault="00000000" w:rsidRPr="00000000" w14:paraId="0000122E">
            <w:pPr>
              <w:jc w:val="center"/>
              <w:rPr>
                <w:color w:val="000000"/>
                <w:sz w:val="18"/>
                <w:szCs w:val="18"/>
              </w:rPr>
            </w:pPr>
            <w:r w:rsidDel="00000000" w:rsidR="00000000" w:rsidRPr="00000000">
              <w:rPr>
                <w:color w:val="000000"/>
                <w:sz w:val="18"/>
                <w:szCs w:val="18"/>
                <w:rtl w:val="0"/>
              </w:rPr>
              <w:t xml:space="preserve">From pain treatment to opioid dependence: a qualitative study of the environmental influence on codeine use in UK adults.</w:t>
            </w:r>
          </w:p>
        </w:tc>
        <w:tc>
          <w:tcPr>
            <w:vAlign w:val="center"/>
          </w:tcPr>
          <w:p w:rsidR="00000000" w:rsidDel="00000000" w:rsidP="00000000" w:rsidRDefault="00000000" w:rsidRPr="00000000" w14:paraId="0000122F">
            <w:pPr>
              <w:jc w:val="center"/>
              <w:rPr>
                <w:color w:val="000000"/>
                <w:sz w:val="18"/>
                <w:szCs w:val="18"/>
              </w:rPr>
            </w:pPr>
            <w:r w:rsidDel="00000000" w:rsidR="00000000" w:rsidRPr="00000000">
              <w:rPr>
                <w:color w:val="000000"/>
                <w:sz w:val="18"/>
                <w:szCs w:val="18"/>
                <w:rtl w:val="0"/>
              </w:rPr>
              <w:t xml:space="preserve">Surveys of patients who had used codeine in the last 12 months.</w:t>
            </w:r>
          </w:p>
        </w:tc>
        <w:tc>
          <w:tcPr>
            <w:vAlign w:val="center"/>
          </w:tcPr>
          <w:p w:rsidR="00000000" w:rsidDel="00000000" w:rsidP="00000000" w:rsidRDefault="00000000" w:rsidRPr="00000000" w14:paraId="00001230">
            <w:pPr>
              <w:jc w:val="center"/>
              <w:rPr>
                <w:color w:val="000000"/>
                <w:sz w:val="18"/>
                <w:szCs w:val="18"/>
              </w:rPr>
            </w:pPr>
            <w:r w:rsidDel="00000000" w:rsidR="00000000" w:rsidRPr="00000000">
              <w:rPr>
                <w:color w:val="000000"/>
                <w:sz w:val="18"/>
                <w:szCs w:val="18"/>
                <w:rtl w:val="0"/>
              </w:rPr>
              <w:t xml:space="preserve">16</w:t>
            </w:r>
          </w:p>
        </w:tc>
        <w:tc>
          <w:tcPr>
            <w:vAlign w:val="center"/>
          </w:tcPr>
          <w:p w:rsidR="00000000" w:rsidDel="00000000" w:rsidP="00000000" w:rsidRDefault="00000000" w:rsidRPr="00000000" w14:paraId="00001231">
            <w:pPr>
              <w:rPr>
                <w:color w:val="000000"/>
                <w:sz w:val="18"/>
                <w:szCs w:val="18"/>
              </w:rPr>
            </w:pPr>
            <w:r w:rsidDel="00000000" w:rsidR="00000000" w:rsidRPr="00000000">
              <w:rPr>
                <w:color w:val="000000"/>
                <w:sz w:val="18"/>
                <w:szCs w:val="18"/>
                <w:rtl w:val="0"/>
              </w:rPr>
              <w:t xml:space="preserve">Many participants report not fully understanding risks associated with codeine prior to prescription - reflected they would have liked more information on these risks.</w:t>
              <w:br w:type="textWrapping"/>
              <w:br w:type="textWrapping"/>
              <w:t xml:space="preserve">Barriers: short consultation times, lay information gained online and knew about risks are more motivated to avoid risks, concerns voiced to their doctor were ignored and therefore detached from these conversations. Not feeling listened to, resulting in disengagement from health services, medical mistrust, and isolation. Lack of effective communication resulted in poor patient education of risks and potential for dependence. </w:t>
              <w:br w:type="textWrapping"/>
              <w:br w:type="textWrapping"/>
              <w:t xml:space="preserve">Prescribing practices: long term prescribing and the ability to order a repeat prescription with limited restrictions, minimal supervision influencing the transition to dependence, were prescribed codeine despite being motivated towards alternative treatments, </w:t>
              <w:br w:type="textWrapping"/>
              <w:br w:type="textWrapping"/>
              <w:t xml:space="preserve">Pharmacists versus GP: OTC was challenged whereas prescribed codeine was not, no long-standing relationship with the pharmacist - less effective in providing risk education/support/interventions compared to the GP. </w:t>
              <w:br w:type="textWrapping"/>
              <w:br w:type="textWrapping"/>
              <w:t xml:space="preserve">Support: those with a positive relationship with their GP were able to have discussions around dependence,</w:t>
            </w:r>
          </w:p>
        </w:tc>
        <w:tc>
          <w:tcPr>
            <w:vAlign w:val="center"/>
          </w:tcPr>
          <w:p w:rsidR="00000000" w:rsidDel="00000000" w:rsidP="00000000" w:rsidRDefault="00000000" w:rsidRPr="00000000" w14:paraId="00001232">
            <w:pPr>
              <w:rPr>
                <w:color w:val="000000"/>
                <w:sz w:val="18"/>
                <w:szCs w:val="18"/>
              </w:rPr>
            </w:pPr>
            <w:r w:rsidDel="00000000" w:rsidR="00000000" w:rsidRPr="00000000">
              <w:rPr>
                <w:color w:val="000000"/>
                <w:sz w:val="18"/>
                <w:szCs w:val="18"/>
                <w:rtl w:val="0"/>
              </w:rPr>
              <w:t xml:space="preserve">Small sample size so cannot be generalised.</w:t>
            </w:r>
          </w:p>
        </w:tc>
      </w:tr>
      <w:tr>
        <w:trPr>
          <w:cantSplit w:val="0"/>
          <w:trHeight w:val="132" w:hRule="atLeast"/>
          <w:tblHeader w:val="0"/>
        </w:trPr>
        <w:tc>
          <w:tcPr>
            <w:vAlign w:val="center"/>
          </w:tcPr>
          <w:p w:rsidR="00000000" w:rsidDel="00000000" w:rsidP="00000000" w:rsidRDefault="00000000" w:rsidRPr="00000000" w14:paraId="00001233">
            <w:pPr>
              <w:rPr>
                <w:b w:val="0"/>
                <w:color w:val="000000"/>
                <w:sz w:val="18"/>
                <w:szCs w:val="18"/>
              </w:rPr>
            </w:pPr>
            <w:r w:rsidDel="00000000" w:rsidR="00000000" w:rsidRPr="00000000">
              <w:rPr>
                <w:b w:val="0"/>
                <w:color w:val="000000"/>
                <w:sz w:val="18"/>
                <w:szCs w:val="18"/>
                <w:rtl w:val="0"/>
              </w:rPr>
              <w:t xml:space="preserve">27</w:t>
            </w:r>
          </w:p>
        </w:tc>
        <w:tc>
          <w:tcPr>
            <w:vAlign w:val="center"/>
          </w:tcPr>
          <w:p w:rsidR="00000000" w:rsidDel="00000000" w:rsidP="00000000" w:rsidRDefault="00000000" w:rsidRPr="00000000" w14:paraId="00001234">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235">
            <w:pPr>
              <w:rPr>
                <w:color w:val="000000"/>
                <w:sz w:val="18"/>
                <w:szCs w:val="18"/>
              </w:rPr>
            </w:pPr>
            <w:r w:rsidDel="00000000" w:rsidR="00000000" w:rsidRPr="00000000">
              <w:rPr>
                <w:color w:val="000000"/>
                <w:sz w:val="18"/>
                <w:szCs w:val="18"/>
                <w:rtl w:val="0"/>
              </w:rPr>
              <w:t xml:space="preserve">Wu CA.</w:t>
              <w:br w:type="textWrapping"/>
              <w:t xml:space="preserve">Simon AJ.</w:t>
              <w:br w:type="textWrapping"/>
              <w:t xml:space="preserve">Modrich MA.</w:t>
              <w:br w:type="textWrapping"/>
              <w:t xml:space="preserve">Stacey MW.</w:t>
              <w:br w:type="textWrapping"/>
              <w:t xml:space="preserve">Matyas BT.</w:t>
              <w:br w:type="textWrapping"/>
              <w:t xml:space="preserve">Shubrook JH</w:t>
            </w:r>
          </w:p>
        </w:tc>
        <w:tc>
          <w:tcPr>
            <w:vAlign w:val="center"/>
          </w:tcPr>
          <w:p w:rsidR="00000000" w:rsidDel="00000000" w:rsidP="00000000" w:rsidRDefault="00000000" w:rsidRPr="00000000" w14:paraId="00001236">
            <w:pPr>
              <w:jc w:val="center"/>
              <w:rPr>
                <w:color w:val="000000"/>
                <w:sz w:val="18"/>
                <w:szCs w:val="18"/>
              </w:rPr>
            </w:pPr>
            <w:r w:rsidDel="00000000" w:rsidR="00000000" w:rsidRPr="00000000">
              <w:rPr>
                <w:color w:val="000000"/>
                <w:sz w:val="18"/>
                <w:szCs w:val="18"/>
                <w:rtl w:val="0"/>
              </w:rPr>
              <w:t xml:space="preserve">2019</w:t>
            </w:r>
          </w:p>
        </w:tc>
        <w:tc>
          <w:tcPr>
            <w:vAlign w:val="center"/>
          </w:tcPr>
          <w:p w:rsidR="00000000" w:rsidDel="00000000" w:rsidP="00000000" w:rsidRDefault="00000000" w:rsidRPr="00000000" w14:paraId="00001237">
            <w:pPr>
              <w:jc w:val="center"/>
              <w:rPr>
                <w:color w:val="000000"/>
                <w:sz w:val="18"/>
                <w:szCs w:val="18"/>
              </w:rPr>
            </w:pPr>
            <w:r w:rsidDel="00000000" w:rsidR="00000000" w:rsidRPr="00000000">
              <w:rPr>
                <w:color w:val="000000"/>
                <w:sz w:val="18"/>
                <w:szCs w:val="18"/>
                <w:rtl w:val="0"/>
              </w:rPr>
              <w:t xml:space="preserve">Adapting the Social-Ecological Framework for Chronic Pain Management and Successful Opioid Tapering.</w:t>
            </w:r>
          </w:p>
        </w:tc>
        <w:tc>
          <w:tcPr>
            <w:vAlign w:val="center"/>
          </w:tcPr>
          <w:p w:rsidR="00000000" w:rsidDel="00000000" w:rsidP="00000000" w:rsidRDefault="00000000" w:rsidRPr="00000000" w14:paraId="00001238">
            <w:pPr>
              <w:jc w:val="center"/>
              <w:rPr>
                <w:color w:val="000000"/>
                <w:sz w:val="18"/>
                <w:szCs w:val="18"/>
              </w:rPr>
            </w:pPr>
            <w:r w:rsidDel="00000000" w:rsidR="00000000" w:rsidRPr="00000000">
              <w:rPr>
                <w:color w:val="000000"/>
                <w:sz w:val="18"/>
                <w:szCs w:val="18"/>
                <w:rtl w:val="0"/>
              </w:rPr>
              <w:t xml:space="preserve">Interviews with patients using opioids</w:t>
            </w:r>
          </w:p>
        </w:tc>
        <w:tc>
          <w:tcPr>
            <w:vAlign w:val="center"/>
          </w:tcPr>
          <w:p w:rsidR="00000000" w:rsidDel="00000000" w:rsidP="00000000" w:rsidRDefault="00000000" w:rsidRPr="00000000" w14:paraId="00001239">
            <w:pPr>
              <w:jc w:val="center"/>
              <w:rPr>
                <w:color w:val="000000"/>
                <w:sz w:val="18"/>
                <w:szCs w:val="18"/>
              </w:rPr>
            </w:pPr>
            <w:r w:rsidDel="00000000" w:rsidR="00000000" w:rsidRPr="00000000">
              <w:rPr>
                <w:color w:val="000000"/>
                <w:sz w:val="18"/>
                <w:szCs w:val="18"/>
                <w:rtl w:val="0"/>
              </w:rPr>
              <w:t xml:space="preserve">38</w:t>
            </w:r>
          </w:p>
        </w:tc>
        <w:tc>
          <w:tcPr>
            <w:vAlign w:val="center"/>
          </w:tcPr>
          <w:p w:rsidR="00000000" w:rsidDel="00000000" w:rsidP="00000000" w:rsidRDefault="00000000" w:rsidRPr="00000000" w14:paraId="0000123A">
            <w:pPr>
              <w:rPr>
                <w:color w:val="000000"/>
                <w:sz w:val="18"/>
                <w:szCs w:val="18"/>
              </w:rPr>
            </w:pPr>
            <w:r w:rsidDel="00000000" w:rsidR="00000000" w:rsidRPr="00000000">
              <w:rPr>
                <w:color w:val="000000"/>
                <w:sz w:val="18"/>
                <w:szCs w:val="18"/>
                <w:rtl w:val="0"/>
              </w:rPr>
              <w:t xml:space="preserve">All report persistent pain, withdrawal symptoms and reduced QoL.</w:t>
              <w:br w:type="textWrapping"/>
              <w:br w:type="textWrapping"/>
              <w:t xml:space="preserve">All report the regulatory body did not consider patients as individuals. </w:t>
              <w:br w:type="textWrapping"/>
              <w:br w:type="textWrapping"/>
              <w:t xml:space="preserve">Referrals to pain specialists were received with gratitude.</w:t>
            </w:r>
          </w:p>
        </w:tc>
        <w:tc>
          <w:tcPr>
            <w:vAlign w:val="center"/>
          </w:tcPr>
          <w:p w:rsidR="00000000" w:rsidDel="00000000" w:rsidP="00000000" w:rsidRDefault="00000000" w:rsidRPr="00000000" w14:paraId="0000123B">
            <w:pPr>
              <w:rPr>
                <w:color w:val="000000"/>
                <w:sz w:val="18"/>
                <w:szCs w:val="18"/>
              </w:rPr>
            </w:pPr>
            <w:r w:rsidDel="00000000" w:rsidR="00000000" w:rsidRPr="00000000">
              <w:rPr>
                <w:color w:val="000000"/>
                <w:sz w:val="18"/>
                <w:szCs w:val="18"/>
                <w:rtl w:val="0"/>
              </w:rPr>
              <w:t xml:space="preserve">Self-selected interview participants</w:t>
            </w:r>
          </w:p>
        </w:tc>
      </w:tr>
      <w:tr>
        <w:trPr>
          <w:cantSplit w:val="0"/>
          <w:trHeight w:val="1680" w:hRule="atLeast"/>
          <w:tblHeader w:val="0"/>
        </w:trPr>
        <w:tc>
          <w:tcPr>
            <w:vAlign w:val="center"/>
          </w:tcPr>
          <w:p w:rsidR="00000000" w:rsidDel="00000000" w:rsidP="00000000" w:rsidRDefault="00000000" w:rsidRPr="00000000" w14:paraId="0000123C">
            <w:pPr>
              <w:rPr>
                <w:b w:val="0"/>
                <w:color w:val="000000"/>
                <w:sz w:val="18"/>
                <w:szCs w:val="18"/>
              </w:rPr>
            </w:pPr>
            <w:r w:rsidDel="00000000" w:rsidR="00000000" w:rsidRPr="00000000">
              <w:rPr>
                <w:b w:val="0"/>
                <w:color w:val="000000"/>
                <w:sz w:val="18"/>
                <w:szCs w:val="18"/>
                <w:rtl w:val="0"/>
              </w:rPr>
              <w:t xml:space="preserve">28</w:t>
            </w:r>
          </w:p>
        </w:tc>
        <w:tc>
          <w:tcPr>
            <w:vAlign w:val="center"/>
          </w:tcPr>
          <w:p w:rsidR="00000000" w:rsidDel="00000000" w:rsidP="00000000" w:rsidRDefault="00000000" w:rsidRPr="00000000" w14:paraId="0000123D">
            <w:pPr>
              <w:rPr>
                <w:b w:val="1"/>
                <w:sz w:val="18"/>
                <w:szCs w:val="18"/>
              </w:rPr>
            </w:pPr>
            <w:r w:rsidDel="00000000" w:rsidR="00000000" w:rsidRPr="00000000">
              <w:rPr>
                <w:b w:val="1"/>
                <w:sz w:val="18"/>
                <w:szCs w:val="18"/>
                <w:rtl w:val="0"/>
              </w:rPr>
              <w:t xml:space="preserve">New Zealand</w:t>
            </w:r>
          </w:p>
        </w:tc>
        <w:tc>
          <w:tcPr>
            <w:vAlign w:val="center"/>
          </w:tcPr>
          <w:p w:rsidR="00000000" w:rsidDel="00000000" w:rsidP="00000000" w:rsidRDefault="00000000" w:rsidRPr="00000000" w14:paraId="0000123E">
            <w:pPr>
              <w:rPr>
                <w:sz w:val="18"/>
                <w:szCs w:val="18"/>
              </w:rPr>
            </w:pPr>
            <w:r w:rsidDel="00000000" w:rsidR="00000000" w:rsidRPr="00000000">
              <w:rPr>
                <w:sz w:val="18"/>
                <w:szCs w:val="18"/>
                <w:rtl w:val="0"/>
              </w:rPr>
              <w:t xml:space="preserve">Read J. </w:t>
              <w:br w:type="textWrapping"/>
              <w:t xml:space="preserve">Cartwright TC.</w:t>
              <w:br w:type="textWrapping"/>
              <w:t xml:space="preserve">Gibson K.</w:t>
            </w:r>
          </w:p>
        </w:tc>
        <w:tc>
          <w:tcPr>
            <w:vAlign w:val="center"/>
          </w:tcPr>
          <w:p w:rsidR="00000000" w:rsidDel="00000000" w:rsidP="00000000" w:rsidRDefault="00000000" w:rsidRPr="00000000" w14:paraId="0000123F">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40">
            <w:pPr>
              <w:jc w:val="center"/>
              <w:rPr>
                <w:sz w:val="18"/>
                <w:szCs w:val="18"/>
              </w:rPr>
            </w:pPr>
            <w:r w:rsidDel="00000000" w:rsidR="00000000" w:rsidRPr="00000000">
              <w:rPr>
                <w:sz w:val="18"/>
                <w:szCs w:val="18"/>
                <w:rtl w:val="0"/>
              </w:rPr>
              <w:t xml:space="preserve">Are antidepressants overprescribed? Patient’s experiences of the prescribing process.</w:t>
            </w:r>
          </w:p>
        </w:tc>
        <w:tc>
          <w:tcPr>
            <w:vAlign w:val="center"/>
          </w:tcPr>
          <w:p w:rsidR="00000000" w:rsidDel="00000000" w:rsidP="00000000" w:rsidRDefault="00000000" w:rsidRPr="00000000" w14:paraId="00001241">
            <w:pPr>
              <w:jc w:val="center"/>
              <w:rPr>
                <w:sz w:val="18"/>
                <w:szCs w:val="18"/>
              </w:rPr>
            </w:pPr>
            <w:r w:rsidDel="00000000" w:rsidR="00000000" w:rsidRPr="00000000">
              <w:rPr>
                <w:sz w:val="18"/>
                <w:szCs w:val="18"/>
                <w:rtl w:val="0"/>
              </w:rPr>
              <w:t xml:space="preserve">“Views and Experiences of Antidepressants in New Zealand” questionnaire</w:t>
            </w:r>
          </w:p>
        </w:tc>
        <w:tc>
          <w:tcPr>
            <w:vAlign w:val="center"/>
          </w:tcPr>
          <w:p w:rsidR="00000000" w:rsidDel="00000000" w:rsidP="00000000" w:rsidRDefault="00000000" w:rsidRPr="00000000" w14:paraId="00001242">
            <w:pPr>
              <w:jc w:val="center"/>
              <w:rPr>
                <w:sz w:val="18"/>
                <w:szCs w:val="18"/>
              </w:rPr>
            </w:pPr>
            <w:r w:rsidDel="00000000" w:rsidR="00000000" w:rsidRPr="00000000">
              <w:rPr>
                <w:sz w:val="18"/>
                <w:szCs w:val="18"/>
                <w:rtl w:val="0"/>
              </w:rPr>
              <w:t xml:space="preserve">1829</w:t>
            </w:r>
          </w:p>
        </w:tc>
        <w:tc>
          <w:tcPr>
            <w:vAlign w:val="center"/>
          </w:tcPr>
          <w:p w:rsidR="00000000" w:rsidDel="00000000" w:rsidP="00000000" w:rsidRDefault="00000000" w:rsidRPr="00000000" w14:paraId="00001243">
            <w:pPr>
              <w:rPr>
                <w:sz w:val="18"/>
                <w:szCs w:val="18"/>
              </w:rPr>
            </w:pPr>
            <w:r w:rsidDel="00000000" w:rsidR="00000000" w:rsidRPr="00000000">
              <w:rPr>
                <w:sz w:val="18"/>
                <w:szCs w:val="18"/>
                <w:rtl w:val="0"/>
              </w:rPr>
              <w:t xml:space="preserve">Withdrawal experienced by 54.9% of ppts (12.4% mild, 17.4% moderate and 25.1% severe).</w:t>
              <w:br w:type="textWrapping"/>
              <w:br w:type="textWrapping"/>
              <w:t xml:space="preserve">Experiences: dizziness, nausea, ‘unsteadiness’, vivid nightmares, “electric shocks to the brain”, feelings of inability to find reduction management, panic attacks, migraines, vomiting, fatigue and anger</w:t>
            </w:r>
          </w:p>
        </w:tc>
        <w:tc>
          <w:tcPr>
            <w:vAlign w:val="center"/>
          </w:tcPr>
          <w:p w:rsidR="00000000" w:rsidDel="00000000" w:rsidP="00000000" w:rsidRDefault="00000000" w:rsidRPr="00000000" w14:paraId="00001244">
            <w:pPr>
              <w:rPr>
                <w:sz w:val="18"/>
                <w:szCs w:val="18"/>
              </w:rPr>
            </w:pPr>
            <w:r w:rsidDel="00000000" w:rsidR="00000000" w:rsidRPr="00000000">
              <w:rPr>
                <w:sz w:val="18"/>
                <w:szCs w:val="18"/>
                <w:rtl w:val="0"/>
              </w:rPr>
              <w:t xml:space="preserve">Retrospective data has to consider recall difficulties.</w:t>
              <w:br w:type="textWrapping"/>
              <w:br w:type="textWrapping"/>
              <w:t xml:space="preserve">Not representative sample due to the lack of Māori, Pacific Islanders and older people due to the online survey method. The sample is more likely to be younger people who are more computer literate and have access to the internet.</w:t>
            </w:r>
          </w:p>
        </w:tc>
      </w:tr>
      <w:tr>
        <w:trPr>
          <w:cantSplit w:val="0"/>
          <w:trHeight w:val="2665" w:hRule="atLeast"/>
          <w:tblHeader w:val="0"/>
        </w:trPr>
        <w:tc>
          <w:tcPr>
            <w:vAlign w:val="center"/>
          </w:tcPr>
          <w:p w:rsidR="00000000" w:rsidDel="00000000" w:rsidP="00000000" w:rsidRDefault="00000000" w:rsidRPr="00000000" w14:paraId="00001245">
            <w:pPr>
              <w:rPr>
                <w:b w:val="0"/>
                <w:color w:val="000000"/>
                <w:sz w:val="18"/>
                <w:szCs w:val="18"/>
              </w:rPr>
            </w:pPr>
            <w:r w:rsidDel="00000000" w:rsidR="00000000" w:rsidRPr="00000000">
              <w:rPr>
                <w:b w:val="0"/>
                <w:color w:val="000000"/>
                <w:sz w:val="18"/>
                <w:szCs w:val="18"/>
                <w:rtl w:val="0"/>
              </w:rPr>
              <w:t xml:space="preserve">29</w:t>
            </w:r>
          </w:p>
        </w:tc>
        <w:tc>
          <w:tcPr>
            <w:vAlign w:val="center"/>
          </w:tcPr>
          <w:p w:rsidR="00000000" w:rsidDel="00000000" w:rsidP="00000000" w:rsidRDefault="00000000" w:rsidRPr="00000000" w14:paraId="00001246">
            <w:pPr>
              <w:rPr>
                <w:b w:val="1"/>
                <w:sz w:val="18"/>
                <w:szCs w:val="18"/>
              </w:rPr>
            </w:pPr>
            <w:r w:rsidDel="00000000" w:rsidR="00000000" w:rsidRPr="00000000">
              <w:rPr>
                <w:b w:val="1"/>
                <w:sz w:val="18"/>
                <w:szCs w:val="18"/>
                <w:rtl w:val="0"/>
              </w:rPr>
              <w:t xml:space="preserve">Italy</w:t>
            </w:r>
          </w:p>
        </w:tc>
        <w:tc>
          <w:tcPr>
            <w:vAlign w:val="center"/>
          </w:tcPr>
          <w:p w:rsidR="00000000" w:rsidDel="00000000" w:rsidP="00000000" w:rsidRDefault="00000000" w:rsidRPr="00000000" w14:paraId="00001247">
            <w:pPr>
              <w:rPr>
                <w:sz w:val="18"/>
                <w:szCs w:val="18"/>
              </w:rPr>
            </w:pPr>
            <w:r w:rsidDel="00000000" w:rsidR="00000000" w:rsidRPr="00000000">
              <w:rPr>
                <w:sz w:val="18"/>
                <w:szCs w:val="18"/>
                <w:rtl w:val="0"/>
              </w:rPr>
              <w:t xml:space="preserve">Cosci F. </w:t>
              <w:br w:type="textWrapping"/>
              <w:t xml:space="preserve">Chouinard G.</w:t>
            </w:r>
          </w:p>
        </w:tc>
        <w:tc>
          <w:tcPr>
            <w:vAlign w:val="center"/>
          </w:tcPr>
          <w:p w:rsidR="00000000" w:rsidDel="00000000" w:rsidP="00000000" w:rsidRDefault="00000000" w:rsidRPr="00000000" w14:paraId="00001248">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49">
            <w:pPr>
              <w:jc w:val="center"/>
              <w:rPr>
                <w:sz w:val="18"/>
                <w:szCs w:val="18"/>
              </w:rPr>
            </w:pPr>
            <w:hyperlink r:id="rId127">
              <w:r w:rsidDel="00000000" w:rsidR="00000000" w:rsidRPr="00000000">
                <w:rPr>
                  <w:sz w:val="18"/>
                  <w:szCs w:val="18"/>
                  <w:rtl w:val="0"/>
                </w:rPr>
                <w:t xml:space="preserve">Acute and Persistent Withdrawal Syndromes Following Discontinuation of Psychotropic Medications. </w:t>
              </w:r>
            </w:hyperlink>
            <w:r w:rsidDel="00000000" w:rsidR="00000000" w:rsidRPr="00000000">
              <w:rPr>
                <w:rtl w:val="0"/>
              </w:rPr>
            </w:r>
          </w:p>
        </w:tc>
        <w:tc>
          <w:tcPr>
            <w:vAlign w:val="center"/>
          </w:tcPr>
          <w:p w:rsidR="00000000" w:rsidDel="00000000" w:rsidP="00000000" w:rsidRDefault="00000000" w:rsidRPr="00000000" w14:paraId="0000124A">
            <w:pPr>
              <w:jc w:val="center"/>
              <w:rPr>
                <w:sz w:val="18"/>
                <w:szCs w:val="18"/>
              </w:rPr>
            </w:pPr>
            <w:r w:rsidDel="00000000" w:rsidR="00000000" w:rsidRPr="00000000">
              <w:rPr>
                <w:sz w:val="18"/>
                <w:szCs w:val="18"/>
                <w:rtl w:val="0"/>
              </w:rPr>
              <w:t xml:space="preserve">Literature review</w:t>
            </w:r>
          </w:p>
        </w:tc>
        <w:tc>
          <w:tcPr>
            <w:vAlign w:val="center"/>
          </w:tcPr>
          <w:p w:rsidR="00000000" w:rsidDel="00000000" w:rsidP="00000000" w:rsidRDefault="00000000" w:rsidRPr="00000000" w14:paraId="0000124B">
            <w:pPr>
              <w:jc w:val="center"/>
              <w:rPr>
                <w:sz w:val="18"/>
                <w:szCs w:val="18"/>
              </w:rPr>
            </w:pPr>
            <w:r w:rsidDel="00000000" w:rsidR="00000000" w:rsidRPr="00000000">
              <w:rPr>
                <w:rtl w:val="0"/>
              </w:rPr>
            </w:r>
          </w:p>
        </w:tc>
        <w:tc>
          <w:tcPr>
            <w:vAlign w:val="center"/>
          </w:tcPr>
          <w:p w:rsidR="00000000" w:rsidDel="00000000" w:rsidP="00000000" w:rsidRDefault="00000000" w:rsidRPr="00000000" w14:paraId="0000124C">
            <w:pPr>
              <w:rPr>
                <w:sz w:val="18"/>
                <w:szCs w:val="18"/>
              </w:rPr>
            </w:pPr>
            <w:r w:rsidDel="00000000" w:rsidR="00000000" w:rsidRPr="00000000">
              <w:rPr>
                <w:sz w:val="18"/>
                <w:szCs w:val="18"/>
                <w:rtl w:val="0"/>
              </w:rPr>
              <w:t xml:space="preserve">Withdrawal Symptoms were categorised into the following areas, with the following symptoms:</w:t>
              <w:br w:type="textWrapping"/>
              <w:br w:type="textWrapping"/>
              <w:t xml:space="preserve">Antidepressants (SSRI/SNRI): </w:t>
              <w:br w:type="textWrapping"/>
              <w:t xml:space="preserve">General: sweating, flu-like symptoms, headache, flushing/chills, fatigue, weakness, pain, malaise, tiredness, lethargy, infection</w:t>
              <w:br w:type="textWrapping"/>
              <w:t xml:space="preserve">Cardiovascular: tachycardia, dizziness, light-headedness, chest pain, hypertension, postural hypotension, vertigo, syncope, dyspnoea</w:t>
              <w:br w:type="textWrapping"/>
              <w:t xml:space="preserve">Gastrointestinal: nausea, vomiting, anorexia, appetite problems, Diarra, abdominal pain/cramp/distension, loose stools, esophagitis, increased bowel movements</w:t>
              <w:br w:type="textWrapping"/>
              <w:t xml:space="preserve">Sensory: electric shock sensations, tinnitus, blurred vision, visual changes, brain zaps, hyperesthia, altered taste, peritus, crawling/pricking sensations, buzzing noise within the head</w:t>
              <w:br w:type="textWrapping"/>
              <w:t xml:space="preserve">Neuromuscular: paraesthesia, myoclonus, tremor, coordination problems, numbness, stiffness, myalgia, ataxia, spasm, jerks, arthralgias, cramp hemiplegia.</w:t>
              <w:br w:type="textWrapping"/>
              <w:t xml:space="preserve">Sexual: premature ejaculation, genital hypersensitivity</w:t>
              <w:br w:type="textWrapping"/>
              <w:t xml:space="preserve">Neurological: seizures, stroke-like symptoms, confusion, amnesia, decreased concentration, disorientation, lethargy, attention difficulties, slurred speech</w:t>
              <w:br w:type="textWrapping"/>
              <w:t xml:space="preserve">Affective: anxiety, agitation, depression, irritability, panic, derealisation, depersonalisation, dysphoria, mood swings, suicidal ideation, hypomania, euphoria, fear, nervousness, tension, anger</w:t>
              <w:br w:type="textWrapping"/>
              <w:t xml:space="preserve">Psychotic: visual/auditory hallucinations, delirium, catatonia,</w:t>
              <w:br w:type="textWrapping"/>
              <w:t xml:space="preserve">Behavioural: restlessness, aggressive behaviour, impulsivity, bouts of crying and anger,</w:t>
              <w:br w:type="textWrapping"/>
              <w:t xml:space="preserve">Sleep: insomnia, nightmares, sleep problems, vivid dreams, hypersomnia </w:t>
              <w:br w:type="textWrapping"/>
              <w:br w:type="textWrapping"/>
              <w:t xml:space="preserve">Antidepressants (Tricyclics, MAOI, other)</w:t>
              <w:br w:type="textWrapping"/>
              <w:t xml:space="preserve">General: sweating, flu-like symptoms, headache, chills, fatigue, dizziness, lacrimation</w:t>
              <w:br w:type="textWrapping"/>
              <w:t xml:space="preserve">Cardiovascular: tachycardia, arrythmia</w:t>
              <w:br w:type="textWrapping"/>
              <w:t xml:space="preserve">Gastrointestinal: nausea, vomiting, low appetite, diarrhoea, gastrointestinal problems.</w:t>
              <w:br w:type="textWrapping"/>
              <w:t xml:space="preserve">Sensory: Brain zaps</w:t>
              <w:br w:type="textWrapping"/>
              <w:t xml:space="preserve">Neuromuscular: paraesthesia, tremor, ataxia, dystonia</w:t>
              <w:br w:type="textWrapping"/>
              <w:t xml:space="preserve">Neurological: seizures, akathisia, parkinsonism</w:t>
              <w:br w:type="textWrapping"/>
              <w:t xml:space="preserve">Affective: anxiety, agitation, depression, irritability, panic, depersonalisation, dysphoria, hypomania, mania.</w:t>
              <w:br w:type="textWrapping"/>
              <w:t xml:space="preserve">Psychotic: hallucinations, paranoia</w:t>
              <w:br w:type="textWrapping"/>
              <w:t xml:space="preserve">Behavioural: restlessness</w:t>
              <w:br w:type="textWrapping"/>
              <w:t xml:space="preserve">Sleep: insomnia, nightmares, restless sleep, vivid frightening dreams.</w:t>
              <w:br w:type="textWrapping"/>
              <w:br w:type="textWrapping"/>
              <w:t xml:space="preserve">Benzodiazepines:</w:t>
              <w:br w:type="textWrapping"/>
              <w:t xml:space="preserve">General: sweating, flu-like symptoms, headache, flushing, fatigue, weakness, pain, malaise, perceptual ataxia, itching and skin rash</w:t>
              <w:br w:type="textWrapping"/>
              <w:t xml:space="preserve">Cardiovascular: tachycardia, dizziness, light-headedness, vertigo, chest pain, postural hypotension</w:t>
              <w:br w:type="textWrapping"/>
              <w:t xml:space="preserve">Gastrointestinal: nausea, vomiting, anorexia, weight loss, diarrhoea, abdominal cramp and pain, constipation,</w:t>
              <w:br w:type="textWrapping"/>
              <w:t xml:space="preserve">Genitourinary: increased urinary frequency</w:t>
              <w:br w:type="textWrapping"/>
              <w:t xml:space="preserve">Sensory: electric shock sensations, tinnitus, blurred vision, visual changes, hypersensitivity to touch/sound/smell, taste/smell disturbances, metallic taste in mouth, perceptual distortions</w:t>
              <w:br w:type="textWrapping"/>
              <w:t xml:space="preserve">Neuromuscular: paraesthesia, myoclonus, tremor, coordination problems, numbness, stiffness, myalgia, ataxia, muscular spasm, fasciculation, twitches and cramps</w:t>
              <w:br w:type="textWrapping"/>
              <w:t xml:space="preserve">Neurological: seizures</w:t>
              <w:br w:type="textWrapping"/>
              <w:t xml:space="preserve">Cognitive: confusion, amnesia, decreased concentration, lethargy, indecision</w:t>
              <w:br w:type="textWrapping"/>
              <w:t xml:space="preserve">Affective: anxiety, agitation, depression, irritability, panic, derealisation, depersonalisation, dysphoria, nervousness, feeling of imminent death, terror, agoraphobia</w:t>
              <w:br w:type="textWrapping"/>
              <w:t xml:space="preserve">Psychotic: hallucinations, delirium, paranoia, distortion of body image, psychosis</w:t>
              <w:br w:type="textWrapping"/>
              <w:t xml:space="preserve">Behavioural: restlessness, aggressive behaviour</w:t>
              <w:br w:type="textWrapping"/>
              <w:t xml:space="preserve">Sleep: insomnia, nightmares, sleep problems</w:t>
            </w:r>
          </w:p>
        </w:tc>
        <w:tc>
          <w:tcPr>
            <w:vAlign w:val="center"/>
          </w:tcPr>
          <w:p w:rsidR="00000000" w:rsidDel="00000000" w:rsidP="00000000" w:rsidRDefault="00000000" w:rsidRPr="00000000" w14:paraId="0000124D">
            <w:pPr>
              <w:rPr>
                <w:sz w:val="18"/>
                <w:szCs w:val="18"/>
              </w:rPr>
            </w:pPr>
            <w:r w:rsidDel="00000000" w:rsidR="00000000" w:rsidRPr="00000000">
              <w:rPr>
                <w:rtl w:val="0"/>
              </w:rPr>
            </w:r>
          </w:p>
        </w:tc>
      </w:tr>
      <w:tr>
        <w:trPr>
          <w:cantSplit w:val="0"/>
          <w:trHeight w:val="4385" w:hRule="atLeast"/>
          <w:tblHeader w:val="0"/>
        </w:trPr>
        <w:tc>
          <w:tcPr>
            <w:vAlign w:val="center"/>
          </w:tcPr>
          <w:p w:rsidR="00000000" w:rsidDel="00000000" w:rsidP="00000000" w:rsidRDefault="00000000" w:rsidRPr="00000000" w14:paraId="0000124E">
            <w:pPr>
              <w:rPr>
                <w:b w:val="0"/>
                <w:color w:val="000000"/>
                <w:sz w:val="18"/>
                <w:szCs w:val="18"/>
              </w:rPr>
            </w:pPr>
            <w:r w:rsidDel="00000000" w:rsidR="00000000" w:rsidRPr="00000000">
              <w:rPr>
                <w:b w:val="0"/>
                <w:color w:val="000000"/>
                <w:sz w:val="18"/>
                <w:szCs w:val="18"/>
                <w:rtl w:val="0"/>
              </w:rPr>
              <w:t xml:space="preserve">30</w:t>
            </w:r>
          </w:p>
        </w:tc>
        <w:tc>
          <w:tcPr>
            <w:vAlign w:val="center"/>
          </w:tcPr>
          <w:p w:rsidR="00000000" w:rsidDel="00000000" w:rsidP="00000000" w:rsidRDefault="00000000" w:rsidRPr="00000000" w14:paraId="0000124F">
            <w:pPr>
              <w:rPr>
                <w:b w:val="1"/>
                <w:sz w:val="18"/>
                <w:szCs w:val="18"/>
              </w:rPr>
            </w:pPr>
            <w:r w:rsidDel="00000000" w:rsidR="00000000" w:rsidRPr="00000000">
              <w:rPr>
                <w:b w:val="1"/>
                <w:sz w:val="18"/>
                <w:szCs w:val="18"/>
                <w:rtl w:val="0"/>
              </w:rPr>
              <w:t xml:space="preserve">New Zealand</w:t>
            </w:r>
          </w:p>
        </w:tc>
        <w:tc>
          <w:tcPr>
            <w:vAlign w:val="center"/>
          </w:tcPr>
          <w:p w:rsidR="00000000" w:rsidDel="00000000" w:rsidP="00000000" w:rsidRDefault="00000000" w:rsidRPr="00000000" w14:paraId="00001250">
            <w:pPr>
              <w:rPr>
                <w:sz w:val="18"/>
                <w:szCs w:val="18"/>
              </w:rPr>
            </w:pPr>
            <w:r w:rsidDel="00000000" w:rsidR="00000000" w:rsidRPr="00000000">
              <w:rPr>
                <w:sz w:val="18"/>
                <w:szCs w:val="18"/>
                <w:rtl w:val="0"/>
              </w:rPr>
              <w:t xml:space="preserve">Read J. </w:t>
              <w:br w:type="textWrapping"/>
              <w:t xml:space="preserve">Grigoriu M. </w:t>
              <w:br w:type="textWrapping"/>
              <w:t xml:space="preserve">Gee A. </w:t>
              <w:br w:type="textWrapping"/>
              <w:t xml:space="preserve">Diggle J. </w:t>
              <w:br w:type="textWrapping"/>
              <w:t xml:space="preserve">Butler H.</w:t>
            </w:r>
          </w:p>
        </w:tc>
        <w:tc>
          <w:tcPr>
            <w:vAlign w:val="center"/>
          </w:tcPr>
          <w:p w:rsidR="00000000" w:rsidDel="00000000" w:rsidP="00000000" w:rsidRDefault="00000000" w:rsidRPr="00000000" w14:paraId="00001251">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52">
            <w:pPr>
              <w:jc w:val="center"/>
              <w:rPr>
                <w:sz w:val="18"/>
                <w:szCs w:val="18"/>
              </w:rPr>
            </w:pPr>
            <w:hyperlink r:id="rId128">
              <w:r w:rsidDel="00000000" w:rsidR="00000000" w:rsidRPr="00000000">
                <w:rPr>
                  <w:sz w:val="18"/>
                  <w:szCs w:val="18"/>
                  <w:rtl w:val="0"/>
                </w:rPr>
                <w:t xml:space="preserve">The Positive and Negative Experiences of 342 Antidepressant Users.</w:t>
              </w:r>
            </w:hyperlink>
            <w:r w:rsidDel="00000000" w:rsidR="00000000" w:rsidRPr="00000000">
              <w:rPr>
                <w:rtl w:val="0"/>
              </w:rPr>
            </w:r>
          </w:p>
        </w:tc>
        <w:tc>
          <w:tcPr>
            <w:vAlign w:val="center"/>
          </w:tcPr>
          <w:p w:rsidR="00000000" w:rsidDel="00000000" w:rsidP="00000000" w:rsidRDefault="00000000" w:rsidRPr="00000000" w14:paraId="00001253">
            <w:pPr>
              <w:jc w:val="center"/>
              <w:rPr>
                <w:sz w:val="18"/>
                <w:szCs w:val="18"/>
              </w:rPr>
            </w:pPr>
            <w:r w:rsidDel="00000000" w:rsidR="00000000" w:rsidRPr="00000000">
              <w:rPr>
                <w:sz w:val="18"/>
                <w:szCs w:val="18"/>
                <w:rtl w:val="0"/>
              </w:rPr>
              <w:t xml:space="preserve">Survey</w:t>
            </w:r>
          </w:p>
        </w:tc>
        <w:tc>
          <w:tcPr>
            <w:vAlign w:val="center"/>
          </w:tcPr>
          <w:p w:rsidR="00000000" w:rsidDel="00000000" w:rsidP="00000000" w:rsidRDefault="00000000" w:rsidRPr="00000000" w14:paraId="00001254">
            <w:pPr>
              <w:jc w:val="center"/>
              <w:rPr>
                <w:sz w:val="18"/>
                <w:szCs w:val="18"/>
              </w:rPr>
            </w:pPr>
            <w:r w:rsidDel="00000000" w:rsidR="00000000" w:rsidRPr="00000000">
              <w:rPr>
                <w:sz w:val="18"/>
                <w:szCs w:val="18"/>
                <w:rtl w:val="0"/>
              </w:rPr>
              <w:t xml:space="preserve">342</w:t>
            </w:r>
          </w:p>
        </w:tc>
        <w:tc>
          <w:tcPr>
            <w:vAlign w:val="center"/>
          </w:tcPr>
          <w:p w:rsidR="00000000" w:rsidDel="00000000" w:rsidP="00000000" w:rsidRDefault="00000000" w:rsidRPr="00000000" w14:paraId="00001255">
            <w:pPr>
              <w:rPr>
                <w:sz w:val="18"/>
                <w:szCs w:val="18"/>
              </w:rPr>
            </w:pPr>
            <w:r w:rsidDel="00000000" w:rsidR="00000000" w:rsidRPr="00000000">
              <w:rPr>
                <w:sz w:val="18"/>
                <w:szCs w:val="18"/>
                <w:rtl w:val="0"/>
              </w:rPr>
              <w:t xml:space="preserve">20.7% had been taking antidepressants for less than a year.</w:t>
              <w:br w:type="textWrapping"/>
              <w:br w:type="textWrapping"/>
              <w:t xml:space="preserve">14.8% had been taking antidepressants for 1-2 years.</w:t>
              <w:br w:type="textWrapping"/>
              <w:br w:type="textWrapping"/>
              <w:t xml:space="preserve">26.6% had been taking antidepressants for 2-5 years.</w:t>
              <w:br w:type="textWrapping"/>
              <w:br w:type="textWrapping"/>
              <w:t xml:space="preserve">18.1% had been taking antidepressants for 5-10 years.</w:t>
              <w:br w:type="textWrapping"/>
              <w:br w:type="textWrapping"/>
              <w:t xml:space="preserve">19.8% had been taking antidepressants for more than 10 years.</w:t>
              <w:br w:type="textWrapping"/>
              <w:br w:type="textWrapping"/>
              <w:t xml:space="preserve">84.2% had their first prescription from a GP.</w:t>
              <w:br w:type="textWrapping"/>
              <w:br w:type="textWrapping"/>
              <w:t xml:space="preserve">Positive: 86.9% found antidepressants 'fairly effective' with 35.2% and 5.3% suggesting that these medicines are 'very' and 'completely' effective at managing their condition.</w:t>
              <w:br w:type="textWrapping"/>
              <w:br w:type="textWrapping"/>
              <w:t xml:space="preserve">Negative: 82.7% made negative comments. These were typically about side effects (23.1%), prescriber relationship (31.9%), withdrawal symptoms (14.0%) and emotional and cognitive blunting (5.8%).</w:t>
            </w:r>
          </w:p>
        </w:tc>
        <w:tc>
          <w:tcPr>
            <w:vAlign w:val="center"/>
          </w:tcPr>
          <w:p w:rsidR="00000000" w:rsidDel="00000000" w:rsidP="00000000" w:rsidRDefault="00000000" w:rsidRPr="00000000" w14:paraId="00001256">
            <w:pPr>
              <w:rPr>
                <w:sz w:val="18"/>
                <w:szCs w:val="18"/>
              </w:rPr>
            </w:pPr>
            <w:r w:rsidDel="00000000" w:rsidR="00000000" w:rsidRPr="00000000">
              <w:rPr>
                <w:sz w:val="18"/>
                <w:szCs w:val="18"/>
                <w:rtl w:val="0"/>
              </w:rPr>
              <w:t xml:space="preserve">self-reported.</w:t>
              <w:br w:type="textWrapping"/>
              <w:br w:type="textWrapping"/>
              <w:t xml:space="preserve">BME groups were underrepresented</w:t>
            </w:r>
          </w:p>
        </w:tc>
      </w:tr>
      <w:tr>
        <w:trPr>
          <w:cantSplit w:val="0"/>
          <w:trHeight w:val="79" w:hRule="atLeast"/>
          <w:tblHeader w:val="0"/>
        </w:trPr>
        <w:tc>
          <w:tcPr>
            <w:vAlign w:val="center"/>
          </w:tcPr>
          <w:p w:rsidR="00000000" w:rsidDel="00000000" w:rsidP="00000000" w:rsidRDefault="00000000" w:rsidRPr="00000000" w14:paraId="00001257">
            <w:pPr>
              <w:rPr>
                <w:b w:val="0"/>
                <w:color w:val="000000"/>
                <w:sz w:val="18"/>
                <w:szCs w:val="18"/>
              </w:rPr>
            </w:pPr>
            <w:r w:rsidDel="00000000" w:rsidR="00000000" w:rsidRPr="00000000">
              <w:rPr>
                <w:b w:val="0"/>
                <w:color w:val="000000"/>
                <w:sz w:val="18"/>
                <w:szCs w:val="18"/>
                <w:rtl w:val="0"/>
              </w:rPr>
              <w:t xml:space="preserve">31</w:t>
            </w:r>
          </w:p>
        </w:tc>
        <w:tc>
          <w:tcPr>
            <w:vAlign w:val="center"/>
          </w:tcPr>
          <w:p w:rsidR="00000000" w:rsidDel="00000000" w:rsidP="00000000" w:rsidRDefault="00000000" w:rsidRPr="00000000" w14:paraId="00001258">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259">
            <w:pPr>
              <w:rPr>
                <w:sz w:val="18"/>
                <w:szCs w:val="18"/>
              </w:rPr>
            </w:pPr>
            <w:r w:rsidDel="00000000" w:rsidR="00000000" w:rsidRPr="00000000">
              <w:rPr>
                <w:sz w:val="18"/>
                <w:szCs w:val="18"/>
                <w:rtl w:val="0"/>
              </w:rPr>
              <w:t xml:space="preserve">Guy A. </w:t>
              <w:br w:type="textWrapping"/>
              <w:t xml:space="preserve">Brown M. </w:t>
              <w:br w:type="textWrapping"/>
              <w:t xml:space="preserve">Lewis S. </w:t>
              <w:br w:type="textWrapping"/>
              <w:t xml:space="preserve">Horowitz M.</w:t>
            </w:r>
          </w:p>
        </w:tc>
        <w:tc>
          <w:tcPr>
            <w:vAlign w:val="center"/>
          </w:tcPr>
          <w:p w:rsidR="00000000" w:rsidDel="00000000" w:rsidP="00000000" w:rsidRDefault="00000000" w:rsidRPr="00000000" w14:paraId="0000125A">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5B">
            <w:pPr>
              <w:jc w:val="center"/>
              <w:rPr>
                <w:sz w:val="18"/>
                <w:szCs w:val="18"/>
              </w:rPr>
            </w:pPr>
            <w:hyperlink r:id="rId129">
              <w:r w:rsidDel="00000000" w:rsidR="00000000" w:rsidRPr="00000000">
                <w:rPr>
                  <w:sz w:val="18"/>
                  <w:szCs w:val="18"/>
                  <w:rtl w:val="0"/>
                </w:rPr>
                <w:t xml:space="preserve">The 'patient voice': patients who experience antidepressant withdrawal symptoms are often dismissed, or misdiagnosed with relapse, or a new medical condition.</w:t>
              </w:r>
            </w:hyperlink>
            <w:r w:rsidDel="00000000" w:rsidR="00000000" w:rsidRPr="00000000">
              <w:rPr>
                <w:rtl w:val="0"/>
              </w:rPr>
            </w:r>
          </w:p>
        </w:tc>
        <w:tc>
          <w:tcPr>
            <w:vAlign w:val="center"/>
          </w:tcPr>
          <w:p w:rsidR="00000000" w:rsidDel="00000000" w:rsidP="00000000" w:rsidRDefault="00000000" w:rsidRPr="00000000" w14:paraId="0000125C">
            <w:pPr>
              <w:jc w:val="center"/>
              <w:rPr>
                <w:sz w:val="18"/>
                <w:szCs w:val="18"/>
              </w:rPr>
            </w:pPr>
            <w:r w:rsidDel="00000000" w:rsidR="00000000" w:rsidRPr="00000000">
              <w:rPr>
                <w:sz w:val="18"/>
                <w:szCs w:val="18"/>
                <w:rtl w:val="0"/>
              </w:rPr>
              <w:t xml:space="preserve">Open invitation to submit views by email.</w:t>
            </w:r>
          </w:p>
        </w:tc>
        <w:tc>
          <w:tcPr>
            <w:vAlign w:val="center"/>
          </w:tcPr>
          <w:p w:rsidR="00000000" w:rsidDel="00000000" w:rsidP="00000000" w:rsidRDefault="00000000" w:rsidRPr="00000000" w14:paraId="0000125D">
            <w:pPr>
              <w:jc w:val="center"/>
              <w:rPr>
                <w:sz w:val="18"/>
                <w:szCs w:val="18"/>
              </w:rPr>
            </w:pPr>
            <w:r w:rsidDel="00000000" w:rsidR="00000000" w:rsidRPr="00000000">
              <w:rPr>
                <w:sz w:val="18"/>
                <w:szCs w:val="18"/>
                <w:rtl w:val="0"/>
              </w:rPr>
              <w:t xml:space="preserve">158</w:t>
            </w:r>
          </w:p>
        </w:tc>
        <w:tc>
          <w:tcPr>
            <w:vAlign w:val="center"/>
          </w:tcPr>
          <w:p w:rsidR="00000000" w:rsidDel="00000000" w:rsidP="00000000" w:rsidRDefault="00000000" w:rsidRPr="00000000" w14:paraId="0000125E">
            <w:pPr>
              <w:rPr>
                <w:sz w:val="18"/>
                <w:szCs w:val="18"/>
              </w:rPr>
            </w:pPr>
            <w:r w:rsidDel="00000000" w:rsidR="00000000" w:rsidRPr="00000000">
              <w:rPr>
                <w:sz w:val="18"/>
                <w:szCs w:val="18"/>
                <w:rtl w:val="0"/>
              </w:rPr>
              <w:t xml:space="preserve">Lack of information given to patients about the risk of antidepressant withdrawal.</w:t>
              <w:br w:type="textWrapping"/>
              <w:br w:type="textWrapping"/>
              <w:t xml:space="preserve">Failure to recognise symptoms - Patients being diagnosed with a relapse of an underlying medical condition, other than withdrawal</w:t>
              <w:br w:type="textWrapping"/>
              <w:br w:type="textWrapping"/>
              <w:t xml:space="preserve">Doctors poorly informed about the best method of tapering</w:t>
              <w:br w:type="textWrapping"/>
              <w:br w:type="textWrapping"/>
              <w:t xml:space="preserve">Patients seeking advice outside of mainstream healthcare.</w:t>
            </w:r>
          </w:p>
        </w:tc>
        <w:tc>
          <w:tcPr>
            <w:vAlign w:val="center"/>
          </w:tcPr>
          <w:p w:rsidR="00000000" w:rsidDel="00000000" w:rsidP="00000000" w:rsidRDefault="00000000" w:rsidRPr="00000000" w14:paraId="0000125F">
            <w:pPr>
              <w:rPr>
                <w:sz w:val="18"/>
                <w:szCs w:val="18"/>
              </w:rPr>
            </w:pPr>
            <w:r w:rsidDel="00000000" w:rsidR="00000000" w:rsidRPr="00000000">
              <w:rPr>
                <w:rtl w:val="0"/>
              </w:rPr>
            </w:r>
          </w:p>
        </w:tc>
      </w:tr>
      <w:tr>
        <w:trPr>
          <w:cantSplit w:val="0"/>
          <w:trHeight w:val="2240" w:hRule="atLeast"/>
          <w:tblHeader w:val="0"/>
        </w:trPr>
        <w:tc>
          <w:tcPr>
            <w:vAlign w:val="center"/>
          </w:tcPr>
          <w:p w:rsidR="00000000" w:rsidDel="00000000" w:rsidP="00000000" w:rsidRDefault="00000000" w:rsidRPr="00000000" w14:paraId="00001260">
            <w:pPr>
              <w:rPr>
                <w:b w:val="0"/>
                <w:color w:val="000000"/>
                <w:sz w:val="18"/>
                <w:szCs w:val="18"/>
              </w:rPr>
            </w:pPr>
            <w:r w:rsidDel="00000000" w:rsidR="00000000" w:rsidRPr="00000000">
              <w:rPr>
                <w:b w:val="0"/>
                <w:color w:val="000000"/>
                <w:sz w:val="18"/>
                <w:szCs w:val="18"/>
                <w:rtl w:val="0"/>
              </w:rPr>
              <w:t xml:space="preserve">32</w:t>
            </w:r>
          </w:p>
        </w:tc>
        <w:tc>
          <w:tcPr>
            <w:vAlign w:val="center"/>
          </w:tcPr>
          <w:p w:rsidR="00000000" w:rsidDel="00000000" w:rsidP="00000000" w:rsidRDefault="00000000" w:rsidRPr="00000000" w14:paraId="00001261">
            <w:pPr>
              <w:rPr>
                <w:b w:val="1"/>
                <w:sz w:val="18"/>
                <w:szCs w:val="18"/>
              </w:rPr>
            </w:pPr>
            <w:r w:rsidDel="00000000" w:rsidR="00000000" w:rsidRPr="00000000">
              <w:rPr>
                <w:b w:val="1"/>
                <w:sz w:val="18"/>
                <w:szCs w:val="18"/>
                <w:rtl w:val="0"/>
              </w:rPr>
              <w:t xml:space="preserve">Netherlands</w:t>
            </w:r>
          </w:p>
        </w:tc>
        <w:tc>
          <w:tcPr>
            <w:vAlign w:val="center"/>
          </w:tcPr>
          <w:p w:rsidR="00000000" w:rsidDel="00000000" w:rsidP="00000000" w:rsidRDefault="00000000" w:rsidRPr="00000000" w14:paraId="00001262">
            <w:pPr>
              <w:rPr>
                <w:sz w:val="18"/>
                <w:szCs w:val="18"/>
              </w:rPr>
            </w:pPr>
            <w:r w:rsidDel="00000000" w:rsidR="00000000" w:rsidRPr="00000000">
              <w:rPr>
                <w:sz w:val="18"/>
                <w:szCs w:val="18"/>
                <w:rtl w:val="0"/>
              </w:rPr>
              <w:t xml:space="preserve">Groot PC. </w:t>
              <w:br w:type="textWrapping"/>
              <w:t xml:space="preserve">Van Os J.</w:t>
            </w:r>
          </w:p>
        </w:tc>
        <w:tc>
          <w:tcPr>
            <w:vAlign w:val="center"/>
          </w:tcPr>
          <w:p w:rsidR="00000000" w:rsidDel="00000000" w:rsidP="00000000" w:rsidRDefault="00000000" w:rsidRPr="00000000" w14:paraId="00001263">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64">
            <w:pPr>
              <w:jc w:val="center"/>
              <w:rPr>
                <w:sz w:val="18"/>
                <w:szCs w:val="18"/>
              </w:rPr>
            </w:pPr>
            <w:hyperlink r:id="rId130">
              <w:r w:rsidDel="00000000" w:rsidR="00000000" w:rsidRPr="00000000">
                <w:rPr>
                  <w:sz w:val="18"/>
                  <w:szCs w:val="18"/>
                  <w:rtl w:val="0"/>
                </w:rPr>
                <w:t xml:space="preserve">Outcome of antidepressant drug discontinuation with tapering strips after 1-5 years.</w:t>
              </w:r>
            </w:hyperlink>
            <w:r w:rsidDel="00000000" w:rsidR="00000000" w:rsidRPr="00000000">
              <w:rPr>
                <w:rtl w:val="0"/>
              </w:rPr>
            </w:r>
          </w:p>
        </w:tc>
        <w:tc>
          <w:tcPr>
            <w:vAlign w:val="center"/>
          </w:tcPr>
          <w:p w:rsidR="00000000" w:rsidDel="00000000" w:rsidP="00000000" w:rsidRDefault="00000000" w:rsidRPr="00000000" w14:paraId="00001265">
            <w:pPr>
              <w:jc w:val="center"/>
              <w:rPr>
                <w:sz w:val="18"/>
                <w:szCs w:val="18"/>
              </w:rPr>
            </w:pPr>
            <w:r w:rsidDel="00000000" w:rsidR="00000000" w:rsidRPr="00000000">
              <w:rPr>
                <w:sz w:val="18"/>
                <w:szCs w:val="18"/>
                <w:rtl w:val="0"/>
              </w:rPr>
              <w:t xml:space="preserve">surveys of patients who had received tapering strips from their doctor.</w:t>
            </w:r>
          </w:p>
        </w:tc>
        <w:tc>
          <w:tcPr>
            <w:vAlign w:val="center"/>
          </w:tcPr>
          <w:p w:rsidR="00000000" w:rsidDel="00000000" w:rsidP="00000000" w:rsidRDefault="00000000" w:rsidRPr="00000000" w14:paraId="00001266">
            <w:pPr>
              <w:jc w:val="center"/>
              <w:rPr>
                <w:sz w:val="18"/>
                <w:szCs w:val="18"/>
              </w:rPr>
            </w:pPr>
            <w:r w:rsidDel="00000000" w:rsidR="00000000" w:rsidRPr="00000000">
              <w:rPr>
                <w:sz w:val="18"/>
                <w:szCs w:val="18"/>
                <w:rtl w:val="0"/>
              </w:rPr>
              <w:t xml:space="preserve">483</w:t>
            </w:r>
          </w:p>
        </w:tc>
        <w:tc>
          <w:tcPr>
            <w:vAlign w:val="center"/>
          </w:tcPr>
          <w:p w:rsidR="00000000" w:rsidDel="00000000" w:rsidP="00000000" w:rsidRDefault="00000000" w:rsidRPr="00000000" w14:paraId="00001267">
            <w:pPr>
              <w:rPr>
                <w:sz w:val="18"/>
                <w:szCs w:val="18"/>
              </w:rPr>
            </w:pPr>
            <w:r w:rsidDel="00000000" w:rsidR="00000000" w:rsidRPr="00000000">
              <w:rPr>
                <w:sz w:val="18"/>
                <w:szCs w:val="18"/>
                <w:rtl w:val="0"/>
              </w:rPr>
              <w:t xml:space="preserve">47% used tapering strips for venlafaxine</w:t>
              <w:br w:type="textWrapping"/>
              <w:br w:type="textWrapping"/>
              <w:t xml:space="preserve">35% used tapering strips for paroxetine</w:t>
              <w:br w:type="textWrapping"/>
              <w:br w:type="textWrapping"/>
              <w:t xml:space="preserve">18% used tapering strips for other antidepressants.</w:t>
              <w:br w:type="textWrapping"/>
              <w:br w:type="textWrapping"/>
              <w:t xml:space="preserve">After 4 years, 66% of participants had successfully reduced their medication, 21% relapsed, 9% had restarted for another reason.</w:t>
            </w:r>
          </w:p>
        </w:tc>
        <w:tc>
          <w:tcPr>
            <w:vAlign w:val="center"/>
          </w:tcPr>
          <w:p w:rsidR="00000000" w:rsidDel="00000000" w:rsidP="00000000" w:rsidRDefault="00000000" w:rsidRPr="00000000" w14:paraId="00001268">
            <w:pPr>
              <w:rPr>
                <w:sz w:val="18"/>
                <w:szCs w:val="18"/>
              </w:rPr>
            </w:pPr>
            <w:r w:rsidDel="00000000" w:rsidR="00000000" w:rsidRPr="00000000">
              <w:rPr>
                <w:sz w:val="18"/>
                <w:szCs w:val="18"/>
                <w:rtl w:val="0"/>
              </w:rPr>
              <w:t xml:space="preserve">high risk group due to chronic use.</w:t>
            </w:r>
          </w:p>
        </w:tc>
      </w:tr>
      <w:tr>
        <w:trPr>
          <w:cantSplit w:val="0"/>
          <w:trHeight w:val="79" w:hRule="atLeast"/>
          <w:tblHeader w:val="0"/>
        </w:trPr>
        <w:tc>
          <w:tcPr>
            <w:vAlign w:val="center"/>
          </w:tcPr>
          <w:p w:rsidR="00000000" w:rsidDel="00000000" w:rsidP="00000000" w:rsidRDefault="00000000" w:rsidRPr="00000000" w14:paraId="00001269">
            <w:pPr>
              <w:rPr>
                <w:b w:val="0"/>
                <w:color w:val="000000"/>
                <w:sz w:val="18"/>
                <w:szCs w:val="18"/>
              </w:rPr>
            </w:pPr>
            <w:r w:rsidDel="00000000" w:rsidR="00000000" w:rsidRPr="00000000">
              <w:rPr>
                <w:b w:val="0"/>
                <w:color w:val="000000"/>
                <w:sz w:val="18"/>
                <w:szCs w:val="18"/>
                <w:rtl w:val="0"/>
              </w:rPr>
              <w:t xml:space="preserve">33</w:t>
            </w:r>
          </w:p>
        </w:tc>
        <w:tc>
          <w:tcPr>
            <w:vAlign w:val="center"/>
          </w:tcPr>
          <w:p w:rsidR="00000000" w:rsidDel="00000000" w:rsidP="00000000" w:rsidRDefault="00000000" w:rsidRPr="00000000" w14:paraId="0000126A">
            <w:pPr>
              <w:rPr>
                <w:b w:val="1"/>
                <w:sz w:val="18"/>
                <w:szCs w:val="18"/>
              </w:rPr>
            </w:pPr>
            <w:r w:rsidDel="00000000" w:rsidR="00000000" w:rsidRPr="00000000">
              <w:rPr>
                <w:b w:val="1"/>
                <w:sz w:val="18"/>
                <w:szCs w:val="18"/>
                <w:rtl w:val="0"/>
              </w:rPr>
              <w:t xml:space="preserve">South Korea</w:t>
            </w:r>
          </w:p>
        </w:tc>
        <w:tc>
          <w:tcPr>
            <w:vAlign w:val="center"/>
          </w:tcPr>
          <w:p w:rsidR="00000000" w:rsidDel="00000000" w:rsidP="00000000" w:rsidRDefault="00000000" w:rsidRPr="00000000" w14:paraId="0000126B">
            <w:pPr>
              <w:rPr>
                <w:sz w:val="18"/>
                <w:szCs w:val="18"/>
              </w:rPr>
            </w:pPr>
            <w:r w:rsidDel="00000000" w:rsidR="00000000" w:rsidRPr="00000000">
              <w:rPr>
                <w:sz w:val="18"/>
                <w:szCs w:val="18"/>
                <w:rtl w:val="0"/>
              </w:rPr>
              <w:t xml:space="preserve">Kim Cl. </w:t>
              <w:br w:type="textWrapping"/>
              <w:t xml:space="preserve">Hong SJ. </w:t>
              <w:br w:type="textWrapping"/>
              <w:t xml:space="preserve">Lim YH. </w:t>
              <w:br w:type="textWrapping"/>
              <w:t xml:space="preserve">Jeong JH. </w:t>
              <w:br w:type="textWrapping"/>
              <w:t xml:space="preserve">Moon HS.</w:t>
              <w:br w:type="textWrapping"/>
              <w:t xml:space="preserve">Choi HR. </w:t>
              <w:br w:type="textWrapping"/>
              <w:t xml:space="preserve">Park SK. </w:t>
              <w:br w:type="textWrapping"/>
              <w:t xml:space="preserve">Kim JE. </w:t>
              <w:br w:type="textWrapping"/>
              <w:t xml:space="preserve">You H. </w:t>
              <w:br w:type="textWrapping"/>
              <w:t xml:space="preserve">Kim JH.</w:t>
            </w:r>
          </w:p>
        </w:tc>
        <w:tc>
          <w:tcPr>
            <w:vAlign w:val="center"/>
          </w:tcPr>
          <w:p w:rsidR="00000000" w:rsidDel="00000000" w:rsidP="00000000" w:rsidRDefault="00000000" w:rsidRPr="00000000" w14:paraId="0000126C">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6D">
            <w:pPr>
              <w:jc w:val="center"/>
              <w:rPr>
                <w:sz w:val="18"/>
                <w:szCs w:val="18"/>
              </w:rPr>
            </w:pPr>
            <w:hyperlink r:id="rId131">
              <w:r w:rsidDel="00000000" w:rsidR="00000000" w:rsidRPr="00000000">
                <w:rPr>
                  <w:sz w:val="18"/>
                  <w:szCs w:val="18"/>
                  <w:rtl w:val="0"/>
                </w:rPr>
                <w:t xml:space="preserve">Patients' perception about opioids and addiction in South Korea.</w:t>
              </w:r>
            </w:hyperlink>
            <w:r w:rsidDel="00000000" w:rsidR="00000000" w:rsidRPr="00000000">
              <w:rPr>
                <w:rtl w:val="0"/>
              </w:rPr>
            </w:r>
          </w:p>
        </w:tc>
        <w:tc>
          <w:tcPr>
            <w:vAlign w:val="center"/>
          </w:tcPr>
          <w:p w:rsidR="00000000" w:rsidDel="00000000" w:rsidP="00000000" w:rsidRDefault="00000000" w:rsidRPr="00000000" w14:paraId="0000126E">
            <w:pPr>
              <w:jc w:val="center"/>
              <w:rPr>
                <w:sz w:val="18"/>
                <w:szCs w:val="18"/>
              </w:rPr>
            </w:pPr>
            <w:r w:rsidDel="00000000" w:rsidR="00000000" w:rsidRPr="00000000">
              <w:rPr>
                <w:sz w:val="18"/>
                <w:szCs w:val="18"/>
                <w:rtl w:val="0"/>
              </w:rPr>
              <w:t xml:space="preserve">Surveys of patients attending a pain clinic.</w:t>
            </w:r>
          </w:p>
        </w:tc>
        <w:tc>
          <w:tcPr>
            <w:vAlign w:val="center"/>
          </w:tcPr>
          <w:p w:rsidR="00000000" w:rsidDel="00000000" w:rsidP="00000000" w:rsidRDefault="00000000" w:rsidRPr="00000000" w14:paraId="0000126F">
            <w:pPr>
              <w:jc w:val="center"/>
              <w:rPr>
                <w:sz w:val="18"/>
                <w:szCs w:val="18"/>
              </w:rPr>
            </w:pPr>
            <w:r w:rsidDel="00000000" w:rsidR="00000000" w:rsidRPr="00000000">
              <w:rPr>
                <w:sz w:val="18"/>
                <w:szCs w:val="18"/>
                <w:rtl w:val="0"/>
              </w:rPr>
              <w:t xml:space="preserve">368 patients accessing a pain clinic. 53.3% male, 46.7% female.</w:t>
            </w:r>
          </w:p>
        </w:tc>
        <w:tc>
          <w:tcPr>
            <w:vAlign w:val="center"/>
          </w:tcPr>
          <w:p w:rsidR="00000000" w:rsidDel="00000000" w:rsidP="00000000" w:rsidRDefault="00000000" w:rsidRPr="00000000" w14:paraId="00001270">
            <w:pPr>
              <w:rPr>
                <w:sz w:val="18"/>
                <w:szCs w:val="18"/>
              </w:rPr>
            </w:pPr>
            <w:r w:rsidDel="00000000" w:rsidR="00000000" w:rsidRPr="00000000">
              <w:rPr>
                <w:sz w:val="18"/>
                <w:szCs w:val="18"/>
                <w:rtl w:val="0"/>
              </w:rPr>
              <w:t xml:space="preserve">Side effects: constipation (</w:t>
            </w:r>
            <w:r w:rsidDel="00000000" w:rsidR="00000000" w:rsidRPr="00000000">
              <w:rPr>
                <w:i w:val="1"/>
                <w:sz w:val="18"/>
                <w:szCs w:val="18"/>
                <w:rtl w:val="0"/>
              </w:rPr>
              <w:t xml:space="preserve">n=</w:t>
            </w:r>
            <w:r w:rsidDel="00000000" w:rsidR="00000000" w:rsidRPr="00000000">
              <w:rPr>
                <w:sz w:val="18"/>
                <w:szCs w:val="18"/>
                <w:rtl w:val="0"/>
              </w:rPr>
              <w:t xml:space="preserve"> 69), dizziness (</w:t>
            </w:r>
            <w:r w:rsidDel="00000000" w:rsidR="00000000" w:rsidRPr="00000000">
              <w:rPr>
                <w:i w:val="1"/>
                <w:sz w:val="18"/>
                <w:szCs w:val="18"/>
                <w:rtl w:val="0"/>
              </w:rPr>
              <w:t xml:space="preserve">n=</w:t>
            </w:r>
            <w:r w:rsidDel="00000000" w:rsidR="00000000" w:rsidRPr="00000000">
              <w:rPr>
                <w:sz w:val="18"/>
                <w:szCs w:val="18"/>
                <w:rtl w:val="0"/>
              </w:rPr>
              <w:t xml:space="preserve"> 48), nausea and vomiting (</w:t>
            </w:r>
            <w:r w:rsidDel="00000000" w:rsidR="00000000" w:rsidRPr="00000000">
              <w:rPr>
                <w:i w:val="1"/>
                <w:sz w:val="18"/>
                <w:szCs w:val="18"/>
                <w:rtl w:val="0"/>
              </w:rPr>
              <w:t xml:space="preserve">n=</w:t>
            </w:r>
            <w:r w:rsidDel="00000000" w:rsidR="00000000" w:rsidRPr="00000000">
              <w:rPr>
                <w:sz w:val="18"/>
                <w:szCs w:val="18"/>
                <w:rtl w:val="0"/>
              </w:rPr>
              <w:t xml:space="preserve"> 34), dysuria (</w:t>
            </w:r>
            <w:r w:rsidDel="00000000" w:rsidR="00000000" w:rsidRPr="00000000">
              <w:rPr>
                <w:i w:val="1"/>
                <w:sz w:val="18"/>
                <w:szCs w:val="18"/>
                <w:rtl w:val="0"/>
              </w:rPr>
              <w:t xml:space="preserve">n= </w:t>
            </w:r>
            <w:r w:rsidDel="00000000" w:rsidR="00000000" w:rsidRPr="00000000">
              <w:rPr>
                <w:sz w:val="18"/>
                <w:szCs w:val="18"/>
                <w:rtl w:val="0"/>
              </w:rPr>
              <w:t xml:space="preserve">12), no side effects (</w:t>
            </w:r>
            <w:r w:rsidDel="00000000" w:rsidR="00000000" w:rsidRPr="00000000">
              <w:rPr>
                <w:i w:val="1"/>
                <w:sz w:val="18"/>
                <w:szCs w:val="18"/>
                <w:rtl w:val="0"/>
              </w:rPr>
              <w:t xml:space="preserve">n=</w:t>
            </w:r>
            <w:r w:rsidDel="00000000" w:rsidR="00000000" w:rsidRPr="00000000">
              <w:rPr>
                <w:sz w:val="18"/>
                <w:szCs w:val="18"/>
                <w:rtl w:val="0"/>
              </w:rPr>
              <w:t xml:space="preserve"> 22).</w:t>
              <w:br w:type="textWrapping"/>
              <w:br w:type="textWrapping"/>
              <w:t xml:space="preserve">Explanation of medication: 161 patients had a good explanation of opioids and their side effects, 30 received a rough explanation, and 15 did not receive any explanation.</w:t>
              <w:br w:type="textWrapping"/>
              <w:br w:type="textWrapping"/>
              <w:t xml:space="preserve">Perception of medication: 21.9% very positive, 50.7% positive, 20.9% neutral, 6.5% negative or very negative perception.</w:t>
            </w:r>
          </w:p>
        </w:tc>
        <w:tc>
          <w:tcPr>
            <w:vAlign w:val="center"/>
          </w:tcPr>
          <w:p w:rsidR="00000000" w:rsidDel="00000000" w:rsidP="00000000" w:rsidRDefault="00000000" w:rsidRPr="00000000" w14:paraId="00001271">
            <w:pPr>
              <w:rPr>
                <w:sz w:val="18"/>
                <w:szCs w:val="18"/>
              </w:rPr>
            </w:pPr>
            <w:r w:rsidDel="00000000" w:rsidR="00000000" w:rsidRPr="00000000">
              <w:rPr>
                <w:sz w:val="18"/>
                <w:szCs w:val="18"/>
                <w:rtl w:val="0"/>
              </w:rPr>
              <w:t xml:space="preserve">those who did not consent to the survey were not included.</w:t>
              <w:br w:type="textWrapping"/>
              <w:br w:type="textWrapping"/>
              <w:t xml:space="preserve">Statistical analysis comparing opioids to non-opioid medication was not conducted.</w:t>
              <w:br w:type="textWrapping"/>
              <w:br w:type="textWrapping"/>
              <w:t xml:space="preserve">Patients at risk of addiction were not measured due to the restrictive criterion of the pain clinic.</w:t>
            </w:r>
          </w:p>
        </w:tc>
      </w:tr>
      <w:tr>
        <w:trPr>
          <w:cantSplit w:val="0"/>
          <w:trHeight w:val="79" w:hRule="atLeast"/>
          <w:tblHeader w:val="0"/>
        </w:trPr>
        <w:tc>
          <w:tcPr>
            <w:vAlign w:val="center"/>
          </w:tcPr>
          <w:p w:rsidR="00000000" w:rsidDel="00000000" w:rsidP="00000000" w:rsidRDefault="00000000" w:rsidRPr="00000000" w14:paraId="00001272">
            <w:pPr>
              <w:rPr>
                <w:b w:val="0"/>
                <w:color w:val="000000"/>
                <w:sz w:val="18"/>
                <w:szCs w:val="18"/>
              </w:rPr>
            </w:pPr>
            <w:r w:rsidDel="00000000" w:rsidR="00000000" w:rsidRPr="00000000">
              <w:rPr>
                <w:b w:val="0"/>
                <w:color w:val="000000"/>
                <w:sz w:val="18"/>
                <w:szCs w:val="18"/>
                <w:rtl w:val="0"/>
              </w:rPr>
              <w:t xml:space="preserve">34</w:t>
            </w:r>
          </w:p>
        </w:tc>
        <w:tc>
          <w:tcPr>
            <w:vAlign w:val="center"/>
          </w:tcPr>
          <w:p w:rsidR="00000000" w:rsidDel="00000000" w:rsidP="00000000" w:rsidRDefault="00000000" w:rsidRPr="00000000" w14:paraId="00001273">
            <w:pPr>
              <w:rPr>
                <w:b w:val="1"/>
                <w:sz w:val="18"/>
                <w:szCs w:val="18"/>
              </w:rPr>
            </w:pPr>
            <w:r w:rsidDel="00000000" w:rsidR="00000000" w:rsidRPr="00000000">
              <w:rPr>
                <w:b w:val="1"/>
                <w:sz w:val="18"/>
                <w:szCs w:val="18"/>
                <w:rtl w:val="0"/>
              </w:rPr>
              <w:t xml:space="preserve">USA</w:t>
            </w:r>
          </w:p>
        </w:tc>
        <w:tc>
          <w:tcPr>
            <w:vAlign w:val="center"/>
          </w:tcPr>
          <w:p w:rsidR="00000000" w:rsidDel="00000000" w:rsidP="00000000" w:rsidRDefault="00000000" w:rsidRPr="00000000" w14:paraId="00001274">
            <w:pPr>
              <w:rPr>
                <w:sz w:val="18"/>
                <w:szCs w:val="18"/>
              </w:rPr>
            </w:pPr>
            <w:r w:rsidDel="00000000" w:rsidR="00000000" w:rsidRPr="00000000">
              <w:rPr>
                <w:sz w:val="18"/>
                <w:szCs w:val="18"/>
                <w:rtl w:val="0"/>
              </w:rPr>
              <w:t xml:space="preserve">Dekker AE. </w:t>
              <w:br w:type="textWrapping"/>
              <w:t xml:space="preserve">Kleiss I. </w:t>
              <w:br w:type="textWrapping"/>
              <w:t xml:space="preserve">Batra N.</w:t>
              <w:br w:type="textWrapping"/>
              <w:t xml:space="preserve">Seghers M.</w:t>
              <w:br w:type="textWrapping"/>
              <w:t xml:space="preserve">Schiffer IB. </w:t>
              <w:br w:type="textWrapping"/>
              <w:t xml:space="preserve">Ring D. </w:t>
              <w:br w:type="textWrapping"/>
              <w:t xml:space="preserve">Claborn K.</w:t>
            </w:r>
          </w:p>
        </w:tc>
        <w:tc>
          <w:tcPr>
            <w:vAlign w:val="center"/>
          </w:tcPr>
          <w:p w:rsidR="00000000" w:rsidDel="00000000" w:rsidP="00000000" w:rsidRDefault="00000000" w:rsidRPr="00000000" w14:paraId="00001275">
            <w:pPr>
              <w:jc w:val="center"/>
              <w:rPr>
                <w:sz w:val="18"/>
                <w:szCs w:val="18"/>
              </w:rPr>
            </w:pPr>
            <w:r w:rsidDel="00000000" w:rsidR="00000000" w:rsidRPr="00000000">
              <w:rPr>
                <w:sz w:val="18"/>
                <w:szCs w:val="18"/>
                <w:rtl w:val="0"/>
              </w:rPr>
              <w:t xml:space="preserve">2020</w:t>
            </w:r>
          </w:p>
        </w:tc>
        <w:tc>
          <w:tcPr>
            <w:vAlign w:val="center"/>
          </w:tcPr>
          <w:p w:rsidR="00000000" w:rsidDel="00000000" w:rsidP="00000000" w:rsidRDefault="00000000" w:rsidRPr="00000000" w14:paraId="00001276">
            <w:pPr>
              <w:jc w:val="center"/>
              <w:rPr>
                <w:sz w:val="18"/>
                <w:szCs w:val="18"/>
              </w:rPr>
            </w:pPr>
            <w:hyperlink r:id="rId132">
              <w:r w:rsidDel="00000000" w:rsidR="00000000" w:rsidRPr="00000000">
                <w:rPr>
                  <w:sz w:val="18"/>
                  <w:szCs w:val="18"/>
                  <w:rtl w:val="0"/>
                </w:rPr>
                <w:t xml:space="preserve">Patient and clinician incentives and barriers for opioid use for musculoskeletal disorders a qualitative study on opioid use in musculoskeletal setting.</w:t>
              </w:r>
            </w:hyperlink>
            <w:r w:rsidDel="00000000" w:rsidR="00000000" w:rsidRPr="00000000">
              <w:rPr>
                <w:rtl w:val="0"/>
              </w:rPr>
            </w:r>
          </w:p>
        </w:tc>
        <w:tc>
          <w:tcPr>
            <w:vAlign w:val="center"/>
          </w:tcPr>
          <w:p w:rsidR="00000000" w:rsidDel="00000000" w:rsidP="00000000" w:rsidRDefault="00000000" w:rsidRPr="00000000" w14:paraId="00001277">
            <w:pPr>
              <w:jc w:val="center"/>
              <w:rPr>
                <w:sz w:val="18"/>
                <w:szCs w:val="18"/>
              </w:rPr>
            </w:pPr>
            <w:r w:rsidDel="00000000" w:rsidR="00000000" w:rsidRPr="00000000">
              <w:rPr>
                <w:sz w:val="18"/>
                <w:szCs w:val="18"/>
                <w:rtl w:val="0"/>
              </w:rPr>
              <w:t xml:space="preserve">Semi structured interviews</w:t>
            </w:r>
          </w:p>
        </w:tc>
        <w:tc>
          <w:tcPr>
            <w:vAlign w:val="center"/>
          </w:tcPr>
          <w:p w:rsidR="00000000" w:rsidDel="00000000" w:rsidP="00000000" w:rsidRDefault="00000000" w:rsidRPr="00000000" w14:paraId="00001278">
            <w:pPr>
              <w:jc w:val="center"/>
              <w:rPr>
                <w:sz w:val="18"/>
                <w:szCs w:val="18"/>
              </w:rPr>
            </w:pPr>
            <w:r w:rsidDel="00000000" w:rsidR="00000000" w:rsidRPr="00000000">
              <w:rPr>
                <w:sz w:val="18"/>
                <w:szCs w:val="18"/>
                <w:rtl w:val="0"/>
              </w:rPr>
              <w:t xml:space="preserve">28 Patients</w:t>
              <w:br w:type="textWrapping"/>
              <w:br w:type="textWrapping"/>
              <w:t xml:space="preserve">8 Clinicians</w:t>
            </w:r>
          </w:p>
        </w:tc>
        <w:tc>
          <w:tcPr>
            <w:vAlign w:val="center"/>
          </w:tcPr>
          <w:p w:rsidR="00000000" w:rsidDel="00000000" w:rsidP="00000000" w:rsidRDefault="00000000" w:rsidRPr="00000000" w14:paraId="00001279">
            <w:pPr>
              <w:rPr>
                <w:sz w:val="18"/>
                <w:szCs w:val="18"/>
              </w:rPr>
            </w:pPr>
            <w:r w:rsidDel="00000000" w:rsidR="00000000" w:rsidRPr="00000000">
              <w:rPr>
                <w:sz w:val="18"/>
                <w:szCs w:val="18"/>
                <w:rtl w:val="0"/>
              </w:rPr>
              <w:t xml:space="preserve">Patient Barriers: Cultural barriers, differences between getting hurt and being injured.</w:t>
              <w:br w:type="textWrapping"/>
              <w:br w:type="textWrapping"/>
              <w:t xml:space="preserve">Patient Incentives: Desire to be pain free, improved quality of life due to lack of pain, practitioner preference for prescribed medication and not alternative treatment.</w:t>
              <w:br w:type="textWrapping"/>
              <w:br w:type="textWrapping"/>
              <w:t xml:space="preserve">Clinician Barriers: stigma associated with mental health difficulties, strengthening of boundaries to restrict medication seeking patients, patients may not change their behaviours when needed to access alternative treatments e.g. patients may not lose weight to be safe to anesthetise for a knee operation when given opioid analgesia.</w:t>
              <w:br w:type="textWrapping"/>
              <w:br w:type="textWrapping"/>
              <w:t xml:space="preserve">Clinician Incentives: patients cannot afford the surgery and down time, patients perceive them negatively if not prescribed medication, easier to prescribe than to see the patient repeatedly, time constraints.</w:t>
            </w:r>
          </w:p>
        </w:tc>
        <w:tc>
          <w:tcPr>
            <w:vAlign w:val="center"/>
          </w:tcPr>
          <w:p w:rsidR="00000000" w:rsidDel="00000000" w:rsidP="00000000" w:rsidRDefault="00000000" w:rsidRPr="00000000" w14:paraId="0000127A">
            <w:pPr>
              <w:rPr>
                <w:sz w:val="18"/>
                <w:szCs w:val="18"/>
              </w:rPr>
            </w:pPr>
            <w:r w:rsidDel="00000000" w:rsidR="00000000" w:rsidRPr="00000000">
              <w:rPr>
                <w:sz w:val="18"/>
                <w:szCs w:val="18"/>
                <w:rtl w:val="0"/>
              </w:rPr>
              <w:t xml:space="preserve">American study so healthcare systems are different.</w:t>
            </w:r>
          </w:p>
        </w:tc>
      </w:tr>
      <w:tr>
        <w:trPr>
          <w:cantSplit w:val="0"/>
          <w:trHeight w:val="3360" w:hRule="atLeast"/>
          <w:tblHeader w:val="0"/>
        </w:trPr>
        <w:tc>
          <w:tcPr>
            <w:vAlign w:val="center"/>
          </w:tcPr>
          <w:p w:rsidR="00000000" w:rsidDel="00000000" w:rsidP="00000000" w:rsidRDefault="00000000" w:rsidRPr="00000000" w14:paraId="0000127B">
            <w:pPr>
              <w:rPr>
                <w:b w:val="0"/>
                <w:color w:val="000000"/>
                <w:sz w:val="18"/>
                <w:szCs w:val="18"/>
              </w:rPr>
            </w:pPr>
            <w:r w:rsidDel="00000000" w:rsidR="00000000" w:rsidRPr="00000000">
              <w:rPr>
                <w:b w:val="0"/>
                <w:color w:val="000000"/>
                <w:sz w:val="18"/>
                <w:szCs w:val="18"/>
                <w:rtl w:val="0"/>
              </w:rPr>
              <w:t xml:space="preserve">35</w:t>
            </w:r>
          </w:p>
        </w:tc>
        <w:tc>
          <w:tcPr>
            <w:vAlign w:val="center"/>
          </w:tcPr>
          <w:p w:rsidR="00000000" w:rsidDel="00000000" w:rsidP="00000000" w:rsidRDefault="00000000" w:rsidRPr="00000000" w14:paraId="0000127C">
            <w:pPr>
              <w:rPr>
                <w:b w:val="1"/>
                <w:sz w:val="18"/>
                <w:szCs w:val="18"/>
              </w:rPr>
            </w:pPr>
            <w:r w:rsidDel="00000000" w:rsidR="00000000" w:rsidRPr="00000000">
              <w:rPr>
                <w:b w:val="1"/>
                <w:color w:val="000000"/>
                <w:sz w:val="18"/>
                <w:szCs w:val="18"/>
                <w:rtl w:val="0"/>
              </w:rPr>
              <w:t xml:space="preserve">Spain</w:t>
            </w:r>
            <w:r w:rsidDel="00000000" w:rsidR="00000000" w:rsidRPr="00000000">
              <w:rPr>
                <w:rtl w:val="0"/>
              </w:rPr>
            </w:r>
          </w:p>
        </w:tc>
        <w:tc>
          <w:tcPr>
            <w:vAlign w:val="center"/>
          </w:tcPr>
          <w:p w:rsidR="00000000" w:rsidDel="00000000" w:rsidP="00000000" w:rsidRDefault="00000000" w:rsidRPr="00000000" w14:paraId="0000127D">
            <w:pPr>
              <w:rPr>
                <w:sz w:val="18"/>
                <w:szCs w:val="18"/>
              </w:rPr>
            </w:pPr>
            <w:r w:rsidDel="00000000" w:rsidR="00000000" w:rsidRPr="00000000">
              <w:rPr>
                <w:color w:val="000000"/>
                <w:sz w:val="18"/>
                <w:szCs w:val="18"/>
                <w:rtl w:val="0"/>
              </w:rPr>
              <w:t xml:space="preserve">De Sola H.</w:t>
              <w:br w:type="textWrapping"/>
              <w:t xml:space="preserve">Maquibar A.</w:t>
              <w:br w:type="textWrapping"/>
              <w:t xml:space="preserve">Failde I.</w:t>
              <w:br w:type="textWrapping"/>
              <w:t xml:space="preserve">Salazar A.</w:t>
              <w:br w:type="textWrapping"/>
              <w:t xml:space="preserve">Goicolea I.</w:t>
            </w:r>
            <w:r w:rsidDel="00000000" w:rsidR="00000000" w:rsidRPr="00000000">
              <w:rPr>
                <w:rtl w:val="0"/>
              </w:rPr>
            </w:r>
          </w:p>
        </w:tc>
        <w:tc>
          <w:tcPr>
            <w:vAlign w:val="center"/>
          </w:tcPr>
          <w:p w:rsidR="00000000" w:rsidDel="00000000" w:rsidP="00000000" w:rsidRDefault="00000000" w:rsidRPr="00000000" w14:paraId="0000127E">
            <w:pPr>
              <w:jc w:val="center"/>
              <w:rPr>
                <w:sz w:val="18"/>
                <w:szCs w:val="18"/>
              </w:rPr>
            </w:pPr>
            <w:r w:rsidDel="00000000" w:rsidR="00000000" w:rsidRPr="00000000">
              <w:rPr>
                <w:color w:val="000000"/>
                <w:sz w:val="18"/>
                <w:szCs w:val="18"/>
                <w:rtl w:val="0"/>
              </w:rPr>
              <w:t xml:space="preserve">2020</w:t>
            </w:r>
            <w:r w:rsidDel="00000000" w:rsidR="00000000" w:rsidRPr="00000000">
              <w:rPr>
                <w:rtl w:val="0"/>
              </w:rPr>
            </w:r>
          </w:p>
        </w:tc>
        <w:tc>
          <w:tcPr>
            <w:vAlign w:val="center"/>
          </w:tcPr>
          <w:p w:rsidR="00000000" w:rsidDel="00000000" w:rsidP="00000000" w:rsidRDefault="00000000" w:rsidRPr="00000000" w14:paraId="0000127F">
            <w:pPr>
              <w:jc w:val="center"/>
              <w:rPr>
                <w:sz w:val="18"/>
                <w:szCs w:val="18"/>
              </w:rPr>
            </w:pPr>
            <w:r w:rsidDel="00000000" w:rsidR="00000000" w:rsidRPr="00000000">
              <w:rPr>
                <w:color w:val="000000"/>
                <w:sz w:val="18"/>
                <w:szCs w:val="18"/>
                <w:rtl w:val="0"/>
              </w:rPr>
              <w:t xml:space="preserve">Living with opioids: A qualitative study with patients with chronic low back pain.</w:t>
            </w:r>
            <w:r w:rsidDel="00000000" w:rsidR="00000000" w:rsidRPr="00000000">
              <w:rPr>
                <w:rtl w:val="0"/>
              </w:rPr>
            </w:r>
          </w:p>
        </w:tc>
        <w:tc>
          <w:tcPr>
            <w:vAlign w:val="center"/>
          </w:tcPr>
          <w:p w:rsidR="00000000" w:rsidDel="00000000" w:rsidP="00000000" w:rsidRDefault="00000000" w:rsidRPr="00000000" w14:paraId="00001280">
            <w:pPr>
              <w:jc w:val="center"/>
              <w:rPr>
                <w:sz w:val="18"/>
                <w:szCs w:val="18"/>
              </w:rPr>
            </w:pPr>
            <w:r w:rsidDel="00000000" w:rsidR="00000000" w:rsidRPr="00000000">
              <w:rPr>
                <w:sz w:val="18"/>
                <w:szCs w:val="18"/>
                <w:rtl w:val="0"/>
              </w:rPr>
              <w:t xml:space="preserve">Semi structured interviews with pain clinic patients using opioids</w:t>
            </w:r>
          </w:p>
        </w:tc>
        <w:tc>
          <w:tcPr>
            <w:vAlign w:val="center"/>
          </w:tcPr>
          <w:p w:rsidR="00000000" w:rsidDel="00000000" w:rsidP="00000000" w:rsidRDefault="00000000" w:rsidRPr="00000000" w14:paraId="00001281">
            <w:pPr>
              <w:jc w:val="center"/>
              <w:rPr>
                <w:sz w:val="18"/>
                <w:szCs w:val="18"/>
              </w:rPr>
            </w:pPr>
            <w:r w:rsidDel="00000000" w:rsidR="00000000" w:rsidRPr="00000000">
              <w:rPr>
                <w:sz w:val="18"/>
                <w:szCs w:val="18"/>
                <w:rtl w:val="0"/>
              </w:rPr>
              <w:t xml:space="preserve">15</w:t>
            </w:r>
          </w:p>
        </w:tc>
        <w:tc>
          <w:tcPr>
            <w:vAlign w:val="center"/>
          </w:tcPr>
          <w:p w:rsidR="00000000" w:rsidDel="00000000" w:rsidP="00000000" w:rsidRDefault="00000000" w:rsidRPr="00000000" w14:paraId="00001282">
            <w:pPr>
              <w:rPr>
                <w:sz w:val="18"/>
                <w:szCs w:val="18"/>
              </w:rPr>
            </w:pPr>
            <w:r w:rsidDel="00000000" w:rsidR="00000000" w:rsidRPr="00000000">
              <w:rPr>
                <w:sz w:val="18"/>
                <w:szCs w:val="18"/>
                <w:rtl w:val="0"/>
              </w:rPr>
              <w:t xml:space="preserve">The long pathway to opioids due to invisible pain: Pain cannot be seen and therefore takes a long time for a prescription. This meant it can be ignored and therefore worsen. Patients’ family suggested exaggeration of pain.</w:t>
              <w:br w:type="textWrapping"/>
              <w:br w:type="textWrapping"/>
              <w:t xml:space="preserve">Patients could not remember the first contact with opioids but recall not receiving much information about the medication they are prescribed, which made it difficult to distinguish between opioids and other drugs.</w:t>
              <w:br w:type="textWrapping"/>
              <w:br w:type="textWrapping"/>
              <w:t xml:space="preserve">Patients accepted the treatment due to pain intensity despite the perception of opioids being for carcinogenic pain and associations with addiction. This was considered a "serious" prescription and maintained this perception due to the tight regulations surrounding the medicine. Side effects such as drowsiness were reported and were involved in the decision to quit the medication. Drowsiness was not explained by any healthcare professional to any participants.</w:t>
              <w:br w:type="textWrapping"/>
              <w:br w:type="textWrapping"/>
              <w:t xml:space="preserve">Patients took an active attitude towards pain as time went on and learned other ways to manage pain such as swimming and Pilates. As adverse reactions occurred patients took a proactive role in finding alternative pain management and reducing their dose. This, however, did not result in total scepticism towards opioids.</w:t>
              <w:br w:type="textWrapping"/>
              <w:br w:type="textWrapping"/>
              <w:t xml:space="preserve">Opioids cannot fix ailments. Reduction in pain leads to improved mood. Decrease in mood associated with fear of limitations and pain and exacerbated existing mental health difficulties.</w:t>
              <w:br w:type="textWrapping"/>
              <w:br w:type="textWrapping"/>
              <w:t xml:space="preserve">Family support was essential to navigate pain. Participants felt this was a burden in some cases.</w:t>
              <w:br w:type="textWrapping"/>
              <w:br w:type="textWrapping"/>
              <w:t xml:space="preserve">Female participants did not identify housework and childcare as work and felt they were still responsible for these commitments despite experiencing pain.</w:t>
            </w:r>
          </w:p>
        </w:tc>
        <w:tc>
          <w:tcPr>
            <w:vAlign w:val="center"/>
          </w:tcPr>
          <w:p w:rsidR="00000000" w:rsidDel="00000000" w:rsidP="00000000" w:rsidRDefault="00000000" w:rsidRPr="00000000" w14:paraId="00001283">
            <w:pPr>
              <w:rPr>
                <w:sz w:val="18"/>
                <w:szCs w:val="18"/>
              </w:rPr>
            </w:pPr>
            <w:r w:rsidDel="00000000" w:rsidR="00000000" w:rsidRPr="00000000">
              <w:rPr>
                <w:sz w:val="18"/>
                <w:szCs w:val="18"/>
                <w:rtl w:val="0"/>
              </w:rPr>
              <w:t xml:space="preserve">this study was conducted in a pain clinic; therefore, a referral is required and will have to meet certain criteria that impact the generalisability of these</w:t>
            </w:r>
          </w:p>
        </w:tc>
      </w:tr>
      <w:tr>
        <w:trPr>
          <w:cantSplit w:val="0"/>
          <w:trHeight w:val="79" w:hRule="atLeast"/>
          <w:tblHeader w:val="0"/>
        </w:trPr>
        <w:tc>
          <w:tcPr>
            <w:vAlign w:val="center"/>
          </w:tcPr>
          <w:p w:rsidR="00000000" w:rsidDel="00000000" w:rsidP="00000000" w:rsidRDefault="00000000" w:rsidRPr="00000000" w14:paraId="00001284">
            <w:pPr>
              <w:rPr>
                <w:b w:val="0"/>
                <w:color w:val="000000"/>
                <w:sz w:val="18"/>
                <w:szCs w:val="18"/>
              </w:rPr>
            </w:pPr>
            <w:r w:rsidDel="00000000" w:rsidR="00000000" w:rsidRPr="00000000">
              <w:rPr>
                <w:b w:val="0"/>
                <w:color w:val="000000"/>
                <w:sz w:val="18"/>
                <w:szCs w:val="18"/>
                <w:rtl w:val="0"/>
              </w:rPr>
              <w:t xml:space="preserve">36</w:t>
            </w:r>
          </w:p>
        </w:tc>
        <w:tc>
          <w:tcPr>
            <w:vAlign w:val="center"/>
          </w:tcPr>
          <w:p w:rsidR="00000000" w:rsidDel="00000000" w:rsidP="00000000" w:rsidRDefault="00000000" w:rsidRPr="00000000" w14:paraId="00001285">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286">
            <w:pPr>
              <w:rPr>
                <w:color w:val="000000"/>
                <w:sz w:val="18"/>
                <w:szCs w:val="18"/>
              </w:rPr>
            </w:pPr>
            <w:r w:rsidDel="00000000" w:rsidR="00000000" w:rsidRPr="00000000">
              <w:rPr>
                <w:color w:val="000000"/>
                <w:sz w:val="18"/>
                <w:szCs w:val="18"/>
                <w:rtl w:val="0"/>
              </w:rPr>
              <w:t xml:space="preserve">Kesten JM.</w:t>
              <w:br w:type="textWrapping"/>
              <w:t xml:space="preserve">Thomas K.</w:t>
              <w:br w:type="textWrapping"/>
              <w:t xml:space="preserve">Scott LJ.</w:t>
              <w:br w:type="textWrapping"/>
              <w:t xml:space="preserve">Bache K.</w:t>
              <w:br w:type="textWrapping"/>
              <w:t xml:space="preserve">Hickman M.</w:t>
              <w:br w:type="textWrapping"/>
              <w:t xml:space="preserve">Campbell R</w:t>
              <w:br w:type="textWrapping"/>
              <w:t xml:space="preserve">Pickering AE</w:t>
              <w:br w:type="textWrapping"/>
              <w:t xml:space="preserve">Redwood S</w:t>
            </w:r>
          </w:p>
        </w:tc>
        <w:tc>
          <w:tcPr>
            <w:vAlign w:val="center"/>
          </w:tcPr>
          <w:p w:rsidR="00000000" w:rsidDel="00000000" w:rsidP="00000000" w:rsidRDefault="00000000" w:rsidRPr="00000000" w14:paraId="00001287">
            <w:pPr>
              <w:jc w:val="center"/>
              <w:rPr>
                <w:color w:val="000000"/>
                <w:sz w:val="18"/>
                <w:szCs w:val="18"/>
              </w:rPr>
            </w:pPr>
            <w:r w:rsidDel="00000000" w:rsidR="00000000" w:rsidRPr="00000000">
              <w:rPr>
                <w:color w:val="000000"/>
                <w:sz w:val="18"/>
                <w:szCs w:val="18"/>
                <w:rtl w:val="0"/>
              </w:rPr>
              <w:t xml:space="preserve">2020</w:t>
            </w:r>
          </w:p>
        </w:tc>
        <w:tc>
          <w:tcPr>
            <w:vAlign w:val="center"/>
          </w:tcPr>
          <w:p w:rsidR="00000000" w:rsidDel="00000000" w:rsidP="00000000" w:rsidRDefault="00000000" w:rsidRPr="00000000" w14:paraId="00001288">
            <w:pPr>
              <w:jc w:val="center"/>
              <w:rPr>
                <w:color w:val="000000"/>
                <w:sz w:val="18"/>
                <w:szCs w:val="18"/>
              </w:rPr>
            </w:pPr>
            <w:r w:rsidDel="00000000" w:rsidR="00000000" w:rsidRPr="00000000">
              <w:rPr>
                <w:color w:val="000000"/>
                <w:sz w:val="18"/>
                <w:szCs w:val="18"/>
                <w:rtl w:val="0"/>
              </w:rPr>
              <w:t xml:space="preserve">Acceptability of a primary care-based opioid and pain review service: a mixed-methods evaluation in England.</w:t>
            </w:r>
          </w:p>
        </w:tc>
        <w:tc>
          <w:tcPr>
            <w:vAlign w:val="center"/>
          </w:tcPr>
          <w:p w:rsidR="00000000" w:rsidDel="00000000" w:rsidP="00000000" w:rsidRDefault="00000000" w:rsidRPr="00000000" w14:paraId="00001289">
            <w:pPr>
              <w:jc w:val="center"/>
              <w:rPr>
                <w:sz w:val="18"/>
                <w:szCs w:val="18"/>
              </w:rPr>
            </w:pPr>
            <w:r w:rsidDel="00000000" w:rsidR="00000000" w:rsidRPr="00000000">
              <w:rPr>
                <w:color w:val="000000"/>
                <w:sz w:val="18"/>
                <w:szCs w:val="18"/>
                <w:rtl w:val="0"/>
              </w:rPr>
              <w:t xml:space="preserve">Semi structured interviews</w:t>
            </w:r>
            <w:r w:rsidDel="00000000" w:rsidR="00000000" w:rsidRPr="00000000">
              <w:rPr>
                <w:rtl w:val="0"/>
              </w:rPr>
            </w:r>
          </w:p>
        </w:tc>
        <w:tc>
          <w:tcPr>
            <w:vAlign w:val="center"/>
          </w:tcPr>
          <w:p w:rsidR="00000000" w:rsidDel="00000000" w:rsidP="00000000" w:rsidRDefault="00000000" w:rsidRPr="00000000" w14:paraId="0000128A">
            <w:pPr>
              <w:jc w:val="center"/>
              <w:rPr>
                <w:sz w:val="18"/>
                <w:szCs w:val="18"/>
              </w:rPr>
            </w:pPr>
            <w:r w:rsidDel="00000000" w:rsidR="00000000" w:rsidRPr="00000000">
              <w:rPr>
                <w:color w:val="000000"/>
                <w:sz w:val="18"/>
                <w:szCs w:val="18"/>
                <w:rtl w:val="0"/>
              </w:rPr>
              <w:t xml:space="preserve">25 interviews</w:t>
              <w:br w:type="textWrapping"/>
              <w:br w:type="textWrapping"/>
              <w:t xml:space="preserve">18 patients</w:t>
              <w:br w:type="textWrapping"/>
              <w:br w:type="textWrapping"/>
              <w:t xml:space="preserve">7 service providers</w:t>
            </w:r>
            <w:r w:rsidDel="00000000" w:rsidR="00000000" w:rsidRPr="00000000">
              <w:rPr>
                <w:rtl w:val="0"/>
              </w:rPr>
            </w:r>
          </w:p>
        </w:tc>
        <w:tc>
          <w:tcPr>
            <w:vAlign w:val="center"/>
          </w:tcPr>
          <w:p w:rsidR="00000000" w:rsidDel="00000000" w:rsidP="00000000" w:rsidRDefault="00000000" w:rsidRPr="00000000" w14:paraId="0000128B">
            <w:pPr>
              <w:rPr>
                <w:color w:val="000000"/>
                <w:sz w:val="18"/>
                <w:szCs w:val="18"/>
              </w:rPr>
            </w:pPr>
            <w:r w:rsidDel="00000000" w:rsidR="00000000" w:rsidRPr="00000000">
              <w:rPr>
                <w:color w:val="000000"/>
                <w:sz w:val="18"/>
                <w:szCs w:val="18"/>
                <w:rtl w:val="0"/>
              </w:rPr>
              <w:t xml:space="preserve">Enrolment into the service: GP referrals were considered more effective and trustworthy. </w:t>
              <w:br w:type="textWrapping"/>
              <w:t xml:space="preserve">Assessment: project workers are described as able to build a relationship and enable patients to understand their lives and identify issues. </w:t>
              <w:br w:type="textWrapping"/>
              <w:t xml:space="preserve">Within session: strategies include pacing/physical exercises/mindfulness/relaxation/goal setting/pain management workbooks/sleep hygiene.</w:t>
              <w:br w:type="textWrapping"/>
              <w:br w:type="textWrapping"/>
              <w:t xml:space="preserve">Pain management strategies: pain management books are helpful/infomative/relatable, others describe difficulties concentrating, irrelevant information.</w:t>
              <w:br w:type="textWrapping"/>
              <w:br w:type="textWrapping"/>
              <w:t xml:space="preserve">Review and changes: some report a keen attitude towards review/reduction/medication change due to side effects. GP prescription changes worked smoothly.</w:t>
              <w:br w:type="textWrapping"/>
              <w:br w:type="textWrapping"/>
              <w:t xml:space="preserve">Community based services: 53% chose physiotherapy and relaxation. Social prescribing services focussed on: QoL/social interaction/self-esteem/voluntary work/financial advice and support</w:t>
              <w:br w:type="textWrapping"/>
              <w:br w:type="textWrapping"/>
              <w:t xml:space="preserve">Service based approach: individual approach to appointment setting. services were preferred due to shared decision making and the consideration of patient preferences, service was not like the traditional model</w:t>
              <w:br w:type="textWrapping"/>
              <w:br w:type="textWrapping"/>
              <w:t xml:space="preserve">Relationships: project workers/GPs stressed the importance of relationship building. patients describe workers as encouraging/motivating/kind.</w:t>
              <w:br w:type="textWrapping"/>
              <w:br w:type="textWrapping"/>
              <w:t xml:space="preserve">Focus on wellbeing and health: supported to identify psychological dependence for external stressors and given tools to manage these without opioids</w:t>
              <w:br w:type="textWrapping"/>
              <w:br w:type="textWrapping"/>
              <w:t xml:space="preserve">Factors to consider: person centred and not prescriptive, GPs need to be able to identify eligible patients</w:t>
            </w:r>
          </w:p>
        </w:tc>
        <w:tc>
          <w:tcPr>
            <w:vAlign w:val="center"/>
          </w:tcPr>
          <w:p w:rsidR="00000000" w:rsidDel="00000000" w:rsidP="00000000" w:rsidRDefault="00000000" w:rsidRPr="00000000" w14:paraId="0000128C">
            <w:pPr>
              <w:rPr>
                <w:sz w:val="18"/>
                <w:szCs w:val="18"/>
              </w:rPr>
            </w:pPr>
            <w:r w:rsidDel="00000000" w:rsidR="00000000" w:rsidRPr="00000000">
              <w:rPr>
                <w:color w:val="000000"/>
                <w:sz w:val="18"/>
                <w:szCs w:val="18"/>
                <w:rtl w:val="0"/>
              </w:rPr>
              <w:t xml:space="preserve">patients’ close relationships may have resulted in reluctance to provide critical statements about the project, the workers and the service.</w:t>
            </w: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28D">
            <w:pPr>
              <w:rPr>
                <w:b w:val="0"/>
                <w:color w:val="000000"/>
                <w:sz w:val="18"/>
                <w:szCs w:val="18"/>
              </w:rPr>
            </w:pPr>
            <w:r w:rsidDel="00000000" w:rsidR="00000000" w:rsidRPr="00000000">
              <w:rPr>
                <w:b w:val="0"/>
                <w:color w:val="000000"/>
                <w:sz w:val="18"/>
                <w:szCs w:val="18"/>
                <w:rtl w:val="0"/>
              </w:rPr>
              <w:t xml:space="preserve">37</w:t>
            </w:r>
          </w:p>
        </w:tc>
        <w:tc>
          <w:tcPr>
            <w:vAlign w:val="center"/>
          </w:tcPr>
          <w:p w:rsidR="00000000" w:rsidDel="00000000" w:rsidP="00000000" w:rsidRDefault="00000000" w:rsidRPr="00000000" w14:paraId="0000128E">
            <w:pPr>
              <w:rPr>
                <w:b w:val="1"/>
                <w:color w:val="000000"/>
                <w:sz w:val="18"/>
                <w:szCs w:val="18"/>
              </w:rPr>
            </w:pPr>
            <w:r w:rsidDel="00000000" w:rsidR="00000000" w:rsidRPr="00000000">
              <w:rPr>
                <w:b w:val="1"/>
                <w:color w:val="000000"/>
                <w:sz w:val="18"/>
                <w:szCs w:val="18"/>
                <w:rtl w:val="0"/>
              </w:rPr>
              <w:t xml:space="preserve">Netherlands</w:t>
            </w:r>
          </w:p>
        </w:tc>
        <w:tc>
          <w:tcPr>
            <w:vAlign w:val="center"/>
          </w:tcPr>
          <w:p w:rsidR="00000000" w:rsidDel="00000000" w:rsidP="00000000" w:rsidRDefault="00000000" w:rsidRPr="00000000" w14:paraId="0000128F">
            <w:pPr>
              <w:rPr>
                <w:color w:val="000000"/>
                <w:sz w:val="18"/>
                <w:szCs w:val="18"/>
              </w:rPr>
            </w:pPr>
            <w:r w:rsidDel="00000000" w:rsidR="00000000" w:rsidRPr="00000000">
              <w:rPr>
                <w:color w:val="000000"/>
                <w:sz w:val="18"/>
                <w:szCs w:val="18"/>
                <w:rtl w:val="0"/>
              </w:rPr>
              <w:t xml:space="preserve">Kesten JM.</w:t>
              <w:br w:type="textWrapping"/>
              <w:t xml:space="preserve">Thomas K.</w:t>
              <w:br w:type="textWrapping"/>
              <w:t xml:space="preserve">Scott LJ.</w:t>
              <w:br w:type="textWrapping"/>
              <w:t xml:space="preserve">Bache K.</w:t>
              <w:br w:type="textWrapping"/>
              <w:t xml:space="preserve">Hickman M.</w:t>
              <w:br w:type="textWrapping"/>
              <w:t xml:space="preserve">Campbell R</w:t>
              <w:br w:type="textWrapping"/>
              <w:t xml:space="preserve">Pickering AE</w:t>
              <w:br w:type="textWrapping"/>
              <w:t xml:space="preserve">Redwood S</w:t>
            </w:r>
          </w:p>
        </w:tc>
        <w:tc>
          <w:tcPr>
            <w:vAlign w:val="center"/>
          </w:tcPr>
          <w:p w:rsidR="00000000" w:rsidDel="00000000" w:rsidP="00000000" w:rsidRDefault="00000000" w:rsidRPr="00000000" w14:paraId="00001290">
            <w:pPr>
              <w:jc w:val="center"/>
              <w:rPr>
                <w:color w:val="000000"/>
                <w:sz w:val="18"/>
                <w:szCs w:val="18"/>
              </w:rPr>
            </w:pPr>
            <w:r w:rsidDel="00000000" w:rsidR="00000000" w:rsidRPr="00000000">
              <w:rPr>
                <w:color w:val="000000"/>
                <w:sz w:val="18"/>
                <w:szCs w:val="18"/>
                <w:rtl w:val="0"/>
              </w:rPr>
              <w:t xml:space="preserve">2020</w:t>
            </w:r>
          </w:p>
        </w:tc>
        <w:tc>
          <w:tcPr>
            <w:vAlign w:val="center"/>
          </w:tcPr>
          <w:p w:rsidR="00000000" w:rsidDel="00000000" w:rsidP="00000000" w:rsidRDefault="00000000" w:rsidRPr="00000000" w14:paraId="00001291">
            <w:pPr>
              <w:jc w:val="center"/>
              <w:rPr>
                <w:color w:val="000000"/>
                <w:sz w:val="18"/>
                <w:szCs w:val="18"/>
              </w:rPr>
            </w:pPr>
            <w:r w:rsidDel="00000000" w:rsidR="00000000" w:rsidRPr="00000000">
              <w:rPr>
                <w:color w:val="000000"/>
                <w:sz w:val="18"/>
                <w:szCs w:val="18"/>
                <w:rtl w:val="0"/>
              </w:rPr>
              <w:t xml:space="preserve">Opioid tapering after surgery: a qualitative study of patients' experiences.</w:t>
            </w:r>
          </w:p>
        </w:tc>
        <w:tc>
          <w:tcPr>
            <w:vAlign w:val="center"/>
          </w:tcPr>
          <w:p w:rsidR="00000000" w:rsidDel="00000000" w:rsidP="00000000" w:rsidRDefault="00000000" w:rsidRPr="00000000" w14:paraId="00001292">
            <w:pPr>
              <w:jc w:val="center"/>
              <w:rPr>
                <w:sz w:val="18"/>
                <w:szCs w:val="18"/>
              </w:rPr>
            </w:pPr>
            <w:r w:rsidDel="00000000" w:rsidR="00000000" w:rsidRPr="00000000">
              <w:rPr>
                <w:sz w:val="18"/>
                <w:szCs w:val="18"/>
                <w:rtl w:val="0"/>
              </w:rPr>
              <w:t xml:space="preserve">Interviews with patients who used opioids before surgery who still used opioids 6 months following spinal surgery, aged between 43 and 82.</w:t>
            </w:r>
          </w:p>
        </w:tc>
        <w:tc>
          <w:tcPr>
            <w:vAlign w:val="center"/>
          </w:tcPr>
          <w:p w:rsidR="00000000" w:rsidDel="00000000" w:rsidP="00000000" w:rsidRDefault="00000000" w:rsidRPr="00000000" w14:paraId="00001293">
            <w:pPr>
              <w:jc w:val="center"/>
              <w:rPr>
                <w:sz w:val="18"/>
                <w:szCs w:val="18"/>
              </w:rPr>
            </w:pPr>
            <w:r w:rsidDel="00000000" w:rsidR="00000000" w:rsidRPr="00000000">
              <w:rPr>
                <w:sz w:val="18"/>
                <w:szCs w:val="18"/>
                <w:rtl w:val="0"/>
              </w:rPr>
              <w:t xml:space="preserve">15</w:t>
            </w:r>
          </w:p>
        </w:tc>
        <w:tc>
          <w:tcPr>
            <w:vAlign w:val="center"/>
          </w:tcPr>
          <w:p w:rsidR="00000000" w:rsidDel="00000000" w:rsidP="00000000" w:rsidRDefault="00000000" w:rsidRPr="00000000" w14:paraId="00001294">
            <w:pPr>
              <w:rPr>
                <w:sz w:val="18"/>
                <w:szCs w:val="18"/>
              </w:rPr>
            </w:pPr>
            <w:r w:rsidDel="00000000" w:rsidR="00000000" w:rsidRPr="00000000">
              <w:rPr>
                <w:sz w:val="18"/>
                <w:szCs w:val="18"/>
                <w:rtl w:val="0"/>
              </w:rPr>
              <w:t xml:space="preserve">Life with pain and opioids: Pain meant a patient's partner had a heavier burden, impacting her mood and was leading into a state of social isolation.  Family, friends and healthcare professionals associated opioid use with addiction and felt they were being stigmatised. This led some patients to not share their use.</w:t>
              <w:br w:type="textWrapping"/>
              <w:br w:type="textWrapping"/>
              <w:t xml:space="preserve">Barriers for opioid tapering: Increased pain, ability to carry out daily activities without pain, increased social life due to reduced pain, increased quality of life due to lack of pain, opioid dependency, fear of withdrawals.</w:t>
              <w:br w:type="textWrapping"/>
              <w:br w:type="textWrapping"/>
              <w:t xml:space="preserve">Facilitators for opioid tapering: Opioids are perceived as unhealthy, side effects (although rarely sufficient to motivate tapering), a trusting relationship between healthcare professional and patients, support from healthcare professional, counselling, alternative pain treatments.</w:t>
            </w:r>
          </w:p>
        </w:tc>
        <w:tc>
          <w:tcPr>
            <w:vAlign w:val="center"/>
          </w:tcPr>
          <w:p w:rsidR="00000000" w:rsidDel="00000000" w:rsidP="00000000" w:rsidRDefault="00000000" w:rsidRPr="00000000" w14:paraId="00001295">
            <w:pPr>
              <w:rPr>
                <w:sz w:val="18"/>
                <w:szCs w:val="18"/>
              </w:rPr>
            </w:pPr>
            <w:r w:rsidDel="00000000" w:rsidR="00000000" w:rsidRPr="00000000">
              <w:rPr>
                <w:sz w:val="18"/>
                <w:szCs w:val="18"/>
                <w:rtl w:val="0"/>
              </w:rPr>
              <w:t xml:space="preserve">findings are not generalisable. Gender differences were not a factor measured and an equal balance of genders was not considered.</w:t>
            </w:r>
          </w:p>
        </w:tc>
      </w:tr>
      <w:tr>
        <w:trPr>
          <w:cantSplit w:val="0"/>
          <w:trHeight w:val="1304" w:hRule="atLeast"/>
          <w:tblHeader w:val="0"/>
        </w:trPr>
        <w:tc>
          <w:tcPr>
            <w:vAlign w:val="center"/>
          </w:tcPr>
          <w:p w:rsidR="00000000" w:rsidDel="00000000" w:rsidP="00000000" w:rsidRDefault="00000000" w:rsidRPr="00000000" w14:paraId="00001296">
            <w:pPr>
              <w:rPr>
                <w:b w:val="0"/>
                <w:color w:val="000000"/>
                <w:sz w:val="18"/>
                <w:szCs w:val="18"/>
              </w:rPr>
            </w:pPr>
            <w:r w:rsidDel="00000000" w:rsidR="00000000" w:rsidRPr="00000000">
              <w:rPr>
                <w:b w:val="0"/>
                <w:color w:val="000000"/>
                <w:sz w:val="18"/>
                <w:szCs w:val="18"/>
                <w:rtl w:val="0"/>
              </w:rPr>
              <w:t xml:space="preserve">38</w:t>
            </w:r>
          </w:p>
        </w:tc>
        <w:tc>
          <w:tcPr>
            <w:vAlign w:val="center"/>
          </w:tcPr>
          <w:p w:rsidR="00000000" w:rsidDel="00000000" w:rsidP="00000000" w:rsidRDefault="00000000" w:rsidRPr="00000000" w14:paraId="00001297">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298">
            <w:pPr>
              <w:rPr>
                <w:color w:val="000000"/>
                <w:sz w:val="18"/>
                <w:szCs w:val="18"/>
              </w:rPr>
            </w:pPr>
            <w:r w:rsidDel="00000000" w:rsidR="00000000" w:rsidRPr="00000000">
              <w:rPr>
                <w:color w:val="000000"/>
                <w:sz w:val="18"/>
                <w:szCs w:val="18"/>
                <w:rtl w:val="0"/>
              </w:rPr>
              <w:t xml:space="preserve">Nichols VP.</w:t>
              <w:br w:type="textWrapping"/>
              <w:t xml:space="preserve">Toye F.</w:t>
              <w:br w:type="textWrapping"/>
              <w:t xml:space="preserve">Eldabe S.</w:t>
              <w:br w:type="textWrapping"/>
              <w:t xml:space="preserve">Sandhu HK.</w:t>
              <w:br w:type="textWrapping"/>
              <w:t xml:space="preserve">Underwood M.</w:t>
              <w:br w:type="textWrapping"/>
              <w:t xml:space="preserve">Seers K.</w:t>
            </w:r>
          </w:p>
        </w:tc>
        <w:tc>
          <w:tcPr>
            <w:vAlign w:val="center"/>
          </w:tcPr>
          <w:p w:rsidR="00000000" w:rsidDel="00000000" w:rsidP="00000000" w:rsidRDefault="00000000" w:rsidRPr="00000000" w14:paraId="00001299">
            <w:pPr>
              <w:jc w:val="center"/>
              <w:rPr>
                <w:color w:val="000000"/>
                <w:sz w:val="18"/>
                <w:szCs w:val="18"/>
              </w:rPr>
            </w:pPr>
            <w:r w:rsidDel="00000000" w:rsidR="00000000" w:rsidRPr="00000000">
              <w:rPr>
                <w:color w:val="000000"/>
                <w:sz w:val="18"/>
                <w:szCs w:val="18"/>
                <w:rtl w:val="0"/>
              </w:rPr>
              <w:t xml:space="preserve">2020</w:t>
            </w:r>
          </w:p>
        </w:tc>
        <w:tc>
          <w:tcPr>
            <w:vAlign w:val="center"/>
          </w:tcPr>
          <w:p w:rsidR="00000000" w:rsidDel="00000000" w:rsidP="00000000" w:rsidRDefault="00000000" w:rsidRPr="00000000" w14:paraId="0000129A">
            <w:pPr>
              <w:jc w:val="center"/>
              <w:rPr>
                <w:color w:val="000000"/>
                <w:sz w:val="18"/>
                <w:szCs w:val="18"/>
              </w:rPr>
            </w:pPr>
            <w:r w:rsidDel="00000000" w:rsidR="00000000" w:rsidRPr="00000000">
              <w:rPr>
                <w:color w:val="000000"/>
                <w:sz w:val="18"/>
                <w:szCs w:val="18"/>
                <w:rtl w:val="0"/>
              </w:rPr>
              <w:t xml:space="preserve">Experiences of people taking opioid medication for chronic non-malignant pain: a qualitative evidence synthesis using meta-ethnography.</w:t>
            </w:r>
          </w:p>
        </w:tc>
        <w:tc>
          <w:tcPr>
            <w:vAlign w:val="center"/>
          </w:tcPr>
          <w:p w:rsidR="00000000" w:rsidDel="00000000" w:rsidP="00000000" w:rsidRDefault="00000000" w:rsidRPr="00000000" w14:paraId="0000129B">
            <w:pPr>
              <w:jc w:val="center"/>
              <w:rPr>
                <w:sz w:val="18"/>
                <w:szCs w:val="18"/>
              </w:rPr>
            </w:pPr>
            <w:hyperlink r:id="rId133">
              <w:r w:rsidDel="00000000" w:rsidR="00000000" w:rsidRPr="00000000">
                <w:rPr>
                  <w:sz w:val="18"/>
                  <w:szCs w:val="18"/>
                  <w:rtl w:val="0"/>
                </w:rPr>
                <w:t xml:space="preserve">Ethnographic study</w:t>
              </w:r>
            </w:hyperlink>
            <w:r w:rsidDel="00000000" w:rsidR="00000000" w:rsidRPr="00000000">
              <w:rPr>
                <w:rtl w:val="0"/>
              </w:rPr>
            </w:r>
          </w:p>
        </w:tc>
        <w:tc>
          <w:tcPr>
            <w:vAlign w:val="center"/>
          </w:tcPr>
          <w:p w:rsidR="00000000" w:rsidDel="00000000" w:rsidP="00000000" w:rsidRDefault="00000000" w:rsidRPr="00000000" w14:paraId="0000129C">
            <w:pPr>
              <w:jc w:val="center"/>
              <w:rPr>
                <w:sz w:val="18"/>
                <w:szCs w:val="18"/>
              </w:rPr>
            </w:pPr>
            <w:r w:rsidDel="00000000" w:rsidR="00000000" w:rsidRPr="00000000">
              <w:rPr>
                <w:sz w:val="18"/>
                <w:szCs w:val="18"/>
                <w:rtl w:val="0"/>
              </w:rPr>
              <w:t xml:space="preserve">31</w:t>
            </w:r>
          </w:p>
        </w:tc>
        <w:tc>
          <w:tcPr>
            <w:vAlign w:val="center"/>
          </w:tcPr>
          <w:p w:rsidR="00000000" w:rsidDel="00000000" w:rsidP="00000000" w:rsidRDefault="00000000" w:rsidRPr="00000000" w14:paraId="0000129D">
            <w:pPr>
              <w:rPr>
                <w:sz w:val="18"/>
                <w:szCs w:val="18"/>
              </w:rPr>
            </w:pPr>
            <w:r w:rsidDel="00000000" w:rsidR="00000000" w:rsidRPr="00000000">
              <w:rPr>
                <w:sz w:val="18"/>
                <w:szCs w:val="18"/>
                <w:rtl w:val="0"/>
              </w:rPr>
              <w:t xml:space="preserve">Understanding opioids: This describes patient knowledge. There was often poor knowledge about using opioids for chronic pain, addiction, overdose risk and side effects. Patients often had to defend their usage which added stress to healthcare experiences. Some however, felt well informed and gave patients confidence in their medication taking behaviour.</w:t>
              <w:br w:type="textWrapping"/>
              <w:br w:type="textWrapping"/>
              <w:t xml:space="preserve">Therapeutic alliance: This describes a therapeutic alliance between patients and their healthcare professional. General feeling patients and prescribers were not on "the same page" which was considered important. Some felt not listened to, lack of empathy, reluctance to prescribe or restriction on prescription. Having blood tests/urine tests improved perception of care. Communication was valued.</w:t>
              <w:br w:type="textWrapping"/>
              <w:br w:type="textWrapping"/>
              <w:t xml:space="preserve">Stigma:  From medical professionals, colleagues and relationships. Some made a conscious decision not to share this information. Relationships suffered when the patient feels unsupported. Fears of addiction</w:t>
              <w:br w:type="textWrapping"/>
              <w:br w:type="textWrapping"/>
              <w:t xml:space="preserve">Challenge of tapering/withdrawal: Anxiety of tapering and withdrawal alleviated by communication, a trusted healthcare professional, collaboration between patients and practitioners,</w:t>
            </w:r>
          </w:p>
        </w:tc>
        <w:tc>
          <w:tcPr>
            <w:vAlign w:val="center"/>
          </w:tcPr>
          <w:p w:rsidR="00000000" w:rsidDel="00000000" w:rsidP="00000000" w:rsidRDefault="00000000" w:rsidRPr="00000000" w14:paraId="0000129E">
            <w:pPr>
              <w:rPr>
                <w:sz w:val="18"/>
                <w:szCs w:val="18"/>
              </w:rPr>
            </w:pPr>
            <w:r w:rsidDel="00000000" w:rsidR="00000000" w:rsidRPr="00000000">
              <w:rPr>
                <w:sz w:val="18"/>
                <w:szCs w:val="18"/>
                <w:rtl w:val="0"/>
              </w:rPr>
              <w:t xml:space="preserve">Majority of studies from USA and this has its own healthcare model. Not all studies gave Morphine equivalents, meaning the researchers were unable to determine the level of dosage.</w:t>
            </w:r>
          </w:p>
        </w:tc>
      </w:tr>
      <w:tr>
        <w:trPr>
          <w:cantSplit w:val="0"/>
          <w:trHeight w:val="79" w:hRule="atLeast"/>
          <w:tblHeader w:val="0"/>
        </w:trPr>
        <w:tc>
          <w:tcPr>
            <w:vAlign w:val="center"/>
          </w:tcPr>
          <w:p w:rsidR="00000000" w:rsidDel="00000000" w:rsidP="00000000" w:rsidRDefault="00000000" w:rsidRPr="00000000" w14:paraId="0000129F">
            <w:pPr>
              <w:rPr>
                <w:b w:val="0"/>
                <w:color w:val="000000"/>
                <w:sz w:val="18"/>
                <w:szCs w:val="18"/>
              </w:rPr>
            </w:pPr>
            <w:r w:rsidDel="00000000" w:rsidR="00000000" w:rsidRPr="00000000">
              <w:rPr>
                <w:b w:val="0"/>
                <w:color w:val="000000"/>
                <w:sz w:val="18"/>
                <w:szCs w:val="18"/>
                <w:rtl w:val="0"/>
              </w:rPr>
              <w:t xml:space="preserve">39</w:t>
            </w:r>
          </w:p>
        </w:tc>
        <w:tc>
          <w:tcPr>
            <w:vAlign w:val="center"/>
          </w:tcPr>
          <w:p w:rsidR="00000000" w:rsidDel="00000000" w:rsidP="00000000" w:rsidRDefault="00000000" w:rsidRPr="00000000" w14:paraId="000012A0">
            <w:pPr>
              <w:rPr>
                <w:b w:val="1"/>
                <w:color w:val="000000"/>
                <w:sz w:val="18"/>
                <w:szCs w:val="18"/>
              </w:rPr>
            </w:pPr>
            <w:r w:rsidDel="00000000" w:rsidR="00000000" w:rsidRPr="00000000">
              <w:rPr>
                <w:b w:val="1"/>
                <w:color w:val="000000"/>
                <w:sz w:val="18"/>
                <w:szCs w:val="18"/>
                <w:rtl w:val="0"/>
              </w:rPr>
              <w:t xml:space="preserve">Sweden</w:t>
            </w:r>
          </w:p>
        </w:tc>
        <w:tc>
          <w:tcPr>
            <w:vAlign w:val="center"/>
          </w:tcPr>
          <w:p w:rsidR="00000000" w:rsidDel="00000000" w:rsidP="00000000" w:rsidRDefault="00000000" w:rsidRPr="00000000" w14:paraId="000012A1">
            <w:pPr>
              <w:rPr>
                <w:color w:val="000000"/>
                <w:sz w:val="18"/>
                <w:szCs w:val="18"/>
              </w:rPr>
            </w:pPr>
            <w:r w:rsidDel="00000000" w:rsidR="00000000" w:rsidRPr="00000000">
              <w:rPr>
                <w:color w:val="000000"/>
                <w:sz w:val="18"/>
                <w:szCs w:val="18"/>
                <w:rtl w:val="0"/>
              </w:rPr>
              <w:t xml:space="preserve">Ljungvall H.</w:t>
              <w:br w:type="textWrapping"/>
              <w:t xml:space="preserve">Rhodin A.</w:t>
              <w:br w:type="textWrapping"/>
              <w:t xml:space="preserve">Wagner S.</w:t>
              <w:br w:type="textWrapping"/>
              <w:t xml:space="preserve">Zetterberg H.</w:t>
              <w:br w:type="textWrapping"/>
              <w:t xml:space="preserve">Asenlof P.</w:t>
            </w:r>
          </w:p>
        </w:tc>
        <w:tc>
          <w:tcPr>
            <w:vAlign w:val="center"/>
          </w:tcPr>
          <w:p w:rsidR="00000000" w:rsidDel="00000000" w:rsidP="00000000" w:rsidRDefault="00000000" w:rsidRPr="00000000" w14:paraId="000012A2">
            <w:pPr>
              <w:jc w:val="center"/>
              <w:rPr>
                <w:color w:val="000000"/>
                <w:sz w:val="18"/>
                <w:szCs w:val="18"/>
              </w:rPr>
            </w:pPr>
            <w:r w:rsidDel="00000000" w:rsidR="00000000" w:rsidRPr="00000000">
              <w:rPr>
                <w:color w:val="000000"/>
                <w:sz w:val="18"/>
                <w:szCs w:val="18"/>
                <w:rtl w:val="0"/>
              </w:rPr>
              <w:t xml:space="preserve">2020</w:t>
            </w:r>
          </w:p>
        </w:tc>
        <w:tc>
          <w:tcPr>
            <w:vAlign w:val="center"/>
          </w:tcPr>
          <w:p w:rsidR="00000000" w:rsidDel="00000000" w:rsidP="00000000" w:rsidRDefault="00000000" w:rsidRPr="00000000" w14:paraId="000012A3">
            <w:pPr>
              <w:jc w:val="center"/>
              <w:rPr>
                <w:color w:val="000000"/>
                <w:sz w:val="18"/>
                <w:szCs w:val="18"/>
              </w:rPr>
            </w:pPr>
            <w:r w:rsidDel="00000000" w:rsidR="00000000" w:rsidRPr="00000000">
              <w:rPr>
                <w:color w:val="000000"/>
                <w:sz w:val="18"/>
                <w:szCs w:val="18"/>
                <w:rtl w:val="0"/>
              </w:rPr>
              <w:t xml:space="preserve">"My life is under control with these medications": an interpretative phenomenological analysis of managing chronic pain with opioids.</w:t>
            </w:r>
          </w:p>
        </w:tc>
        <w:tc>
          <w:tcPr>
            <w:vAlign w:val="center"/>
          </w:tcPr>
          <w:p w:rsidR="00000000" w:rsidDel="00000000" w:rsidP="00000000" w:rsidRDefault="00000000" w:rsidRPr="00000000" w14:paraId="000012A4">
            <w:pPr>
              <w:jc w:val="center"/>
              <w:rPr>
                <w:color w:val="000000"/>
                <w:sz w:val="18"/>
                <w:szCs w:val="18"/>
              </w:rPr>
            </w:pPr>
            <w:r w:rsidDel="00000000" w:rsidR="00000000" w:rsidRPr="00000000">
              <w:rPr>
                <w:color w:val="000000"/>
                <w:sz w:val="18"/>
                <w:szCs w:val="18"/>
                <w:rtl w:val="0"/>
              </w:rPr>
              <w:t xml:space="preserve">Interviews with pain clinic patients in Swedish tertiary care</w:t>
            </w:r>
          </w:p>
        </w:tc>
        <w:tc>
          <w:tcPr>
            <w:vAlign w:val="center"/>
          </w:tcPr>
          <w:p w:rsidR="00000000" w:rsidDel="00000000" w:rsidP="00000000" w:rsidRDefault="00000000" w:rsidRPr="00000000" w14:paraId="000012A5">
            <w:pPr>
              <w:jc w:val="center"/>
              <w:rPr>
                <w:color w:val="000000"/>
                <w:sz w:val="18"/>
                <w:szCs w:val="18"/>
              </w:rPr>
            </w:pPr>
            <w:r w:rsidDel="00000000" w:rsidR="00000000" w:rsidRPr="00000000">
              <w:rPr>
                <w:color w:val="000000"/>
                <w:sz w:val="18"/>
                <w:szCs w:val="18"/>
                <w:rtl w:val="0"/>
              </w:rPr>
              <w:t xml:space="preserve">10</w:t>
            </w:r>
          </w:p>
        </w:tc>
        <w:tc>
          <w:tcPr>
            <w:vAlign w:val="center"/>
          </w:tcPr>
          <w:p w:rsidR="00000000" w:rsidDel="00000000" w:rsidP="00000000" w:rsidRDefault="00000000" w:rsidRPr="00000000" w14:paraId="000012A6">
            <w:pPr>
              <w:rPr>
                <w:color w:val="000000"/>
                <w:sz w:val="18"/>
                <w:szCs w:val="18"/>
              </w:rPr>
            </w:pPr>
            <w:r w:rsidDel="00000000" w:rsidR="00000000" w:rsidRPr="00000000">
              <w:rPr>
                <w:color w:val="000000"/>
                <w:sz w:val="18"/>
                <w:szCs w:val="18"/>
                <w:rtl w:val="0"/>
              </w:rPr>
              <w:t xml:space="preserve">"Without opioids, the pain becomes boss" - pain takes control of one’s life, pain before opioids was unbearable, opioids provide respite from pain, chronic pain affects the inner world and sense of self, participants feared opioids altered their lived experience of the world (stigma and side effects), chronic pain is uncontrollable/unpredictable/loss of agency, opioids did not take away all the pain but made it controllable, feelings of control from the drug and the prescriber.</w:t>
              <w:br w:type="textWrapping"/>
              <w:br w:type="textWrapping"/>
              <w:t xml:space="preserve">"Opioids as a salvation and a curse" - all participants were made aware of risks, previous substance use disorder led one participant to overuse medication, difference between physical dependence and addiction, opioids not associated with euphoria/pleasure/loss of control, tolerance was a natural consequence, some vigilant to signs of dependence/withdrawal, OST was offered to some, opioids were considered problematic due to the association with OUD, all feel they should not be accessible, however opioids are an effective treatment.</w:t>
              <w:br w:type="textWrapping"/>
              <w:br w:type="textWrapping"/>
              <w:t xml:space="preserve">"Acknowledgement of the pain and acceptance of opioid therapy enables transition to a novel self" - pain and suffering was validated by opioid prescriptions, some felt incriminated as opposed to vulnerable due to chronic pain, denial of help is associated with not being believed/taken seriously or being silenced, not being heard was met with hopelessness/anger/despair, denial of opioids creates feelings of abandonment.</w:t>
            </w:r>
          </w:p>
        </w:tc>
        <w:tc>
          <w:tcPr>
            <w:vAlign w:val="center"/>
          </w:tcPr>
          <w:p w:rsidR="00000000" w:rsidDel="00000000" w:rsidP="00000000" w:rsidRDefault="00000000" w:rsidRPr="00000000" w14:paraId="000012A7">
            <w:pPr>
              <w:rPr>
                <w:color w:val="000000"/>
                <w:sz w:val="18"/>
                <w:szCs w:val="18"/>
              </w:rPr>
            </w:pPr>
            <w:r w:rsidDel="00000000" w:rsidR="00000000" w:rsidRPr="00000000">
              <w:rPr>
                <w:color w:val="000000"/>
                <w:sz w:val="18"/>
                <w:szCs w:val="18"/>
                <w:rtl w:val="0"/>
              </w:rPr>
              <w:t xml:space="preserve">Participants were identified by practitioners, so potential bias to those who practitioners have a good relationship with.</w:t>
            </w:r>
          </w:p>
        </w:tc>
      </w:tr>
      <w:tr>
        <w:trPr>
          <w:cantSplit w:val="0"/>
          <w:trHeight w:val="79" w:hRule="atLeast"/>
          <w:tblHeader w:val="0"/>
        </w:trPr>
        <w:tc>
          <w:tcPr>
            <w:vAlign w:val="center"/>
          </w:tcPr>
          <w:p w:rsidR="00000000" w:rsidDel="00000000" w:rsidP="00000000" w:rsidRDefault="00000000" w:rsidRPr="00000000" w14:paraId="000012A8">
            <w:pPr>
              <w:rPr>
                <w:b w:val="0"/>
                <w:color w:val="000000"/>
                <w:sz w:val="18"/>
                <w:szCs w:val="18"/>
              </w:rPr>
            </w:pPr>
            <w:r w:rsidDel="00000000" w:rsidR="00000000" w:rsidRPr="00000000">
              <w:rPr>
                <w:b w:val="0"/>
                <w:color w:val="000000"/>
                <w:sz w:val="18"/>
                <w:szCs w:val="18"/>
                <w:rtl w:val="0"/>
              </w:rPr>
              <w:t xml:space="preserve">40</w:t>
            </w:r>
          </w:p>
        </w:tc>
        <w:tc>
          <w:tcPr>
            <w:vAlign w:val="center"/>
          </w:tcPr>
          <w:p w:rsidR="00000000" w:rsidDel="00000000" w:rsidP="00000000" w:rsidRDefault="00000000" w:rsidRPr="00000000" w14:paraId="000012A9">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2AA">
            <w:pPr>
              <w:rPr>
                <w:sz w:val="18"/>
                <w:szCs w:val="18"/>
              </w:rPr>
            </w:pPr>
            <w:r w:rsidDel="00000000" w:rsidR="00000000" w:rsidRPr="00000000">
              <w:rPr>
                <w:sz w:val="18"/>
                <w:szCs w:val="18"/>
                <w:rtl w:val="0"/>
              </w:rPr>
              <w:t xml:space="preserve">Davies J. </w:t>
              <w:br w:type="textWrapping"/>
              <w:t xml:space="preserve">Read J.</w:t>
            </w:r>
          </w:p>
        </w:tc>
        <w:tc>
          <w:tcPr>
            <w:vAlign w:val="center"/>
          </w:tcPr>
          <w:p w:rsidR="00000000" w:rsidDel="00000000" w:rsidP="00000000" w:rsidRDefault="00000000" w:rsidRPr="00000000" w14:paraId="000012AB">
            <w:pPr>
              <w:jc w:val="center"/>
              <w:rPr>
                <w:sz w:val="18"/>
                <w:szCs w:val="18"/>
              </w:rPr>
            </w:pPr>
            <w:r w:rsidDel="00000000" w:rsidR="00000000" w:rsidRPr="00000000">
              <w:rPr>
                <w:sz w:val="18"/>
                <w:szCs w:val="18"/>
                <w:rtl w:val="0"/>
              </w:rPr>
              <w:t xml:space="preserve">2021</w:t>
            </w:r>
          </w:p>
        </w:tc>
        <w:tc>
          <w:tcPr>
            <w:vAlign w:val="center"/>
          </w:tcPr>
          <w:p w:rsidR="00000000" w:rsidDel="00000000" w:rsidP="00000000" w:rsidRDefault="00000000" w:rsidRPr="00000000" w14:paraId="000012AC">
            <w:pPr>
              <w:jc w:val="center"/>
              <w:rPr>
                <w:sz w:val="18"/>
                <w:szCs w:val="18"/>
              </w:rPr>
            </w:pPr>
            <w:hyperlink r:id="rId134">
              <w:r w:rsidDel="00000000" w:rsidR="00000000" w:rsidRPr="00000000">
                <w:rPr>
                  <w:sz w:val="18"/>
                  <w:szCs w:val="18"/>
                  <w:rtl w:val="0"/>
                </w:rPr>
                <w:t xml:space="preserve">A systematic review into the incidence, severity and duration of antidepressant withdrawal effects: Are guidelines evidence-based?</w:t>
              </w:r>
            </w:hyperlink>
            <w:r w:rsidDel="00000000" w:rsidR="00000000" w:rsidRPr="00000000">
              <w:rPr>
                <w:rtl w:val="0"/>
              </w:rPr>
            </w:r>
          </w:p>
        </w:tc>
        <w:tc>
          <w:tcPr>
            <w:vAlign w:val="center"/>
          </w:tcPr>
          <w:p w:rsidR="00000000" w:rsidDel="00000000" w:rsidP="00000000" w:rsidRDefault="00000000" w:rsidRPr="00000000" w14:paraId="000012AD">
            <w:pPr>
              <w:jc w:val="center"/>
              <w:rPr>
                <w:sz w:val="18"/>
                <w:szCs w:val="18"/>
              </w:rPr>
            </w:pPr>
            <w:r w:rsidDel="00000000" w:rsidR="00000000" w:rsidRPr="00000000">
              <w:rPr>
                <w:sz w:val="18"/>
                <w:szCs w:val="18"/>
                <w:rtl w:val="0"/>
              </w:rPr>
              <w:t xml:space="preserve">Systematic literature review</w:t>
            </w:r>
          </w:p>
        </w:tc>
        <w:tc>
          <w:tcPr>
            <w:vAlign w:val="center"/>
          </w:tcPr>
          <w:p w:rsidR="00000000" w:rsidDel="00000000" w:rsidP="00000000" w:rsidRDefault="00000000" w:rsidRPr="00000000" w14:paraId="000012AE">
            <w:pPr>
              <w:jc w:val="center"/>
              <w:rPr>
                <w:sz w:val="18"/>
                <w:szCs w:val="18"/>
              </w:rPr>
            </w:pPr>
            <w:r w:rsidDel="00000000" w:rsidR="00000000" w:rsidRPr="00000000">
              <w:rPr>
                <w:sz w:val="18"/>
                <w:szCs w:val="18"/>
                <w:rtl w:val="0"/>
              </w:rPr>
              <w:t xml:space="preserve">24</w:t>
            </w:r>
          </w:p>
        </w:tc>
        <w:tc>
          <w:tcPr>
            <w:vAlign w:val="center"/>
          </w:tcPr>
          <w:p w:rsidR="00000000" w:rsidDel="00000000" w:rsidP="00000000" w:rsidRDefault="00000000" w:rsidRPr="00000000" w14:paraId="000012AF">
            <w:pPr>
              <w:rPr>
                <w:sz w:val="18"/>
                <w:szCs w:val="18"/>
              </w:rPr>
            </w:pPr>
            <w:r w:rsidDel="00000000" w:rsidR="00000000" w:rsidRPr="00000000">
              <w:rPr>
                <w:sz w:val="18"/>
                <w:szCs w:val="18"/>
                <w:rtl w:val="0"/>
              </w:rPr>
              <w:t xml:space="preserve">Incidence: </w:t>
              <w:br w:type="textWrapping"/>
              <w:br w:type="textWrapping"/>
              <w:t xml:space="preserve">77% exhibited withdrawal symptoms within 7 days of abrupt cessation.</w:t>
              <w:br w:type="textWrapping"/>
              <w:br w:type="textWrapping"/>
              <w:t xml:space="preserve">67% experienced withdrawal symptoms when stopping Fluoxetine</w:t>
              <w:br w:type="textWrapping"/>
              <w:br w:type="textWrapping"/>
              <w:t xml:space="preserve">85% experienced withdrawal symptoms when stopping Venlafaxine</w:t>
              <w:br w:type="textWrapping"/>
              <w:br w:type="textWrapping"/>
              <w:t xml:space="preserve">56% experienced withdrawal symptoms when stopping Escitalopram</w:t>
              <w:br w:type="textWrapping"/>
              <w:br w:type="textWrapping"/>
              <w:t xml:space="preserve">37% reported dependence</w:t>
              <w:br w:type="textWrapping"/>
              <w:br w:type="textWrapping"/>
              <w:t xml:space="preserve">Severity: 46% of participants reported 'severe' withdrawal symptoms, 32% of participants reported 'moderate' withdrawal symptoms</w:t>
              <w:br w:type="textWrapping"/>
              <w:br w:type="textWrapping"/>
              <w:t xml:space="preserve">Duration: Withdrawal symptoms are reported to last between 1 and 52 days dependent on severity, duration of treatment, and individual pharmakinetics.</w:t>
            </w:r>
          </w:p>
        </w:tc>
        <w:tc>
          <w:tcPr>
            <w:vAlign w:val="center"/>
          </w:tcPr>
          <w:p w:rsidR="00000000" w:rsidDel="00000000" w:rsidP="00000000" w:rsidRDefault="00000000" w:rsidRPr="00000000" w14:paraId="000012B0">
            <w:pPr>
              <w:rPr>
                <w:sz w:val="18"/>
                <w:szCs w:val="18"/>
              </w:rPr>
            </w:pPr>
            <w:r w:rsidDel="00000000" w:rsidR="00000000" w:rsidRPr="00000000">
              <w:rPr>
                <w:sz w:val="18"/>
                <w:szCs w:val="18"/>
                <w:rtl w:val="0"/>
              </w:rPr>
              <w:t xml:space="preserve">6 studies were funded by drug developers.</w:t>
              <w:br w:type="textWrapping"/>
              <w:br w:type="textWrapping"/>
              <w:t xml:space="preserve">Calculations of withdrawal severity and duration for each medication were not conducted.</w:t>
              <w:br w:type="textWrapping"/>
              <w:br w:type="textWrapping"/>
              <w:t xml:space="preserve">Recruitment from social media, which has a social bias to younger people who are experiencing negative symptoms or side effects from medication.</w:t>
            </w:r>
          </w:p>
        </w:tc>
      </w:tr>
      <w:tr>
        <w:trPr>
          <w:cantSplit w:val="0"/>
          <w:trHeight w:val="79" w:hRule="atLeast"/>
          <w:tblHeader w:val="0"/>
        </w:trPr>
        <w:tc>
          <w:tcPr>
            <w:vAlign w:val="center"/>
          </w:tcPr>
          <w:p w:rsidR="00000000" w:rsidDel="00000000" w:rsidP="00000000" w:rsidRDefault="00000000" w:rsidRPr="00000000" w14:paraId="000012B1">
            <w:pPr>
              <w:rPr>
                <w:b w:val="0"/>
                <w:color w:val="000000"/>
                <w:sz w:val="18"/>
                <w:szCs w:val="18"/>
              </w:rPr>
            </w:pPr>
            <w:r w:rsidDel="00000000" w:rsidR="00000000" w:rsidRPr="00000000">
              <w:rPr>
                <w:b w:val="0"/>
                <w:color w:val="000000"/>
                <w:sz w:val="18"/>
                <w:szCs w:val="18"/>
                <w:rtl w:val="0"/>
              </w:rPr>
              <w:t xml:space="preserve">41</w:t>
            </w:r>
          </w:p>
        </w:tc>
        <w:tc>
          <w:tcPr>
            <w:vAlign w:val="center"/>
          </w:tcPr>
          <w:p w:rsidR="00000000" w:rsidDel="00000000" w:rsidP="00000000" w:rsidRDefault="00000000" w:rsidRPr="00000000" w14:paraId="000012B2">
            <w:pPr>
              <w:rPr>
                <w:b w:val="1"/>
                <w:sz w:val="18"/>
                <w:szCs w:val="18"/>
              </w:rPr>
            </w:pPr>
            <w:r w:rsidDel="00000000" w:rsidR="00000000" w:rsidRPr="00000000">
              <w:rPr>
                <w:b w:val="1"/>
                <w:sz w:val="18"/>
                <w:szCs w:val="18"/>
                <w:rtl w:val="0"/>
              </w:rPr>
              <w:t xml:space="preserve">International</w:t>
            </w:r>
          </w:p>
        </w:tc>
        <w:tc>
          <w:tcPr>
            <w:vAlign w:val="center"/>
          </w:tcPr>
          <w:p w:rsidR="00000000" w:rsidDel="00000000" w:rsidP="00000000" w:rsidRDefault="00000000" w:rsidRPr="00000000" w14:paraId="000012B3">
            <w:pPr>
              <w:rPr>
                <w:sz w:val="18"/>
                <w:szCs w:val="18"/>
              </w:rPr>
            </w:pPr>
            <w:r w:rsidDel="00000000" w:rsidR="00000000" w:rsidRPr="00000000">
              <w:rPr>
                <w:sz w:val="18"/>
                <w:szCs w:val="18"/>
                <w:rtl w:val="0"/>
              </w:rPr>
              <w:t xml:space="preserve">Read J.</w:t>
            </w:r>
          </w:p>
        </w:tc>
        <w:tc>
          <w:tcPr>
            <w:vAlign w:val="center"/>
          </w:tcPr>
          <w:p w:rsidR="00000000" w:rsidDel="00000000" w:rsidP="00000000" w:rsidRDefault="00000000" w:rsidRPr="00000000" w14:paraId="000012B4">
            <w:pPr>
              <w:jc w:val="center"/>
              <w:rPr>
                <w:sz w:val="18"/>
                <w:szCs w:val="18"/>
              </w:rPr>
            </w:pPr>
            <w:r w:rsidDel="00000000" w:rsidR="00000000" w:rsidRPr="00000000">
              <w:rPr>
                <w:sz w:val="18"/>
                <w:szCs w:val="18"/>
                <w:rtl w:val="0"/>
              </w:rPr>
              <w:t xml:space="preserve">2021</w:t>
            </w:r>
          </w:p>
        </w:tc>
        <w:tc>
          <w:tcPr>
            <w:vAlign w:val="center"/>
          </w:tcPr>
          <w:p w:rsidR="00000000" w:rsidDel="00000000" w:rsidP="00000000" w:rsidRDefault="00000000" w:rsidRPr="00000000" w14:paraId="000012B5">
            <w:pPr>
              <w:jc w:val="center"/>
              <w:rPr>
                <w:sz w:val="18"/>
                <w:szCs w:val="18"/>
              </w:rPr>
            </w:pPr>
            <w:hyperlink r:id="rId135">
              <w:r w:rsidDel="00000000" w:rsidR="00000000" w:rsidRPr="00000000">
                <w:rPr>
                  <w:sz w:val="18"/>
                  <w:szCs w:val="18"/>
                  <w:rtl w:val="0"/>
                </w:rPr>
                <w:t xml:space="preserve">How common and severe are six withdrawal effects from, and addiction to, antidepressants? The experiences of a large international sample of patients.</w:t>
              </w:r>
            </w:hyperlink>
            <w:r w:rsidDel="00000000" w:rsidR="00000000" w:rsidRPr="00000000">
              <w:rPr>
                <w:rtl w:val="0"/>
              </w:rPr>
            </w:r>
          </w:p>
        </w:tc>
        <w:tc>
          <w:tcPr>
            <w:vAlign w:val="center"/>
          </w:tcPr>
          <w:p w:rsidR="00000000" w:rsidDel="00000000" w:rsidP="00000000" w:rsidRDefault="00000000" w:rsidRPr="00000000" w14:paraId="000012B6">
            <w:pPr>
              <w:jc w:val="center"/>
              <w:rPr>
                <w:sz w:val="18"/>
                <w:szCs w:val="18"/>
              </w:rPr>
            </w:pPr>
            <w:r w:rsidDel="00000000" w:rsidR="00000000" w:rsidRPr="00000000">
              <w:rPr>
                <w:sz w:val="18"/>
                <w:szCs w:val="18"/>
                <w:rtl w:val="0"/>
              </w:rPr>
              <w:t xml:space="preserve">online survey</w:t>
            </w:r>
          </w:p>
        </w:tc>
        <w:tc>
          <w:tcPr>
            <w:vAlign w:val="center"/>
          </w:tcPr>
          <w:p w:rsidR="00000000" w:rsidDel="00000000" w:rsidP="00000000" w:rsidRDefault="00000000" w:rsidRPr="00000000" w14:paraId="000012B7">
            <w:pPr>
              <w:jc w:val="center"/>
              <w:rPr>
                <w:sz w:val="18"/>
                <w:szCs w:val="18"/>
              </w:rPr>
            </w:pPr>
            <w:r w:rsidDel="00000000" w:rsidR="00000000" w:rsidRPr="00000000">
              <w:rPr>
                <w:sz w:val="18"/>
                <w:szCs w:val="18"/>
                <w:rtl w:val="0"/>
              </w:rPr>
              <w:t xml:space="preserve">867 respondents in 31 countries</w:t>
            </w:r>
          </w:p>
        </w:tc>
        <w:tc>
          <w:tcPr>
            <w:vAlign w:val="center"/>
          </w:tcPr>
          <w:p w:rsidR="00000000" w:rsidDel="00000000" w:rsidP="00000000" w:rsidRDefault="00000000" w:rsidRPr="00000000" w14:paraId="000012B8">
            <w:pPr>
              <w:rPr>
                <w:sz w:val="18"/>
                <w:szCs w:val="18"/>
              </w:rPr>
            </w:pPr>
            <w:r w:rsidDel="00000000" w:rsidR="00000000" w:rsidRPr="00000000">
              <w:rPr>
                <w:sz w:val="18"/>
                <w:szCs w:val="18"/>
                <w:rtl w:val="0"/>
              </w:rPr>
              <w:t xml:space="preserve">59% of respondents had taken antidepressants for more than three years.</w:t>
              <w:br w:type="textWrapping"/>
              <w:br w:type="textWrapping"/>
              <w:t xml:space="preserve">29% of respondents had taken antidepressants for more than twenty years.</w:t>
              <w:br w:type="textWrapping"/>
              <w:br w:type="textWrapping"/>
              <w:t xml:space="preserve">61% of respondents report withdrawal symptoms, with 44% of these being described as 'severe'.</w:t>
              <w:br w:type="textWrapping"/>
              <w:br w:type="textWrapping"/>
              <w:t xml:space="preserve">The most common withdrawal symptoms are: Anxiety and panic (66%), Irritability (62.5%), Dizziness (43.9%), Brain Zaps (42.5%), Nightmares (36.7%), Nausea (34.8%)</w:t>
            </w:r>
          </w:p>
        </w:tc>
        <w:tc>
          <w:tcPr>
            <w:vAlign w:val="center"/>
          </w:tcPr>
          <w:p w:rsidR="00000000" w:rsidDel="00000000" w:rsidP="00000000" w:rsidRDefault="00000000" w:rsidRPr="00000000" w14:paraId="000012B9">
            <w:pPr>
              <w:rPr>
                <w:sz w:val="18"/>
                <w:szCs w:val="18"/>
              </w:rPr>
            </w:pPr>
            <w:r w:rsidDel="00000000" w:rsidR="00000000" w:rsidRPr="00000000">
              <w:rPr>
                <w:sz w:val="18"/>
                <w:szCs w:val="18"/>
                <w:rtl w:val="0"/>
              </w:rPr>
              <w:t xml:space="preserve">self-selected convivence sample, almost entirely in Europe, North America or Australasia.</w:t>
              <w:br w:type="textWrapping"/>
              <w:br w:type="textWrapping"/>
              <w:t xml:space="preserve">70.8% of respondents were female.</w:t>
            </w:r>
          </w:p>
        </w:tc>
      </w:tr>
      <w:tr>
        <w:trPr>
          <w:cantSplit w:val="0"/>
          <w:trHeight w:val="79" w:hRule="atLeast"/>
          <w:tblHeader w:val="0"/>
        </w:trPr>
        <w:tc>
          <w:tcPr>
            <w:vAlign w:val="center"/>
          </w:tcPr>
          <w:p w:rsidR="00000000" w:rsidDel="00000000" w:rsidP="00000000" w:rsidRDefault="00000000" w:rsidRPr="00000000" w14:paraId="000012BA">
            <w:pPr>
              <w:rPr>
                <w:b w:val="0"/>
                <w:color w:val="000000"/>
                <w:sz w:val="18"/>
                <w:szCs w:val="18"/>
              </w:rPr>
            </w:pPr>
            <w:r w:rsidDel="00000000" w:rsidR="00000000" w:rsidRPr="00000000">
              <w:rPr>
                <w:b w:val="0"/>
                <w:color w:val="000000"/>
                <w:sz w:val="18"/>
                <w:szCs w:val="18"/>
                <w:rtl w:val="0"/>
              </w:rPr>
              <w:t xml:space="preserve">42</w:t>
            </w:r>
          </w:p>
        </w:tc>
        <w:tc>
          <w:tcPr>
            <w:vAlign w:val="center"/>
          </w:tcPr>
          <w:p w:rsidR="00000000" w:rsidDel="00000000" w:rsidP="00000000" w:rsidRDefault="00000000" w:rsidRPr="00000000" w14:paraId="000012BB">
            <w:pPr>
              <w:rPr>
                <w:b w:val="1"/>
                <w:sz w:val="18"/>
                <w:szCs w:val="18"/>
              </w:rPr>
            </w:pPr>
            <w:r w:rsidDel="00000000" w:rsidR="00000000" w:rsidRPr="00000000">
              <w:rPr>
                <w:b w:val="1"/>
                <w:sz w:val="18"/>
                <w:szCs w:val="18"/>
                <w:rtl w:val="0"/>
              </w:rPr>
              <w:t xml:space="preserve">France</w:t>
            </w:r>
          </w:p>
        </w:tc>
        <w:tc>
          <w:tcPr>
            <w:vAlign w:val="center"/>
          </w:tcPr>
          <w:p w:rsidR="00000000" w:rsidDel="00000000" w:rsidP="00000000" w:rsidRDefault="00000000" w:rsidRPr="00000000" w14:paraId="000012BC">
            <w:pPr>
              <w:rPr>
                <w:sz w:val="18"/>
                <w:szCs w:val="18"/>
              </w:rPr>
            </w:pPr>
            <w:r w:rsidDel="00000000" w:rsidR="00000000" w:rsidRPr="00000000">
              <w:rPr>
                <w:sz w:val="18"/>
                <w:szCs w:val="18"/>
                <w:rtl w:val="0"/>
              </w:rPr>
              <w:t xml:space="preserve">Jobert A. </w:t>
              <w:br w:type="textWrapping"/>
              <w:t xml:space="preserve">Laforgue Ej. </w:t>
              <w:br w:type="textWrapping"/>
              <w:t xml:space="preserve">Grall-Bronnec M. </w:t>
              <w:br w:type="textWrapping"/>
              <w:t xml:space="preserve">Rousselet M. </w:t>
              <w:br w:type="textWrapping"/>
              <w:t xml:space="preserve">Pere M. </w:t>
              <w:br w:type="textWrapping"/>
              <w:t xml:space="preserve">Jolliet P. </w:t>
              <w:br w:type="textWrapping"/>
              <w:t xml:space="preserve">Fan-Network. Fueullet F. </w:t>
              <w:br w:type="textWrapping"/>
              <w:t xml:space="preserve">Victorri-Vigneau C.</w:t>
            </w:r>
          </w:p>
        </w:tc>
        <w:tc>
          <w:tcPr>
            <w:vAlign w:val="center"/>
          </w:tcPr>
          <w:p w:rsidR="00000000" w:rsidDel="00000000" w:rsidP="00000000" w:rsidRDefault="00000000" w:rsidRPr="00000000" w14:paraId="000012BD">
            <w:pPr>
              <w:jc w:val="center"/>
              <w:rPr>
                <w:sz w:val="18"/>
                <w:szCs w:val="18"/>
              </w:rPr>
            </w:pPr>
            <w:r w:rsidDel="00000000" w:rsidR="00000000" w:rsidRPr="00000000">
              <w:rPr>
                <w:sz w:val="18"/>
                <w:szCs w:val="18"/>
                <w:rtl w:val="0"/>
              </w:rPr>
              <w:t xml:space="preserve">2021</w:t>
            </w:r>
          </w:p>
        </w:tc>
        <w:tc>
          <w:tcPr>
            <w:vAlign w:val="center"/>
          </w:tcPr>
          <w:p w:rsidR="00000000" w:rsidDel="00000000" w:rsidP="00000000" w:rsidRDefault="00000000" w:rsidRPr="00000000" w14:paraId="000012BE">
            <w:pPr>
              <w:jc w:val="center"/>
              <w:rPr>
                <w:sz w:val="18"/>
                <w:szCs w:val="18"/>
              </w:rPr>
            </w:pPr>
            <w:hyperlink r:id="rId136">
              <w:r w:rsidDel="00000000" w:rsidR="00000000" w:rsidRPr="00000000">
                <w:rPr>
                  <w:sz w:val="18"/>
                  <w:szCs w:val="18"/>
                  <w:rtl w:val="0"/>
                </w:rPr>
                <w:t xml:space="preserve">Benzodiazepine withdrawal in older people: what is the prevalence, what are the signs, and which patients?</w:t>
              </w:r>
            </w:hyperlink>
            <w:r w:rsidDel="00000000" w:rsidR="00000000" w:rsidRPr="00000000">
              <w:rPr>
                <w:rtl w:val="0"/>
              </w:rPr>
            </w:r>
          </w:p>
        </w:tc>
        <w:tc>
          <w:tcPr>
            <w:vAlign w:val="center"/>
          </w:tcPr>
          <w:p w:rsidR="00000000" w:rsidDel="00000000" w:rsidP="00000000" w:rsidRDefault="00000000" w:rsidRPr="00000000" w14:paraId="000012BF">
            <w:pPr>
              <w:jc w:val="center"/>
              <w:rPr>
                <w:sz w:val="18"/>
                <w:szCs w:val="18"/>
              </w:rPr>
            </w:pPr>
            <w:r w:rsidDel="00000000" w:rsidR="00000000" w:rsidRPr="00000000">
              <w:rPr>
                <w:sz w:val="18"/>
                <w:szCs w:val="18"/>
                <w:rtl w:val="0"/>
              </w:rPr>
              <w:t xml:space="preserve">national observational study</w:t>
            </w:r>
          </w:p>
        </w:tc>
        <w:tc>
          <w:tcPr>
            <w:vAlign w:val="center"/>
          </w:tcPr>
          <w:p w:rsidR="00000000" w:rsidDel="00000000" w:rsidP="00000000" w:rsidRDefault="00000000" w:rsidRPr="00000000" w14:paraId="000012C0">
            <w:pPr>
              <w:jc w:val="center"/>
              <w:rPr>
                <w:sz w:val="18"/>
                <w:szCs w:val="18"/>
              </w:rPr>
            </w:pPr>
            <w:r w:rsidDel="00000000" w:rsidR="00000000" w:rsidRPr="00000000">
              <w:rPr>
                <w:sz w:val="18"/>
                <w:szCs w:val="18"/>
                <w:rtl w:val="0"/>
              </w:rPr>
              <w:t xml:space="preserve">697 patients</w:t>
            </w:r>
          </w:p>
        </w:tc>
        <w:tc>
          <w:tcPr>
            <w:vAlign w:val="center"/>
          </w:tcPr>
          <w:p w:rsidR="00000000" w:rsidDel="00000000" w:rsidP="00000000" w:rsidRDefault="00000000" w:rsidRPr="00000000" w14:paraId="000012C1">
            <w:pPr>
              <w:rPr>
                <w:sz w:val="18"/>
                <w:szCs w:val="18"/>
              </w:rPr>
            </w:pPr>
            <w:r w:rsidDel="00000000" w:rsidR="00000000" w:rsidRPr="00000000">
              <w:rPr>
                <w:sz w:val="18"/>
                <w:szCs w:val="18"/>
                <w:rtl w:val="0"/>
              </w:rPr>
              <w:t xml:space="preserve">78% experienced at least one withdrawal symptom after stopping benzodiazepines and z-drugs (</w:t>
            </w:r>
            <w:r w:rsidDel="00000000" w:rsidR="00000000" w:rsidRPr="00000000">
              <w:rPr>
                <w:i w:val="1"/>
                <w:sz w:val="18"/>
                <w:szCs w:val="18"/>
                <w:rtl w:val="0"/>
              </w:rPr>
              <w:t xml:space="preserve">n=</w:t>
            </w:r>
            <w:r w:rsidDel="00000000" w:rsidR="00000000" w:rsidRPr="00000000">
              <w:rPr>
                <w:sz w:val="18"/>
                <w:szCs w:val="18"/>
                <w:rtl w:val="0"/>
              </w:rPr>
              <w:t xml:space="preserve"> 883), Psychological withdrawal symptoms (n= 733), Nervous system disorders (n= 64), General disorders (n= 32), Skin and subcutaneous tissue disorders (n= 20), Musculoskeletal and connective tissue disorders (n= 9), Cardiac disorders (n= 9), Eye disorders (n= 4), Gastrointestinal disorders (n= 2), Ear and labyrinth disorders (n= 1), Injury, poisoning and procedural complications (n= 1)</w:t>
            </w:r>
          </w:p>
        </w:tc>
        <w:tc>
          <w:tcPr>
            <w:vAlign w:val="center"/>
          </w:tcPr>
          <w:p w:rsidR="00000000" w:rsidDel="00000000" w:rsidP="00000000" w:rsidRDefault="00000000" w:rsidRPr="00000000" w14:paraId="000012C2">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2C3">
            <w:pPr>
              <w:rPr>
                <w:b w:val="0"/>
                <w:color w:val="000000"/>
                <w:sz w:val="18"/>
                <w:szCs w:val="18"/>
              </w:rPr>
            </w:pPr>
            <w:r w:rsidDel="00000000" w:rsidR="00000000" w:rsidRPr="00000000">
              <w:rPr>
                <w:b w:val="0"/>
                <w:color w:val="000000"/>
                <w:sz w:val="18"/>
                <w:szCs w:val="18"/>
                <w:rtl w:val="0"/>
              </w:rPr>
              <w:t xml:space="preserve">43</w:t>
            </w:r>
          </w:p>
        </w:tc>
        <w:tc>
          <w:tcPr>
            <w:vAlign w:val="center"/>
          </w:tcPr>
          <w:p w:rsidR="00000000" w:rsidDel="00000000" w:rsidP="00000000" w:rsidRDefault="00000000" w:rsidRPr="00000000" w14:paraId="000012C4">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2C5">
            <w:pPr>
              <w:rPr>
                <w:sz w:val="18"/>
                <w:szCs w:val="18"/>
              </w:rPr>
            </w:pPr>
            <w:r w:rsidDel="00000000" w:rsidR="00000000" w:rsidRPr="00000000">
              <w:rPr>
                <w:sz w:val="18"/>
                <w:szCs w:val="18"/>
                <w:rtl w:val="0"/>
              </w:rPr>
              <w:t xml:space="preserve">Quinlan J. </w:t>
              <w:br w:type="textWrapping"/>
              <w:t xml:space="preserve">Willson H. Grange K.</w:t>
            </w:r>
          </w:p>
        </w:tc>
        <w:tc>
          <w:tcPr>
            <w:vAlign w:val="center"/>
          </w:tcPr>
          <w:p w:rsidR="00000000" w:rsidDel="00000000" w:rsidP="00000000" w:rsidRDefault="00000000" w:rsidRPr="00000000" w14:paraId="000012C6">
            <w:pPr>
              <w:jc w:val="center"/>
              <w:rPr>
                <w:sz w:val="18"/>
                <w:szCs w:val="18"/>
              </w:rPr>
            </w:pPr>
            <w:r w:rsidDel="00000000" w:rsidR="00000000" w:rsidRPr="00000000">
              <w:rPr>
                <w:sz w:val="18"/>
                <w:szCs w:val="18"/>
                <w:rtl w:val="0"/>
              </w:rPr>
              <w:t xml:space="preserve">2021</w:t>
            </w:r>
          </w:p>
        </w:tc>
        <w:tc>
          <w:tcPr>
            <w:vAlign w:val="center"/>
          </w:tcPr>
          <w:p w:rsidR="00000000" w:rsidDel="00000000" w:rsidP="00000000" w:rsidRDefault="00000000" w:rsidRPr="00000000" w14:paraId="000012C7">
            <w:pPr>
              <w:jc w:val="center"/>
              <w:rPr>
                <w:sz w:val="18"/>
                <w:szCs w:val="18"/>
              </w:rPr>
            </w:pPr>
            <w:hyperlink r:id="rId137">
              <w:r w:rsidDel="00000000" w:rsidR="00000000" w:rsidRPr="00000000">
                <w:rPr>
                  <w:sz w:val="18"/>
                  <w:szCs w:val="18"/>
                  <w:rtl w:val="0"/>
                </w:rPr>
                <w:t xml:space="preserve">Hopes and fears before opioid tapering: a quantitative and qualitative study of patients with chronic pain and long-term opioids.</w:t>
              </w:r>
            </w:hyperlink>
            <w:r w:rsidDel="00000000" w:rsidR="00000000" w:rsidRPr="00000000">
              <w:rPr>
                <w:rtl w:val="0"/>
              </w:rPr>
            </w:r>
          </w:p>
        </w:tc>
        <w:tc>
          <w:tcPr>
            <w:vAlign w:val="center"/>
          </w:tcPr>
          <w:p w:rsidR="00000000" w:rsidDel="00000000" w:rsidP="00000000" w:rsidRDefault="00000000" w:rsidRPr="00000000" w14:paraId="000012C8">
            <w:pPr>
              <w:jc w:val="center"/>
              <w:rPr>
                <w:sz w:val="18"/>
                <w:szCs w:val="18"/>
              </w:rPr>
            </w:pPr>
            <w:r w:rsidDel="00000000" w:rsidR="00000000" w:rsidRPr="00000000">
              <w:rPr>
                <w:sz w:val="18"/>
                <w:szCs w:val="18"/>
                <w:rtl w:val="0"/>
              </w:rPr>
              <w:t xml:space="preserve">Psychological and Pain related questionnaires</w:t>
            </w:r>
          </w:p>
        </w:tc>
        <w:tc>
          <w:tcPr>
            <w:vAlign w:val="center"/>
          </w:tcPr>
          <w:p w:rsidR="00000000" w:rsidDel="00000000" w:rsidP="00000000" w:rsidRDefault="00000000" w:rsidRPr="00000000" w14:paraId="000012C9">
            <w:pPr>
              <w:jc w:val="center"/>
              <w:rPr>
                <w:sz w:val="18"/>
                <w:szCs w:val="18"/>
              </w:rPr>
            </w:pPr>
            <w:r w:rsidDel="00000000" w:rsidR="00000000" w:rsidRPr="00000000">
              <w:rPr>
                <w:sz w:val="18"/>
                <w:szCs w:val="18"/>
                <w:rtl w:val="0"/>
              </w:rPr>
              <w:t xml:space="preserve">60 patients attending opioid pain clinics</w:t>
            </w:r>
          </w:p>
        </w:tc>
        <w:tc>
          <w:tcPr>
            <w:vAlign w:val="center"/>
          </w:tcPr>
          <w:p w:rsidR="00000000" w:rsidDel="00000000" w:rsidP="00000000" w:rsidRDefault="00000000" w:rsidRPr="00000000" w14:paraId="000012CA">
            <w:pPr>
              <w:rPr>
                <w:sz w:val="18"/>
                <w:szCs w:val="18"/>
              </w:rPr>
            </w:pPr>
            <w:r w:rsidDel="00000000" w:rsidR="00000000" w:rsidRPr="00000000">
              <w:rPr>
                <w:sz w:val="18"/>
                <w:szCs w:val="18"/>
                <w:rtl w:val="0"/>
              </w:rPr>
              <w:t xml:space="preserve">80% of patients described significant depression</w:t>
              <w:br w:type="textWrapping"/>
              <w:br w:type="textWrapping"/>
              <w:t xml:space="preserve">60% of patients reported significant anxiety</w:t>
              <w:br w:type="textWrapping"/>
              <w:br w:type="textWrapping"/>
              <w:t xml:space="preserve">63% of patients reported a fear of increasing pain.</w:t>
              <w:br w:type="textWrapping"/>
              <w:br w:type="textWrapping"/>
              <w:t xml:space="preserve">25% of patients referred to addiction and 16% reported a fear of withdrawal</w:t>
              <w:br w:type="textWrapping"/>
              <w:br w:type="textWrapping"/>
              <w:t xml:space="preserve">Opioid side effects were common and severe.</w:t>
            </w:r>
          </w:p>
        </w:tc>
        <w:tc>
          <w:tcPr>
            <w:vAlign w:val="center"/>
          </w:tcPr>
          <w:p w:rsidR="00000000" w:rsidDel="00000000" w:rsidP="00000000" w:rsidRDefault="00000000" w:rsidRPr="00000000" w14:paraId="000012CB">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2CC">
            <w:pPr>
              <w:rPr>
                <w:b w:val="0"/>
                <w:color w:val="000000"/>
                <w:sz w:val="18"/>
                <w:szCs w:val="18"/>
              </w:rPr>
            </w:pPr>
            <w:r w:rsidDel="00000000" w:rsidR="00000000" w:rsidRPr="00000000">
              <w:rPr>
                <w:b w:val="0"/>
                <w:color w:val="000000"/>
                <w:sz w:val="18"/>
                <w:szCs w:val="18"/>
                <w:rtl w:val="0"/>
              </w:rPr>
              <w:t xml:space="preserve">44</w:t>
            </w:r>
          </w:p>
        </w:tc>
        <w:tc>
          <w:tcPr>
            <w:vAlign w:val="center"/>
          </w:tcPr>
          <w:p w:rsidR="00000000" w:rsidDel="00000000" w:rsidP="00000000" w:rsidRDefault="00000000" w:rsidRPr="00000000" w14:paraId="000012CD">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2CE">
            <w:pPr>
              <w:rPr>
                <w:color w:val="000000"/>
                <w:sz w:val="18"/>
                <w:szCs w:val="18"/>
              </w:rPr>
            </w:pPr>
            <w:r w:rsidDel="00000000" w:rsidR="00000000" w:rsidRPr="00000000">
              <w:rPr>
                <w:color w:val="000000"/>
                <w:sz w:val="18"/>
                <w:szCs w:val="18"/>
                <w:rtl w:val="0"/>
              </w:rPr>
              <w:t xml:space="preserve">Carey ET.</w:t>
              <w:br w:type="textWrapping"/>
              <w:t xml:space="preserve">Moore KJ.</w:t>
              <w:br w:type="textWrapping"/>
              <w:t xml:space="preserve">Young JC.</w:t>
              <w:br w:type="textWrapping"/>
              <w:t xml:space="preserve">Bhattacharya M.</w:t>
              <w:br w:type="textWrapping"/>
              <w:t xml:space="preserve">Schiff LD.</w:t>
              <w:br w:type="textWrapping"/>
              <w:t xml:space="preserve">Louie MY</w:t>
              <w:br w:type="textWrapping"/>
              <w:t xml:space="preserve">Park J</w:t>
              <w:br w:type="textWrapping"/>
              <w:t xml:space="preserve">Strassle PD</w:t>
            </w:r>
          </w:p>
        </w:tc>
        <w:tc>
          <w:tcPr>
            <w:vAlign w:val="center"/>
          </w:tcPr>
          <w:p w:rsidR="00000000" w:rsidDel="00000000" w:rsidP="00000000" w:rsidRDefault="00000000" w:rsidRPr="00000000" w14:paraId="000012CF">
            <w:pPr>
              <w:jc w:val="center"/>
              <w:rPr>
                <w:color w:val="000000"/>
                <w:sz w:val="18"/>
                <w:szCs w:val="18"/>
              </w:rPr>
            </w:pPr>
            <w:r w:rsidDel="00000000" w:rsidR="00000000" w:rsidRPr="00000000">
              <w:rPr>
                <w:color w:val="000000"/>
                <w:sz w:val="18"/>
                <w:szCs w:val="18"/>
                <w:rtl w:val="0"/>
              </w:rPr>
              <w:t xml:space="preserve">2021</w:t>
            </w:r>
          </w:p>
        </w:tc>
        <w:tc>
          <w:tcPr>
            <w:vAlign w:val="center"/>
          </w:tcPr>
          <w:p w:rsidR="00000000" w:rsidDel="00000000" w:rsidP="00000000" w:rsidRDefault="00000000" w:rsidRPr="00000000" w14:paraId="000012D0">
            <w:pPr>
              <w:jc w:val="center"/>
              <w:rPr>
                <w:color w:val="000000"/>
                <w:sz w:val="18"/>
                <w:szCs w:val="18"/>
              </w:rPr>
            </w:pPr>
            <w:r w:rsidDel="00000000" w:rsidR="00000000" w:rsidRPr="00000000">
              <w:rPr>
                <w:color w:val="000000"/>
                <w:sz w:val="18"/>
                <w:szCs w:val="18"/>
                <w:rtl w:val="0"/>
              </w:rPr>
              <w:t xml:space="preserve">Association of Preoperative Depression and Anxiety With Long-term Opioid Use After Hysterectomy for Benign Indications.</w:t>
            </w:r>
          </w:p>
        </w:tc>
        <w:tc>
          <w:tcPr>
            <w:vAlign w:val="center"/>
          </w:tcPr>
          <w:p w:rsidR="00000000" w:rsidDel="00000000" w:rsidP="00000000" w:rsidRDefault="00000000" w:rsidRPr="00000000" w14:paraId="000012D1">
            <w:pPr>
              <w:jc w:val="center"/>
              <w:rPr>
                <w:color w:val="000000"/>
                <w:sz w:val="18"/>
                <w:szCs w:val="18"/>
              </w:rPr>
            </w:pPr>
            <w:r w:rsidDel="00000000" w:rsidR="00000000" w:rsidRPr="00000000">
              <w:rPr>
                <w:color w:val="000000"/>
                <w:sz w:val="18"/>
                <w:szCs w:val="18"/>
                <w:rtl w:val="0"/>
              </w:rPr>
              <w:t xml:space="preserve">Observational cohort study of opioid naive women aged 18 and over who had undergone a hysterectomy</w:t>
            </w:r>
          </w:p>
        </w:tc>
        <w:tc>
          <w:tcPr>
            <w:vAlign w:val="center"/>
          </w:tcPr>
          <w:p w:rsidR="00000000" w:rsidDel="00000000" w:rsidP="00000000" w:rsidRDefault="00000000" w:rsidRPr="00000000" w14:paraId="000012D2">
            <w:pPr>
              <w:jc w:val="center"/>
              <w:rPr>
                <w:color w:val="000000"/>
                <w:sz w:val="18"/>
                <w:szCs w:val="18"/>
              </w:rPr>
            </w:pPr>
            <w:r w:rsidDel="00000000" w:rsidR="00000000" w:rsidRPr="00000000">
              <w:rPr>
                <w:color w:val="000000"/>
                <w:sz w:val="18"/>
                <w:szCs w:val="18"/>
                <w:rtl w:val="0"/>
              </w:rPr>
              <w:t xml:space="preserve">289,233</w:t>
            </w:r>
          </w:p>
        </w:tc>
        <w:tc>
          <w:tcPr>
            <w:vAlign w:val="center"/>
          </w:tcPr>
          <w:p w:rsidR="00000000" w:rsidDel="00000000" w:rsidP="00000000" w:rsidRDefault="00000000" w:rsidRPr="00000000" w14:paraId="000012D3">
            <w:pPr>
              <w:rPr>
                <w:color w:val="000000"/>
                <w:sz w:val="18"/>
                <w:szCs w:val="18"/>
              </w:rPr>
            </w:pPr>
            <w:r w:rsidDel="00000000" w:rsidR="00000000" w:rsidRPr="00000000">
              <w:rPr>
                <w:color w:val="000000"/>
                <w:sz w:val="18"/>
                <w:szCs w:val="18"/>
                <w:rtl w:val="0"/>
              </w:rPr>
              <w:t xml:space="preserve">21% of women experienced preoperative depression and anxiety</w:t>
              <w:br w:type="textWrapping"/>
              <w:br w:type="textWrapping"/>
              <w:t xml:space="preserve">81% had a perioperative opioid prescription (16% prior to surgery, 66% after surgery)</w:t>
              <w:br w:type="textWrapping"/>
              <w:br w:type="textWrapping"/>
              <w:t xml:space="preserve">Women who had experienced depression or anxiety were more likely to have a post-operative refill at each study point. </w:t>
              <w:br w:type="textWrapping"/>
              <w:br w:type="textWrapping"/>
              <w:t xml:space="preserve">Women were more likely to be diagnosed with opioid dependence. Opioid use disorder if experiencing depression.</w:t>
            </w:r>
          </w:p>
        </w:tc>
        <w:tc>
          <w:tcPr>
            <w:vAlign w:val="center"/>
          </w:tcPr>
          <w:p w:rsidR="00000000" w:rsidDel="00000000" w:rsidP="00000000" w:rsidRDefault="00000000" w:rsidRPr="00000000" w14:paraId="000012D4">
            <w:pPr>
              <w:rPr>
                <w:color w:val="000000"/>
                <w:sz w:val="18"/>
                <w:szCs w:val="18"/>
              </w:rPr>
            </w:pPr>
            <w:r w:rsidDel="00000000" w:rsidR="00000000" w:rsidRPr="00000000">
              <w:rPr>
                <w:color w:val="000000"/>
                <w:sz w:val="18"/>
                <w:szCs w:val="18"/>
                <w:rtl w:val="0"/>
              </w:rPr>
              <w:t xml:space="preserve">Only able to measure prescriptions paid through insurance, meaning those paying independently were not measured.</w:t>
            </w:r>
          </w:p>
        </w:tc>
      </w:tr>
      <w:tr>
        <w:trPr>
          <w:cantSplit w:val="0"/>
          <w:trHeight w:val="79" w:hRule="atLeast"/>
          <w:tblHeader w:val="0"/>
        </w:trPr>
        <w:tc>
          <w:tcPr>
            <w:vAlign w:val="center"/>
          </w:tcPr>
          <w:p w:rsidR="00000000" w:rsidDel="00000000" w:rsidP="00000000" w:rsidRDefault="00000000" w:rsidRPr="00000000" w14:paraId="000012D5">
            <w:pPr>
              <w:rPr>
                <w:b w:val="0"/>
                <w:color w:val="000000"/>
                <w:sz w:val="18"/>
                <w:szCs w:val="18"/>
              </w:rPr>
            </w:pPr>
            <w:r w:rsidDel="00000000" w:rsidR="00000000" w:rsidRPr="00000000">
              <w:rPr>
                <w:b w:val="0"/>
                <w:color w:val="000000"/>
                <w:sz w:val="18"/>
                <w:szCs w:val="18"/>
                <w:rtl w:val="0"/>
              </w:rPr>
              <w:t xml:space="preserve">45</w:t>
            </w:r>
          </w:p>
        </w:tc>
        <w:tc>
          <w:tcPr>
            <w:vAlign w:val="center"/>
          </w:tcPr>
          <w:p w:rsidR="00000000" w:rsidDel="00000000" w:rsidP="00000000" w:rsidRDefault="00000000" w:rsidRPr="00000000" w14:paraId="000012D6">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2D7">
            <w:pPr>
              <w:rPr>
                <w:color w:val="000000"/>
                <w:sz w:val="18"/>
                <w:szCs w:val="18"/>
              </w:rPr>
            </w:pPr>
            <w:r w:rsidDel="00000000" w:rsidR="00000000" w:rsidRPr="00000000">
              <w:rPr>
                <w:color w:val="000000"/>
                <w:sz w:val="18"/>
                <w:szCs w:val="18"/>
                <w:rtl w:val="0"/>
              </w:rPr>
              <w:t xml:space="preserve">Cho HE.</w:t>
              <w:br w:type="textWrapping"/>
              <w:t xml:space="preserve">Billig JI.</w:t>
              <w:br w:type="textWrapping"/>
              <w:t xml:space="preserve">Byrnes ME.</w:t>
              <w:br w:type="textWrapping"/>
              <w:t xml:space="preserve">Nasser JS.</w:t>
              <w:br w:type="textWrapping"/>
              <w:t xml:space="preserve">Kocheril AP.</w:t>
              <w:br w:type="textWrapping"/>
              <w:t xml:space="preserve">Haase SC.</w:t>
              <w:br w:type="textWrapping"/>
              <w:t xml:space="preserve">Waljee JF.</w:t>
              <w:br w:type="textWrapping"/>
              <w:t xml:space="preserve">Chung KC.</w:t>
            </w:r>
          </w:p>
        </w:tc>
        <w:tc>
          <w:tcPr>
            <w:vAlign w:val="center"/>
          </w:tcPr>
          <w:p w:rsidR="00000000" w:rsidDel="00000000" w:rsidP="00000000" w:rsidRDefault="00000000" w:rsidRPr="00000000" w14:paraId="000012D8">
            <w:pPr>
              <w:jc w:val="center"/>
              <w:rPr>
                <w:color w:val="000000"/>
                <w:sz w:val="18"/>
                <w:szCs w:val="18"/>
              </w:rPr>
            </w:pPr>
            <w:r w:rsidDel="00000000" w:rsidR="00000000" w:rsidRPr="00000000">
              <w:rPr>
                <w:color w:val="000000"/>
                <w:sz w:val="18"/>
                <w:szCs w:val="18"/>
                <w:rtl w:val="0"/>
              </w:rPr>
              <w:t xml:space="preserve">2021</w:t>
            </w:r>
          </w:p>
        </w:tc>
        <w:tc>
          <w:tcPr>
            <w:vAlign w:val="center"/>
          </w:tcPr>
          <w:p w:rsidR="00000000" w:rsidDel="00000000" w:rsidP="00000000" w:rsidRDefault="00000000" w:rsidRPr="00000000" w14:paraId="000012D9">
            <w:pPr>
              <w:jc w:val="center"/>
              <w:rPr>
                <w:color w:val="000000"/>
                <w:sz w:val="18"/>
                <w:szCs w:val="18"/>
              </w:rPr>
            </w:pPr>
            <w:r w:rsidDel="00000000" w:rsidR="00000000" w:rsidRPr="00000000">
              <w:rPr>
                <w:color w:val="000000"/>
                <w:sz w:val="18"/>
                <w:szCs w:val="18"/>
                <w:rtl w:val="0"/>
              </w:rPr>
              <w:t xml:space="preserve">A Qualitative Study of Patient Protection against Postoperative Opioid Addiction: A Thematic Analysis of Self-Agency.</w:t>
            </w:r>
          </w:p>
        </w:tc>
        <w:tc>
          <w:tcPr>
            <w:vAlign w:val="center"/>
          </w:tcPr>
          <w:p w:rsidR="00000000" w:rsidDel="00000000" w:rsidP="00000000" w:rsidRDefault="00000000" w:rsidRPr="00000000" w14:paraId="000012DA">
            <w:pPr>
              <w:jc w:val="center"/>
              <w:rPr>
                <w:color w:val="000000"/>
                <w:sz w:val="18"/>
                <w:szCs w:val="18"/>
              </w:rPr>
            </w:pPr>
            <w:r w:rsidDel="00000000" w:rsidR="00000000" w:rsidRPr="00000000">
              <w:rPr>
                <w:color w:val="000000"/>
                <w:sz w:val="18"/>
                <w:szCs w:val="18"/>
                <w:rtl w:val="0"/>
              </w:rPr>
              <w:t xml:space="preserve">Interviews with adults with long term dependence on benzodiazepines</w:t>
            </w:r>
          </w:p>
        </w:tc>
        <w:tc>
          <w:tcPr>
            <w:vAlign w:val="center"/>
          </w:tcPr>
          <w:p w:rsidR="00000000" w:rsidDel="00000000" w:rsidP="00000000" w:rsidRDefault="00000000" w:rsidRPr="00000000" w14:paraId="000012DB">
            <w:pPr>
              <w:jc w:val="center"/>
              <w:rPr>
                <w:color w:val="000000"/>
                <w:sz w:val="18"/>
                <w:szCs w:val="18"/>
              </w:rPr>
            </w:pPr>
            <w:r w:rsidDel="00000000" w:rsidR="00000000" w:rsidRPr="00000000">
              <w:rPr>
                <w:color w:val="000000"/>
                <w:sz w:val="18"/>
                <w:szCs w:val="18"/>
                <w:rtl w:val="0"/>
              </w:rPr>
              <w:t xml:space="preserve">30</w:t>
            </w:r>
          </w:p>
        </w:tc>
        <w:tc>
          <w:tcPr>
            <w:vAlign w:val="center"/>
          </w:tcPr>
          <w:p w:rsidR="00000000" w:rsidDel="00000000" w:rsidP="00000000" w:rsidRDefault="00000000" w:rsidRPr="00000000" w14:paraId="000012DC">
            <w:pPr>
              <w:rPr>
                <w:color w:val="000000"/>
                <w:sz w:val="18"/>
                <w:szCs w:val="18"/>
              </w:rPr>
            </w:pPr>
            <w:r w:rsidDel="00000000" w:rsidR="00000000" w:rsidRPr="00000000">
              <w:rPr>
                <w:color w:val="000000"/>
                <w:sz w:val="18"/>
                <w:szCs w:val="18"/>
                <w:rtl w:val="0"/>
              </w:rPr>
              <w:t xml:space="preserve">Intentional: high level of control in ability to control pain management, believed they had high pain tolerance influencing their decision to use opioids, some refer to mindfulness ("such up and deal with it") or try to take their minds off the pain, participants report their body as something they can control by their decision to regard it that way. Many expressed high self-efficacy based on previous experiences, direct aversion to opioid addiction due to the media and stigma, opioid addiction is considered a systemic social problem that led them to "avoid things that are addictive", witnessing opioid addiction influenced some to decide against opioids, all were aware opioid addiction can "sneak up on people", societal code of ethics were important to follow and wanted to be a "good citizen", opioid addiction is wrong.</w:t>
              <w:br w:type="textWrapping"/>
              <w:br w:type="textWrapping"/>
              <w:t xml:space="preserve">Unintentional: inherent personality traits protected them from addiction, subconscious separation of self from "others" and are not at risk of opioid addiction, not having an "addictive personality" was a protective factor against addiction and therefore felt it was safe to use opioids postoperatively, trust in physicians provided a foundation for opioid use, participants found stigma associated with opioid use as a barrier to postoperative opioid use, fear of being misjudged.</w:t>
            </w:r>
          </w:p>
        </w:tc>
        <w:tc>
          <w:tcPr>
            <w:vAlign w:val="center"/>
          </w:tcPr>
          <w:p w:rsidR="00000000" w:rsidDel="00000000" w:rsidP="00000000" w:rsidRDefault="00000000" w:rsidRPr="00000000" w14:paraId="000012DD">
            <w:pPr>
              <w:rPr>
                <w:color w:val="000000"/>
                <w:sz w:val="18"/>
                <w:szCs w:val="18"/>
              </w:rPr>
            </w:pPr>
            <w:r w:rsidDel="00000000" w:rsidR="00000000" w:rsidRPr="00000000">
              <w:rPr>
                <w:color w:val="000000"/>
                <w:sz w:val="18"/>
                <w:szCs w:val="18"/>
                <w:rtl w:val="0"/>
              </w:rPr>
              <w:t xml:space="preserve">Other factors are present that affect opioid use e.g. stigma</w:t>
            </w:r>
          </w:p>
        </w:tc>
      </w:tr>
      <w:tr>
        <w:trPr>
          <w:cantSplit w:val="0"/>
          <w:trHeight w:val="79" w:hRule="atLeast"/>
          <w:tblHeader w:val="0"/>
        </w:trPr>
        <w:tc>
          <w:tcPr>
            <w:vAlign w:val="center"/>
          </w:tcPr>
          <w:p w:rsidR="00000000" w:rsidDel="00000000" w:rsidP="00000000" w:rsidRDefault="00000000" w:rsidRPr="00000000" w14:paraId="000012DE">
            <w:pPr>
              <w:rPr>
                <w:b w:val="0"/>
                <w:color w:val="000000"/>
                <w:sz w:val="18"/>
                <w:szCs w:val="18"/>
              </w:rPr>
            </w:pPr>
            <w:r w:rsidDel="00000000" w:rsidR="00000000" w:rsidRPr="00000000">
              <w:rPr>
                <w:b w:val="0"/>
                <w:color w:val="000000"/>
                <w:sz w:val="18"/>
                <w:szCs w:val="18"/>
                <w:rtl w:val="0"/>
              </w:rPr>
              <w:t xml:space="preserve">46</w:t>
            </w:r>
          </w:p>
        </w:tc>
        <w:tc>
          <w:tcPr>
            <w:vAlign w:val="center"/>
          </w:tcPr>
          <w:p w:rsidR="00000000" w:rsidDel="00000000" w:rsidP="00000000" w:rsidRDefault="00000000" w:rsidRPr="00000000" w14:paraId="000012DF">
            <w:pPr>
              <w:rPr>
                <w:b w:val="1"/>
                <w:color w:val="000000"/>
                <w:sz w:val="18"/>
                <w:szCs w:val="18"/>
              </w:rPr>
            </w:pPr>
            <w:r w:rsidDel="00000000" w:rsidR="00000000" w:rsidRPr="00000000">
              <w:rPr>
                <w:b w:val="1"/>
                <w:color w:val="000000"/>
                <w:sz w:val="18"/>
                <w:szCs w:val="18"/>
                <w:rtl w:val="0"/>
              </w:rPr>
              <w:t xml:space="preserve">Australia</w:t>
            </w:r>
          </w:p>
        </w:tc>
        <w:tc>
          <w:tcPr>
            <w:vAlign w:val="center"/>
          </w:tcPr>
          <w:p w:rsidR="00000000" w:rsidDel="00000000" w:rsidP="00000000" w:rsidRDefault="00000000" w:rsidRPr="00000000" w14:paraId="000012E0">
            <w:pPr>
              <w:rPr>
                <w:color w:val="000000"/>
                <w:sz w:val="18"/>
                <w:szCs w:val="18"/>
              </w:rPr>
            </w:pPr>
            <w:r w:rsidDel="00000000" w:rsidR="00000000" w:rsidRPr="00000000">
              <w:rPr>
                <w:color w:val="000000"/>
                <w:sz w:val="18"/>
                <w:szCs w:val="18"/>
                <w:rtl w:val="0"/>
              </w:rPr>
              <w:t xml:space="preserve">Langford AV.</w:t>
              <w:br w:type="textWrapping"/>
              <w:t xml:space="preserve">Gnjidic D.</w:t>
              <w:br w:type="textWrapping"/>
              <w:t xml:space="preserve">Lin CC.</w:t>
              <w:br w:type="textWrapping"/>
              <w:t xml:space="preserve">Bero L.</w:t>
              <w:br w:type="textWrapping"/>
              <w:t xml:space="preserve">Blyth F.</w:t>
              <w:br w:type="textWrapping"/>
              <w:t xml:space="preserve">Penm J.</w:t>
              <w:br w:type="textWrapping"/>
              <w:t xml:space="preserve">Schneider CR.</w:t>
            </w:r>
          </w:p>
        </w:tc>
        <w:tc>
          <w:tcPr>
            <w:vAlign w:val="center"/>
          </w:tcPr>
          <w:p w:rsidR="00000000" w:rsidDel="00000000" w:rsidP="00000000" w:rsidRDefault="00000000" w:rsidRPr="00000000" w14:paraId="000012E1">
            <w:pPr>
              <w:jc w:val="center"/>
              <w:rPr>
                <w:color w:val="000000"/>
                <w:sz w:val="18"/>
                <w:szCs w:val="18"/>
              </w:rPr>
            </w:pPr>
            <w:r w:rsidDel="00000000" w:rsidR="00000000" w:rsidRPr="00000000">
              <w:rPr>
                <w:color w:val="000000"/>
                <w:sz w:val="18"/>
                <w:szCs w:val="18"/>
                <w:rtl w:val="0"/>
              </w:rPr>
              <w:t xml:space="preserve">2021</w:t>
            </w:r>
          </w:p>
        </w:tc>
        <w:tc>
          <w:tcPr>
            <w:vAlign w:val="center"/>
          </w:tcPr>
          <w:p w:rsidR="00000000" w:rsidDel="00000000" w:rsidP="00000000" w:rsidRDefault="00000000" w:rsidRPr="00000000" w14:paraId="000012E2">
            <w:pPr>
              <w:jc w:val="center"/>
              <w:rPr>
                <w:color w:val="000000"/>
                <w:sz w:val="18"/>
                <w:szCs w:val="18"/>
              </w:rPr>
            </w:pPr>
            <w:r w:rsidDel="00000000" w:rsidR="00000000" w:rsidRPr="00000000">
              <w:rPr>
                <w:color w:val="000000"/>
                <w:sz w:val="18"/>
                <w:szCs w:val="18"/>
                <w:rtl w:val="0"/>
              </w:rPr>
              <w:t xml:space="preserve">"The lesser of two evils": a framework analysis of consumers' perspectives on opioid deprescribing and the development of opioid deprescribing guidelines.</w:t>
            </w:r>
          </w:p>
        </w:tc>
        <w:tc>
          <w:tcPr>
            <w:vAlign w:val="center"/>
          </w:tcPr>
          <w:p w:rsidR="00000000" w:rsidDel="00000000" w:rsidP="00000000" w:rsidRDefault="00000000" w:rsidRPr="00000000" w14:paraId="000012E3">
            <w:pPr>
              <w:jc w:val="center"/>
              <w:rPr>
                <w:color w:val="000000"/>
                <w:sz w:val="18"/>
                <w:szCs w:val="18"/>
              </w:rPr>
            </w:pPr>
            <w:r w:rsidDel="00000000" w:rsidR="00000000" w:rsidRPr="00000000">
              <w:rPr>
                <w:color w:val="000000"/>
                <w:sz w:val="18"/>
                <w:szCs w:val="18"/>
                <w:rtl w:val="0"/>
              </w:rPr>
              <w:t xml:space="preserve">Interviews with patients using opioids for pain</w:t>
            </w:r>
          </w:p>
        </w:tc>
        <w:tc>
          <w:tcPr>
            <w:vAlign w:val="center"/>
          </w:tcPr>
          <w:p w:rsidR="00000000" w:rsidDel="00000000" w:rsidP="00000000" w:rsidRDefault="00000000" w:rsidRPr="00000000" w14:paraId="000012E4">
            <w:pPr>
              <w:jc w:val="center"/>
              <w:rPr>
                <w:color w:val="000000"/>
                <w:sz w:val="18"/>
                <w:szCs w:val="18"/>
              </w:rPr>
            </w:pPr>
            <w:r w:rsidDel="00000000" w:rsidR="00000000" w:rsidRPr="00000000">
              <w:rPr>
                <w:color w:val="000000"/>
                <w:sz w:val="18"/>
                <w:szCs w:val="18"/>
                <w:rtl w:val="0"/>
              </w:rPr>
              <w:t xml:space="preserve">20</w:t>
            </w:r>
          </w:p>
        </w:tc>
        <w:tc>
          <w:tcPr>
            <w:vAlign w:val="center"/>
          </w:tcPr>
          <w:p w:rsidR="00000000" w:rsidDel="00000000" w:rsidP="00000000" w:rsidRDefault="00000000" w:rsidRPr="00000000" w14:paraId="000012E5">
            <w:pPr>
              <w:rPr>
                <w:color w:val="000000"/>
                <w:sz w:val="18"/>
                <w:szCs w:val="18"/>
              </w:rPr>
            </w:pPr>
            <w:r w:rsidDel="00000000" w:rsidR="00000000" w:rsidRPr="00000000">
              <w:rPr>
                <w:color w:val="000000"/>
                <w:sz w:val="18"/>
                <w:szCs w:val="18"/>
                <w:rtl w:val="0"/>
              </w:rPr>
              <w:t xml:space="preserve">Barriers: fear of pain, withdrawal symptoms, opioid related stigma, perceived inadequacies of alternatives and the healthcare system. </w:t>
              <w:br w:type="textWrapping"/>
              <w:br w:type="textWrapping"/>
              <w:t xml:space="preserve">Recommendations: improved communication between clinicians and patients regarding expectations of deprescribing, provision of greater opportunities for patients in the decision-making process.</w:t>
            </w:r>
          </w:p>
        </w:tc>
        <w:tc>
          <w:tcPr>
            <w:vAlign w:val="center"/>
          </w:tcPr>
          <w:p w:rsidR="00000000" w:rsidDel="00000000" w:rsidP="00000000" w:rsidRDefault="00000000" w:rsidRPr="00000000" w14:paraId="000012E6">
            <w:pPr>
              <w:rPr>
                <w:color w:val="000000"/>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2E7">
            <w:pPr>
              <w:rPr>
                <w:b w:val="0"/>
                <w:color w:val="000000"/>
                <w:sz w:val="18"/>
                <w:szCs w:val="18"/>
              </w:rPr>
            </w:pPr>
            <w:r w:rsidDel="00000000" w:rsidR="00000000" w:rsidRPr="00000000">
              <w:rPr>
                <w:b w:val="0"/>
                <w:color w:val="000000"/>
                <w:sz w:val="18"/>
                <w:szCs w:val="18"/>
                <w:rtl w:val="0"/>
              </w:rPr>
              <w:t xml:space="preserve">47</w:t>
            </w:r>
          </w:p>
        </w:tc>
        <w:tc>
          <w:tcPr>
            <w:vAlign w:val="center"/>
          </w:tcPr>
          <w:p w:rsidR="00000000" w:rsidDel="00000000" w:rsidP="00000000" w:rsidRDefault="00000000" w:rsidRPr="00000000" w14:paraId="000012E8">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2E9">
            <w:pPr>
              <w:rPr>
                <w:color w:val="000000"/>
                <w:sz w:val="18"/>
                <w:szCs w:val="18"/>
              </w:rPr>
            </w:pPr>
            <w:r w:rsidDel="00000000" w:rsidR="00000000" w:rsidRPr="00000000">
              <w:rPr>
                <w:color w:val="000000"/>
                <w:sz w:val="18"/>
                <w:szCs w:val="18"/>
                <w:rtl w:val="0"/>
              </w:rPr>
              <w:t xml:space="preserve">Benintendi A.</w:t>
              <w:br w:type="textWrapping"/>
              <w:t xml:space="preserve">Kosakowski S.</w:t>
              <w:br w:type="textWrapping"/>
              <w:t xml:space="preserve">Lagisetty P.</w:t>
              <w:br w:type="textWrapping"/>
              <w:t xml:space="preserve">Larochelle M.</w:t>
              <w:br w:type="textWrapping"/>
              <w:t xml:space="preserve">Bohnert ASB.</w:t>
              <w:br w:type="textWrapping"/>
              <w:t xml:space="preserve">Bazzi AR.</w:t>
            </w:r>
          </w:p>
        </w:tc>
        <w:tc>
          <w:tcPr>
            <w:vAlign w:val="center"/>
          </w:tcPr>
          <w:p w:rsidR="00000000" w:rsidDel="00000000" w:rsidP="00000000" w:rsidRDefault="00000000" w:rsidRPr="00000000" w14:paraId="000012EA">
            <w:pPr>
              <w:jc w:val="center"/>
              <w:rPr>
                <w:color w:val="000000"/>
                <w:sz w:val="18"/>
                <w:szCs w:val="18"/>
              </w:rPr>
            </w:pPr>
            <w:r w:rsidDel="00000000" w:rsidR="00000000" w:rsidRPr="00000000">
              <w:rPr>
                <w:color w:val="000000"/>
                <w:sz w:val="18"/>
                <w:szCs w:val="18"/>
                <w:rtl w:val="0"/>
              </w:rPr>
              <w:t xml:space="preserve">2021</w:t>
            </w:r>
          </w:p>
        </w:tc>
        <w:tc>
          <w:tcPr>
            <w:vAlign w:val="center"/>
          </w:tcPr>
          <w:p w:rsidR="00000000" w:rsidDel="00000000" w:rsidP="00000000" w:rsidRDefault="00000000" w:rsidRPr="00000000" w14:paraId="000012EB">
            <w:pPr>
              <w:jc w:val="center"/>
              <w:rPr>
                <w:color w:val="000000"/>
                <w:sz w:val="18"/>
                <w:szCs w:val="18"/>
              </w:rPr>
            </w:pPr>
            <w:r w:rsidDel="00000000" w:rsidR="00000000" w:rsidRPr="00000000">
              <w:rPr>
                <w:color w:val="000000"/>
                <w:sz w:val="18"/>
                <w:szCs w:val="18"/>
                <w:rtl w:val="0"/>
              </w:rPr>
              <w:t xml:space="preserve">"I felt like I had a scarlet letter": Recurring experiences of structural stigma surrounding opioid tapers among patients with chronic, non-cancer pain.</w:t>
            </w:r>
          </w:p>
        </w:tc>
        <w:tc>
          <w:tcPr>
            <w:vAlign w:val="center"/>
          </w:tcPr>
          <w:p w:rsidR="00000000" w:rsidDel="00000000" w:rsidP="00000000" w:rsidRDefault="00000000" w:rsidRPr="00000000" w14:paraId="000012EC">
            <w:pPr>
              <w:jc w:val="center"/>
              <w:rPr>
                <w:color w:val="000000"/>
                <w:sz w:val="18"/>
                <w:szCs w:val="18"/>
              </w:rPr>
            </w:pPr>
            <w:r w:rsidDel="00000000" w:rsidR="00000000" w:rsidRPr="00000000">
              <w:rPr>
                <w:color w:val="000000"/>
                <w:sz w:val="18"/>
                <w:szCs w:val="18"/>
                <w:rtl w:val="0"/>
              </w:rPr>
              <w:t xml:space="preserve">Interviews with patients with chronic non-cancer pain who had undergone a reduction of opioids</w:t>
            </w:r>
          </w:p>
        </w:tc>
        <w:tc>
          <w:tcPr>
            <w:vAlign w:val="center"/>
          </w:tcPr>
          <w:p w:rsidR="00000000" w:rsidDel="00000000" w:rsidP="00000000" w:rsidRDefault="00000000" w:rsidRPr="00000000" w14:paraId="000012ED">
            <w:pPr>
              <w:jc w:val="center"/>
              <w:rPr>
                <w:color w:val="000000"/>
                <w:sz w:val="18"/>
                <w:szCs w:val="18"/>
              </w:rPr>
            </w:pPr>
            <w:r w:rsidDel="00000000" w:rsidR="00000000" w:rsidRPr="00000000">
              <w:rPr>
                <w:color w:val="000000"/>
                <w:sz w:val="18"/>
                <w:szCs w:val="18"/>
                <w:rtl w:val="0"/>
              </w:rPr>
              <w:t xml:space="preserve">41</w:t>
            </w:r>
          </w:p>
        </w:tc>
        <w:tc>
          <w:tcPr>
            <w:vAlign w:val="center"/>
          </w:tcPr>
          <w:p w:rsidR="00000000" w:rsidDel="00000000" w:rsidP="00000000" w:rsidRDefault="00000000" w:rsidRPr="00000000" w14:paraId="000012EE">
            <w:pPr>
              <w:rPr>
                <w:color w:val="000000"/>
                <w:sz w:val="18"/>
                <w:szCs w:val="18"/>
              </w:rPr>
            </w:pPr>
            <w:r w:rsidDel="00000000" w:rsidR="00000000" w:rsidRPr="00000000">
              <w:rPr>
                <w:color w:val="000000"/>
                <w:sz w:val="18"/>
                <w:szCs w:val="18"/>
                <w:rtl w:val="0"/>
              </w:rPr>
              <w:t xml:space="preserve">Participants identified as overlooked and negatively impacted during the pharmacovigilance period: opioids are perceived as pushed due to doctor-pharma relationship, opioid crisis impacting their care negatively as they are over monitored</w:t>
              <w:br w:type="textWrapping"/>
              <w:br w:type="textWrapping"/>
              <w:t xml:space="preserve">Dominant cultural norms reinforced the socially devalued status of those which chronic pain, experiences were invalidated, perceived as a "junkie", altered the way they presented themselves in order to reduce stigma,</w:t>
            </w:r>
          </w:p>
        </w:tc>
        <w:tc>
          <w:tcPr>
            <w:vAlign w:val="center"/>
          </w:tcPr>
          <w:p w:rsidR="00000000" w:rsidDel="00000000" w:rsidP="00000000" w:rsidRDefault="00000000" w:rsidRPr="00000000" w14:paraId="000012EF">
            <w:pPr>
              <w:rPr>
                <w:color w:val="000000"/>
                <w:sz w:val="18"/>
                <w:szCs w:val="18"/>
              </w:rPr>
            </w:pPr>
            <w:r w:rsidDel="00000000" w:rsidR="00000000" w:rsidRPr="00000000">
              <w:rPr>
                <w:color w:val="000000"/>
                <w:sz w:val="18"/>
                <w:szCs w:val="18"/>
                <w:rtl w:val="0"/>
              </w:rPr>
              <w:t xml:space="preserve">The interview schedule did not take into consideration stigma and have missed opportunities to probe the subject.</w:t>
            </w:r>
          </w:p>
        </w:tc>
      </w:tr>
      <w:tr>
        <w:trPr>
          <w:cantSplit w:val="0"/>
          <w:trHeight w:val="79" w:hRule="atLeast"/>
          <w:tblHeader w:val="0"/>
        </w:trPr>
        <w:tc>
          <w:tcPr>
            <w:vAlign w:val="center"/>
          </w:tcPr>
          <w:p w:rsidR="00000000" w:rsidDel="00000000" w:rsidP="00000000" w:rsidRDefault="00000000" w:rsidRPr="00000000" w14:paraId="000012F0">
            <w:pPr>
              <w:rPr>
                <w:b w:val="0"/>
                <w:color w:val="000000"/>
                <w:sz w:val="18"/>
                <w:szCs w:val="18"/>
              </w:rPr>
            </w:pPr>
            <w:r w:rsidDel="00000000" w:rsidR="00000000" w:rsidRPr="00000000">
              <w:rPr>
                <w:b w:val="0"/>
                <w:color w:val="000000"/>
                <w:sz w:val="18"/>
                <w:szCs w:val="18"/>
                <w:rtl w:val="0"/>
              </w:rPr>
              <w:t xml:space="preserve">48</w:t>
            </w:r>
          </w:p>
        </w:tc>
        <w:tc>
          <w:tcPr>
            <w:vAlign w:val="center"/>
          </w:tcPr>
          <w:p w:rsidR="00000000" w:rsidDel="00000000" w:rsidP="00000000" w:rsidRDefault="00000000" w:rsidRPr="00000000" w14:paraId="000012F1">
            <w:pPr>
              <w:rPr>
                <w:b w:val="1"/>
                <w:color w:val="000000"/>
                <w:sz w:val="18"/>
                <w:szCs w:val="18"/>
              </w:rPr>
            </w:pPr>
            <w:r w:rsidDel="00000000" w:rsidR="00000000" w:rsidRPr="00000000">
              <w:rPr>
                <w:b w:val="1"/>
                <w:color w:val="000000"/>
                <w:sz w:val="18"/>
                <w:szCs w:val="18"/>
                <w:rtl w:val="0"/>
              </w:rPr>
              <w:t xml:space="preserve">Australia</w:t>
            </w:r>
          </w:p>
        </w:tc>
        <w:tc>
          <w:tcPr>
            <w:vAlign w:val="center"/>
          </w:tcPr>
          <w:p w:rsidR="00000000" w:rsidDel="00000000" w:rsidP="00000000" w:rsidRDefault="00000000" w:rsidRPr="00000000" w14:paraId="000012F2">
            <w:pPr>
              <w:rPr>
                <w:color w:val="000000"/>
                <w:sz w:val="18"/>
                <w:szCs w:val="18"/>
              </w:rPr>
            </w:pPr>
            <w:r w:rsidDel="00000000" w:rsidR="00000000" w:rsidRPr="00000000">
              <w:rPr>
                <w:color w:val="000000"/>
                <w:sz w:val="18"/>
                <w:szCs w:val="18"/>
                <w:rtl w:val="0"/>
              </w:rPr>
              <w:t xml:space="preserve">Magee MR.</w:t>
              <w:br w:type="textWrapping"/>
              <w:t xml:space="preserve">McNeilage AG.</w:t>
              <w:br w:type="textWrapping"/>
              <w:t xml:space="preserve">Avery N.</w:t>
              <w:br w:type="textWrapping"/>
              <w:t xml:space="preserve">Glare P.</w:t>
              <w:br w:type="textWrapping"/>
              <w:t xml:space="preserve">Ashton-James CE.</w:t>
            </w:r>
          </w:p>
        </w:tc>
        <w:tc>
          <w:tcPr>
            <w:vAlign w:val="center"/>
          </w:tcPr>
          <w:p w:rsidR="00000000" w:rsidDel="00000000" w:rsidP="00000000" w:rsidRDefault="00000000" w:rsidRPr="00000000" w14:paraId="000012F3">
            <w:pPr>
              <w:jc w:val="center"/>
              <w:rPr>
                <w:color w:val="000000"/>
                <w:sz w:val="18"/>
                <w:szCs w:val="18"/>
              </w:rPr>
            </w:pPr>
            <w:r w:rsidDel="00000000" w:rsidR="00000000" w:rsidRPr="00000000">
              <w:rPr>
                <w:color w:val="000000"/>
                <w:sz w:val="18"/>
                <w:szCs w:val="18"/>
                <w:rtl w:val="0"/>
              </w:rPr>
              <w:t xml:space="preserve">2021</w:t>
            </w:r>
          </w:p>
        </w:tc>
        <w:tc>
          <w:tcPr>
            <w:vAlign w:val="center"/>
          </w:tcPr>
          <w:p w:rsidR="00000000" w:rsidDel="00000000" w:rsidP="00000000" w:rsidRDefault="00000000" w:rsidRPr="00000000" w14:paraId="000012F4">
            <w:pPr>
              <w:jc w:val="center"/>
              <w:rPr>
                <w:color w:val="000000"/>
                <w:sz w:val="18"/>
                <w:szCs w:val="18"/>
              </w:rPr>
            </w:pPr>
            <w:r w:rsidDel="00000000" w:rsidR="00000000" w:rsidRPr="00000000">
              <w:rPr>
                <w:color w:val="000000"/>
                <w:sz w:val="18"/>
                <w:szCs w:val="18"/>
                <w:rtl w:val="0"/>
              </w:rPr>
              <w:t xml:space="preserve">mHealth Interventions to Support Prescription Opioid Tapering in Patients With Chronic Pain: Qualitative Study of Patients' Perspectives.</w:t>
            </w:r>
          </w:p>
        </w:tc>
        <w:tc>
          <w:tcPr>
            <w:vAlign w:val="center"/>
          </w:tcPr>
          <w:p w:rsidR="00000000" w:rsidDel="00000000" w:rsidP="00000000" w:rsidRDefault="00000000" w:rsidRPr="00000000" w14:paraId="000012F5">
            <w:pPr>
              <w:jc w:val="center"/>
              <w:rPr>
                <w:color w:val="000000"/>
                <w:sz w:val="18"/>
                <w:szCs w:val="18"/>
              </w:rPr>
            </w:pPr>
            <w:r w:rsidDel="00000000" w:rsidR="00000000" w:rsidRPr="00000000">
              <w:rPr>
                <w:color w:val="000000"/>
                <w:sz w:val="18"/>
                <w:szCs w:val="18"/>
                <w:rtl w:val="0"/>
              </w:rPr>
              <w:t xml:space="preserve">Interviews with patients using long term opioid therapy</w:t>
            </w:r>
          </w:p>
        </w:tc>
        <w:tc>
          <w:tcPr>
            <w:vAlign w:val="center"/>
          </w:tcPr>
          <w:p w:rsidR="00000000" w:rsidDel="00000000" w:rsidP="00000000" w:rsidRDefault="00000000" w:rsidRPr="00000000" w14:paraId="000012F6">
            <w:pPr>
              <w:jc w:val="center"/>
              <w:rPr>
                <w:color w:val="000000"/>
                <w:sz w:val="18"/>
                <w:szCs w:val="18"/>
              </w:rPr>
            </w:pPr>
            <w:r w:rsidDel="00000000" w:rsidR="00000000" w:rsidRPr="00000000">
              <w:rPr>
                <w:color w:val="000000"/>
                <w:sz w:val="18"/>
                <w:szCs w:val="18"/>
                <w:rtl w:val="0"/>
              </w:rPr>
              <w:t xml:space="preserve">21</w:t>
            </w:r>
          </w:p>
        </w:tc>
        <w:tc>
          <w:tcPr>
            <w:vAlign w:val="center"/>
          </w:tcPr>
          <w:p w:rsidR="00000000" w:rsidDel="00000000" w:rsidP="00000000" w:rsidRDefault="00000000" w:rsidRPr="00000000" w14:paraId="000012F7">
            <w:pPr>
              <w:rPr>
                <w:color w:val="000000"/>
                <w:sz w:val="18"/>
                <w:szCs w:val="18"/>
              </w:rPr>
            </w:pPr>
            <w:r w:rsidDel="00000000" w:rsidR="00000000" w:rsidRPr="00000000">
              <w:rPr>
                <w:color w:val="000000"/>
                <w:sz w:val="18"/>
                <w:szCs w:val="18"/>
                <w:rtl w:val="0"/>
              </w:rPr>
              <w:t xml:space="preserve">Text support for opioid tapering was of interest to 81% of participants, app-based interventions (71%)</w:t>
              <w:br w:type="textWrapping"/>
              <w:br w:type="textWrapping"/>
              <w:t xml:space="preserve">Supported continuity of care, flexible care,</w:t>
              <w:br w:type="textWrapping"/>
              <w:br w:type="textWrapping"/>
              <w:t xml:space="preserve">Those not in favour support face-to-face support</w:t>
            </w:r>
          </w:p>
        </w:tc>
        <w:tc>
          <w:tcPr>
            <w:vAlign w:val="center"/>
          </w:tcPr>
          <w:p w:rsidR="00000000" w:rsidDel="00000000" w:rsidP="00000000" w:rsidRDefault="00000000" w:rsidRPr="00000000" w14:paraId="000012F8">
            <w:pPr>
              <w:rPr>
                <w:color w:val="000000"/>
                <w:sz w:val="18"/>
                <w:szCs w:val="18"/>
              </w:rPr>
            </w:pPr>
            <w:r w:rsidDel="00000000" w:rsidR="00000000" w:rsidRPr="00000000">
              <w:rPr>
                <w:color w:val="000000"/>
                <w:sz w:val="18"/>
                <w:szCs w:val="18"/>
                <w:rtl w:val="0"/>
              </w:rPr>
              <w:t xml:space="preserve">Previous experiences of mHealth interventions are likely to impact the perception of tapering advice provided electronically.</w:t>
            </w:r>
          </w:p>
        </w:tc>
      </w:tr>
      <w:tr>
        <w:trPr>
          <w:cantSplit w:val="0"/>
          <w:trHeight w:val="79" w:hRule="atLeast"/>
          <w:tblHeader w:val="0"/>
        </w:trPr>
        <w:tc>
          <w:tcPr>
            <w:vAlign w:val="center"/>
          </w:tcPr>
          <w:p w:rsidR="00000000" w:rsidDel="00000000" w:rsidP="00000000" w:rsidRDefault="00000000" w:rsidRPr="00000000" w14:paraId="000012F9">
            <w:pPr>
              <w:rPr>
                <w:b w:val="0"/>
                <w:color w:val="000000"/>
                <w:sz w:val="18"/>
                <w:szCs w:val="18"/>
              </w:rPr>
            </w:pPr>
            <w:r w:rsidDel="00000000" w:rsidR="00000000" w:rsidRPr="00000000">
              <w:rPr>
                <w:b w:val="0"/>
                <w:color w:val="000000"/>
                <w:sz w:val="18"/>
                <w:szCs w:val="18"/>
                <w:rtl w:val="0"/>
              </w:rPr>
              <w:t xml:space="preserve">49</w:t>
            </w:r>
          </w:p>
        </w:tc>
        <w:tc>
          <w:tcPr>
            <w:vAlign w:val="center"/>
          </w:tcPr>
          <w:p w:rsidR="00000000" w:rsidDel="00000000" w:rsidP="00000000" w:rsidRDefault="00000000" w:rsidRPr="00000000" w14:paraId="000012FA">
            <w:pPr>
              <w:rPr>
                <w:b w:val="1"/>
                <w:sz w:val="18"/>
                <w:szCs w:val="18"/>
              </w:rPr>
            </w:pPr>
            <w:r w:rsidDel="00000000" w:rsidR="00000000" w:rsidRPr="00000000">
              <w:rPr>
                <w:b w:val="1"/>
                <w:sz w:val="18"/>
                <w:szCs w:val="18"/>
                <w:rtl w:val="0"/>
              </w:rPr>
              <w:t xml:space="preserve">International</w:t>
            </w:r>
          </w:p>
        </w:tc>
        <w:tc>
          <w:tcPr>
            <w:vAlign w:val="center"/>
          </w:tcPr>
          <w:p w:rsidR="00000000" w:rsidDel="00000000" w:rsidP="00000000" w:rsidRDefault="00000000" w:rsidRPr="00000000" w14:paraId="000012FB">
            <w:pPr>
              <w:rPr>
                <w:sz w:val="18"/>
                <w:szCs w:val="18"/>
              </w:rPr>
            </w:pPr>
            <w:r w:rsidDel="00000000" w:rsidR="00000000" w:rsidRPr="00000000">
              <w:rPr>
                <w:sz w:val="18"/>
                <w:szCs w:val="18"/>
                <w:rtl w:val="0"/>
              </w:rPr>
              <w:t xml:space="preserve">Reid-Finlayson A].</w:t>
              <w:br w:type="textWrapping"/>
              <w:t xml:space="preserve">Macoubrie J. </w:t>
              <w:br w:type="textWrapping"/>
              <w:t xml:space="preserve">Huff C. </w:t>
              <w:br w:type="textWrapping"/>
              <w:t xml:space="preserve">Foster DE. </w:t>
              <w:br w:type="textWrapping"/>
              <w:t xml:space="preserve">Martin Pr.</w:t>
            </w:r>
          </w:p>
        </w:tc>
        <w:tc>
          <w:tcPr>
            <w:vAlign w:val="center"/>
          </w:tcPr>
          <w:p w:rsidR="00000000" w:rsidDel="00000000" w:rsidP="00000000" w:rsidRDefault="00000000" w:rsidRPr="00000000" w14:paraId="000012FC">
            <w:pPr>
              <w:jc w:val="center"/>
              <w:rPr>
                <w:sz w:val="18"/>
                <w:szCs w:val="18"/>
              </w:rPr>
            </w:pPr>
            <w:r w:rsidDel="00000000" w:rsidR="00000000" w:rsidRPr="00000000">
              <w:rPr>
                <w:sz w:val="18"/>
                <w:szCs w:val="18"/>
                <w:rtl w:val="0"/>
              </w:rPr>
              <w:t xml:space="preserve">2022</w:t>
            </w:r>
          </w:p>
        </w:tc>
        <w:tc>
          <w:tcPr>
            <w:vAlign w:val="center"/>
          </w:tcPr>
          <w:p w:rsidR="00000000" w:rsidDel="00000000" w:rsidP="00000000" w:rsidRDefault="00000000" w:rsidRPr="00000000" w14:paraId="000012FD">
            <w:pPr>
              <w:jc w:val="center"/>
              <w:rPr>
                <w:sz w:val="18"/>
                <w:szCs w:val="18"/>
              </w:rPr>
            </w:pPr>
            <w:hyperlink r:id="rId138">
              <w:r w:rsidDel="00000000" w:rsidR="00000000" w:rsidRPr="00000000">
                <w:rPr>
                  <w:sz w:val="18"/>
                  <w:szCs w:val="18"/>
                  <w:rtl w:val="0"/>
                </w:rPr>
                <w:t xml:space="preserve">Experiences with benzodiazepine use, tapering, and discontinuation: an Internet survey.</w:t>
              </w:r>
            </w:hyperlink>
            <w:r w:rsidDel="00000000" w:rsidR="00000000" w:rsidRPr="00000000">
              <w:rPr>
                <w:rtl w:val="0"/>
              </w:rPr>
            </w:r>
          </w:p>
        </w:tc>
        <w:tc>
          <w:tcPr>
            <w:vAlign w:val="center"/>
          </w:tcPr>
          <w:p w:rsidR="00000000" w:rsidDel="00000000" w:rsidP="00000000" w:rsidRDefault="00000000" w:rsidRPr="00000000" w14:paraId="000012FE">
            <w:pPr>
              <w:jc w:val="center"/>
              <w:rPr>
                <w:sz w:val="18"/>
                <w:szCs w:val="18"/>
              </w:rPr>
            </w:pPr>
            <w:r w:rsidDel="00000000" w:rsidR="00000000" w:rsidRPr="00000000">
              <w:rPr>
                <w:sz w:val="18"/>
                <w:szCs w:val="18"/>
                <w:rtl w:val="0"/>
              </w:rPr>
              <w:t xml:space="preserve">Internet survey</w:t>
            </w:r>
          </w:p>
        </w:tc>
        <w:tc>
          <w:tcPr>
            <w:vAlign w:val="center"/>
          </w:tcPr>
          <w:p w:rsidR="00000000" w:rsidDel="00000000" w:rsidP="00000000" w:rsidRDefault="00000000" w:rsidRPr="00000000" w14:paraId="000012FF">
            <w:pPr>
              <w:jc w:val="center"/>
              <w:rPr>
                <w:sz w:val="18"/>
                <w:szCs w:val="18"/>
              </w:rPr>
            </w:pPr>
            <w:r w:rsidDel="00000000" w:rsidR="00000000" w:rsidRPr="00000000">
              <w:rPr>
                <w:sz w:val="18"/>
                <w:szCs w:val="18"/>
                <w:rtl w:val="0"/>
              </w:rPr>
              <w:t xml:space="preserve">1207</w:t>
              <w:br w:type="textWrapping"/>
              <w:br w:type="textWrapping"/>
              <w:t xml:space="preserve">71% female</w:t>
              <w:br w:type="textWrapping"/>
              <w:br w:type="textWrapping"/>
              <w:t xml:space="preserve">26% male</w:t>
              <w:br w:type="textWrapping"/>
              <w:br w:type="textWrapping"/>
              <w:t xml:space="preserve">2% preferred to not state their gender</w:t>
            </w:r>
          </w:p>
        </w:tc>
        <w:tc>
          <w:tcPr>
            <w:vAlign w:val="center"/>
          </w:tcPr>
          <w:p w:rsidR="00000000" w:rsidDel="00000000" w:rsidP="00000000" w:rsidRDefault="00000000" w:rsidRPr="00000000" w14:paraId="00001300">
            <w:pPr>
              <w:rPr>
                <w:sz w:val="18"/>
                <w:szCs w:val="18"/>
              </w:rPr>
            </w:pPr>
            <w:r w:rsidDel="00000000" w:rsidR="00000000" w:rsidRPr="00000000">
              <w:rPr>
                <w:sz w:val="18"/>
                <w:szCs w:val="18"/>
                <w:rtl w:val="0"/>
              </w:rPr>
              <w:t xml:space="preserve">55.9% of participants had used one of the following medicines: benzodiazepines (</w:t>
            </w:r>
            <w:r w:rsidDel="00000000" w:rsidR="00000000" w:rsidRPr="00000000">
              <w:rPr>
                <w:i w:val="1"/>
                <w:sz w:val="18"/>
                <w:szCs w:val="18"/>
                <w:rtl w:val="0"/>
              </w:rPr>
              <w:t xml:space="preserve">n=</w:t>
            </w:r>
            <w:r w:rsidDel="00000000" w:rsidR="00000000" w:rsidRPr="00000000">
              <w:rPr>
                <w:sz w:val="18"/>
                <w:szCs w:val="18"/>
                <w:rtl w:val="0"/>
              </w:rPr>
              <w:t xml:space="preserve"> 1190), Z-Drug (</w:t>
            </w:r>
            <w:r w:rsidDel="00000000" w:rsidR="00000000" w:rsidRPr="00000000">
              <w:rPr>
                <w:i w:val="1"/>
                <w:sz w:val="18"/>
                <w:szCs w:val="18"/>
                <w:rtl w:val="0"/>
              </w:rPr>
              <w:t xml:space="preserve">n=</w:t>
            </w:r>
            <w:r w:rsidDel="00000000" w:rsidR="00000000" w:rsidRPr="00000000">
              <w:rPr>
                <w:sz w:val="18"/>
                <w:szCs w:val="18"/>
                <w:rtl w:val="0"/>
              </w:rPr>
              <w:t xml:space="preserve"> 247), antipsychotics (</w:t>
            </w:r>
            <w:r w:rsidDel="00000000" w:rsidR="00000000" w:rsidRPr="00000000">
              <w:rPr>
                <w:i w:val="1"/>
                <w:sz w:val="18"/>
                <w:szCs w:val="18"/>
                <w:rtl w:val="0"/>
              </w:rPr>
              <w:t xml:space="preserve">n=</w:t>
            </w:r>
            <w:r w:rsidDel="00000000" w:rsidR="00000000" w:rsidRPr="00000000">
              <w:rPr>
                <w:sz w:val="18"/>
                <w:szCs w:val="18"/>
                <w:rtl w:val="0"/>
              </w:rPr>
              <w:t xml:space="preserve"> 167), antidepressants (</w:t>
            </w:r>
            <w:r w:rsidDel="00000000" w:rsidR="00000000" w:rsidRPr="00000000">
              <w:rPr>
                <w:i w:val="1"/>
                <w:sz w:val="18"/>
                <w:szCs w:val="18"/>
                <w:rtl w:val="0"/>
              </w:rPr>
              <w:t xml:space="preserve">n=</w:t>
            </w:r>
            <w:r w:rsidDel="00000000" w:rsidR="00000000" w:rsidRPr="00000000">
              <w:rPr>
                <w:sz w:val="18"/>
                <w:szCs w:val="18"/>
                <w:rtl w:val="0"/>
              </w:rPr>
              <w:t xml:space="preserve"> 558), and GABA drugs such as gabapentin and pregabalin (</w:t>
            </w:r>
            <w:r w:rsidDel="00000000" w:rsidR="00000000" w:rsidRPr="00000000">
              <w:rPr>
                <w:i w:val="1"/>
                <w:sz w:val="18"/>
                <w:szCs w:val="18"/>
                <w:rtl w:val="0"/>
              </w:rPr>
              <w:t xml:space="preserve">n=</w:t>
            </w:r>
            <w:r w:rsidDel="00000000" w:rsidR="00000000" w:rsidRPr="00000000">
              <w:rPr>
                <w:sz w:val="18"/>
                <w:szCs w:val="18"/>
                <w:rtl w:val="0"/>
              </w:rPr>
              <w:t xml:space="preserve"> 222).</w:t>
              <w:br w:type="textWrapping"/>
              <w:br w:type="textWrapping"/>
              <w:t xml:space="preserve">98.6% had a prescription for benzodiazepines. 68.4% state they 'definitely' take their medication as prescribed, 22.0% take their medication 'mostly' as prescribed, with 8.7% not taking their medication as prescribed.</w:t>
              <w:br w:type="textWrapping"/>
              <w:br w:type="textWrapping"/>
              <w:t xml:space="preserve">76.2% report their healthcare practitioner 'definitely did not' tell them that benzodiazepine use is a short-term treatment, with a further 5.6% reporting they were 'probably not' given this information. 6.1% state they had been 'clearly warned' or 'warned, but not sufficiently'.</w:t>
              <w:br w:type="textWrapping"/>
              <w:t xml:space="preserve">54.4% report suicidal ideation or a suicide attempt whilst using benzodiazepines.</w:t>
            </w:r>
          </w:p>
        </w:tc>
        <w:tc>
          <w:tcPr>
            <w:vAlign w:val="center"/>
          </w:tcPr>
          <w:p w:rsidR="00000000" w:rsidDel="00000000" w:rsidP="00000000" w:rsidRDefault="00000000" w:rsidRPr="00000000" w14:paraId="00001301">
            <w:pPr>
              <w:rPr>
                <w:sz w:val="18"/>
                <w:szCs w:val="18"/>
              </w:rPr>
            </w:pPr>
            <w:r w:rsidDel="00000000" w:rsidR="00000000" w:rsidRPr="00000000">
              <w:rPr>
                <w:sz w:val="18"/>
                <w:szCs w:val="18"/>
                <w:rtl w:val="0"/>
              </w:rPr>
              <w:t xml:space="preserve">the definition of suicidal thoughts was not prescribed, and experiences can range from fleeting notions of self-injury to an active suicide attempt.</w:t>
              <w:br w:type="textWrapping"/>
              <w:br w:type="textWrapping"/>
              <w:t xml:space="preserve">No control group.</w:t>
              <w:br w:type="textWrapping"/>
              <w:br w:type="textWrapping"/>
              <w:t xml:space="preserve">Recruitment from social media, which has a social bias to younger people who are experiencing negative symptoms or side effects from medication.</w:t>
            </w:r>
          </w:p>
        </w:tc>
      </w:tr>
      <w:tr>
        <w:trPr>
          <w:cantSplit w:val="0"/>
          <w:trHeight w:val="952" w:hRule="atLeast"/>
          <w:tblHeader w:val="0"/>
        </w:trPr>
        <w:tc>
          <w:tcPr>
            <w:vAlign w:val="center"/>
          </w:tcPr>
          <w:p w:rsidR="00000000" w:rsidDel="00000000" w:rsidP="00000000" w:rsidRDefault="00000000" w:rsidRPr="00000000" w14:paraId="00001302">
            <w:pPr>
              <w:rPr>
                <w:b w:val="0"/>
                <w:color w:val="000000"/>
                <w:sz w:val="18"/>
                <w:szCs w:val="18"/>
              </w:rPr>
            </w:pPr>
            <w:r w:rsidDel="00000000" w:rsidR="00000000" w:rsidRPr="00000000">
              <w:rPr>
                <w:b w:val="0"/>
                <w:color w:val="000000"/>
                <w:sz w:val="18"/>
                <w:szCs w:val="18"/>
                <w:rtl w:val="0"/>
              </w:rPr>
              <w:t xml:space="preserve">50</w:t>
            </w:r>
          </w:p>
        </w:tc>
        <w:tc>
          <w:tcPr>
            <w:vAlign w:val="center"/>
          </w:tcPr>
          <w:p w:rsidR="00000000" w:rsidDel="00000000" w:rsidP="00000000" w:rsidRDefault="00000000" w:rsidRPr="00000000" w14:paraId="00001303">
            <w:pPr>
              <w:rPr>
                <w:b w:val="1"/>
                <w:sz w:val="18"/>
                <w:szCs w:val="18"/>
              </w:rPr>
            </w:pPr>
            <w:r w:rsidDel="00000000" w:rsidR="00000000" w:rsidRPr="00000000">
              <w:rPr>
                <w:b w:val="1"/>
                <w:sz w:val="18"/>
                <w:szCs w:val="18"/>
                <w:rtl w:val="0"/>
              </w:rPr>
              <w:t xml:space="preserve">Spain</w:t>
            </w:r>
          </w:p>
        </w:tc>
        <w:tc>
          <w:tcPr>
            <w:vAlign w:val="center"/>
          </w:tcPr>
          <w:p w:rsidR="00000000" w:rsidDel="00000000" w:rsidP="00000000" w:rsidRDefault="00000000" w:rsidRPr="00000000" w14:paraId="00001304">
            <w:pPr>
              <w:rPr>
                <w:sz w:val="18"/>
                <w:szCs w:val="18"/>
              </w:rPr>
            </w:pPr>
            <w:r w:rsidDel="00000000" w:rsidR="00000000" w:rsidRPr="00000000">
              <w:rPr>
                <w:sz w:val="18"/>
                <w:szCs w:val="18"/>
                <w:rtl w:val="0"/>
              </w:rPr>
              <w:t xml:space="preserve">Rodríguez-Espinosa S.</w:t>
              <w:br w:type="textWrapping"/>
              <w:t xml:space="preserve">Coloma-Carmona A.</w:t>
              <w:br w:type="textWrapping"/>
              <w:t xml:space="preserve">Pérez-Carbonell A.</w:t>
              <w:br w:type="textWrapping"/>
              <w:t xml:space="preserve">Román-Quiles JF.</w:t>
              <w:br w:type="textWrapping"/>
              <w:t xml:space="preserve">Carballo JL.</w:t>
            </w:r>
          </w:p>
        </w:tc>
        <w:tc>
          <w:tcPr>
            <w:vAlign w:val="center"/>
          </w:tcPr>
          <w:p w:rsidR="00000000" w:rsidDel="00000000" w:rsidP="00000000" w:rsidRDefault="00000000" w:rsidRPr="00000000" w14:paraId="00001305">
            <w:pPr>
              <w:jc w:val="center"/>
              <w:rPr>
                <w:sz w:val="18"/>
                <w:szCs w:val="18"/>
              </w:rPr>
            </w:pPr>
            <w:r w:rsidDel="00000000" w:rsidR="00000000" w:rsidRPr="00000000">
              <w:rPr>
                <w:sz w:val="18"/>
                <w:szCs w:val="18"/>
                <w:rtl w:val="0"/>
              </w:rPr>
              <w:t xml:space="preserve">2022</w:t>
            </w:r>
          </w:p>
        </w:tc>
        <w:tc>
          <w:tcPr>
            <w:vAlign w:val="center"/>
          </w:tcPr>
          <w:p w:rsidR="00000000" w:rsidDel="00000000" w:rsidP="00000000" w:rsidRDefault="00000000" w:rsidRPr="00000000" w14:paraId="00001306">
            <w:pPr>
              <w:jc w:val="center"/>
              <w:rPr>
                <w:color w:val="212121"/>
                <w:sz w:val="18"/>
                <w:szCs w:val="18"/>
              </w:rPr>
            </w:pPr>
            <w:r w:rsidDel="00000000" w:rsidR="00000000" w:rsidRPr="00000000">
              <w:rPr>
                <w:color w:val="212121"/>
                <w:sz w:val="18"/>
                <w:szCs w:val="18"/>
                <w:rtl w:val="0"/>
              </w:rPr>
              <w:t xml:space="preserve">Clinical and psychological factors associated with interdose opioid withdrawal in chronic pain population</w:t>
            </w:r>
          </w:p>
        </w:tc>
        <w:tc>
          <w:tcPr>
            <w:vAlign w:val="center"/>
          </w:tcPr>
          <w:p w:rsidR="00000000" w:rsidDel="00000000" w:rsidP="00000000" w:rsidRDefault="00000000" w:rsidRPr="00000000" w14:paraId="00001307">
            <w:pPr>
              <w:jc w:val="center"/>
              <w:rPr>
                <w:sz w:val="18"/>
                <w:szCs w:val="18"/>
              </w:rPr>
            </w:pPr>
            <w:r w:rsidDel="00000000" w:rsidR="00000000" w:rsidRPr="00000000">
              <w:rPr>
                <w:sz w:val="18"/>
                <w:szCs w:val="18"/>
                <w:rtl w:val="0"/>
              </w:rPr>
              <w:t xml:space="preserve">Cross sectional descriptive study</w:t>
            </w:r>
          </w:p>
        </w:tc>
        <w:tc>
          <w:tcPr>
            <w:vAlign w:val="center"/>
          </w:tcPr>
          <w:p w:rsidR="00000000" w:rsidDel="00000000" w:rsidP="00000000" w:rsidRDefault="00000000" w:rsidRPr="00000000" w14:paraId="00001308">
            <w:pPr>
              <w:jc w:val="center"/>
              <w:rPr>
                <w:sz w:val="18"/>
                <w:szCs w:val="18"/>
              </w:rPr>
            </w:pPr>
            <w:r w:rsidDel="00000000" w:rsidR="00000000" w:rsidRPr="00000000">
              <w:rPr>
                <w:sz w:val="18"/>
                <w:szCs w:val="18"/>
                <w:rtl w:val="0"/>
              </w:rPr>
              <w:t xml:space="preserve">391 patients on long term opioid therapy</w:t>
            </w:r>
          </w:p>
        </w:tc>
        <w:tc>
          <w:tcPr>
            <w:vAlign w:val="center"/>
          </w:tcPr>
          <w:p w:rsidR="00000000" w:rsidDel="00000000" w:rsidP="00000000" w:rsidRDefault="00000000" w:rsidRPr="00000000" w14:paraId="00001309">
            <w:pPr>
              <w:rPr>
                <w:sz w:val="18"/>
                <w:szCs w:val="18"/>
              </w:rPr>
            </w:pPr>
            <w:r w:rsidDel="00000000" w:rsidR="00000000" w:rsidRPr="00000000">
              <w:rPr>
                <w:sz w:val="18"/>
                <w:szCs w:val="18"/>
                <w:rtl w:val="0"/>
              </w:rPr>
              <w:t xml:space="preserve">Mild withdrawal: </w:t>
            </w:r>
            <w:r w:rsidDel="00000000" w:rsidR="00000000" w:rsidRPr="00000000">
              <w:rPr>
                <w:i w:val="1"/>
                <w:sz w:val="18"/>
                <w:szCs w:val="18"/>
                <w:rtl w:val="0"/>
              </w:rPr>
              <w:t xml:space="preserve">low probabilities of presenting physical and psychological withdrawal symptoms.</w:t>
            </w:r>
            <w:r w:rsidDel="00000000" w:rsidR="00000000" w:rsidRPr="00000000">
              <w:rPr>
                <w:sz w:val="18"/>
                <w:szCs w:val="18"/>
                <w:rtl w:val="0"/>
              </w:rPr>
              <w:br w:type="textWrapping"/>
              <w:br w:type="textWrapping"/>
              <w:t xml:space="preserve">Moderate withdrawal: characterised by psychological symptoms.</w:t>
              <w:br w:type="textWrapping"/>
              <w:br w:type="textWrapping"/>
              <w:t xml:space="preserve">Severe withdrawal: characterised by both physical and psychological withdrawal symptoms.</w:t>
              <w:br w:type="textWrapping"/>
              <w:br w:type="textWrapping"/>
              <w:t xml:space="preserve">The classes varied from one another with higher rates of moderate-severe POUD experiencing anxiety, depression, greater pain intensity and interference.</w:t>
            </w:r>
          </w:p>
          <w:p w:rsidR="00000000" w:rsidDel="00000000" w:rsidP="00000000" w:rsidRDefault="00000000" w:rsidRPr="00000000" w14:paraId="0000130A">
            <w:pPr>
              <w:rPr>
                <w:sz w:val="18"/>
                <w:szCs w:val="18"/>
              </w:rPr>
            </w:pPr>
            <w:r w:rsidDel="00000000" w:rsidR="00000000" w:rsidRPr="00000000">
              <w:rPr>
                <w:rtl w:val="0"/>
              </w:rPr>
            </w:r>
          </w:p>
        </w:tc>
        <w:tc>
          <w:tcPr>
            <w:vAlign w:val="center"/>
          </w:tcPr>
          <w:p w:rsidR="00000000" w:rsidDel="00000000" w:rsidP="00000000" w:rsidRDefault="00000000" w:rsidRPr="00000000" w14:paraId="0000130B">
            <w:pPr>
              <w:rPr>
                <w:sz w:val="18"/>
                <w:szCs w:val="18"/>
              </w:rPr>
            </w:pPr>
            <w:r w:rsidDel="00000000" w:rsidR="00000000" w:rsidRPr="00000000">
              <w:rPr>
                <w:sz w:val="18"/>
                <w:szCs w:val="18"/>
                <w:rtl w:val="0"/>
              </w:rPr>
              <w:t xml:space="preserve">Did not evaluate the patient perspective of opioid use.</w:t>
            </w:r>
          </w:p>
        </w:tc>
      </w:tr>
      <w:tr>
        <w:trPr>
          <w:cantSplit w:val="0"/>
          <w:trHeight w:val="259" w:hRule="atLeast"/>
          <w:tblHeader w:val="0"/>
        </w:trPr>
        <w:tc>
          <w:tcPr>
            <w:vAlign w:val="center"/>
          </w:tcPr>
          <w:p w:rsidR="00000000" w:rsidDel="00000000" w:rsidP="00000000" w:rsidRDefault="00000000" w:rsidRPr="00000000" w14:paraId="0000130C">
            <w:pPr>
              <w:rPr>
                <w:b w:val="0"/>
                <w:color w:val="000000"/>
                <w:sz w:val="18"/>
                <w:szCs w:val="18"/>
              </w:rPr>
            </w:pPr>
            <w:r w:rsidDel="00000000" w:rsidR="00000000" w:rsidRPr="00000000">
              <w:rPr>
                <w:b w:val="0"/>
                <w:color w:val="000000"/>
                <w:sz w:val="18"/>
                <w:szCs w:val="18"/>
                <w:rtl w:val="0"/>
              </w:rPr>
              <w:t xml:space="preserve">51</w:t>
            </w:r>
          </w:p>
        </w:tc>
        <w:tc>
          <w:tcPr>
            <w:vAlign w:val="center"/>
          </w:tcPr>
          <w:p w:rsidR="00000000" w:rsidDel="00000000" w:rsidP="00000000" w:rsidRDefault="00000000" w:rsidRPr="00000000" w14:paraId="0000130D">
            <w:pPr>
              <w:rPr>
                <w:b w:val="1"/>
                <w:sz w:val="18"/>
                <w:szCs w:val="18"/>
              </w:rPr>
            </w:pPr>
            <w:r w:rsidDel="00000000" w:rsidR="00000000" w:rsidRPr="00000000">
              <w:rPr>
                <w:b w:val="1"/>
                <w:sz w:val="18"/>
                <w:szCs w:val="18"/>
                <w:rtl w:val="0"/>
              </w:rPr>
              <w:t xml:space="preserve">Japan</w:t>
            </w:r>
          </w:p>
        </w:tc>
        <w:tc>
          <w:tcPr>
            <w:vAlign w:val="center"/>
          </w:tcPr>
          <w:p w:rsidR="00000000" w:rsidDel="00000000" w:rsidP="00000000" w:rsidRDefault="00000000" w:rsidRPr="00000000" w14:paraId="0000130E">
            <w:pPr>
              <w:rPr>
                <w:sz w:val="18"/>
                <w:szCs w:val="18"/>
              </w:rPr>
            </w:pPr>
            <w:r w:rsidDel="00000000" w:rsidR="00000000" w:rsidRPr="00000000">
              <w:rPr>
                <w:sz w:val="18"/>
                <w:szCs w:val="18"/>
                <w:rtl w:val="0"/>
              </w:rPr>
              <w:t xml:space="preserve">Takeshima M. Aoki Y. Ie K. Karsumoto E. Tsuru E. Tsuboi T. Inada K. Kise M. Waranbe K. Mishima K. Takaesu.</w:t>
            </w:r>
          </w:p>
        </w:tc>
        <w:tc>
          <w:tcPr>
            <w:vAlign w:val="center"/>
          </w:tcPr>
          <w:p w:rsidR="00000000" w:rsidDel="00000000" w:rsidP="00000000" w:rsidRDefault="00000000" w:rsidRPr="00000000" w14:paraId="0000130F">
            <w:pPr>
              <w:jc w:val="center"/>
              <w:rPr>
                <w:sz w:val="18"/>
                <w:szCs w:val="18"/>
              </w:rPr>
            </w:pPr>
            <w:r w:rsidDel="00000000" w:rsidR="00000000" w:rsidRPr="00000000">
              <w:rPr>
                <w:sz w:val="18"/>
                <w:szCs w:val="18"/>
                <w:rtl w:val="0"/>
              </w:rPr>
              <w:t xml:space="preserve">2022</w:t>
            </w:r>
          </w:p>
        </w:tc>
        <w:tc>
          <w:tcPr>
            <w:vAlign w:val="center"/>
          </w:tcPr>
          <w:p w:rsidR="00000000" w:rsidDel="00000000" w:rsidP="00000000" w:rsidRDefault="00000000" w:rsidRPr="00000000" w14:paraId="00001310">
            <w:pPr>
              <w:jc w:val="center"/>
              <w:rPr>
                <w:sz w:val="18"/>
                <w:szCs w:val="18"/>
              </w:rPr>
            </w:pPr>
            <w:r w:rsidDel="00000000" w:rsidR="00000000" w:rsidRPr="00000000">
              <w:rPr>
                <w:sz w:val="18"/>
                <w:szCs w:val="18"/>
                <w:rtl w:val="0"/>
              </w:rPr>
              <w:t xml:space="preserve">Attitudes and Difficulties Associated with Benzodiazepine Discontinuation.</w:t>
            </w:r>
          </w:p>
        </w:tc>
        <w:tc>
          <w:tcPr>
            <w:vAlign w:val="center"/>
          </w:tcPr>
          <w:p w:rsidR="00000000" w:rsidDel="00000000" w:rsidP="00000000" w:rsidRDefault="00000000" w:rsidRPr="00000000" w14:paraId="00001311">
            <w:pPr>
              <w:jc w:val="center"/>
              <w:rPr>
                <w:sz w:val="18"/>
                <w:szCs w:val="18"/>
              </w:rPr>
            </w:pPr>
            <w:r w:rsidDel="00000000" w:rsidR="00000000" w:rsidRPr="00000000">
              <w:rPr>
                <w:sz w:val="18"/>
                <w:szCs w:val="18"/>
                <w:rtl w:val="0"/>
              </w:rPr>
              <w:t xml:space="preserve">cross-sectional questionnaire</w:t>
            </w:r>
          </w:p>
        </w:tc>
        <w:tc>
          <w:tcPr>
            <w:vAlign w:val="center"/>
          </w:tcPr>
          <w:p w:rsidR="00000000" w:rsidDel="00000000" w:rsidP="00000000" w:rsidRDefault="00000000" w:rsidRPr="00000000" w14:paraId="00001312">
            <w:pPr>
              <w:jc w:val="center"/>
              <w:rPr>
                <w:sz w:val="18"/>
                <w:szCs w:val="18"/>
              </w:rPr>
            </w:pPr>
            <w:r w:rsidDel="00000000" w:rsidR="00000000" w:rsidRPr="00000000">
              <w:rPr>
                <w:sz w:val="18"/>
                <w:szCs w:val="18"/>
                <w:rtl w:val="0"/>
              </w:rPr>
              <w:t xml:space="preserve">962</w:t>
            </w:r>
          </w:p>
        </w:tc>
        <w:tc>
          <w:tcPr>
            <w:vAlign w:val="center"/>
          </w:tcPr>
          <w:p w:rsidR="00000000" w:rsidDel="00000000" w:rsidP="00000000" w:rsidRDefault="00000000" w:rsidRPr="00000000" w14:paraId="00001313">
            <w:pPr>
              <w:rPr>
                <w:sz w:val="18"/>
                <w:szCs w:val="18"/>
              </w:rPr>
            </w:pPr>
            <w:r w:rsidDel="00000000" w:rsidR="00000000" w:rsidRPr="00000000">
              <w:rPr>
                <w:sz w:val="18"/>
                <w:szCs w:val="18"/>
                <w:rtl w:val="0"/>
              </w:rPr>
              <w:t xml:space="preserve">19.4% preferred to start reduction immediately after improvement, 35.6% 3 months after improvement, 20.2% 6 months after improvement, 7.1% after 12 months after improvement and 1.9% after 12 months of improvement (p.4)</w:t>
              <w:br w:type="textWrapping"/>
              <w:t xml:space="preserve">Non-psychiatrists are likely to start discontinuation immediately after symptom improvement.</w:t>
              <w:br w:type="textWrapping"/>
              <w:t xml:space="preserve">Gradual tapering was used by 83.8% participants</w:t>
              <w:br w:type="textWrapping"/>
              <w:t xml:space="preserve">5.1% used patient booklets/brochures</w:t>
              <w:br w:type="textWrapping"/>
              <w:t xml:space="preserve">Non psychiatrists were more likely to abruptly discontinue/less likely to use information leaflets, switching and psychological input as opposed to psychiatrists (p.4)</w:t>
              <w:br w:type="textWrapping"/>
              <w:t xml:space="preserve">Patient resistance was highlighted as the most common difficulty, with relapse or recurrence of symptoms (p.4)</w:t>
              <w:br w:type="textWrapping"/>
              <w:t xml:space="preserve">non-psychiatrists experienced more difficulties with discontinuing patients </w:t>
              <w:br w:type="textWrapping"/>
              <w:t xml:space="preserve">Patients using psychological services/abrupt cessation had less difficulty in reducing (p.5)</w:t>
            </w:r>
          </w:p>
        </w:tc>
        <w:tc>
          <w:tcPr>
            <w:vAlign w:val="center"/>
          </w:tcPr>
          <w:p w:rsidR="00000000" w:rsidDel="00000000" w:rsidP="00000000" w:rsidRDefault="00000000" w:rsidRPr="00000000" w14:paraId="00001314">
            <w:pPr>
              <w:rPr>
                <w:sz w:val="18"/>
                <w:szCs w:val="18"/>
              </w:rPr>
            </w:pPr>
            <w:r w:rsidDel="00000000" w:rsidR="00000000" w:rsidRPr="00000000">
              <w:rPr>
                <w:sz w:val="18"/>
                <w:szCs w:val="18"/>
                <w:rtl w:val="0"/>
              </w:rPr>
              <w:t xml:space="preserve">low response rate, lesser generalisability. Not a representative sample.</w:t>
            </w:r>
          </w:p>
        </w:tc>
      </w:tr>
      <w:tr>
        <w:trPr>
          <w:cantSplit w:val="0"/>
          <w:trHeight w:val="79" w:hRule="atLeast"/>
          <w:tblHeader w:val="0"/>
        </w:trPr>
        <w:tc>
          <w:tcPr>
            <w:vAlign w:val="center"/>
          </w:tcPr>
          <w:p w:rsidR="00000000" w:rsidDel="00000000" w:rsidP="00000000" w:rsidRDefault="00000000" w:rsidRPr="00000000" w14:paraId="00001315">
            <w:pPr>
              <w:rPr>
                <w:b w:val="0"/>
                <w:color w:val="000000"/>
                <w:sz w:val="18"/>
                <w:szCs w:val="18"/>
              </w:rPr>
            </w:pPr>
            <w:r w:rsidDel="00000000" w:rsidR="00000000" w:rsidRPr="00000000">
              <w:rPr>
                <w:b w:val="0"/>
                <w:color w:val="000000"/>
                <w:sz w:val="18"/>
                <w:szCs w:val="18"/>
                <w:rtl w:val="0"/>
              </w:rPr>
              <w:t xml:space="preserve">52</w:t>
            </w:r>
          </w:p>
        </w:tc>
        <w:tc>
          <w:tcPr>
            <w:vAlign w:val="center"/>
          </w:tcPr>
          <w:p w:rsidR="00000000" w:rsidDel="00000000" w:rsidP="00000000" w:rsidRDefault="00000000" w:rsidRPr="00000000" w14:paraId="00001316">
            <w:pPr>
              <w:rPr>
                <w:b w:val="1"/>
                <w:color w:val="000000"/>
                <w:sz w:val="18"/>
                <w:szCs w:val="18"/>
              </w:rPr>
            </w:pPr>
            <w:r w:rsidDel="00000000" w:rsidR="00000000" w:rsidRPr="00000000">
              <w:rPr>
                <w:b w:val="1"/>
                <w:color w:val="000000"/>
                <w:sz w:val="18"/>
                <w:szCs w:val="18"/>
                <w:rtl w:val="0"/>
              </w:rPr>
              <w:t xml:space="preserve">Australia</w:t>
            </w:r>
          </w:p>
        </w:tc>
        <w:tc>
          <w:tcPr>
            <w:vAlign w:val="center"/>
          </w:tcPr>
          <w:p w:rsidR="00000000" w:rsidDel="00000000" w:rsidP="00000000" w:rsidRDefault="00000000" w:rsidRPr="00000000" w14:paraId="00001317">
            <w:pPr>
              <w:rPr>
                <w:color w:val="000000"/>
                <w:sz w:val="18"/>
                <w:szCs w:val="18"/>
              </w:rPr>
            </w:pPr>
            <w:r w:rsidDel="00000000" w:rsidR="00000000" w:rsidRPr="00000000">
              <w:rPr>
                <w:color w:val="000000"/>
                <w:sz w:val="18"/>
                <w:szCs w:val="18"/>
                <w:rtl w:val="0"/>
              </w:rPr>
              <w:t xml:space="preserve">Hamilton M.</w:t>
              <w:br w:type="textWrapping"/>
              <w:t xml:space="preserve">Gnjidic D.</w:t>
              <w:br w:type="textWrapping"/>
              <w:t xml:space="preserve">Christine Lin CW.</w:t>
              <w:br w:type="textWrapping"/>
              <w:t xml:space="preserve">Jansen J.</w:t>
              <w:br w:type="textWrapping"/>
              <w:t xml:space="preserve">Weir KR.</w:t>
              <w:br w:type="textWrapping"/>
              <w:t xml:space="preserve">Shaheed CA.</w:t>
              <w:br w:type="textWrapping"/>
              <w:t xml:space="preserve">Blyth F.</w:t>
              <w:br w:type="textWrapping"/>
              <w:t xml:space="preserve">Mathieson S.</w:t>
            </w:r>
          </w:p>
        </w:tc>
        <w:tc>
          <w:tcPr>
            <w:vAlign w:val="center"/>
          </w:tcPr>
          <w:p w:rsidR="00000000" w:rsidDel="00000000" w:rsidP="00000000" w:rsidRDefault="00000000" w:rsidRPr="00000000" w14:paraId="00001318">
            <w:pPr>
              <w:jc w:val="center"/>
              <w:rPr>
                <w:color w:val="000000"/>
                <w:sz w:val="18"/>
                <w:szCs w:val="18"/>
              </w:rPr>
            </w:pPr>
            <w:r w:rsidDel="00000000" w:rsidR="00000000" w:rsidRPr="00000000">
              <w:rPr>
                <w:color w:val="000000"/>
                <w:sz w:val="18"/>
                <w:szCs w:val="18"/>
                <w:rtl w:val="0"/>
              </w:rPr>
              <w:t xml:space="preserve">2022</w:t>
            </w:r>
          </w:p>
        </w:tc>
        <w:tc>
          <w:tcPr>
            <w:vAlign w:val="center"/>
          </w:tcPr>
          <w:p w:rsidR="00000000" w:rsidDel="00000000" w:rsidP="00000000" w:rsidRDefault="00000000" w:rsidRPr="00000000" w14:paraId="00001319">
            <w:pPr>
              <w:jc w:val="center"/>
              <w:rPr>
                <w:color w:val="000000"/>
                <w:sz w:val="18"/>
                <w:szCs w:val="18"/>
              </w:rPr>
            </w:pPr>
            <w:r w:rsidDel="00000000" w:rsidR="00000000" w:rsidRPr="00000000">
              <w:rPr>
                <w:color w:val="000000"/>
                <w:sz w:val="18"/>
                <w:szCs w:val="18"/>
                <w:rtl w:val="0"/>
              </w:rPr>
              <w:t xml:space="preserve">Opioid deprescribing: Qualitative perspectives from those with chronic non-cancer pain.</w:t>
            </w:r>
          </w:p>
        </w:tc>
        <w:tc>
          <w:tcPr>
            <w:vAlign w:val="center"/>
          </w:tcPr>
          <w:p w:rsidR="00000000" w:rsidDel="00000000" w:rsidP="00000000" w:rsidRDefault="00000000" w:rsidRPr="00000000" w14:paraId="0000131A">
            <w:pPr>
              <w:jc w:val="center"/>
              <w:rPr>
                <w:color w:val="000000"/>
                <w:sz w:val="18"/>
                <w:szCs w:val="18"/>
              </w:rPr>
            </w:pPr>
            <w:r w:rsidDel="00000000" w:rsidR="00000000" w:rsidRPr="00000000">
              <w:rPr>
                <w:color w:val="000000"/>
                <w:sz w:val="18"/>
                <w:szCs w:val="18"/>
                <w:rtl w:val="0"/>
              </w:rPr>
              <w:t xml:space="preserve">Interviews with adults with chronic non cancer pain using opioids</w:t>
            </w:r>
          </w:p>
        </w:tc>
        <w:tc>
          <w:tcPr>
            <w:vAlign w:val="center"/>
          </w:tcPr>
          <w:p w:rsidR="00000000" w:rsidDel="00000000" w:rsidP="00000000" w:rsidRDefault="00000000" w:rsidRPr="00000000" w14:paraId="0000131B">
            <w:pPr>
              <w:jc w:val="center"/>
              <w:rPr>
                <w:color w:val="000000"/>
                <w:sz w:val="18"/>
                <w:szCs w:val="18"/>
              </w:rPr>
            </w:pPr>
            <w:r w:rsidDel="00000000" w:rsidR="00000000" w:rsidRPr="00000000">
              <w:rPr>
                <w:color w:val="000000"/>
                <w:sz w:val="18"/>
                <w:szCs w:val="18"/>
                <w:rtl w:val="0"/>
              </w:rPr>
              <w:t xml:space="preserve">19</w:t>
            </w:r>
          </w:p>
        </w:tc>
        <w:tc>
          <w:tcPr>
            <w:vAlign w:val="center"/>
          </w:tcPr>
          <w:p w:rsidR="00000000" w:rsidDel="00000000" w:rsidP="00000000" w:rsidRDefault="00000000" w:rsidRPr="00000000" w14:paraId="0000131C">
            <w:pPr>
              <w:rPr>
                <w:color w:val="000000"/>
                <w:sz w:val="18"/>
                <w:szCs w:val="18"/>
              </w:rPr>
            </w:pPr>
            <w:r w:rsidDel="00000000" w:rsidR="00000000" w:rsidRPr="00000000">
              <w:rPr>
                <w:color w:val="000000"/>
                <w:sz w:val="18"/>
                <w:szCs w:val="18"/>
                <w:rtl w:val="0"/>
              </w:rPr>
              <w:t xml:space="preserve">Benefits outweigh negatives: pain prevents them from daily activities, opioids more effective than OTC, pain leads to lack of sleep/inability to work/participate in daily life/mental health issues, psychological aspect of pain is worse than physical aspect</w:t>
              <w:br w:type="textWrapping"/>
              <w:br w:type="textWrapping"/>
              <w:t xml:space="preserve">Abandonment in deprescribing: GPs have limited time for consultations, lack of rapport and empathy on the deprescribing process, lack of information sharing when initiating prescription, conflicting opinions from GPs, no alternatives offered, lack of support from family and friends</w:t>
              <w:br w:type="textWrapping"/>
              <w:br w:type="textWrapping"/>
              <w:t xml:space="preserve">Limited availability and accessibility to healthcare: difficulties accessing services such as physiotherapy or psychological interventions, not meeting eligibility criteria, financial constraints of private options, </w:t>
              <w:br w:type="textWrapping"/>
              <w:br w:type="textWrapping"/>
              <w:t xml:space="preserve">Supportive relationships: emotional support was essential to the physical and psychological component of deprescribing, gratitude expressed for supportive family/friends/colleagues during the deprescribing process, counselling during this period would be beneficial.</w:t>
              <w:br w:type="textWrapping"/>
              <w:br w:type="textWrapping"/>
              <w:t xml:space="preserve">Education on opioid harms: most report themselves as health conscious, some attempted to educate themselves on opioids, being informed empowered participants in managing their health condition/motivation to deprescribe when experiencing side effects, those with a nursing background were particularly motivated towards deprescribing.</w:t>
              <w:br w:type="textWrapping"/>
              <w:br w:type="textWrapping"/>
              <w:t xml:space="preserve">Personal reasons: stigma affects mental health, "hassle" to continue seeing their doctors for prescriptions, motivation to deprescribe due to family reasons (e,g, pregnancy)/work/side effects/fear of dependence</w:t>
              <w:br w:type="textWrapping"/>
              <w:br w:type="textWrapping"/>
              <w:t xml:space="preserve">Coping strategies: holistic approach is preferred e.g. psychotherapy/physiotherapy, distractions, alternative medications.</w:t>
              <w:br w:type="textWrapping"/>
              <w:br w:type="textWrapping"/>
              <w:t xml:space="preserve">Electronic prescriptions: information on medications is found online, apps help manage pain, telehealth, dismission of pain/unrealistic advice are perceived negatively, generally participants prefer information from the GP.</w:t>
            </w:r>
          </w:p>
        </w:tc>
        <w:tc>
          <w:tcPr>
            <w:vAlign w:val="center"/>
          </w:tcPr>
          <w:p w:rsidR="00000000" w:rsidDel="00000000" w:rsidP="00000000" w:rsidRDefault="00000000" w:rsidRPr="00000000" w14:paraId="0000131D">
            <w:pPr>
              <w:rPr>
                <w:color w:val="000000"/>
                <w:sz w:val="18"/>
                <w:szCs w:val="18"/>
              </w:rPr>
            </w:pPr>
            <w:r w:rsidDel="00000000" w:rsidR="00000000" w:rsidRPr="00000000">
              <w:rPr>
                <w:color w:val="000000"/>
                <w:sz w:val="18"/>
                <w:szCs w:val="18"/>
                <w:rtl w:val="0"/>
              </w:rPr>
              <w:t xml:space="preserve">predominantly females from higher socioeconomic status</w:t>
            </w:r>
          </w:p>
        </w:tc>
      </w:tr>
      <w:tr>
        <w:trPr>
          <w:cantSplit w:val="0"/>
          <w:trHeight w:val="79" w:hRule="atLeast"/>
          <w:tblHeader w:val="0"/>
        </w:trPr>
        <w:tc>
          <w:tcPr>
            <w:vAlign w:val="center"/>
          </w:tcPr>
          <w:p w:rsidR="00000000" w:rsidDel="00000000" w:rsidP="00000000" w:rsidRDefault="00000000" w:rsidRPr="00000000" w14:paraId="0000131E">
            <w:pPr>
              <w:rPr>
                <w:b w:val="0"/>
                <w:color w:val="000000"/>
                <w:sz w:val="18"/>
                <w:szCs w:val="18"/>
              </w:rPr>
            </w:pPr>
            <w:r w:rsidDel="00000000" w:rsidR="00000000" w:rsidRPr="00000000">
              <w:rPr>
                <w:b w:val="0"/>
                <w:color w:val="000000"/>
                <w:sz w:val="18"/>
                <w:szCs w:val="18"/>
                <w:rtl w:val="0"/>
              </w:rPr>
              <w:t xml:space="preserve">53</w:t>
            </w:r>
          </w:p>
        </w:tc>
        <w:tc>
          <w:tcPr>
            <w:vAlign w:val="center"/>
          </w:tcPr>
          <w:p w:rsidR="00000000" w:rsidDel="00000000" w:rsidP="00000000" w:rsidRDefault="00000000" w:rsidRPr="00000000" w14:paraId="0000131F">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320">
            <w:pPr>
              <w:rPr>
                <w:color w:val="000000"/>
                <w:sz w:val="18"/>
                <w:szCs w:val="18"/>
              </w:rPr>
            </w:pPr>
            <w:r w:rsidDel="00000000" w:rsidR="00000000" w:rsidRPr="00000000">
              <w:rPr>
                <w:color w:val="000000"/>
                <w:sz w:val="18"/>
                <w:szCs w:val="18"/>
                <w:rtl w:val="0"/>
              </w:rPr>
              <w:t xml:space="preserve">Kosakowski S.</w:t>
              <w:br w:type="textWrapping"/>
              <w:t xml:space="preserve">Benintendi A.</w:t>
              <w:br w:type="textWrapping"/>
              <w:t xml:space="preserve">Lagisetty P.</w:t>
              <w:br w:type="textWrapping"/>
              <w:t xml:space="preserve">Larochelle MR.</w:t>
              <w:br w:type="textWrapping"/>
              <w:t xml:space="preserve">Bohnert ASB.</w:t>
              <w:br w:type="textWrapping"/>
              <w:t xml:space="preserve">Bazzi AR</w:t>
            </w:r>
          </w:p>
        </w:tc>
        <w:tc>
          <w:tcPr>
            <w:vAlign w:val="center"/>
          </w:tcPr>
          <w:p w:rsidR="00000000" w:rsidDel="00000000" w:rsidP="00000000" w:rsidRDefault="00000000" w:rsidRPr="00000000" w14:paraId="00001321">
            <w:pPr>
              <w:jc w:val="center"/>
              <w:rPr>
                <w:color w:val="000000"/>
                <w:sz w:val="18"/>
                <w:szCs w:val="18"/>
              </w:rPr>
            </w:pPr>
            <w:r w:rsidDel="00000000" w:rsidR="00000000" w:rsidRPr="00000000">
              <w:rPr>
                <w:color w:val="000000"/>
                <w:sz w:val="18"/>
                <w:szCs w:val="18"/>
                <w:rtl w:val="0"/>
              </w:rPr>
              <w:t xml:space="preserve">2022</w:t>
            </w:r>
          </w:p>
        </w:tc>
        <w:tc>
          <w:tcPr>
            <w:vAlign w:val="center"/>
          </w:tcPr>
          <w:p w:rsidR="00000000" w:rsidDel="00000000" w:rsidP="00000000" w:rsidRDefault="00000000" w:rsidRPr="00000000" w14:paraId="00001322">
            <w:pPr>
              <w:jc w:val="center"/>
              <w:rPr>
                <w:color w:val="000000"/>
                <w:sz w:val="18"/>
                <w:szCs w:val="18"/>
              </w:rPr>
            </w:pPr>
            <w:r w:rsidDel="00000000" w:rsidR="00000000" w:rsidRPr="00000000">
              <w:rPr>
                <w:color w:val="000000"/>
                <w:sz w:val="18"/>
                <w:szCs w:val="18"/>
                <w:rtl w:val="0"/>
              </w:rPr>
              <w:t xml:space="preserve">Patient Perspectives on Improving Patient-Provider Relationships and Provider Communication During Opioid Tapering.</w:t>
            </w:r>
          </w:p>
        </w:tc>
        <w:tc>
          <w:tcPr>
            <w:vAlign w:val="center"/>
          </w:tcPr>
          <w:p w:rsidR="00000000" w:rsidDel="00000000" w:rsidP="00000000" w:rsidRDefault="00000000" w:rsidRPr="00000000" w14:paraId="00001323">
            <w:pPr>
              <w:jc w:val="center"/>
              <w:rPr>
                <w:color w:val="000000"/>
                <w:sz w:val="18"/>
                <w:szCs w:val="18"/>
              </w:rPr>
            </w:pPr>
            <w:r w:rsidDel="00000000" w:rsidR="00000000" w:rsidRPr="00000000">
              <w:rPr>
                <w:color w:val="000000"/>
                <w:sz w:val="18"/>
                <w:szCs w:val="18"/>
                <w:rtl w:val="0"/>
              </w:rPr>
              <w:t xml:space="preserve">Interviews with patients on long term opioid therapy</w:t>
            </w:r>
          </w:p>
        </w:tc>
        <w:tc>
          <w:tcPr>
            <w:vAlign w:val="center"/>
          </w:tcPr>
          <w:p w:rsidR="00000000" w:rsidDel="00000000" w:rsidP="00000000" w:rsidRDefault="00000000" w:rsidRPr="00000000" w14:paraId="00001324">
            <w:pPr>
              <w:jc w:val="center"/>
              <w:rPr>
                <w:color w:val="000000"/>
                <w:sz w:val="18"/>
                <w:szCs w:val="18"/>
              </w:rPr>
            </w:pPr>
            <w:r w:rsidDel="00000000" w:rsidR="00000000" w:rsidRPr="00000000">
              <w:rPr>
                <w:color w:val="000000"/>
                <w:sz w:val="18"/>
                <w:szCs w:val="18"/>
                <w:rtl w:val="0"/>
              </w:rPr>
              <w:t xml:space="preserve">41</w:t>
            </w:r>
          </w:p>
        </w:tc>
        <w:tc>
          <w:tcPr>
            <w:vAlign w:val="center"/>
          </w:tcPr>
          <w:p w:rsidR="00000000" w:rsidDel="00000000" w:rsidP="00000000" w:rsidRDefault="00000000" w:rsidRPr="00000000" w14:paraId="00001325">
            <w:pPr>
              <w:rPr>
                <w:color w:val="000000"/>
                <w:sz w:val="18"/>
                <w:szCs w:val="18"/>
              </w:rPr>
            </w:pPr>
            <w:r w:rsidDel="00000000" w:rsidR="00000000" w:rsidRPr="00000000">
              <w:rPr>
                <w:color w:val="000000"/>
                <w:sz w:val="18"/>
                <w:szCs w:val="18"/>
                <w:rtl w:val="0"/>
              </w:rPr>
              <w:t xml:space="preserve">Consequences of tapering: varying degrees of withdrawal, mobility issues, emotional distress, feelings of social stigmatisation, inadequate social support. </w:t>
              <w:br w:type="textWrapping"/>
              <w:br w:type="textWrapping"/>
              <w:t xml:space="preserve">Patient-Prescriber relationships: most participants report significant interpersonal challenges, poor communication, limited patient engagement in decision-making. Positive relationships foster positive taper experiences and outcomes.</w:t>
            </w:r>
          </w:p>
        </w:tc>
        <w:tc>
          <w:tcPr>
            <w:vAlign w:val="center"/>
          </w:tcPr>
          <w:p w:rsidR="00000000" w:rsidDel="00000000" w:rsidP="00000000" w:rsidRDefault="00000000" w:rsidRPr="00000000" w14:paraId="00001326">
            <w:pPr>
              <w:rPr>
                <w:color w:val="000000"/>
                <w:sz w:val="18"/>
                <w:szCs w:val="18"/>
              </w:rPr>
            </w:pPr>
            <w:r w:rsidDel="00000000" w:rsidR="00000000" w:rsidRPr="00000000">
              <w:rPr>
                <w:color w:val="000000"/>
                <w:sz w:val="18"/>
                <w:szCs w:val="18"/>
                <w:rtl w:val="0"/>
              </w:rPr>
              <w:t xml:space="preserve">retrospective study, may have recall bias</w:t>
            </w:r>
          </w:p>
        </w:tc>
      </w:tr>
      <w:tr>
        <w:trPr>
          <w:cantSplit w:val="0"/>
          <w:trHeight w:val="252" w:hRule="atLeast"/>
          <w:tblHeader w:val="0"/>
        </w:trPr>
        <w:tc>
          <w:tcPr>
            <w:vAlign w:val="center"/>
          </w:tcPr>
          <w:p w:rsidR="00000000" w:rsidDel="00000000" w:rsidP="00000000" w:rsidRDefault="00000000" w:rsidRPr="00000000" w14:paraId="00001327">
            <w:pPr>
              <w:rPr>
                <w:b w:val="0"/>
                <w:color w:val="000000"/>
                <w:sz w:val="18"/>
                <w:szCs w:val="18"/>
              </w:rPr>
            </w:pPr>
            <w:r w:rsidDel="00000000" w:rsidR="00000000" w:rsidRPr="00000000">
              <w:rPr>
                <w:b w:val="0"/>
                <w:color w:val="000000"/>
                <w:sz w:val="18"/>
                <w:szCs w:val="18"/>
                <w:rtl w:val="0"/>
              </w:rPr>
              <w:t xml:space="preserve">54</w:t>
            </w:r>
          </w:p>
        </w:tc>
        <w:tc>
          <w:tcPr>
            <w:vAlign w:val="center"/>
          </w:tcPr>
          <w:p w:rsidR="00000000" w:rsidDel="00000000" w:rsidP="00000000" w:rsidRDefault="00000000" w:rsidRPr="00000000" w14:paraId="00001328">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329">
            <w:pPr>
              <w:rPr>
                <w:color w:val="000000"/>
                <w:sz w:val="18"/>
                <w:szCs w:val="18"/>
              </w:rPr>
            </w:pPr>
            <w:r w:rsidDel="00000000" w:rsidR="00000000" w:rsidRPr="00000000">
              <w:rPr>
                <w:color w:val="000000"/>
                <w:sz w:val="18"/>
                <w:szCs w:val="18"/>
                <w:rtl w:val="0"/>
              </w:rPr>
              <w:t xml:space="preserve">Montag Schafer K.</w:t>
              <w:br w:type="textWrapping"/>
              <w:t xml:space="preserve">Pratt R.</w:t>
              <w:br w:type="textWrapping"/>
              <w:t xml:space="preserve">Ricco J.</w:t>
              <w:br w:type="textWrapping"/>
              <w:t xml:space="preserve">Brown K.</w:t>
            </w:r>
          </w:p>
        </w:tc>
        <w:tc>
          <w:tcPr>
            <w:vAlign w:val="center"/>
          </w:tcPr>
          <w:p w:rsidR="00000000" w:rsidDel="00000000" w:rsidP="00000000" w:rsidRDefault="00000000" w:rsidRPr="00000000" w14:paraId="0000132A">
            <w:pPr>
              <w:jc w:val="center"/>
              <w:rPr>
                <w:color w:val="000000"/>
                <w:sz w:val="18"/>
                <w:szCs w:val="18"/>
              </w:rPr>
            </w:pPr>
            <w:r w:rsidDel="00000000" w:rsidR="00000000" w:rsidRPr="00000000">
              <w:rPr>
                <w:color w:val="000000"/>
                <w:sz w:val="18"/>
                <w:szCs w:val="18"/>
                <w:rtl w:val="0"/>
              </w:rPr>
              <w:t xml:space="preserve">2022</w:t>
            </w:r>
          </w:p>
        </w:tc>
        <w:tc>
          <w:tcPr>
            <w:vAlign w:val="center"/>
          </w:tcPr>
          <w:p w:rsidR="00000000" w:rsidDel="00000000" w:rsidP="00000000" w:rsidRDefault="00000000" w:rsidRPr="00000000" w14:paraId="0000132B">
            <w:pPr>
              <w:jc w:val="center"/>
              <w:rPr>
                <w:color w:val="000000"/>
                <w:sz w:val="18"/>
                <w:szCs w:val="18"/>
              </w:rPr>
            </w:pPr>
            <w:r w:rsidDel="00000000" w:rsidR="00000000" w:rsidRPr="00000000">
              <w:rPr>
                <w:color w:val="000000"/>
                <w:sz w:val="18"/>
                <w:szCs w:val="18"/>
                <w:rtl w:val="0"/>
              </w:rPr>
              <w:t xml:space="preserve">"Can we have a little humanity here?": Patient perspectives on the impact of a standardized care process for patients who use opioids for the management of chronic pain.</w:t>
            </w:r>
          </w:p>
        </w:tc>
        <w:tc>
          <w:tcPr>
            <w:vAlign w:val="center"/>
          </w:tcPr>
          <w:p w:rsidR="00000000" w:rsidDel="00000000" w:rsidP="00000000" w:rsidRDefault="00000000" w:rsidRPr="00000000" w14:paraId="0000132C">
            <w:pPr>
              <w:jc w:val="center"/>
              <w:rPr>
                <w:color w:val="000000"/>
                <w:sz w:val="18"/>
                <w:szCs w:val="18"/>
              </w:rPr>
            </w:pPr>
            <w:r w:rsidDel="00000000" w:rsidR="00000000" w:rsidRPr="00000000">
              <w:rPr>
                <w:rtl w:val="0"/>
              </w:rPr>
            </w:r>
          </w:p>
        </w:tc>
        <w:tc>
          <w:tcPr>
            <w:vAlign w:val="center"/>
          </w:tcPr>
          <w:p w:rsidR="00000000" w:rsidDel="00000000" w:rsidP="00000000" w:rsidRDefault="00000000" w:rsidRPr="00000000" w14:paraId="0000132D">
            <w:pPr>
              <w:jc w:val="center"/>
              <w:rPr>
                <w:color w:val="000000"/>
                <w:sz w:val="18"/>
                <w:szCs w:val="18"/>
              </w:rPr>
            </w:pPr>
            <w:r w:rsidDel="00000000" w:rsidR="00000000" w:rsidRPr="00000000">
              <w:rPr>
                <w:color w:val="000000"/>
                <w:sz w:val="18"/>
                <w:szCs w:val="18"/>
                <w:rtl w:val="0"/>
              </w:rPr>
              <w:t xml:space="preserve">30</w:t>
            </w:r>
          </w:p>
        </w:tc>
        <w:tc>
          <w:tcPr>
            <w:vAlign w:val="center"/>
          </w:tcPr>
          <w:p w:rsidR="00000000" w:rsidDel="00000000" w:rsidP="00000000" w:rsidRDefault="00000000" w:rsidRPr="00000000" w14:paraId="0000132E">
            <w:pPr>
              <w:rPr>
                <w:color w:val="000000"/>
                <w:sz w:val="18"/>
                <w:szCs w:val="18"/>
              </w:rPr>
            </w:pPr>
            <w:r w:rsidDel="00000000" w:rsidR="00000000" w:rsidRPr="00000000">
              <w:rPr>
                <w:color w:val="000000"/>
                <w:sz w:val="18"/>
                <w:szCs w:val="18"/>
                <w:rtl w:val="0"/>
              </w:rPr>
              <w:t xml:space="preserve">Experience of pain: chronic pain limited their interaction with the world/shrank social networks, information shared in a pleading manner, proud they continue to survive despite consequences.</w:t>
              <w:br w:type="textWrapping"/>
              <w:br w:type="textWrapping"/>
              <w:t xml:space="preserve">Opioid medications and impact of tapering: no option outside of opioids, lack of alternatives, concerns about drug interactions/lack of efficacy, clinicians minimise opioid dosage, struggled to reduce overall prescribing, small number expressed motivation towards tapering.</w:t>
              <w:br w:type="textWrapping"/>
              <w:br w:type="textWrapping"/>
              <w:t xml:space="preserve">Impact of process: inaccessibility of appointments, prescriptions issued in lieu of practitioner, UDSs were taken,</w:t>
              <w:br w:type="textWrapping"/>
              <w:t xml:space="preserve">"Good patients" and trust: followed the rules, took medication as prescribed, long standing relationship with their clinician. Experience of medical clinics: importance of a good practitioner relationship - compassion/active listening/extended consultation times/understanding.</w:t>
            </w:r>
          </w:p>
        </w:tc>
        <w:tc>
          <w:tcPr>
            <w:vAlign w:val="center"/>
          </w:tcPr>
          <w:p w:rsidR="00000000" w:rsidDel="00000000" w:rsidP="00000000" w:rsidRDefault="00000000" w:rsidRPr="00000000" w14:paraId="0000132F">
            <w:pPr>
              <w:rPr>
                <w:color w:val="000000"/>
                <w:sz w:val="18"/>
                <w:szCs w:val="18"/>
              </w:rPr>
            </w:pPr>
            <w:r w:rsidDel="00000000" w:rsidR="00000000" w:rsidRPr="00000000">
              <w:rPr>
                <w:color w:val="000000"/>
                <w:sz w:val="18"/>
                <w:szCs w:val="18"/>
                <w:rtl w:val="0"/>
              </w:rPr>
              <w:t xml:space="preserve">Unable to define if findings are generalisable due to limited demographic data.</w:t>
            </w:r>
          </w:p>
        </w:tc>
      </w:tr>
      <w:tr>
        <w:trPr>
          <w:cantSplit w:val="0"/>
          <w:trHeight w:val="416" w:hRule="atLeast"/>
          <w:tblHeader w:val="0"/>
        </w:trPr>
        <w:tc>
          <w:tcPr>
            <w:vAlign w:val="center"/>
          </w:tcPr>
          <w:p w:rsidR="00000000" w:rsidDel="00000000" w:rsidP="00000000" w:rsidRDefault="00000000" w:rsidRPr="00000000" w14:paraId="00001330">
            <w:pPr>
              <w:rPr>
                <w:b w:val="0"/>
                <w:color w:val="000000"/>
                <w:sz w:val="18"/>
                <w:szCs w:val="18"/>
              </w:rPr>
            </w:pPr>
            <w:r w:rsidDel="00000000" w:rsidR="00000000" w:rsidRPr="00000000">
              <w:rPr>
                <w:b w:val="0"/>
                <w:color w:val="000000"/>
                <w:sz w:val="18"/>
                <w:szCs w:val="18"/>
                <w:rtl w:val="0"/>
              </w:rPr>
              <w:t xml:space="preserve">55</w:t>
            </w:r>
          </w:p>
        </w:tc>
        <w:tc>
          <w:tcPr>
            <w:vAlign w:val="center"/>
          </w:tcPr>
          <w:p w:rsidR="00000000" w:rsidDel="00000000" w:rsidP="00000000" w:rsidRDefault="00000000" w:rsidRPr="00000000" w14:paraId="00001331">
            <w:pPr>
              <w:rPr>
                <w:b w:val="1"/>
                <w:color w:val="000000"/>
                <w:sz w:val="18"/>
                <w:szCs w:val="18"/>
              </w:rPr>
            </w:pPr>
            <w:r w:rsidDel="00000000" w:rsidR="00000000" w:rsidRPr="00000000">
              <w:rPr>
                <w:b w:val="1"/>
                <w:color w:val="000000"/>
                <w:sz w:val="18"/>
                <w:szCs w:val="18"/>
                <w:rtl w:val="0"/>
              </w:rPr>
              <w:t xml:space="preserve">International</w:t>
            </w:r>
          </w:p>
        </w:tc>
        <w:tc>
          <w:tcPr>
            <w:vAlign w:val="center"/>
          </w:tcPr>
          <w:p w:rsidR="00000000" w:rsidDel="00000000" w:rsidP="00000000" w:rsidRDefault="00000000" w:rsidRPr="00000000" w14:paraId="00001332">
            <w:pPr>
              <w:rPr>
                <w:color w:val="000000"/>
                <w:sz w:val="18"/>
                <w:szCs w:val="18"/>
              </w:rPr>
            </w:pPr>
            <w:r w:rsidDel="00000000" w:rsidR="00000000" w:rsidRPr="00000000">
              <w:rPr>
                <w:color w:val="000000"/>
                <w:sz w:val="18"/>
                <w:szCs w:val="18"/>
                <w:rtl w:val="0"/>
              </w:rPr>
              <w:t xml:space="preserve">Van Leeuwen E.</w:t>
              <w:br w:type="textWrapping"/>
              <w:t xml:space="preserve">Anthierens S.</w:t>
              <w:br w:type="textWrapping"/>
              <w:t xml:space="preserve">van Driel ML.</w:t>
              <w:br w:type="textWrapping"/>
              <w:t xml:space="preserve">De Sutter A.</w:t>
              <w:br w:type="textWrapping"/>
              <w:t xml:space="preserve">De Beir R.</w:t>
              <w:br w:type="textWrapping"/>
              <w:t xml:space="preserve">Christiaens T.</w:t>
            </w:r>
          </w:p>
        </w:tc>
        <w:tc>
          <w:tcPr>
            <w:vAlign w:val="center"/>
          </w:tcPr>
          <w:p w:rsidR="00000000" w:rsidDel="00000000" w:rsidP="00000000" w:rsidRDefault="00000000" w:rsidRPr="00000000" w14:paraId="00001333">
            <w:pPr>
              <w:jc w:val="center"/>
              <w:rPr>
                <w:color w:val="000000"/>
                <w:sz w:val="18"/>
                <w:szCs w:val="18"/>
              </w:rPr>
            </w:pPr>
            <w:r w:rsidDel="00000000" w:rsidR="00000000" w:rsidRPr="00000000">
              <w:rPr>
                <w:color w:val="000000"/>
                <w:sz w:val="18"/>
                <w:szCs w:val="18"/>
                <w:rtl w:val="0"/>
              </w:rPr>
              <w:t xml:space="preserve">2022</w:t>
            </w:r>
          </w:p>
        </w:tc>
        <w:tc>
          <w:tcPr>
            <w:vAlign w:val="center"/>
          </w:tcPr>
          <w:p w:rsidR="00000000" w:rsidDel="00000000" w:rsidP="00000000" w:rsidRDefault="00000000" w:rsidRPr="00000000" w14:paraId="00001334">
            <w:pPr>
              <w:jc w:val="center"/>
              <w:rPr>
                <w:color w:val="000000"/>
                <w:sz w:val="18"/>
                <w:szCs w:val="18"/>
              </w:rPr>
            </w:pPr>
            <w:r w:rsidDel="00000000" w:rsidR="00000000" w:rsidRPr="00000000">
              <w:rPr>
                <w:color w:val="000000"/>
                <w:sz w:val="18"/>
                <w:szCs w:val="18"/>
                <w:rtl w:val="0"/>
              </w:rPr>
              <w:t xml:space="preserve">Should I, can I, dare I? Patients' view on stopping long-term antidepressant use, a qualitative study.</w:t>
            </w:r>
          </w:p>
        </w:tc>
        <w:tc>
          <w:tcPr>
            <w:vAlign w:val="center"/>
          </w:tcPr>
          <w:p w:rsidR="00000000" w:rsidDel="00000000" w:rsidP="00000000" w:rsidRDefault="00000000" w:rsidRPr="00000000" w14:paraId="00001335">
            <w:pPr>
              <w:jc w:val="center"/>
              <w:rPr>
                <w:color w:val="000000"/>
                <w:sz w:val="18"/>
                <w:szCs w:val="18"/>
              </w:rPr>
            </w:pPr>
            <w:r w:rsidDel="00000000" w:rsidR="00000000" w:rsidRPr="00000000">
              <w:rPr>
                <w:color w:val="000000"/>
                <w:sz w:val="18"/>
                <w:szCs w:val="18"/>
                <w:rtl w:val="0"/>
              </w:rPr>
              <w:t xml:space="preserve">Interviews with long term antidepressant users</w:t>
            </w:r>
          </w:p>
        </w:tc>
        <w:tc>
          <w:tcPr>
            <w:vAlign w:val="center"/>
          </w:tcPr>
          <w:p w:rsidR="00000000" w:rsidDel="00000000" w:rsidP="00000000" w:rsidRDefault="00000000" w:rsidRPr="00000000" w14:paraId="00001336">
            <w:pPr>
              <w:jc w:val="center"/>
              <w:rPr>
                <w:color w:val="000000"/>
                <w:sz w:val="18"/>
                <w:szCs w:val="18"/>
              </w:rPr>
            </w:pPr>
            <w:r w:rsidDel="00000000" w:rsidR="00000000" w:rsidRPr="00000000">
              <w:rPr>
                <w:color w:val="000000"/>
                <w:sz w:val="18"/>
                <w:szCs w:val="18"/>
                <w:rtl w:val="0"/>
              </w:rPr>
              <w:t xml:space="preserve">14</w:t>
            </w:r>
          </w:p>
        </w:tc>
        <w:tc>
          <w:tcPr>
            <w:vAlign w:val="center"/>
          </w:tcPr>
          <w:p w:rsidR="00000000" w:rsidDel="00000000" w:rsidP="00000000" w:rsidRDefault="00000000" w:rsidRPr="00000000" w14:paraId="00001337">
            <w:pPr>
              <w:rPr>
                <w:color w:val="000000"/>
                <w:sz w:val="18"/>
                <w:szCs w:val="18"/>
              </w:rPr>
            </w:pPr>
            <w:r w:rsidDel="00000000" w:rsidR="00000000" w:rsidRPr="00000000">
              <w:rPr>
                <w:color w:val="000000"/>
                <w:sz w:val="18"/>
                <w:szCs w:val="18"/>
                <w:rtl w:val="0"/>
              </w:rPr>
              <w:t xml:space="preserve">Participants report a dear of returning to their depression, despite their ambivalence on the efficacy and safety of discontinuation. </w:t>
              <w:br w:type="textWrapping"/>
              <w:br w:type="textWrapping"/>
              <w:t xml:space="preserve">Participants report low confidence in their coping skills, fear of stress, and previous negative experiences in discontinuing antidepressants.</w:t>
              <w:br w:type="textWrapping"/>
              <w:br w:type="textWrapping"/>
              <w:t xml:space="preserve">Participants indicate the importance of social support and medical professional support.</w:t>
            </w:r>
          </w:p>
        </w:tc>
        <w:tc>
          <w:tcPr>
            <w:vAlign w:val="center"/>
          </w:tcPr>
          <w:p w:rsidR="00000000" w:rsidDel="00000000" w:rsidP="00000000" w:rsidRDefault="00000000" w:rsidRPr="00000000" w14:paraId="00001338">
            <w:pPr>
              <w:rPr>
                <w:color w:val="000000"/>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339">
            <w:pPr>
              <w:rPr>
                <w:b w:val="0"/>
                <w:color w:val="000000"/>
                <w:sz w:val="18"/>
                <w:szCs w:val="18"/>
              </w:rPr>
            </w:pPr>
            <w:r w:rsidDel="00000000" w:rsidR="00000000" w:rsidRPr="00000000">
              <w:rPr>
                <w:b w:val="0"/>
                <w:color w:val="000000"/>
                <w:sz w:val="18"/>
                <w:szCs w:val="18"/>
                <w:rtl w:val="0"/>
              </w:rPr>
              <w:t xml:space="preserve">56</w:t>
            </w:r>
          </w:p>
        </w:tc>
        <w:tc>
          <w:tcPr>
            <w:vAlign w:val="center"/>
          </w:tcPr>
          <w:p w:rsidR="00000000" w:rsidDel="00000000" w:rsidP="00000000" w:rsidRDefault="00000000" w:rsidRPr="00000000" w14:paraId="0000133A">
            <w:pPr>
              <w:rPr>
                <w:b w:val="1"/>
                <w:sz w:val="18"/>
                <w:szCs w:val="18"/>
              </w:rPr>
            </w:pPr>
            <w:r w:rsidDel="00000000" w:rsidR="00000000" w:rsidRPr="00000000">
              <w:rPr>
                <w:b w:val="1"/>
                <w:sz w:val="18"/>
                <w:szCs w:val="18"/>
                <w:rtl w:val="0"/>
              </w:rPr>
              <w:t xml:space="preserve">Australia</w:t>
            </w:r>
          </w:p>
        </w:tc>
        <w:tc>
          <w:tcPr>
            <w:vAlign w:val="center"/>
          </w:tcPr>
          <w:p w:rsidR="00000000" w:rsidDel="00000000" w:rsidP="00000000" w:rsidRDefault="00000000" w:rsidRPr="00000000" w14:paraId="0000133B">
            <w:pPr>
              <w:rPr>
                <w:sz w:val="18"/>
                <w:szCs w:val="18"/>
              </w:rPr>
            </w:pPr>
            <w:r w:rsidDel="00000000" w:rsidR="00000000" w:rsidRPr="00000000">
              <w:rPr>
                <w:sz w:val="18"/>
                <w:szCs w:val="18"/>
                <w:rtl w:val="0"/>
              </w:rPr>
              <w:t xml:space="preserve">Coe A. </w:t>
              <w:br w:type="textWrapping"/>
              <w:t xml:space="preserve">Gunn J. </w:t>
              <w:br w:type="textWrapping"/>
              <w:t xml:space="preserve">Allnutt Z. </w:t>
              <w:br w:type="textWrapping"/>
              <w:t xml:space="preserve">Kaylor-Hughes C.</w:t>
            </w:r>
          </w:p>
        </w:tc>
        <w:tc>
          <w:tcPr>
            <w:vAlign w:val="center"/>
          </w:tcPr>
          <w:p w:rsidR="00000000" w:rsidDel="00000000" w:rsidP="00000000" w:rsidRDefault="00000000" w:rsidRPr="00000000" w14:paraId="0000133C">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3D">
            <w:pPr>
              <w:jc w:val="center"/>
              <w:rPr>
                <w:sz w:val="18"/>
                <w:szCs w:val="18"/>
              </w:rPr>
            </w:pPr>
            <w:r w:rsidDel="00000000" w:rsidR="00000000" w:rsidRPr="00000000">
              <w:rPr>
                <w:sz w:val="18"/>
                <w:szCs w:val="18"/>
                <w:rtl w:val="0"/>
              </w:rPr>
              <w:t xml:space="preserve">Understanding Australian general practice patients’ decisions to deprescribe antidepressants in the WiserAD trial: a realist informed approach</w:t>
            </w:r>
          </w:p>
        </w:tc>
        <w:tc>
          <w:tcPr>
            <w:vAlign w:val="center"/>
          </w:tcPr>
          <w:p w:rsidR="00000000" w:rsidDel="00000000" w:rsidP="00000000" w:rsidRDefault="00000000" w:rsidRPr="00000000" w14:paraId="0000133E">
            <w:pPr>
              <w:jc w:val="center"/>
              <w:rPr>
                <w:sz w:val="18"/>
                <w:szCs w:val="18"/>
              </w:rPr>
            </w:pPr>
            <w:r w:rsidDel="00000000" w:rsidR="00000000" w:rsidRPr="00000000">
              <w:rPr>
                <w:sz w:val="18"/>
                <w:szCs w:val="18"/>
                <w:rtl w:val="0"/>
              </w:rPr>
              <w:t xml:space="preserve">Quantitative data collected as part of the WiserAD trial, 13 follow up interviews</w:t>
            </w:r>
          </w:p>
        </w:tc>
        <w:tc>
          <w:tcPr>
            <w:vAlign w:val="center"/>
          </w:tcPr>
          <w:p w:rsidR="00000000" w:rsidDel="00000000" w:rsidP="00000000" w:rsidRDefault="00000000" w:rsidRPr="00000000" w14:paraId="0000133F">
            <w:pPr>
              <w:jc w:val="center"/>
              <w:rPr>
                <w:sz w:val="18"/>
                <w:szCs w:val="18"/>
              </w:rPr>
            </w:pPr>
            <w:r w:rsidDel="00000000" w:rsidR="00000000" w:rsidRPr="00000000">
              <w:rPr>
                <w:sz w:val="18"/>
                <w:szCs w:val="18"/>
                <w:rtl w:val="0"/>
              </w:rPr>
              <w:t xml:space="preserve">13</w:t>
            </w:r>
          </w:p>
        </w:tc>
        <w:tc>
          <w:tcPr>
            <w:vAlign w:val="center"/>
          </w:tcPr>
          <w:p w:rsidR="00000000" w:rsidDel="00000000" w:rsidP="00000000" w:rsidRDefault="00000000" w:rsidRPr="00000000" w14:paraId="00001340">
            <w:pPr>
              <w:rPr>
                <w:sz w:val="18"/>
                <w:szCs w:val="18"/>
              </w:rPr>
            </w:pPr>
            <w:r w:rsidDel="00000000" w:rsidR="00000000" w:rsidRPr="00000000">
              <w:rPr>
                <w:sz w:val="18"/>
                <w:szCs w:val="18"/>
                <w:rtl w:val="0"/>
              </w:rPr>
              <w:t xml:space="preserve">Ppts felt confident in discussing tapering after a discussion with the researchers. (p.5)</w:t>
              <w:br w:type="textWrapping"/>
              <w:br w:type="textWrapping"/>
              <w:t xml:space="preserve">Coaching from WiserAD nurse was valuable, with control group requesting this support. Friends and family were also positive support (p.5, 6)</w:t>
              <w:br w:type="textWrapping"/>
              <w:br w:type="textWrapping"/>
              <w:t xml:space="preserve">Participants found it useful to have a clinician to provide knowledge and motivation if they experience withdrawal symptoms e.g. WiserAD nurse (p.5). Participants found it useful to have a daily tracker (p.6)</w:t>
              <w:br w:type="textWrapping"/>
              <w:br w:type="textWrapping"/>
              <w:t xml:space="preserve">Most experienced withdrawal symptoms and were concerned with how this would change them as a person, and would like specialist support (p,6)</w:t>
              <w:br w:type="textWrapping"/>
              <w:br w:type="textWrapping"/>
              <w:t xml:space="preserve">WiserAD nurse was useful in explaining withdrawal symptoms (p.6) </w:t>
              <w:br w:type="textWrapping"/>
              <w:t xml:space="preserve">Some questioned why they took antidepressants if they did not feel unwell (p.6)</w:t>
              <w:br w:type="textWrapping"/>
              <w:t xml:space="preserve">Coping skills: faith based practices, mental health support, meditation, exercise, good nutrition and sleep (p.7)</w:t>
              <w:br w:type="textWrapping"/>
              <w:br w:type="textWrapping"/>
              <w:t xml:space="preserve">Participants generally felt their antidepressants were useful, but did not want to be on them for longer than necessary due to side effects/long-term effects (p.7)</w:t>
              <w:br w:type="textWrapping"/>
              <w:br w:type="textWrapping"/>
              <w:t xml:space="preserve">Desire for clinical monitoring or mental health services (p.7)</w:t>
              <w:br w:type="textWrapping"/>
              <w:br w:type="textWrapping"/>
              <w:t xml:space="preserve">Those with experience in tapering report minimal supervision, but did not deter this group from trying again (p.7)</w:t>
            </w:r>
          </w:p>
        </w:tc>
        <w:tc>
          <w:tcPr>
            <w:vAlign w:val="center"/>
          </w:tcPr>
          <w:p w:rsidR="00000000" w:rsidDel="00000000" w:rsidP="00000000" w:rsidRDefault="00000000" w:rsidRPr="00000000" w14:paraId="00001341">
            <w:pPr>
              <w:rPr>
                <w:sz w:val="18"/>
                <w:szCs w:val="18"/>
              </w:rPr>
            </w:pPr>
            <w:r w:rsidDel="00000000" w:rsidR="00000000" w:rsidRPr="00000000">
              <w:rPr>
                <w:sz w:val="18"/>
                <w:szCs w:val="18"/>
                <w:rtl w:val="0"/>
              </w:rPr>
              <w:t xml:space="preserve">small sample size in qualitative aspect</w:t>
            </w:r>
          </w:p>
        </w:tc>
      </w:tr>
      <w:tr>
        <w:trPr>
          <w:cantSplit w:val="0"/>
          <w:trHeight w:val="416" w:hRule="atLeast"/>
          <w:tblHeader w:val="0"/>
        </w:trPr>
        <w:tc>
          <w:tcPr>
            <w:vAlign w:val="center"/>
          </w:tcPr>
          <w:p w:rsidR="00000000" w:rsidDel="00000000" w:rsidP="00000000" w:rsidRDefault="00000000" w:rsidRPr="00000000" w14:paraId="00001342">
            <w:pPr>
              <w:rPr>
                <w:b w:val="0"/>
                <w:color w:val="000000"/>
                <w:sz w:val="18"/>
                <w:szCs w:val="18"/>
              </w:rPr>
            </w:pPr>
            <w:r w:rsidDel="00000000" w:rsidR="00000000" w:rsidRPr="00000000">
              <w:rPr>
                <w:b w:val="0"/>
                <w:color w:val="000000"/>
                <w:sz w:val="18"/>
                <w:szCs w:val="18"/>
                <w:rtl w:val="0"/>
              </w:rPr>
              <w:t xml:space="preserve">57</w:t>
            </w:r>
          </w:p>
        </w:tc>
        <w:tc>
          <w:tcPr>
            <w:vAlign w:val="center"/>
          </w:tcPr>
          <w:p w:rsidR="00000000" w:rsidDel="00000000" w:rsidP="00000000" w:rsidRDefault="00000000" w:rsidRPr="00000000" w14:paraId="00001343">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344">
            <w:pPr>
              <w:rPr>
                <w:sz w:val="18"/>
                <w:szCs w:val="18"/>
              </w:rPr>
            </w:pPr>
            <w:r w:rsidDel="00000000" w:rsidR="00000000" w:rsidRPr="00000000">
              <w:rPr>
                <w:sz w:val="18"/>
                <w:szCs w:val="18"/>
                <w:rtl w:val="0"/>
              </w:rPr>
              <w:t xml:space="preserve">Read J. </w:t>
              <w:br w:type="textWrapping"/>
              <w:t xml:space="preserve">Lewis S. </w:t>
              <w:br w:type="textWrapping"/>
              <w:t xml:space="preserve">Horowitz M. </w:t>
              <w:br w:type="textWrapping"/>
              <w:t xml:space="preserve">Moncrieff J.</w:t>
            </w:r>
          </w:p>
        </w:tc>
        <w:tc>
          <w:tcPr>
            <w:vAlign w:val="center"/>
          </w:tcPr>
          <w:p w:rsidR="00000000" w:rsidDel="00000000" w:rsidP="00000000" w:rsidRDefault="00000000" w:rsidRPr="00000000" w14:paraId="00001345">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46">
            <w:pPr>
              <w:jc w:val="center"/>
              <w:rPr>
                <w:sz w:val="18"/>
                <w:szCs w:val="18"/>
              </w:rPr>
            </w:pPr>
            <w:r w:rsidDel="00000000" w:rsidR="00000000" w:rsidRPr="00000000">
              <w:rPr>
                <w:sz w:val="18"/>
                <w:szCs w:val="18"/>
                <w:rtl w:val="0"/>
              </w:rPr>
              <w:t xml:space="preserve">The need for antidepressant withdrawal support services: Recommendations from 708 patients.</w:t>
            </w:r>
          </w:p>
        </w:tc>
        <w:tc>
          <w:tcPr>
            <w:vAlign w:val="center"/>
          </w:tcPr>
          <w:p w:rsidR="00000000" w:rsidDel="00000000" w:rsidP="00000000" w:rsidRDefault="00000000" w:rsidRPr="00000000" w14:paraId="00001347">
            <w:pPr>
              <w:jc w:val="center"/>
              <w:rPr>
                <w:sz w:val="18"/>
                <w:szCs w:val="18"/>
              </w:rPr>
            </w:pPr>
            <w:r w:rsidDel="00000000" w:rsidR="00000000" w:rsidRPr="00000000">
              <w:rPr>
                <w:sz w:val="18"/>
                <w:szCs w:val="18"/>
                <w:rtl w:val="0"/>
              </w:rPr>
              <w:t xml:space="preserve">survey of 708 antidepressant users</w:t>
            </w:r>
          </w:p>
        </w:tc>
        <w:tc>
          <w:tcPr>
            <w:vAlign w:val="center"/>
          </w:tcPr>
          <w:p w:rsidR="00000000" w:rsidDel="00000000" w:rsidP="00000000" w:rsidRDefault="00000000" w:rsidRPr="00000000" w14:paraId="00001348">
            <w:pPr>
              <w:jc w:val="center"/>
              <w:rPr>
                <w:sz w:val="18"/>
                <w:szCs w:val="18"/>
              </w:rPr>
            </w:pPr>
            <w:r w:rsidDel="00000000" w:rsidR="00000000" w:rsidRPr="00000000">
              <w:rPr>
                <w:sz w:val="18"/>
                <w:szCs w:val="18"/>
                <w:rtl w:val="0"/>
              </w:rPr>
              <w:t xml:space="preserve">708</w:t>
            </w:r>
          </w:p>
        </w:tc>
        <w:tc>
          <w:tcPr>
            <w:vAlign w:val="center"/>
          </w:tcPr>
          <w:p w:rsidR="00000000" w:rsidDel="00000000" w:rsidP="00000000" w:rsidRDefault="00000000" w:rsidRPr="00000000" w14:paraId="00001349">
            <w:pPr>
              <w:rPr>
                <w:sz w:val="18"/>
                <w:szCs w:val="18"/>
              </w:rPr>
            </w:pPr>
            <w:r w:rsidDel="00000000" w:rsidR="00000000" w:rsidRPr="00000000">
              <w:rPr>
                <w:sz w:val="18"/>
                <w:szCs w:val="18"/>
                <w:rtl w:val="0"/>
              </w:rPr>
              <w:t xml:space="preserve">Prescriber: need to be more informed (141), create a withdrawal schedule (77),  believe/acknowledge withdrawal (71), monitor (47), support/compassion (47), post-withdrawal support (13)</w:t>
              <w:br w:type="textWrapping"/>
              <w:br w:type="textWrapping"/>
              <w:t xml:space="preserve">Information: how to withdrawal (226), withdrawal symptoms (106), evidence based (17)</w:t>
              <w:br w:type="textWrapping"/>
              <w:br w:type="textWrapping"/>
              <w:t xml:space="preserve">Other support: counselling (74), patient led (60), support group (70), nutrition support (47), specialist services (28), inpatient detox (15</w:t>
              <w:br w:type="textWrapping"/>
              <w:br w:type="textWrapping"/>
              <w:t xml:space="preserve">strong negative feelings towards doctors/services (105), informed consent when prescribing (87)</w:t>
            </w:r>
          </w:p>
        </w:tc>
        <w:tc>
          <w:tcPr>
            <w:vAlign w:val="center"/>
          </w:tcPr>
          <w:p w:rsidR="00000000" w:rsidDel="00000000" w:rsidP="00000000" w:rsidRDefault="00000000" w:rsidRPr="00000000" w14:paraId="0000134A">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34B">
            <w:pPr>
              <w:rPr>
                <w:b w:val="0"/>
                <w:color w:val="000000"/>
                <w:sz w:val="18"/>
                <w:szCs w:val="18"/>
              </w:rPr>
            </w:pPr>
            <w:r w:rsidDel="00000000" w:rsidR="00000000" w:rsidRPr="00000000">
              <w:rPr>
                <w:b w:val="0"/>
                <w:color w:val="000000"/>
                <w:sz w:val="18"/>
                <w:szCs w:val="18"/>
                <w:rtl w:val="0"/>
              </w:rPr>
              <w:t xml:space="preserve">58</w:t>
            </w:r>
          </w:p>
        </w:tc>
        <w:tc>
          <w:tcPr>
            <w:vAlign w:val="center"/>
          </w:tcPr>
          <w:p w:rsidR="00000000" w:rsidDel="00000000" w:rsidP="00000000" w:rsidRDefault="00000000" w:rsidRPr="00000000" w14:paraId="0000134C">
            <w:pPr>
              <w:rPr>
                <w:b w:val="1"/>
                <w:sz w:val="18"/>
                <w:szCs w:val="18"/>
              </w:rPr>
            </w:pPr>
            <w:r w:rsidDel="00000000" w:rsidR="00000000" w:rsidRPr="00000000">
              <w:rPr>
                <w:b w:val="1"/>
                <w:sz w:val="18"/>
                <w:szCs w:val="18"/>
                <w:rtl w:val="0"/>
              </w:rPr>
              <w:t xml:space="preserve">International</w:t>
            </w:r>
          </w:p>
        </w:tc>
        <w:tc>
          <w:tcPr>
            <w:vAlign w:val="center"/>
          </w:tcPr>
          <w:p w:rsidR="00000000" w:rsidDel="00000000" w:rsidP="00000000" w:rsidRDefault="00000000" w:rsidRPr="00000000" w14:paraId="0000134D">
            <w:pPr>
              <w:rPr>
                <w:sz w:val="18"/>
                <w:szCs w:val="18"/>
              </w:rPr>
            </w:pPr>
            <w:r w:rsidDel="00000000" w:rsidR="00000000" w:rsidRPr="00000000">
              <w:rPr>
                <w:sz w:val="18"/>
                <w:szCs w:val="18"/>
                <w:rtl w:val="0"/>
              </w:rPr>
              <w:t xml:space="preserve">Read J. </w:t>
              <w:br w:type="textWrapping"/>
              <w:t xml:space="preserve">Moncrieff J. </w:t>
              <w:br w:type="textWrapping"/>
              <w:t xml:space="preserve">Horowitz MA.</w:t>
            </w:r>
          </w:p>
        </w:tc>
        <w:tc>
          <w:tcPr>
            <w:vAlign w:val="center"/>
          </w:tcPr>
          <w:p w:rsidR="00000000" w:rsidDel="00000000" w:rsidP="00000000" w:rsidRDefault="00000000" w:rsidRPr="00000000" w14:paraId="0000134E">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4F">
            <w:pPr>
              <w:jc w:val="center"/>
              <w:rPr>
                <w:sz w:val="18"/>
                <w:szCs w:val="18"/>
              </w:rPr>
            </w:pPr>
            <w:r w:rsidDel="00000000" w:rsidR="00000000" w:rsidRPr="00000000">
              <w:rPr>
                <w:sz w:val="18"/>
                <w:szCs w:val="18"/>
                <w:rtl w:val="0"/>
              </w:rPr>
              <w:t xml:space="preserve">Designing withdrawal support services for antidepressant users: Patients' views and what they really need.</w:t>
            </w:r>
          </w:p>
        </w:tc>
        <w:tc>
          <w:tcPr>
            <w:vAlign w:val="center"/>
          </w:tcPr>
          <w:p w:rsidR="00000000" w:rsidDel="00000000" w:rsidP="00000000" w:rsidRDefault="00000000" w:rsidRPr="00000000" w14:paraId="00001350">
            <w:pPr>
              <w:jc w:val="center"/>
              <w:rPr>
                <w:sz w:val="18"/>
                <w:szCs w:val="18"/>
              </w:rPr>
            </w:pPr>
            <w:r w:rsidDel="00000000" w:rsidR="00000000" w:rsidRPr="00000000">
              <w:rPr>
                <w:sz w:val="18"/>
                <w:szCs w:val="18"/>
                <w:rtl w:val="0"/>
              </w:rPr>
              <w:t xml:space="preserve">Survey</w:t>
            </w:r>
          </w:p>
        </w:tc>
        <w:tc>
          <w:tcPr>
            <w:vAlign w:val="center"/>
          </w:tcPr>
          <w:p w:rsidR="00000000" w:rsidDel="00000000" w:rsidP="00000000" w:rsidRDefault="00000000" w:rsidRPr="00000000" w14:paraId="00001351">
            <w:pPr>
              <w:jc w:val="center"/>
              <w:rPr>
                <w:sz w:val="18"/>
                <w:szCs w:val="18"/>
              </w:rPr>
            </w:pPr>
            <w:r w:rsidDel="00000000" w:rsidR="00000000" w:rsidRPr="00000000">
              <w:rPr>
                <w:sz w:val="18"/>
                <w:szCs w:val="18"/>
                <w:rtl w:val="0"/>
              </w:rPr>
              <w:t xml:space="preserve">1276</w:t>
            </w:r>
          </w:p>
        </w:tc>
        <w:tc>
          <w:tcPr>
            <w:vAlign w:val="center"/>
          </w:tcPr>
          <w:p w:rsidR="00000000" w:rsidDel="00000000" w:rsidP="00000000" w:rsidRDefault="00000000" w:rsidRPr="00000000" w14:paraId="00001352">
            <w:pPr>
              <w:rPr>
                <w:sz w:val="18"/>
                <w:szCs w:val="18"/>
              </w:rPr>
            </w:pPr>
            <w:r w:rsidDel="00000000" w:rsidR="00000000" w:rsidRPr="00000000">
              <w:rPr>
                <w:sz w:val="18"/>
                <w:szCs w:val="18"/>
                <w:rtl w:val="0"/>
              </w:rPr>
              <w:t xml:space="preserve">71%/51% found doctors’ advice unhelpful/very unhelpful mainly due to a rapid reduction too fast for the patient. (p.300)</w:t>
              <w:br w:type="textWrapping"/>
              <w:t xml:space="preserve">1/3 did not seek advice from doctors, 58% found doctors unsupportive, 51% unknowledgeable (p.301)</w:t>
              <w:br w:type="textWrapping"/>
              <w:t xml:space="preserve">27% report no support or guidance from doctors.</w:t>
              <w:br w:type="textWrapping"/>
              <w:t xml:space="preserve">Slow gradual reduction is preferred by 88% of participants</w:t>
              <w:br w:type="textWrapping"/>
              <w:t xml:space="preserve">health professionals providing individualised and tailored/flexible reduction plans were desired by 79% (p.303)</w:t>
            </w:r>
          </w:p>
        </w:tc>
        <w:tc>
          <w:tcPr>
            <w:vAlign w:val="center"/>
          </w:tcPr>
          <w:p w:rsidR="00000000" w:rsidDel="00000000" w:rsidP="00000000" w:rsidRDefault="00000000" w:rsidRPr="00000000" w14:paraId="00001353">
            <w:pPr>
              <w:rPr>
                <w:sz w:val="18"/>
                <w:szCs w:val="18"/>
              </w:rPr>
            </w:pPr>
            <w:r w:rsidDel="00000000" w:rsidR="00000000" w:rsidRPr="00000000">
              <w:rPr>
                <w:sz w:val="18"/>
                <w:szCs w:val="18"/>
                <w:rtl w:val="0"/>
              </w:rPr>
              <w:t xml:space="preserve">convenience sample</w:t>
            </w:r>
          </w:p>
        </w:tc>
      </w:tr>
      <w:tr>
        <w:trPr>
          <w:cantSplit w:val="0"/>
          <w:trHeight w:val="1680" w:hRule="atLeast"/>
          <w:tblHeader w:val="0"/>
        </w:trPr>
        <w:tc>
          <w:tcPr>
            <w:vAlign w:val="center"/>
          </w:tcPr>
          <w:p w:rsidR="00000000" w:rsidDel="00000000" w:rsidP="00000000" w:rsidRDefault="00000000" w:rsidRPr="00000000" w14:paraId="00001354">
            <w:pPr>
              <w:rPr>
                <w:b w:val="0"/>
                <w:color w:val="000000"/>
                <w:sz w:val="18"/>
                <w:szCs w:val="18"/>
              </w:rPr>
            </w:pPr>
            <w:r w:rsidDel="00000000" w:rsidR="00000000" w:rsidRPr="00000000">
              <w:rPr>
                <w:b w:val="0"/>
                <w:color w:val="000000"/>
                <w:sz w:val="18"/>
                <w:szCs w:val="18"/>
                <w:rtl w:val="0"/>
              </w:rPr>
              <w:t xml:space="preserve">59</w:t>
            </w:r>
          </w:p>
        </w:tc>
        <w:tc>
          <w:tcPr>
            <w:vAlign w:val="center"/>
          </w:tcPr>
          <w:p w:rsidR="00000000" w:rsidDel="00000000" w:rsidP="00000000" w:rsidRDefault="00000000" w:rsidRPr="00000000" w14:paraId="00001355">
            <w:pPr>
              <w:rPr>
                <w:b w:val="1"/>
                <w:sz w:val="18"/>
                <w:szCs w:val="18"/>
              </w:rPr>
            </w:pPr>
            <w:r w:rsidDel="00000000" w:rsidR="00000000" w:rsidRPr="00000000">
              <w:rPr>
                <w:b w:val="1"/>
                <w:sz w:val="18"/>
                <w:szCs w:val="18"/>
                <w:rtl w:val="0"/>
              </w:rPr>
              <w:t xml:space="preserve">Canada</w:t>
            </w:r>
          </w:p>
        </w:tc>
        <w:tc>
          <w:tcPr>
            <w:vAlign w:val="center"/>
          </w:tcPr>
          <w:p w:rsidR="00000000" w:rsidDel="00000000" w:rsidP="00000000" w:rsidRDefault="00000000" w:rsidRPr="00000000" w14:paraId="00001356">
            <w:pPr>
              <w:rPr>
                <w:sz w:val="18"/>
                <w:szCs w:val="18"/>
              </w:rPr>
            </w:pPr>
            <w:r w:rsidDel="00000000" w:rsidR="00000000" w:rsidRPr="00000000">
              <w:rPr>
                <w:sz w:val="18"/>
                <w:szCs w:val="18"/>
                <w:rtl w:val="0"/>
              </w:rPr>
              <w:t xml:space="preserve">Chahal K. </w:t>
              <w:br w:type="textWrapping"/>
              <w:t xml:space="preserve">Glass M. </w:t>
              <w:br w:type="textWrapping"/>
              <w:t xml:space="preserve">Falk J. </w:t>
              <w:br w:type="textWrapping"/>
              <w:t xml:space="preserve">Singer A. </w:t>
              <w:br w:type="textWrapping"/>
              <w:t xml:space="preserve">Leong C.</w:t>
            </w:r>
          </w:p>
        </w:tc>
        <w:tc>
          <w:tcPr>
            <w:vAlign w:val="center"/>
          </w:tcPr>
          <w:p w:rsidR="00000000" w:rsidDel="00000000" w:rsidP="00000000" w:rsidRDefault="00000000" w:rsidRPr="00000000" w14:paraId="00001357">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58">
            <w:pPr>
              <w:jc w:val="center"/>
              <w:rPr>
                <w:sz w:val="18"/>
                <w:szCs w:val="18"/>
              </w:rPr>
            </w:pPr>
            <w:r w:rsidDel="00000000" w:rsidR="00000000" w:rsidRPr="00000000">
              <w:rPr>
                <w:sz w:val="18"/>
                <w:szCs w:val="18"/>
                <w:rtl w:val="0"/>
              </w:rPr>
              <w:t xml:space="preserve">Patient values and preferences regarding communicating risk versus benefit of benzodiazepine initiation: A cross-sectional survey study.</w:t>
            </w:r>
          </w:p>
        </w:tc>
        <w:tc>
          <w:tcPr>
            <w:vAlign w:val="center"/>
          </w:tcPr>
          <w:p w:rsidR="00000000" w:rsidDel="00000000" w:rsidP="00000000" w:rsidRDefault="00000000" w:rsidRPr="00000000" w14:paraId="00001359">
            <w:pPr>
              <w:jc w:val="center"/>
              <w:rPr>
                <w:sz w:val="18"/>
                <w:szCs w:val="18"/>
              </w:rPr>
            </w:pPr>
            <w:r w:rsidDel="00000000" w:rsidR="00000000" w:rsidRPr="00000000">
              <w:rPr>
                <w:sz w:val="18"/>
                <w:szCs w:val="18"/>
                <w:rtl w:val="0"/>
              </w:rPr>
              <w:t xml:space="preserve">Survey</w:t>
            </w:r>
          </w:p>
        </w:tc>
        <w:tc>
          <w:tcPr>
            <w:vAlign w:val="center"/>
          </w:tcPr>
          <w:p w:rsidR="00000000" w:rsidDel="00000000" w:rsidP="00000000" w:rsidRDefault="00000000" w:rsidRPr="00000000" w14:paraId="0000135A">
            <w:pPr>
              <w:jc w:val="center"/>
              <w:rPr>
                <w:sz w:val="18"/>
                <w:szCs w:val="18"/>
              </w:rPr>
            </w:pPr>
            <w:r w:rsidDel="00000000" w:rsidR="00000000" w:rsidRPr="00000000">
              <w:rPr>
                <w:sz w:val="18"/>
                <w:szCs w:val="18"/>
                <w:rtl w:val="0"/>
              </w:rPr>
              <w:t xml:space="preserve">37</w:t>
            </w:r>
          </w:p>
        </w:tc>
        <w:tc>
          <w:tcPr>
            <w:vAlign w:val="center"/>
          </w:tcPr>
          <w:p w:rsidR="00000000" w:rsidDel="00000000" w:rsidP="00000000" w:rsidRDefault="00000000" w:rsidRPr="00000000" w14:paraId="0000135B">
            <w:pPr>
              <w:rPr>
                <w:sz w:val="18"/>
                <w:szCs w:val="18"/>
              </w:rPr>
            </w:pPr>
            <w:r w:rsidDel="00000000" w:rsidR="00000000" w:rsidRPr="00000000">
              <w:rPr>
                <w:sz w:val="18"/>
                <w:szCs w:val="18"/>
                <w:rtl w:val="0"/>
              </w:rPr>
              <w:t xml:space="preserve">50% report receiving information about benzodiazepines when initiating the prescription.</w:t>
              <w:br w:type="textWrapping"/>
              <w:t xml:space="preserve">Participants place importance on information regarding withdrawal, dependence, risk of harm, side effects, memory and cognition prior to prescribing.</w:t>
              <w:br w:type="textWrapping"/>
              <w:t xml:space="preserve">Participants were more likely to choose CBT based interventions/no treatment over benzodiazepines when asked.</w:t>
              <w:br w:type="textWrapping"/>
              <w:t xml:space="preserve">Medication information is typically found on the internet (25%), doctors (21.9%) and pharmacists (18.8%) p.11</w:t>
            </w:r>
          </w:p>
        </w:tc>
        <w:tc>
          <w:tcPr>
            <w:vAlign w:val="center"/>
          </w:tcPr>
          <w:p w:rsidR="00000000" w:rsidDel="00000000" w:rsidP="00000000" w:rsidRDefault="00000000" w:rsidRPr="00000000" w14:paraId="0000135C">
            <w:pPr>
              <w:rPr>
                <w:sz w:val="18"/>
                <w:szCs w:val="18"/>
              </w:rPr>
            </w:pPr>
            <w:r w:rsidDel="00000000" w:rsidR="00000000" w:rsidRPr="00000000">
              <w:rPr>
                <w:sz w:val="18"/>
                <w:szCs w:val="18"/>
                <w:rtl w:val="0"/>
              </w:rPr>
              <w:t xml:space="preserve">Questionnaire fatigue was evident</w:t>
            </w:r>
          </w:p>
        </w:tc>
      </w:tr>
      <w:tr>
        <w:trPr>
          <w:cantSplit w:val="0"/>
          <w:trHeight w:val="1680" w:hRule="atLeast"/>
          <w:tblHeader w:val="0"/>
        </w:trPr>
        <w:tc>
          <w:tcPr>
            <w:vAlign w:val="center"/>
          </w:tcPr>
          <w:p w:rsidR="00000000" w:rsidDel="00000000" w:rsidP="00000000" w:rsidRDefault="00000000" w:rsidRPr="00000000" w14:paraId="0000135D">
            <w:pPr>
              <w:rPr>
                <w:b w:val="0"/>
                <w:color w:val="000000"/>
                <w:sz w:val="18"/>
                <w:szCs w:val="18"/>
              </w:rPr>
            </w:pPr>
            <w:r w:rsidDel="00000000" w:rsidR="00000000" w:rsidRPr="00000000">
              <w:rPr>
                <w:b w:val="0"/>
                <w:color w:val="000000"/>
                <w:sz w:val="18"/>
                <w:szCs w:val="18"/>
                <w:rtl w:val="0"/>
              </w:rPr>
              <w:t xml:space="preserve">60</w:t>
            </w:r>
          </w:p>
        </w:tc>
        <w:tc>
          <w:tcPr>
            <w:vAlign w:val="center"/>
          </w:tcPr>
          <w:p w:rsidR="00000000" w:rsidDel="00000000" w:rsidP="00000000" w:rsidRDefault="00000000" w:rsidRPr="00000000" w14:paraId="0000135E">
            <w:pPr>
              <w:rPr>
                <w:b w:val="1"/>
                <w:sz w:val="18"/>
                <w:szCs w:val="18"/>
              </w:rPr>
            </w:pPr>
            <w:r w:rsidDel="00000000" w:rsidR="00000000" w:rsidRPr="00000000">
              <w:rPr>
                <w:b w:val="1"/>
                <w:sz w:val="18"/>
                <w:szCs w:val="18"/>
                <w:rtl w:val="0"/>
              </w:rPr>
              <w:t xml:space="preserve">Australia</w:t>
            </w:r>
          </w:p>
        </w:tc>
        <w:tc>
          <w:tcPr>
            <w:vAlign w:val="center"/>
          </w:tcPr>
          <w:p w:rsidR="00000000" w:rsidDel="00000000" w:rsidP="00000000" w:rsidRDefault="00000000" w:rsidRPr="00000000" w14:paraId="0000135F">
            <w:pPr>
              <w:rPr>
                <w:sz w:val="18"/>
                <w:szCs w:val="18"/>
              </w:rPr>
            </w:pPr>
            <w:r w:rsidDel="00000000" w:rsidR="00000000" w:rsidRPr="00000000">
              <w:rPr>
                <w:sz w:val="18"/>
                <w:szCs w:val="18"/>
                <w:rtl w:val="0"/>
              </w:rPr>
              <w:t xml:space="preserve">McNeilage AG. </w:t>
              <w:br w:type="textWrapping"/>
              <w:t xml:space="preserve">Ashton-James CE. </w:t>
              <w:br w:type="textWrapping"/>
              <w:t xml:space="preserve">Scholz B.</w:t>
            </w:r>
          </w:p>
        </w:tc>
        <w:tc>
          <w:tcPr>
            <w:vAlign w:val="center"/>
          </w:tcPr>
          <w:p w:rsidR="00000000" w:rsidDel="00000000" w:rsidP="00000000" w:rsidRDefault="00000000" w:rsidRPr="00000000" w14:paraId="00001360">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61">
            <w:pPr>
              <w:jc w:val="center"/>
              <w:rPr>
                <w:sz w:val="18"/>
                <w:szCs w:val="18"/>
              </w:rPr>
            </w:pPr>
            <w:r w:rsidDel="00000000" w:rsidR="00000000" w:rsidRPr="00000000">
              <w:rPr>
                <w:sz w:val="18"/>
                <w:szCs w:val="18"/>
                <w:rtl w:val="0"/>
              </w:rPr>
              <w:t xml:space="preserve">"We were all looking for the magic pill": A qualitative study of patient experiences using gabapentinoids for chronic pain.</w:t>
            </w:r>
          </w:p>
        </w:tc>
        <w:tc>
          <w:tcPr>
            <w:vAlign w:val="center"/>
          </w:tcPr>
          <w:p w:rsidR="00000000" w:rsidDel="00000000" w:rsidP="00000000" w:rsidRDefault="00000000" w:rsidRPr="00000000" w14:paraId="00001362">
            <w:pPr>
              <w:jc w:val="center"/>
              <w:rPr>
                <w:sz w:val="18"/>
                <w:szCs w:val="18"/>
              </w:rPr>
            </w:pPr>
            <w:r w:rsidDel="00000000" w:rsidR="00000000" w:rsidRPr="00000000">
              <w:rPr>
                <w:sz w:val="18"/>
                <w:szCs w:val="18"/>
                <w:rtl w:val="0"/>
              </w:rPr>
              <w:t xml:space="preserve">semi-structured interviews</w:t>
            </w:r>
          </w:p>
        </w:tc>
        <w:tc>
          <w:tcPr>
            <w:vAlign w:val="center"/>
          </w:tcPr>
          <w:p w:rsidR="00000000" w:rsidDel="00000000" w:rsidP="00000000" w:rsidRDefault="00000000" w:rsidRPr="00000000" w14:paraId="00001363">
            <w:pPr>
              <w:jc w:val="center"/>
              <w:rPr>
                <w:sz w:val="18"/>
                <w:szCs w:val="18"/>
              </w:rPr>
            </w:pPr>
            <w:r w:rsidDel="00000000" w:rsidR="00000000" w:rsidRPr="00000000">
              <w:rPr>
                <w:sz w:val="18"/>
                <w:szCs w:val="18"/>
                <w:rtl w:val="0"/>
              </w:rPr>
              <w:t xml:space="preserve">12</w:t>
            </w:r>
          </w:p>
        </w:tc>
        <w:tc>
          <w:tcPr>
            <w:vAlign w:val="center"/>
          </w:tcPr>
          <w:p w:rsidR="00000000" w:rsidDel="00000000" w:rsidP="00000000" w:rsidRDefault="00000000" w:rsidRPr="00000000" w14:paraId="00001364">
            <w:pPr>
              <w:rPr>
                <w:sz w:val="18"/>
                <w:szCs w:val="18"/>
              </w:rPr>
            </w:pPr>
            <w:r w:rsidDel="00000000" w:rsidR="00000000" w:rsidRPr="00000000">
              <w:rPr>
                <w:sz w:val="18"/>
                <w:szCs w:val="18"/>
                <w:rtl w:val="0"/>
              </w:rPr>
              <w:t xml:space="preserve">Participants report that gabapentinoids were worth a try (p.4).</w:t>
              <w:br w:type="textWrapping"/>
              <w:t xml:space="preserve">Prior to initiation, those who had not heard of these drugs did not have much faith in their efficacy (p.4), but tried them due to a lack of alternatives.</w:t>
              <w:br w:type="textWrapping"/>
              <w:t xml:space="preserve">Participants report repeated disappointment in alternatives</w:t>
              <w:br w:type="textWrapping"/>
              <w:t xml:space="preserve">Gabapentinoids are perceived to be safe and accessible, particularly in comparison to opioids (p.4)- some under pressure to taper from opioids.</w:t>
              <w:br w:type="textWrapping"/>
              <w:t xml:space="preserve">Not considered to be as high risk as opioids (p.4)</w:t>
              <w:br w:type="textWrapping"/>
              <w:t xml:space="preserve">Gabapentinoids were not subject to the same scrutiny as opioids (p.4)</w:t>
              <w:br w:type="textWrapping"/>
              <w:t xml:space="preserve">Participants continually evaluated their Gabapentinoid use (p.4)</w:t>
              <w:br w:type="textWrapping"/>
              <w:t xml:space="preserve">Not a 'black and white' decision - side effects are prevalent but beneficial (p.4)</w:t>
              <w:br w:type="textWrapping"/>
              <w:t xml:space="preserve">Side effects ranged in severity, mental and physical side effects (p.5)</w:t>
              <w:br w:type="textWrapping"/>
              <w:t xml:space="preserve">Pain intensity was the biggest indicator of their efficacy (p.5)</w:t>
              <w:br w:type="textWrapping"/>
              <w:t xml:space="preserve">Interdose withdrawal present (p.5)</w:t>
              <w:br w:type="textWrapping"/>
              <w:t xml:space="preserve">Almost all participants report undesirable side effects or withdrawal (p.5)</w:t>
              <w:br w:type="textWrapping"/>
              <w:t xml:space="preserve">side effects: cognitive impairment, constipation, fatigue/sleepiness, feeling intoxicated, hair loss, incontinence, increased/decreased libido, leg swelling, mood changes, muscle spasms, personality changes, stroke, suicidal ideation, urinary retention, weight gain (p.6)</w:t>
              <w:br w:type="textWrapping"/>
              <w:t xml:space="preserve">discrepancy between HCP information sharing, had to find information online/through their experiences/internet/media/family/friends/ (p.6)</w:t>
              <w:br w:type="textWrapping"/>
              <w:t xml:space="preserve">strong feeling of not being well informed about gabapentinoids (p.6)</w:t>
              <w:br w:type="textWrapping"/>
              <w:t xml:space="preserve">discrepancy between HCP opinions leading to uncertainty and confusion (p.6)</w:t>
            </w:r>
          </w:p>
        </w:tc>
        <w:tc>
          <w:tcPr>
            <w:vAlign w:val="center"/>
          </w:tcPr>
          <w:p w:rsidR="00000000" w:rsidDel="00000000" w:rsidP="00000000" w:rsidRDefault="00000000" w:rsidRPr="00000000" w14:paraId="00001365">
            <w:pPr>
              <w:rPr>
                <w:sz w:val="18"/>
                <w:szCs w:val="18"/>
              </w:rPr>
            </w:pPr>
            <w:r w:rsidDel="00000000" w:rsidR="00000000" w:rsidRPr="00000000">
              <w:rPr>
                <w:sz w:val="18"/>
                <w:szCs w:val="18"/>
                <w:rtl w:val="0"/>
              </w:rPr>
              <w:t xml:space="preserve">not clear whether these are prescribed for pain or off label.</w:t>
              <w:br w:type="textWrapping"/>
              <w:br w:type="textWrapping"/>
              <w:t xml:space="preserve">Participants often had multiple conditions, and it was unclear which condition the Gabapentinoid is for.</w:t>
            </w:r>
          </w:p>
        </w:tc>
      </w:tr>
      <w:tr>
        <w:trPr>
          <w:cantSplit w:val="0"/>
          <w:trHeight w:val="1680" w:hRule="atLeast"/>
          <w:tblHeader w:val="0"/>
        </w:trPr>
        <w:tc>
          <w:tcPr>
            <w:vAlign w:val="center"/>
          </w:tcPr>
          <w:p w:rsidR="00000000" w:rsidDel="00000000" w:rsidP="00000000" w:rsidRDefault="00000000" w:rsidRPr="00000000" w14:paraId="00001366">
            <w:pPr>
              <w:rPr>
                <w:b w:val="0"/>
                <w:color w:val="000000"/>
                <w:sz w:val="18"/>
                <w:szCs w:val="18"/>
              </w:rPr>
            </w:pPr>
            <w:r w:rsidDel="00000000" w:rsidR="00000000" w:rsidRPr="00000000">
              <w:rPr>
                <w:b w:val="0"/>
                <w:color w:val="000000"/>
                <w:sz w:val="18"/>
                <w:szCs w:val="18"/>
                <w:rtl w:val="0"/>
              </w:rPr>
              <w:t xml:space="preserve">61</w:t>
            </w:r>
          </w:p>
        </w:tc>
        <w:tc>
          <w:tcPr>
            <w:vAlign w:val="center"/>
          </w:tcPr>
          <w:p w:rsidR="00000000" w:rsidDel="00000000" w:rsidP="00000000" w:rsidRDefault="00000000" w:rsidRPr="00000000" w14:paraId="00001367">
            <w:pPr>
              <w:rPr>
                <w:b w:val="1"/>
                <w:sz w:val="18"/>
                <w:szCs w:val="18"/>
              </w:rPr>
            </w:pPr>
            <w:r w:rsidDel="00000000" w:rsidR="00000000" w:rsidRPr="00000000">
              <w:rPr>
                <w:b w:val="1"/>
                <w:sz w:val="18"/>
                <w:szCs w:val="18"/>
                <w:rtl w:val="0"/>
              </w:rPr>
              <w:t xml:space="preserve">Netherlands</w:t>
            </w:r>
          </w:p>
        </w:tc>
        <w:tc>
          <w:tcPr>
            <w:vAlign w:val="center"/>
          </w:tcPr>
          <w:p w:rsidR="00000000" w:rsidDel="00000000" w:rsidP="00000000" w:rsidRDefault="00000000" w:rsidRPr="00000000" w14:paraId="00001368">
            <w:pPr>
              <w:rPr>
                <w:sz w:val="18"/>
                <w:szCs w:val="18"/>
              </w:rPr>
            </w:pPr>
            <w:r w:rsidDel="00000000" w:rsidR="00000000" w:rsidRPr="00000000">
              <w:rPr>
                <w:sz w:val="18"/>
                <w:szCs w:val="18"/>
                <w:rtl w:val="0"/>
              </w:rPr>
              <w:t xml:space="preserve">Davies LEM. </w:t>
              <w:br w:type="textWrapping"/>
              <w:t xml:space="preserve">Koster ES. </w:t>
              <w:br w:type="textWrapping"/>
              <w:t xml:space="preserve">Damen KFM. </w:t>
              <w:br w:type="textWrapping"/>
              <w:t xml:space="preserve">Beurmanjer H. </w:t>
              <w:br w:type="textWrapping"/>
              <w:t xml:space="preserve">van Dam VWT. </w:t>
              <w:br w:type="textWrapping"/>
              <w:t xml:space="preserve">Bouvy ML. </w:t>
              <w:br w:type="textWrapping"/>
              <w:t xml:space="preserve">Schellenkens AFA.</w:t>
            </w:r>
          </w:p>
        </w:tc>
        <w:tc>
          <w:tcPr>
            <w:vAlign w:val="center"/>
          </w:tcPr>
          <w:p w:rsidR="00000000" w:rsidDel="00000000" w:rsidP="00000000" w:rsidRDefault="00000000" w:rsidRPr="00000000" w14:paraId="00001369">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6A">
            <w:pPr>
              <w:jc w:val="center"/>
              <w:rPr>
                <w:sz w:val="18"/>
                <w:szCs w:val="18"/>
              </w:rPr>
            </w:pPr>
            <w:r w:rsidDel="00000000" w:rsidR="00000000" w:rsidRPr="00000000">
              <w:rPr>
                <w:sz w:val="18"/>
                <w:szCs w:val="18"/>
                <w:rtl w:val="0"/>
              </w:rPr>
              <w:t xml:space="preserve">Patients' perspectives on tapering programmes for prescription opioid use disorder: a qualitative study</w:t>
            </w:r>
          </w:p>
        </w:tc>
        <w:tc>
          <w:tcPr>
            <w:vAlign w:val="center"/>
          </w:tcPr>
          <w:p w:rsidR="00000000" w:rsidDel="00000000" w:rsidP="00000000" w:rsidRDefault="00000000" w:rsidRPr="00000000" w14:paraId="0000136B">
            <w:pPr>
              <w:jc w:val="center"/>
              <w:rPr>
                <w:sz w:val="18"/>
                <w:szCs w:val="18"/>
              </w:rPr>
            </w:pPr>
            <w:r w:rsidDel="00000000" w:rsidR="00000000" w:rsidRPr="00000000">
              <w:rPr>
                <w:sz w:val="18"/>
                <w:szCs w:val="18"/>
                <w:rtl w:val="0"/>
              </w:rPr>
              <w:t xml:space="preserve">semi-structured interviews</w:t>
            </w:r>
          </w:p>
        </w:tc>
        <w:tc>
          <w:tcPr>
            <w:vAlign w:val="center"/>
          </w:tcPr>
          <w:p w:rsidR="00000000" w:rsidDel="00000000" w:rsidP="00000000" w:rsidRDefault="00000000" w:rsidRPr="00000000" w14:paraId="0000136C">
            <w:pPr>
              <w:jc w:val="center"/>
              <w:rPr>
                <w:sz w:val="18"/>
                <w:szCs w:val="18"/>
              </w:rPr>
            </w:pPr>
            <w:r w:rsidDel="00000000" w:rsidR="00000000" w:rsidRPr="00000000">
              <w:rPr>
                <w:sz w:val="18"/>
                <w:szCs w:val="18"/>
                <w:rtl w:val="0"/>
              </w:rPr>
              <w:t xml:space="preserve">25</w:t>
            </w:r>
          </w:p>
        </w:tc>
        <w:tc>
          <w:tcPr>
            <w:vAlign w:val="center"/>
          </w:tcPr>
          <w:p w:rsidR="00000000" w:rsidDel="00000000" w:rsidP="00000000" w:rsidRDefault="00000000" w:rsidRPr="00000000" w14:paraId="0000136D">
            <w:pPr>
              <w:rPr>
                <w:sz w:val="18"/>
                <w:szCs w:val="18"/>
              </w:rPr>
            </w:pPr>
            <w:r w:rsidDel="00000000" w:rsidR="00000000" w:rsidRPr="00000000">
              <w:rPr>
                <w:sz w:val="18"/>
                <w:szCs w:val="18"/>
                <w:rtl w:val="0"/>
              </w:rPr>
              <w:t xml:space="preserve">Barriers: many wished to taper but feared increasing pain, losing their ability to manage pain, previous negative experiences, absences of alternatives (p.3)</w:t>
              <w:br w:type="textWrapping"/>
              <w:t xml:space="preserve">perceived lack of support: HCP was perceived as unhelpful/unsupportive when the participants requested a taper, stigmatisation (p.3), participants could not find professional support and were referred to addiction clinics without prescription opioid tapering programmes, discouraged tapering, long waiting list for inpatient detox (p.3)</w:t>
              <w:br w:type="textWrapping"/>
              <w:br w:type="textWrapping"/>
              <w:t xml:space="preserve">Facilitators: side effects (dependency, irritability, apathy, hyperalgesia, memory loss, accidents, shame), external pressure (family/friend/peer support, inaccessibility of psychological services due to high dose opioid use) (p.4)</w:t>
              <w:br w:type="textWrapping"/>
              <w:t xml:space="preserve">Health problems, relationship issues, social isolation, financial issues and loss of control made tapering harder (p.4)</w:t>
              <w:br w:type="textWrapping"/>
              <w:t xml:space="preserve">Stigmatisation: did not like they were in the same inpatient detox as illicit drug users and led to stigmatisation from staff and resulted in early discharge (p.5)</w:t>
              <w:br w:type="textWrapping"/>
              <w:t xml:space="preserve">Facilitators to reducing: readiness, motivation, social support, inpatient detox (p.5)</w:t>
              <w:br w:type="textWrapping"/>
              <w:t xml:space="preserve">Medical tapering: counselling useful, supported successful completion, improved pain perception/pain management skills/decision-making about skills, specialists perceived as knowledgeable/supportive/accessible/non=-judgemental, peer support from fellow patients in detox (p.5)</w:t>
            </w:r>
          </w:p>
        </w:tc>
        <w:tc>
          <w:tcPr>
            <w:vAlign w:val="center"/>
          </w:tcPr>
          <w:p w:rsidR="00000000" w:rsidDel="00000000" w:rsidP="00000000" w:rsidRDefault="00000000" w:rsidRPr="00000000" w14:paraId="0000136E">
            <w:pPr>
              <w:rPr>
                <w:sz w:val="18"/>
                <w:szCs w:val="18"/>
              </w:rPr>
            </w:pPr>
            <w:r w:rsidDel="00000000" w:rsidR="00000000" w:rsidRPr="00000000">
              <w:rPr>
                <w:sz w:val="18"/>
                <w:szCs w:val="18"/>
                <w:rtl w:val="0"/>
              </w:rPr>
              <w:t xml:space="preserve">potential recall bias</w:t>
            </w:r>
          </w:p>
        </w:tc>
      </w:tr>
      <w:tr>
        <w:trPr>
          <w:cantSplit w:val="0"/>
          <w:trHeight w:val="557" w:hRule="atLeast"/>
          <w:tblHeader w:val="0"/>
        </w:trPr>
        <w:tc>
          <w:tcPr>
            <w:vAlign w:val="center"/>
          </w:tcPr>
          <w:p w:rsidR="00000000" w:rsidDel="00000000" w:rsidP="00000000" w:rsidRDefault="00000000" w:rsidRPr="00000000" w14:paraId="0000136F">
            <w:pPr>
              <w:rPr>
                <w:b w:val="0"/>
                <w:color w:val="000000"/>
                <w:sz w:val="18"/>
                <w:szCs w:val="18"/>
              </w:rPr>
            </w:pPr>
            <w:r w:rsidDel="00000000" w:rsidR="00000000" w:rsidRPr="00000000">
              <w:rPr>
                <w:b w:val="0"/>
                <w:color w:val="000000"/>
                <w:sz w:val="18"/>
                <w:szCs w:val="18"/>
                <w:rtl w:val="0"/>
              </w:rPr>
              <w:t xml:space="preserve">62</w:t>
            </w:r>
          </w:p>
        </w:tc>
        <w:tc>
          <w:tcPr>
            <w:vAlign w:val="center"/>
          </w:tcPr>
          <w:p w:rsidR="00000000" w:rsidDel="00000000" w:rsidP="00000000" w:rsidRDefault="00000000" w:rsidRPr="00000000" w14:paraId="00001370">
            <w:pPr>
              <w:rPr>
                <w:b w:val="1"/>
                <w:sz w:val="18"/>
                <w:szCs w:val="18"/>
              </w:rPr>
            </w:pPr>
            <w:r w:rsidDel="00000000" w:rsidR="00000000" w:rsidRPr="00000000">
              <w:rPr>
                <w:b w:val="1"/>
                <w:sz w:val="18"/>
                <w:szCs w:val="18"/>
                <w:rtl w:val="0"/>
              </w:rPr>
              <w:t xml:space="preserve">UK</w:t>
            </w:r>
          </w:p>
        </w:tc>
        <w:tc>
          <w:tcPr>
            <w:vAlign w:val="center"/>
          </w:tcPr>
          <w:p w:rsidR="00000000" w:rsidDel="00000000" w:rsidP="00000000" w:rsidRDefault="00000000" w:rsidRPr="00000000" w14:paraId="00001371">
            <w:pPr>
              <w:rPr>
                <w:sz w:val="18"/>
                <w:szCs w:val="18"/>
              </w:rPr>
            </w:pPr>
            <w:r w:rsidDel="00000000" w:rsidR="00000000" w:rsidRPr="00000000">
              <w:rPr>
                <w:sz w:val="18"/>
                <w:szCs w:val="18"/>
                <w:rtl w:val="0"/>
              </w:rPr>
              <w:t xml:space="preserve">Cooper RE. </w:t>
              <w:br w:type="textWrapping"/>
              <w:t xml:space="preserve">Ashman M. </w:t>
              <w:br w:type="textWrapping"/>
              <w:t xml:space="preserve">Lomani J. </w:t>
              <w:br w:type="textWrapping"/>
              <w:t xml:space="preserve">Moncrieff J. </w:t>
              <w:br w:type="textWrapping"/>
              <w:t xml:space="preserve">Guy A. </w:t>
              <w:br w:type="textWrapping"/>
              <w:t xml:space="preserve">Davies D. </w:t>
              <w:br w:type="textWrapping"/>
              <w:t xml:space="preserve">Morant N. </w:t>
              <w:br w:type="textWrapping"/>
              <w:t xml:space="preserve">Horowitz M.</w:t>
            </w:r>
          </w:p>
        </w:tc>
        <w:tc>
          <w:tcPr>
            <w:vAlign w:val="center"/>
          </w:tcPr>
          <w:p w:rsidR="00000000" w:rsidDel="00000000" w:rsidP="00000000" w:rsidRDefault="00000000" w:rsidRPr="00000000" w14:paraId="00001372">
            <w:pPr>
              <w:jc w:val="center"/>
              <w:rPr>
                <w:sz w:val="18"/>
                <w:szCs w:val="18"/>
              </w:rPr>
            </w:pPr>
            <w:r w:rsidDel="00000000" w:rsidR="00000000" w:rsidRPr="00000000">
              <w:rPr>
                <w:sz w:val="18"/>
                <w:szCs w:val="18"/>
                <w:rtl w:val="0"/>
              </w:rPr>
              <w:t xml:space="preserve">2023</w:t>
            </w:r>
          </w:p>
        </w:tc>
        <w:tc>
          <w:tcPr>
            <w:vAlign w:val="center"/>
          </w:tcPr>
          <w:p w:rsidR="00000000" w:rsidDel="00000000" w:rsidP="00000000" w:rsidRDefault="00000000" w:rsidRPr="00000000" w14:paraId="00001373">
            <w:pPr>
              <w:jc w:val="center"/>
              <w:rPr>
                <w:sz w:val="18"/>
                <w:szCs w:val="18"/>
              </w:rPr>
            </w:pPr>
            <w:r w:rsidDel="00000000" w:rsidR="00000000" w:rsidRPr="00000000">
              <w:rPr>
                <w:sz w:val="18"/>
                <w:szCs w:val="18"/>
                <w:rtl w:val="0"/>
              </w:rPr>
              <w:t xml:space="preserve">"Stabilise-reduce, stabilise-reduce": A survey of the common practices of deprescribing services and recommendations for the future.</w:t>
            </w:r>
          </w:p>
        </w:tc>
        <w:tc>
          <w:tcPr>
            <w:vAlign w:val="center"/>
          </w:tcPr>
          <w:p w:rsidR="00000000" w:rsidDel="00000000" w:rsidP="00000000" w:rsidRDefault="00000000" w:rsidRPr="00000000" w14:paraId="00001374">
            <w:pPr>
              <w:jc w:val="center"/>
              <w:rPr>
                <w:sz w:val="18"/>
                <w:szCs w:val="18"/>
              </w:rPr>
            </w:pPr>
            <w:r w:rsidDel="00000000" w:rsidR="00000000" w:rsidRPr="00000000">
              <w:rPr>
                <w:sz w:val="18"/>
                <w:szCs w:val="18"/>
                <w:rtl w:val="0"/>
              </w:rPr>
              <w:t xml:space="preserve">service evaluation, interviews</w:t>
            </w:r>
          </w:p>
        </w:tc>
        <w:tc>
          <w:tcPr>
            <w:vAlign w:val="center"/>
          </w:tcPr>
          <w:p w:rsidR="00000000" w:rsidDel="00000000" w:rsidP="00000000" w:rsidRDefault="00000000" w:rsidRPr="00000000" w14:paraId="00001375">
            <w:pPr>
              <w:jc w:val="center"/>
              <w:rPr>
                <w:sz w:val="18"/>
                <w:szCs w:val="18"/>
              </w:rPr>
            </w:pPr>
            <w:r w:rsidDel="00000000" w:rsidR="00000000" w:rsidRPr="00000000">
              <w:rPr>
                <w:sz w:val="18"/>
                <w:szCs w:val="18"/>
                <w:rtl w:val="0"/>
              </w:rPr>
              <w:t xml:space="preserve">13</w:t>
            </w:r>
          </w:p>
        </w:tc>
        <w:tc>
          <w:tcPr>
            <w:vAlign w:val="center"/>
          </w:tcPr>
          <w:p w:rsidR="00000000" w:rsidDel="00000000" w:rsidP="00000000" w:rsidRDefault="00000000" w:rsidRPr="00000000" w14:paraId="00001376">
            <w:pPr>
              <w:rPr>
                <w:sz w:val="18"/>
                <w:szCs w:val="18"/>
              </w:rPr>
            </w:pPr>
            <w:r w:rsidDel="00000000" w:rsidR="00000000" w:rsidRPr="00000000">
              <w:rPr>
                <w:sz w:val="18"/>
                <w:szCs w:val="18"/>
                <w:rtl w:val="0"/>
              </w:rPr>
              <w:t xml:space="preserve">Service development: HCPs established services. Reasons for establishment: high levels of polypharmacy, limited knowledge around withdrawal, lived experience of withdrawal, identification of an absence of withdrawal support, providing an alternative to substance misuse services. (p.6)</w:t>
              <w:br w:type="textWrapping"/>
              <w:br w:type="textWrapping"/>
              <w:t xml:space="preserve">Medications: most worked with antidepressants/benzo/gabapentinoids/opioids, some addressed antipsychotics. 4 services targeted specific medications: z-drugs, benzo, antidepressants and antipsychotics, 1 focussed on other psychotropics. (p.6)</w:t>
              <w:br w:type="textWrapping"/>
              <w:br w:type="textWrapping"/>
              <w:t xml:space="preserve">Referrals: self-referral, primary/secondary care, medication optimisation programmes. (p.6)</w:t>
              <w:br w:type="textWrapping"/>
              <w:br w:type="textWrapping"/>
              <w:t xml:space="preserve">Intake and assessment: current prescription(s), prescription indication, medication history, current medical/social/psychological circumstances, medication beliefs, previous cessation attempts, reasons for stopping, barriers and facilitators for stopping. (p.6)</w:t>
            </w:r>
          </w:p>
          <w:p w:rsidR="00000000" w:rsidDel="00000000" w:rsidP="00000000" w:rsidRDefault="00000000" w:rsidRPr="00000000" w14:paraId="00001377">
            <w:pPr>
              <w:rPr>
                <w:sz w:val="18"/>
                <w:szCs w:val="18"/>
              </w:rPr>
            </w:pPr>
            <w:r w:rsidDel="00000000" w:rsidR="00000000" w:rsidRPr="00000000">
              <w:rPr>
                <w:sz w:val="18"/>
                <w:szCs w:val="18"/>
                <w:rtl w:val="0"/>
              </w:rPr>
              <w:br w:type="textWrapping"/>
              <w:t xml:space="preserve">Tapering planning/guidance: tailored reduction plan, regular dialogue, monitoring appointments. (p.6)</w:t>
              <w:br w:type="textWrapping"/>
              <w:br w:type="textWrapping"/>
              <w:t xml:space="preserve">Tapering guidance: most services tapered over a year. Dose reduction at 2–6-week intervals allowing stabilization, taper lengths ranged from 6 months - 3 years, some used hyperbolic strategies of 10% reduction to the prior dose.  (p.6)</w:t>
              <w:br w:type="textWrapping"/>
              <w:br w:type="textWrapping"/>
              <w:t xml:space="preserve">Psychosocial support: non-specific monitoring, tolerability assessment, dealing with setbacks, dose reduction, monitoring appointments, emotional/practical support e.g. sleep hygiene. (p.6)</w:t>
              <w:br w:type="textWrapping"/>
              <w:br w:type="textWrapping"/>
              <w:t xml:space="preserve">Patient journey: holistic approach emphasising the importance of support, finding ways to manage underlying issues, crisis management, family/social network support. (p.9). patients considered "not compliant" by prescribers due to hesitancy of withdrawal/if they wanted to stop medication (p.9). importance of dedicated deprescribing services for this patient group highlighted (p.11). Patients sent to substance use services not relevant (p.12). Importance of understanding medications beliefs: symptoms may recur, some wish to just discontinue - often stem from prescribers have told them/internet/friends/personal experience (p.12). Polypharmacy: discussion around which medication to taper first, strengths-based analysis important, flexibility, advice regarding withdrawal symptoms, reassurance of transient nature of withdrawal symptoms is helpful (p.14). </w:t>
              <w:br w:type="textWrapping"/>
              <w:br w:type="textWrapping"/>
              <w:t xml:space="preserve">Complexities of tapering: patient attitudes ranged from significant desire to stop/ambivalence/fear/reluctance. Risks/benefits outlined to support informed decision making, MI used. Challenging medication believes, e.g. chemical imbalance that is corrected. Concerns addressed about withdrawal symptoms/fear of relapse/return of symptoms/relatives’ reactions. Lack of official guidance on tapering/variance and severity of withdrawal symptoms - lived experience is important in this case. Deprescribing was cautious due to lack of official guidance. reduction intervals to allow adjustment, assessment of impact of reduction assessed at intervals (p.15). Distinguishing between withdrawal and relapse - patients not well informed of the differences/occurrences/nature of withdrawal (p,16). Managing withdrawal:  adjusting dose reduction/pausing taper/returning to previous dose and stabilising/counselling/small reductions at lower doses (e.g. tapering strips) (p.16). </w:t>
              <w:br w:type="textWrapping"/>
              <w:br w:type="textWrapping"/>
              <w:t xml:space="preserve">Role of lived experience: lived experience is vital, often as trustees of services, information sharing, peer support (p.17)</w:t>
              <w:br w:type="textWrapping"/>
              <w:br w:type="textWrapping"/>
              <w:t xml:space="preserve">Outcomes: successful outcomes = medication cessation/reduction/reducing the number of medications used/patient capacity to manage without or reduced medication/improved quality of life (p.17). Patient centred approach - outcomes are seen as subjective to the patient. Coping strategies for life stressors without/reduced medication (p.17/18).</w:t>
              <w:br w:type="textWrapping"/>
              <w:br w:type="textWrapping"/>
              <w:t xml:space="preserve">Recommendations: gradual taper using hyperbolic strategies (e.g. 10% reduction at each interval), individualised/flexible tapering using shared decision making/psychosocial support should be provided during and after withdrawal/lived experience should be integrated/wider context of patients life should be considered/dedicated deprescribing services should be introduced/training and outreach programmes should be integrated (p.18/19)</w:t>
            </w:r>
          </w:p>
        </w:tc>
        <w:tc>
          <w:tcPr>
            <w:vAlign w:val="center"/>
          </w:tcPr>
          <w:p w:rsidR="00000000" w:rsidDel="00000000" w:rsidP="00000000" w:rsidRDefault="00000000" w:rsidRPr="00000000" w14:paraId="00001378">
            <w:pPr>
              <w:rPr>
                <w:sz w:val="18"/>
                <w:szCs w:val="18"/>
              </w:rPr>
            </w:pPr>
            <w:r w:rsidDel="00000000" w:rsidR="00000000" w:rsidRPr="00000000">
              <w:rPr>
                <w:sz w:val="18"/>
                <w:szCs w:val="18"/>
                <w:rtl w:val="0"/>
              </w:rPr>
              <w:t xml:space="preserve">funding restrictions: rapid project that may have limited depth. </w:t>
              <w:br w:type="textWrapping"/>
              <w:br w:type="textWrapping"/>
              <w:t xml:space="preserve">Non-verbal cues may have been missed in transcription.</w:t>
            </w:r>
          </w:p>
        </w:tc>
      </w:tr>
      <w:tr>
        <w:trPr>
          <w:cantSplit w:val="0"/>
          <w:trHeight w:val="1408" w:hRule="atLeast"/>
          <w:tblHeader w:val="0"/>
        </w:trPr>
        <w:tc>
          <w:tcPr>
            <w:vAlign w:val="center"/>
          </w:tcPr>
          <w:p w:rsidR="00000000" w:rsidDel="00000000" w:rsidP="00000000" w:rsidRDefault="00000000" w:rsidRPr="00000000" w14:paraId="00001379">
            <w:pPr>
              <w:rPr>
                <w:b w:val="0"/>
                <w:color w:val="000000"/>
                <w:sz w:val="18"/>
                <w:szCs w:val="18"/>
              </w:rPr>
            </w:pPr>
            <w:r w:rsidDel="00000000" w:rsidR="00000000" w:rsidRPr="00000000">
              <w:rPr>
                <w:b w:val="0"/>
                <w:color w:val="000000"/>
                <w:sz w:val="18"/>
                <w:szCs w:val="18"/>
                <w:rtl w:val="0"/>
              </w:rPr>
              <w:t xml:space="preserve">63</w:t>
            </w:r>
          </w:p>
        </w:tc>
        <w:tc>
          <w:tcPr>
            <w:vAlign w:val="center"/>
          </w:tcPr>
          <w:p w:rsidR="00000000" w:rsidDel="00000000" w:rsidP="00000000" w:rsidRDefault="00000000" w:rsidRPr="00000000" w14:paraId="0000137A">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37B">
            <w:pPr>
              <w:rPr>
                <w:color w:val="000000"/>
                <w:sz w:val="18"/>
                <w:szCs w:val="18"/>
              </w:rPr>
            </w:pPr>
            <w:r w:rsidDel="00000000" w:rsidR="00000000" w:rsidRPr="00000000">
              <w:rPr>
                <w:color w:val="000000"/>
                <w:sz w:val="18"/>
                <w:szCs w:val="18"/>
                <w:rtl w:val="0"/>
              </w:rPr>
              <w:t xml:space="preserve">Nichols VP.</w:t>
              <w:br w:type="textWrapping"/>
              <w:t xml:space="preserve">Abraham C.</w:t>
              <w:br w:type="textWrapping"/>
              <w:t xml:space="preserve">Eldabe S.</w:t>
              <w:br w:type="textWrapping"/>
              <w:t xml:space="preserve">Sandhu HK.</w:t>
              <w:br w:type="textWrapping"/>
              <w:t xml:space="preserve">Underwood M.</w:t>
              <w:br w:type="textWrapping"/>
              <w:t xml:space="preserve">Seers K.</w:t>
            </w:r>
          </w:p>
        </w:tc>
        <w:tc>
          <w:tcPr>
            <w:vAlign w:val="center"/>
          </w:tcPr>
          <w:p w:rsidR="00000000" w:rsidDel="00000000" w:rsidP="00000000" w:rsidRDefault="00000000" w:rsidRPr="00000000" w14:paraId="0000137C">
            <w:pPr>
              <w:jc w:val="center"/>
              <w:rPr>
                <w:color w:val="000000"/>
                <w:sz w:val="18"/>
                <w:szCs w:val="18"/>
              </w:rPr>
            </w:pPr>
            <w:r w:rsidDel="00000000" w:rsidR="00000000" w:rsidRPr="00000000">
              <w:rPr>
                <w:color w:val="000000"/>
                <w:sz w:val="18"/>
                <w:szCs w:val="18"/>
                <w:rtl w:val="0"/>
              </w:rPr>
              <w:t xml:space="preserve">2023</w:t>
            </w:r>
          </w:p>
        </w:tc>
        <w:tc>
          <w:tcPr>
            <w:vAlign w:val="center"/>
          </w:tcPr>
          <w:p w:rsidR="00000000" w:rsidDel="00000000" w:rsidP="00000000" w:rsidRDefault="00000000" w:rsidRPr="00000000" w14:paraId="0000137D">
            <w:pPr>
              <w:jc w:val="center"/>
              <w:rPr>
                <w:color w:val="000000"/>
                <w:sz w:val="18"/>
                <w:szCs w:val="18"/>
              </w:rPr>
            </w:pPr>
            <w:r w:rsidDel="00000000" w:rsidR="00000000" w:rsidRPr="00000000">
              <w:rPr>
                <w:color w:val="000000"/>
                <w:sz w:val="18"/>
                <w:szCs w:val="18"/>
                <w:rtl w:val="0"/>
              </w:rPr>
              <w:t xml:space="preserve">'It was a joint plan we worked out together'. How the I-WOTCH programme enabled people with chronic non-malignant pain to taper their opioids: a process evaluation.</w:t>
            </w:r>
          </w:p>
        </w:tc>
        <w:tc>
          <w:tcPr>
            <w:vAlign w:val="center"/>
          </w:tcPr>
          <w:p w:rsidR="00000000" w:rsidDel="00000000" w:rsidP="00000000" w:rsidRDefault="00000000" w:rsidRPr="00000000" w14:paraId="0000137E">
            <w:pPr>
              <w:jc w:val="center"/>
              <w:rPr>
                <w:color w:val="000000"/>
                <w:sz w:val="18"/>
                <w:szCs w:val="18"/>
              </w:rPr>
            </w:pPr>
            <w:r w:rsidDel="00000000" w:rsidR="00000000" w:rsidRPr="00000000">
              <w:rPr>
                <w:rtl w:val="0"/>
              </w:rPr>
            </w:r>
          </w:p>
        </w:tc>
        <w:tc>
          <w:tcPr>
            <w:vAlign w:val="center"/>
          </w:tcPr>
          <w:p w:rsidR="00000000" w:rsidDel="00000000" w:rsidP="00000000" w:rsidRDefault="00000000" w:rsidRPr="00000000" w14:paraId="0000137F">
            <w:pPr>
              <w:jc w:val="center"/>
              <w:rPr>
                <w:sz w:val="18"/>
                <w:szCs w:val="18"/>
              </w:rPr>
            </w:pPr>
            <w:r w:rsidDel="00000000" w:rsidR="00000000" w:rsidRPr="00000000">
              <w:rPr>
                <w:rtl w:val="0"/>
              </w:rPr>
            </w:r>
          </w:p>
        </w:tc>
        <w:tc>
          <w:tcPr>
            <w:vAlign w:val="center"/>
          </w:tcPr>
          <w:p w:rsidR="00000000" w:rsidDel="00000000" w:rsidP="00000000" w:rsidRDefault="00000000" w:rsidRPr="00000000" w14:paraId="00001380">
            <w:pPr>
              <w:rPr>
                <w:color w:val="000000"/>
                <w:sz w:val="18"/>
                <w:szCs w:val="18"/>
              </w:rPr>
            </w:pPr>
            <w:r w:rsidDel="00000000" w:rsidR="00000000" w:rsidRPr="00000000">
              <w:rPr>
                <w:color w:val="000000"/>
                <w:sz w:val="18"/>
                <w:szCs w:val="18"/>
                <w:rtl w:val="0"/>
              </w:rPr>
              <w:t xml:space="preserve">Tapering facilitators: motivation, not wanting to be on opioids, side effects, information, support, open mindset, inefficacy of medication, right time, living without opioids, self-efficacy, control, withdrawal and risk of dependence</w:t>
              <w:br w:type="textWrapping"/>
              <w:br w:type="textWrapping"/>
              <w:t xml:space="preserve">Tapering barriers: lack of intention to taper, no alternatives, not the right time to taper, fear of increased pain/decreased function. Resistance to group interventions</w:t>
              <w:br w:type="textWrapping"/>
              <w:br w:type="textWrapping"/>
              <w:t xml:space="preserve">Issues during tapering: increased pain, withdrawal symptoms, too fast a taper, unsupportive GP, missing support, unsupportive relatives.</w:t>
              <w:br w:type="textWrapping"/>
              <w:br w:type="textWrapping"/>
              <w:t xml:space="preserve">After tapering: new or returned pain</w:t>
              <w:br w:type="textWrapping"/>
              <w:br w:type="textWrapping"/>
              <w:t xml:space="preserve">Role of the GP: level of information sharing, trust, collaboration, GP reluctance, access to GP.</w:t>
            </w:r>
          </w:p>
        </w:tc>
        <w:tc>
          <w:tcPr>
            <w:vAlign w:val="center"/>
          </w:tcPr>
          <w:p w:rsidR="00000000" w:rsidDel="00000000" w:rsidP="00000000" w:rsidRDefault="00000000" w:rsidRPr="00000000" w14:paraId="00001381">
            <w:pPr>
              <w:rPr>
                <w:color w:val="000000"/>
                <w:sz w:val="18"/>
                <w:szCs w:val="18"/>
              </w:rPr>
            </w:pPr>
            <w:r w:rsidDel="00000000" w:rsidR="00000000" w:rsidRPr="00000000">
              <w:rPr>
                <w:color w:val="000000"/>
                <w:sz w:val="18"/>
                <w:szCs w:val="18"/>
                <w:rtl w:val="0"/>
              </w:rPr>
              <w:t xml:space="preserve">95% of participants identified as white, not generalisable to BAMER populations.</w:t>
            </w:r>
          </w:p>
        </w:tc>
      </w:tr>
      <w:tr>
        <w:trPr>
          <w:cantSplit w:val="0"/>
          <w:trHeight w:val="79" w:hRule="atLeast"/>
          <w:tblHeader w:val="0"/>
        </w:trPr>
        <w:tc>
          <w:tcPr>
            <w:vAlign w:val="center"/>
          </w:tcPr>
          <w:p w:rsidR="00000000" w:rsidDel="00000000" w:rsidP="00000000" w:rsidRDefault="00000000" w:rsidRPr="00000000" w14:paraId="00001382">
            <w:pPr>
              <w:rPr>
                <w:b w:val="0"/>
                <w:color w:val="000000"/>
                <w:sz w:val="18"/>
                <w:szCs w:val="18"/>
              </w:rPr>
            </w:pPr>
            <w:r w:rsidDel="00000000" w:rsidR="00000000" w:rsidRPr="00000000">
              <w:rPr>
                <w:b w:val="0"/>
                <w:color w:val="000000"/>
                <w:sz w:val="18"/>
                <w:szCs w:val="18"/>
                <w:rtl w:val="0"/>
              </w:rPr>
              <w:t xml:space="preserve">64</w:t>
            </w:r>
          </w:p>
        </w:tc>
        <w:tc>
          <w:tcPr>
            <w:vAlign w:val="center"/>
          </w:tcPr>
          <w:p w:rsidR="00000000" w:rsidDel="00000000" w:rsidP="00000000" w:rsidRDefault="00000000" w:rsidRPr="00000000" w14:paraId="00001383">
            <w:pPr>
              <w:rPr>
                <w:b w:val="1"/>
                <w:color w:val="000000"/>
                <w:sz w:val="18"/>
                <w:szCs w:val="18"/>
              </w:rPr>
            </w:pPr>
            <w:r w:rsidDel="00000000" w:rsidR="00000000" w:rsidRPr="00000000">
              <w:rPr>
                <w:b w:val="1"/>
                <w:color w:val="000000"/>
                <w:sz w:val="18"/>
                <w:szCs w:val="18"/>
                <w:rtl w:val="0"/>
              </w:rPr>
              <w:t xml:space="preserve">USA</w:t>
            </w:r>
          </w:p>
        </w:tc>
        <w:tc>
          <w:tcPr>
            <w:vAlign w:val="center"/>
          </w:tcPr>
          <w:p w:rsidR="00000000" w:rsidDel="00000000" w:rsidP="00000000" w:rsidRDefault="00000000" w:rsidRPr="00000000" w14:paraId="00001384">
            <w:pPr>
              <w:rPr>
                <w:color w:val="000000"/>
                <w:sz w:val="18"/>
                <w:szCs w:val="18"/>
              </w:rPr>
            </w:pPr>
            <w:r w:rsidDel="00000000" w:rsidR="00000000" w:rsidRPr="00000000">
              <w:rPr>
                <w:color w:val="000000"/>
                <w:sz w:val="18"/>
                <w:szCs w:val="18"/>
                <w:rtl w:val="0"/>
              </w:rPr>
              <w:t xml:space="preserve">Schneider JL.</w:t>
              <w:br w:type="textWrapping"/>
              <w:t xml:space="preserve">Firemark AJ.</w:t>
              <w:br w:type="textWrapping"/>
              <w:t xml:space="preserve">Papajorgji-Taylor D.</w:t>
              <w:br w:type="textWrapping"/>
              <w:t xml:space="preserve">Reese KR.</w:t>
              <w:br w:type="textWrapping"/>
              <w:t xml:space="preserve">Thorsness LA.</w:t>
              <w:br w:type="textWrapping"/>
              <w:t xml:space="preserve">Sullivan MD.</w:t>
              <w:br w:type="textWrapping"/>
              <w:t xml:space="preserve">DeBar LL.</w:t>
              <w:br w:type="textWrapping"/>
              <w:t xml:space="preserve">Smith DH.</w:t>
              <w:br w:type="textWrapping"/>
              <w:t xml:space="preserve">Kuntz JL.</w:t>
            </w:r>
          </w:p>
        </w:tc>
        <w:tc>
          <w:tcPr>
            <w:vAlign w:val="center"/>
          </w:tcPr>
          <w:p w:rsidR="00000000" w:rsidDel="00000000" w:rsidP="00000000" w:rsidRDefault="00000000" w:rsidRPr="00000000" w14:paraId="00001385">
            <w:pPr>
              <w:jc w:val="center"/>
              <w:rPr>
                <w:color w:val="000000"/>
                <w:sz w:val="18"/>
                <w:szCs w:val="18"/>
              </w:rPr>
            </w:pPr>
            <w:r w:rsidDel="00000000" w:rsidR="00000000" w:rsidRPr="00000000">
              <w:rPr>
                <w:color w:val="000000"/>
                <w:sz w:val="18"/>
                <w:szCs w:val="18"/>
                <w:rtl w:val="0"/>
              </w:rPr>
              <w:t xml:space="preserve">2023</w:t>
            </w:r>
          </w:p>
        </w:tc>
        <w:tc>
          <w:tcPr>
            <w:vAlign w:val="center"/>
          </w:tcPr>
          <w:p w:rsidR="00000000" w:rsidDel="00000000" w:rsidP="00000000" w:rsidRDefault="00000000" w:rsidRPr="00000000" w14:paraId="00001386">
            <w:pPr>
              <w:jc w:val="center"/>
              <w:rPr>
                <w:color w:val="000000"/>
                <w:sz w:val="18"/>
                <w:szCs w:val="18"/>
              </w:rPr>
            </w:pPr>
            <w:r w:rsidDel="00000000" w:rsidR="00000000" w:rsidRPr="00000000">
              <w:rPr>
                <w:color w:val="000000"/>
                <w:sz w:val="18"/>
                <w:szCs w:val="18"/>
                <w:rtl w:val="0"/>
              </w:rPr>
              <w:t xml:space="preserve">"I really had somebody in my corner." Patient experiences with a pharmacist-led opioid tapering program.</w:t>
            </w:r>
          </w:p>
        </w:tc>
        <w:tc>
          <w:tcPr>
            <w:vAlign w:val="center"/>
          </w:tcPr>
          <w:p w:rsidR="00000000" w:rsidDel="00000000" w:rsidP="00000000" w:rsidRDefault="00000000" w:rsidRPr="00000000" w14:paraId="00001387">
            <w:pPr>
              <w:jc w:val="center"/>
              <w:rPr>
                <w:color w:val="000000"/>
                <w:sz w:val="18"/>
                <w:szCs w:val="18"/>
              </w:rPr>
            </w:pPr>
            <w:r w:rsidDel="00000000" w:rsidR="00000000" w:rsidRPr="00000000">
              <w:rPr>
                <w:color w:val="000000"/>
                <w:sz w:val="18"/>
                <w:szCs w:val="18"/>
                <w:rtl w:val="0"/>
              </w:rPr>
              <w:t xml:space="preserve">Phone interviews of users of a phone-based pharmacy led tapering programme</w:t>
            </w:r>
          </w:p>
        </w:tc>
        <w:tc>
          <w:tcPr>
            <w:vAlign w:val="center"/>
          </w:tcPr>
          <w:p w:rsidR="00000000" w:rsidDel="00000000" w:rsidP="00000000" w:rsidRDefault="00000000" w:rsidRPr="00000000" w14:paraId="00001388">
            <w:pPr>
              <w:jc w:val="center"/>
              <w:rPr>
                <w:color w:val="000000"/>
                <w:sz w:val="18"/>
                <w:szCs w:val="18"/>
              </w:rPr>
            </w:pPr>
            <w:r w:rsidDel="00000000" w:rsidR="00000000" w:rsidRPr="00000000">
              <w:rPr>
                <w:color w:val="000000"/>
                <w:sz w:val="18"/>
                <w:szCs w:val="18"/>
                <w:rtl w:val="0"/>
              </w:rPr>
              <w:t xml:space="preserve">25</w:t>
            </w:r>
          </w:p>
        </w:tc>
        <w:tc>
          <w:tcPr>
            <w:vAlign w:val="center"/>
          </w:tcPr>
          <w:p w:rsidR="00000000" w:rsidDel="00000000" w:rsidP="00000000" w:rsidRDefault="00000000" w:rsidRPr="00000000" w14:paraId="00001389">
            <w:pPr>
              <w:rPr>
                <w:color w:val="000000"/>
                <w:sz w:val="18"/>
                <w:szCs w:val="18"/>
              </w:rPr>
            </w:pPr>
            <w:r w:rsidDel="00000000" w:rsidR="00000000" w:rsidRPr="00000000">
              <w:rPr>
                <w:color w:val="000000"/>
                <w:sz w:val="18"/>
                <w:szCs w:val="18"/>
                <w:rtl w:val="0"/>
              </w:rPr>
              <w:t xml:space="preserve">60% report a positive and satisfying experience with the programme.</w:t>
              <w:br w:type="textWrapping"/>
              <w:br w:type="textWrapping"/>
              <w:t xml:space="preserve">Strengths include: patient centred and compassionate approach, flexible taper pace, easy access to knowledgeable pharmacy advocates, improvement in QoL.</w:t>
              <w:br w:type="textWrapping"/>
              <w:br w:type="textWrapping"/>
              <w:t xml:space="preserve">Challenges: unhelpful or difficult to access non-pharmacological treatment options, negative QoL, lack of choice in the taper process.</w:t>
              <w:br w:type="textWrapping"/>
              <w:t xml:space="preserve">72% of participants report a reduced or easier to manage pain level, and expressed willingness to use the programme again if required.</w:t>
            </w:r>
          </w:p>
        </w:tc>
        <w:tc>
          <w:tcPr>
            <w:vAlign w:val="center"/>
          </w:tcPr>
          <w:p w:rsidR="00000000" w:rsidDel="00000000" w:rsidP="00000000" w:rsidRDefault="00000000" w:rsidRPr="00000000" w14:paraId="0000138A">
            <w:pPr>
              <w:rPr>
                <w:color w:val="000000"/>
                <w:sz w:val="18"/>
                <w:szCs w:val="18"/>
              </w:rPr>
            </w:pPr>
            <w:r w:rsidDel="00000000" w:rsidR="00000000" w:rsidRPr="00000000">
              <w:rPr>
                <w:rtl w:val="0"/>
              </w:rPr>
            </w:r>
          </w:p>
        </w:tc>
      </w:tr>
      <w:tr>
        <w:trPr>
          <w:cantSplit w:val="0"/>
          <w:trHeight w:val="3360" w:hRule="atLeast"/>
          <w:tblHeader w:val="0"/>
        </w:trPr>
        <w:tc>
          <w:tcPr>
            <w:vAlign w:val="center"/>
          </w:tcPr>
          <w:p w:rsidR="00000000" w:rsidDel="00000000" w:rsidP="00000000" w:rsidRDefault="00000000" w:rsidRPr="00000000" w14:paraId="0000138B">
            <w:pPr>
              <w:rPr>
                <w:b w:val="0"/>
                <w:color w:val="000000"/>
                <w:sz w:val="18"/>
                <w:szCs w:val="18"/>
              </w:rPr>
            </w:pPr>
            <w:r w:rsidDel="00000000" w:rsidR="00000000" w:rsidRPr="00000000">
              <w:rPr>
                <w:b w:val="0"/>
                <w:color w:val="000000"/>
                <w:sz w:val="18"/>
                <w:szCs w:val="18"/>
                <w:rtl w:val="0"/>
              </w:rPr>
              <w:t xml:space="preserve">65</w:t>
            </w:r>
          </w:p>
        </w:tc>
        <w:tc>
          <w:tcPr>
            <w:vAlign w:val="center"/>
          </w:tcPr>
          <w:p w:rsidR="00000000" w:rsidDel="00000000" w:rsidP="00000000" w:rsidRDefault="00000000" w:rsidRPr="00000000" w14:paraId="0000138C">
            <w:pPr>
              <w:rPr>
                <w:b w:val="1"/>
                <w:sz w:val="18"/>
                <w:szCs w:val="18"/>
              </w:rPr>
            </w:pPr>
            <w:r w:rsidDel="00000000" w:rsidR="00000000" w:rsidRPr="00000000">
              <w:rPr>
                <w:b w:val="1"/>
                <w:sz w:val="18"/>
                <w:szCs w:val="18"/>
                <w:rtl w:val="0"/>
              </w:rPr>
              <w:t xml:space="preserve">Australia</w:t>
            </w:r>
          </w:p>
        </w:tc>
        <w:tc>
          <w:tcPr>
            <w:vAlign w:val="center"/>
          </w:tcPr>
          <w:p w:rsidR="00000000" w:rsidDel="00000000" w:rsidP="00000000" w:rsidRDefault="00000000" w:rsidRPr="00000000" w14:paraId="0000138D">
            <w:pPr>
              <w:rPr>
                <w:sz w:val="18"/>
                <w:szCs w:val="18"/>
              </w:rPr>
            </w:pPr>
            <w:r w:rsidDel="00000000" w:rsidR="00000000" w:rsidRPr="00000000">
              <w:rPr>
                <w:sz w:val="18"/>
                <w:szCs w:val="18"/>
                <w:rtl w:val="0"/>
              </w:rPr>
              <w:t xml:space="preserve">McDonald S. </w:t>
              <w:br w:type="textWrapping"/>
              <w:t xml:space="preserve">Wallis K. </w:t>
              <w:br w:type="textWrapping"/>
              <w:t xml:space="preserve">Horowitz M. </w:t>
              <w:br w:type="textWrapping"/>
              <w:t xml:space="preserve">Mann E. </w:t>
              <w:br w:type="textWrapping"/>
              <w:t xml:space="preserve">Le V. </w:t>
              <w:br w:type="textWrapping"/>
              <w:t xml:space="preserve">Donald M.</w:t>
            </w:r>
          </w:p>
        </w:tc>
        <w:tc>
          <w:tcPr>
            <w:vAlign w:val="center"/>
          </w:tcPr>
          <w:p w:rsidR="00000000" w:rsidDel="00000000" w:rsidP="00000000" w:rsidRDefault="00000000" w:rsidRPr="00000000" w14:paraId="0000138E">
            <w:pPr>
              <w:jc w:val="center"/>
              <w:rPr>
                <w:sz w:val="18"/>
                <w:szCs w:val="18"/>
              </w:rPr>
            </w:pPr>
            <w:r w:rsidDel="00000000" w:rsidR="00000000" w:rsidRPr="00000000">
              <w:rPr>
                <w:sz w:val="18"/>
                <w:szCs w:val="18"/>
                <w:rtl w:val="0"/>
              </w:rPr>
              <w:t xml:space="preserve">2024</w:t>
            </w:r>
          </w:p>
        </w:tc>
        <w:tc>
          <w:tcPr>
            <w:vAlign w:val="center"/>
          </w:tcPr>
          <w:p w:rsidR="00000000" w:rsidDel="00000000" w:rsidP="00000000" w:rsidRDefault="00000000" w:rsidRPr="00000000" w14:paraId="0000138F">
            <w:pPr>
              <w:jc w:val="center"/>
              <w:rPr>
                <w:sz w:val="18"/>
                <w:szCs w:val="18"/>
              </w:rPr>
            </w:pPr>
            <w:r w:rsidDel="00000000" w:rsidR="00000000" w:rsidRPr="00000000">
              <w:rPr>
                <w:sz w:val="18"/>
                <w:szCs w:val="18"/>
                <w:rtl w:val="0"/>
              </w:rPr>
              <w:t xml:space="preserve">Acceptability and optimisation of</w:t>
              <w:br w:type="textWrapping"/>
              <w:t xml:space="preserve">resources to support antidepressant</w:t>
              <w:br w:type="textWrapping"/>
              <w:t xml:space="preserve">cessation:</w:t>
              <w:br w:type="textWrapping"/>
              <w:t xml:space="preserve">a qualitative think-aloud study with patients in Australian primary care</w:t>
            </w:r>
          </w:p>
        </w:tc>
        <w:tc>
          <w:tcPr>
            <w:vAlign w:val="center"/>
          </w:tcPr>
          <w:p w:rsidR="00000000" w:rsidDel="00000000" w:rsidP="00000000" w:rsidRDefault="00000000" w:rsidRPr="00000000" w14:paraId="00001390">
            <w:pPr>
              <w:jc w:val="center"/>
              <w:rPr>
                <w:sz w:val="18"/>
                <w:szCs w:val="18"/>
              </w:rPr>
            </w:pPr>
            <w:r w:rsidDel="00000000" w:rsidR="00000000" w:rsidRPr="00000000">
              <w:rPr>
                <w:sz w:val="18"/>
                <w:szCs w:val="18"/>
                <w:rtl w:val="0"/>
              </w:rPr>
              <w:t xml:space="preserve">Interviews</w:t>
            </w:r>
          </w:p>
        </w:tc>
        <w:tc>
          <w:tcPr>
            <w:vAlign w:val="center"/>
          </w:tcPr>
          <w:p w:rsidR="00000000" w:rsidDel="00000000" w:rsidP="00000000" w:rsidRDefault="00000000" w:rsidRPr="00000000" w14:paraId="00001391">
            <w:pPr>
              <w:jc w:val="center"/>
              <w:rPr>
                <w:sz w:val="18"/>
                <w:szCs w:val="18"/>
              </w:rPr>
            </w:pPr>
            <w:r w:rsidDel="00000000" w:rsidR="00000000" w:rsidRPr="00000000">
              <w:rPr>
                <w:sz w:val="18"/>
                <w:szCs w:val="18"/>
                <w:rtl w:val="0"/>
              </w:rPr>
              <w:t xml:space="preserve">14</w:t>
            </w:r>
          </w:p>
        </w:tc>
        <w:tc>
          <w:tcPr>
            <w:vAlign w:val="center"/>
          </w:tcPr>
          <w:p w:rsidR="00000000" w:rsidDel="00000000" w:rsidP="00000000" w:rsidRDefault="00000000" w:rsidRPr="00000000" w14:paraId="00001392">
            <w:pPr>
              <w:rPr>
                <w:sz w:val="18"/>
                <w:szCs w:val="18"/>
              </w:rPr>
            </w:pPr>
            <w:r w:rsidDel="00000000" w:rsidR="00000000" w:rsidRPr="00000000">
              <w:rPr>
                <w:sz w:val="18"/>
                <w:szCs w:val="18"/>
                <w:rtl w:val="0"/>
              </w:rPr>
              <w:t xml:space="preserve">Provided participants with the RELEASE resource, "Redressing long-term antidepressant drug dose" designed to support informed decisions about continuing/discontinuing antidepressants. Contains a pro/con comparison and a list of items that the patient may find useful when deciding.</w:t>
              <w:br w:type="textWrapping"/>
              <w:br w:type="textWrapping"/>
              <w:t xml:space="preserve">Brochure was fit for purpose, reflected their reality (p.115)</w:t>
              <w:br w:type="textWrapping"/>
              <w:t xml:space="preserve">Most participants report side effects/withdrawal symptoms (p.115), feared relapse to depression (p.115)</w:t>
              <w:br w:type="textWrapping"/>
              <w:t xml:space="preserve">Several report frustration for not having information on adverse effects, clinical guidelines and withdrawal symptoms sooner (p.116)</w:t>
              <w:br w:type="textWrapping"/>
              <w:t xml:space="preserve">Participants unaware of antidepressant prevalence, withdrawal symptoms (p.116)</w:t>
              <w:br w:type="textWrapping"/>
              <w:t xml:space="preserve">Brochure prompted participants to reflect on antidepressant use, with many reporting the RELEASE resource as a reason to consider tapering (p.116)</w:t>
              <w:br w:type="textWrapping"/>
              <w:t xml:space="preserve">Brochure was easy to understand (p.116)</w:t>
            </w:r>
          </w:p>
        </w:tc>
        <w:tc>
          <w:tcPr>
            <w:vAlign w:val="center"/>
          </w:tcPr>
          <w:p w:rsidR="00000000" w:rsidDel="00000000" w:rsidP="00000000" w:rsidRDefault="00000000" w:rsidRPr="00000000" w14:paraId="00001393">
            <w:pPr>
              <w:rPr>
                <w:sz w:val="18"/>
                <w:szCs w:val="18"/>
              </w:rPr>
            </w:pPr>
            <w:r w:rsidDel="00000000" w:rsidR="00000000" w:rsidRPr="00000000">
              <w:rPr>
                <w:sz w:val="18"/>
                <w:szCs w:val="18"/>
                <w:rtl w:val="0"/>
              </w:rPr>
              <w:t xml:space="preserve">small sample side, only 2 males and few older people.</w:t>
            </w:r>
          </w:p>
        </w:tc>
      </w:tr>
      <w:tr>
        <w:trPr>
          <w:cantSplit w:val="0"/>
          <w:trHeight w:val="1266" w:hRule="atLeast"/>
          <w:tblHeader w:val="0"/>
        </w:trPr>
        <w:tc>
          <w:tcPr>
            <w:vAlign w:val="center"/>
          </w:tcPr>
          <w:p w:rsidR="00000000" w:rsidDel="00000000" w:rsidP="00000000" w:rsidRDefault="00000000" w:rsidRPr="00000000" w14:paraId="00001394">
            <w:pPr>
              <w:rPr>
                <w:b w:val="0"/>
                <w:color w:val="000000"/>
                <w:sz w:val="18"/>
                <w:szCs w:val="18"/>
              </w:rPr>
            </w:pPr>
            <w:r w:rsidDel="00000000" w:rsidR="00000000" w:rsidRPr="00000000">
              <w:rPr>
                <w:b w:val="0"/>
                <w:color w:val="000000"/>
                <w:sz w:val="18"/>
                <w:szCs w:val="18"/>
                <w:rtl w:val="0"/>
              </w:rPr>
              <w:t xml:space="preserve">66</w:t>
            </w:r>
          </w:p>
        </w:tc>
        <w:tc>
          <w:tcPr>
            <w:vAlign w:val="center"/>
          </w:tcPr>
          <w:p w:rsidR="00000000" w:rsidDel="00000000" w:rsidP="00000000" w:rsidRDefault="00000000" w:rsidRPr="00000000" w14:paraId="00001395">
            <w:pPr>
              <w:rPr>
                <w:b w:val="1"/>
                <w:sz w:val="18"/>
                <w:szCs w:val="18"/>
              </w:rPr>
            </w:pPr>
            <w:r w:rsidDel="00000000" w:rsidR="00000000" w:rsidRPr="00000000">
              <w:rPr>
                <w:b w:val="1"/>
                <w:sz w:val="18"/>
                <w:szCs w:val="18"/>
                <w:rtl w:val="0"/>
              </w:rPr>
              <w:t xml:space="preserve">USA</w:t>
            </w:r>
          </w:p>
        </w:tc>
        <w:tc>
          <w:tcPr>
            <w:vAlign w:val="center"/>
          </w:tcPr>
          <w:p w:rsidR="00000000" w:rsidDel="00000000" w:rsidP="00000000" w:rsidRDefault="00000000" w:rsidRPr="00000000" w14:paraId="00001396">
            <w:pPr>
              <w:rPr>
                <w:sz w:val="18"/>
                <w:szCs w:val="18"/>
              </w:rPr>
            </w:pPr>
            <w:r w:rsidDel="00000000" w:rsidR="00000000" w:rsidRPr="00000000">
              <w:rPr>
                <w:sz w:val="18"/>
                <w:szCs w:val="18"/>
                <w:rtl w:val="0"/>
              </w:rPr>
              <w:t xml:space="preserve">Takamine L. </w:t>
              <w:br w:type="textWrapping"/>
              <w:t xml:space="preserve">Krein SL. </w:t>
              <w:br w:type="textWrapping"/>
              <w:t xml:space="preserve">Ratliff E. </w:t>
              <w:br w:type="textWrapping"/>
              <w:t xml:space="preserve">Strominger J. </w:t>
              <w:br w:type="textWrapping"/>
              <w:t xml:space="preserve">Virk A. </w:t>
              <w:br w:type="textWrapping"/>
              <w:t xml:space="preserve">Maust DT.</w:t>
            </w:r>
          </w:p>
        </w:tc>
        <w:tc>
          <w:tcPr>
            <w:vAlign w:val="center"/>
          </w:tcPr>
          <w:p w:rsidR="00000000" w:rsidDel="00000000" w:rsidP="00000000" w:rsidRDefault="00000000" w:rsidRPr="00000000" w14:paraId="00001397">
            <w:pPr>
              <w:jc w:val="center"/>
              <w:rPr>
                <w:sz w:val="18"/>
                <w:szCs w:val="18"/>
              </w:rPr>
            </w:pPr>
            <w:r w:rsidDel="00000000" w:rsidR="00000000" w:rsidRPr="00000000">
              <w:rPr>
                <w:sz w:val="18"/>
                <w:szCs w:val="18"/>
                <w:rtl w:val="0"/>
              </w:rPr>
              <w:t xml:space="preserve">2024</w:t>
            </w:r>
          </w:p>
        </w:tc>
        <w:tc>
          <w:tcPr>
            <w:vAlign w:val="center"/>
          </w:tcPr>
          <w:p w:rsidR="00000000" w:rsidDel="00000000" w:rsidP="00000000" w:rsidRDefault="00000000" w:rsidRPr="00000000" w14:paraId="00001398">
            <w:pPr>
              <w:jc w:val="center"/>
              <w:rPr>
                <w:sz w:val="18"/>
                <w:szCs w:val="18"/>
              </w:rPr>
            </w:pPr>
            <w:r w:rsidDel="00000000" w:rsidR="00000000" w:rsidRPr="00000000">
              <w:rPr>
                <w:sz w:val="18"/>
                <w:szCs w:val="18"/>
                <w:rtl w:val="0"/>
              </w:rPr>
              <w:t xml:space="preserve">Examining Adult Patients' Success with Discontinuing Long-term Benzodiazepine Use: A Qualitative Study</w:t>
            </w:r>
          </w:p>
        </w:tc>
        <w:tc>
          <w:tcPr>
            <w:vAlign w:val="center"/>
          </w:tcPr>
          <w:p w:rsidR="00000000" w:rsidDel="00000000" w:rsidP="00000000" w:rsidRDefault="00000000" w:rsidRPr="00000000" w14:paraId="00001399">
            <w:pPr>
              <w:jc w:val="center"/>
              <w:rPr>
                <w:sz w:val="18"/>
                <w:szCs w:val="18"/>
              </w:rPr>
            </w:pPr>
            <w:r w:rsidDel="00000000" w:rsidR="00000000" w:rsidRPr="00000000">
              <w:rPr>
                <w:sz w:val="18"/>
                <w:szCs w:val="18"/>
                <w:rtl w:val="0"/>
              </w:rPr>
              <w:t xml:space="preserve">semi-structured interviews</w:t>
            </w:r>
          </w:p>
        </w:tc>
        <w:tc>
          <w:tcPr>
            <w:vAlign w:val="center"/>
          </w:tcPr>
          <w:p w:rsidR="00000000" w:rsidDel="00000000" w:rsidP="00000000" w:rsidRDefault="00000000" w:rsidRPr="00000000" w14:paraId="0000139A">
            <w:pPr>
              <w:jc w:val="center"/>
              <w:rPr>
                <w:sz w:val="18"/>
                <w:szCs w:val="18"/>
              </w:rPr>
            </w:pPr>
            <w:r w:rsidDel="00000000" w:rsidR="00000000" w:rsidRPr="00000000">
              <w:rPr>
                <w:sz w:val="18"/>
                <w:szCs w:val="18"/>
                <w:rtl w:val="0"/>
              </w:rPr>
              <w:t xml:space="preserve">21</w:t>
            </w:r>
          </w:p>
        </w:tc>
        <w:tc>
          <w:tcPr>
            <w:vAlign w:val="center"/>
          </w:tcPr>
          <w:p w:rsidR="00000000" w:rsidDel="00000000" w:rsidP="00000000" w:rsidRDefault="00000000" w:rsidRPr="00000000" w14:paraId="0000139B">
            <w:pPr>
              <w:rPr>
                <w:sz w:val="18"/>
                <w:szCs w:val="18"/>
              </w:rPr>
            </w:pPr>
            <w:r w:rsidDel="00000000" w:rsidR="00000000" w:rsidRPr="00000000">
              <w:rPr>
                <w:sz w:val="18"/>
                <w:szCs w:val="18"/>
                <w:rtl w:val="0"/>
              </w:rPr>
              <w:t xml:space="preserve">Risk of use: participants report learning of associated risks, experiencing side effects led participants to perceive medication as dangerous, some participants discontinued independently however more commonly agreed with their HCP (sometimes reluctantly) (p.250), others report following HCPs expertise understanding they are working towards regaining their health. Some felt low dose benzodiazepine use did not have health risks. </w:t>
              <w:br w:type="textWrapping"/>
              <w:t xml:space="preserve">Lack of efficacy: some convinced to taper as they do not solve underlying issues (p.250), one participant came under the care of a new HCP who discussed alternatives in which the participant preferred (p.251).</w:t>
              <w:br w:type="textWrapping"/>
              <w:t xml:space="preserve">Potential for addiction/dependence: two participants identify as "addicts" and considered reducing benzodiazepines as improving their lives, withdrawal symptoms associated with dependence, family history of addiction resulted in one participant reducing, fear of dependency prompted a reduction, moral dichotomy between benzodiazepine users and illicit drug users (p.251).</w:t>
              <w:br w:type="textWrapping"/>
              <w:t xml:space="preserve">Withdrawal symptoms: only two participants report withdrawal symptoms - pain, muscle spasms, anxiety (p.251)</w:t>
              <w:br w:type="textWrapping"/>
              <w:t xml:space="preserve">Effective alternatives: psychotherapy, acupuncture, alternative medicines, church/spiritual practices, medicinal cannabis, alcohol consumption. those who did not receive an effective alternative were dissatisfied with their discontinuation (p.251), some requested reinstatement but was denied (p.252),</w:t>
            </w:r>
          </w:p>
        </w:tc>
        <w:tc>
          <w:tcPr>
            <w:vAlign w:val="center"/>
          </w:tcPr>
          <w:p w:rsidR="00000000" w:rsidDel="00000000" w:rsidP="00000000" w:rsidRDefault="00000000" w:rsidRPr="00000000" w14:paraId="0000139C">
            <w:pPr>
              <w:rPr>
                <w:sz w:val="18"/>
                <w:szCs w:val="18"/>
              </w:rPr>
            </w:pPr>
            <w:r w:rsidDel="00000000" w:rsidR="00000000" w:rsidRPr="00000000">
              <w:rPr>
                <w:sz w:val="18"/>
                <w:szCs w:val="18"/>
                <w:rtl w:val="0"/>
              </w:rPr>
              <w:t xml:space="preserve">all participants successfully completed discontinuation, the experiences of those who did not are missed.</w:t>
            </w:r>
          </w:p>
        </w:tc>
      </w:tr>
      <w:tr>
        <w:trPr>
          <w:cantSplit w:val="0"/>
          <w:trHeight w:val="79" w:hRule="atLeast"/>
          <w:tblHeader w:val="0"/>
        </w:trPr>
        <w:tc>
          <w:tcPr>
            <w:vAlign w:val="center"/>
          </w:tcPr>
          <w:p w:rsidR="00000000" w:rsidDel="00000000" w:rsidP="00000000" w:rsidRDefault="00000000" w:rsidRPr="00000000" w14:paraId="0000139D">
            <w:pPr>
              <w:rPr>
                <w:b w:val="0"/>
                <w:color w:val="000000"/>
                <w:sz w:val="18"/>
                <w:szCs w:val="18"/>
              </w:rPr>
            </w:pPr>
            <w:r w:rsidDel="00000000" w:rsidR="00000000" w:rsidRPr="00000000">
              <w:rPr>
                <w:b w:val="0"/>
                <w:color w:val="000000"/>
                <w:sz w:val="18"/>
                <w:szCs w:val="18"/>
                <w:rtl w:val="0"/>
              </w:rPr>
              <w:t xml:space="preserve">67</w:t>
            </w:r>
          </w:p>
        </w:tc>
        <w:tc>
          <w:tcPr>
            <w:vAlign w:val="center"/>
          </w:tcPr>
          <w:p w:rsidR="00000000" w:rsidDel="00000000" w:rsidP="00000000" w:rsidRDefault="00000000" w:rsidRPr="00000000" w14:paraId="0000139E">
            <w:pPr>
              <w:rPr>
                <w:b w:val="1"/>
                <w:sz w:val="18"/>
                <w:szCs w:val="18"/>
              </w:rPr>
            </w:pPr>
            <w:r w:rsidDel="00000000" w:rsidR="00000000" w:rsidRPr="00000000">
              <w:rPr>
                <w:b w:val="1"/>
                <w:sz w:val="18"/>
                <w:szCs w:val="18"/>
                <w:rtl w:val="0"/>
              </w:rPr>
              <w:t xml:space="preserve">South Korea</w:t>
            </w:r>
          </w:p>
        </w:tc>
        <w:tc>
          <w:tcPr>
            <w:vAlign w:val="center"/>
          </w:tcPr>
          <w:p w:rsidR="00000000" w:rsidDel="00000000" w:rsidP="00000000" w:rsidRDefault="00000000" w:rsidRPr="00000000" w14:paraId="0000139F">
            <w:pPr>
              <w:rPr>
                <w:sz w:val="18"/>
                <w:szCs w:val="18"/>
              </w:rPr>
            </w:pPr>
            <w:r w:rsidDel="00000000" w:rsidR="00000000" w:rsidRPr="00000000">
              <w:rPr>
                <w:sz w:val="18"/>
                <w:szCs w:val="18"/>
                <w:rtl w:val="0"/>
              </w:rPr>
              <w:t xml:space="preserve">Oh J. </w:t>
              <w:br w:type="textWrapping"/>
              <w:t xml:space="preserve">Yeo J.</w:t>
            </w:r>
          </w:p>
        </w:tc>
        <w:tc>
          <w:tcPr>
            <w:vAlign w:val="center"/>
          </w:tcPr>
          <w:p w:rsidR="00000000" w:rsidDel="00000000" w:rsidP="00000000" w:rsidRDefault="00000000" w:rsidRPr="00000000" w14:paraId="000013A0">
            <w:pPr>
              <w:jc w:val="center"/>
              <w:rPr>
                <w:sz w:val="18"/>
                <w:szCs w:val="18"/>
              </w:rPr>
            </w:pPr>
            <w:r w:rsidDel="00000000" w:rsidR="00000000" w:rsidRPr="00000000">
              <w:rPr>
                <w:sz w:val="18"/>
                <w:szCs w:val="18"/>
                <w:rtl w:val="0"/>
              </w:rPr>
              <w:t xml:space="preserve">2024</w:t>
            </w:r>
          </w:p>
        </w:tc>
        <w:tc>
          <w:tcPr>
            <w:vAlign w:val="center"/>
          </w:tcPr>
          <w:p w:rsidR="00000000" w:rsidDel="00000000" w:rsidP="00000000" w:rsidRDefault="00000000" w:rsidRPr="00000000" w14:paraId="000013A1">
            <w:pPr>
              <w:jc w:val="center"/>
              <w:rPr>
                <w:sz w:val="18"/>
                <w:szCs w:val="18"/>
              </w:rPr>
            </w:pPr>
            <w:r w:rsidDel="00000000" w:rsidR="00000000" w:rsidRPr="00000000">
              <w:rPr>
                <w:sz w:val="18"/>
                <w:szCs w:val="18"/>
                <w:rtl w:val="0"/>
              </w:rPr>
              <w:t xml:space="preserve">Trends in the prescription of opioids and gabapentinoids in patients with failed back surgery syndrome in Korea: a population-based study.</w:t>
            </w:r>
          </w:p>
        </w:tc>
        <w:tc>
          <w:tcPr>
            <w:vAlign w:val="center"/>
          </w:tcPr>
          <w:p w:rsidR="00000000" w:rsidDel="00000000" w:rsidP="00000000" w:rsidRDefault="00000000" w:rsidRPr="00000000" w14:paraId="000013A2">
            <w:pPr>
              <w:jc w:val="center"/>
              <w:rPr>
                <w:sz w:val="18"/>
                <w:szCs w:val="18"/>
              </w:rPr>
            </w:pPr>
            <w:r w:rsidDel="00000000" w:rsidR="00000000" w:rsidRPr="00000000">
              <w:rPr>
                <w:sz w:val="18"/>
                <w:szCs w:val="18"/>
                <w:rtl w:val="0"/>
              </w:rPr>
              <w:t xml:space="preserve">Health data from the Health Insurance and Review Agency (Korea)</w:t>
            </w:r>
          </w:p>
        </w:tc>
        <w:tc>
          <w:tcPr>
            <w:vAlign w:val="center"/>
          </w:tcPr>
          <w:p w:rsidR="00000000" w:rsidDel="00000000" w:rsidP="00000000" w:rsidRDefault="00000000" w:rsidRPr="00000000" w14:paraId="000013A3">
            <w:pPr>
              <w:jc w:val="center"/>
              <w:rPr>
                <w:sz w:val="18"/>
                <w:szCs w:val="18"/>
              </w:rPr>
            </w:pPr>
            <w:r w:rsidDel="00000000" w:rsidR="00000000" w:rsidRPr="00000000">
              <w:rPr>
                <w:sz w:val="18"/>
                <w:szCs w:val="18"/>
                <w:rtl w:val="0"/>
              </w:rPr>
              <w:t xml:space="preserve">390 085</w:t>
            </w:r>
          </w:p>
        </w:tc>
        <w:tc>
          <w:tcPr>
            <w:vAlign w:val="center"/>
          </w:tcPr>
          <w:p w:rsidR="00000000" w:rsidDel="00000000" w:rsidP="00000000" w:rsidRDefault="00000000" w:rsidRPr="00000000" w14:paraId="000013A4">
            <w:pPr>
              <w:rPr>
                <w:sz w:val="18"/>
                <w:szCs w:val="18"/>
              </w:rPr>
            </w:pPr>
            <w:r w:rsidDel="00000000" w:rsidR="00000000" w:rsidRPr="00000000">
              <w:rPr>
                <w:sz w:val="18"/>
                <w:szCs w:val="18"/>
                <w:rtl w:val="0"/>
              </w:rPr>
              <w:t xml:space="preserve">41.6% of patients prescribed a Gabapentinoid, a 43.2% increase since 2016. 12.2% consider long term (p.75)</w:t>
              <w:br w:type="textWrapping"/>
              <w:t xml:space="preserve">42.0% of patients prescribed an opioid. 90% of opioids are "weak". 11.4% opioid prescriptions considered long term, increase of 100% between 2016-2020 (p.76)</w:t>
              <w:br w:type="textWrapping"/>
              <w:t xml:space="preserve">Polypharmacy: 24.4% of patients prescribed opioids and gabapentinoids, increase from 5.67% to 10.10% in 2020.</w:t>
            </w:r>
          </w:p>
        </w:tc>
        <w:tc>
          <w:tcPr>
            <w:vAlign w:val="center"/>
          </w:tcPr>
          <w:p w:rsidR="00000000" w:rsidDel="00000000" w:rsidP="00000000" w:rsidRDefault="00000000" w:rsidRPr="00000000" w14:paraId="000013A5">
            <w:pPr>
              <w:rPr>
                <w:sz w:val="18"/>
                <w:szCs w:val="18"/>
              </w:rPr>
            </w:pPr>
            <w:r w:rsidDel="00000000" w:rsidR="00000000" w:rsidRPr="00000000">
              <w:rPr>
                <w:sz w:val="18"/>
                <w:szCs w:val="18"/>
                <w:rtl w:val="0"/>
              </w:rPr>
              <w:t xml:space="preserve">single centre study, only reports on cases reviewed in the HIRA, no factors such as psychiatric comorbidity considered.</w:t>
            </w:r>
          </w:p>
        </w:tc>
      </w:tr>
      <w:tr>
        <w:trPr>
          <w:cantSplit w:val="0"/>
          <w:trHeight w:val="79" w:hRule="atLeast"/>
          <w:tblHeader w:val="0"/>
        </w:trPr>
        <w:tc>
          <w:tcPr>
            <w:vAlign w:val="center"/>
          </w:tcPr>
          <w:p w:rsidR="00000000" w:rsidDel="00000000" w:rsidP="00000000" w:rsidRDefault="00000000" w:rsidRPr="00000000" w14:paraId="000013A6">
            <w:pPr>
              <w:rPr>
                <w:b w:val="0"/>
                <w:color w:val="000000"/>
                <w:sz w:val="18"/>
                <w:szCs w:val="18"/>
              </w:rPr>
            </w:pPr>
            <w:r w:rsidDel="00000000" w:rsidR="00000000" w:rsidRPr="00000000">
              <w:rPr>
                <w:b w:val="0"/>
                <w:color w:val="000000"/>
                <w:sz w:val="18"/>
                <w:szCs w:val="18"/>
                <w:rtl w:val="0"/>
              </w:rPr>
              <w:t xml:space="preserve">68</w:t>
            </w:r>
          </w:p>
        </w:tc>
        <w:tc>
          <w:tcPr>
            <w:vAlign w:val="center"/>
          </w:tcPr>
          <w:p w:rsidR="00000000" w:rsidDel="00000000" w:rsidP="00000000" w:rsidRDefault="00000000" w:rsidRPr="00000000" w14:paraId="000013A7">
            <w:pPr>
              <w:rPr>
                <w:b w:val="1"/>
                <w:sz w:val="18"/>
                <w:szCs w:val="18"/>
              </w:rPr>
            </w:pPr>
            <w:r w:rsidDel="00000000" w:rsidR="00000000" w:rsidRPr="00000000">
              <w:rPr>
                <w:b w:val="1"/>
                <w:color w:val="000000"/>
                <w:sz w:val="18"/>
                <w:szCs w:val="18"/>
                <w:rtl w:val="0"/>
              </w:rPr>
              <w:t xml:space="preserve">USA</w:t>
            </w:r>
            <w:r w:rsidDel="00000000" w:rsidR="00000000" w:rsidRPr="00000000">
              <w:rPr>
                <w:rtl w:val="0"/>
              </w:rPr>
            </w:r>
          </w:p>
        </w:tc>
        <w:tc>
          <w:tcPr>
            <w:vAlign w:val="center"/>
          </w:tcPr>
          <w:p w:rsidR="00000000" w:rsidDel="00000000" w:rsidP="00000000" w:rsidRDefault="00000000" w:rsidRPr="00000000" w14:paraId="000013A8">
            <w:pPr>
              <w:rPr>
                <w:sz w:val="18"/>
                <w:szCs w:val="18"/>
              </w:rPr>
            </w:pPr>
            <w:r w:rsidDel="00000000" w:rsidR="00000000" w:rsidRPr="00000000">
              <w:rPr>
                <w:color w:val="000000"/>
                <w:sz w:val="18"/>
                <w:szCs w:val="18"/>
                <w:rtl w:val="0"/>
              </w:rPr>
              <w:t xml:space="preserve">Yarborough BJH.</w:t>
              <w:br w:type="textWrapping"/>
              <w:t xml:space="preserve">Stumbo SP.</w:t>
              <w:br w:type="textWrapping"/>
              <w:t xml:space="preserve">Schneider JL.</w:t>
              <w:br w:type="textWrapping"/>
              <w:t xml:space="preserve">Ahmedani BK.</w:t>
              <w:br w:type="textWrapping"/>
              <w:t xml:space="preserve">Daida YG.</w:t>
              <w:br w:type="textWrapping"/>
              <w:t xml:space="preserve">Hooker SA.</w:t>
              <w:br w:type="textWrapping"/>
              <w:t xml:space="preserve">Lapham GT.</w:t>
              <w:br w:type="textWrapping"/>
              <w:t xml:space="preserve">Negriff S.</w:t>
              <w:br w:type="textWrapping"/>
              <w:t xml:space="preserve">Rossom RC.</w:t>
            </w:r>
            <w:r w:rsidDel="00000000" w:rsidR="00000000" w:rsidRPr="00000000">
              <w:rPr>
                <w:rtl w:val="0"/>
              </w:rPr>
            </w:r>
          </w:p>
        </w:tc>
        <w:tc>
          <w:tcPr>
            <w:vAlign w:val="center"/>
          </w:tcPr>
          <w:p w:rsidR="00000000" w:rsidDel="00000000" w:rsidP="00000000" w:rsidRDefault="00000000" w:rsidRPr="00000000" w14:paraId="000013A9">
            <w:pPr>
              <w:jc w:val="center"/>
              <w:rPr>
                <w:sz w:val="18"/>
                <w:szCs w:val="18"/>
              </w:rPr>
            </w:pPr>
            <w:r w:rsidDel="00000000" w:rsidR="00000000" w:rsidRPr="00000000">
              <w:rPr>
                <w:color w:val="000000"/>
                <w:sz w:val="18"/>
                <w:szCs w:val="18"/>
                <w:rtl w:val="0"/>
              </w:rPr>
              <w:t xml:space="preserve">2024</w:t>
            </w:r>
            <w:r w:rsidDel="00000000" w:rsidR="00000000" w:rsidRPr="00000000">
              <w:rPr>
                <w:rtl w:val="0"/>
              </w:rPr>
            </w:r>
          </w:p>
        </w:tc>
        <w:tc>
          <w:tcPr>
            <w:vAlign w:val="center"/>
          </w:tcPr>
          <w:p w:rsidR="00000000" w:rsidDel="00000000" w:rsidP="00000000" w:rsidRDefault="00000000" w:rsidRPr="00000000" w14:paraId="000013AA">
            <w:pPr>
              <w:jc w:val="center"/>
              <w:rPr>
                <w:sz w:val="18"/>
                <w:szCs w:val="18"/>
              </w:rPr>
            </w:pPr>
            <w:r w:rsidDel="00000000" w:rsidR="00000000" w:rsidRPr="00000000">
              <w:rPr>
                <w:color w:val="000000"/>
                <w:sz w:val="18"/>
                <w:szCs w:val="18"/>
                <w:rtl w:val="0"/>
              </w:rPr>
              <w:t xml:space="preserve">Patient Perspectives on Mental Health and Pain Management Support Needed Versus Received During Opioid Deprescribing.</w:t>
            </w:r>
            <w:r w:rsidDel="00000000" w:rsidR="00000000" w:rsidRPr="00000000">
              <w:rPr>
                <w:rtl w:val="0"/>
              </w:rPr>
            </w:r>
          </w:p>
        </w:tc>
        <w:tc>
          <w:tcPr>
            <w:vAlign w:val="center"/>
          </w:tcPr>
          <w:p w:rsidR="00000000" w:rsidDel="00000000" w:rsidP="00000000" w:rsidRDefault="00000000" w:rsidRPr="00000000" w14:paraId="000013AB">
            <w:pPr>
              <w:jc w:val="center"/>
              <w:rPr>
                <w:sz w:val="18"/>
                <w:szCs w:val="18"/>
              </w:rPr>
            </w:pPr>
            <w:r w:rsidDel="00000000" w:rsidR="00000000" w:rsidRPr="00000000">
              <w:rPr>
                <w:color w:val="000000"/>
                <w:sz w:val="18"/>
                <w:szCs w:val="18"/>
                <w:rtl w:val="0"/>
              </w:rPr>
              <w:t xml:space="preserve">Interviews with patients tapering from opioids.</w:t>
            </w:r>
            <w:r w:rsidDel="00000000" w:rsidR="00000000" w:rsidRPr="00000000">
              <w:rPr>
                <w:rtl w:val="0"/>
              </w:rPr>
            </w:r>
          </w:p>
        </w:tc>
        <w:tc>
          <w:tcPr>
            <w:vAlign w:val="center"/>
          </w:tcPr>
          <w:p w:rsidR="00000000" w:rsidDel="00000000" w:rsidP="00000000" w:rsidRDefault="00000000" w:rsidRPr="00000000" w14:paraId="000013AC">
            <w:pPr>
              <w:jc w:val="center"/>
              <w:rPr>
                <w:sz w:val="18"/>
                <w:szCs w:val="18"/>
              </w:rPr>
            </w:pPr>
            <w:r w:rsidDel="00000000" w:rsidR="00000000" w:rsidRPr="00000000">
              <w:rPr>
                <w:color w:val="000000"/>
                <w:sz w:val="18"/>
                <w:szCs w:val="18"/>
                <w:rtl w:val="0"/>
              </w:rPr>
              <w:t xml:space="preserve">176 patients</w:t>
              <w:br w:type="textWrapping"/>
              <w:br w:type="textWrapping"/>
              <w:t xml:space="preserve">16 family members</w:t>
            </w:r>
            <w:r w:rsidDel="00000000" w:rsidR="00000000" w:rsidRPr="00000000">
              <w:rPr>
                <w:rtl w:val="0"/>
              </w:rPr>
            </w:r>
          </w:p>
        </w:tc>
        <w:tc>
          <w:tcPr>
            <w:vAlign w:val="center"/>
          </w:tcPr>
          <w:p w:rsidR="00000000" w:rsidDel="00000000" w:rsidP="00000000" w:rsidRDefault="00000000" w:rsidRPr="00000000" w14:paraId="000013AD">
            <w:pPr>
              <w:rPr>
                <w:color w:val="000000"/>
                <w:sz w:val="18"/>
                <w:szCs w:val="18"/>
              </w:rPr>
            </w:pPr>
            <w:r w:rsidDel="00000000" w:rsidR="00000000" w:rsidRPr="00000000">
              <w:rPr>
                <w:color w:val="000000"/>
                <w:sz w:val="18"/>
                <w:szCs w:val="18"/>
                <w:rtl w:val="0"/>
              </w:rPr>
              <w:t xml:space="preserve">Tapering opioids too quickly or without support may harm patients. 68% experienced suicidal behaviour during tapering, 41% report being monitored for this behaviour whilst 27% did not. 56% require more support, 48% require more empathy and compassion, 41% require an individualised approach to tapering.</w:t>
              <w:br w:type="textWrapping"/>
              <w:br w:type="textWrapping"/>
              <w:t xml:space="preserve">Positive experience: shared decision making and the ability to adjust the taper pace/pause tapering. Patient centred approach = support, shared decision making, monitoring mental health changes and flexibility in their tapering.</w:t>
            </w:r>
          </w:p>
        </w:tc>
        <w:tc>
          <w:tcPr>
            <w:vAlign w:val="center"/>
          </w:tcPr>
          <w:p w:rsidR="00000000" w:rsidDel="00000000" w:rsidP="00000000" w:rsidRDefault="00000000" w:rsidRPr="00000000" w14:paraId="000013AE">
            <w:pPr>
              <w:rPr>
                <w:sz w:val="18"/>
                <w:szCs w:val="18"/>
              </w:rPr>
            </w:pPr>
            <w:r w:rsidDel="00000000" w:rsidR="00000000" w:rsidRPr="00000000">
              <w:rPr>
                <w:rtl w:val="0"/>
              </w:rPr>
            </w:r>
          </w:p>
        </w:tc>
      </w:tr>
      <w:tr>
        <w:trPr>
          <w:cantSplit w:val="0"/>
          <w:trHeight w:val="79" w:hRule="atLeast"/>
          <w:tblHeader w:val="0"/>
        </w:trPr>
        <w:tc>
          <w:tcPr>
            <w:vAlign w:val="center"/>
          </w:tcPr>
          <w:p w:rsidR="00000000" w:rsidDel="00000000" w:rsidP="00000000" w:rsidRDefault="00000000" w:rsidRPr="00000000" w14:paraId="000013AF">
            <w:pPr>
              <w:rPr>
                <w:b w:val="0"/>
                <w:color w:val="000000"/>
                <w:sz w:val="18"/>
                <w:szCs w:val="18"/>
              </w:rPr>
            </w:pPr>
            <w:r w:rsidDel="00000000" w:rsidR="00000000" w:rsidRPr="00000000">
              <w:rPr>
                <w:b w:val="0"/>
                <w:color w:val="000000"/>
                <w:sz w:val="18"/>
                <w:szCs w:val="18"/>
                <w:rtl w:val="0"/>
              </w:rPr>
              <w:t xml:space="preserve">69</w:t>
            </w:r>
          </w:p>
        </w:tc>
        <w:tc>
          <w:tcPr>
            <w:vAlign w:val="center"/>
          </w:tcPr>
          <w:p w:rsidR="00000000" w:rsidDel="00000000" w:rsidP="00000000" w:rsidRDefault="00000000" w:rsidRPr="00000000" w14:paraId="000013B0">
            <w:pPr>
              <w:rPr>
                <w:b w:val="1"/>
                <w:color w:val="000000"/>
                <w:sz w:val="18"/>
                <w:szCs w:val="18"/>
              </w:rPr>
            </w:pPr>
            <w:r w:rsidDel="00000000" w:rsidR="00000000" w:rsidRPr="00000000">
              <w:rPr>
                <w:b w:val="1"/>
                <w:color w:val="000000"/>
                <w:sz w:val="18"/>
                <w:szCs w:val="18"/>
                <w:rtl w:val="0"/>
              </w:rPr>
              <w:t xml:space="preserve">UK</w:t>
            </w:r>
          </w:p>
        </w:tc>
        <w:tc>
          <w:tcPr>
            <w:vAlign w:val="center"/>
          </w:tcPr>
          <w:p w:rsidR="00000000" w:rsidDel="00000000" w:rsidP="00000000" w:rsidRDefault="00000000" w:rsidRPr="00000000" w14:paraId="000013B1">
            <w:pPr>
              <w:rPr>
                <w:color w:val="000000"/>
                <w:sz w:val="18"/>
                <w:szCs w:val="18"/>
              </w:rPr>
            </w:pPr>
            <w:r w:rsidDel="00000000" w:rsidR="00000000" w:rsidRPr="00000000">
              <w:rPr>
                <w:color w:val="000000"/>
                <w:sz w:val="18"/>
                <w:szCs w:val="18"/>
                <w:rtl w:val="0"/>
              </w:rPr>
              <w:t xml:space="preserve">Seddon J.</w:t>
              <w:br w:type="textWrapping"/>
              <w:t xml:space="preserve">Friedrich C.</w:t>
              <w:br w:type="textWrapping"/>
              <w:t xml:space="preserve">Wadd S.</w:t>
              <w:br w:type="textWrapping"/>
              <w:t xml:space="preserve">Dicks D.</w:t>
              <w:br w:type="textWrapping"/>
              <w:t xml:space="preserve">Scott S.</w:t>
              <w:br w:type="textWrapping"/>
              <w:t xml:space="preserve">Robinson A.</w:t>
              <w:br w:type="textWrapping"/>
              <w:t xml:space="preserve">Walker C.</w:t>
            </w:r>
          </w:p>
        </w:tc>
        <w:tc>
          <w:tcPr>
            <w:vAlign w:val="center"/>
          </w:tcPr>
          <w:p w:rsidR="00000000" w:rsidDel="00000000" w:rsidP="00000000" w:rsidRDefault="00000000" w:rsidRPr="00000000" w14:paraId="000013B2">
            <w:pPr>
              <w:jc w:val="center"/>
              <w:rPr>
                <w:color w:val="000000"/>
                <w:sz w:val="18"/>
                <w:szCs w:val="18"/>
              </w:rPr>
            </w:pPr>
            <w:r w:rsidDel="00000000" w:rsidR="00000000" w:rsidRPr="00000000">
              <w:rPr>
                <w:color w:val="000000"/>
                <w:sz w:val="18"/>
                <w:szCs w:val="18"/>
                <w:rtl w:val="0"/>
              </w:rPr>
              <w:t xml:space="preserve">2024</w:t>
            </w:r>
          </w:p>
        </w:tc>
        <w:tc>
          <w:tcPr>
            <w:vAlign w:val="center"/>
          </w:tcPr>
          <w:p w:rsidR="00000000" w:rsidDel="00000000" w:rsidP="00000000" w:rsidRDefault="00000000" w:rsidRPr="00000000" w14:paraId="000013B3">
            <w:pPr>
              <w:jc w:val="center"/>
              <w:rPr>
                <w:color w:val="000000"/>
                <w:sz w:val="18"/>
                <w:szCs w:val="18"/>
              </w:rPr>
            </w:pPr>
            <w:r w:rsidDel="00000000" w:rsidR="00000000" w:rsidRPr="00000000">
              <w:rPr>
                <w:color w:val="000000"/>
                <w:sz w:val="18"/>
                <w:szCs w:val="18"/>
                <w:rtl w:val="0"/>
              </w:rPr>
              <w:t xml:space="preserve">Improving patient experience for people prescribed medicines with a risk of dependence or withdrawal: co-designed solutions using experience based co-design.</w:t>
            </w:r>
          </w:p>
        </w:tc>
        <w:tc>
          <w:tcPr>
            <w:vAlign w:val="center"/>
          </w:tcPr>
          <w:p w:rsidR="00000000" w:rsidDel="00000000" w:rsidP="00000000" w:rsidRDefault="00000000" w:rsidRPr="00000000" w14:paraId="000013B4">
            <w:pPr>
              <w:jc w:val="center"/>
              <w:rPr>
                <w:sz w:val="18"/>
                <w:szCs w:val="18"/>
              </w:rPr>
            </w:pPr>
            <w:r w:rsidDel="00000000" w:rsidR="00000000" w:rsidRPr="00000000">
              <w:rPr>
                <w:sz w:val="18"/>
                <w:szCs w:val="18"/>
                <w:rtl w:val="0"/>
              </w:rPr>
              <w:t xml:space="preserve">interviews</w:t>
            </w:r>
          </w:p>
        </w:tc>
        <w:tc>
          <w:tcPr>
            <w:vAlign w:val="center"/>
          </w:tcPr>
          <w:p w:rsidR="00000000" w:rsidDel="00000000" w:rsidP="00000000" w:rsidRDefault="00000000" w:rsidRPr="00000000" w14:paraId="000013B5">
            <w:pPr>
              <w:jc w:val="center"/>
              <w:rPr>
                <w:sz w:val="18"/>
                <w:szCs w:val="18"/>
              </w:rPr>
            </w:pPr>
            <w:r w:rsidDel="00000000" w:rsidR="00000000" w:rsidRPr="00000000">
              <w:rPr>
                <w:sz w:val="18"/>
                <w:szCs w:val="18"/>
                <w:rtl w:val="0"/>
              </w:rPr>
              <w:t xml:space="preserve">35</w:t>
              <w:br w:type="textWrapping"/>
              <w:br w:type="textWrapping"/>
              <w:t xml:space="preserve">20 patients</w:t>
              <w:br w:type="textWrapping"/>
              <w:t xml:space="preserve">15 healthcare professionals (9 GP, 5 pharmacists, 1 nurse)</w:t>
            </w:r>
          </w:p>
        </w:tc>
        <w:tc>
          <w:tcPr>
            <w:vAlign w:val="center"/>
          </w:tcPr>
          <w:p w:rsidR="00000000" w:rsidDel="00000000" w:rsidP="00000000" w:rsidRDefault="00000000" w:rsidRPr="00000000" w14:paraId="000013B6">
            <w:pPr>
              <w:rPr>
                <w:sz w:val="18"/>
                <w:szCs w:val="18"/>
              </w:rPr>
            </w:pPr>
            <w:r w:rsidDel="00000000" w:rsidR="00000000" w:rsidRPr="00000000">
              <w:rPr>
                <w:sz w:val="18"/>
                <w:szCs w:val="18"/>
                <w:rtl w:val="0"/>
              </w:rPr>
              <w:t xml:space="preserve">Patients report a lack of information sharing when initially prescribed (p.3)</w:t>
              <w:br w:type="textWrapping"/>
              <w:t xml:space="preserve">Some report limited information but no in depth discussion about duration of prescription/dosage (p.3)</w:t>
              <w:br w:type="textWrapping"/>
              <w:t xml:space="preserve">HCPs recognise the importance of this and felt their information sharing was adequate (p.3)</w:t>
              <w:br w:type="textWrapping"/>
              <w:t xml:space="preserve">Time limitations identified as a barrier to information sharing (p.3)</w:t>
              <w:br w:type="textWrapping"/>
              <w:t xml:space="preserve">Collaboration between HCP and patient is important and a valued aspect of care (p.4)</w:t>
              <w:br w:type="textWrapping"/>
              <w:t xml:space="preserve">Trust, rapport, feeling listened to, agency all important (p.4)</w:t>
              <w:br w:type="textWrapping"/>
              <w:t xml:space="preserve">Patients report a lack of continuity in care, preventing shared decision making and collaboration (p.4)</w:t>
              <w:br w:type="textWrapping"/>
              <w:t xml:space="preserve">barriers: booking an appointment, seeing a different HCP, long waiting times (p.4)</w:t>
              <w:br w:type="textWrapping"/>
              <w:t xml:space="preserve">HCPs feel continuity of care is important to manage safe medication use (particularly with polypharmacy), monitoring of illness and impact of treatment (p.4)</w:t>
              <w:br w:type="textWrapping"/>
              <w:t xml:space="preserve">Practice based pharmacists identified as someone who can support deprescribing allowing GPs more time for patient care (p.4)</w:t>
              <w:br w:type="textWrapping"/>
              <w:t xml:space="preserve">Patients report medications being used due to lack of alternatives, the only treatment option with little/no information on alterantives (p.4)</w:t>
              <w:br w:type="textWrapping"/>
              <w:t xml:space="preserve">HCPs report difficulty in secondary service referral e.g. pain clinics (p.4)</w:t>
              <w:br w:type="textWrapping"/>
              <w:t xml:space="preserve">self-help/sleep hygiene were perceived as useful but not universal (p.4)</w:t>
              <w:br w:type="textWrapping"/>
              <w:t xml:space="preserve">suggestions for improvement: signposting to user friendly information, more information provided to patients, extended appointments for deprescribing, deprescribing clinics, continuity of care (p.5)</w:t>
            </w:r>
          </w:p>
        </w:tc>
        <w:tc>
          <w:tcPr>
            <w:vAlign w:val="center"/>
          </w:tcPr>
          <w:p w:rsidR="00000000" w:rsidDel="00000000" w:rsidP="00000000" w:rsidRDefault="00000000" w:rsidRPr="00000000" w14:paraId="000013B7">
            <w:pPr>
              <w:rPr>
                <w:sz w:val="18"/>
                <w:szCs w:val="18"/>
              </w:rPr>
            </w:pPr>
            <w:r w:rsidDel="00000000" w:rsidR="00000000" w:rsidRPr="00000000">
              <w:rPr>
                <w:sz w:val="18"/>
                <w:szCs w:val="18"/>
                <w:rtl w:val="0"/>
              </w:rPr>
              <w:t xml:space="preserve">only white British participants</w:t>
            </w:r>
          </w:p>
        </w:tc>
      </w:tr>
    </w:tbl>
    <w:p w:rsidR="00000000" w:rsidDel="00000000" w:rsidP="00000000" w:rsidRDefault="00000000" w:rsidRPr="00000000" w14:paraId="000013B8">
      <w:pPr>
        <w:rPr/>
        <w:sectPr>
          <w:type w:val="nextPage"/>
          <w:pgSz w:h="11906" w:w="16838" w:orient="landscape"/>
          <w:pgMar w:bottom="1440" w:top="1440" w:left="1440" w:right="1440" w:header="708" w:footer="708"/>
          <w:titlePg w:val="1"/>
        </w:sectPr>
      </w:pPr>
      <w:bookmarkStart w:colFirst="0" w:colLast="0" w:name="_heading=h.2eclud0" w:id="149"/>
      <w:bookmarkEnd w:id="149"/>
      <w:r w:rsidDel="00000000" w:rsidR="00000000" w:rsidRPr="00000000">
        <w:rPr>
          <w:rtl w:val="0"/>
        </w:rPr>
      </w:r>
    </w:p>
    <w:p w:rsidR="00000000" w:rsidDel="00000000" w:rsidP="00000000" w:rsidRDefault="00000000" w:rsidRPr="00000000" w14:paraId="000013B9">
      <w:pPr>
        <w:rPr/>
      </w:pPr>
      <w:bookmarkStart w:colFirst="0" w:colLast="0" w:name="_heading=h.thw4kt" w:id="150"/>
      <w:bookmarkEnd w:id="150"/>
      <w:r w:rsidDel="00000000" w:rsidR="00000000" w:rsidRPr="00000000">
        <w:rPr/>
        <w:drawing>
          <wp:anchor allowOverlap="1" behindDoc="0" distB="0" distT="0" distL="114300" distR="114300" hidden="0" layoutInCell="1" locked="0" relativeHeight="0" simplePos="0">
            <wp:simplePos x="0" y="0"/>
            <wp:positionH relativeFrom="margin">
              <wp:posOffset>0</wp:posOffset>
            </wp:positionH>
            <wp:positionV relativeFrom="margin">
              <wp:posOffset>736690</wp:posOffset>
            </wp:positionV>
            <wp:extent cx="5715000" cy="7954645"/>
            <wp:effectExtent b="0" l="0" r="0" t="0"/>
            <wp:wrapSquare wrapText="bothSides" distB="0" distT="0" distL="114300" distR="114300"/>
            <wp:docPr descr="A poster of pills and tablets&#10;&#10;Description automatically generated with medium confidence" id="2142794195" name="image2.png"/>
            <a:graphic>
              <a:graphicData uri="http://schemas.openxmlformats.org/drawingml/2006/picture">
                <pic:pic>
                  <pic:nvPicPr>
                    <pic:cNvPr descr="A poster of pills and tablets&#10;&#10;Description automatically generated with medium confidence" id="0" name="image2.png"/>
                    <pic:cNvPicPr preferRelativeResize="0"/>
                  </pic:nvPicPr>
                  <pic:blipFill>
                    <a:blip r:embed="rId139"/>
                    <a:srcRect b="0" l="0" r="0" t="0"/>
                    <a:stretch>
                      <a:fillRect/>
                    </a:stretch>
                  </pic:blipFill>
                  <pic:spPr>
                    <a:xfrm>
                      <a:off x="0" y="0"/>
                      <a:ext cx="5715000" cy="7954645"/>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724525" cy="466725"/>
                <wp:effectExtent b="0" l="0" r="0" t="0"/>
                <wp:wrapSquare wrapText="bothSides" distB="0" distT="0" distL="114300" distR="114300"/>
                <wp:docPr id="2142794181" name=""/>
                <a:graphic>
                  <a:graphicData uri="http://schemas.microsoft.com/office/word/2010/wordprocessingShape">
                    <wps:wsp>
                      <wps:cNvSpPr/>
                      <wps:cNvPr id="2" name="Shape 2"/>
                      <wps:spPr>
                        <a:xfrm>
                          <a:off x="2488500" y="3551400"/>
                          <a:ext cx="5715000" cy="457200"/>
                        </a:xfrm>
                        <a:prstGeom prst="rect">
                          <a:avLst/>
                        </a:prstGeom>
                        <a:solidFill>
                          <a:srgbClr val="FFFFFF"/>
                        </a:solidFill>
                        <a:ln>
                          <a:noFill/>
                        </a:ln>
                      </wps:spPr>
                      <wps:txbx>
                        <w:txbxContent>
                          <w:p w:rsidR="00000000" w:rsidDel="00000000" w:rsidP="00000000" w:rsidRDefault="00000000" w:rsidRPr="00000000">
                            <w:pPr>
                              <w:spacing w:after="80" w:before="160" w:line="240"/>
                              <w:ind w:left="0" w:right="0" w:firstLine="0"/>
                              <w:jc w:val="left"/>
                              <w:textDirection w:val="btLr"/>
                            </w:pPr>
                            <w:r w:rsidDel="00000000" w:rsidR="00000000" w:rsidRPr="00000000">
                              <w:rPr>
                                <w:rFonts w:ascii="Play" w:cs="Play" w:eastAsia="Play" w:hAnsi="Play"/>
                                <w:b w:val="0"/>
                                <w:i w:val="0"/>
                                <w:smallCaps w:val="0"/>
                                <w:strike w:val="0"/>
                                <w:color w:val="0f4761"/>
                                <w:sz w:val="32"/>
                                <w:vertAlign w:val="baseline"/>
                              </w:rPr>
                              <w:t xml:space="preserve">Appendix  - Research Poster</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724525" cy="466725"/>
                <wp:effectExtent b="0" l="0" r="0" t="0"/>
                <wp:wrapSquare wrapText="bothSides" distB="0" distT="0" distL="114300" distR="114300"/>
                <wp:docPr id="2142794181" name="image3.png"/>
                <a:graphic>
                  <a:graphicData uri="http://schemas.openxmlformats.org/drawingml/2006/picture">
                    <pic:pic>
                      <pic:nvPicPr>
                        <pic:cNvPr id="0" name="image3.png"/>
                        <pic:cNvPicPr preferRelativeResize="0"/>
                      </pic:nvPicPr>
                      <pic:blipFill>
                        <a:blip r:embed="rId8"/>
                        <a:srcRect/>
                        <a:stretch>
                          <a:fillRect/>
                        </a:stretch>
                      </pic:blipFill>
                      <pic:spPr>
                        <a:xfrm>
                          <a:off x="0" y="0"/>
                          <a:ext cx="5724525" cy="466725"/>
                        </a:xfrm>
                        <a:prstGeom prst="rect"/>
                        <a:ln/>
                      </pic:spPr>
                    </pic:pic>
                  </a:graphicData>
                </a:graphic>
              </wp:anchor>
            </w:drawing>
          </mc:Fallback>
        </mc:AlternateContent>
      </w:r>
    </w:p>
    <w:p w:rsidR="00000000" w:rsidDel="00000000" w:rsidP="00000000" w:rsidRDefault="00000000" w:rsidRPr="00000000" w14:paraId="000013BA">
      <w:pPr>
        <w:pStyle w:val="Heading2"/>
        <w:spacing w:line="480" w:lineRule="auto"/>
        <w:rPr/>
      </w:pPr>
      <w:bookmarkStart w:colFirst="0" w:colLast="0" w:name="_heading=h.3dhjn8m" w:id="151"/>
      <w:bookmarkEnd w:id="151"/>
      <w:r w:rsidDel="00000000" w:rsidR="00000000" w:rsidRPr="00000000">
        <w:rPr>
          <w:rtl w:val="0"/>
        </w:rPr>
        <w:t xml:space="preserve">Appendix 3 - Participant Information Sheet</w:t>
      </w:r>
    </w:p>
    <w:p w:rsidR="00000000" w:rsidDel="00000000" w:rsidP="00000000" w:rsidRDefault="00000000" w:rsidRPr="00000000" w14:paraId="000013BB">
      <w:pPr>
        <w:rPr/>
      </w:pPr>
      <w:r w:rsidDel="00000000" w:rsidR="00000000" w:rsidRPr="00000000">
        <w:rPr/>
        <w:drawing>
          <wp:inline distB="0" distT="0" distL="0" distR="0">
            <wp:extent cx="5754593" cy="8147182"/>
            <wp:effectExtent b="0" l="0" r="0" t="0"/>
            <wp:docPr descr="A screenshot of a computer&#10;&#10;Description automatically generated" id="2142794196" name="image20.png"/>
            <a:graphic>
              <a:graphicData uri="http://schemas.openxmlformats.org/drawingml/2006/picture">
                <pic:pic>
                  <pic:nvPicPr>
                    <pic:cNvPr descr="A screenshot of a computer&#10;&#10;Description automatically generated" id="0" name="image20.png"/>
                    <pic:cNvPicPr preferRelativeResize="0"/>
                  </pic:nvPicPr>
                  <pic:blipFill>
                    <a:blip r:embed="rId140"/>
                    <a:srcRect b="34593" l="18824" r="55723" t="7749"/>
                    <a:stretch>
                      <a:fillRect/>
                    </a:stretch>
                  </pic:blipFill>
                  <pic:spPr>
                    <a:xfrm>
                      <a:off x="0" y="0"/>
                      <a:ext cx="5754593" cy="8147182"/>
                    </a:xfrm>
                    <a:prstGeom prst="rect"/>
                    <a:ln/>
                  </pic:spPr>
                </pic:pic>
              </a:graphicData>
            </a:graphic>
          </wp:inline>
        </w:drawing>
      </w:r>
      <w:r w:rsidDel="00000000" w:rsidR="00000000" w:rsidRPr="00000000">
        <w:rPr>
          <w:rtl w:val="0"/>
        </w:rPr>
      </w:r>
    </w:p>
    <w:p w:rsidR="00000000" w:rsidDel="00000000" w:rsidP="00000000" w:rsidRDefault="00000000" w:rsidRPr="00000000" w14:paraId="000013BC">
      <w:pPr>
        <w:rPr/>
      </w:pPr>
      <w:r w:rsidDel="00000000" w:rsidR="00000000" w:rsidRPr="00000000">
        <w:rPr/>
        <w:drawing>
          <wp:inline distB="0" distT="0" distL="0" distR="0">
            <wp:extent cx="5842323" cy="8215844"/>
            <wp:effectExtent b="0" l="0" r="0" t="0"/>
            <wp:docPr descr="A screenshot of a computer&#10;&#10;Description automatically generated" id="2142794198" name="image19.png"/>
            <a:graphic>
              <a:graphicData uri="http://schemas.openxmlformats.org/drawingml/2006/picture">
                <pic:pic>
                  <pic:nvPicPr>
                    <pic:cNvPr descr="A screenshot of a computer&#10;&#10;Description automatically generated" id="0" name="image19.png"/>
                    <pic:cNvPicPr preferRelativeResize="0"/>
                  </pic:nvPicPr>
                  <pic:blipFill>
                    <a:blip r:embed="rId141"/>
                    <a:srcRect b="21384" l="18824" r="55544" t="20942"/>
                    <a:stretch>
                      <a:fillRect/>
                    </a:stretch>
                  </pic:blipFill>
                  <pic:spPr>
                    <a:xfrm>
                      <a:off x="0" y="0"/>
                      <a:ext cx="5842323" cy="8215844"/>
                    </a:xfrm>
                    <a:prstGeom prst="rect"/>
                    <a:ln/>
                  </pic:spPr>
                </pic:pic>
              </a:graphicData>
            </a:graphic>
          </wp:inline>
        </w:drawing>
      </w:r>
      <w:r w:rsidDel="00000000" w:rsidR="00000000" w:rsidRPr="00000000">
        <w:rPr/>
        <w:drawing>
          <wp:inline distB="0" distT="0" distL="0" distR="0">
            <wp:extent cx="5736670" cy="8021531"/>
            <wp:effectExtent b="0" l="0" r="0" t="0"/>
            <wp:docPr descr="A screenshot of a computer&#10;&#10;Description automatically generated" id="2142794197" name="image23.png"/>
            <a:graphic>
              <a:graphicData uri="http://schemas.openxmlformats.org/drawingml/2006/picture">
                <pic:pic>
                  <pic:nvPicPr>
                    <pic:cNvPr descr="A screenshot of a computer&#10;&#10;Description automatically generated" id="0" name="image23.png"/>
                    <pic:cNvPicPr preferRelativeResize="0"/>
                  </pic:nvPicPr>
                  <pic:blipFill>
                    <a:blip r:embed="rId142"/>
                    <a:srcRect b="30582" l="18651" r="55706" t="12048"/>
                    <a:stretch>
                      <a:fillRect/>
                    </a:stretch>
                  </pic:blipFill>
                  <pic:spPr>
                    <a:xfrm>
                      <a:off x="0" y="0"/>
                      <a:ext cx="5736670" cy="8021531"/>
                    </a:xfrm>
                    <a:prstGeom prst="rect"/>
                    <a:ln/>
                  </pic:spPr>
                </pic:pic>
              </a:graphicData>
            </a:graphic>
          </wp:inline>
        </w:drawing>
      </w:r>
      <w:r w:rsidDel="00000000" w:rsidR="00000000" w:rsidRPr="00000000">
        <w:rPr/>
        <w:drawing>
          <wp:inline distB="0" distT="0" distL="0" distR="0">
            <wp:extent cx="5844068" cy="8236698"/>
            <wp:effectExtent b="0" l="0" r="0" t="0"/>
            <wp:docPr descr="A screenshot of a computer&#10;&#10;Description automatically generated" id="2142794200" name="image22.png"/>
            <a:graphic>
              <a:graphicData uri="http://schemas.openxmlformats.org/drawingml/2006/picture">
                <pic:pic>
                  <pic:nvPicPr>
                    <pic:cNvPr descr="A screenshot of a computer&#10;&#10;Description automatically generated" id="0" name="image22.png"/>
                    <pic:cNvPicPr preferRelativeResize="0"/>
                  </pic:nvPicPr>
                  <pic:blipFill>
                    <a:blip r:embed="rId143"/>
                    <a:srcRect b="25383" l="19004" r="55544" t="17218"/>
                    <a:stretch>
                      <a:fillRect/>
                    </a:stretch>
                  </pic:blipFill>
                  <pic:spPr>
                    <a:xfrm>
                      <a:off x="0" y="0"/>
                      <a:ext cx="5844068" cy="8236698"/>
                    </a:xfrm>
                    <a:prstGeom prst="rect"/>
                    <a:ln/>
                  </pic:spPr>
                </pic:pic>
              </a:graphicData>
            </a:graphic>
          </wp:inline>
        </w:drawing>
      </w:r>
      <w:r w:rsidDel="00000000" w:rsidR="00000000" w:rsidRPr="00000000">
        <w:rPr>
          <w:rtl w:val="0"/>
        </w:rPr>
      </w:r>
    </w:p>
    <w:p w:rsidR="00000000" w:rsidDel="00000000" w:rsidP="00000000" w:rsidRDefault="00000000" w:rsidRPr="00000000" w14:paraId="000013BD">
      <w:pPr>
        <w:rPr/>
      </w:pPr>
      <w:r w:rsidDel="00000000" w:rsidR="00000000" w:rsidRPr="00000000">
        <w:rPr/>
        <w:drawing>
          <wp:inline distB="0" distT="0" distL="0" distR="0">
            <wp:extent cx="5738249" cy="8140905"/>
            <wp:effectExtent b="0" l="0" r="0" t="0"/>
            <wp:docPr descr="A screenshot of a computer&#10;&#10;Description automatically generated" id="2142794199" name="image24.png"/>
            <a:graphic>
              <a:graphicData uri="http://schemas.openxmlformats.org/drawingml/2006/picture">
                <pic:pic>
                  <pic:nvPicPr>
                    <pic:cNvPr descr="A screenshot of a computer&#10;&#10;Description automatically generated" id="0" name="image24.png"/>
                    <pic:cNvPicPr preferRelativeResize="0"/>
                  </pic:nvPicPr>
                  <pic:blipFill>
                    <a:blip r:embed="rId144"/>
                    <a:srcRect b="13049" l="18821" r="55642" t="28981"/>
                    <a:stretch>
                      <a:fillRect/>
                    </a:stretch>
                  </pic:blipFill>
                  <pic:spPr>
                    <a:xfrm>
                      <a:off x="0" y="0"/>
                      <a:ext cx="5738249" cy="8140905"/>
                    </a:xfrm>
                    <a:prstGeom prst="rect"/>
                    <a:ln/>
                  </pic:spPr>
                </pic:pic>
              </a:graphicData>
            </a:graphic>
          </wp:inline>
        </w:drawing>
      </w:r>
      <w:r w:rsidDel="00000000" w:rsidR="00000000" w:rsidRPr="00000000">
        <w:rPr>
          <w:rtl w:val="0"/>
        </w:rPr>
      </w:r>
    </w:p>
    <w:p w:rsidR="00000000" w:rsidDel="00000000" w:rsidP="00000000" w:rsidRDefault="00000000" w:rsidRPr="00000000" w14:paraId="000013BE">
      <w:pPr>
        <w:pStyle w:val="Heading2"/>
        <w:jc w:val="both"/>
        <w:rPr/>
      </w:pPr>
      <w:bookmarkStart w:colFirst="0" w:colLast="0" w:name="_heading=h.1smtxgf" w:id="152"/>
      <w:bookmarkEnd w:id="152"/>
      <w:r w:rsidDel="00000000" w:rsidR="00000000" w:rsidRPr="00000000">
        <w:rPr>
          <w:rtl w:val="0"/>
        </w:rPr>
        <w:t xml:space="preserve">Appendix 4 – Ethical Approval from the Health Research Authority</w:t>
      </w:r>
    </w:p>
    <w:p w:rsidR="00000000" w:rsidDel="00000000" w:rsidP="00000000" w:rsidRDefault="00000000" w:rsidRPr="00000000" w14:paraId="000013BF">
      <w:pPr>
        <w:rPr/>
      </w:pPr>
      <w:r w:rsidDel="00000000" w:rsidR="00000000" w:rsidRPr="00000000">
        <w:rPr>
          <w:rFonts w:ascii="Times" w:cs="Times" w:eastAsia="Times" w:hAnsi="Times"/>
        </w:rPr>
        <w:drawing>
          <wp:inline distB="0" distT="0" distL="0" distR="0">
            <wp:extent cx="5720287" cy="8107046"/>
            <wp:effectExtent b="0" l="0" r="0" t="0"/>
            <wp:docPr descr="A screenshot of a computer&#10;&#10;Description automatically generated with medium confidence" id="2142794202" name="image18.png"/>
            <a:graphic>
              <a:graphicData uri="http://schemas.openxmlformats.org/drawingml/2006/picture">
                <pic:pic>
                  <pic:nvPicPr>
                    <pic:cNvPr descr="A screenshot of a computer&#10;&#10;Description automatically generated with medium confidence" id="0" name="image18.png"/>
                    <pic:cNvPicPr preferRelativeResize="0"/>
                  </pic:nvPicPr>
                  <pic:blipFill>
                    <a:blip r:embed="rId145"/>
                    <a:srcRect b="22917" l="37057" r="32582" t="8235"/>
                    <a:stretch>
                      <a:fillRect/>
                    </a:stretch>
                  </pic:blipFill>
                  <pic:spPr>
                    <a:xfrm>
                      <a:off x="0" y="0"/>
                      <a:ext cx="5720287" cy="8107046"/>
                    </a:xfrm>
                    <a:prstGeom prst="rect"/>
                    <a:ln/>
                  </pic:spPr>
                </pic:pic>
              </a:graphicData>
            </a:graphic>
          </wp:inline>
        </w:drawing>
      </w:r>
      <w:r w:rsidDel="00000000" w:rsidR="00000000" w:rsidRPr="00000000">
        <w:rPr>
          <w:rtl w:val="0"/>
        </w:rPr>
      </w:r>
    </w:p>
    <w:p w:rsidR="00000000" w:rsidDel="00000000" w:rsidP="00000000" w:rsidRDefault="00000000" w:rsidRPr="00000000" w14:paraId="000013C0">
      <w:pPr>
        <w:rPr/>
      </w:pPr>
      <w:r w:rsidDel="00000000" w:rsidR="00000000" w:rsidRPr="00000000">
        <w:rPr>
          <w:rtl w:val="0"/>
        </w:rPr>
      </w:r>
    </w:p>
    <w:p w:rsidR="00000000" w:rsidDel="00000000" w:rsidP="00000000" w:rsidRDefault="00000000" w:rsidRPr="00000000" w14:paraId="000013C1">
      <w:pPr>
        <w:pStyle w:val="Heading2"/>
        <w:spacing w:line="480" w:lineRule="auto"/>
        <w:rPr/>
      </w:pPr>
      <w:bookmarkStart w:colFirst="0" w:colLast="0" w:name="_heading=h.4cmhg48" w:id="153"/>
      <w:bookmarkEnd w:id="153"/>
      <w:r w:rsidDel="00000000" w:rsidR="00000000" w:rsidRPr="00000000">
        <w:rPr>
          <w:rtl w:val="0"/>
        </w:rPr>
        <w:t xml:space="preserve">Appendix 5 - Participant Consent Form</w:t>
      </w:r>
    </w:p>
    <w:p w:rsidR="00000000" w:rsidDel="00000000" w:rsidP="00000000" w:rsidRDefault="00000000" w:rsidRPr="00000000" w14:paraId="000013C2">
      <w:pPr>
        <w:rPr/>
        <w:sectPr>
          <w:type w:val="nextPage"/>
          <w:pgSz w:h="16838" w:w="11906" w:orient="portrait"/>
          <w:pgMar w:bottom="1440" w:top="1440" w:left="1440" w:right="1440" w:header="708" w:footer="708"/>
          <w:titlePg w:val="1"/>
        </w:sectPr>
      </w:pPr>
      <w:r w:rsidDel="00000000" w:rsidR="00000000" w:rsidRPr="00000000">
        <w:rPr/>
        <w:drawing>
          <wp:inline distB="0" distT="0" distL="0" distR="0">
            <wp:extent cx="5735134" cy="8081065"/>
            <wp:effectExtent b="0" l="0" r="0" t="0"/>
            <wp:docPr descr="A screenshot of a computer&#10;&#10;Description automatically generated with medium confidence" id="2142794201" name="image16.png"/>
            <a:graphic>
              <a:graphicData uri="http://schemas.openxmlformats.org/drawingml/2006/picture">
                <pic:pic>
                  <pic:nvPicPr>
                    <pic:cNvPr descr="A screenshot of a computer&#10;&#10;Description automatically generated with medium confidence" id="0" name="image16.png"/>
                    <pic:cNvPicPr preferRelativeResize="0"/>
                  </pic:nvPicPr>
                  <pic:blipFill>
                    <a:blip r:embed="rId146"/>
                    <a:srcRect b="21904" l="17991" r="55030" t="17269"/>
                    <a:stretch>
                      <a:fillRect/>
                    </a:stretch>
                  </pic:blipFill>
                  <pic:spPr>
                    <a:xfrm>
                      <a:off x="0" y="0"/>
                      <a:ext cx="5735134" cy="8081065"/>
                    </a:xfrm>
                    <a:prstGeom prst="rect"/>
                    <a:ln/>
                  </pic:spPr>
                </pic:pic>
              </a:graphicData>
            </a:graphic>
          </wp:inline>
        </w:drawing>
      </w:r>
      <w:r w:rsidDel="00000000" w:rsidR="00000000" w:rsidRPr="00000000">
        <w:rPr>
          <w:rtl w:val="0"/>
        </w:rPr>
      </w:r>
    </w:p>
    <w:p w:rsidR="00000000" w:rsidDel="00000000" w:rsidP="00000000" w:rsidRDefault="00000000" w:rsidRPr="00000000" w14:paraId="000013C3">
      <w:pPr>
        <w:pStyle w:val="Heading2"/>
        <w:rPr/>
      </w:pPr>
      <w:bookmarkStart w:colFirst="0" w:colLast="0" w:name="_heading=h.2rrrqc1" w:id="154"/>
      <w:bookmarkEnd w:id="154"/>
      <w:r w:rsidDel="00000000" w:rsidR="00000000" w:rsidRPr="00000000">
        <w:rPr>
          <w:rtl w:val="0"/>
        </w:rPr>
        <w:t xml:space="preserve">Appendix 6 - Interview Schedule</w:t>
      </w:r>
    </w:p>
    <w:p w:rsidR="00000000" w:rsidDel="00000000" w:rsidP="00000000" w:rsidRDefault="00000000" w:rsidRPr="00000000" w14:paraId="000013C4">
      <w:pPr>
        <w:rPr/>
      </w:pPr>
      <w:r w:rsidDel="00000000" w:rsidR="00000000" w:rsidRPr="00000000">
        <w:rPr>
          <w:rtl w:val="0"/>
        </w:rPr>
      </w:r>
    </w:p>
    <w:p w:rsidR="00000000" w:rsidDel="00000000" w:rsidP="00000000" w:rsidRDefault="00000000" w:rsidRPr="00000000" w14:paraId="000013C5">
      <w:pPr>
        <w:jc w:val="center"/>
        <w:rPr>
          <w:rFonts w:ascii="Aptos" w:cs="Aptos" w:eastAsia="Aptos" w:hAnsi="Aptos"/>
          <w:b w:val="1"/>
          <w:sz w:val="32"/>
          <w:szCs w:val="32"/>
        </w:rPr>
      </w:pPr>
      <w:r w:rsidDel="00000000" w:rsidR="00000000" w:rsidRPr="00000000">
        <w:rPr>
          <w:rFonts w:ascii="Aptos" w:cs="Aptos" w:eastAsia="Aptos" w:hAnsi="Aptos"/>
          <w:b w:val="1"/>
          <w:sz w:val="32"/>
          <w:szCs w:val="32"/>
          <w:rtl w:val="0"/>
        </w:rPr>
        <w:t xml:space="preserve">PATIENT AND PRACTITIONERS EXPERIENCE OF WITHDRAWAL AND TREATMENT FROM PRESCRIPTION MEDICINES</w:t>
      </w:r>
    </w:p>
    <w:p w:rsidR="00000000" w:rsidDel="00000000" w:rsidP="00000000" w:rsidRDefault="00000000" w:rsidRPr="00000000" w14:paraId="000013C6">
      <w:pPr>
        <w:jc w:val="center"/>
        <w:rPr>
          <w:rFonts w:ascii="Aptos" w:cs="Aptos" w:eastAsia="Aptos" w:hAnsi="Aptos"/>
          <w:b w:val="1"/>
          <w:sz w:val="32"/>
          <w:szCs w:val="32"/>
        </w:rPr>
      </w:pPr>
      <w:r w:rsidDel="00000000" w:rsidR="00000000" w:rsidRPr="00000000">
        <w:rPr>
          <w:rtl w:val="0"/>
        </w:rPr>
      </w:r>
    </w:p>
    <w:p w:rsidR="00000000" w:rsidDel="00000000" w:rsidP="00000000" w:rsidRDefault="00000000" w:rsidRPr="00000000" w14:paraId="000013C7">
      <w:pPr>
        <w:jc w:val="center"/>
        <w:rPr>
          <w:rFonts w:ascii="Aptos" w:cs="Aptos" w:eastAsia="Aptos" w:hAnsi="Aptos"/>
          <w:sz w:val="28"/>
          <w:szCs w:val="28"/>
        </w:rPr>
      </w:pPr>
      <w:r w:rsidDel="00000000" w:rsidR="00000000" w:rsidRPr="00000000">
        <w:rPr>
          <w:rFonts w:ascii="Aptos" w:cs="Aptos" w:eastAsia="Aptos" w:hAnsi="Aptos"/>
          <w:sz w:val="28"/>
          <w:szCs w:val="28"/>
          <w:rtl w:val="0"/>
        </w:rPr>
        <w:t xml:space="preserve">SEMI-STRUCTURED INTERVIEW SCHEDULE FOR PATIENTS</w:t>
      </w:r>
    </w:p>
    <w:p w:rsidR="00000000" w:rsidDel="00000000" w:rsidP="00000000" w:rsidRDefault="00000000" w:rsidRPr="00000000" w14:paraId="000013C8">
      <w:pPr>
        <w:rPr>
          <w:rFonts w:ascii="Aptos" w:cs="Aptos" w:eastAsia="Aptos" w:hAnsi="Aptos"/>
        </w:rPr>
      </w:pPr>
      <w:r w:rsidDel="00000000" w:rsidR="00000000" w:rsidRPr="00000000">
        <w:rPr>
          <w:rtl w:val="0"/>
        </w:rPr>
      </w:r>
    </w:p>
    <w:p w:rsidR="00000000" w:rsidDel="00000000" w:rsidP="00000000" w:rsidRDefault="00000000" w:rsidRPr="00000000" w14:paraId="000013C9">
      <w:pPr>
        <w:jc w:val="both"/>
        <w:rPr>
          <w:rFonts w:ascii="Aptos" w:cs="Aptos" w:eastAsia="Aptos" w:hAnsi="Aptos"/>
        </w:rPr>
      </w:pPr>
      <w:r w:rsidDel="00000000" w:rsidR="00000000" w:rsidRPr="00000000">
        <w:rPr>
          <w:rFonts w:ascii="Aptos" w:cs="Aptos" w:eastAsia="Aptos" w:hAnsi="Aptos"/>
          <w:rtl w:val="0"/>
        </w:rPr>
        <w:t xml:space="preserve">Note: This topic guide is indicative and will be subject to incremental change from emergent finding/information during the research. This is a guide to the topics to be covered during the interviews, it is not a script, and therefore the order of topics will be flexible. </w:t>
      </w:r>
    </w:p>
    <w:p w:rsidR="00000000" w:rsidDel="00000000" w:rsidP="00000000" w:rsidRDefault="00000000" w:rsidRPr="00000000" w14:paraId="000013CA">
      <w:pPr>
        <w:jc w:val="both"/>
        <w:rPr>
          <w:rFonts w:ascii="Aptos" w:cs="Aptos" w:eastAsia="Aptos" w:hAnsi="Aptos"/>
        </w:rPr>
      </w:pPr>
      <w:r w:rsidDel="00000000" w:rsidR="00000000" w:rsidRPr="00000000">
        <w:rPr>
          <w:rtl w:val="0"/>
        </w:rPr>
      </w:r>
    </w:p>
    <w:p w:rsidR="00000000" w:rsidDel="00000000" w:rsidP="00000000" w:rsidRDefault="00000000" w:rsidRPr="00000000" w14:paraId="000013CB">
      <w:pPr>
        <w:jc w:val="both"/>
        <w:rPr>
          <w:rFonts w:ascii="Aptos" w:cs="Aptos" w:eastAsia="Aptos" w:hAnsi="Aptos"/>
        </w:rPr>
      </w:pPr>
      <w:r w:rsidDel="00000000" w:rsidR="00000000" w:rsidRPr="00000000">
        <w:rPr>
          <w:rFonts w:ascii="Aptos" w:cs="Aptos" w:eastAsia="Aptos" w:hAnsi="Aptos"/>
          <w:rtl w:val="0"/>
        </w:rPr>
        <w:t xml:space="preserve">Introduction:</w:t>
      </w:r>
    </w:p>
    <w:p w:rsidR="00000000" w:rsidDel="00000000" w:rsidP="00000000" w:rsidRDefault="00000000" w:rsidRPr="00000000" w14:paraId="000013CC">
      <w:pPr>
        <w:jc w:val="both"/>
        <w:rPr>
          <w:rFonts w:ascii="Aptos" w:cs="Aptos" w:eastAsia="Aptos" w:hAnsi="Aptos"/>
        </w:rPr>
      </w:pPr>
      <w:r w:rsidDel="00000000" w:rsidR="00000000" w:rsidRPr="00000000">
        <w:rPr>
          <w:rtl w:val="0"/>
        </w:rPr>
      </w:r>
    </w:p>
    <w:p w:rsidR="00000000" w:rsidDel="00000000" w:rsidP="00000000" w:rsidRDefault="00000000" w:rsidRPr="00000000" w14:paraId="000013CD">
      <w:pPr>
        <w:numPr>
          <w:ilvl w:val="0"/>
          <w:numId w:val="13"/>
        </w:numPr>
        <w:pBdr>
          <w:top w:space="0" w:sz="0" w:val="nil"/>
          <w:left w:space="0" w:sz="0" w:val="nil"/>
          <w:bottom w:space="0" w:sz="0" w:val="nil"/>
          <w:right w:space="0" w:sz="0" w:val="nil"/>
          <w:between w:space="0" w:sz="0" w:val="nil"/>
        </w:pBdr>
        <w:ind w:left="72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Thank you for participating</w:t>
      </w:r>
    </w:p>
    <w:p w:rsidR="00000000" w:rsidDel="00000000" w:rsidP="00000000" w:rsidRDefault="00000000" w:rsidRPr="00000000" w14:paraId="000013CE">
      <w:pPr>
        <w:numPr>
          <w:ilvl w:val="0"/>
          <w:numId w:val="13"/>
        </w:numPr>
        <w:pBdr>
          <w:top w:space="0" w:sz="0" w:val="nil"/>
          <w:left w:space="0" w:sz="0" w:val="nil"/>
          <w:bottom w:space="0" w:sz="0" w:val="nil"/>
          <w:right w:space="0" w:sz="0" w:val="nil"/>
          <w:between w:space="0" w:sz="0" w:val="nil"/>
        </w:pBdr>
        <w:ind w:left="72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Introduction of self</w:t>
      </w:r>
    </w:p>
    <w:p w:rsidR="00000000" w:rsidDel="00000000" w:rsidP="00000000" w:rsidRDefault="00000000" w:rsidRPr="00000000" w14:paraId="000013CF">
      <w:pPr>
        <w:numPr>
          <w:ilvl w:val="0"/>
          <w:numId w:val="13"/>
        </w:numPr>
        <w:pBdr>
          <w:top w:space="0" w:sz="0" w:val="nil"/>
          <w:left w:space="0" w:sz="0" w:val="nil"/>
          <w:bottom w:space="0" w:sz="0" w:val="nil"/>
          <w:right w:space="0" w:sz="0" w:val="nil"/>
          <w:between w:space="0" w:sz="0" w:val="nil"/>
        </w:pBdr>
        <w:ind w:left="72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Introduction of study</w:t>
      </w:r>
    </w:p>
    <w:p w:rsidR="00000000" w:rsidDel="00000000" w:rsidP="00000000" w:rsidRDefault="00000000" w:rsidRPr="00000000" w14:paraId="000013D0">
      <w:pPr>
        <w:numPr>
          <w:ilvl w:val="0"/>
          <w:numId w:val="13"/>
        </w:numPr>
        <w:pBdr>
          <w:top w:space="0" w:sz="0" w:val="nil"/>
          <w:left w:space="0" w:sz="0" w:val="nil"/>
          <w:bottom w:space="0" w:sz="0" w:val="nil"/>
          <w:right w:space="0" w:sz="0" w:val="nil"/>
          <w:between w:space="0" w:sz="0" w:val="nil"/>
        </w:pBdr>
        <w:ind w:left="72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Key Point</w:t>
      </w:r>
    </w:p>
    <w:p w:rsidR="00000000" w:rsidDel="00000000" w:rsidP="00000000" w:rsidRDefault="00000000" w:rsidRPr="00000000" w14:paraId="000013D1">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Length of interview: 45 mins</w:t>
      </w:r>
    </w:p>
    <w:p w:rsidR="00000000" w:rsidDel="00000000" w:rsidP="00000000" w:rsidRDefault="00000000" w:rsidRPr="00000000" w14:paraId="000013D2">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Interview will be a discussion which will cover key topics</w:t>
      </w:r>
    </w:p>
    <w:p w:rsidR="00000000" w:rsidDel="00000000" w:rsidP="00000000" w:rsidRDefault="00000000" w:rsidRPr="00000000" w14:paraId="000013D3">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There are no right or wrong answers, we are exploring perspectives</w:t>
      </w:r>
    </w:p>
    <w:p w:rsidR="00000000" w:rsidDel="00000000" w:rsidP="00000000" w:rsidRDefault="00000000" w:rsidRPr="00000000" w14:paraId="000013D4">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Participation is voluntary- explore rights around withdrawing from participation</w:t>
      </w:r>
    </w:p>
    <w:p w:rsidR="00000000" w:rsidDel="00000000" w:rsidP="00000000" w:rsidRDefault="00000000" w:rsidRPr="00000000" w14:paraId="000013D5">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Explain confidentiality and anonymity </w:t>
      </w:r>
    </w:p>
    <w:p w:rsidR="00000000" w:rsidDel="00000000" w:rsidP="00000000" w:rsidRDefault="00000000" w:rsidRPr="00000000" w14:paraId="000013D6">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How findings will be reported</w:t>
      </w:r>
    </w:p>
    <w:p w:rsidR="00000000" w:rsidDel="00000000" w:rsidP="00000000" w:rsidRDefault="00000000" w:rsidRPr="00000000" w14:paraId="000013D7">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Interview will be audio recorded</w:t>
      </w:r>
    </w:p>
    <w:p w:rsidR="00000000" w:rsidDel="00000000" w:rsidP="00000000" w:rsidRDefault="00000000" w:rsidRPr="00000000" w14:paraId="000013D8">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Questions?</w:t>
      </w:r>
    </w:p>
    <w:p w:rsidR="00000000" w:rsidDel="00000000" w:rsidP="00000000" w:rsidRDefault="00000000" w:rsidRPr="00000000" w14:paraId="000013D9">
      <w:pPr>
        <w:numPr>
          <w:ilvl w:val="1"/>
          <w:numId w:val="11"/>
        </w:numPr>
        <w:pBdr>
          <w:top w:space="0" w:sz="0" w:val="nil"/>
          <w:left w:space="0" w:sz="0" w:val="nil"/>
          <w:bottom w:space="0" w:sz="0" w:val="nil"/>
          <w:right w:space="0" w:sz="0" w:val="nil"/>
          <w:between w:space="0" w:sz="0" w:val="nil"/>
        </w:pBdr>
        <w:ind w:left="1440" w:hanging="360"/>
        <w:jc w:val="both"/>
        <w:rPr>
          <w:rFonts w:ascii="Aptos" w:cs="Aptos" w:eastAsia="Aptos" w:hAnsi="Aptos"/>
          <w:color w:val="000000"/>
        </w:rPr>
      </w:pPr>
      <w:r w:rsidDel="00000000" w:rsidR="00000000" w:rsidRPr="00000000">
        <w:rPr>
          <w:rFonts w:ascii="Aptos" w:cs="Aptos" w:eastAsia="Aptos" w:hAnsi="Aptos"/>
          <w:color w:val="000000"/>
          <w:rtl w:val="0"/>
        </w:rPr>
        <w:t xml:space="preserve">Happy to proceed?</w:t>
      </w:r>
    </w:p>
    <w:p w:rsidR="00000000" w:rsidDel="00000000" w:rsidP="00000000" w:rsidRDefault="00000000" w:rsidRPr="00000000" w14:paraId="000013DA">
      <w:pPr>
        <w:jc w:val="both"/>
        <w:rPr>
          <w:rFonts w:ascii="Aptos" w:cs="Aptos" w:eastAsia="Aptos" w:hAnsi="Aptos"/>
        </w:rPr>
      </w:pPr>
      <w:r w:rsidDel="00000000" w:rsidR="00000000" w:rsidRPr="00000000">
        <w:rPr>
          <w:rtl w:val="0"/>
        </w:rPr>
      </w:r>
    </w:p>
    <w:p w:rsidR="00000000" w:rsidDel="00000000" w:rsidP="00000000" w:rsidRDefault="00000000" w:rsidRPr="00000000" w14:paraId="000013DB">
      <w:pPr>
        <w:jc w:val="both"/>
        <w:rPr>
          <w:rFonts w:ascii="Aptos" w:cs="Aptos" w:eastAsia="Aptos" w:hAnsi="Aptos"/>
        </w:rPr>
      </w:pPr>
      <w:r w:rsidDel="00000000" w:rsidR="00000000" w:rsidRPr="00000000">
        <w:rPr>
          <w:rFonts w:ascii="Aptos" w:cs="Aptos" w:eastAsia="Aptos" w:hAnsi="Aptos"/>
          <w:rtl w:val="0"/>
        </w:rPr>
        <w:t xml:space="preserve">[RECORD]</w:t>
      </w:r>
    </w:p>
    <w:p w:rsidR="00000000" w:rsidDel="00000000" w:rsidP="00000000" w:rsidRDefault="00000000" w:rsidRPr="00000000" w14:paraId="000013DC">
      <w:pPr>
        <w:rPr>
          <w:rFonts w:ascii="Aptos" w:cs="Aptos" w:eastAsia="Aptos" w:hAnsi="Aptos"/>
        </w:rPr>
      </w:pPr>
      <w:r w:rsidDel="00000000" w:rsidR="00000000" w:rsidRPr="00000000">
        <w:rPr>
          <w:rtl w:val="0"/>
        </w:rPr>
      </w:r>
    </w:p>
    <w:tbl>
      <w:tblPr>
        <w:tblStyle w:val="Table13"/>
        <w:tblW w:w="13948.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48"/>
        <w:gridCol w:w="3244"/>
        <w:gridCol w:w="8656"/>
        <w:tblGridChange w:id="0">
          <w:tblGrid>
            <w:gridCol w:w="2048"/>
            <w:gridCol w:w="3244"/>
            <w:gridCol w:w="8656"/>
          </w:tblGrid>
        </w:tblGridChange>
      </w:tblGrid>
      <w:tr>
        <w:trPr>
          <w:cantSplit w:val="0"/>
          <w:tblHeader w:val="0"/>
        </w:trPr>
        <w:tc>
          <w:tcPr>
            <w:vAlign w:val="center"/>
          </w:tcPr>
          <w:p w:rsidR="00000000" w:rsidDel="00000000" w:rsidP="00000000" w:rsidRDefault="00000000" w:rsidRPr="00000000" w14:paraId="000013DD">
            <w:pPr>
              <w:rPr>
                <w:rFonts w:ascii="Aptos" w:cs="Aptos" w:eastAsia="Aptos" w:hAnsi="Aptos"/>
                <w:b w:val="1"/>
                <w:sz w:val="23"/>
                <w:szCs w:val="23"/>
              </w:rPr>
            </w:pPr>
            <w:r w:rsidDel="00000000" w:rsidR="00000000" w:rsidRPr="00000000">
              <w:rPr>
                <w:rFonts w:ascii="Aptos" w:cs="Aptos" w:eastAsia="Aptos" w:hAnsi="Aptos"/>
                <w:b w:val="1"/>
                <w:sz w:val="23"/>
                <w:szCs w:val="23"/>
                <w:rtl w:val="0"/>
              </w:rPr>
              <w:t xml:space="preserve">Areas of Exploration</w:t>
            </w:r>
          </w:p>
        </w:tc>
        <w:tc>
          <w:tcPr>
            <w:vAlign w:val="center"/>
          </w:tcPr>
          <w:p w:rsidR="00000000" w:rsidDel="00000000" w:rsidP="00000000" w:rsidRDefault="00000000" w:rsidRPr="00000000" w14:paraId="000013DE">
            <w:pPr>
              <w:rPr>
                <w:rFonts w:ascii="Aptos" w:cs="Aptos" w:eastAsia="Aptos" w:hAnsi="Aptos"/>
                <w:b w:val="1"/>
                <w:sz w:val="23"/>
                <w:szCs w:val="23"/>
              </w:rPr>
            </w:pPr>
            <w:r w:rsidDel="00000000" w:rsidR="00000000" w:rsidRPr="00000000">
              <w:rPr>
                <w:rFonts w:ascii="Aptos" w:cs="Aptos" w:eastAsia="Aptos" w:hAnsi="Aptos"/>
                <w:b w:val="1"/>
                <w:sz w:val="23"/>
                <w:szCs w:val="23"/>
                <w:rtl w:val="0"/>
              </w:rPr>
              <w:t xml:space="preserve">Questions</w:t>
            </w:r>
          </w:p>
        </w:tc>
        <w:tc>
          <w:tcPr>
            <w:vAlign w:val="center"/>
          </w:tcPr>
          <w:p w:rsidR="00000000" w:rsidDel="00000000" w:rsidP="00000000" w:rsidRDefault="00000000" w:rsidRPr="00000000" w14:paraId="000013DF">
            <w:pPr>
              <w:rPr>
                <w:rFonts w:ascii="Aptos" w:cs="Aptos" w:eastAsia="Aptos" w:hAnsi="Aptos"/>
                <w:b w:val="1"/>
                <w:sz w:val="23"/>
                <w:szCs w:val="23"/>
              </w:rPr>
            </w:pPr>
            <w:r w:rsidDel="00000000" w:rsidR="00000000" w:rsidRPr="00000000">
              <w:rPr>
                <w:rFonts w:ascii="Aptos" w:cs="Aptos" w:eastAsia="Aptos" w:hAnsi="Aptos"/>
                <w:b w:val="1"/>
                <w:sz w:val="23"/>
                <w:szCs w:val="23"/>
                <w:rtl w:val="0"/>
              </w:rPr>
              <w:t xml:space="preserve">Prompts</w:t>
            </w:r>
          </w:p>
        </w:tc>
      </w:tr>
      <w:tr>
        <w:trPr>
          <w:cantSplit w:val="0"/>
          <w:trHeight w:val="134" w:hRule="atLeast"/>
          <w:tblHeader w:val="0"/>
        </w:trPr>
        <w:tc>
          <w:tcPr>
            <w:vMerge w:val="restart"/>
            <w:shd w:fill="a5a5a5" w:val="clear"/>
            <w:vAlign w:val="center"/>
          </w:tcPr>
          <w:p w:rsidR="00000000" w:rsidDel="00000000" w:rsidP="00000000" w:rsidRDefault="00000000" w:rsidRPr="00000000" w14:paraId="000013E0">
            <w:pPr>
              <w:rPr>
                <w:rFonts w:ascii="Aptos" w:cs="Aptos" w:eastAsia="Aptos" w:hAnsi="Aptos"/>
                <w:sz w:val="23"/>
                <w:szCs w:val="23"/>
              </w:rPr>
            </w:pPr>
            <w:r w:rsidDel="00000000" w:rsidR="00000000" w:rsidRPr="00000000">
              <w:rPr>
                <w:rtl w:val="0"/>
              </w:rPr>
            </w:r>
          </w:p>
        </w:tc>
        <w:tc>
          <w:tcPr>
            <w:vMerge w:val="restart"/>
            <w:shd w:fill="a5a5a5" w:val="clear"/>
            <w:vAlign w:val="center"/>
          </w:tcPr>
          <w:p w:rsidR="00000000" w:rsidDel="00000000" w:rsidP="00000000" w:rsidRDefault="00000000" w:rsidRPr="00000000" w14:paraId="000013E1">
            <w:pPr>
              <w:rPr>
                <w:rFonts w:ascii="Aptos" w:cs="Aptos" w:eastAsia="Aptos" w:hAnsi="Aptos"/>
                <w:sz w:val="23"/>
                <w:szCs w:val="23"/>
              </w:rPr>
            </w:pPr>
            <w:r w:rsidDel="00000000" w:rsidR="00000000" w:rsidRPr="00000000">
              <w:rPr>
                <w:rFonts w:ascii="Aptos" w:cs="Aptos" w:eastAsia="Aptos" w:hAnsi="Aptos"/>
                <w:sz w:val="23"/>
                <w:szCs w:val="23"/>
                <w:rtl w:val="0"/>
              </w:rPr>
              <w:t xml:space="preserve">Background </w:t>
            </w:r>
          </w:p>
        </w:tc>
        <w:tc>
          <w:tcPr>
            <w:shd w:fill="a5a5a5" w:val="clear"/>
            <w:vAlign w:val="center"/>
          </w:tcPr>
          <w:p w:rsidR="00000000" w:rsidDel="00000000" w:rsidP="00000000" w:rsidRDefault="00000000" w:rsidRPr="00000000" w14:paraId="000013E2">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Your name</w:t>
            </w:r>
          </w:p>
        </w:tc>
      </w:tr>
      <w:tr>
        <w:trPr>
          <w:cantSplit w:val="0"/>
          <w:trHeight w:val="106" w:hRule="atLeast"/>
          <w:tblHeader w:val="0"/>
        </w:trPr>
        <w:tc>
          <w:tcPr>
            <w:vMerge w:val="continue"/>
            <w:shd w:fill="a5a5a5" w:val="clear"/>
            <w:vAlign w:val="center"/>
          </w:tcPr>
          <w:p w:rsidR="00000000" w:rsidDel="00000000" w:rsidP="00000000" w:rsidRDefault="00000000" w:rsidRPr="00000000" w14:paraId="00001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a5a5a5" w:val="clear"/>
            <w:vAlign w:val="center"/>
          </w:tcPr>
          <w:p w:rsidR="00000000" w:rsidDel="00000000" w:rsidP="00000000" w:rsidRDefault="00000000" w:rsidRPr="00000000" w14:paraId="00001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a5a5a5" w:val="clear"/>
            <w:vAlign w:val="center"/>
          </w:tcPr>
          <w:p w:rsidR="00000000" w:rsidDel="00000000" w:rsidP="00000000" w:rsidRDefault="00000000" w:rsidRPr="00000000" w14:paraId="000013E5">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Where you live</w:t>
            </w:r>
          </w:p>
        </w:tc>
      </w:tr>
      <w:tr>
        <w:trPr>
          <w:cantSplit w:val="0"/>
          <w:trHeight w:val="106" w:hRule="atLeast"/>
          <w:tblHeader w:val="0"/>
        </w:trPr>
        <w:tc>
          <w:tcPr>
            <w:vMerge w:val="continue"/>
            <w:shd w:fill="a5a5a5" w:val="clear"/>
            <w:vAlign w:val="center"/>
          </w:tcPr>
          <w:p w:rsidR="00000000" w:rsidDel="00000000" w:rsidP="00000000" w:rsidRDefault="00000000" w:rsidRPr="00000000" w14:paraId="00001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a5a5a5" w:val="clear"/>
            <w:vAlign w:val="center"/>
          </w:tcPr>
          <w:p w:rsidR="00000000" w:rsidDel="00000000" w:rsidP="00000000" w:rsidRDefault="00000000" w:rsidRPr="00000000" w14:paraId="00001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a5a5a5" w:val="clear"/>
            <w:vAlign w:val="center"/>
          </w:tcPr>
          <w:p w:rsidR="00000000" w:rsidDel="00000000" w:rsidP="00000000" w:rsidRDefault="00000000" w:rsidRPr="00000000" w14:paraId="000013E8">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What you do</w:t>
            </w:r>
          </w:p>
        </w:tc>
      </w:tr>
      <w:tr>
        <w:trPr>
          <w:cantSplit w:val="0"/>
          <w:trHeight w:val="134" w:hRule="atLeast"/>
          <w:tblHeader w:val="0"/>
        </w:trPr>
        <w:tc>
          <w:tcPr>
            <w:vMerge w:val="restart"/>
            <w:shd w:fill="cfe5ed" w:val="clear"/>
            <w:vAlign w:val="center"/>
          </w:tcPr>
          <w:p w:rsidR="00000000" w:rsidDel="00000000" w:rsidP="00000000" w:rsidRDefault="00000000" w:rsidRPr="00000000" w14:paraId="000013E9">
            <w:pPr>
              <w:rPr>
                <w:rFonts w:ascii="Aptos" w:cs="Aptos" w:eastAsia="Aptos" w:hAnsi="Aptos"/>
                <w:sz w:val="23"/>
                <w:szCs w:val="23"/>
              </w:rPr>
            </w:pPr>
            <w:r w:rsidDel="00000000" w:rsidR="00000000" w:rsidRPr="00000000">
              <w:rPr>
                <w:rFonts w:ascii="Aptos" w:cs="Aptos" w:eastAsia="Aptos" w:hAnsi="Aptos"/>
                <w:sz w:val="23"/>
                <w:szCs w:val="23"/>
                <w:rtl w:val="0"/>
              </w:rPr>
              <w:t xml:space="preserve">Your medication </w:t>
            </w:r>
          </w:p>
        </w:tc>
        <w:tc>
          <w:tcPr>
            <w:vMerge w:val="restart"/>
            <w:shd w:fill="cfe5ed" w:val="clear"/>
            <w:vAlign w:val="center"/>
          </w:tcPr>
          <w:p w:rsidR="00000000" w:rsidDel="00000000" w:rsidP="00000000" w:rsidRDefault="00000000" w:rsidRPr="00000000" w14:paraId="000013EA">
            <w:pPr>
              <w:rPr>
                <w:rFonts w:ascii="Aptos" w:cs="Aptos" w:eastAsia="Aptos" w:hAnsi="Aptos"/>
                <w:sz w:val="23"/>
                <w:szCs w:val="23"/>
              </w:rPr>
            </w:pPr>
            <w:r w:rsidDel="00000000" w:rsidR="00000000" w:rsidRPr="00000000">
              <w:rPr>
                <w:rFonts w:ascii="Aptos" w:cs="Aptos" w:eastAsia="Aptos" w:hAnsi="Aptos"/>
                <w:sz w:val="23"/>
                <w:szCs w:val="23"/>
                <w:rtl w:val="0"/>
              </w:rPr>
              <w:t xml:space="preserve">A background about your medication use</w:t>
            </w:r>
          </w:p>
        </w:tc>
        <w:tc>
          <w:tcPr>
            <w:shd w:fill="cfe5ed" w:val="clear"/>
            <w:vAlign w:val="center"/>
          </w:tcPr>
          <w:p w:rsidR="00000000" w:rsidDel="00000000" w:rsidP="00000000" w:rsidRDefault="00000000" w:rsidRPr="00000000" w14:paraId="000013EB">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What medication do you take?</w:t>
            </w:r>
          </w:p>
        </w:tc>
      </w:tr>
      <w:tr>
        <w:trPr>
          <w:cantSplit w:val="0"/>
          <w:trHeight w:val="364" w:hRule="atLeast"/>
          <w:tblHeader w:val="0"/>
        </w:trPr>
        <w:tc>
          <w:tcPr>
            <w:vMerge w:val="continue"/>
            <w:shd w:fill="cfe5ed" w:val="clear"/>
            <w:vAlign w:val="center"/>
          </w:tcPr>
          <w:p w:rsidR="00000000" w:rsidDel="00000000" w:rsidP="00000000" w:rsidRDefault="00000000" w:rsidRPr="00000000" w14:paraId="00001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3EE">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long have you taken it for?</w:t>
            </w:r>
          </w:p>
        </w:tc>
      </w:tr>
      <w:tr>
        <w:trPr>
          <w:cantSplit w:val="0"/>
          <w:trHeight w:val="327" w:hRule="atLeast"/>
          <w:tblHeader w:val="0"/>
        </w:trPr>
        <w:tc>
          <w:tcPr>
            <w:vMerge w:val="continue"/>
            <w:shd w:fill="cfe5ed" w:val="clear"/>
            <w:vAlign w:val="center"/>
          </w:tcPr>
          <w:p w:rsidR="00000000" w:rsidDel="00000000" w:rsidP="00000000" w:rsidRDefault="00000000" w:rsidRPr="00000000" w14:paraId="00001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tcBorders>
              <w:bottom w:color="000000" w:space="0" w:sz="4" w:val="single"/>
            </w:tcBorders>
            <w:shd w:fill="cfe5ed" w:val="clear"/>
            <w:vAlign w:val="center"/>
          </w:tcPr>
          <w:p w:rsidR="00000000" w:rsidDel="00000000" w:rsidP="00000000" w:rsidRDefault="00000000" w:rsidRPr="00000000" w14:paraId="000013F0">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think your medication works well?</w:t>
            </w:r>
          </w:p>
        </w:tc>
        <w:tc>
          <w:tcPr>
            <w:tcBorders>
              <w:bottom w:color="000000" w:space="0" w:sz="4" w:val="single"/>
            </w:tcBorders>
            <w:shd w:fill="cfe5ed" w:val="clear"/>
            <w:vAlign w:val="center"/>
          </w:tcPr>
          <w:p w:rsidR="00000000" w:rsidDel="00000000" w:rsidP="00000000" w:rsidRDefault="00000000" w:rsidRPr="00000000" w14:paraId="000013F1">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Has there been any changes to it? (different doses/types/how these changes were bought about, how they discussed these changes)</w:t>
            </w:r>
          </w:p>
        </w:tc>
      </w:tr>
      <w:tr>
        <w:trPr>
          <w:cantSplit w:val="0"/>
          <w:tblHeader w:val="0"/>
        </w:trPr>
        <w:tc>
          <w:tcPr>
            <w:vMerge w:val="continue"/>
            <w:shd w:fill="cfe5ed" w:val="clear"/>
            <w:vAlign w:val="center"/>
          </w:tcPr>
          <w:p w:rsidR="00000000" w:rsidDel="00000000" w:rsidP="00000000" w:rsidRDefault="00000000" w:rsidRPr="00000000" w14:paraId="00001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3F3">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think your medication is safe?</w:t>
            </w:r>
          </w:p>
        </w:tc>
        <w:tc>
          <w:tcPr>
            <w:shd w:fill="cfe5ed" w:val="clear"/>
            <w:vAlign w:val="center"/>
          </w:tcPr>
          <w:p w:rsidR="00000000" w:rsidDel="00000000" w:rsidP="00000000" w:rsidRDefault="00000000" w:rsidRPr="00000000" w14:paraId="000013F4">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Are they aware of risks and side effects of their medication, including addiction potential?</w:t>
            </w:r>
          </w:p>
        </w:tc>
      </w:tr>
      <w:tr>
        <w:trPr>
          <w:cantSplit w:val="0"/>
          <w:tblHeader w:val="0"/>
        </w:trPr>
        <w:tc>
          <w:tcPr>
            <w:vMerge w:val="continue"/>
            <w:shd w:fill="cfe5ed" w:val="clear"/>
            <w:vAlign w:val="center"/>
          </w:tcPr>
          <w:p w:rsidR="00000000" w:rsidDel="00000000" w:rsidP="00000000" w:rsidRDefault="00000000" w:rsidRPr="00000000" w14:paraId="00001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3F6">
            <w:pPr>
              <w:rPr>
                <w:rFonts w:ascii="Aptos" w:cs="Aptos" w:eastAsia="Aptos" w:hAnsi="Aptos"/>
                <w:sz w:val="23"/>
                <w:szCs w:val="23"/>
              </w:rPr>
            </w:pPr>
            <w:r w:rsidDel="00000000" w:rsidR="00000000" w:rsidRPr="00000000">
              <w:rPr>
                <w:rFonts w:ascii="Aptos" w:cs="Aptos" w:eastAsia="Aptos" w:hAnsi="Aptos"/>
                <w:sz w:val="23"/>
                <w:szCs w:val="23"/>
                <w:rtl w:val="0"/>
              </w:rPr>
              <w:t xml:space="preserve">Were you happy to go onto medication?</w:t>
            </w:r>
          </w:p>
        </w:tc>
        <w:tc>
          <w:tcPr>
            <w:shd w:fill="cfe5ed" w:val="clear"/>
            <w:vAlign w:val="center"/>
          </w:tcPr>
          <w:p w:rsidR="00000000" w:rsidDel="00000000" w:rsidP="00000000" w:rsidRDefault="00000000" w:rsidRPr="00000000" w14:paraId="000013F7">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other options ever discussed?</w:t>
            </w:r>
          </w:p>
        </w:tc>
      </w:tr>
      <w:tr>
        <w:trPr>
          <w:cantSplit w:val="0"/>
          <w:tblHeader w:val="0"/>
        </w:trPr>
        <w:tc>
          <w:tcPr>
            <w:vMerge w:val="continue"/>
            <w:shd w:fill="cfe5ed" w:val="clear"/>
            <w:vAlign w:val="center"/>
          </w:tcPr>
          <w:p w:rsidR="00000000" w:rsidDel="00000000" w:rsidP="00000000" w:rsidRDefault="00000000" w:rsidRPr="00000000" w14:paraId="00001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3FA">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you got a say in this?</w:t>
            </w:r>
          </w:p>
        </w:tc>
      </w:tr>
      <w:tr>
        <w:trPr>
          <w:cantSplit w:val="0"/>
          <w:tblHeader w:val="0"/>
        </w:trPr>
        <w:tc>
          <w:tcPr>
            <w:vMerge w:val="continue"/>
            <w:shd w:fill="cfe5ed" w:val="clear"/>
            <w:vAlign w:val="center"/>
          </w:tcPr>
          <w:p w:rsidR="00000000" w:rsidDel="00000000" w:rsidP="00000000" w:rsidRDefault="00000000" w:rsidRPr="00000000" w14:paraId="00001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3FD">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medication reluctant or happy to use medication?</w:t>
            </w:r>
          </w:p>
        </w:tc>
      </w:tr>
      <w:tr>
        <w:trPr>
          <w:cantSplit w:val="0"/>
          <w:trHeight w:val="79" w:hRule="atLeast"/>
          <w:tblHeader w:val="0"/>
        </w:trPr>
        <w:tc>
          <w:tcPr>
            <w:vMerge w:val="continue"/>
            <w:shd w:fill="cfe5ed" w:val="clear"/>
            <w:vAlign w:val="center"/>
          </w:tcPr>
          <w:p w:rsidR="00000000" w:rsidDel="00000000" w:rsidP="00000000" w:rsidRDefault="00000000" w:rsidRPr="00000000" w14:paraId="00001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00">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like there was any pressure on your decision?</w:t>
            </w:r>
          </w:p>
        </w:tc>
      </w:tr>
      <w:tr>
        <w:trPr>
          <w:cantSplit w:val="0"/>
          <w:tblHeader w:val="0"/>
        </w:trPr>
        <w:tc>
          <w:tcPr>
            <w:vMerge w:val="continue"/>
            <w:shd w:fill="cfe5ed" w:val="clear"/>
            <w:vAlign w:val="center"/>
          </w:tcPr>
          <w:p w:rsidR="00000000" w:rsidDel="00000000" w:rsidP="00000000" w:rsidRDefault="00000000" w:rsidRPr="00000000" w14:paraId="00001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02">
            <w:pPr>
              <w:rPr>
                <w:rFonts w:ascii="Aptos" w:cs="Aptos" w:eastAsia="Aptos" w:hAnsi="Aptos"/>
                <w:sz w:val="23"/>
                <w:szCs w:val="23"/>
              </w:rPr>
            </w:pPr>
            <w:r w:rsidDel="00000000" w:rsidR="00000000" w:rsidRPr="00000000">
              <w:rPr>
                <w:rFonts w:ascii="Aptos" w:cs="Aptos" w:eastAsia="Aptos" w:hAnsi="Aptos"/>
                <w:sz w:val="23"/>
                <w:szCs w:val="23"/>
                <w:rtl w:val="0"/>
              </w:rPr>
              <w:t xml:space="preserve">Have you had a positive or negative experience with your medication?</w:t>
            </w:r>
          </w:p>
        </w:tc>
        <w:tc>
          <w:tcPr>
            <w:shd w:fill="cfe5ed" w:val="clear"/>
            <w:vAlign w:val="center"/>
          </w:tcPr>
          <w:p w:rsidR="00000000" w:rsidDel="00000000" w:rsidP="00000000" w:rsidRDefault="00000000" w:rsidRPr="00000000" w14:paraId="00001403">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it do its job? </w:t>
            </w:r>
          </w:p>
        </w:tc>
      </w:tr>
      <w:tr>
        <w:trPr>
          <w:cantSplit w:val="0"/>
          <w:trHeight w:val="106" w:hRule="atLeast"/>
          <w:tblHeader w:val="0"/>
        </w:trPr>
        <w:tc>
          <w:tcPr>
            <w:vMerge w:val="continue"/>
            <w:shd w:fill="cfe5ed" w:val="clear"/>
            <w:vAlign w:val="center"/>
          </w:tcPr>
          <w:p w:rsidR="00000000" w:rsidDel="00000000" w:rsidP="00000000" w:rsidRDefault="00000000" w:rsidRPr="00000000" w14:paraId="000014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06">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experience any side effects?</w:t>
            </w:r>
          </w:p>
        </w:tc>
      </w:tr>
      <w:tr>
        <w:trPr>
          <w:cantSplit w:val="0"/>
          <w:trHeight w:val="106" w:hRule="atLeast"/>
          <w:tblHeader w:val="0"/>
        </w:trPr>
        <w:tc>
          <w:tcPr>
            <w:vMerge w:val="continue"/>
            <w:shd w:fill="cfe5ed" w:val="clear"/>
            <w:vAlign w:val="center"/>
          </w:tcPr>
          <w:p w:rsidR="00000000" w:rsidDel="00000000" w:rsidP="00000000" w:rsidRDefault="00000000" w:rsidRPr="00000000" w14:paraId="00001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09">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there some side effects that you consider positive?</w:t>
            </w:r>
          </w:p>
        </w:tc>
      </w:tr>
      <w:tr>
        <w:trPr>
          <w:cantSplit w:val="0"/>
          <w:tblHeader w:val="0"/>
        </w:trPr>
        <w:tc>
          <w:tcPr>
            <w:vMerge w:val="restart"/>
            <w:shd w:fill="cfe5ed" w:val="clear"/>
            <w:vAlign w:val="center"/>
          </w:tcPr>
          <w:p w:rsidR="00000000" w:rsidDel="00000000" w:rsidP="00000000" w:rsidRDefault="00000000" w:rsidRPr="00000000" w14:paraId="0000140A">
            <w:pPr>
              <w:rPr>
                <w:rFonts w:ascii="Aptos" w:cs="Aptos" w:eastAsia="Aptos" w:hAnsi="Aptos"/>
                <w:sz w:val="23"/>
                <w:szCs w:val="23"/>
              </w:rPr>
            </w:pPr>
            <w:r w:rsidDel="00000000" w:rsidR="00000000" w:rsidRPr="00000000">
              <w:rPr>
                <w:rFonts w:ascii="Aptos" w:cs="Aptos" w:eastAsia="Aptos" w:hAnsi="Aptos"/>
                <w:sz w:val="23"/>
                <w:szCs w:val="23"/>
                <w:rtl w:val="0"/>
              </w:rPr>
              <w:t xml:space="preserve">Your care</w:t>
            </w:r>
          </w:p>
        </w:tc>
        <w:tc>
          <w:tcPr>
            <w:vMerge w:val="restart"/>
            <w:shd w:fill="cfe5ed" w:val="clear"/>
            <w:vAlign w:val="center"/>
          </w:tcPr>
          <w:p w:rsidR="00000000" w:rsidDel="00000000" w:rsidP="00000000" w:rsidRDefault="00000000" w:rsidRPr="00000000" w14:paraId="0000140B">
            <w:pPr>
              <w:rPr>
                <w:rFonts w:ascii="Aptos" w:cs="Aptos" w:eastAsia="Aptos" w:hAnsi="Aptos"/>
                <w:sz w:val="23"/>
                <w:szCs w:val="23"/>
              </w:rPr>
            </w:pPr>
            <w:r w:rsidDel="00000000" w:rsidR="00000000" w:rsidRPr="00000000">
              <w:rPr>
                <w:rFonts w:ascii="Aptos" w:cs="Aptos" w:eastAsia="Aptos" w:hAnsi="Aptos"/>
                <w:sz w:val="23"/>
                <w:szCs w:val="23"/>
                <w:rtl w:val="0"/>
              </w:rPr>
              <w:t xml:space="preserve">How were your appointments?</w:t>
            </w:r>
          </w:p>
        </w:tc>
        <w:tc>
          <w:tcPr>
            <w:shd w:fill="cfe5ed" w:val="clear"/>
            <w:vAlign w:val="center"/>
          </w:tcPr>
          <w:p w:rsidR="00000000" w:rsidDel="00000000" w:rsidP="00000000" w:rsidRDefault="00000000" w:rsidRPr="00000000" w14:paraId="0000140C">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the practitioner act sensitively to your needs?</w:t>
            </w:r>
          </w:p>
        </w:tc>
      </w:tr>
      <w:tr>
        <w:trPr>
          <w:cantSplit w:val="0"/>
          <w:tblHeader w:val="0"/>
        </w:trPr>
        <w:tc>
          <w:tcPr>
            <w:vMerge w:val="continue"/>
            <w:shd w:fill="cfe5ed" w:val="clear"/>
            <w:vAlign w:val="center"/>
          </w:tcPr>
          <w:p w:rsidR="00000000" w:rsidDel="00000000" w:rsidP="00000000" w:rsidRDefault="00000000" w:rsidRPr="00000000" w14:paraId="00001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0F">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friendly and respectful?</w:t>
            </w:r>
          </w:p>
        </w:tc>
      </w:tr>
      <w:tr>
        <w:trPr>
          <w:cantSplit w:val="0"/>
          <w:tblHeader w:val="0"/>
        </w:trPr>
        <w:tc>
          <w:tcPr>
            <w:vMerge w:val="continue"/>
            <w:shd w:fill="cfe5ed" w:val="clear"/>
            <w:vAlign w:val="center"/>
          </w:tcPr>
          <w:p w:rsidR="00000000" w:rsidDel="00000000" w:rsidP="00000000" w:rsidRDefault="00000000" w:rsidRPr="00000000" w14:paraId="00001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12">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concerned about questions and worries?</w:t>
            </w:r>
          </w:p>
        </w:tc>
      </w:tr>
      <w:tr>
        <w:trPr>
          <w:cantSplit w:val="0"/>
          <w:tblHeader w:val="0"/>
        </w:trPr>
        <w:tc>
          <w:tcPr>
            <w:vMerge w:val="continue"/>
            <w:shd w:fill="cfe5ed" w:val="clear"/>
            <w:vAlign w:val="center"/>
          </w:tcPr>
          <w:p w:rsidR="00000000" w:rsidDel="00000000" w:rsidP="00000000" w:rsidRDefault="00000000" w:rsidRPr="00000000" w14:paraId="00001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15">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listened to?</w:t>
            </w:r>
          </w:p>
        </w:tc>
      </w:tr>
      <w:tr>
        <w:trPr>
          <w:cantSplit w:val="0"/>
          <w:tblHeader w:val="0"/>
        </w:trPr>
        <w:tc>
          <w:tcPr>
            <w:vMerge w:val="continue"/>
            <w:shd w:fill="cfe5ed" w:val="clear"/>
            <w:vAlign w:val="center"/>
          </w:tcPr>
          <w:p w:rsidR="00000000" w:rsidDel="00000000" w:rsidP="00000000" w:rsidRDefault="00000000" w:rsidRPr="00000000" w14:paraId="000014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17">
            <w:pPr>
              <w:rPr>
                <w:rFonts w:ascii="Aptos" w:cs="Aptos" w:eastAsia="Aptos" w:hAnsi="Aptos"/>
                <w:sz w:val="23"/>
                <w:szCs w:val="23"/>
              </w:rPr>
            </w:pPr>
            <w:r w:rsidDel="00000000" w:rsidR="00000000" w:rsidRPr="00000000">
              <w:rPr>
                <w:rFonts w:ascii="Aptos" w:cs="Aptos" w:eastAsia="Aptos" w:hAnsi="Aptos"/>
                <w:sz w:val="23"/>
                <w:szCs w:val="23"/>
                <w:rtl w:val="0"/>
              </w:rPr>
              <w:t xml:space="preserve">Did you understand your practitioner?</w:t>
            </w:r>
          </w:p>
        </w:tc>
        <w:tc>
          <w:tcPr>
            <w:shd w:fill="cfe5ed" w:val="clear"/>
            <w:vAlign w:val="center"/>
          </w:tcPr>
          <w:p w:rsidR="00000000" w:rsidDel="00000000" w:rsidP="00000000" w:rsidRDefault="00000000" w:rsidRPr="00000000" w14:paraId="00001418">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the practitioner explain your medication to you, and any side effects?</w:t>
            </w:r>
          </w:p>
        </w:tc>
      </w:tr>
      <w:tr>
        <w:trPr>
          <w:cantSplit w:val="0"/>
          <w:tblHeader w:val="0"/>
        </w:trPr>
        <w:tc>
          <w:tcPr>
            <w:vMerge w:val="continue"/>
            <w:shd w:fill="cfe5ed" w:val="clear"/>
            <w:vAlign w:val="center"/>
          </w:tcPr>
          <w:p w:rsidR="00000000" w:rsidDel="00000000" w:rsidP="00000000" w:rsidRDefault="00000000" w:rsidRPr="00000000" w14:paraId="00001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1B">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the practitioner use language I could understand?</w:t>
            </w:r>
          </w:p>
        </w:tc>
      </w:tr>
      <w:tr>
        <w:trPr>
          <w:cantSplit w:val="0"/>
          <w:tblHeader w:val="0"/>
        </w:trPr>
        <w:tc>
          <w:tcPr>
            <w:vMerge w:val="continue"/>
            <w:shd w:fill="cfe5ed" w:val="clear"/>
            <w:vAlign w:val="center"/>
          </w:tcPr>
          <w:p w:rsidR="00000000" w:rsidDel="00000000" w:rsidP="00000000" w:rsidRDefault="00000000" w:rsidRPr="00000000" w14:paraId="000014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1D">
            <w:pPr>
              <w:rPr>
                <w:rFonts w:ascii="Aptos" w:cs="Aptos" w:eastAsia="Aptos" w:hAnsi="Aptos"/>
                <w:sz w:val="23"/>
                <w:szCs w:val="23"/>
              </w:rPr>
            </w:pPr>
            <w:r w:rsidDel="00000000" w:rsidR="00000000" w:rsidRPr="00000000">
              <w:rPr>
                <w:rFonts w:ascii="Aptos" w:cs="Aptos" w:eastAsia="Aptos" w:hAnsi="Aptos"/>
                <w:sz w:val="23"/>
                <w:szCs w:val="23"/>
                <w:rtl w:val="0"/>
              </w:rPr>
              <w:t xml:space="preserve">Was the appointment accessible?</w:t>
            </w:r>
          </w:p>
        </w:tc>
        <w:tc>
          <w:tcPr>
            <w:shd w:fill="cfe5ed" w:val="clear"/>
            <w:vAlign w:val="center"/>
          </w:tcPr>
          <w:p w:rsidR="00000000" w:rsidDel="00000000" w:rsidP="00000000" w:rsidRDefault="00000000" w:rsidRPr="00000000" w14:paraId="0000141E">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I physically able to access my appointment?</w:t>
            </w:r>
          </w:p>
        </w:tc>
      </w:tr>
      <w:tr>
        <w:trPr>
          <w:cantSplit w:val="0"/>
          <w:trHeight w:val="106" w:hRule="atLeast"/>
          <w:tblHeader w:val="0"/>
        </w:trPr>
        <w:tc>
          <w:tcPr>
            <w:vMerge w:val="continue"/>
            <w:shd w:fill="cfe5ed" w:val="clear"/>
            <w:vAlign w:val="center"/>
          </w:tcPr>
          <w:p w:rsidR="00000000" w:rsidDel="00000000" w:rsidP="00000000" w:rsidRDefault="00000000" w:rsidRPr="00000000" w14:paraId="000014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21">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sensitive to your individual needs in terms of gender/race/sexual identity/financial circumstances?</w:t>
            </w:r>
          </w:p>
        </w:tc>
      </w:tr>
      <w:tr>
        <w:trPr>
          <w:cantSplit w:val="0"/>
          <w:tblHeader w:val="0"/>
        </w:trPr>
        <w:tc>
          <w:tcPr>
            <w:vMerge w:val="continue"/>
            <w:shd w:fill="cfe5ed" w:val="clear"/>
            <w:vAlign w:val="center"/>
          </w:tcPr>
          <w:p w:rsidR="00000000" w:rsidDel="00000000" w:rsidP="00000000" w:rsidRDefault="00000000" w:rsidRPr="00000000" w14:paraId="000014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23">
            <w:pPr>
              <w:rPr>
                <w:rFonts w:ascii="Aptos" w:cs="Aptos" w:eastAsia="Aptos" w:hAnsi="Aptos"/>
                <w:sz w:val="23"/>
                <w:szCs w:val="23"/>
              </w:rPr>
            </w:pPr>
            <w:r w:rsidDel="00000000" w:rsidR="00000000" w:rsidRPr="00000000">
              <w:rPr>
                <w:rFonts w:ascii="Aptos" w:cs="Aptos" w:eastAsia="Aptos" w:hAnsi="Aptos"/>
                <w:sz w:val="23"/>
                <w:szCs w:val="23"/>
                <w:rtl w:val="0"/>
              </w:rPr>
              <w:t xml:space="preserve">Did/do you feel you were dependent on your medication? If so, how?</w:t>
            </w:r>
          </w:p>
        </w:tc>
        <w:tc>
          <w:tcPr>
            <w:shd w:fill="cfe5ed" w:val="clear"/>
            <w:vAlign w:val="center"/>
          </w:tcPr>
          <w:p w:rsidR="00000000" w:rsidDel="00000000" w:rsidP="00000000" w:rsidRDefault="00000000" w:rsidRPr="00000000" w14:paraId="00001424">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did you feel about this?</w:t>
            </w:r>
          </w:p>
        </w:tc>
      </w:tr>
      <w:tr>
        <w:trPr>
          <w:cantSplit w:val="0"/>
          <w:trHeight w:val="79" w:hRule="atLeast"/>
          <w:tblHeader w:val="0"/>
        </w:trPr>
        <w:tc>
          <w:tcPr>
            <w:vMerge w:val="continue"/>
            <w:shd w:fill="cfe5ed" w:val="clear"/>
            <w:vAlign w:val="center"/>
          </w:tcPr>
          <w:p w:rsidR="00000000" w:rsidDel="00000000" w:rsidP="00000000" w:rsidRDefault="00000000" w:rsidRPr="00000000" w14:paraId="000014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27">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you/have you tell/told your practitioner?</w:t>
            </w:r>
          </w:p>
        </w:tc>
      </w:tr>
      <w:tr>
        <w:trPr>
          <w:cantSplit w:val="0"/>
          <w:trHeight w:val="79" w:hRule="atLeast"/>
          <w:tblHeader w:val="0"/>
        </w:trPr>
        <w:tc>
          <w:tcPr>
            <w:vMerge w:val="continue"/>
            <w:shd w:fill="cfe5ed" w:val="clear"/>
            <w:vAlign w:val="center"/>
          </w:tcPr>
          <w:p w:rsidR="00000000" w:rsidDel="00000000" w:rsidP="00000000" w:rsidRDefault="00000000" w:rsidRPr="00000000" w14:paraId="000014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2A">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you told your practitioner: when and how did they react?</w:t>
            </w:r>
          </w:p>
        </w:tc>
      </w:tr>
      <w:tr>
        <w:trPr>
          <w:cantSplit w:val="0"/>
          <w:tblHeader w:val="0"/>
        </w:trPr>
        <w:tc>
          <w:tcPr>
            <w:vMerge w:val="continue"/>
            <w:shd w:fill="cfe5ed" w:val="clear"/>
            <w:vAlign w:val="center"/>
          </w:tcPr>
          <w:p w:rsidR="00000000" w:rsidDel="00000000" w:rsidP="00000000" w:rsidRDefault="00000000" w:rsidRPr="00000000" w14:paraId="00001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2D">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Have you told anybody else? (Partner, friend, colleague)</w:t>
            </w:r>
          </w:p>
        </w:tc>
      </w:tr>
      <w:tr>
        <w:trPr>
          <w:cantSplit w:val="0"/>
          <w:tblHeader w:val="0"/>
        </w:trPr>
        <w:tc>
          <w:tcPr>
            <w:vMerge w:val="continue"/>
            <w:shd w:fill="cfe5ed" w:val="clear"/>
            <w:vAlign w:val="center"/>
          </w:tcPr>
          <w:p w:rsidR="00000000" w:rsidDel="00000000" w:rsidP="00000000" w:rsidRDefault="00000000" w:rsidRPr="00000000" w14:paraId="00001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30">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try and hide your dependency? </w:t>
            </w:r>
          </w:p>
        </w:tc>
      </w:tr>
      <w:tr>
        <w:trPr>
          <w:cantSplit w:val="0"/>
          <w:tblHeader w:val="0"/>
        </w:trPr>
        <w:tc>
          <w:tcPr>
            <w:vMerge w:val="continue"/>
            <w:shd w:fill="cfe5ed" w:val="clear"/>
            <w:vAlign w:val="center"/>
          </w:tcPr>
          <w:p w:rsidR="00000000" w:rsidDel="00000000" w:rsidP="00000000" w:rsidRDefault="00000000" w:rsidRPr="00000000" w14:paraId="00001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32">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feel that you and your practitioner shared the decision making?</w:t>
            </w:r>
          </w:p>
        </w:tc>
        <w:tc>
          <w:tcPr>
            <w:shd w:fill="cfe5ed" w:val="clear"/>
            <w:vAlign w:val="center"/>
          </w:tcPr>
          <w:p w:rsidR="00000000" w:rsidDel="00000000" w:rsidP="00000000" w:rsidRDefault="00000000" w:rsidRPr="00000000" w14:paraId="00001433">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listened to in each appointment?</w:t>
            </w:r>
          </w:p>
        </w:tc>
      </w:tr>
      <w:tr>
        <w:trPr>
          <w:cantSplit w:val="0"/>
          <w:tblHeader w:val="0"/>
        </w:trPr>
        <w:tc>
          <w:tcPr>
            <w:vMerge w:val="continue"/>
            <w:shd w:fill="cfe5ed" w:val="clear"/>
            <w:vAlign w:val="center"/>
          </w:tcPr>
          <w:p w:rsidR="00000000" w:rsidDel="00000000" w:rsidP="00000000" w:rsidRDefault="00000000" w:rsidRPr="00000000" w14:paraId="00001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36">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Do you feel your decisions were respected, regardless of the practitioner’s opinion?</w:t>
            </w:r>
          </w:p>
        </w:tc>
      </w:tr>
      <w:tr>
        <w:trPr>
          <w:cantSplit w:val="0"/>
          <w:tblHeader w:val="0"/>
        </w:trPr>
        <w:tc>
          <w:tcPr>
            <w:vMerge w:val="continue"/>
            <w:shd w:fill="cfe5ed" w:val="clear"/>
            <w:vAlign w:val="center"/>
          </w:tcPr>
          <w:p w:rsidR="00000000" w:rsidDel="00000000" w:rsidP="00000000" w:rsidRDefault="00000000" w:rsidRPr="00000000" w14:paraId="00001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39">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happy with the outcome of your discussions?</w:t>
            </w:r>
          </w:p>
        </w:tc>
      </w:tr>
      <w:tr>
        <w:trPr>
          <w:cantSplit w:val="0"/>
          <w:tblHeader w:val="0"/>
        </w:trPr>
        <w:tc>
          <w:tcPr>
            <w:vMerge w:val="continue"/>
            <w:shd w:fill="cfe5ed" w:val="clear"/>
            <w:vAlign w:val="center"/>
          </w:tcPr>
          <w:p w:rsidR="00000000" w:rsidDel="00000000" w:rsidP="00000000" w:rsidRDefault="00000000" w:rsidRPr="00000000" w14:paraId="00001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cfe5ed" w:val="clear"/>
            <w:vAlign w:val="center"/>
          </w:tcPr>
          <w:p w:rsidR="00000000" w:rsidDel="00000000" w:rsidP="00000000" w:rsidRDefault="00000000" w:rsidRPr="00000000" w14:paraId="0000143B">
            <w:pPr>
              <w:rPr>
                <w:rFonts w:ascii="Aptos" w:cs="Aptos" w:eastAsia="Aptos" w:hAnsi="Aptos"/>
                <w:sz w:val="23"/>
                <w:szCs w:val="23"/>
              </w:rPr>
            </w:pPr>
            <w:r w:rsidDel="00000000" w:rsidR="00000000" w:rsidRPr="00000000">
              <w:rPr>
                <w:rFonts w:ascii="Aptos" w:cs="Aptos" w:eastAsia="Aptos" w:hAnsi="Aptos"/>
                <w:sz w:val="23"/>
                <w:szCs w:val="23"/>
                <w:rtl w:val="0"/>
              </w:rPr>
              <w:t xml:space="preserve">Were you offered any alternative treatments to medication?</w:t>
            </w:r>
          </w:p>
        </w:tc>
        <w:tc>
          <w:tcPr>
            <w:shd w:fill="cfe5ed" w:val="clear"/>
            <w:vAlign w:val="center"/>
          </w:tcPr>
          <w:p w:rsidR="00000000" w:rsidDel="00000000" w:rsidP="00000000" w:rsidRDefault="00000000" w:rsidRPr="00000000" w14:paraId="0000143C">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Physiotherapy instead of painkillers?</w:t>
            </w:r>
          </w:p>
        </w:tc>
      </w:tr>
      <w:tr>
        <w:trPr>
          <w:cantSplit w:val="0"/>
          <w:trHeight w:val="106" w:hRule="atLeast"/>
          <w:tblHeader w:val="0"/>
        </w:trPr>
        <w:tc>
          <w:tcPr>
            <w:vMerge w:val="continue"/>
            <w:shd w:fill="cfe5ed" w:val="clear"/>
            <w:vAlign w:val="center"/>
          </w:tcPr>
          <w:p w:rsidR="00000000" w:rsidDel="00000000" w:rsidP="00000000" w:rsidRDefault="00000000" w:rsidRPr="00000000" w14:paraId="00001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3F">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Therapy instead of antidepressants? e.g.  social prescribing  </w:t>
            </w:r>
          </w:p>
        </w:tc>
      </w:tr>
      <w:tr>
        <w:trPr>
          <w:cantSplit w:val="0"/>
          <w:tblHeader w:val="0"/>
        </w:trPr>
        <w:tc>
          <w:tcPr>
            <w:vMerge w:val="continue"/>
            <w:shd w:fill="cfe5ed" w:val="clear"/>
            <w:vAlign w:val="center"/>
          </w:tcPr>
          <w:p w:rsidR="00000000" w:rsidDel="00000000" w:rsidP="00000000" w:rsidRDefault="00000000" w:rsidRPr="00000000" w14:paraId="00001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cfe5ed" w:val="clear"/>
            <w:vAlign w:val="center"/>
          </w:tcPr>
          <w:p w:rsidR="00000000" w:rsidDel="00000000" w:rsidP="00000000" w:rsidRDefault="00000000" w:rsidRPr="00000000" w14:paraId="00001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cfe5ed" w:val="clear"/>
            <w:vAlign w:val="center"/>
          </w:tcPr>
          <w:p w:rsidR="00000000" w:rsidDel="00000000" w:rsidP="00000000" w:rsidRDefault="00000000" w:rsidRPr="00000000" w14:paraId="00001442">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Would you have preferred an alternative treatment? </w:t>
            </w:r>
          </w:p>
        </w:tc>
      </w:tr>
      <w:tr>
        <w:trPr>
          <w:cantSplit w:val="0"/>
          <w:tblHeader w:val="0"/>
        </w:trPr>
        <w:tc>
          <w:tcPr>
            <w:vMerge w:val="restart"/>
            <w:shd w:fill="e2efd9" w:val="clear"/>
            <w:vAlign w:val="center"/>
          </w:tcPr>
          <w:p w:rsidR="00000000" w:rsidDel="00000000" w:rsidP="00000000" w:rsidRDefault="00000000" w:rsidRPr="00000000" w14:paraId="00001443">
            <w:pPr>
              <w:rPr>
                <w:rFonts w:ascii="Aptos" w:cs="Aptos" w:eastAsia="Aptos" w:hAnsi="Aptos"/>
                <w:sz w:val="23"/>
                <w:szCs w:val="23"/>
              </w:rPr>
            </w:pPr>
            <w:r w:rsidDel="00000000" w:rsidR="00000000" w:rsidRPr="00000000">
              <w:rPr>
                <w:rFonts w:ascii="Aptos" w:cs="Aptos" w:eastAsia="Aptos" w:hAnsi="Aptos"/>
                <w:sz w:val="23"/>
                <w:szCs w:val="23"/>
                <w:rtl w:val="0"/>
              </w:rPr>
              <w:t xml:space="preserve">Stigmatisation in healthcare</w:t>
            </w:r>
          </w:p>
        </w:tc>
        <w:tc>
          <w:tcPr>
            <w:vMerge w:val="restart"/>
            <w:shd w:fill="e2efd9" w:val="clear"/>
            <w:vAlign w:val="center"/>
          </w:tcPr>
          <w:p w:rsidR="00000000" w:rsidDel="00000000" w:rsidP="00000000" w:rsidRDefault="00000000" w:rsidRPr="00000000" w14:paraId="00001444">
            <w:pPr>
              <w:rPr>
                <w:rFonts w:ascii="Aptos" w:cs="Aptos" w:eastAsia="Aptos" w:hAnsi="Aptos"/>
                <w:sz w:val="23"/>
                <w:szCs w:val="23"/>
              </w:rPr>
            </w:pPr>
            <w:r w:rsidDel="00000000" w:rsidR="00000000" w:rsidRPr="00000000">
              <w:rPr>
                <w:rFonts w:ascii="Aptos" w:cs="Aptos" w:eastAsia="Aptos" w:hAnsi="Aptos"/>
                <w:sz w:val="23"/>
                <w:szCs w:val="23"/>
                <w:rtl w:val="0"/>
              </w:rPr>
              <w:t xml:space="preserve">Have you have told your practitioner that you are dependent on your medication?</w:t>
            </w:r>
          </w:p>
        </w:tc>
        <w:tc>
          <w:tcPr>
            <w:shd w:fill="e2efd9" w:val="clear"/>
            <w:vAlign w:val="center"/>
          </w:tcPr>
          <w:p w:rsidR="00000000" w:rsidDel="00000000" w:rsidP="00000000" w:rsidRDefault="00000000" w:rsidRPr="00000000" w14:paraId="00001445">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so, why?</w:t>
            </w:r>
          </w:p>
        </w:tc>
      </w:tr>
      <w:tr>
        <w:trPr>
          <w:cantSplit w:val="0"/>
          <w:tblHeader w:val="0"/>
        </w:trPr>
        <w:tc>
          <w:tcPr>
            <w:vMerge w:val="continue"/>
            <w:shd w:fill="e2efd9" w:val="clear"/>
            <w:vAlign w:val="center"/>
          </w:tcPr>
          <w:p w:rsidR="00000000" w:rsidDel="00000000" w:rsidP="00000000" w:rsidRDefault="00000000" w:rsidRPr="00000000" w14:paraId="00001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48">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not, why?</w:t>
            </w:r>
          </w:p>
        </w:tc>
      </w:tr>
      <w:tr>
        <w:trPr>
          <w:cantSplit w:val="0"/>
          <w:trHeight w:val="77" w:hRule="atLeast"/>
          <w:tblHeader w:val="0"/>
        </w:trPr>
        <w:tc>
          <w:tcPr>
            <w:vMerge w:val="continue"/>
            <w:shd w:fill="e2efd9" w:val="clear"/>
            <w:vAlign w:val="center"/>
          </w:tcPr>
          <w:p w:rsidR="00000000" w:rsidDel="00000000" w:rsidP="00000000" w:rsidRDefault="00000000" w:rsidRPr="00000000" w14:paraId="00001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4B">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did they react?</w:t>
            </w:r>
          </w:p>
        </w:tc>
      </w:tr>
      <w:tr>
        <w:trPr>
          <w:cantSplit w:val="0"/>
          <w:tblHeader w:val="0"/>
        </w:trPr>
        <w:tc>
          <w:tcPr>
            <w:vMerge w:val="continue"/>
            <w:shd w:fill="e2efd9" w:val="clear"/>
            <w:vAlign w:val="center"/>
          </w:tcPr>
          <w:p w:rsidR="00000000" w:rsidDel="00000000" w:rsidP="00000000" w:rsidRDefault="00000000" w:rsidRPr="00000000" w14:paraId="00001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4E">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any stigma by your healthcare professional? </w:t>
            </w:r>
          </w:p>
        </w:tc>
      </w:tr>
      <w:tr>
        <w:trPr>
          <w:cantSplit w:val="0"/>
          <w:trHeight w:val="394" w:hRule="atLeast"/>
          <w:tblHeader w:val="0"/>
        </w:trPr>
        <w:tc>
          <w:tcPr>
            <w:vMerge w:val="continue"/>
            <w:shd w:fill="e2efd9" w:val="clear"/>
            <w:vAlign w:val="center"/>
          </w:tcPr>
          <w:p w:rsidR="00000000" w:rsidDel="00000000" w:rsidP="00000000" w:rsidRDefault="00000000" w:rsidRPr="00000000" w14:paraId="00001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51">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Has their behaviour change once you disclosed you were dependent on your medication? </w:t>
            </w:r>
          </w:p>
        </w:tc>
      </w:tr>
      <w:tr>
        <w:trPr>
          <w:cantSplit w:val="0"/>
          <w:tblHeader w:val="0"/>
        </w:trPr>
        <w:tc>
          <w:tcPr>
            <w:vMerge w:val="continue"/>
            <w:shd w:fill="e2efd9" w:val="clear"/>
            <w:vAlign w:val="center"/>
          </w:tcPr>
          <w:p w:rsidR="00000000" w:rsidDel="00000000" w:rsidP="00000000" w:rsidRDefault="00000000" w:rsidRPr="00000000" w14:paraId="00001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54">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the practitioner treat you the same way as other patients?</w:t>
            </w:r>
          </w:p>
        </w:tc>
      </w:tr>
      <w:tr>
        <w:trPr>
          <w:cantSplit w:val="0"/>
          <w:tblHeader w:val="0"/>
        </w:trPr>
        <w:tc>
          <w:tcPr>
            <w:vMerge w:val="continue"/>
            <w:shd w:fill="e2efd9" w:val="clear"/>
            <w:vAlign w:val="center"/>
          </w:tcPr>
          <w:p w:rsidR="00000000" w:rsidDel="00000000" w:rsidP="00000000" w:rsidRDefault="00000000" w:rsidRPr="00000000" w14:paraId="00001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57">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like you were treated differently? Why?</w:t>
            </w:r>
          </w:p>
        </w:tc>
      </w:tr>
      <w:tr>
        <w:trPr>
          <w:cantSplit w:val="0"/>
          <w:tblHeader w:val="0"/>
        </w:trPr>
        <w:tc>
          <w:tcPr>
            <w:vMerge w:val="restart"/>
            <w:shd w:fill="e2efd9" w:val="clear"/>
            <w:vAlign w:val="center"/>
          </w:tcPr>
          <w:p w:rsidR="00000000" w:rsidDel="00000000" w:rsidP="00000000" w:rsidRDefault="00000000" w:rsidRPr="00000000" w14:paraId="00001458">
            <w:pPr>
              <w:rPr>
                <w:rFonts w:ascii="Aptos" w:cs="Aptos" w:eastAsia="Aptos" w:hAnsi="Aptos"/>
                <w:sz w:val="23"/>
                <w:szCs w:val="23"/>
              </w:rPr>
            </w:pPr>
            <w:r w:rsidDel="00000000" w:rsidR="00000000" w:rsidRPr="00000000">
              <w:rPr>
                <w:rFonts w:ascii="Aptos" w:cs="Aptos" w:eastAsia="Aptos" w:hAnsi="Aptos"/>
                <w:sz w:val="23"/>
                <w:szCs w:val="23"/>
                <w:rtl w:val="0"/>
              </w:rPr>
              <w:t xml:space="preserve">Perception</w:t>
            </w:r>
          </w:p>
        </w:tc>
        <w:tc>
          <w:tcPr>
            <w:vMerge w:val="restart"/>
            <w:shd w:fill="e2efd9" w:val="clear"/>
            <w:vAlign w:val="center"/>
          </w:tcPr>
          <w:p w:rsidR="00000000" w:rsidDel="00000000" w:rsidP="00000000" w:rsidRDefault="00000000" w:rsidRPr="00000000" w14:paraId="00001459">
            <w:pPr>
              <w:rPr>
                <w:rFonts w:ascii="Aptos" w:cs="Aptos" w:eastAsia="Aptos" w:hAnsi="Aptos"/>
                <w:sz w:val="23"/>
                <w:szCs w:val="23"/>
              </w:rPr>
            </w:pPr>
            <w:r w:rsidDel="00000000" w:rsidR="00000000" w:rsidRPr="00000000">
              <w:rPr>
                <w:rFonts w:ascii="Aptos" w:cs="Aptos" w:eastAsia="Aptos" w:hAnsi="Aptos"/>
                <w:sz w:val="23"/>
                <w:szCs w:val="23"/>
                <w:rtl w:val="0"/>
              </w:rPr>
              <w:t xml:space="preserve">How do you feel about your medication use?</w:t>
            </w:r>
          </w:p>
        </w:tc>
        <w:tc>
          <w:tcPr>
            <w:shd w:fill="e2efd9" w:val="clear"/>
            <w:vAlign w:val="center"/>
          </w:tcPr>
          <w:p w:rsidR="00000000" w:rsidDel="00000000" w:rsidP="00000000" w:rsidRDefault="00000000" w:rsidRPr="00000000" w14:paraId="0000145A">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do you feel others perceived you?</w:t>
            </w:r>
          </w:p>
        </w:tc>
      </w:tr>
      <w:tr>
        <w:trPr>
          <w:cantSplit w:val="0"/>
          <w:trHeight w:val="92" w:hRule="atLeast"/>
          <w:tblHeader w:val="0"/>
        </w:trPr>
        <w:tc>
          <w:tcPr>
            <w:vMerge w:val="continue"/>
            <w:shd w:fill="e2efd9" w:val="clear"/>
            <w:vAlign w:val="center"/>
          </w:tcPr>
          <w:p w:rsidR="00000000" w:rsidDel="00000000" w:rsidP="00000000" w:rsidRDefault="00000000" w:rsidRPr="00000000" w14:paraId="00001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5D">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did you perceive yourself?</w:t>
            </w:r>
          </w:p>
        </w:tc>
      </w:tr>
      <w:tr>
        <w:trPr>
          <w:cantSplit w:val="0"/>
          <w:trHeight w:val="92" w:hRule="atLeast"/>
          <w:tblHeader w:val="0"/>
        </w:trPr>
        <w:tc>
          <w:tcPr>
            <w:vMerge w:val="continue"/>
            <w:shd w:fill="e2efd9" w:val="clear"/>
            <w:vAlign w:val="center"/>
          </w:tcPr>
          <w:p w:rsidR="00000000" w:rsidDel="00000000" w:rsidP="00000000" w:rsidRDefault="00000000" w:rsidRPr="00000000" w14:paraId="00001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60">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do you think healthcare staff perceived you?</w:t>
            </w:r>
          </w:p>
        </w:tc>
      </w:tr>
      <w:tr>
        <w:trPr>
          <w:cantSplit w:val="0"/>
          <w:trHeight w:val="92" w:hRule="atLeast"/>
          <w:tblHeader w:val="0"/>
        </w:trPr>
        <w:tc>
          <w:tcPr>
            <w:vMerge w:val="continue"/>
            <w:shd w:fill="e2efd9" w:val="clear"/>
            <w:vAlign w:val="center"/>
          </w:tcPr>
          <w:p w:rsidR="00000000" w:rsidDel="00000000" w:rsidP="00000000" w:rsidRDefault="00000000" w:rsidRPr="00000000" w14:paraId="00001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63">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Do you think you received fair treatment?</w:t>
            </w:r>
          </w:p>
        </w:tc>
      </w:tr>
      <w:tr>
        <w:trPr>
          <w:cantSplit w:val="0"/>
          <w:trHeight w:val="92" w:hRule="atLeast"/>
          <w:tblHeader w:val="0"/>
        </w:trPr>
        <w:tc>
          <w:tcPr>
            <w:vMerge w:val="continue"/>
            <w:shd w:fill="e2efd9" w:val="clear"/>
            <w:vAlign w:val="center"/>
          </w:tcPr>
          <w:p w:rsidR="00000000" w:rsidDel="00000000" w:rsidP="00000000" w:rsidRDefault="00000000" w:rsidRPr="00000000" w14:paraId="000014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66">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happy with your treatment?</w:t>
            </w:r>
          </w:p>
        </w:tc>
      </w:tr>
      <w:tr>
        <w:trPr>
          <w:cantSplit w:val="0"/>
          <w:trHeight w:val="79" w:hRule="atLeast"/>
          <w:tblHeader w:val="0"/>
        </w:trPr>
        <w:tc>
          <w:tcPr>
            <w:vMerge w:val="continue"/>
            <w:shd w:fill="e2efd9" w:val="clear"/>
            <w:vAlign w:val="center"/>
          </w:tcPr>
          <w:p w:rsidR="00000000" w:rsidDel="00000000" w:rsidP="00000000" w:rsidRDefault="00000000" w:rsidRPr="00000000" w14:paraId="00001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e2efd9" w:val="clear"/>
            <w:vAlign w:val="center"/>
          </w:tcPr>
          <w:p w:rsidR="00000000" w:rsidDel="00000000" w:rsidP="00000000" w:rsidRDefault="00000000" w:rsidRPr="00000000" w14:paraId="00001468">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feel like you received the best care possible?</w:t>
            </w:r>
          </w:p>
        </w:tc>
        <w:tc>
          <w:tcPr>
            <w:shd w:fill="e2efd9" w:val="clear"/>
            <w:vAlign w:val="center"/>
          </w:tcPr>
          <w:p w:rsidR="00000000" w:rsidDel="00000000" w:rsidP="00000000" w:rsidRDefault="00000000" w:rsidRPr="00000000" w14:paraId="00001469">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staff treated you the same as other patients?</w:t>
            </w:r>
          </w:p>
        </w:tc>
      </w:tr>
      <w:tr>
        <w:trPr>
          <w:cantSplit w:val="0"/>
          <w:trHeight w:val="268" w:hRule="atLeast"/>
          <w:tblHeader w:val="0"/>
        </w:trPr>
        <w:tc>
          <w:tcPr>
            <w:vMerge w:val="continue"/>
            <w:shd w:fill="e2efd9" w:val="clear"/>
            <w:vAlign w:val="center"/>
          </w:tcPr>
          <w:p w:rsidR="00000000" w:rsidDel="00000000" w:rsidP="00000000" w:rsidRDefault="00000000" w:rsidRPr="00000000" w14:paraId="00001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6C">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Do/did you find the relationship between you and your healthcare provider a positive one? </w:t>
            </w:r>
          </w:p>
        </w:tc>
      </w:tr>
      <w:tr>
        <w:trPr>
          <w:cantSplit w:val="0"/>
          <w:trHeight w:val="106" w:hRule="atLeast"/>
          <w:tblHeader w:val="0"/>
        </w:trPr>
        <w:tc>
          <w:tcPr>
            <w:vMerge w:val="continue"/>
            <w:shd w:fill="e2efd9" w:val="clear"/>
            <w:vAlign w:val="center"/>
          </w:tcPr>
          <w:p w:rsidR="00000000" w:rsidDel="00000000" w:rsidP="00000000" w:rsidRDefault="00000000" w:rsidRPr="00000000" w14:paraId="000014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6F">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Do you think you received the treatment you needed?</w:t>
            </w:r>
          </w:p>
        </w:tc>
      </w:tr>
      <w:tr>
        <w:trPr>
          <w:cantSplit w:val="0"/>
          <w:trHeight w:val="106" w:hRule="atLeast"/>
          <w:tblHeader w:val="0"/>
        </w:trPr>
        <w:tc>
          <w:tcPr>
            <w:vMerge w:val="continue"/>
            <w:shd w:fill="e2efd9" w:val="clear"/>
            <w:vAlign w:val="center"/>
          </w:tcPr>
          <w:p w:rsidR="00000000" w:rsidDel="00000000" w:rsidP="00000000" w:rsidRDefault="00000000" w:rsidRPr="00000000" w14:paraId="00001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72">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What could have been better/different? </w:t>
            </w:r>
          </w:p>
        </w:tc>
      </w:tr>
      <w:tr>
        <w:trPr>
          <w:cantSplit w:val="0"/>
          <w:trHeight w:val="688" w:hRule="atLeast"/>
          <w:tblHeader w:val="0"/>
        </w:trPr>
        <w:tc>
          <w:tcPr>
            <w:shd w:fill="e2efd9" w:val="clear"/>
            <w:vAlign w:val="center"/>
          </w:tcPr>
          <w:p w:rsidR="00000000" w:rsidDel="00000000" w:rsidP="00000000" w:rsidRDefault="00000000" w:rsidRPr="00000000" w14:paraId="00001473">
            <w:pPr>
              <w:rPr>
                <w:rFonts w:ascii="Aptos" w:cs="Aptos" w:eastAsia="Aptos" w:hAnsi="Aptos"/>
                <w:sz w:val="23"/>
                <w:szCs w:val="23"/>
              </w:rPr>
            </w:pPr>
            <w:r w:rsidDel="00000000" w:rsidR="00000000" w:rsidRPr="00000000">
              <w:rPr>
                <w:rFonts w:ascii="Aptos" w:cs="Aptos" w:eastAsia="Aptos" w:hAnsi="Aptos"/>
                <w:sz w:val="23"/>
                <w:szCs w:val="23"/>
                <w:rtl w:val="0"/>
              </w:rPr>
              <w:t xml:space="preserve">Stigma due to other identity other than drug user</w:t>
            </w:r>
          </w:p>
        </w:tc>
        <w:tc>
          <w:tcPr>
            <w:shd w:fill="e2efd9" w:val="clear"/>
            <w:vAlign w:val="center"/>
          </w:tcPr>
          <w:p w:rsidR="00000000" w:rsidDel="00000000" w:rsidP="00000000" w:rsidRDefault="00000000" w:rsidRPr="00000000" w14:paraId="00001474">
            <w:pPr>
              <w:rPr>
                <w:rFonts w:ascii="Aptos" w:cs="Aptos" w:eastAsia="Aptos" w:hAnsi="Aptos"/>
                <w:sz w:val="23"/>
                <w:szCs w:val="23"/>
              </w:rPr>
            </w:pPr>
            <w:r w:rsidDel="00000000" w:rsidR="00000000" w:rsidRPr="00000000">
              <w:rPr>
                <w:rFonts w:ascii="Aptos" w:cs="Aptos" w:eastAsia="Aptos" w:hAnsi="Aptos"/>
                <w:sz w:val="23"/>
                <w:szCs w:val="23"/>
                <w:rtl w:val="0"/>
              </w:rPr>
              <w:t xml:space="preserve">Did you feel that you got equal treatment to others in a similar situation?</w:t>
            </w:r>
          </w:p>
        </w:tc>
        <w:tc>
          <w:tcPr>
            <w:shd w:fill="e2efd9" w:val="clear"/>
            <w:vAlign w:val="center"/>
          </w:tcPr>
          <w:p w:rsidR="00000000" w:rsidDel="00000000" w:rsidP="00000000" w:rsidRDefault="00000000" w:rsidRPr="00000000" w14:paraId="00001475">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think there are any reasons why you felt that you were not treated fairly?</w:t>
            </w:r>
          </w:p>
        </w:tc>
      </w:tr>
      <w:tr>
        <w:trPr>
          <w:cantSplit w:val="0"/>
          <w:trHeight w:val="579" w:hRule="atLeast"/>
          <w:tblHeader w:val="0"/>
        </w:trPr>
        <w:tc>
          <w:tcPr>
            <w:vMerge w:val="restart"/>
            <w:shd w:fill="e2efd9" w:val="clear"/>
            <w:vAlign w:val="center"/>
          </w:tcPr>
          <w:p w:rsidR="00000000" w:rsidDel="00000000" w:rsidP="00000000" w:rsidRDefault="00000000" w:rsidRPr="00000000" w14:paraId="00001476">
            <w:pPr>
              <w:rPr>
                <w:rFonts w:ascii="Aptos" w:cs="Aptos" w:eastAsia="Aptos" w:hAnsi="Aptos"/>
                <w:sz w:val="23"/>
                <w:szCs w:val="23"/>
              </w:rPr>
            </w:pPr>
            <w:r w:rsidDel="00000000" w:rsidR="00000000" w:rsidRPr="00000000">
              <w:rPr>
                <w:rFonts w:ascii="Aptos" w:cs="Aptos" w:eastAsia="Aptos" w:hAnsi="Aptos"/>
                <w:sz w:val="23"/>
                <w:szCs w:val="23"/>
                <w:rtl w:val="0"/>
              </w:rPr>
              <w:t xml:space="preserve">Barrier to treatment</w:t>
            </w:r>
          </w:p>
        </w:tc>
        <w:tc>
          <w:tcPr>
            <w:vMerge w:val="restart"/>
            <w:shd w:fill="e2efd9" w:val="clear"/>
            <w:vAlign w:val="center"/>
          </w:tcPr>
          <w:p w:rsidR="00000000" w:rsidDel="00000000" w:rsidP="00000000" w:rsidRDefault="00000000" w:rsidRPr="00000000" w14:paraId="00001477">
            <w:pPr>
              <w:rPr>
                <w:rFonts w:ascii="Aptos" w:cs="Aptos" w:eastAsia="Aptos" w:hAnsi="Aptos"/>
                <w:sz w:val="23"/>
                <w:szCs w:val="23"/>
              </w:rPr>
            </w:pPr>
            <w:r w:rsidDel="00000000" w:rsidR="00000000" w:rsidRPr="00000000">
              <w:rPr>
                <w:rFonts w:ascii="Aptos" w:cs="Aptos" w:eastAsia="Aptos" w:hAnsi="Aptos"/>
                <w:sz w:val="23"/>
                <w:szCs w:val="23"/>
                <w:rtl w:val="0"/>
              </w:rPr>
              <w:t xml:space="preserve">Did you feel anything negative towards yourself, your family, community or healthcare practitioner prevent you from accessing services? If so, why?</w:t>
            </w:r>
          </w:p>
        </w:tc>
        <w:tc>
          <w:tcPr>
            <w:shd w:fill="e2efd9" w:val="clear"/>
            <w:vAlign w:val="center"/>
          </w:tcPr>
          <w:p w:rsidR="00000000" w:rsidDel="00000000" w:rsidP="00000000" w:rsidRDefault="00000000" w:rsidRPr="00000000" w14:paraId="00001478">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Fear of repercussions in the family unit?</w:t>
            </w:r>
          </w:p>
        </w:tc>
      </w:tr>
      <w:tr>
        <w:trPr>
          <w:cantSplit w:val="0"/>
          <w:trHeight w:val="578" w:hRule="atLeast"/>
          <w:tblHeader w:val="0"/>
        </w:trPr>
        <w:tc>
          <w:tcPr>
            <w:vMerge w:val="continue"/>
            <w:shd w:fill="e2efd9" w:val="clear"/>
            <w:vAlign w:val="center"/>
          </w:tcPr>
          <w:p w:rsidR="00000000" w:rsidDel="00000000" w:rsidP="00000000" w:rsidRDefault="00000000" w:rsidRPr="00000000" w14:paraId="00001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7B">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Risk of unemployment?</w:t>
            </w:r>
          </w:p>
        </w:tc>
      </w:tr>
      <w:tr>
        <w:trPr>
          <w:cantSplit w:val="0"/>
          <w:trHeight w:val="578" w:hRule="atLeast"/>
          <w:tblHeader w:val="0"/>
        </w:trPr>
        <w:tc>
          <w:tcPr>
            <w:vMerge w:val="continue"/>
            <w:shd w:fill="e2efd9" w:val="clear"/>
            <w:vAlign w:val="center"/>
          </w:tcPr>
          <w:p w:rsidR="00000000" w:rsidDel="00000000" w:rsidP="00000000" w:rsidRDefault="00000000" w:rsidRPr="00000000" w14:paraId="000014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efd9" w:val="clear"/>
            <w:vAlign w:val="center"/>
          </w:tcPr>
          <w:p w:rsidR="00000000" w:rsidDel="00000000" w:rsidP="00000000" w:rsidRDefault="00000000" w:rsidRPr="00000000" w14:paraId="00001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efd9" w:val="clear"/>
            <w:vAlign w:val="center"/>
          </w:tcPr>
          <w:p w:rsidR="00000000" w:rsidDel="00000000" w:rsidP="00000000" w:rsidRDefault="00000000" w:rsidRPr="00000000" w14:paraId="0000147E">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Fear of stigmatisation?</w:t>
            </w:r>
          </w:p>
        </w:tc>
      </w:tr>
      <w:tr>
        <w:trPr>
          <w:cantSplit w:val="0"/>
          <w:trHeight w:val="106" w:hRule="atLeast"/>
          <w:tblHeader w:val="0"/>
        </w:trPr>
        <w:tc>
          <w:tcPr>
            <w:shd w:fill="e2c3ca" w:val="clear"/>
            <w:vAlign w:val="center"/>
          </w:tcPr>
          <w:p w:rsidR="00000000" w:rsidDel="00000000" w:rsidP="00000000" w:rsidRDefault="00000000" w:rsidRPr="00000000" w14:paraId="0000147F">
            <w:pPr>
              <w:rPr>
                <w:rFonts w:ascii="Aptos" w:cs="Aptos" w:eastAsia="Aptos" w:hAnsi="Aptos"/>
                <w:sz w:val="23"/>
                <w:szCs w:val="23"/>
              </w:rPr>
            </w:pPr>
            <w:r w:rsidDel="00000000" w:rsidR="00000000" w:rsidRPr="00000000">
              <w:rPr>
                <w:rFonts w:ascii="Aptos" w:cs="Aptos" w:eastAsia="Aptos" w:hAnsi="Aptos"/>
                <w:sz w:val="23"/>
                <w:szCs w:val="23"/>
                <w:rtl w:val="0"/>
              </w:rPr>
              <w:t xml:space="preserve">Confidentiality </w:t>
            </w:r>
          </w:p>
        </w:tc>
        <w:tc>
          <w:tcPr>
            <w:shd w:fill="e2c3ca" w:val="clear"/>
            <w:vAlign w:val="center"/>
          </w:tcPr>
          <w:p w:rsidR="00000000" w:rsidDel="00000000" w:rsidP="00000000" w:rsidRDefault="00000000" w:rsidRPr="00000000" w14:paraId="00001480">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feel that appointments are confidential?</w:t>
            </w:r>
          </w:p>
        </w:tc>
        <w:tc>
          <w:tcPr>
            <w:shd w:fill="e2c3ca" w:val="clear"/>
            <w:vAlign w:val="center"/>
          </w:tcPr>
          <w:p w:rsidR="00000000" w:rsidDel="00000000" w:rsidP="00000000" w:rsidRDefault="00000000" w:rsidRPr="00000000" w14:paraId="00001481">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Particularly in public areas of treatment centres (e.g.  pharmacies and waiting rooms)</w:t>
            </w:r>
          </w:p>
        </w:tc>
      </w:tr>
      <w:tr>
        <w:trPr>
          <w:cantSplit w:val="0"/>
          <w:trHeight w:val="79" w:hRule="atLeast"/>
          <w:tblHeader w:val="0"/>
        </w:trPr>
        <w:tc>
          <w:tcPr>
            <w:vMerge w:val="restart"/>
            <w:shd w:fill="e2c3ca" w:val="clear"/>
            <w:vAlign w:val="center"/>
          </w:tcPr>
          <w:p w:rsidR="00000000" w:rsidDel="00000000" w:rsidP="00000000" w:rsidRDefault="00000000" w:rsidRPr="00000000" w14:paraId="00001482">
            <w:pPr>
              <w:rPr>
                <w:rFonts w:ascii="Aptos" w:cs="Aptos" w:eastAsia="Aptos" w:hAnsi="Aptos"/>
                <w:sz w:val="23"/>
                <w:szCs w:val="23"/>
              </w:rPr>
            </w:pPr>
            <w:r w:rsidDel="00000000" w:rsidR="00000000" w:rsidRPr="00000000">
              <w:rPr>
                <w:rFonts w:ascii="Aptos" w:cs="Aptos" w:eastAsia="Aptos" w:hAnsi="Aptos"/>
                <w:sz w:val="23"/>
                <w:szCs w:val="23"/>
                <w:rtl w:val="0"/>
              </w:rPr>
              <w:t xml:space="preserve">Accessibility</w:t>
            </w:r>
          </w:p>
        </w:tc>
        <w:tc>
          <w:tcPr>
            <w:vMerge w:val="restart"/>
            <w:shd w:fill="e2c3ca" w:val="clear"/>
            <w:vAlign w:val="center"/>
          </w:tcPr>
          <w:p w:rsidR="00000000" w:rsidDel="00000000" w:rsidP="00000000" w:rsidRDefault="00000000" w:rsidRPr="00000000" w14:paraId="00001483">
            <w:pPr>
              <w:rPr>
                <w:rFonts w:ascii="Aptos" w:cs="Aptos" w:eastAsia="Aptos" w:hAnsi="Aptos"/>
                <w:sz w:val="23"/>
                <w:szCs w:val="23"/>
              </w:rPr>
            </w:pPr>
            <w:r w:rsidDel="00000000" w:rsidR="00000000" w:rsidRPr="00000000">
              <w:rPr>
                <w:rFonts w:ascii="Aptos" w:cs="Aptos" w:eastAsia="Aptos" w:hAnsi="Aptos"/>
                <w:sz w:val="23"/>
                <w:szCs w:val="23"/>
                <w:rtl w:val="0"/>
              </w:rPr>
              <w:t xml:space="preserve">Do you believe recovery options are accessible?</w:t>
            </w:r>
          </w:p>
        </w:tc>
        <w:tc>
          <w:tcPr>
            <w:shd w:fill="e2c3ca" w:val="clear"/>
            <w:vAlign w:val="center"/>
          </w:tcPr>
          <w:p w:rsidR="00000000" w:rsidDel="00000000" w:rsidP="00000000" w:rsidRDefault="00000000" w:rsidRPr="00000000" w14:paraId="00001484">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Gender/race/sexual identity/sexual orientation/socioeconomic status/employment status/physical ability</w:t>
            </w:r>
          </w:p>
        </w:tc>
      </w:tr>
      <w:tr>
        <w:trPr>
          <w:cantSplit w:val="0"/>
          <w:trHeight w:val="79" w:hRule="atLeast"/>
          <w:tblHeader w:val="0"/>
        </w:trPr>
        <w:tc>
          <w:tcPr>
            <w:vMerge w:val="continue"/>
            <w:shd w:fill="e2c3ca" w:val="clear"/>
            <w:vAlign w:val="center"/>
          </w:tcPr>
          <w:p w:rsidR="00000000" w:rsidDel="00000000" w:rsidP="00000000" w:rsidRDefault="00000000" w:rsidRPr="00000000" w14:paraId="00001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c3ca" w:val="clear"/>
            <w:vAlign w:val="center"/>
          </w:tcPr>
          <w:p w:rsidR="00000000" w:rsidDel="00000000" w:rsidP="00000000" w:rsidRDefault="00000000" w:rsidRPr="00000000" w14:paraId="00001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c3ca" w:val="clear"/>
            <w:vAlign w:val="center"/>
          </w:tcPr>
          <w:p w:rsidR="00000000" w:rsidDel="00000000" w:rsidP="00000000" w:rsidRDefault="00000000" w:rsidRPr="00000000" w14:paraId="00001487">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able to physically access your appointment</w:t>
            </w:r>
          </w:p>
        </w:tc>
      </w:tr>
      <w:tr>
        <w:trPr>
          <w:cantSplit w:val="0"/>
          <w:trHeight w:val="79" w:hRule="atLeast"/>
          <w:tblHeader w:val="0"/>
        </w:trPr>
        <w:tc>
          <w:tcPr>
            <w:vMerge w:val="continue"/>
            <w:shd w:fill="e2c3ca" w:val="clear"/>
            <w:vAlign w:val="center"/>
          </w:tcPr>
          <w:p w:rsidR="00000000" w:rsidDel="00000000" w:rsidP="00000000" w:rsidRDefault="00000000" w:rsidRPr="00000000" w14:paraId="00001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e2c3ca" w:val="clear"/>
            <w:vAlign w:val="center"/>
          </w:tcPr>
          <w:p w:rsidR="00000000" w:rsidDel="00000000" w:rsidP="00000000" w:rsidRDefault="00000000" w:rsidRPr="00000000" w14:paraId="00001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e2c3ca" w:val="clear"/>
            <w:vAlign w:val="center"/>
          </w:tcPr>
          <w:p w:rsidR="00000000" w:rsidDel="00000000" w:rsidP="00000000" w:rsidRDefault="00000000" w:rsidRPr="00000000" w14:paraId="0000148A">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sensitive to your individual needs in terms of other diagnoses?</w:t>
            </w:r>
          </w:p>
        </w:tc>
      </w:tr>
      <w:tr>
        <w:trPr>
          <w:cantSplit w:val="0"/>
          <w:trHeight w:val="416" w:hRule="atLeast"/>
          <w:tblHeader w:val="0"/>
        </w:trPr>
        <w:tc>
          <w:tcPr>
            <w:vMerge w:val="restart"/>
            <w:shd w:fill="fff2cc" w:val="clear"/>
            <w:vAlign w:val="center"/>
          </w:tcPr>
          <w:p w:rsidR="00000000" w:rsidDel="00000000" w:rsidP="00000000" w:rsidRDefault="00000000" w:rsidRPr="00000000" w14:paraId="0000148B">
            <w:pPr>
              <w:rPr>
                <w:rFonts w:ascii="Aptos" w:cs="Aptos" w:eastAsia="Aptos" w:hAnsi="Aptos"/>
                <w:sz w:val="23"/>
                <w:szCs w:val="23"/>
              </w:rPr>
            </w:pPr>
            <w:r w:rsidDel="00000000" w:rsidR="00000000" w:rsidRPr="00000000">
              <w:rPr>
                <w:rFonts w:ascii="Aptos" w:cs="Aptos" w:eastAsia="Aptos" w:hAnsi="Aptos"/>
                <w:sz w:val="23"/>
                <w:szCs w:val="23"/>
                <w:rtl w:val="0"/>
              </w:rPr>
              <w:t xml:space="preserve">Poor mental health </w:t>
            </w:r>
          </w:p>
        </w:tc>
        <w:tc>
          <w:tcPr>
            <w:vMerge w:val="restart"/>
            <w:shd w:fill="fff2cc" w:val="clear"/>
            <w:vAlign w:val="center"/>
          </w:tcPr>
          <w:p w:rsidR="00000000" w:rsidDel="00000000" w:rsidP="00000000" w:rsidRDefault="00000000" w:rsidRPr="00000000" w14:paraId="0000148C">
            <w:pPr>
              <w:rPr>
                <w:rFonts w:ascii="Aptos" w:cs="Aptos" w:eastAsia="Aptos" w:hAnsi="Aptos"/>
                <w:sz w:val="23"/>
                <w:szCs w:val="23"/>
              </w:rPr>
            </w:pPr>
            <w:r w:rsidDel="00000000" w:rsidR="00000000" w:rsidRPr="00000000">
              <w:rPr>
                <w:rFonts w:ascii="Aptos" w:cs="Aptos" w:eastAsia="Aptos" w:hAnsi="Aptos"/>
                <w:sz w:val="23"/>
                <w:szCs w:val="23"/>
                <w:rtl w:val="0"/>
              </w:rPr>
              <w:t xml:space="preserve">Have you been diagnosed with a mental health difficulty?</w:t>
            </w:r>
          </w:p>
        </w:tc>
        <w:tc>
          <w:tcPr>
            <w:shd w:fill="fff2cc" w:val="clear"/>
            <w:vAlign w:val="center"/>
          </w:tcPr>
          <w:p w:rsidR="00000000" w:rsidDel="00000000" w:rsidP="00000000" w:rsidRDefault="00000000" w:rsidRPr="00000000" w14:paraId="0000148D">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so, what?</w:t>
            </w:r>
          </w:p>
        </w:tc>
      </w:tr>
      <w:tr>
        <w:trPr>
          <w:cantSplit w:val="0"/>
          <w:trHeight w:val="355" w:hRule="atLeast"/>
          <w:tblHeader w:val="0"/>
        </w:trPr>
        <w:tc>
          <w:tcPr>
            <w:vMerge w:val="continue"/>
            <w:shd w:fill="fff2cc" w:val="clear"/>
            <w:vAlign w:val="center"/>
          </w:tcPr>
          <w:p w:rsidR="00000000" w:rsidDel="00000000" w:rsidP="00000000" w:rsidRDefault="00000000" w:rsidRPr="00000000" w14:paraId="00001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90">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Do you receive any support with this?</w:t>
            </w:r>
          </w:p>
        </w:tc>
      </w:tr>
      <w:tr>
        <w:trPr>
          <w:cantSplit w:val="0"/>
          <w:trHeight w:val="106" w:hRule="atLeast"/>
          <w:tblHeader w:val="0"/>
        </w:trPr>
        <w:tc>
          <w:tcPr>
            <w:vMerge w:val="continue"/>
            <w:shd w:fill="fff2cc" w:val="clear"/>
            <w:vAlign w:val="center"/>
          </w:tcPr>
          <w:p w:rsidR="00000000" w:rsidDel="00000000" w:rsidP="00000000" w:rsidRDefault="00000000" w:rsidRPr="00000000" w14:paraId="00001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93">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How has your treatment experience impacted your mental health?</w:t>
            </w:r>
          </w:p>
        </w:tc>
      </w:tr>
      <w:tr>
        <w:trPr>
          <w:cantSplit w:val="0"/>
          <w:trHeight w:val="144" w:hRule="atLeast"/>
          <w:tblHeader w:val="0"/>
        </w:trPr>
        <w:tc>
          <w:tcPr>
            <w:vMerge w:val="continue"/>
            <w:shd w:fill="fff2cc" w:val="clear"/>
            <w:vAlign w:val="center"/>
          </w:tcPr>
          <w:p w:rsidR="00000000" w:rsidDel="00000000" w:rsidP="00000000" w:rsidRDefault="00000000" w:rsidRPr="00000000" w14:paraId="00001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restart"/>
            <w:shd w:fill="fff2cc" w:val="clear"/>
            <w:vAlign w:val="center"/>
          </w:tcPr>
          <w:p w:rsidR="00000000" w:rsidDel="00000000" w:rsidP="00000000" w:rsidRDefault="00000000" w:rsidRPr="00000000" w14:paraId="00001495">
            <w:pPr>
              <w:rPr>
                <w:rFonts w:ascii="Aptos" w:cs="Aptos" w:eastAsia="Aptos" w:hAnsi="Aptos"/>
                <w:sz w:val="23"/>
                <w:szCs w:val="23"/>
              </w:rPr>
            </w:pPr>
            <w:r w:rsidDel="00000000" w:rsidR="00000000" w:rsidRPr="00000000">
              <w:rPr>
                <w:rFonts w:ascii="Aptos" w:cs="Aptos" w:eastAsia="Aptos" w:hAnsi="Aptos"/>
                <w:sz w:val="23"/>
                <w:szCs w:val="23"/>
                <w:rtl w:val="0"/>
              </w:rPr>
              <w:t xml:space="preserve">Has your medicine dependence had any impact on your mental health? </w:t>
            </w:r>
          </w:p>
        </w:tc>
        <w:tc>
          <w:tcPr>
            <w:shd w:fill="fff2cc" w:val="clear"/>
            <w:vAlign w:val="center"/>
          </w:tcPr>
          <w:p w:rsidR="00000000" w:rsidDel="00000000" w:rsidP="00000000" w:rsidRDefault="00000000" w:rsidRPr="00000000" w14:paraId="00001496">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so, how?</w:t>
            </w:r>
          </w:p>
        </w:tc>
      </w:tr>
      <w:tr>
        <w:trPr>
          <w:cantSplit w:val="0"/>
          <w:trHeight w:val="276" w:hRule="atLeast"/>
          <w:tblHeader w:val="0"/>
        </w:trPr>
        <w:tc>
          <w:tcPr>
            <w:vMerge w:val="continue"/>
            <w:shd w:fill="fff2cc" w:val="clear"/>
            <w:vAlign w:val="center"/>
          </w:tcPr>
          <w:p w:rsidR="00000000" w:rsidDel="00000000" w:rsidP="00000000" w:rsidRDefault="00000000" w:rsidRPr="00000000" w14:paraId="00001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99">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Has there been a new diagnosis since you identified as having a dependency?</w:t>
            </w:r>
          </w:p>
        </w:tc>
      </w:tr>
      <w:tr>
        <w:trPr>
          <w:cantSplit w:val="0"/>
          <w:trHeight w:val="79" w:hRule="atLeast"/>
          <w:tblHeader w:val="0"/>
        </w:trPr>
        <w:tc>
          <w:tcPr>
            <w:vMerge w:val="continue"/>
            <w:shd w:fill="fff2cc" w:val="clear"/>
            <w:vAlign w:val="center"/>
          </w:tcPr>
          <w:p w:rsidR="00000000" w:rsidDel="00000000" w:rsidP="00000000" w:rsidRDefault="00000000" w:rsidRPr="00000000" w14:paraId="00001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9C">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Have you been diagnosed with a Substance Misuse Disorder?</w:t>
            </w:r>
          </w:p>
        </w:tc>
      </w:tr>
      <w:tr>
        <w:trPr>
          <w:cantSplit w:val="0"/>
          <w:trHeight w:val="557" w:hRule="atLeast"/>
          <w:tblHeader w:val="0"/>
        </w:trPr>
        <w:tc>
          <w:tcPr>
            <w:vMerge w:val="restart"/>
            <w:shd w:fill="fff2cc" w:val="clear"/>
            <w:vAlign w:val="center"/>
          </w:tcPr>
          <w:p w:rsidR="00000000" w:rsidDel="00000000" w:rsidP="00000000" w:rsidRDefault="00000000" w:rsidRPr="00000000" w14:paraId="0000149D">
            <w:pPr>
              <w:rPr>
                <w:rFonts w:ascii="Aptos" w:cs="Aptos" w:eastAsia="Aptos" w:hAnsi="Aptos"/>
                <w:sz w:val="23"/>
                <w:szCs w:val="23"/>
              </w:rPr>
            </w:pPr>
            <w:r w:rsidDel="00000000" w:rsidR="00000000" w:rsidRPr="00000000">
              <w:rPr>
                <w:rFonts w:ascii="Aptos" w:cs="Aptos" w:eastAsia="Aptos" w:hAnsi="Aptos"/>
                <w:sz w:val="23"/>
                <w:szCs w:val="23"/>
                <w:rtl w:val="0"/>
              </w:rPr>
              <w:t xml:space="preserve">Self esteem</w:t>
            </w:r>
          </w:p>
        </w:tc>
        <w:tc>
          <w:tcPr>
            <w:vMerge w:val="restart"/>
            <w:shd w:fill="fff2cc" w:val="clear"/>
            <w:vAlign w:val="center"/>
          </w:tcPr>
          <w:p w:rsidR="00000000" w:rsidDel="00000000" w:rsidP="00000000" w:rsidRDefault="00000000" w:rsidRPr="00000000" w14:paraId="0000149E">
            <w:pPr>
              <w:rPr>
                <w:rFonts w:ascii="Aptos" w:cs="Aptos" w:eastAsia="Aptos" w:hAnsi="Aptos"/>
                <w:sz w:val="23"/>
                <w:szCs w:val="23"/>
              </w:rPr>
            </w:pPr>
            <w:r w:rsidDel="00000000" w:rsidR="00000000" w:rsidRPr="00000000">
              <w:rPr>
                <w:rFonts w:ascii="Aptos" w:cs="Aptos" w:eastAsia="Aptos" w:hAnsi="Aptos"/>
                <w:sz w:val="23"/>
                <w:szCs w:val="23"/>
                <w:rtl w:val="0"/>
              </w:rPr>
              <w:t xml:space="preserve">Has your dependency impacted you in any way? </w:t>
            </w:r>
          </w:p>
        </w:tc>
        <w:tc>
          <w:tcPr>
            <w:shd w:fill="fff2cc" w:val="clear"/>
            <w:vAlign w:val="center"/>
          </w:tcPr>
          <w:p w:rsidR="00000000" w:rsidDel="00000000" w:rsidP="00000000" w:rsidRDefault="00000000" w:rsidRPr="00000000" w14:paraId="0000149F">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If so, how?</w:t>
            </w:r>
          </w:p>
        </w:tc>
      </w:tr>
      <w:tr>
        <w:trPr>
          <w:cantSplit w:val="0"/>
          <w:trHeight w:val="557" w:hRule="atLeast"/>
          <w:tblHeader w:val="0"/>
        </w:trPr>
        <w:tc>
          <w:tcPr>
            <w:vMerge w:val="continue"/>
            <w:shd w:fill="fff2cc" w:val="clear"/>
            <w:vAlign w:val="center"/>
          </w:tcPr>
          <w:p w:rsidR="00000000" w:rsidDel="00000000" w:rsidP="00000000" w:rsidRDefault="00000000" w:rsidRPr="00000000" w14:paraId="00001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A2">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Has it stopped you doing things?</w:t>
            </w:r>
          </w:p>
        </w:tc>
      </w:tr>
      <w:tr>
        <w:trPr>
          <w:cantSplit w:val="0"/>
          <w:trHeight w:val="106" w:hRule="atLeast"/>
          <w:tblHeader w:val="0"/>
        </w:trPr>
        <w:tc>
          <w:tcPr>
            <w:vMerge w:val="continue"/>
            <w:shd w:fill="fff2cc" w:val="clear"/>
            <w:vAlign w:val="center"/>
          </w:tcPr>
          <w:p w:rsidR="00000000" w:rsidDel="00000000" w:rsidP="00000000" w:rsidRDefault="00000000" w:rsidRPr="00000000" w14:paraId="00001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A5">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Has the change in your self-esteem developed internally, or has it been influenced by other people around you (e.g.  friends, family, medical professionals)</w:t>
            </w:r>
          </w:p>
        </w:tc>
      </w:tr>
      <w:tr>
        <w:trPr>
          <w:cantSplit w:val="0"/>
          <w:trHeight w:val="106" w:hRule="atLeast"/>
          <w:tblHeader w:val="0"/>
        </w:trPr>
        <w:tc>
          <w:tcPr>
            <w:vMerge w:val="continue"/>
            <w:shd w:fill="fff2cc" w:val="clear"/>
            <w:vAlign w:val="center"/>
          </w:tcPr>
          <w:p w:rsidR="00000000" w:rsidDel="00000000" w:rsidP="00000000" w:rsidRDefault="00000000" w:rsidRPr="00000000" w14:paraId="00001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ff2cc" w:val="clear"/>
            <w:vAlign w:val="center"/>
          </w:tcPr>
          <w:p w:rsidR="00000000" w:rsidDel="00000000" w:rsidP="00000000" w:rsidRDefault="00000000" w:rsidRPr="00000000" w14:paraId="00001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ff2cc" w:val="clear"/>
            <w:vAlign w:val="center"/>
          </w:tcPr>
          <w:p w:rsidR="00000000" w:rsidDel="00000000" w:rsidP="00000000" w:rsidRDefault="00000000" w:rsidRPr="00000000" w14:paraId="000014A8">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What were the triggers? </w:t>
            </w:r>
          </w:p>
        </w:tc>
      </w:tr>
      <w:tr>
        <w:trPr>
          <w:cantSplit w:val="0"/>
          <w:tblHeader w:val="0"/>
        </w:trPr>
        <w:tc>
          <w:tcPr>
            <w:vMerge w:val="restart"/>
            <w:shd w:fill="fbe5d5" w:val="clear"/>
            <w:vAlign w:val="center"/>
          </w:tcPr>
          <w:p w:rsidR="00000000" w:rsidDel="00000000" w:rsidP="00000000" w:rsidRDefault="00000000" w:rsidRPr="00000000" w14:paraId="000014A9">
            <w:pPr>
              <w:rPr>
                <w:rFonts w:ascii="Aptos" w:cs="Aptos" w:eastAsia="Aptos" w:hAnsi="Aptos"/>
                <w:sz w:val="23"/>
                <w:szCs w:val="23"/>
              </w:rPr>
            </w:pPr>
            <w:r w:rsidDel="00000000" w:rsidR="00000000" w:rsidRPr="00000000">
              <w:rPr>
                <w:rFonts w:ascii="Aptos" w:cs="Aptos" w:eastAsia="Aptos" w:hAnsi="Aptos"/>
                <w:sz w:val="23"/>
                <w:szCs w:val="23"/>
                <w:rtl w:val="0"/>
              </w:rPr>
              <w:t xml:space="preserve">Knowing the patient</w:t>
            </w:r>
          </w:p>
        </w:tc>
        <w:tc>
          <w:tcPr>
            <w:vMerge w:val="restart"/>
            <w:shd w:fill="fbe5d5" w:val="clear"/>
            <w:vAlign w:val="center"/>
          </w:tcPr>
          <w:p w:rsidR="00000000" w:rsidDel="00000000" w:rsidP="00000000" w:rsidRDefault="00000000" w:rsidRPr="00000000" w14:paraId="000014AA">
            <w:pPr>
              <w:rPr>
                <w:rFonts w:ascii="Aptos" w:cs="Aptos" w:eastAsia="Aptos" w:hAnsi="Aptos"/>
                <w:sz w:val="23"/>
                <w:szCs w:val="23"/>
              </w:rPr>
            </w:pPr>
            <w:r w:rsidDel="00000000" w:rsidR="00000000" w:rsidRPr="00000000">
              <w:rPr>
                <w:rFonts w:ascii="Aptos" w:cs="Aptos" w:eastAsia="Aptos" w:hAnsi="Aptos"/>
                <w:sz w:val="23"/>
                <w:szCs w:val="23"/>
                <w:rtl w:val="0"/>
              </w:rPr>
              <w:t xml:space="preserve">How were your appointments?</w:t>
            </w:r>
          </w:p>
        </w:tc>
        <w:tc>
          <w:tcPr>
            <w:shd w:fill="fbe5d5" w:val="clear"/>
            <w:vAlign w:val="center"/>
          </w:tcPr>
          <w:p w:rsidR="00000000" w:rsidDel="00000000" w:rsidP="00000000" w:rsidRDefault="00000000" w:rsidRPr="00000000" w14:paraId="000014AB">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the practitioner act sensitively to your needs?</w:t>
            </w:r>
          </w:p>
        </w:tc>
      </w:tr>
      <w:tr>
        <w:trPr>
          <w:cantSplit w:val="0"/>
          <w:tblHeader w:val="0"/>
        </w:trPr>
        <w:tc>
          <w:tcPr>
            <w:vMerge w:val="continue"/>
            <w:shd w:fill="fbe5d5" w:val="clear"/>
            <w:vAlign w:val="center"/>
          </w:tcPr>
          <w:p w:rsidR="00000000" w:rsidDel="00000000" w:rsidP="00000000" w:rsidRDefault="00000000" w:rsidRPr="00000000" w14:paraId="00001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be5d5" w:val="clear"/>
            <w:vAlign w:val="center"/>
          </w:tcPr>
          <w:p w:rsidR="00000000" w:rsidDel="00000000" w:rsidP="00000000" w:rsidRDefault="00000000" w:rsidRPr="00000000" w14:paraId="00001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be5d5" w:val="clear"/>
            <w:vAlign w:val="center"/>
          </w:tcPr>
          <w:p w:rsidR="00000000" w:rsidDel="00000000" w:rsidP="00000000" w:rsidRDefault="00000000" w:rsidRPr="00000000" w14:paraId="000014AE">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friendly and respectful?</w:t>
            </w:r>
          </w:p>
        </w:tc>
      </w:tr>
      <w:tr>
        <w:trPr>
          <w:cantSplit w:val="0"/>
          <w:trHeight w:val="79" w:hRule="atLeast"/>
          <w:tblHeader w:val="0"/>
        </w:trPr>
        <w:tc>
          <w:tcPr>
            <w:vMerge w:val="continue"/>
            <w:shd w:fill="fbe5d5" w:val="clear"/>
            <w:vAlign w:val="center"/>
          </w:tcPr>
          <w:p w:rsidR="00000000" w:rsidDel="00000000" w:rsidP="00000000" w:rsidRDefault="00000000" w:rsidRPr="00000000" w14:paraId="00001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be5d5" w:val="clear"/>
            <w:vAlign w:val="center"/>
          </w:tcPr>
          <w:p w:rsidR="00000000" w:rsidDel="00000000" w:rsidP="00000000" w:rsidRDefault="00000000" w:rsidRPr="00000000" w14:paraId="00001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be5d5" w:val="clear"/>
            <w:vAlign w:val="center"/>
          </w:tcPr>
          <w:p w:rsidR="00000000" w:rsidDel="00000000" w:rsidP="00000000" w:rsidRDefault="00000000" w:rsidRPr="00000000" w14:paraId="000014B1">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Was the practitioner concerned about questions and worries?</w:t>
            </w:r>
          </w:p>
        </w:tc>
      </w:tr>
      <w:tr>
        <w:trPr>
          <w:cantSplit w:val="0"/>
          <w:tblHeader w:val="0"/>
        </w:trPr>
        <w:tc>
          <w:tcPr>
            <w:vMerge w:val="restart"/>
            <w:shd w:fill="fbe5d5" w:val="clear"/>
            <w:vAlign w:val="center"/>
          </w:tcPr>
          <w:p w:rsidR="00000000" w:rsidDel="00000000" w:rsidP="00000000" w:rsidRDefault="00000000" w:rsidRPr="00000000" w14:paraId="000014B2">
            <w:pPr>
              <w:rPr>
                <w:rFonts w:ascii="Aptos" w:cs="Aptos" w:eastAsia="Aptos" w:hAnsi="Aptos"/>
                <w:sz w:val="23"/>
                <w:szCs w:val="23"/>
              </w:rPr>
            </w:pPr>
            <w:r w:rsidDel="00000000" w:rsidR="00000000" w:rsidRPr="00000000">
              <w:rPr>
                <w:rFonts w:ascii="Aptos" w:cs="Aptos" w:eastAsia="Aptos" w:hAnsi="Aptos"/>
                <w:sz w:val="23"/>
                <w:szCs w:val="23"/>
                <w:rtl w:val="0"/>
              </w:rPr>
              <w:t xml:space="preserve">Listening to the patient</w:t>
            </w:r>
          </w:p>
        </w:tc>
        <w:tc>
          <w:tcPr>
            <w:vMerge w:val="continue"/>
            <w:shd w:fill="fbe5d5" w:val="clear"/>
            <w:vAlign w:val="center"/>
          </w:tcPr>
          <w:p w:rsidR="00000000" w:rsidDel="00000000" w:rsidP="00000000" w:rsidRDefault="00000000" w:rsidRPr="00000000" w14:paraId="00001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sz w:val="23"/>
                <w:szCs w:val="23"/>
              </w:rPr>
            </w:pPr>
            <w:r w:rsidDel="00000000" w:rsidR="00000000" w:rsidRPr="00000000">
              <w:rPr>
                <w:rtl w:val="0"/>
              </w:rPr>
            </w:r>
          </w:p>
        </w:tc>
        <w:tc>
          <w:tcPr>
            <w:shd w:fill="fbe5d5" w:val="clear"/>
            <w:vAlign w:val="center"/>
          </w:tcPr>
          <w:p w:rsidR="00000000" w:rsidDel="00000000" w:rsidP="00000000" w:rsidRDefault="00000000" w:rsidRPr="00000000" w14:paraId="000014B4">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Were you included in the decision making of your care?</w:t>
            </w:r>
          </w:p>
        </w:tc>
      </w:tr>
      <w:tr>
        <w:trPr>
          <w:cantSplit w:val="0"/>
          <w:tblHeader w:val="0"/>
        </w:trPr>
        <w:tc>
          <w:tcPr>
            <w:vMerge w:val="continue"/>
            <w:shd w:fill="fbe5d5" w:val="clear"/>
            <w:vAlign w:val="center"/>
          </w:tcPr>
          <w:p w:rsidR="00000000" w:rsidDel="00000000" w:rsidP="00000000" w:rsidRDefault="00000000" w:rsidRPr="00000000" w14:paraId="00001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fbe5d5" w:val="clear"/>
            <w:vAlign w:val="center"/>
          </w:tcPr>
          <w:p w:rsidR="00000000" w:rsidDel="00000000" w:rsidP="00000000" w:rsidRDefault="00000000" w:rsidRPr="00000000" w14:paraId="00001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fbe5d5" w:val="clear"/>
            <w:vAlign w:val="center"/>
          </w:tcPr>
          <w:p w:rsidR="00000000" w:rsidDel="00000000" w:rsidP="00000000" w:rsidRDefault="00000000" w:rsidRPr="00000000" w14:paraId="000014B7">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Did you feel listened to?</w:t>
            </w:r>
          </w:p>
        </w:tc>
      </w:tr>
      <w:tr>
        <w:trPr>
          <w:cantSplit w:val="0"/>
          <w:tblHeader w:val="0"/>
        </w:trPr>
        <w:tc>
          <w:tcPr>
            <w:vMerge w:val="restart"/>
            <w:shd w:fill="d5dce4" w:val="clear"/>
            <w:vAlign w:val="center"/>
          </w:tcPr>
          <w:p w:rsidR="00000000" w:rsidDel="00000000" w:rsidP="00000000" w:rsidRDefault="00000000" w:rsidRPr="00000000" w14:paraId="000014B8">
            <w:pPr>
              <w:rPr>
                <w:rFonts w:ascii="Aptos" w:cs="Aptos" w:eastAsia="Aptos" w:hAnsi="Aptos"/>
                <w:sz w:val="23"/>
                <w:szCs w:val="23"/>
              </w:rPr>
            </w:pPr>
            <w:r w:rsidDel="00000000" w:rsidR="00000000" w:rsidRPr="00000000">
              <w:rPr>
                <w:rFonts w:ascii="Aptos" w:cs="Aptos" w:eastAsia="Aptos" w:hAnsi="Aptos"/>
                <w:sz w:val="23"/>
                <w:szCs w:val="23"/>
                <w:rtl w:val="0"/>
              </w:rPr>
              <w:t xml:space="preserve">Barriers to treatment</w:t>
            </w:r>
          </w:p>
        </w:tc>
        <w:tc>
          <w:tcPr>
            <w:vMerge w:val="restart"/>
            <w:shd w:fill="d5dce4" w:val="clear"/>
            <w:vAlign w:val="center"/>
          </w:tcPr>
          <w:p w:rsidR="00000000" w:rsidDel="00000000" w:rsidP="00000000" w:rsidRDefault="00000000" w:rsidRPr="00000000" w14:paraId="000014B9">
            <w:pPr>
              <w:rPr>
                <w:rFonts w:ascii="Aptos" w:cs="Aptos" w:eastAsia="Aptos" w:hAnsi="Aptos"/>
                <w:sz w:val="23"/>
                <w:szCs w:val="23"/>
              </w:rPr>
            </w:pPr>
            <w:r w:rsidDel="00000000" w:rsidR="00000000" w:rsidRPr="00000000">
              <w:rPr>
                <w:rFonts w:ascii="Aptos" w:cs="Aptos" w:eastAsia="Aptos" w:hAnsi="Aptos"/>
                <w:sz w:val="23"/>
                <w:szCs w:val="23"/>
                <w:rtl w:val="0"/>
              </w:rPr>
              <w:t xml:space="preserve">Can you identify any other barriers to treatment that we have not already discussed?</w:t>
            </w:r>
          </w:p>
        </w:tc>
        <w:tc>
          <w:tcPr>
            <w:shd w:fill="d5dce4" w:val="clear"/>
            <w:vAlign w:val="center"/>
          </w:tcPr>
          <w:p w:rsidR="00000000" w:rsidDel="00000000" w:rsidP="00000000" w:rsidRDefault="00000000" w:rsidRPr="00000000" w14:paraId="000014BA">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COVID-19 related barriers (remote appointments, virtual meetings etc)</w:t>
            </w:r>
          </w:p>
        </w:tc>
      </w:tr>
      <w:tr>
        <w:trPr>
          <w:cantSplit w:val="0"/>
          <w:tblHeader w:val="0"/>
        </w:trPr>
        <w:tc>
          <w:tcPr>
            <w:vMerge w:val="continue"/>
            <w:shd w:fill="d5dce4" w:val="clear"/>
            <w:vAlign w:val="center"/>
          </w:tcPr>
          <w:p w:rsidR="00000000" w:rsidDel="00000000" w:rsidP="00000000" w:rsidRDefault="00000000" w:rsidRPr="00000000" w14:paraId="00001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d5dce4" w:val="clear"/>
            <w:vAlign w:val="center"/>
          </w:tcPr>
          <w:p w:rsidR="00000000" w:rsidDel="00000000" w:rsidP="00000000" w:rsidRDefault="00000000" w:rsidRPr="00000000" w14:paraId="00001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d5dce4" w:val="clear"/>
            <w:vAlign w:val="center"/>
          </w:tcPr>
          <w:p w:rsidR="00000000" w:rsidDel="00000000" w:rsidP="00000000" w:rsidRDefault="00000000" w:rsidRPr="00000000" w14:paraId="000014BD">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Gender based issues (childcare availability and/or costs)</w:t>
            </w:r>
          </w:p>
        </w:tc>
      </w:tr>
      <w:tr>
        <w:trPr>
          <w:cantSplit w:val="0"/>
          <w:tblHeader w:val="0"/>
        </w:trPr>
        <w:tc>
          <w:tcPr>
            <w:vMerge w:val="continue"/>
            <w:shd w:fill="d5dce4" w:val="clear"/>
            <w:vAlign w:val="center"/>
          </w:tcPr>
          <w:p w:rsidR="00000000" w:rsidDel="00000000" w:rsidP="00000000" w:rsidRDefault="00000000" w:rsidRPr="00000000" w14:paraId="00001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d5dce4" w:val="clear"/>
            <w:vAlign w:val="center"/>
          </w:tcPr>
          <w:p w:rsidR="00000000" w:rsidDel="00000000" w:rsidP="00000000" w:rsidRDefault="00000000" w:rsidRPr="00000000" w14:paraId="00001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d5dce4" w:val="clear"/>
            <w:vAlign w:val="center"/>
          </w:tcPr>
          <w:p w:rsidR="00000000" w:rsidDel="00000000" w:rsidP="00000000" w:rsidRDefault="00000000" w:rsidRPr="00000000" w14:paraId="000014C0">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Cultural insensitivity </w:t>
            </w:r>
          </w:p>
        </w:tc>
      </w:tr>
      <w:tr>
        <w:trPr>
          <w:cantSplit w:val="0"/>
          <w:tblHeader w:val="0"/>
        </w:trPr>
        <w:tc>
          <w:tcPr>
            <w:vMerge w:val="continue"/>
            <w:shd w:fill="d5dce4" w:val="clear"/>
            <w:vAlign w:val="center"/>
          </w:tcPr>
          <w:p w:rsidR="00000000" w:rsidDel="00000000" w:rsidP="00000000" w:rsidRDefault="00000000" w:rsidRPr="00000000" w14:paraId="00001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vMerge w:val="continue"/>
            <w:shd w:fill="d5dce4" w:val="clear"/>
            <w:vAlign w:val="center"/>
          </w:tcPr>
          <w:p w:rsidR="00000000" w:rsidDel="00000000" w:rsidP="00000000" w:rsidRDefault="00000000" w:rsidRPr="00000000" w14:paraId="00001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i w:val="1"/>
                <w:sz w:val="23"/>
                <w:szCs w:val="23"/>
              </w:rPr>
            </w:pPr>
            <w:r w:rsidDel="00000000" w:rsidR="00000000" w:rsidRPr="00000000">
              <w:rPr>
                <w:rtl w:val="0"/>
              </w:rPr>
            </w:r>
          </w:p>
        </w:tc>
        <w:tc>
          <w:tcPr>
            <w:shd w:fill="d5dce4" w:val="clear"/>
            <w:vAlign w:val="center"/>
          </w:tcPr>
          <w:p w:rsidR="00000000" w:rsidDel="00000000" w:rsidP="00000000" w:rsidRDefault="00000000" w:rsidRPr="00000000" w14:paraId="000014C3">
            <w:pPr>
              <w:rPr>
                <w:rFonts w:ascii="Aptos" w:cs="Aptos" w:eastAsia="Aptos" w:hAnsi="Aptos"/>
                <w:i w:val="1"/>
                <w:sz w:val="23"/>
                <w:szCs w:val="23"/>
              </w:rPr>
            </w:pPr>
            <w:r w:rsidDel="00000000" w:rsidR="00000000" w:rsidRPr="00000000">
              <w:rPr>
                <w:rFonts w:ascii="Aptos" w:cs="Aptos" w:eastAsia="Aptos" w:hAnsi="Aptos"/>
                <w:i w:val="1"/>
                <w:sz w:val="23"/>
                <w:szCs w:val="23"/>
                <w:rtl w:val="0"/>
              </w:rPr>
              <w:t xml:space="preserve">Inclusivity of services</w:t>
            </w:r>
          </w:p>
        </w:tc>
      </w:tr>
      <w:tr>
        <w:trPr>
          <w:cantSplit w:val="0"/>
          <w:tblHeader w:val="0"/>
        </w:trPr>
        <w:tc>
          <w:tcPr>
            <w:shd w:fill="d5dce4" w:val="clear"/>
            <w:vAlign w:val="center"/>
          </w:tcPr>
          <w:p w:rsidR="00000000" w:rsidDel="00000000" w:rsidP="00000000" w:rsidRDefault="00000000" w:rsidRPr="00000000" w14:paraId="000014C4">
            <w:pPr>
              <w:rPr>
                <w:rFonts w:ascii="Aptos" w:cs="Aptos" w:eastAsia="Aptos" w:hAnsi="Aptos"/>
                <w:sz w:val="23"/>
                <w:szCs w:val="23"/>
              </w:rPr>
            </w:pPr>
            <w:r w:rsidDel="00000000" w:rsidR="00000000" w:rsidRPr="00000000">
              <w:rPr>
                <w:rFonts w:ascii="Aptos" w:cs="Aptos" w:eastAsia="Aptos" w:hAnsi="Aptos"/>
                <w:sz w:val="23"/>
                <w:szCs w:val="23"/>
                <w:rtl w:val="0"/>
              </w:rPr>
              <w:t xml:space="preserve">Participant’s opinions on treatment services</w:t>
            </w:r>
          </w:p>
        </w:tc>
        <w:tc>
          <w:tcPr>
            <w:shd w:fill="d5dce4" w:val="clear"/>
            <w:vAlign w:val="center"/>
          </w:tcPr>
          <w:p w:rsidR="00000000" w:rsidDel="00000000" w:rsidP="00000000" w:rsidRDefault="00000000" w:rsidRPr="00000000" w14:paraId="000014C5">
            <w:pPr>
              <w:rPr>
                <w:rFonts w:ascii="Aptos" w:cs="Aptos" w:eastAsia="Aptos" w:hAnsi="Aptos"/>
                <w:sz w:val="23"/>
                <w:szCs w:val="23"/>
              </w:rPr>
            </w:pPr>
            <w:r w:rsidDel="00000000" w:rsidR="00000000" w:rsidRPr="00000000">
              <w:rPr>
                <w:rFonts w:ascii="Aptos" w:cs="Aptos" w:eastAsia="Aptos" w:hAnsi="Aptos"/>
                <w:sz w:val="23"/>
                <w:szCs w:val="23"/>
                <w:rtl w:val="0"/>
              </w:rPr>
              <w:t xml:space="preserve">How do you think that services can be improved to ensure that recovery is well managed?</w:t>
            </w:r>
          </w:p>
        </w:tc>
        <w:tc>
          <w:tcPr>
            <w:shd w:fill="d5dce4" w:val="clear"/>
            <w:vAlign w:val="center"/>
          </w:tcPr>
          <w:p w:rsidR="00000000" w:rsidDel="00000000" w:rsidP="00000000" w:rsidRDefault="00000000" w:rsidRPr="00000000" w14:paraId="000014C6">
            <w:pPr>
              <w:rPr>
                <w:rFonts w:ascii="Aptos" w:cs="Aptos" w:eastAsia="Aptos" w:hAnsi="Aptos"/>
                <w:i w:val="1"/>
                <w:sz w:val="23"/>
                <w:szCs w:val="23"/>
              </w:rPr>
            </w:pPr>
            <w:r w:rsidDel="00000000" w:rsidR="00000000" w:rsidRPr="00000000">
              <w:rPr>
                <w:rtl w:val="0"/>
              </w:rPr>
            </w:r>
          </w:p>
        </w:tc>
      </w:tr>
    </w:tbl>
    <w:p w:rsidR="00000000" w:rsidDel="00000000" w:rsidP="00000000" w:rsidRDefault="00000000" w:rsidRPr="00000000" w14:paraId="000014C7">
      <w:pPr>
        <w:rPr/>
        <w:sectPr>
          <w:type w:val="nextPage"/>
          <w:pgSz w:h="11906" w:w="16838" w:orient="landscape"/>
          <w:pgMar w:bottom="1440" w:top="1440" w:left="1440" w:right="1440" w:header="708" w:footer="708"/>
          <w:titlePg w:val="1"/>
        </w:sectPr>
      </w:pPr>
      <w:r w:rsidDel="00000000" w:rsidR="00000000" w:rsidRPr="00000000">
        <w:rPr>
          <w:rtl w:val="0"/>
        </w:rPr>
      </w:r>
    </w:p>
    <w:p w:rsidR="00000000" w:rsidDel="00000000" w:rsidP="00000000" w:rsidRDefault="00000000" w:rsidRPr="00000000" w14:paraId="000014C8">
      <w:pPr>
        <w:pStyle w:val="Heading2"/>
        <w:jc w:val="both"/>
        <w:rPr/>
      </w:pPr>
      <w:bookmarkStart w:colFirst="0" w:colLast="0" w:name="_heading=h.16x20ju" w:id="155"/>
      <w:bookmarkEnd w:id="155"/>
      <w:r w:rsidDel="00000000" w:rsidR="00000000" w:rsidRPr="00000000">
        <w:rPr>
          <w:rtl w:val="0"/>
        </w:rPr>
        <w:t xml:space="preserve">Appendix 7 - Ethical Approval from the University of Sheffield Ethics Board</w:t>
      </w:r>
    </w:p>
    <w:p w:rsidR="00000000" w:rsidDel="00000000" w:rsidP="00000000" w:rsidRDefault="00000000" w:rsidRPr="00000000" w14:paraId="000014C9">
      <w:pPr>
        <w:rPr/>
        <w:sectPr>
          <w:type w:val="nextPage"/>
          <w:pgSz w:h="16838" w:w="11906" w:orient="portrait"/>
          <w:pgMar w:bottom="1440" w:top="1440" w:left="1440" w:right="1440" w:header="708" w:footer="708"/>
        </w:sectPr>
      </w:pPr>
      <w:r w:rsidDel="00000000" w:rsidR="00000000" w:rsidRPr="00000000">
        <w:rPr/>
        <w:drawing>
          <wp:inline distB="0" distT="0" distL="0" distR="0">
            <wp:extent cx="5727897" cy="8095032"/>
            <wp:effectExtent b="0" l="0" r="0" t="0"/>
            <wp:docPr descr="A screenshot of a computer&#10;&#10;Description automatically generated with medium confidence" id="2142794204" name="image17.png"/>
            <a:graphic>
              <a:graphicData uri="http://schemas.openxmlformats.org/drawingml/2006/picture">
                <pic:pic>
                  <pic:nvPicPr>
                    <pic:cNvPr descr="A screenshot of a computer&#10;&#10;Description automatically generated with medium confidence" id="0" name="image17.png"/>
                    <pic:cNvPicPr preferRelativeResize="0"/>
                  </pic:nvPicPr>
                  <pic:blipFill>
                    <a:blip r:embed="rId147"/>
                    <a:srcRect b="14653" l="14859" r="51824" t="10010"/>
                    <a:stretch>
                      <a:fillRect/>
                    </a:stretch>
                  </pic:blipFill>
                  <pic:spPr>
                    <a:xfrm>
                      <a:off x="0" y="0"/>
                      <a:ext cx="5727897" cy="8095032"/>
                    </a:xfrm>
                    <a:prstGeom prst="rect"/>
                    <a:ln/>
                  </pic:spPr>
                </pic:pic>
              </a:graphicData>
            </a:graphic>
          </wp:inline>
        </w:drawing>
      </w:r>
      <w:r w:rsidDel="00000000" w:rsidR="00000000" w:rsidRPr="00000000">
        <w:rPr>
          <w:rtl w:val="0"/>
        </w:rPr>
      </w:r>
    </w:p>
    <w:p w:rsidR="00000000" w:rsidDel="00000000" w:rsidP="00000000" w:rsidRDefault="00000000" w:rsidRPr="00000000" w14:paraId="000014CA">
      <w:pPr>
        <w:pStyle w:val="Heading2"/>
        <w:spacing w:line="480" w:lineRule="auto"/>
        <w:rPr/>
      </w:pPr>
      <w:bookmarkStart w:colFirst="0" w:colLast="0" w:name="_heading=h.3qwpj7n" w:id="156"/>
      <w:bookmarkEnd w:id="156"/>
      <w:r w:rsidDel="00000000" w:rsidR="00000000" w:rsidRPr="00000000">
        <w:rPr>
          <w:rtl w:val="0"/>
        </w:rPr>
        <w:t xml:space="preserve">Appendix 8 - Risk Assessment</w:t>
      </w:r>
    </w:p>
    <w:p w:rsidR="00000000" w:rsidDel="00000000" w:rsidP="00000000" w:rsidRDefault="00000000" w:rsidRPr="00000000" w14:paraId="000014CB">
      <w:pPr>
        <w:rPr>
          <w:rFonts w:ascii="Aptos" w:cs="Aptos" w:eastAsia="Aptos" w:hAnsi="Aptos"/>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5752657" cy="1912095"/>
                <wp:effectExtent b="0" l="0" r="0" t="0"/>
                <wp:wrapNone/>
                <wp:docPr id="2142794186" name=""/>
                <a:graphic>
                  <a:graphicData uri="http://schemas.microsoft.com/office/word/2010/wordprocessingShape">
                    <wps:wsp>
                      <wps:cNvSpPr/>
                      <wps:cNvPr id="27" name="Shape 27"/>
                      <wps:spPr>
                        <a:xfrm>
                          <a:off x="2488722" y="2843003"/>
                          <a:ext cx="5714557" cy="1873995"/>
                        </a:xfrm>
                        <a:prstGeom prst="rect">
                          <a:avLst/>
                        </a:prstGeom>
                        <a:noFill/>
                        <a:ln cap="flat" cmpd="sng" w="38100">
                          <a:solidFill>
                            <a:srgbClr val="3F3F3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ptos" w:cs="Aptos" w:eastAsia="Aptos" w:hAnsi="Aptos"/>
                                <w:b w:val="0"/>
                                <w:i w:val="0"/>
                                <w:smallCaps w:val="0"/>
                                <w:strike w:val="0"/>
                                <w:color w:val="000000"/>
                                <w:sz w:val="20"/>
                                <w:vertAlign w:val="baseline"/>
                              </w:rPr>
                            </w:r>
                            <w:r w:rsidDel="00000000" w:rsidR="00000000" w:rsidRPr="00000000">
                              <w:rPr>
                                <w:rFonts w:ascii="Aptos" w:cs="Aptos" w:eastAsia="Aptos" w:hAnsi="Aptos"/>
                                <w:b w:val="0"/>
                                <w:i w:val="0"/>
                                <w:smallCaps w:val="0"/>
                                <w:strike w:val="0"/>
                                <w:color w:val="000000"/>
                                <w:sz w:val="20"/>
                                <w:vertAlign w:val="baseline"/>
                              </w:rPr>
                              <w:t xml:space="preserve">Figure 2: The level of risk, calculated by the severity of the hazardous event’s consequence, and the likelihood of the hazardous event occurring.</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5752657" cy="1912095"/>
                <wp:effectExtent b="0" l="0" r="0" t="0"/>
                <wp:wrapNone/>
                <wp:docPr id="2142794186" name="image8.png"/>
                <a:graphic>
                  <a:graphicData uri="http://schemas.openxmlformats.org/drawingml/2006/picture">
                    <pic:pic>
                      <pic:nvPicPr>
                        <pic:cNvPr id="0" name="image8.png"/>
                        <pic:cNvPicPr preferRelativeResize="0"/>
                      </pic:nvPicPr>
                      <pic:blipFill>
                        <a:blip r:embed="rId8"/>
                        <a:srcRect/>
                        <a:stretch>
                          <a:fillRect/>
                        </a:stretch>
                      </pic:blipFill>
                      <pic:spPr>
                        <a:xfrm>
                          <a:off x="0" y="0"/>
                          <a:ext cx="5752657" cy="1912095"/>
                        </a:xfrm>
                        <a:prstGeom prst="rect"/>
                        <a:ln/>
                      </pic:spPr>
                    </pic:pic>
                  </a:graphicData>
                </a:graphic>
              </wp:anchor>
            </w:drawing>
          </mc:Fallback>
        </mc:AlternateContent>
      </w:r>
    </w:p>
    <w:p w:rsidR="00000000" w:rsidDel="00000000" w:rsidP="00000000" w:rsidRDefault="00000000" w:rsidRPr="00000000" w14:paraId="000014CC">
      <w:pPr>
        <w:rPr>
          <w:rFonts w:ascii="Aptos" w:cs="Aptos" w:eastAsia="Aptos" w:hAnsi="Aptos"/>
        </w:rPr>
      </w:pPr>
      <w:r w:rsidDel="00000000" w:rsidR="00000000" w:rsidRPr="00000000">
        <w:rPr>
          <w:rtl w:val="0"/>
        </w:rPr>
      </w:r>
    </w:p>
    <w:p w:rsidR="00000000" w:rsidDel="00000000" w:rsidP="00000000" w:rsidRDefault="00000000" w:rsidRPr="00000000" w14:paraId="000014CD">
      <w:pPr>
        <w:rPr>
          <w:rFonts w:ascii="Aptos" w:cs="Aptos" w:eastAsia="Aptos" w:hAnsi="Aptos"/>
        </w:rPr>
      </w:pPr>
      <w:r w:rsidDel="00000000" w:rsidR="00000000" w:rsidRPr="00000000">
        <w:rPr>
          <w:rtl w:val="0"/>
        </w:rPr>
      </w:r>
    </w:p>
    <w:p w:rsidR="00000000" w:rsidDel="00000000" w:rsidP="00000000" w:rsidRDefault="00000000" w:rsidRPr="00000000" w14:paraId="000014CE">
      <w:pPr>
        <w:rPr>
          <w:rFonts w:ascii="Aptos" w:cs="Aptos" w:eastAsia="Aptos" w:hAnsi="Aptos"/>
        </w:rPr>
      </w:pPr>
      <w:r w:rsidDel="00000000" w:rsidR="00000000" w:rsidRPr="00000000">
        <w:rPr>
          <w:rtl w:val="0"/>
        </w:rPr>
      </w:r>
    </w:p>
    <w:p w:rsidR="00000000" w:rsidDel="00000000" w:rsidP="00000000" w:rsidRDefault="00000000" w:rsidRPr="00000000" w14:paraId="000014CF">
      <w:pPr>
        <w:rPr>
          <w:rFonts w:ascii="Aptos" w:cs="Aptos" w:eastAsia="Aptos" w:hAnsi="Aptos"/>
        </w:rPr>
      </w:pPr>
      <w:r w:rsidDel="00000000" w:rsidR="00000000" w:rsidRPr="00000000">
        <w:rPr>
          <w:rtl w:val="0"/>
        </w:rPr>
      </w:r>
    </w:p>
    <w:p w:rsidR="00000000" w:rsidDel="00000000" w:rsidP="00000000" w:rsidRDefault="00000000" w:rsidRPr="00000000" w14:paraId="000014D0">
      <w:pPr>
        <w:rPr>
          <w:rFonts w:ascii="Aptos" w:cs="Aptos" w:eastAsia="Aptos" w:hAnsi="Aptos"/>
        </w:rPr>
      </w:pPr>
      <w:r w:rsidDel="00000000" w:rsidR="00000000" w:rsidRPr="00000000">
        <w:rPr>
          <w:rtl w:val="0"/>
        </w:rPr>
      </w:r>
    </w:p>
    <w:p w:rsidR="00000000" w:rsidDel="00000000" w:rsidP="00000000" w:rsidRDefault="00000000" w:rsidRPr="00000000" w14:paraId="000014D1">
      <w:pPr>
        <w:rPr>
          <w:rFonts w:ascii="Aptos" w:cs="Aptos" w:eastAsia="Aptos" w:hAnsi="Aptos"/>
        </w:rPr>
      </w:pPr>
      <w:r w:rsidDel="00000000" w:rsidR="00000000" w:rsidRPr="00000000">
        <w:rPr>
          <w:rtl w:val="0"/>
        </w:rPr>
      </w:r>
    </w:p>
    <w:p w:rsidR="00000000" w:rsidDel="00000000" w:rsidP="00000000" w:rsidRDefault="00000000" w:rsidRPr="00000000" w14:paraId="000014D2">
      <w:pPr>
        <w:rPr>
          <w:rFonts w:ascii="Aptos" w:cs="Aptos" w:eastAsia="Aptos" w:hAnsi="Aptos"/>
        </w:rPr>
      </w:pPr>
      <w:r w:rsidDel="00000000" w:rsidR="00000000" w:rsidRPr="00000000">
        <w:rPr>
          <w:rtl w:val="0"/>
        </w:rPr>
      </w:r>
    </w:p>
    <w:p w:rsidR="00000000" w:rsidDel="00000000" w:rsidP="00000000" w:rsidRDefault="00000000" w:rsidRPr="00000000" w14:paraId="000014D3">
      <w:pPr>
        <w:rPr>
          <w:rFonts w:ascii="Aptos" w:cs="Aptos" w:eastAsia="Aptos" w:hAnsi="Aptos"/>
        </w:rPr>
      </w:pPr>
      <w:r w:rsidDel="00000000" w:rsidR="00000000" w:rsidRPr="00000000">
        <w:rPr>
          <w:rtl w:val="0"/>
        </w:rPr>
      </w:r>
    </w:p>
    <w:p w:rsidR="00000000" w:rsidDel="00000000" w:rsidP="00000000" w:rsidRDefault="00000000" w:rsidRPr="00000000" w14:paraId="000014D4">
      <w:pPr>
        <w:rPr>
          <w:rFonts w:ascii="Aptos" w:cs="Aptos" w:eastAsia="Aptos" w:hAnsi="Aptos"/>
        </w:rPr>
      </w:pPr>
      <w:r w:rsidDel="00000000" w:rsidR="00000000" w:rsidRPr="00000000">
        <w:rPr>
          <w:rtl w:val="0"/>
        </w:rPr>
      </w:r>
    </w:p>
    <w:p w:rsidR="00000000" w:rsidDel="00000000" w:rsidP="00000000" w:rsidRDefault="00000000" w:rsidRPr="00000000" w14:paraId="000014D5">
      <w:pPr>
        <w:rPr>
          <w:rFonts w:ascii="Aptos" w:cs="Aptos" w:eastAsia="Aptos" w:hAnsi="Aptos"/>
        </w:rPr>
      </w:pPr>
      <w:r w:rsidDel="00000000" w:rsidR="00000000" w:rsidRPr="00000000">
        <w:rPr>
          <w:rtl w:val="0"/>
        </w:rPr>
      </w:r>
    </w:p>
    <w:p w:rsidR="00000000" w:rsidDel="00000000" w:rsidP="00000000" w:rsidRDefault="00000000" w:rsidRPr="00000000" w14:paraId="000014D6">
      <w:pPr>
        <w:rPr>
          <w:rFonts w:ascii="Aptos" w:cs="Aptos" w:eastAsia="Aptos" w:hAnsi="Aptos"/>
        </w:rPr>
      </w:pPr>
      <w:r w:rsidDel="00000000" w:rsidR="00000000" w:rsidRPr="00000000">
        <w:rPr>
          <w:rtl w:val="0"/>
        </w:rPr>
      </w:r>
    </w:p>
    <w:tbl>
      <w:tblPr>
        <w:tblStyle w:val="Table14"/>
        <w:tblW w:w="13846.999999999998" w:type="dxa"/>
        <w:jc w:val="left"/>
        <w:tblBorders>
          <w:top w:color="7f7f7f" w:space="0" w:sz="4" w:val="single"/>
          <w:left w:color="000000" w:space="0" w:sz="4" w:val="single"/>
          <w:bottom w:color="7f7f7f" w:space="0" w:sz="4" w:val="single"/>
          <w:right w:color="000000" w:space="0" w:sz="4" w:val="single"/>
          <w:insideH w:color="000000" w:space="0" w:sz="4" w:val="single"/>
          <w:insideV w:color="000000" w:space="0" w:sz="4" w:val="single"/>
        </w:tblBorders>
        <w:tblLayout w:type="fixed"/>
        <w:tblLook w:val="0400"/>
      </w:tblPr>
      <w:tblGrid>
        <w:gridCol w:w="2254"/>
        <w:gridCol w:w="2419"/>
        <w:gridCol w:w="2126"/>
        <w:gridCol w:w="1284"/>
        <w:gridCol w:w="5764"/>
        <w:tblGridChange w:id="0">
          <w:tblGrid>
            <w:gridCol w:w="2254"/>
            <w:gridCol w:w="2419"/>
            <w:gridCol w:w="2126"/>
            <w:gridCol w:w="1284"/>
            <w:gridCol w:w="5764"/>
          </w:tblGrid>
        </w:tblGridChange>
      </w:tblGrid>
      <w:tr>
        <w:trPr>
          <w:cantSplit w:val="0"/>
          <w:trHeight w:val="439" w:hRule="atLeast"/>
          <w:tblHeader w:val="0"/>
        </w:trPr>
        <w:tc>
          <w:tcPr>
            <w:vAlign w:val="center"/>
          </w:tcPr>
          <w:p w:rsidR="00000000" w:rsidDel="00000000" w:rsidP="00000000" w:rsidRDefault="00000000" w:rsidRPr="00000000" w14:paraId="000014D7">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Category</w:t>
            </w:r>
          </w:p>
        </w:tc>
        <w:tc>
          <w:tcPr>
            <w:vAlign w:val="center"/>
          </w:tcPr>
          <w:p w:rsidR="00000000" w:rsidDel="00000000" w:rsidP="00000000" w:rsidRDefault="00000000" w:rsidRPr="00000000" w14:paraId="000014D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Hazard</w:t>
            </w:r>
          </w:p>
        </w:tc>
        <w:tc>
          <w:tcPr>
            <w:vAlign w:val="center"/>
          </w:tcPr>
          <w:p w:rsidR="00000000" w:rsidDel="00000000" w:rsidP="00000000" w:rsidRDefault="00000000" w:rsidRPr="00000000" w14:paraId="000014D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Who may be harmed</w:t>
            </w:r>
          </w:p>
        </w:tc>
        <w:tc>
          <w:tcPr>
            <w:vAlign w:val="center"/>
          </w:tcPr>
          <w:p w:rsidR="00000000" w:rsidDel="00000000" w:rsidP="00000000" w:rsidRDefault="00000000" w:rsidRPr="00000000" w14:paraId="000014DA">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Risk Level</w:t>
            </w:r>
          </w:p>
          <w:p w:rsidR="00000000" w:rsidDel="00000000" w:rsidP="00000000" w:rsidRDefault="00000000" w:rsidRPr="00000000" w14:paraId="000014D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 LxC)</w:t>
            </w:r>
          </w:p>
        </w:tc>
        <w:tc>
          <w:tcPr>
            <w:vAlign w:val="center"/>
          </w:tcPr>
          <w:p w:rsidR="00000000" w:rsidDel="00000000" w:rsidP="00000000" w:rsidRDefault="00000000" w:rsidRPr="00000000" w14:paraId="000014DC">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Control</w:t>
            </w:r>
          </w:p>
        </w:tc>
      </w:tr>
      <w:tr>
        <w:trPr>
          <w:cantSplit w:val="0"/>
          <w:trHeight w:val="795" w:hRule="atLeast"/>
          <w:tblHeader w:val="0"/>
        </w:trPr>
        <w:tc>
          <w:tcPr>
            <w:vMerge w:val="restart"/>
            <w:vAlign w:val="center"/>
          </w:tcPr>
          <w:p w:rsidR="00000000" w:rsidDel="00000000" w:rsidP="00000000" w:rsidRDefault="00000000" w:rsidRPr="00000000" w14:paraId="000014DD">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Social risks</w:t>
            </w:r>
          </w:p>
          <w:p w:rsidR="00000000" w:rsidDel="00000000" w:rsidP="00000000" w:rsidRDefault="00000000" w:rsidRPr="00000000" w14:paraId="000014DE">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DF">
            <w:pPr>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4E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Implications for participants in the community</w:t>
            </w:r>
          </w:p>
        </w:tc>
        <w:tc>
          <w:tcPr>
            <w:vAlign w:val="center"/>
          </w:tcPr>
          <w:p w:rsidR="00000000" w:rsidDel="00000000" w:rsidP="00000000" w:rsidRDefault="00000000" w:rsidRPr="00000000" w14:paraId="000014E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92d050" w:val="clear"/>
            <w:vAlign w:val="center"/>
          </w:tcPr>
          <w:p w:rsidR="00000000" w:rsidDel="00000000" w:rsidP="00000000" w:rsidRDefault="00000000" w:rsidRPr="00000000" w14:paraId="000014E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4E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E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4E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will be bound by confidentiality; therefore, the community will be unaware that the participant is engaging in research unless the participant discloses such.</w:t>
            </w:r>
          </w:p>
        </w:tc>
      </w:tr>
      <w:tr>
        <w:trPr>
          <w:cantSplit w:val="0"/>
          <w:trHeight w:val="792" w:hRule="atLeast"/>
          <w:tblHeader w:val="0"/>
        </w:trPr>
        <w:tc>
          <w:tcPr>
            <w:vMerge w:val="continue"/>
            <w:vAlign w:val="center"/>
          </w:tcPr>
          <w:p w:rsidR="00000000" w:rsidDel="00000000" w:rsidP="00000000" w:rsidRDefault="00000000" w:rsidRPr="00000000" w14:paraId="00001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4E7">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Implications for participants within the family unit</w:t>
            </w:r>
          </w:p>
        </w:tc>
        <w:tc>
          <w:tcPr>
            <w:vAlign w:val="center"/>
          </w:tcPr>
          <w:p w:rsidR="00000000" w:rsidDel="00000000" w:rsidP="00000000" w:rsidRDefault="00000000" w:rsidRPr="00000000" w14:paraId="000014E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0f9ed5" w:val="clear"/>
            <w:vAlign w:val="center"/>
          </w:tcPr>
          <w:p w:rsidR="00000000" w:rsidDel="00000000" w:rsidP="00000000" w:rsidRDefault="00000000" w:rsidRPr="00000000" w14:paraId="000014E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4EA">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E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tc>
        <w:tc>
          <w:tcPr>
            <w:vAlign w:val="center"/>
          </w:tcPr>
          <w:p w:rsidR="00000000" w:rsidDel="00000000" w:rsidP="00000000" w:rsidRDefault="00000000" w:rsidRPr="00000000" w14:paraId="000014EC">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will be bound by confidentiality; therefore, the family will be unaware that the participant is engaging in research unless the participant discloses such.</w:t>
            </w:r>
          </w:p>
          <w:p w:rsidR="00000000" w:rsidDel="00000000" w:rsidP="00000000" w:rsidRDefault="00000000" w:rsidRPr="00000000" w14:paraId="000014ED">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EE">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All participants will be encouraged to have privacy when participating where accessible, however I understand single parents and guardians may be unable to do this.</w:t>
            </w:r>
          </w:p>
        </w:tc>
      </w:tr>
      <w:tr>
        <w:trPr>
          <w:cantSplit w:val="0"/>
          <w:trHeight w:val="748" w:hRule="atLeast"/>
          <w:tblHeader w:val="0"/>
        </w:trPr>
        <w:tc>
          <w:tcPr>
            <w:vMerge w:val="continue"/>
            <w:vAlign w:val="center"/>
          </w:tcPr>
          <w:p w:rsidR="00000000" w:rsidDel="00000000" w:rsidP="00000000" w:rsidRDefault="00000000" w:rsidRPr="00000000" w14:paraId="000014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4F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Implications for participants’ employment</w:t>
            </w:r>
          </w:p>
        </w:tc>
        <w:tc>
          <w:tcPr>
            <w:vAlign w:val="center"/>
          </w:tcPr>
          <w:p w:rsidR="00000000" w:rsidDel="00000000" w:rsidP="00000000" w:rsidRDefault="00000000" w:rsidRPr="00000000" w14:paraId="000014F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92d050" w:val="clear"/>
            <w:vAlign w:val="center"/>
          </w:tcPr>
          <w:p w:rsidR="00000000" w:rsidDel="00000000" w:rsidP="00000000" w:rsidRDefault="00000000" w:rsidRPr="00000000" w14:paraId="000014F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4F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4F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will be bound by confidentiality; therefore, the participant’s employer will be unaware that the participant is engaging in research unless the participant discloses such.</w:t>
            </w:r>
          </w:p>
          <w:p w:rsidR="00000000" w:rsidDel="00000000" w:rsidP="00000000" w:rsidRDefault="00000000" w:rsidRPr="00000000" w14:paraId="000014F6">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7">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is flexible regarding interview times, as it may not be possible for the participant to take an hour from work to participate; therefore, the researcher will conduct an interview or focus group at the weekend if necessary.</w:t>
            </w:r>
          </w:p>
        </w:tc>
      </w:tr>
      <w:tr>
        <w:trPr>
          <w:cantSplit w:val="0"/>
          <w:trHeight w:val="906" w:hRule="atLeast"/>
          <w:tblHeader w:val="0"/>
        </w:trPr>
        <w:tc>
          <w:tcPr>
            <w:vMerge w:val="restart"/>
            <w:vAlign w:val="center"/>
          </w:tcPr>
          <w:p w:rsidR="00000000" w:rsidDel="00000000" w:rsidP="00000000" w:rsidRDefault="00000000" w:rsidRPr="00000000" w14:paraId="000014F8">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Legal risks</w:t>
            </w:r>
          </w:p>
          <w:p w:rsidR="00000000" w:rsidDel="00000000" w:rsidP="00000000" w:rsidRDefault="00000000" w:rsidRPr="00000000" w14:paraId="000014F9">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A">
            <w:pP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B">
            <w:pP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C">
            <w:pP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D">
            <w:pP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E">
            <w:pP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4FF">
            <w:pPr>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0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Activities that could result in the participant, researchers and/or University committing an offence.</w:t>
            </w:r>
          </w:p>
        </w:tc>
        <w:tc>
          <w:tcPr>
            <w:vAlign w:val="center"/>
          </w:tcPr>
          <w:p w:rsidR="00000000" w:rsidDel="00000000" w:rsidP="00000000" w:rsidRDefault="00000000" w:rsidRPr="00000000" w14:paraId="0000150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 University of Sheffield</w:t>
            </w:r>
          </w:p>
        </w:tc>
        <w:tc>
          <w:tcPr>
            <w:shd w:fill="92d050" w:val="clear"/>
            <w:vAlign w:val="center"/>
          </w:tcPr>
          <w:p w:rsidR="00000000" w:rsidDel="00000000" w:rsidP="00000000" w:rsidRDefault="00000000" w:rsidRPr="00000000" w14:paraId="0000150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0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0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0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is aware of the potential legal issues surrounding their topic area, therefore if the interview or focus group is leading towards that area of discussion it shall be bought back to a more relevant topic area.</w:t>
            </w:r>
          </w:p>
        </w:tc>
      </w:tr>
      <w:tr>
        <w:trPr>
          <w:cantSplit w:val="0"/>
          <w:trHeight w:val="88" w:hRule="atLeast"/>
          <w:tblHeader w:val="0"/>
        </w:trPr>
        <w:tc>
          <w:tcPr>
            <w:vMerge w:val="continue"/>
            <w:vAlign w:val="center"/>
          </w:tcPr>
          <w:p w:rsidR="00000000" w:rsidDel="00000000" w:rsidP="00000000" w:rsidRDefault="00000000" w:rsidRPr="00000000" w14:paraId="00001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07">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0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Activities that might lead to a participant disclosing criminal activity to a researcher which would necessitate reporting to enforcement authorities</w:t>
            </w:r>
          </w:p>
          <w:p w:rsidR="00000000" w:rsidDel="00000000" w:rsidP="00000000" w:rsidRDefault="00000000" w:rsidRPr="00000000" w14:paraId="00001509">
            <w:pPr>
              <w:jc w:val="center"/>
              <w:rPr>
                <w:rFonts w:ascii="Aptos" w:cs="Aptos" w:eastAsia="Aptos" w:hAnsi="Aptos"/>
                <w:sz w:val="19"/>
                <w:szCs w:val="19"/>
              </w:rPr>
            </w:pPr>
            <w:r w:rsidDel="00000000" w:rsidR="00000000" w:rsidRPr="00000000">
              <w:rPr>
                <w:rtl w:val="0"/>
              </w:rPr>
            </w:r>
          </w:p>
          <w:p w:rsidR="00000000" w:rsidDel="00000000" w:rsidP="00000000" w:rsidRDefault="00000000" w:rsidRPr="00000000" w14:paraId="0000150A">
            <w:pPr>
              <w:jc w:val="center"/>
              <w:rPr>
                <w:rFonts w:ascii="Aptos" w:cs="Aptos" w:eastAsia="Aptos" w:hAnsi="Aptos"/>
                <w:sz w:val="19"/>
                <w:szCs w:val="19"/>
              </w:rPr>
            </w:pPr>
            <w:r w:rsidDel="00000000" w:rsidR="00000000" w:rsidRPr="00000000">
              <w:rPr>
                <w:rtl w:val="0"/>
              </w:rPr>
            </w:r>
          </w:p>
        </w:tc>
        <w:tc>
          <w:tcPr>
            <w:vAlign w:val="center"/>
          </w:tcPr>
          <w:p w:rsidR="00000000" w:rsidDel="00000000" w:rsidP="00000000" w:rsidRDefault="00000000" w:rsidRPr="00000000" w14:paraId="0000150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0f9ed5" w:val="clear"/>
            <w:vAlign w:val="center"/>
          </w:tcPr>
          <w:p w:rsidR="00000000" w:rsidDel="00000000" w:rsidP="00000000" w:rsidRDefault="00000000" w:rsidRPr="00000000" w14:paraId="0000150C">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Major</w:t>
            </w:r>
          </w:p>
          <w:p w:rsidR="00000000" w:rsidDel="00000000" w:rsidP="00000000" w:rsidRDefault="00000000" w:rsidRPr="00000000" w14:paraId="0000150D">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0E">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p w:rsidR="00000000" w:rsidDel="00000000" w:rsidP="00000000" w:rsidRDefault="00000000" w:rsidRPr="00000000" w14:paraId="0000150F">
            <w:pPr>
              <w:spacing w:line="276" w:lineRule="auto"/>
              <w:jc w:val="center"/>
              <w:rPr>
                <w:rFonts w:ascii="Aptos" w:cs="Aptos" w:eastAsia="Aptos" w:hAnsi="Aptos"/>
                <w:sz w:val="19"/>
                <w:szCs w:val="19"/>
              </w:rPr>
            </w:pPr>
            <w:r w:rsidDel="00000000" w:rsidR="00000000" w:rsidRPr="00000000">
              <w:rPr>
                <w:rtl w:val="0"/>
              </w:rPr>
            </w:r>
          </w:p>
        </w:tc>
        <w:tc>
          <w:tcPr>
            <w:vAlign w:val="center"/>
          </w:tcPr>
          <w:p w:rsidR="00000000" w:rsidDel="00000000" w:rsidP="00000000" w:rsidRDefault="00000000" w:rsidRPr="00000000" w14:paraId="00001510">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Disclosure of criminal activity will be discussed in the consent form, including the researcher’s obligation to report any disclosures to the relevant authorities. It is therefore the participants decision to disclose any information relating to criminal activity.</w:t>
            </w:r>
          </w:p>
          <w:p w:rsidR="00000000" w:rsidDel="00000000" w:rsidP="00000000" w:rsidRDefault="00000000" w:rsidRPr="00000000" w14:paraId="00001511">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12">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is aware of the legal issues surrounding their drug use, therefore if the interview or focus group is leading towards that area of discussion it shall be bought back to a more relevant topic area.</w:t>
            </w:r>
          </w:p>
        </w:tc>
      </w:tr>
      <w:tr>
        <w:trPr>
          <w:cantSplit w:val="0"/>
          <w:trHeight w:val="731" w:hRule="atLeast"/>
          <w:tblHeader w:val="0"/>
        </w:trPr>
        <w:tc>
          <w:tcPr>
            <w:vMerge w:val="continue"/>
            <w:vAlign w:val="center"/>
          </w:tcPr>
          <w:p w:rsidR="00000000" w:rsidDel="00000000" w:rsidP="00000000" w:rsidRDefault="00000000" w:rsidRPr="00000000" w14:paraId="00001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1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COVID-19 Legislation</w:t>
            </w:r>
          </w:p>
        </w:tc>
        <w:tc>
          <w:tcPr>
            <w:vAlign w:val="center"/>
          </w:tcPr>
          <w:p w:rsidR="00000000" w:rsidDel="00000000" w:rsidP="00000000" w:rsidRDefault="00000000" w:rsidRPr="00000000" w14:paraId="00001515">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 University of Sheffield</w:t>
            </w:r>
          </w:p>
        </w:tc>
        <w:tc>
          <w:tcPr>
            <w:shd w:fill="92d050" w:val="clear"/>
            <w:vAlign w:val="center"/>
          </w:tcPr>
          <w:p w:rsidR="00000000" w:rsidDel="00000000" w:rsidP="00000000" w:rsidRDefault="00000000" w:rsidRPr="00000000" w14:paraId="0000151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17">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1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19">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and participants will be working and participating from home, therefore COVID-19 transmission or lockdown travel restrictions will not be a direct association with participation.</w:t>
            </w:r>
          </w:p>
          <w:p w:rsidR="00000000" w:rsidDel="00000000" w:rsidP="00000000" w:rsidRDefault="00000000" w:rsidRPr="00000000" w14:paraId="0000151A">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1B">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Travel to University to store sensitive data is considered work, therefore essential travel under the Coronavirus legislation. Safety guidance will be followed if this occurs, e.g., face coverings and hand sanitiser will be used.</w:t>
            </w:r>
          </w:p>
        </w:tc>
      </w:tr>
      <w:tr>
        <w:trPr>
          <w:cantSplit w:val="0"/>
          <w:trHeight w:val="483" w:hRule="atLeast"/>
          <w:tblHeader w:val="0"/>
        </w:trPr>
        <w:tc>
          <w:tcPr>
            <w:vMerge w:val="restart"/>
            <w:vAlign w:val="center"/>
          </w:tcPr>
          <w:p w:rsidR="00000000" w:rsidDel="00000000" w:rsidP="00000000" w:rsidRDefault="00000000" w:rsidRPr="00000000" w14:paraId="0000151C">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Economic harm</w:t>
            </w:r>
          </w:p>
          <w:p w:rsidR="00000000" w:rsidDel="00000000" w:rsidP="00000000" w:rsidRDefault="00000000" w:rsidRPr="00000000" w14:paraId="0000151D">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1E">
            <w:pPr>
              <w:rPr>
                <w:rFonts w:ascii="Aptos" w:cs="Aptos" w:eastAsia="Aptos" w:hAnsi="Aptos"/>
                <w:color w:val="666666"/>
                <w:sz w:val="19"/>
                <w:szCs w:val="19"/>
              </w:rPr>
            </w:pPr>
            <w:r w:rsidDel="00000000" w:rsidR="00000000" w:rsidRPr="00000000">
              <w:rPr>
                <w:rtl w:val="0"/>
              </w:rPr>
            </w:r>
          </w:p>
          <w:p w:rsidR="00000000" w:rsidDel="00000000" w:rsidP="00000000" w:rsidRDefault="00000000" w:rsidRPr="00000000" w14:paraId="0000151F">
            <w:pPr>
              <w:spacing w:line="276" w:lineRule="auto"/>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2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Economic harm to participant</w:t>
            </w:r>
          </w:p>
        </w:tc>
        <w:tc>
          <w:tcPr>
            <w:vAlign w:val="center"/>
          </w:tcPr>
          <w:p w:rsidR="00000000" w:rsidDel="00000000" w:rsidP="00000000" w:rsidRDefault="00000000" w:rsidRPr="00000000" w14:paraId="0000152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92d050" w:val="clear"/>
            <w:vAlign w:val="center"/>
          </w:tcPr>
          <w:p w:rsidR="00000000" w:rsidDel="00000000" w:rsidP="00000000" w:rsidRDefault="00000000" w:rsidRPr="00000000" w14:paraId="0000152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2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2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2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participant will not be required to pay any money to participate. Economic harm may occur if there are implications for their work, such as taking time off (which is discouraged, see social risks for more information) or job insecurities due to disclosures in participation (See social risks for more information)</w:t>
            </w:r>
          </w:p>
          <w:p w:rsidR="00000000" w:rsidDel="00000000" w:rsidP="00000000" w:rsidRDefault="00000000" w:rsidRPr="00000000" w14:paraId="00001526">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27">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participant will be given high street vouchers as compensation for their time.</w:t>
            </w:r>
          </w:p>
        </w:tc>
      </w:tr>
      <w:tr>
        <w:trPr>
          <w:cantSplit w:val="0"/>
          <w:trHeight w:val="75" w:hRule="atLeast"/>
          <w:tblHeader w:val="0"/>
        </w:trPr>
        <w:tc>
          <w:tcPr>
            <w:vMerge w:val="continue"/>
            <w:vAlign w:val="center"/>
          </w:tcPr>
          <w:p w:rsidR="00000000" w:rsidDel="00000000" w:rsidP="00000000" w:rsidRDefault="00000000" w:rsidRPr="00000000" w14:paraId="000015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2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Economic harm to Researcher</w:t>
            </w:r>
          </w:p>
        </w:tc>
        <w:tc>
          <w:tcPr>
            <w:vAlign w:val="center"/>
          </w:tcPr>
          <w:p w:rsidR="00000000" w:rsidDel="00000000" w:rsidP="00000000" w:rsidRDefault="00000000" w:rsidRPr="00000000" w14:paraId="0000152A">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Researcher</w:t>
            </w:r>
          </w:p>
        </w:tc>
        <w:tc>
          <w:tcPr>
            <w:shd w:fill="92d050" w:val="clear"/>
            <w:vAlign w:val="center"/>
          </w:tcPr>
          <w:p w:rsidR="00000000" w:rsidDel="00000000" w:rsidP="00000000" w:rsidRDefault="00000000" w:rsidRPr="00000000" w14:paraId="0000152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52C">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2D">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2E">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will not be required to pay any money to conduct this research. Time will not be taken off work due to flexible shift working, therefore there are no financial implications.</w:t>
            </w:r>
          </w:p>
        </w:tc>
      </w:tr>
      <w:tr>
        <w:trPr>
          <w:cantSplit w:val="0"/>
          <w:trHeight w:val="669" w:hRule="atLeast"/>
          <w:tblHeader w:val="0"/>
        </w:trPr>
        <w:tc>
          <w:tcPr>
            <w:vMerge w:val="continue"/>
            <w:vAlign w:val="center"/>
          </w:tcPr>
          <w:p w:rsidR="00000000" w:rsidDel="00000000" w:rsidP="00000000" w:rsidRDefault="00000000" w:rsidRPr="00000000" w14:paraId="00001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3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Economic harm to the University of Sheffield</w:t>
            </w:r>
          </w:p>
        </w:tc>
        <w:tc>
          <w:tcPr>
            <w:vAlign w:val="center"/>
          </w:tcPr>
          <w:p w:rsidR="00000000" w:rsidDel="00000000" w:rsidP="00000000" w:rsidRDefault="00000000" w:rsidRPr="00000000" w14:paraId="0000153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University of Sheffield</w:t>
            </w:r>
          </w:p>
        </w:tc>
        <w:tc>
          <w:tcPr>
            <w:shd w:fill="00b050" w:val="clear"/>
            <w:vAlign w:val="center"/>
          </w:tcPr>
          <w:p w:rsidR="00000000" w:rsidDel="00000000" w:rsidP="00000000" w:rsidRDefault="00000000" w:rsidRPr="00000000" w14:paraId="0000153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Moderate</w:t>
            </w:r>
          </w:p>
          <w:p w:rsidR="00000000" w:rsidDel="00000000" w:rsidP="00000000" w:rsidRDefault="00000000" w:rsidRPr="00000000" w14:paraId="0000153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3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LOW RISK</w:t>
            </w:r>
          </w:p>
        </w:tc>
        <w:tc>
          <w:tcPr>
            <w:vAlign w:val="center"/>
          </w:tcPr>
          <w:p w:rsidR="00000000" w:rsidDel="00000000" w:rsidP="00000000" w:rsidRDefault="00000000" w:rsidRPr="00000000" w14:paraId="0000153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University of Sheffield will only be required to pay for high street vouchers as compensation for participant’s time.</w:t>
            </w:r>
          </w:p>
        </w:tc>
      </w:tr>
      <w:tr>
        <w:trPr>
          <w:cantSplit w:val="0"/>
          <w:trHeight w:val="557" w:hRule="atLeast"/>
          <w:tblHeader w:val="0"/>
        </w:trPr>
        <w:tc>
          <w:tcPr>
            <w:vMerge w:val="restart"/>
            <w:vAlign w:val="center"/>
          </w:tcPr>
          <w:p w:rsidR="00000000" w:rsidDel="00000000" w:rsidP="00000000" w:rsidRDefault="00000000" w:rsidRPr="00000000" w14:paraId="00001536">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Reputational risks</w:t>
            </w:r>
          </w:p>
        </w:tc>
        <w:tc>
          <w:tcPr>
            <w:vAlign w:val="center"/>
          </w:tcPr>
          <w:p w:rsidR="00000000" w:rsidDel="00000000" w:rsidP="00000000" w:rsidRDefault="00000000" w:rsidRPr="00000000" w14:paraId="00001537">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Damage to the Institution’s reputation</w:t>
            </w:r>
          </w:p>
        </w:tc>
        <w:tc>
          <w:tcPr>
            <w:vAlign w:val="center"/>
          </w:tcPr>
          <w:p w:rsidR="00000000" w:rsidDel="00000000" w:rsidP="00000000" w:rsidRDefault="00000000" w:rsidRPr="00000000" w14:paraId="0000153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University of Sheffield</w:t>
            </w:r>
          </w:p>
        </w:tc>
        <w:tc>
          <w:tcPr>
            <w:shd w:fill="92d050" w:val="clear"/>
            <w:vAlign w:val="center"/>
          </w:tcPr>
          <w:p w:rsidR="00000000" w:rsidDel="00000000" w:rsidP="00000000" w:rsidRDefault="00000000" w:rsidRPr="00000000" w14:paraId="0000153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3A">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3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3C">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participant will have signed a consent form outlining the full and transparent details of the research they are considering participating in. Therefore, the participant will be fully aware of any harms that may be caused during participation and will have consented. This means the researcher and the University of Sheffield will not be held responsible for any harms or damages caused.</w:t>
            </w:r>
          </w:p>
        </w:tc>
      </w:tr>
      <w:tr>
        <w:trPr>
          <w:cantSplit w:val="0"/>
          <w:trHeight w:val="895" w:hRule="atLeast"/>
          <w:tblHeader w:val="0"/>
        </w:trPr>
        <w:tc>
          <w:tcPr>
            <w:vMerge w:val="continue"/>
            <w:vAlign w:val="center"/>
          </w:tcPr>
          <w:p w:rsidR="00000000" w:rsidDel="00000000" w:rsidP="00000000" w:rsidRDefault="00000000" w:rsidRPr="00000000" w14:paraId="00001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3E">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Damage to the researcher’s reputation</w:t>
            </w:r>
          </w:p>
        </w:tc>
        <w:tc>
          <w:tcPr>
            <w:vAlign w:val="center"/>
          </w:tcPr>
          <w:p w:rsidR="00000000" w:rsidDel="00000000" w:rsidP="00000000" w:rsidRDefault="00000000" w:rsidRPr="00000000" w14:paraId="0000153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Researcher</w:t>
            </w:r>
          </w:p>
        </w:tc>
        <w:tc>
          <w:tcPr>
            <w:shd w:fill="92d050" w:val="clear"/>
            <w:vAlign w:val="center"/>
          </w:tcPr>
          <w:p w:rsidR="00000000" w:rsidDel="00000000" w:rsidP="00000000" w:rsidRDefault="00000000" w:rsidRPr="00000000" w14:paraId="0000154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41">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4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43">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participant will have signed a consent form outlining the full and transparent details of the research they are considering participating in and will be encouraged to keep all information that is said in both the interviews and focus groups confidential.</w:t>
            </w:r>
          </w:p>
          <w:p w:rsidR="00000000" w:rsidDel="00000000" w:rsidP="00000000" w:rsidRDefault="00000000" w:rsidRPr="00000000" w14:paraId="00001544">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45">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Therefore, the participant will be fully aware of any harms that may be caused during participation and will have consented. This means the researcher and the University of Sheffield will not be held responsible for any harms or damages caused.</w:t>
            </w:r>
          </w:p>
        </w:tc>
      </w:tr>
      <w:tr>
        <w:trPr>
          <w:cantSplit w:val="0"/>
          <w:trHeight w:val="895" w:hRule="atLeast"/>
          <w:tblHeader w:val="0"/>
        </w:trPr>
        <w:tc>
          <w:tcPr>
            <w:vMerge w:val="continue"/>
            <w:vAlign w:val="center"/>
          </w:tcPr>
          <w:p w:rsidR="00000000" w:rsidDel="00000000" w:rsidP="00000000" w:rsidRDefault="00000000" w:rsidRPr="00000000" w14:paraId="00001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47">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Damage to the participant’s reputation</w:t>
            </w:r>
          </w:p>
        </w:tc>
        <w:tc>
          <w:tcPr>
            <w:vAlign w:val="center"/>
          </w:tcPr>
          <w:p w:rsidR="00000000" w:rsidDel="00000000" w:rsidP="00000000" w:rsidRDefault="00000000" w:rsidRPr="00000000" w14:paraId="0000154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0f9ed5" w:val="clear"/>
            <w:vAlign w:val="center"/>
          </w:tcPr>
          <w:p w:rsidR="00000000" w:rsidDel="00000000" w:rsidP="00000000" w:rsidRDefault="00000000" w:rsidRPr="00000000" w14:paraId="0000154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Catastrophic</w:t>
            </w:r>
          </w:p>
          <w:p w:rsidR="00000000" w:rsidDel="00000000" w:rsidP="00000000" w:rsidRDefault="00000000" w:rsidRPr="00000000" w14:paraId="0000154A">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4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tc>
        <w:tc>
          <w:tcPr>
            <w:vAlign w:val="center"/>
          </w:tcPr>
          <w:p w:rsidR="00000000" w:rsidDel="00000000" w:rsidP="00000000" w:rsidRDefault="00000000" w:rsidRPr="00000000" w14:paraId="0000154C">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participant will be encouraged to keep all information that is said in both the interviews and focus groups confidential.</w:t>
            </w:r>
          </w:p>
          <w:p w:rsidR="00000000" w:rsidDel="00000000" w:rsidP="00000000" w:rsidRDefault="00000000" w:rsidRPr="00000000" w14:paraId="0000154D">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4E">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Furthermore, the researcher is bound by confidentiality so any information that is disclosed will be of the participants free will, meaning the University of Sheffield and researcher are not responsible for any damage caused.</w:t>
            </w:r>
          </w:p>
        </w:tc>
      </w:tr>
      <w:tr>
        <w:trPr>
          <w:cantSplit w:val="0"/>
          <w:trHeight w:val="1115" w:hRule="atLeast"/>
          <w:tblHeader w:val="0"/>
        </w:trPr>
        <w:tc>
          <w:tcPr>
            <w:vMerge w:val="restart"/>
            <w:vAlign w:val="center"/>
          </w:tcPr>
          <w:p w:rsidR="00000000" w:rsidDel="00000000" w:rsidP="00000000" w:rsidRDefault="00000000" w:rsidRPr="00000000" w14:paraId="0000154F">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Safeguarding risks</w:t>
            </w:r>
          </w:p>
        </w:tc>
        <w:tc>
          <w:tcPr>
            <w:vAlign w:val="center"/>
          </w:tcPr>
          <w:p w:rsidR="00000000" w:rsidDel="00000000" w:rsidP="00000000" w:rsidRDefault="00000000" w:rsidRPr="00000000" w14:paraId="00001550">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51">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5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Risk to young people</w:t>
            </w:r>
          </w:p>
          <w:p w:rsidR="00000000" w:rsidDel="00000000" w:rsidP="00000000" w:rsidRDefault="00000000" w:rsidRPr="00000000" w14:paraId="00001553">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54">
            <w:pPr>
              <w:spacing w:line="276" w:lineRule="auto"/>
              <w:jc w:val="center"/>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55">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Young people within the Participant’s household</w:t>
            </w:r>
          </w:p>
        </w:tc>
        <w:tc>
          <w:tcPr>
            <w:shd w:fill="ff0000" w:val="clear"/>
            <w:vAlign w:val="center"/>
          </w:tcPr>
          <w:p w:rsidR="00000000" w:rsidDel="00000000" w:rsidP="00000000" w:rsidRDefault="00000000" w:rsidRPr="00000000" w14:paraId="0000155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Fairly Likely X Major</w:t>
            </w:r>
          </w:p>
          <w:p w:rsidR="00000000" w:rsidDel="00000000" w:rsidP="00000000" w:rsidRDefault="00000000" w:rsidRPr="00000000" w14:paraId="00001557">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5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HIGH RISK</w:t>
            </w:r>
          </w:p>
        </w:tc>
        <w:tc>
          <w:tcPr>
            <w:vAlign w:val="center"/>
          </w:tcPr>
          <w:p w:rsidR="00000000" w:rsidDel="00000000" w:rsidP="00000000" w:rsidRDefault="00000000" w:rsidRPr="00000000" w14:paraId="00001559">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All participants will be encouraged to have privacy when participating where accessible, however I understand single parents or guardians may be unable to do this.</w:t>
            </w:r>
          </w:p>
        </w:tc>
      </w:tr>
      <w:tr>
        <w:trPr>
          <w:cantSplit w:val="0"/>
          <w:trHeight w:val="1115" w:hRule="atLeast"/>
          <w:tblHeader w:val="0"/>
        </w:trPr>
        <w:tc>
          <w:tcPr>
            <w:vMerge w:val="continue"/>
            <w:vAlign w:val="center"/>
          </w:tcPr>
          <w:p w:rsidR="00000000" w:rsidDel="00000000" w:rsidP="00000000" w:rsidRDefault="00000000" w:rsidRPr="00000000" w14:paraId="00001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5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Risk of abuse, exploitation or harassment</w:t>
            </w:r>
          </w:p>
        </w:tc>
        <w:tc>
          <w:tcPr>
            <w:vAlign w:val="center"/>
          </w:tcPr>
          <w:p w:rsidR="00000000" w:rsidDel="00000000" w:rsidP="00000000" w:rsidRDefault="00000000" w:rsidRPr="00000000" w14:paraId="0000155C">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0f9ed5" w:val="clear"/>
            <w:vAlign w:val="center"/>
          </w:tcPr>
          <w:p w:rsidR="00000000" w:rsidDel="00000000" w:rsidP="00000000" w:rsidRDefault="00000000" w:rsidRPr="00000000" w14:paraId="0000155D">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Major</w:t>
            </w:r>
          </w:p>
          <w:p w:rsidR="00000000" w:rsidDel="00000000" w:rsidP="00000000" w:rsidRDefault="00000000" w:rsidRPr="00000000" w14:paraId="0000155E">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5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tc>
        <w:tc>
          <w:tcPr>
            <w:vAlign w:val="center"/>
          </w:tcPr>
          <w:p w:rsidR="00000000" w:rsidDel="00000000" w:rsidP="00000000" w:rsidRDefault="00000000" w:rsidRPr="00000000" w14:paraId="00001560">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Participants will be encouraged to not interact with each other once the research has finished, but this is out of the researcher’s control.</w:t>
            </w:r>
          </w:p>
        </w:tc>
      </w:tr>
      <w:tr>
        <w:trPr>
          <w:cantSplit w:val="0"/>
          <w:trHeight w:val="1115" w:hRule="atLeast"/>
          <w:tblHeader w:val="0"/>
        </w:trPr>
        <w:tc>
          <w:tcPr>
            <w:vMerge w:val="continue"/>
            <w:vAlign w:val="center"/>
          </w:tcPr>
          <w:p w:rsidR="00000000" w:rsidDel="00000000" w:rsidP="00000000" w:rsidRDefault="00000000" w:rsidRPr="00000000" w14:paraId="000015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62">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Risk of a compromising situation, e.g., accusations of improper behaviour</w:t>
            </w:r>
          </w:p>
        </w:tc>
        <w:tc>
          <w:tcPr>
            <w:vAlign w:val="center"/>
          </w:tcPr>
          <w:p w:rsidR="00000000" w:rsidDel="00000000" w:rsidP="00000000" w:rsidRDefault="00000000" w:rsidRPr="00000000" w14:paraId="00001563">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92d050" w:val="clear"/>
            <w:vAlign w:val="center"/>
          </w:tcPr>
          <w:p w:rsidR="00000000" w:rsidDel="00000000" w:rsidP="00000000" w:rsidRDefault="00000000" w:rsidRPr="00000000" w14:paraId="0000156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Major</w:t>
            </w:r>
          </w:p>
          <w:p w:rsidR="00000000" w:rsidDel="00000000" w:rsidP="00000000" w:rsidRDefault="00000000" w:rsidRPr="00000000" w14:paraId="00001565">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6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67">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All interactions will be recorded, therefore provides evidentiary support if a false allegation was made.</w:t>
            </w:r>
          </w:p>
          <w:p w:rsidR="00000000" w:rsidDel="00000000" w:rsidP="00000000" w:rsidRDefault="00000000" w:rsidRPr="00000000" w14:paraId="00001568">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69">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Participants will be encouraged to not interact with each other once the research has finished, but this is out of the researcher’s control.</w:t>
            </w:r>
          </w:p>
        </w:tc>
      </w:tr>
      <w:tr>
        <w:trPr>
          <w:cantSplit w:val="0"/>
          <w:trHeight w:val="164" w:hRule="atLeast"/>
          <w:tblHeader w:val="0"/>
        </w:trPr>
        <w:tc>
          <w:tcPr>
            <w:vMerge w:val="continue"/>
            <w:vAlign w:val="center"/>
          </w:tcPr>
          <w:p w:rsidR="00000000" w:rsidDel="00000000" w:rsidP="00000000" w:rsidRDefault="00000000" w:rsidRPr="00000000" w14:paraId="000015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6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Illness</w:t>
            </w:r>
          </w:p>
        </w:tc>
        <w:tc>
          <w:tcPr>
            <w:vAlign w:val="center"/>
          </w:tcPr>
          <w:p w:rsidR="00000000" w:rsidDel="00000000" w:rsidP="00000000" w:rsidRDefault="00000000" w:rsidRPr="00000000" w14:paraId="0000156C">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w:t>
            </w:r>
          </w:p>
        </w:tc>
        <w:tc>
          <w:tcPr>
            <w:shd w:fill="00b050" w:val="clear"/>
            <w:vAlign w:val="center"/>
          </w:tcPr>
          <w:p w:rsidR="00000000" w:rsidDel="00000000" w:rsidP="00000000" w:rsidRDefault="00000000" w:rsidRPr="00000000" w14:paraId="0000156D">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Moderate</w:t>
            </w:r>
          </w:p>
          <w:p w:rsidR="00000000" w:rsidDel="00000000" w:rsidP="00000000" w:rsidRDefault="00000000" w:rsidRPr="00000000" w14:paraId="0000156E">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6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LOW RISK</w:t>
            </w:r>
          </w:p>
        </w:tc>
        <w:tc>
          <w:tcPr>
            <w:vAlign w:val="center"/>
          </w:tcPr>
          <w:p w:rsidR="00000000" w:rsidDel="00000000" w:rsidP="00000000" w:rsidRDefault="00000000" w:rsidRPr="00000000" w14:paraId="00001570">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If the participant is ill, the researcher is happy to rearrange the interview.</w:t>
            </w:r>
          </w:p>
          <w:p w:rsidR="00000000" w:rsidDel="00000000" w:rsidP="00000000" w:rsidRDefault="00000000" w:rsidRPr="00000000" w14:paraId="00001571">
            <w:pPr>
              <w:spacing w:line="276" w:lineRule="auto"/>
              <w:rPr>
                <w:rFonts w:ascii="Aptos" w:cs="Aptos" w:eastAsia="Aptos" w:hAnsi="Aptos"/>
                <w:color w:val="000000"/>
                <w:sz w:val="19"/>
                <w:szCs w:val="19"/>
              </w:rPr>
            </w:pPr>
            <w:r w:rsidDel="00000000" w:rsidR="00000000" w:rsidRPr="00000000">
              <w:rPr>
                <w:rtl w:val="0"/>
              </w:rPr>
            </w:r>
          </w:p>
        </w:tc>
      </w:tr>
      <w:tr>
        <w:trPr>
          <w:cantSplit w:val="0"/>
          <w:trHeight w:val="480" w:hRule="atLeast"/>
          <w:tblHeader w:val="0"/>
        </w:trPr>
        <w:tc>
          <w:tcPr>
            <w:vMerge w:val="restart"/>
            <w:vAlign w:val="center"/>
          </w:tcPr>
          <w:p w:rsidR="00000000" w:rsidDel="00000000" w:rsidP="00000000" w:rsidRDefault="00000000" w:rsidRPr="00000000" w14:paraId="00001572">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Health and safety risks</w:t>
            </w:r>
          </w:p>
          <w:p w:rsidR="00000000" w:rsidDel="00000000" w:rsidP="00000000" w:rsidRDefault="00000000" w:rsidRPr="00000000" w14:paraId="00001573">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74">
            <w:pPr>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75">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Verbal abuse</w:t>
            </w:r>
          </w:p>
        </w:tc>
        <w:tc>
          <w:tcPr>
            <w:vAlign w:val="center"/>
          </w:tcPr>
          <w:p w:rsidR="00000000" w:rsidDel="00000000" w:rsidP="00000000" w:rsidRDefault="00000000" w:rsidRPr="00000000" w14:paraId="0000157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0f9ed5" w:val="clear"/>
            <w:vAlign w:val="center"/>
          </w:tcPr>
          <w:p w:rsidR="00000000" w:rsidDel="00000000" w:rsidP="00000000" w:rsidRDefault="00000000" w:rsidRPr="00000000" w14:paraId="00001577">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Major</w:t>
            </w:r>
          </w:p>
          <w:p w:rsidR="00000000" w:rsidDel="00000000" w:rsidP="00000000" w:rsidRDefault="00000000" w:rsidRPr="00000000" w14:paraId="00001578">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79">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tc>
        <w:tc>
          <w:tcPr>
            <w:vAlign w:val="center"/>
          </w:tcPr>
          <w:p w:rsidR="00000000" w:rsidDel="00000000" w:rsidP="00000000" w:rsidRDefault="00000000" w:rsidRPr="00000000" w14:paraId="0000157A">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If verbal abuse occurs, fill out an incident report.</w:t>
            </w:r>
          </w:p>
          <w:p w:rsidR="00000000" w:rsidDel="00000000" w:rsidP="00000000" w:rsidRDefault="00000000" w:rsidRPr="00000000" w14:paraId="0000157B">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br w:type="textWrapping"/>
              <w:t xml:space="preserve">Disconnect the abusive participant, specifically when in a focus group.</w:t>
            </w:r>
          </w:p>
          <w:p w:rsidR="00000000" w:rsidDel="00000000" w:rsidP="00000000" w:rsidRDefault="00000000" w:rsidRPr="00000000" w14:paraId="0000157C">
            <w:pPr>
              <w:spacing w:line="276" w:lineRule="auto"/>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7D">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Ensure other participants are ok and happy to continue.</w:t>
            </w:r>
          </w:p>
        </w:tc>
      </w:tr>
      <w:tr>
        <w:trPr>
          <w:cantSplit w:val="0"/>
          <w:trHeight w:val="761" w:hRule="atLeast"/>
          <w:tblHeader w:val="0"/>
        </w:trPr>
        <w:tc>
          <w:tcPr>
            <w:vMerge w:val="continue"/>
            <w:vAlign w:val="center"/>
          </w:tcPr>
          <w:p w:rsidR="00000000" w:rsidDel="00000000" w:rsidP="00000000" w:rsidRDefault="00000000" w:rsidRPr="00000000" w14:paraId="00001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7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High hours worked due to workload</w:t>
            </w:r>
          </w:p>
        </w:tc>
        <w:tc>
          <w:tcPr>
            <w:vAlign w:val="center"/>
          </w:tcPr>
          <w:p w:rsidR="00000000" w:rsidDel="00000000" w:rsidP="00000000" w:rsidRDefault="00000000" w:rsidRPr="00000000" w14:paraId="00001580">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Researcher</w:t>
            </w:r>
          </w:p>
        </w:tc>
        <w:tc>
          <w:tcPr>
            <w:shd w:fill="ff0000" w:val="clear"/>
            <w:vAlign w:val="center"/>
          </w:tcPr>
          <w:p w:rsidR="00000000" w:rsidDel="00000000" w:rsidP="00000000" w:rsidRDefault="00000000" w:rsidRPr="00000000" w14:paraId="0000158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Likely X Major</w:t>
            </w:r>
          </w:p>
          <w:p w:rsidR="00000000" w:rsidDel="00000000" w:rsidP="00000000" w:rsidRDefault="00000000" w:rsidRPr="00000000" w14:paraId="00001582">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83">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HIGH RISK</w:t>
            </w:r>
          </w:p>
        </w:tc>
        <w:tc>
          <w:tcPr>
            <w:vAlign w:val="center"/>
          </w:tcPr>
          <w:p w:rsidR="00000000" w:rsidDel="00000000" w:rsidP="00000000" w:rsidRDefault="00000000" w:rsidRPr="00000000" w14:paraId="00001584">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Work between set hours and take regular breaks.</w:t>
            </w:r>
          </w:p>
        </w:tc>
      </w:tr>
      <w:tr>
        <w:trPr>
          <w:cantSplit w:val="0"/>
          <w:trHeight w:val="761" w:hRule="atLeast"/>
          <w:tblHeader w:val="0"/>
        </w:trPr>
        <w:tc>
          <w:tcPr>
            <w:vMerge w:val="continue"/>
            <w:vAlign w:val="center"/>
          </w:tcPr>
          <w:p w:rsidR="00000000" w:rsidDel="00000000" w:rsidP="00000000" w:rsidRDefault="00000000" w:rsidRPr="00000000" w14:paraId="000015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8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Driving for work</w:t>
            </w:r>
          </w:p>
        </w:tc>
        <w:tc>
          <w:tcPr>
            <w:vAlign w:val="center"/>
          </w:tcPr>
          <w:p w:rsidR="00000000" w:rsidDel="00000000" w:rsidP="00000000" w:rsidRDefault="00000000" w:rsidRPr="00000000" w14:paraId="00001587">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0f9ed5" w:val="clear"/>
            <w:vAlign w:val="center"/>
          </w:tcPr>
          <w:p w:rsidR="00000000" w:rsidDel="00000000" w:rsidP="00000000" w:rsidRDefault="00000000" w:rsidRPr="00000000" w14:paraId="0000158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Insignificant X Catastrophic</w:t>
            </w:r>
          </w:p>
          <w:p w:rsidR="00000000" w:rsidDel="00000000" w:rsidP="00000000" w:rsidRDefault="00000000" w:rsidRPr="00000000" w14:paraId="00001589">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8A">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MEDIUM RISK</w:t>
            </w:r>
          </w:p>
        </w:tc>
        <w:tc>
          <w:tcPr>
            <w:vAlign w:val="center"/>
          </w:tcPr>
          <w:p w:rsidR="00000000" w:rsidDel="00000000" w:rsidP="00000000" w:rsidRDefault="00000000" w:rsidRPr="00000000" w14:paraId="0000158B">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and participants will be working and participating from home, therefore driving is unnecessary.</w:t>
            </w:r>
          </w:p>
        </w:tc>
      </w:tr>
      <w:tr>
        <w:trPr>
          <w:cantSplit w:val="0"/>
          <w:trHeight w:val="761" w:hRule="atLeast"/>
          <w:tblHeader w:val="0"/>
        </w:trPr>
        <w:tc>
          <w:tcPr>
            <w:vMerge w:val="continue"/>
            <w:vAlign w:val="center"/>
          </w:tcPr>
          <w:p w:rsidR="00000000" w:rsidDel="00000000" w:rsidP="00000000" w:rsidRDefault="00000000" w:rsidRPr="00000000" w14:paraId="00001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8D">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Physical Injury</w:t>
            </w:r>
          </w:p>
        </w:tc>
        <w:tc>
          <w:tcPr>
            <w:vAlign w:val="center"/>
          </w:tcPr>
          <w:p w:rsidR="00000000" w:rsidDel="00000000" w:rsidP="00000000" w:rsidRDefault="00000000" w:rsidRPr="00000000" w14:paraId="0000158E">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00b050" w:val="clear"/>
            <w:vAlign w:val="center"/>
          </w:tcPr>
          <w:p w:rsidR="00000000" w:rsidDel="00000000" w:rsidP="00000000" w:rsidRDefault="00000000" w:rsidRPr="00000000" w14:paraId="0000158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Unlikely X Minor</w:t>
            </w:r>
          </w:p>
          <w:p w:rsidR="00000000" w:rsidDel="00000000" w:rsidP="00000000" w:rsidRDefault="00000000" w:rsidRPr="00000000" w14:paraId="00001590">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91">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VERY LOW RISK</w:t>
            </w:r>
          </w:p>
        </w:tc>
        <w:tc>
          <w:tcPr>
            <w:vAlign w:val="center"/>
          </w:tcPr>
          <w:p w:rsidR="00000000" w:rsidDel="00000000" w:rsidP="00000000" w:rsidRDefault="00000000" w:rsidRPr="00000000" w14:paraId="00001592">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and participants will be working and participating from home, therefore physical injury will not be a direct association with participation.</w:t>
            </w:r>
          </w:p>
        </w:tc>
      </w:tr>
      <w:tr>
        <w:trPr>
          <w:cantSplit w:val="0"/>
          <w:trHeight w:val="761" w:hRule="atLeast"/>
          <w:tblHeader w:val="0"/>
        </w:trPr>
        <w:tc>
          <w:tcPr>
            <w:vMerge w:val="continue"/>
            <w:vAlign w:val="center"/>
          </w:tcPr>
          <w:p w:rsidR="00000000" w:rsidDel="00000000" w:rsidP="00000000" w:rsidRDefault="00000000" w:rsidRPr="00000000" w14:paraId="000015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94">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Psychological Harm</w:t>
            </w:r>
          </w:p>
        </w:tc>
        <w:tc>
          <w:tcPr>
            <w:vAlign w:val="center"/>
          </w:tcPr>
          <w:p w:rsidR="00000000" w:rsidDel="00000000" w:rsidP="00000000" w:rsidRDefault="00000000" w:rsidRPr="00000000" w14:paraId="00001595">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w:t>
            </w:r>
          </w:p>
        </w:tc>
        <w:tc>
          <w:tcPr>
            <w:shd w:fill="92d050" w:val="clear"/>
            <w:vAlign w:val="center"/>
          </w:tcPr>
          <w:p w:rsidR="00000000" w:rsidDel="00000000" w:rsidP="00000000" w:rsidRDefault="00000000" w:rsidRPr="00000000" w14:paraId="00001596">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597">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98">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99">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will provide participants with a debrief document, which will contain phone numbers of organisations they are able to contact if they experience psychological harm such as triggers for their dependence. The researcher will also conduct a debrief at the end of the focus group and interview.</w:t>
            </w:r>
          </w:p>
        </w:tc>
      </w:tr>
      <w:tr>
        <w:trPr>
          <w:cantSplit w:val="0"/>
          <w:trHeight w:val="603" w:hRule="atLeast"/>
          <w:tblHeader w:val="0"/>
        </w:trPr>
        <w:tc>
          <w:tcPr>
            <w:vMerge w:val="continue"/>
            <w:vAlign w:val="center"/>
          </w:tcPr>
          <w:p w:rsidR="00000000" w:rsidDel="00000000" w:rsidP="00000000" w:rsidRDefault="00000000" w:rsidRPr="00000000" w14:paraId="00001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color w:val="000000"/>
                <w:sz w:val="19"/>
                <w:szCs w:val="19"/>
              </w:rPr>
            </w:pPr>
            <w:r w:rsidDel="00000000" w:rsidR="00000000" w:rsidRPr="00000000">
              <w:rPr>
                <w:rtl w:val="0"/>
              </w:rPr>
            </w:r>
          </w:p>
        </w:tc>
        <w:tc>
          <w:tcPr>
            <w:vAlign w:val="center"/>
          </w:tcPr>
          <w:p w:rsidR="00000000" w:rsidDel="00000000" w:rsidP="00000000" w:rsidRDefault="00000000" w:rsidRPr="00000000" w14:paraId="0000159B">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COVID-19 Transmission</w:t>
            </w:r>
          </w:p>
        </w:tc>
        <w:tc>
          <w:tcPr>
            <w:vAlign w:val="center"/>
          </w:tcPr>
          <w:p w:rsidR="00000000" w:rsidDel="00000000" w:rsidP="00000000" w:rsidRDefault="00000000" w:rsidRPr="00000000" w14:paraId="0000159C">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Participant, Researcher, University of Sheffield</w:t>
            </w:r>
          </w:p>
        </w:tc>
        <w:tc>
          <w:tcPr>
            <w:shd w:fill="92d050" w:val="clear"/>
            <w:vAlign w:val="center"/>
          </w:tcPr>
          <w:p w:rsidR="00000000" w:rsidDel="00000000" w:rsidP="00000000" w:rsidRDefault="00000000" w:rsidRPr="00000000" w14:paraId="0000159D">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Unlikely X Moderate</w:t>
            </w:r>
          </w:p>
          <w:p w:rsidR="00000000" w:rsidDel="00000000" w:rsidP="00000000" w:rsidRDefault="00000000" w:rsidRPr="00000000" w14:paraId="0000159E">
            <w:pPr>
              <w:spacing w:line="276" w:lineRule="auto"/>
              <w:jc w:val="center"/>
              <w:rPr>
                <w:rFonts w:ascii="Aptos" w:cs="Aptos" w:eastAsia="Aptos" w:hAnsi="Aptos"/>
                <w:color w:val="000000"/>
                <w:sz w:val="19"/>
                <w:szCs w:val="19"/>
              </w:rPr>
            </w:pPr>
            <w:r w:rsidDel="00000000" w:rsidR="00000000" w:rsidRPr="00000000">
              <w:rPr>
                <w:rtl w:val="0"/>
              </w:rPr>
            </w:r>
          </w:p>
          <w:p w:rsidR="00000000" w:rsidDel="00000000" w:rsidP="00000000" w:rsidRDefault="00000000" w:rsidRPr="00000000" w14:paraId="0000159F">
            <w:pPr>
              <w:spacing w:line="276" w:lineRule="auto"/>
              <w:jc w:val="center"/>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LOW RISK</w:t>
            </w:r>
          </w:p>
        </w:tc>
        <w:tc>
          <w:tcPr>
            <w:vAlign w:val="center"/>
          </w:tcPr>
          <w:p w:rsidR="00000000" w:rsidDel="00000000" w:rsidP="00000000" w:rsidRDefault="00000000" w:rsidRPr="00000000" w14:paraId="000015A0">
            <w:pPr>
              <w:spacing w:line="276" w:lineRule="auto"/>
              <w:rPr>
                <w:rFonts w:ascii="Aptos" w:cs="Aptos" w:eastAsia="Aptos" w:hAnsi="Aptos"/>
                <w:color w:val="000000"/>
                <w:sz w:val="19"/>
                <w:szCs w:val="19"/>
              </w:rPr>
            </w:pPr>
            <w:r w:rsidDel="00000000" w:rsidR="00000000" w:rsidRPr="00000000">
              <w:rPr>
                <w:rFonts w:ascii="Aptos" w:cs="Aptos" w:eastAsia="Aptos" w:hAnsi="Aptos"/>
                <w:color w:val="000000"/>
                <w:sz w:val="19"/>
                <w:szCs w:val="19"/>
                <w:rtl w:val="0"/>
              </w:rPr>
              <w:t xml:space="preserve">The researcher and participants will be working and participating from home, therefore COVID-19 transmission will not be a direct association with participation.</w:t>
            </w:r>
          </w:p>
        </w:tc>
      </w:tr>
    </w:tbl>
    <w:p w:rsidR="00000000" w:rsidDel="00000000" w:rsidP="00000000" w:rsidRDefault="00000000" w:rsidRPr="00000000" w14:paraId="000015A1">
      <w:pPr>
        <w:rPr>
          <w:rFonts w:ascii="Aptos" w:cs="Aptos" w:eastAsia="Aptos" w:hAnsi="Aptos"/>
        </w:rPr>
        <w:sectPr>
          <w:type w:val="nextPage"/>
          <w:pgSz w:h="11906" w:w="16838" w:orient="landscape"/>
          <w:pgMar w:bottom="1440" w:top="1440" w:left="1440" w:right="1440" w:header="708" w:footer="708"/>
        </w:sectPr>
      </w:pPr>
      <w:r w:rsidDel="00000000" w:rsidR="00000000" w:rsidRPr="00000000">
        <w:rPr>
          <w:rtl w:val="0"/>
        </w:rPr>
      </w:r>
    </w:p>
    <w:p w:rsidR="00000000" w:rsidDel="00000000" w:rsidP="00000000" w:rsidRDefault="00000000" w:rsidRPr="00000000" w14:paraId="000015A2">
      <w:pPr>
        <w:pStyle w:val="Heading2"/>
        <w:spacing w:line="480" w:lineRule="auto"/>
        <w:rPr/>
      </w:pPr>
      <w:bookmarkStart w:colFirst="0" w:colLast="0" w:name="_heading=h.261ztfg" w:id="157"/>
      <w:bookmarkEnd w:id="157"/>
      <w:r w:rsidDel="00000000" w:rsidR="00000000" w:rsidRPr="00000000">
        <w:rPr>
          <w:rtl w:val="0"/>
        </w:rPr>
        <w:t xml:space="preserve">Appendix 9 - Participant Debrief Sheet</w:t>
      </w:r>
    </w:p>
    <w:p w:rsidR="00000000" w:rsidDel="00000000" w:rsidP="00000000" w:rsidRDefault="00000000" w:rsidRPr="00000000" w14:paraId="000015A3">
      <w:pPr>
        <w:rPr/>
      </w:pPr>
      <w:r w:rsidDel="00000000" w:rsidR="00000000" w:rsidRPr="00000000">
        <w:rPr/>
        <w:drawing>
          <wp:inline distB="0" distT="0" distL="0" distR="0">
            <wp:extent cx="5239989" cy="7404027"/>
            <wp:effectExtent b="0" l="0" r="0" t="0"/>
            <wp:docPr descr="A screenshot of a computer&#10;&#10;Description automatically generated" id="2142794203" name="image21.png"/>
            <a:graphic>
              <a:graphicData uri="http://schemas.openxmlformats.org/drawingml/2006/picture">
                <pic:pic>
                  <pic:nvPicPr>
                    <pic:cNvPr descr="A screenshot of a computer&#10;&#10;Description automatically generated" id="0" name="image21.png"/>
                    <pic:cNvPicPr preferRelativeResize="0"/>
                  </pic:nvPicPr>
                  <pic:blipFill>
                    <a:blip r:embed="rId148"/>
                    <a:srcRect b="14322" l="14642" r="51483" t="9091"/>
                    <a:stretch>
                      <a:fillRect/>
                    </a:stretch>
                  </pic:blipFill>
                  <pic:spPr>
                    <a:xfrm>
                      <a:off x="0" y="0"/>
                      <a:ext cx="5239989" cy="7404027"/>
                    </a:xfrm>
                    <a:prstGeom prst="rect"/>
                    <a:ln/>
                  </pic:spPr>
                </pic:pic>
              </a:graphicData>
            </a:graphic>
          </wp:inline>
        </w:drawing>
      </w:r>
      <w:r w:rsidDel="00000000" w:rsidR="00000000" w:rsidRPr="00000000">
        <w:rPr>
          <w:rtl w:val="0"/>
        </w:rPr>
      </w:r>
    </w:p>
    <w:p w:rsidR="00000000" w:rsidDel="00000000" w:rsidP="00000000" w:rsidRDefault="00000000" w:rsidRPr="00000000" w14:paraId="000015A4">
      <w:pPr>
        <w:rPr/>
      </w:pPr>
      <w:r w:rsidDel="00000000" w:rsidR="00000000" w:rsidRPr="00000000">
        <w:rPr>
          <w:rtl w:val="0"/>
        </w:rPr>
      </w:r>
    </w:p>
    <w:p w:rsidR="00000000" w:rsidDel="00000000" w:rsidP="00000000" w:rsidRDefault="00000000" w:rsidRPr="00000000" w14:paraId="000015A5">
      <w:pPr>
        <w:rPr/>
        <w:sectPr>
          <w:footerReference r:id="rId149" w:type="default"/>
          <w:footerReference r:id="rId150" w:type="even"/>
          <w:type w:val="nextPage"/>
          <w:pgSz w:h="16838" w:w="11906" w:orient="portrait"/>
          <w:pgMar w:bottom="1440" w:top="1440" w:left="1440" w:right="1440" w:header="708" w:footer="708"/>
        </w:sectPr>
      </w:pPr>
      <w:bookmarkStart w:colFirst="0" w:colLast="0" w:name="_heading=h.l7a3n9" w:id="158"/>
      <w:bookmarkEnd w:id="158"/>
      <w:r w:rsidDel="00000000" w:rsidR="00000000" w:rsidRPr="00000000">
        <w:rPr>
          <w:rtl w:val="0"/>
        </w:rPr>
      </w:r>
    </w:p>
    <w:p w:rsidR="00000000" w:rsidDel="00000000" w:rsidP="00000000" w:rsidRDefault="00000000" w:rsidRPr="00000000" w14:paraId="000015A6">
      <w:pPr>
        <w:pStyle w:val="Heading2"/>
        <w:spacing w:line="480" w:lineRule="auto"/>
        <w:rPr/>
      </w:pPr>
      <w:bookmarkStart w:colFirst="0" w:colLast="0" w:name="_heading=h.356xmb2" w:id="159"/>
      <w:bookmarkEnd w:id="159"/>
      <w:r w:rsidDel="00000000" w:rsidR="00000000" w:rsidRPr="00000000">
        <w:rPr>
          <w:rtl w:val="0"/>
        </w:rPr>
        <w:t xml:space="preserve">Appendix 10 - Gannt Chart</w:t>
      </w:r>
    </w:p>
    <w:tbl>
      <w:tblPr>
        <w:tblStyle w:val="Table15"/>
        <w:tblpPr w:leftFromText="180" w:rightFromText="180" w:topFromText="0" w:bottomFromText="0" w:vertAnchor="text" w:horzAnchor="text" w:tblpX="0" w:tblpY="1"/>
        <w:tblW w:w="13867.999999999996"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994"/>
        <w:gridCol w:w="496"/>
        <w:gridCol w:w="720"/>
        <w:gridCol w:w="721"/>
        <w:gridCol w:w="662"/>
        <w:gridCol w:w="756"/>
        <w:gridCol w:w="721"/>
        <w:gridCol w:w="722"/>
        <w:gridCol w:w="662"/>
        <w:gridCol w:w="758"/>
        <w:gridCol w:w="715"/>
        <w:gridCol w:w="715"/>
        <w:gridCol w:w="655"/>
        <w:gridCol w:w="743"/>
        <w:gridCol w:w="713"/>
        <w:gridCol w:w="713"/>
        <w:gridCol w:w="651"/>
        <w:gridCol w:w="743"/>
        <w:gridCol w:w="8"/>
        <w:tblGridChange w:id="0">
          <w:tblGrid>
            <w:gridCol w:w="1994"/>
            <w:gridCol w:w="496"/>
            <w:gridCol w:w="720"/>
            <w:gridCol w:w="721"/>
            <w:gridCol w:w="662"/>
            <w:gridCol w:w="756"/>
            <w:gridCol w:w="721"/>
            <w:gridCol w:w="722"/>
            <w:gridCol w:w="662"/>
            <w:gridCol w:w="758"/>
            <w:gridCol w:w="715"/>
            <w:gridCol w:w="715"/>
            <w:gridCol w:w="655"/>
            <w:gridCol w:w="743"/>
            <w:gridCol w:w="713"/>
            <w:gridCol w:w="713"/>
            <w:gridCol w:w="651"/>
            <w:gridCol w:w="743"/>
            <w:gridCol w:w="8"/>
          </w:tblGrid>
        </w:tblGridChange>
      </w:tblGrid>
      <w:tr>
        <w:trPr>
          <w:cantSplit w:val="0"/>
          <w:trHeight w:val="396"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5A7">
            <w:pPr>
              <w:rPr>
                <w:sz w:val="22"/>
                <w:szCs w:val="22"/>
              </w:rPr>
            </w:pPr>
            <w:r w:rsidDel="00000000" w:rsidR="00000000" w:rsidRPr="00000000">
              <w:rPr>
                <w:rtl w:val="0"/>
              </w:rPr>
            </w:r>
          </w:p>
        </w:tc>
        <w:tc>
          <w:tcPr>
            <w:vMerge w:val="restart"/>
            <w:tcBorders>
              <w:top w:color="000000" w:space="0" w:sz="4" w:val="single"/>
              <w:left w:color="000000" w:space="0" w:sz="4" w:val="single"/>
              <w:right w:color="000000" w:space="0" w:sz="4" w:val="single"/>
            </w:tcBorders>
            <w:shd w:fill="3a3a3a" w:val="clear"/>
            <w:vAlign w:val="center"/>
          </w:tcPr>
          <w:p w:rsidR="00000000" w:rsidDel="00000000" w:rsidP="00000000" w:rsidRDefault="00000000" w:rsidRPr="00000000" w14:paraId="000015A8">
            <w:pPr>
              <w:ind w:left="113" w:right="113" w:firstLine="0"/>
              <w:jc w:val="center"/>
              <w:rPr>
                <w:sz w:val="22"/>
                <w:szCs w:val="22"/>
              </w:rPr>
            </w:pPr>
            <w:r w:rsidDel="00000000" w:rsidR="00000000" w:rsidRPr="00000000">
              <w:rPr>
                <w:sz w:val="22"/>
                <w:szCs w:val="22"/>
                <w:rtl w:val="0"/>
              </w:rPr>
              <w:t xml:space="preserve">2020</w:t>
            </w:r>
          </w:p>
        </w:tc>
        <w:tc>
          <w:tcPr>
            <w:gridSpan w:val="4"/>
            <w:tcBorders>
              <w:top w:color="000000" w:space="0" w:sz="4" w:val="single"/>
              <w:left w:color="000000" w:space="0" w:sz="4" w:val="single"/>
              <w:right w:color="000000" w:space="0" w:sz="4" w:val="single"/>
            </w:tcBorders>
            <w:shd w:fill="e97132" w:val="clear"/>
            <w:vAlign w:val="center"/>
          </w:tcPr>
          <w:p w:rsidR="00000000" w:rsidDel="00000000" w:rsidP="00000000" w:rsidRDefault="00000000" w:rsidRPr="00000000" w14:paraId="000015A9">
            <w:pPr>
              <w:jc w:val="center"/>
              <w:rPr>
                <w:b w:val="1"/>
                <w:sz w:val="22"/>
                <w:szCs w:val="22"/>
              </w:rPr>
            </w:pPr>
            <w:r w:rsidDel="00000000" w:rsidR="00000000" w:rsidRPr="00000000">
              <w:rPr>
                <w:b w:val="1"/>
                <w:sz w:val="22"/>
                <w:szCs w:val="22"/>
                <w:rtl w:val="0"/>
              </w:rPr>
              <w:t xml:space="preserve">2021</w:t>
            </w:r>
          </w:p>
        </w:tc>
        <w:tc>
          <w:tcPr>
            <w:gridSpan w:val="4"/>
            <w:tcBorders>
              <w:top w:color="000000" w:space="0" w:sz="4" w:val="single"/>
              <w:left w:color="000000" w:space="0" w:sz="4" w:val="single"/>
              <w:right w:color="000000" w:space="0" w:sz="4" w:val="single"/>
            </w:tcBorders>
            <w:shd w:fill="196b24" w:val="clear"/>
            <w:vAlign w:val="center"/>
          </w:tcPr>
          <w:p w:rsidR="00000000" w:rsidDel="00000000" w:rsidP="00000000" w:rsidRDefault="00000000" w:rsidRPr="00000000" w14:paraId="000015AD">
            <w:pPr>
              <w:jc w:val="center"/>
              <w:rPr>
                <w:b w:val="1"/>
                <w:sz w:val="22"/>
                <w:szCs w:val="22"/>
              </w:rPr>
            </w:pPr>
            <w:r w:rsidDel="00000000" w:rsidR="00000000" w:rsidRPr="00000000">
              <w:rPr>
                <w:b w:val="1"/>
                <w:sz w:val="22"/>
                <w:szCs w:val="22"/>
                <w:rtl w:val="0"/>
              </w:rPr>
              <w:t xml:space="preserve">2022</w:t>
            </w:r>
          </w:p>
        </w:tc>
        <w:tc>
          <w:tcPr>
            <w:gridSpan w:val="4"/>
            <w:tcBorders>
              <w:top w:color="000000" w:space="0" w:sz="4" w:val="single"/>
              <w:left w:color="000000" w:space="0" w:sz="4" w:val="single"/>
              <w:right w:color="000000" w:space="0" w:sz="4" w:val="single"/>
            </w:tcBorders>
            <w:shd w:fill="0f9ed5" w:val="clear"/>
            <w:vAlign w:val="center"/>
          </w:tcPr>
          <w:p w:rsidR="00000000" w:rsidDel="00000000" w:rsidP="00000000" w:rsidRDefault="00000000" w:rsidRPr="00000000" w14:paraId="000015B1">
            <w:pPr>
              <w:jc w:val="center"/>
              <w:rPr>
                <w:b w:val="1"/>
                <w:sz w:val="22"/>
                <w:szCs w:val="22"/>
              </w:rPr>
            </w:pPr>
            <w:r w:rsidDel="00000000" w:rsidR="00000000" w:rsidRPr="00000000">
              <w:rPr>
                <w:b w:val="1"/>
                <w:sz w:val="22"/>
                <w:szCs w:val="22"/>
                <w:rtl w:val="0"/>
              </w:rPr>
              <w:t xml:space="preserve">2023</w:t>
            </w:r>
          </w:p>
        </w:tc>
        <w:tc>
          <w:tcPr>
            <w:gridSpan w:val="5"/>
            <w:tcBorders>
              <w:top w:color="000000" w:space="0" w:sz="4" w:val="single"/>
              <w:left w:color="000000" w:space="0" w:sz="4" w:val="single"/>
              <w:right w:color="000000" w:space="0" w:sz="4" w:val="single"/>
            </w:tcBorders>
            <w:shd w:fill="a02b93" w:val="clear"/>
            <w:vAlign w:val="center"/>
          </w:tcPr>
          <w:p w:rsidR="00000000" w:rsidDel="00000000" w:rsidP="00000000" w:rsidRDefault="00000000" w:rsidRPr="00000000" w14:paraId="000015B5">
            <w:pPr>
              <w:jc w:val="center"/>
              <w:rPr>
                <w:b w:val="1"/>
                <w:sz w:val="22"/>
                <w:szCs w:val="22"/>
              </w:rPr>
            </w:pPr>
            <w:r w:rsidDel="00000000" w:rsidR="00000000" w:rsidRPr="00000000">
              <w:rPr>
                <w:b w:val="1"/>
                <w:sz w:val="22"/>
                <w:szCs w:val="22"/>
                <w:rtl w:val="0"/>
              </w:rPr>
              <w:t xml:space="preserve">2024</w:t>
            </w:r>
          </w:p>
        </w:tc>
      </w:tr>
      <w:tr>
        <w:trPr>
          <w:cantSplit w:val="0"/>
          <w:trHeight w:val="758" w:hRule="atLeast"/>
          <w:tblHeader w:val="0"/>
        </w:trPr>
        <w:tc>
          <w:tcPr>
            <w:tcBorders>
              <w:left w:color="000000" w:space="0" w:sz="4" w:val="single"/>
              <w:bottom w:color="000000" w:space="0" w:sz="4" w:val="single"/>
              <w:right w:color="000000" w:space="0" w:sz="4" w:val="single"/>
            </w:tcBorders>
          </w:tcPr>
          <w:p w:rsidR="00000000" w:rsidDel="00000000" w:rsidP="00000000" w:rsidRDefault="00000000" w:rsidRPr="00000000" w14:paraId="000015BA">
            <w:pPr>
              <w:rPr>
                <w:sz w:val="22"/>
                <w:szCs w:val="22"/>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3a3a3a" w:val="clear"/>
            <w:vAlign w:val="center"/>
          </w:tcPr>
          <w:p w:rsidR="00000000" w:rsidDel="00000000" w:rsidP="00000000" w:rsidRDefault="00000000" w:rsidRPr="00000000" w14:paraId="00001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left w:color="000000" w:space="0" w:sz="4" w:val="single"/>
              <w:bottom w:color="000000" w:space="0" w:sz="4" w:val="single"/>
            </w:tcBorders>
            <w:shd w:fill="f1a984" w:val="clear"/>
            <w:vAlign w:val="center"/>
          </w:tcPr>
          <w:p w:rsidR="00000000" w:rsidDel="00000000" w:rsidP="00000000" w:rsidRDefault="00000000" w:rsidRPr="00000000" w14:paraId="000015BC">
            <w:pPr>
              <w:jc w:val="center"/>
              <w:rPr>
                <w:sz w:val="22"/>
                <w:szCs w:val="22"/>
              </w:rPr>
            </w:pPr>
            <w:r w:rsidDel="00000000" w:rsidR="00000000" w:rsidRPr="00000000">
              <w:rPr>
                <w:sz w:val="22"/>
                <w:szCs w:val="22"/>
                <w:rtl w:val="0"/>
              </w:rPr>
              <w:t xml:space="preserve">JAN-MAR</w:t>
            </w:r>
          </w:p>
        </w:tc>
        <w:tc>
          <w:tcPr>
            <w:tcBorders>
              <w:bottom w:color="000000" w:space="0" w:sz="4" w:val="single"/>
            </w:tcBorders>
            <w:shd w:fill="f1a984" w:val="clear"/>
            <w:vAlign w:val="center"/>
          </w:tcPr>
          <w:p w:rsidR="00000000" w:rsidDel="00000000" w:rsidP="00000000" w:rsidRDefault="00000000" w:rsidRPr="00000000" w14:paraId="000015BD">
            <w:pPr>
              <w:jc w:val="center"/>
              <w:rPr>
                <w:sz w:val="22"/>
                <w:szCs w:val="22"/>
              </w:rPr>
            </w:pPr>
            <w:r w:rsidDel="00000000" w:rsidR="00000000" w:rsidRPr="00000000">
              <w:rPr>
                <w:sz w:val="22"/>
                <w:szCs w:val="22"/>
                <w:rtl w:val="0"/>
              </w:rPr>
              <w:t xml:space="preserve">APR-JUN</w:t>
            </w:r>
          </w:p>
        </w:tc>
        <w:tc>
          <w:tcPr>
            <w:tcBorders>
              <w:bottom w:color="000000" w:space="0" w:sz="4" w:val="single"/>
            </w:tcBorders>
            <w:shd w:fill="f1a984" w:val="clear"/>
            <w:vAlign w:val="center"/>
          </w:tcPr>
          <w:p w:rsidR="00000000" w:rsidDel="00000000" w:rsidP="00000000" w:rsidRDefault="00000000" w:rsidRPr="00000000" w14:paraId="000015BE">
            <w:pPr>
              <w:jc w:val="center"/>
              <w:rPr>
                <w:sz w:val="22"/>
                <w:szCs w:val="22"/>
              </w:rPr>
            </w:pPr>
            <w:r w:rsidDel="00000000" w:rsidR="00000000" w:rsidRPr="00000000">
              <w:rPr>
                <w:sz w:val="22"/>
                <w:szCs w:val="22"/>
                <w:rtl w:val="0"/>
              </w:rPr>
              <w:t xml:space="preserve">JUL-SEP</w:t>
            </w:r>
          </w:p>
        </w:tc>
        <w:tc>
          <w:tcPr>
            <w:tcBorders>
              <w:bottom w:color="000000" w:space="0" w:sz="4" w:val="single"/>
              <w:right w:color="000000" w:space="0" w:sz="4" w:val="single"/>
            </w:tcBorders>
            <w:shd w:fill="f1a984" w:val="clear"/>
            <w:vAlign w:val="center"/>
          </w:tcPr>
          <w:p w:rsidR="00000000" w:rsidDel="00000000" w:rsidP="00000000" w:rsidRDefault="00000000" w:rsidRPr="00000000" w14:paraId="000015BF">
            <w:pPr>
              <w:jc w:val="center"/>
              <w:rPr>
                <w:sz w:val="22"/>
                <w:szCs w:val="22"/>
              </w:rPr>
            </w:pPr>
            <w:r w:rsidDel="00000000" w:rsidR="00000000" w:rsidRPr="00000000">
              <w:rPr>
                <w:sz w:val="22"/>
                <w:szCs w:val="22"/>
                <w:rtl w:val="0"/>
              </w:rPr>
              <w:t xml:space="preserve">OCT-DEC</w:t>
            </w:r>
          </w:p>
        </w:tc>
        <w:tc>
          <w:tcPr>
            <w:tcBorders>
              <w:left w:color="000000" w:space="0" w:sz="4" w:val="single"/>
              <w:bottom w:color="000000" w:space="0" w:sz="4" w:val="single"/>
            </w:tcBorders>
            <w:shd w:fill="47d45a" w:val="clear"/>
            <w:vAlign w:val="center"/>
          </w:tcPr>
          <w:p w:rsidR="00000000" w:rsidDel="00000000" w:rsidP="00000000" w:rsidRDefault="00000000" w:rsidRPr="00000000" w14:paraId="000015C0">
            <w:pPr>
              <w:jc w:val="center"/>
              <w:rPr>
                <w:sz w:val="22"/>
                <w:szCs w:val="22"/>
              </w:rPr>
            </w:pPr>
            <w:r w:rsidDel="00000000" w:rsidR="00000000" w:rsidRPr="00000000">
              <w:rPr>
                <w:sz w:val="22"/>
                <w:szCs w:val="22"/>
                <w:rtl w:val="0"/>
              </w:rPr>
              <w:t xml:space="preserve">JAN-MAR</w:t>
            </w:r>
          </w:p>
        </w:tc>
        <w:tc>
          <w:tcPr>
            <w:tcBorders>
              <w:bottom w:color="000000" w:space="0" w:sz="4" w:val="single"/>
            </w:tcBorders>
            <w:shd w:fill="47d45a" w:val="clear"/>
            <w:vAlign w:val="center"/>
          </w:tcPr>
          <w:p w:rsidR="00000000" w:rsidDel="00000000" w:rsidP="00000000" w:rsidRDefault="00000000" w:rsidRPr="00000000" w14:paraId="000015C1">
            <w:pPr>
              <w:jc w:val="center"/>
              <w:rPr>
                <w:sz w:val="22"/>
                <w:szCs w:val="22"/>
              </w:rPr>
            </w:pPr>
            <w:r w:rsidDel="00000000" w:rsidR="00000000" w:rsidRPr="00000000">
              <w:rPr>
                <w:sz w:val="22"/>
                <w:szCs w:val="22"/>
                <w:rtl w:val="0"/>
              </w:rPr>
              <w:t xml:space="preserve">APR-JUN</w:t>
            </w:r>
          </w:p>
        </w:tc>
        <w:tc>
          <w:tcPr>
            <w:tcBorders>
              <w:bottom w:color="000000" w:space="0" w:sz="4" w:val="single"/>
            </w:tcBorders>
            <w:shd w:fill="47d45a" w:val="clear"/>
            <w:vAlign w:val="center"/>
          </w:tcPr>
          <w:p w:rsidR="00000000" w:rsidDel="00000000" w:rsidP="00000000" w:rsidRDefault="00000000" w:rsidRPr="00000000" w14:paraId="000015C2">
            <w:pPr>
              <w:jc w:val="center"/>
              <w:rPr>
                <w:sz w:val="22"/>
                <w:szCs w:val="22"/>
              </w:rPr>
            </w:pPr>
            <w:r w:rsidDel="00000000" w:rsidR="00000000" w:rsidRPr="00000000">
              <w:rPr>
                <w:sz w:val="22"/>
                <w:szCs w:val="22"/>
                <w:rtl w:val="0"/>
              </w:rPr>
              <w:t xml:space="preserve">JUL-SEP</w:t>
            </w:r>
          </w:p>
        </w:tc>
        <w:tc>
          <w:tcPr>
            <w:tcBorders>
              <w:bottom w:color="000000" w:space="0" w:sz="4" w:val="single"/>
              <w:right w:color="000000" w:space="0" w:sz="4" w:val="single"/>
            </w:tcBorders>
            <w:shd w:fill="47d45a" w:val="clear"/>
            <w:vAlign w:val="center"/>
          </w:tcPr>
          <w:p w:rsidR="00000000" w:rsidDel="00000000" w:rsidP="00000000" w:rsidRDefault="00000000" w:rsidRPr="00000000" w14:paraId="000015C3">
            <w:pPr>
              <w:jc w:val="center"/>
              <w:rPr>
                <w:sz w:val="22"/>
                <w:szCs w:val="22"/>
              </w:rPr>
            </w:pPr>
            <w:r w:rsidDel="00000000" w:rsidR="00000000" w:rsidRPr="00000000">
              <w:rPr>
                <w:sz w:val="22"/>
                <w:szCs w:val="22"/>
                <w:rtl w:val="0"/>
              </w:rPr>
              <w:t xml:space="preserve">OCT-DEC</w:t>
            </w:r>
          </w:p>
        </w:tc>
        <w:tc>
          <w:tcPr>
            <w:tcBorders>
              <w:left w:color="000000" w:space="0" w:sz="4" w:val="single"/>
              <w:bottom w:color="000000" w:space="0" w:sz="4" w:val="single"/>
            </w:tcBorders>
            <w:shd w:fill="60cbf3" w:val="clear"/>
            <w:vAlign w:val="center"/>
          </w:tcPr>
          <w:p w:rsidR="00000000" w:rsidDel="00000000" w:rsidP="00000000" w:rsidRDefault="00000000" w:rsidRPr="00000000" w14:paraId="000015C4">
            <w:pPr>
              <w:jc w:val="center"/>
              <w:rPr>
                <w:sz w:val="22"/>
                <w:szCs w:val="22"/>
              </w:rPr>
            </w:pPr>
            <w:r w:rsidDel="00000000" w:rsidR="00000000" w:rsidRPr="00000000">
              <w:rPr>
                <w:sz w:val="22"/>
                <w:szCs w:val="22"/>
                <w:rtl w:val="0"/>
              </w:rPr>
              <w:t xml:space="preserve">JAN-MAR</w:t>
            </w:r>
          </w:p>
        </w:tc>
        <w:tc>
          <w:tcPr>
            <w:tcBorders>
              <w:bottom w:color="000000" w:space="0" w:sz="4" w:val="single"/>
            </w:tcBorders>
            <w:shd w:fill="60cbf3" w:val="clear"/>
            <w:vAlign w:val="center"/>
          </w:tcPr>
          <w:p w:rsidR="00000000" w:rsidDel="00000000" w:rsidP="00000000" w:rsidRDefault="00000000" w:rsidRPr="00000000" w14:paraId="000015C5">
            <w:pPr>
              <w:jc w:val="center"/>
              <w:rPr>
                <w:sz w:val="22"/>
                <w:szCs w:val="22"/>
              </w:rPr>
            </w:pPr>
            <w:r w:rsidDel="00000000" w:rsidR="00000000" w:rsidRPr="00000000">
              <w:rPr>
                <w:sz w:val="22"/>
                <w:szCs w:val="22"/>
                <w:rtl w:val="0"/>
              </w:rPr>
              <w:t xml:space="preserve">APR-JUN</w:t>
            </w:r>
          </w:p>
        </w:tc>
        <w:tc>
          <w:tcPr>
            <w:tcBorders>
              <w:bottom w:color="000000" w:space="0" w:sz="4" w:val="single"/>
            </w:tcBorders>
            <w:shd w:fill="60cbf3" w:val="clear"/>
            <w:vAlign w:val="center"/>
          </w:tcPr>
          <w:p w:rsidR="00000000" w:rsidDel="00000000" w:rsidP="00000000" w:rsidRDefault="00000000" w:rsidRPr="00000000" w14:paraId="000015C6">
            <w:pPr>
              <w:jc w:val="center"/>
              <w:rPr>
                <w:sz w:val="22"/>
                <w:szCs w:val="22"/>
              </w:rPr>
            </w:pPr>
            <w:r w:rsidDel="00000000" w:rsidR="00000000" w:rsidRPr="00000000">
              <w:rPr>
                <w:sz w:val="22"/>
                <w:szCs w:val="22"/>
                <w:rtl w:val="0"/>
              </w:rPr>
              <w:t xml:space="preserve">JUL-SEP</w:t>
            </w:r>
          </w:p>
        </w:tc>
        <w:tc>
          <w:tcPr>
            <w:tcBorders>
              <w:bottom w:color="000000" w:space="0" w:sz="4" w:val="single"/>
              <w:right w:color="000000" w:space="0" w:sz="4" w:val="single"/>
            </w:tcBorders>
            <w:shd w:fill="60cbf3" w:val="clear"/>
            <w:vAlign w:val="center"/>
          </w:tcPr>
          <w:p w:rsidR="00000000" w:rsidDel="00000000" w:rsidP="00000000" w:rsidRDefault="00000000" w:rsidRPr="00000000" w14:paraId="000015C7">
            <w:pPr>
              <w:jc w:val="center"/>
              <w:rPr>
                <w:sz w:val="22"/>
                <w:szCs w:val="22"/>
              </w:rPr>
            </w:pPr>
            <w:r w:rsidDel="00000000" w:rsidR="00000000" w:rsidRPr="00000000">
              <w:rPr>
                <w:sz w:val="22"/>
                <w:szCs w:val="22"/>
                <w:rtl w:val="0"/>
              </w:rPr>
              <w:t xml:space="preserve">OCT-DEC</w:t>
            </w:r>
          </w:p>
        </w:tc>
        <w:tc>
          <w:tcPr>
            <w:tcBorders>
              <w:left w:color="000000" w:space="0" w:sz="4" w:val="single"/>
              <w:bottom w:color="000000" w:space="0" w:sz="4" w:val="single"/>
            </w:tcBorders>
            <w:shd w:fill="d76dcc" w:val="clear"/>
            <w:vAlign w:val="center"/>
          </w:tcPr>
          <w:p w:rsidR="00000000" w:rsidDel="00000000" w:rsidP="00000000" w:rsidRDefault="00000000" w:rsidRPr="00000000" w14:paraId="000015C8">
            <w:pPr>
              <w:jc w:val="center"/>
              <w:rPr>
                <w:sz w:val="22"/>
                <w:szCs w:val="22"/>
              </w:rPr>
            </w:pPr>
            <w:r w:rsidDel="00000000" w:rsidR="00000000" w:rsidRPr="00000000">
              <w:rPr>
                <w:sz w:val="22"/>
                <w:szCs w:val="22"/>
                <w:rtl w:val="0"/>
              </w:rPr>
              <w:t xml:space="preserve">JAN-MAR</w:t>
            </w:r>
          </w:p>
        </w:tc>
        <w:tc>
          <w:tcPr>
            <w:tcBorders>
              <w:bottom w:color="000000" w:space="0" w:sz="4" w:val="single"/>
            </w:tcBorders>
            <w:shd w:fill="d76dcc" w:val="clear"/>
            <w:vAlign w:val="center"/>
          </w:tcPr>
          <w:p w:rsidR="00000000" w:rsidDel="00000000" w:rsidP="00000000" w:rsidRDefault="00000000" w:rsidRPr="00000000" w14:paraId="000015C9">
            <w:pPr>
              <w:jc w:val="center"/>
              <w:rPr>
                <w:sz w:val="22"/>
                <w:szCs w:val="22"/>
              </w:rPr>
            </w:pPr>
            <w:r w:rsidDel="00000000" w:rsidR="00000000" w:rsidRPr="00000000">
              <w:rPr>
                <w:sz w:val="22"/>
                <w:szCs w:val="22"/>
                <w:rtl w:val="0"/>
              </w:rPr>
              <w:t xml:space="preserve">APR-JUN</w:t>
            </w:r>
          </w:p>
        </w:tc>
        <w:tc>
          <w:tcPr>
            <w:tcBorders>
              <w:bottom w:color="000000" w:space="0" w:sz="4" w:val="single"/>
            </w:tcBorders>
            <w:shd w:fill="d76dcc" w:val="clear"/>
            <w:vAlign w:val="center"/>
          </w:tcPr>
          <w:p w:rsidR="00000000" w:rsidDel="00000000" w:rsidP="00000000" w:rsidRDefault="00000000" w:rsidRPr="00000000" w14:paraId="000015CA">
            <w:pPr>
              <w:jc w:val="center"/>
              <w:rPr>
                <w:sz w:val="22"/>
                <w:szCs w:val="22"/>
              </w:rPr>
            </w:pPr>
            <w:r w:rsidDel="00000000" w:rsidR="00000000" w:rsidRPr="00000000">
              <w:rPr>
                <w:sz w:val="22"/>
                <w:szCs w:val="22"/>
                <w:rtl w:val="0"/>
              </w:rPr>
              <w:t xml:space="preserve">JUL-SEP</w:t>
            </w:r>
          </w:p>
        </w:tc>
        <w:tc>
          <w:tcPr>
            <w:tcBorders>
              <w:bottom w:color="000000" w:space="0" w:sz="4" w:val="single"/>
              <w:right w:color="000000" w:space="0" w:sz="4" w:val="single"/>
            </w:tcBorders>
            <w:shd w:fill="d76dcc" w:val="clear"/>
            <w:vAlign w:val="center"/>
          </w:tcPr>
          <w:p w:rsidR="00000000" w:rsidDel="00000000" w:rsidP="00000000" w:rsidRDefault="00000000" w:rsidRPr="00000000" w14:paraId="000015CB">
            <w:pPr>
              <w:jc w:val="center"/>
              <w:rPr>
                <w:sz w:val="22"/>
                <w:szCs w:val="22"/>
              </w:rPr>
            </w:pPr>
            <w:r w:rsidDel="00000000" w:rsidR="00000000" w:rsidRPr="00000000">
              <w:rPr>
                <w:sz w:val="22"/>
                <w:szCs w:val="22"/>
                <w:rtl w:val="0"/>
              </w:rPr>
              <w:t xml:space="preserve">OCT-DEC</w:t>
            </w:r>
          </w:p>
        </w:tc>
      </w:tr>
      <w:tr>
        <w:trPr>
          <w:cantSplit w:val="0"/>
          <w:trHeight w:val="396" w:hRule="atLeast"/>
          <w:tblHeader w:val="0"/>
        </w:trPr>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5CC">
            <w:pPr>
              <w:rPr>
                <w:i w:val="1"/>
                <w:sz w:val="22"/>
                <w:szCs w:val="22"/>
              </w:rPr>
            </w:pPr>
            <w:r w:rsidDel="00000000" w:rsidR="00000000" w:rsidRPr="00000000">
              <w:rPr>
                <w:i w:val="1"/>
                <w:sz w:val="22"/>
                <w:szCs w:val="22"/>
                <w:rtl w:val="0"/>
              </w:rPr>
              <w:t xml:space="preserve">Literature Review</w:t>
            </w:r>
          </w:p>
        </w:tc>
        <w:tc>
          <w:tcPr>
            <w:tcBorders>
              <w:top w:color="000000" w:space="0" w:sz="4" w:val="single"/>
              <w:left w:color="000000" w:space="0" w:sz="4" w:val="single"/>
              <w:right w:color="000000" w:space="0" w:sz="4" w:val="single"/>
            </w:tcBorders>
            <w:shd w:fill="747474" w:val="clear"/>
          </w:tcPr>
          <w:p w:rsidR="00000000" w:rsidDel="00000000" w:rsidP="00000000" w:rsidRDefault="00000000" w:rsidRPr="00000000" w14:paraId="000015CD">
            <w:pPr>
              <w:rPr>
                <w:sz w:val="22"/>
                <w:szCs w:val="22"/>
              </w:rPr>
            </w:pPr>
            <w:r w:rsidDel="00000000" w:rsidR="00000000" w:rsidRPr="00000000">
              <w:rPr>
                <w:rtl w:val="0"/>
              </w:rPr>
            </w:r>
          </w:p>
        </w:tc>
        <w:tc>
          <w:tcPr>
            <w:tcBorders>
              <w:top w:color="000000" w:space="0" w:sz="4" w:val="single"/>
              <w:left w:color="000000" w:space="0" w:sz="4" w:val="single"/>
            </w:tcBorders>
            <w:shd w:fill="fae2d6" w:val="clear"/>
          </w:tcPr>
          <w:p w:rsidR="00000000" w:rsidDel="00000000" w:rsidP="00000000" w:rsidRDefault="00000000" w:rsidRPr="00000000" w14:paraId="000015CE">
            <w:pPr>
              <w:rPr>
                <w:sz w:val="22"/>
                <w:szCs w:val="22"/>
              </w:rPr>
            </w:pPr>
            <w:r w:rsidDel="00000000" w:rsidR="00000000" w:rsidRPr="00000000">
              <w:rPr>
                <w:rtl w:val="0"/>
              </w:rPr>
            </w:r>
          </w:p>
        </w:tc>
        <w:tc>
          <w:tcPr>
            <w:tcBorders>
              <w:top w:color="000000" w:space="0" w:sz="4" w:val="single"/>
            </w:tcBorders>
            <w:shd w:fill="fae2d6" w:val="clear"/>
          </w:tcPr>
          <w:p w:rsidR="00000000" w:rsidDel="00000000" w:rsidP="00000000" w:rsidRDefault="00000000" w:rsidRPr="00000000" w14:paraId="000015CF">
            <w:pPr>
              <w:rPr>
                <w:sz w:val="22"/>
                <w:szCs w:val="22"/>
              </w:rPr>
            </w:pPr>
            <w:r w:rsidDel="00000000" w:rsidR="00000000" w:rsidRPr="00000000">
              <w:rPr>
                <w:rtl w:val="0"/>
              </w:rPr>
            </w:r>
          </w:p>
        </w:tc>
        <w:tc>
          <w:tcPr>
            <w:tcBorders>
              <w:top w:color="000000" w:space="0" w:sz="4" w:val="single"/>
            </w:tcBorders>
            <w:shd w:fill="fae2d6" w:val="clear"/>
          </w:tcPr>
          <w:p w:rsidR="00000000" w:rsidDel="00000000" w:rsidP="00000000" w:rsidRDefault="00000000" w:rsidRPr="00000000" w14:paraId="000015D0">
            <w:pPr>
              <w:rPr>
                <w:sz w:val="22"/>
                <w:szCs w:val="22"/>
              </w:rPr>
            </w:pPr>
            <w:r w:rsidDel="00000000" w:rsidR="00000000" w:rsidRPr="00000000">
              <w:rPr>
                <w:rtl w:val="0"/>
              </w:rPr>
            </w:r>
          </w:p>
        </w:tc>
        <w:tc>
          <w:tcPr>
            <w:tcBorders>
              <w:top w:color="000000" w:space="0" w:sz="4" w:val="single"/>
              <w:right w:color="000000" w:space="0" w:sz="4" w:val="single"/>
            </w:tcBorders>
            <w:shd w:fill="fae2d6" w:val="clear"/>
          </w:tcPr>
          <w:p w:rsidR="00000000" w:rsidDel="00000000" w:rsidP="00000000" w:rsidRDefault="00000000" w:rsidRPr="00000000" w14:paraId="000015D1">
            <w:pPr>
              <w:rPr>
                <w:sz w:val="22"/>
                <w:szCs w:val="22"/>
              </w:rPr>
            </w:pPr>
            <w:r w:rsidDel="00000000" w:rsidR="00000000" w:rsidRPr="00000000">
              <w:rPr>
                <w:rtl w:val="0"/>
              </w:rPr>
            </w:r>
          </w:p>
        </w:tc>
        <w:tc>
          <w:tcPr>
            <w:tcBorders>
              <w:top w:color="000000" w:space="0" w:sz="4" w:val="single"/>
              <w:left w:color="000000" w:space="0" w:sz="4" w:val="single"/>
            </w:tcBorders>
            <w:shd w:fill="c1f0c8" w:val="clear"/>
          </w:tcPr>
          <w:p w:rsidR="00000000" w:rsidDel="00000000" w:rsidP="00000000" w:rsidRDefault="00000000" w:rsidRPr="00000000" w14:paraId="000015D2">
            <w:pPr>
              <w:rPr>
                <w:sz w:val="22"/>
                <w:szCs w:val="22"/>
              </w:rPr>
            </w:pPr>
            <w:r w:rsidDel="00000000" w:rsidR="00000000" w:rsidRPr="00000000">
              <w:rPr>
                <w:rtl w:val="0"/>
              </w:rPr>
            </w:r>
          </w:p>
        </w:tc>
        <w:tc>
          <w:tcPr>
            <w:tcBorders>
              <w:top w:color="000000" w:space="0" w:sz="4" w:val="single"/>
            </w:tcBorders>
            <w:shd w:fill="c1f0c8" w:val="clear"/>
          </w:tcPr>
          <w:p w:rsidR="00000000" w:rsidDel="00000000" w:rsidP="00000000" w:rsidRDefault="00000000" w:rsidRPr="00000000" w14:paraId="000015D3">
            <w:pPr>
              <w:rPr>
                <w:sz w:val="22"/>
                <w:szCs w:val="22"/>
              </w:rPr>
            </w:pPr>
            <w:r w:rsidDel="00000000" w:rsidR="00000000" w:rsidRPr="00000000">
              <w:rPr>
                <w:rtl w:val="0"/>
              </w:rPr>
            </w:r>
          </w:p>
        </w:tc>
        <w:tc>
          <w:tcPr>
            <w:tcBorders>
              <w:top w:color="000000" w:space="0" w:sz="4" w:val="single"/>
            </w:tcBorders>
            <w:shd w:fill="c1f0c8" w:val="clear"/>
          </w:tcPr>
          <w:p w:rsidR="00000000" w:rsidDel="00000000" w:rsidP="00000000" w:rsidRDefault="00000000" w:rsidRPr="00000000" w14:paraId="000015D4">
            <w:pPr>
              <w:rPr>
                <w:sz w:val="22"/>
                <w:szCs w:val="22"/>
              </w:rPr>
            </w:pPr>
            <w:r w:rsidDel="00000000" w:rsidR="00000000" w:rsidRPr="00000000">
              <w:rPr>
                <w:rtl w:val="0"/>
              </w:rPr>
            </w:r>
          </w:p>
        </w:tc>
        <w:tc>
          <w:tcPr>
            <w:tcBorders>
              <w:top w:color="000000" w:space="0" w:sz="4" w:val="single"/>
              <w:right w:color="000000" w:space="0" w:sz="4" w:val="single"/>
            </w:tcBorders>
            <w:shd w:fill="c1f0c8" w:val="clear"/>
          </w:tcPr>
          <w:p w:rsidR="00000000" w:rsidDel="00000000" w:rsidP="00000000" w:rsidRDefault="00000000" w:rsidRPr="00000000" w14:paraId="000015D5">
            <w:pPr>
              <w:rPr>
                <w:sz w:val="22"/>
                <w:szCs w:val="22"/>
              </w:rPr>
            </w:pPr>
            <w:r w:rsidDel="00000000" w:rsidR="00000000" w:rsidRPr="00000000">
              <w:rPr>
                <w:rtl w:val="0"/>
              </w:rPr>
            </w:r>
          </w:p>
        </w:tc>
        <w:tc>
          <w:tcPr>
            <w:tcBorders>
              <w:top w:color="000000" w:space="0" w:sz="4" w:val="single"/>
              <w:left w:color="000000" w:space="0" w:sz="4" w:val="single"/>
            </w:tcBorders>
            <w:shd w:fill="caedfb" w:val="clear"/>
          </w:tcPr>
          <w:p w:rsidR="00000000" w:rsidDel="00000000" w:rsidP="00000000" w:rsidRDefault="00000000" w:rsidRPr="00000000" w14:paraId="000015D6">
            <w:pPr>
              <w:rPr>
                <w:sz w:val="22"/>
                <w:szCs w:val="22"/>
              </w:rPr>
            </w:pPr>
            <w:r w:rsidDel="00000000" w:rsidR="00000000" w:rsidRPr="00000000">
              <w:rPr>
                <w:rtl w:val="0"/>
              </w:rPr>
            </w:r>
          </w:p>
        </w:tc>
        <w:tc>
          <w:tcPr>
            <w:tcBorders>
              <w:top w:color="000000" w:space="0" w:sz="4" w:val="single"/>
            </w:tcBorders>
            <w:shd w:fill="caedfb" w:val="clear"/>
          </w:tcPr>
          <w:p w:rsidR="00000000" w:rsidDel="00000000" w:rsidP="00000000" w:rsidRDefault="00000000" w:rsidRPr="00000000" w14:paraId="000015D7">
            <w:pPr>
              <w:rPr>
                <w:sz w:val="22"/>
                <w:szCs w:val="22"/>
              </w:rPr>
            </w:pPr>
            <w:r w:rsidDel="00000000" w:rsidR="00000000" w:rsidRPr="00000000">
              <w:rPr>
                <w:rtl w:val="0"/>
              </w:rPr>
            </w:r>
          </w:p>
        </w:tc>
        <w:tc>
          <w:tcPr>
            <w:tcBorders>
              <w:top w:color="000000" w:space="0" w:sz="4" w:val="single"/>
            </w:tcBorders>
            <w:shd w:fill="caedfb" w:val="clear"/>
          </w:tcPr>
          <w:p w:rsidR="00000000" w:rsidDel="00000000" w:rsidP="00000000" w:rsidRDefault="00000000" w:rsidRPr="00000000" w14:paraId="000015D8">
            <w:pPr>
              <w:rPr>
                <w:sz w:val="22"/>
                <w:szCs w:val="22"/>
              </w:rPr>
            </w:pPr>
            <w:r w:rsidDel="00000000" w:rsidR="00000000" w:rsidRPr="00000000">
              <w:rPr>
                <w:rtl w:val="0"/>
              </w:rPr>
            </w:r>
          </w:p>
        </w:tc>
        <w:tc>
          <w:tcPr>
            <w:tcBorders>
              <w:top w:color="000000" w:space="0" w:sz="4" w:val="single"/>
              <w:right w:color="000000" w:space="0" w:sz="4" w:val="single"/>
            </w:tcBorders>
            <w:shd w:fill="caedfb" w:val="clear"/>
          </w:tcPr>
          <w:p w:rsidR="00000000" w:rsidDel="00000000" w:rsidP="00000000" w:rsidRDefault="00000000" w:rsidRPr="00000000" w14:paraId="000015D9">
            <w:pPr>
              <w:rPr>
                <w:sz w:val="22"/>
                <w:szCs w:val="22"/>
              </w:rPr>
            </w:pPr>
            <w:r w:rsidDel="00000000" w:rsidR="00000000" w:rsidRPr="00000000">
              <w:rPr>
                <w:rtl w:val="0"/>
              </w:rPr>
            </w:r>
          </w:p>
        </w:tc>
        <w:tc>
          <w:tcPr>
            <w:tcBorders>
              <w:top w:color="000000" w:space="0" w:sz="4" w:val="single"/>
              <w:left w:color="000000" w:space="0" w:sz="4" w:val="single"/>
            </w:tcBorders>
            <w:shd w:fill="f1ceee" w:val="clear"/>
          </w:tcPr>
          <w:p w:rsidR="00000000" w:rsidDel="00000000" w:rsidP="00000000" w:rsidRDefault="00000000" w:rsidRPr="00000000" w14:paraId="000015DA">
            <w:pPr>
              <w:rPr>
                <w:sz w:val="22"/>
                <w:szCs w:val="22"/>
              </w:rPr>
            </w:pPr>
            <w:r w:rsidDel="00000000" w:rsidR="00000000" w:rsidRPr="00000000">
              <w:rPr>
                <w:rtl w:val="0"/>
              </w:rPr>
            </w:r>
          </w:p>
        </w:tc>
        <w:tc>
          <w:tcPr>
            <w:tcBorders>
              <w:top w:color="000000" w:space="0" w:sz="4" w:val="single"/>
            </w:tcBorders>
            <w:shd w:fill="f1ceee" w:val="clear"/>
          </w:tcPr>
          <w:p w:rsidR="00000000" w:rsidDel="00000000" w:rsidP="00000000" w:rsidRDefault="00000000" w:rsidRPr="00000000" w14:paraId="000015DB">
            <w:pPr>
              <w:rPr>
                <w:sz w:val="22"/>
                <w:szCs w:val="22"/>
              </w:rPr>
            </w:pPr>
            <w:r w:rsidDel="00000000" w:rsidR="00000000" w:rsidRPr="00000000">
              <w:rPr>
                <w:rtl w:val="0"/>
              </w:rPr>
            </w:r>
          </w:p>
        </w:tc>
        <w:tc>
          <w:tcPr>
            <w:tcBorders>
              <w:top w:color="000000" w:space="0" w:sz="4" w:val="single"/>
            </w:tcBorders>
            <w:shd w:fill="f1ceee" w:val="clear"/>
          </w:tcPr>
          <w:p w:rsidR="00000000" w:rsidDel="00000000" w:rsidP="00000000" w:rsidRDefault="00000000" w:rsidRPr="00000000" w14:paraId="000015DC">
            <w:pPr>
              <w:rPr>
                <w:sz w:val="22"/>
                <w:szCs w:val="22"/>
              </w:rPr>
            </w:pPr>
            <w:r w:rsidDel="00000000" w:rsidR="00000000" w:rsidRPr="00000000">
              <w:rPr>
                <w:rtl w:val="0"/>
              </w:rPr>
            </w:r>
          </w:p>
        </w:tc>
        <w:tc>
          <w:tcPr>
            <w:tcBorders>
              <w:top w:color="000000" w:space="0" w:sz="4" w:val="single"/>
              <w:right w:color="000000" w:space="0" w:sz="4" w:val="single"/>
            </w:tcBorders>
            <w:shd w:fill="f1ceee" w:val="clear"/>
          </w:tcPr>
          <w:p w:rsidR="00000000" w:rsidDel="00000000" w:rsidP="00000000" w:rsidRDefault="00000000" w:rsidRPr="00000000" w14:paraId="000015DD">
            <w:pPr>
              <w:rPr>
                <w:sz w:val="22"/>
                <w:szCs w:val="22"/>
              </w:rPr>
            </w:pPr>
            <w:r w:rsidDel="00000000" w:rsidR="00000000" w:rsidRPr="00000000">
              <w:rPr>
                <w:rtl w:val="0"/>
              </w:rPr>
            </w:r>
          </w:p>
        </w:tc>
      </w:tr>
      <w:tr>
        <w:trPr>
          <w:cantSplit w:val="0"/>
          <w:trHeight w:val="758"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5DE">
            <w:pPr>
              <w:rPr>
                <w:i w:val="1"/>
                <w:sz w:val="22"/>
                <w:szCs w:val="22"/>
              </w:rPr>
            </w:pPr>
            <w:r w:rsidDel="00000000" w:rsidR="00000000" w:rsidRPr="00000000">
              <w:rPr>
                <w:i w:val="1"/>
                <w:sz w:val="22"/>
                <w:szCs w:val="22"/>
                <w:rtl w:val="0"/>
              </w:rPr>
              <w:t xml:space="preserve">Confirmation Review</w:t>
            </w:r>
          </w:p>
        </w:tc>
        <w:tc>
          <w:tcPr>
            <w:tcBorders>
              <w:left w:color="000000" w:space="0" w:sz="4" w:val="single"/>
              <w:right w:color="000000" w:space="0" w:sz="4" w:val="single"/>
            </w:tcBorders>
            <w:shd w:fill="747474" w:val="clear"/>
          </w:tcPr>
          <w:p w:rsidR="00000000" w:rsidDel="00000000" w:rsidP="00000000" w:rsidRDefault="00000000" w:rsidRPr="00000000" w14:paraId="000015DF">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5E0">
            <w:pPr>
              <w:rPr>
                <w:sz w:val="22"/>
                <w:szCs w:val="22"/>
              </w:rPr>
            </w:pPr>
            <w:r w:rsidDel="00000000" w:rsidR="00000000" w:rsidRPr="00000000">
              <w:rPr>
                <w:rtl w:val="0"/>
              </w:rPr>
            </w:r>
          </w:p>
        </w:tc>
        <w:tc>
          <w:tcPr>
            <w:shd w:fill="fae2d6" w:val="clear"/>
          </w:tcPr>
          <w:p w:rsidR="00000000" w:rsidDel="00000000" w:rsidP="00000000" w:rsidRDefault="00000000" w:rsidRPr="00000000" w14:paraId="000015E1">
            <w:pPr>
              <w:rPr>
                <w:sz w:val="22"/>
                <w:szCs w:val="22"/>
              </w:rPr>
            </w:pPr>
            <w:r w:rsidDel="00000000" w:rsidR="00000000" w:rsidRPr="00000000">
              <w:rPr>
                <w:rtl w:val="0"/>
              </w:rPr>
            </w:r>
          </w:p>
        </w:tc>
        <w:tc>
          <w:tcPr>
            <w:shd w:fill="fae2d6" w:val="clear"/>
          </w:tcPr>
          <w:p w:rsidR="00000000" w:rsidDel="00000000" w:rsidP="00000000" w:rsidRDefault="00000000" w:rsidRPr="00000000" w14:paraId="000015E2">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5E3">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5E4">
            <w:pPr>
              <w:rPr>
                <w:sz w:val="22"/>
                <w:szCs w:val="22"/>
              </w:rPr>
            </w:pPr>
            <w:r w:rsidDel="00000000" w:rsidR="00000000" w:rsidRPr="00000000">
              <w:rPr>
                <w:rtl w:val="0"/>
              </w:rPr>
            </w:r>
          </w:p>
        </w:tc>
        <w:tc>
          <w:tcPr>
            <w:shd w:fill="c1f0c8" w:val="clear"/>
          </w:tcPr>
          <w:p w:rsidR="00000000" w:rsidDel="00000000" w:rsidP="00000000" w:rsidRDefault="00000000" w:rsidRPr="00000000" w14:paraId="000015E5">
            <w:pPr>
              <w:rPr>
                <w:sz w:val="22"/>
                <w:szCs w:val="22"/>
              </w:rPr>
            </w:pPr>
            <w:r w:rsidDel="00000000" w:rsidR="00000000" w:rsidRPr="00000000">
              <w:rPr>
                <w:rtl w:val="0"/>
              </w:rPr>
            </w:r>
          </w:p>
        </w:tc>
        <w:tc>
          <w:tcPr>
            <w:shd w:fill="c1f0c8" w:val="clear"/>
          </w:tcPr>
          <w:p w:rsidR="00000000" w:rsidDel="00000000" w:rsidP="00000000" w:rsidRDefault="00000000" w:rsidRPr="00000000" w14:paraId="000015E6">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5E7">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5E8">
            <w:pPr>
              <w:rPr>
                <w:sz w:val="22"/>
                <w:szCs w:val="22"/>
              </w:rPr>
            </w:pPr>
            <w:r w:rsidDel="00000000" w:rsidR="00000000" w:rsidRPr="00000000">
              <w:rPr>
                <w:rtl w:val="0"/>
              </w:rPr>
            </w:r>
          </w:p>
        </w:tc>
        <w:tc>
          <w:tcPr>
            <w:shd w:fill="caedfb" w:val="clear"/>
          </w:tcPr>
          <w:p w:rsidR="00000000" w:rsidDel="00000000" w:rsidP="00000000" w:rsidRDefault="00000000" w:rsidRPr="00000000" w14:paraId="000015E9">
            <w:pPr>
              <w:rPr>
                <w:sz w:val="22"/>
                <w:szCs w:val="22"/>
              </w:rPr>
            </w:pPr>
            <w:r w:rsidDel="00000000" w:rsidR="00000000" w:rsidRPr="00000000">
              <w:rPr>
                <w:rtl w:val="0"/>
              </w:rPr>
            </w:r>
          </w:p>
        </w:tc>
        <w:tc>
          <w:tcPr>
            <w:shd w:fill="caedfb" w:val="clear"/>
          </w:tcPr>
          <w:p w:rsidR="00000000" w:rsidDel="00000000" w:rsidP="00000000" w:rsidRDefault="00000000" w:rsidRPr="00000000" w14:paraId="000015EA">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5EB">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5EC">
            <w:pPr>
              <w:rPr>
                <w:sz w:val="22"/>
                <w:szCs w:val="22"/>
              </w:rPr>
            </w:pPr>
            <w:r w:rsidDel="00000000" w:rsidR="00000000" w:rsidRPr="00000000">
              <w:rPr>
                <w:rtl w:val="0"/>
              </w:rPr>
            </w:r>
          </w:p>
        </w:tc>
        <w:tc>
          <w:tcPr>
            <w:shd w:fill="f1ceee" w:val="clear"/>
          </w:tcPr>
          <w:p w:rsidR="00000000" w:rsidDel="00000000" w:rsidP="00000000" w:rsidRDefault="00000000" w:rsidRPr="00000000" w14:paraId="000015ED">
            <w:pPr>
              <w:rPr>
                <w:sz w:val="22"/>
                <w:szCs w:val="22"/>
              </w:rPr>
            </w:pPr>
            <w:r w:rsidDel="00000000" w:rsidR="00000000" w:rsidRPr="00000000">
              <w:rPr>
                <w:rtl w:val="0"/>
              </w:rPr>
            </w:r>
          </w:p>
        </w:tc>
        <w:tc>
          <w:tcPr>
            <w:shd w:fill="f1ceee" w:val="clear"/>
          </w:tcPr>
          <w:p w:rsidR="00000000" w:rsidDel="00000000" w:rsidP="00000000" w:rsidRDefault="00000000" w:rsidRPr="00000000" w14:paraId="000015EE">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5EF">
            <w:pPr>
              <w:rPr>
                <w:sz w:val="22"/>
                <w:szCs w:val="22"/>
              </w:rPr>
            </w:pPr>
            <w:r w:rsidDel="00000000" w:rsidR="00000000" w:rsidRPr="00000000">
              <w:rPr>
                <w:rtl w:val="0"/>
              </w:rPr>
            </w:r>
          </w:p>
        </w:tc>
      </w:tr>
      <w:tr>
        <w:trPr>
          <w:cantSplit w:val="0"/>
          <w:trHeight w:val="758"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5F0">
            <w:pPr>
              <w:rPr>
                <w:i w:val="1"/>
                <w:sz w:val="22"/>
                <w:szCs w:val="22"/>
              </w:rPr>
            </w:pPr>
            <w:r w:rsidDel="00000000" w:rsidR="00000000" w:rsidRPr="00000000">
              <w:rPr>
                <w:i w:val="1"/>
                <w:sz w:val="22"/>
                <w:szCs w:val="22"/>
                <w:rtl w:val="0"/>
              </w:rPr>
              <w:t xml:space="preserve">Confirmation Review Viva</w:t>
            </w:r>
          </w:p>
        </w:tc>
        <w:tc>
          <w:tcPr>
            <w:tcBorders>
              <w:left w:color="000000" w:space="0" w:sz="4" w:val="single"/>
              <w:right w:color="000000" w:space="0" w:sz="4" w:val="single"/>
            </w:tcBorders>
            <w:shd w:fill="747474" w:val="clear"/>
          </w:tcPr>
          <w:p w:rsidR="00000000" w:rsidDel="00000000" w:rsidP="00000000" w:rsidRDefault="00000000" w:rsidRPr="00000000" w14:paraId="000015F1">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5F2">
            <w:pPr>
              <w:rPr>
                <w:sz w:val="22"/>
                <w:szCs w:val="22"/>
              </w:rPr>
            </w:pPr>
            <w:r w:rsidDel="00000000" w:rsidR="00000000" w:rsidRPr="00000000">
              <w:rPr>
                <w:rtl w:val="0"/>
              </w:rPr>
            </w:r>
          </w:p>
        </w:tc>
        <w:tc>
          <w:tcPr>
            <w:shd w:fill="fae2d6" w:val="clear"/>
          </w:tcPr>
          <w:p w:rsidR="00000000" w:rsidDel="00000000" w:rsidP="00000000" w:rsidRDefault="00000000" w:rsidRPr="00000000" w14:paraId="000015F3">
            <w:pPr>
              <w:rPr>
                <w:sz w:val="22"/>
                <w:szCs w:val="22"/>
              </w:rPr>
            </w:pPr>
            <w:r w:rsidDel="00000000" w:rsidR="00000000" w:rsidRPr="00000000">
              <w:rPr>
                <w:rtl w:val="0"/>
              </w:rPr>
            </w:r>
          </w:p>
        </w:tc>
        <w:tc>
          <w:tcPr>
            <w:shd w:fill="fae2d6" w:val="clear"/>
          </w:tcPr>
          <w:p w:rsidR="00000000" w:rsidDel="00000000" w:rsidP="00000000" w:rsidRDefault="00000000" w:rsidRPr="00000000" w14:paraId="000015F4">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5F5">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5F6">
            <w:pPr>
              <w:rPr>
                <w:sz w:val="22"/>
                <w:szCs w:val="22"/>
              </w:rPr>
            </w:pPr>
            <w:r w:rsidDel="00000000" w:rsidR="00000000" w:rsidRPr="00000000">
              <w:rPr>
                <w:rtl w:val="0"/>
              </w:rPr>
            </w:r>
          </w:p>
        </w:tc>
        <w:tc>
          <w:tcPr>
            <w:shd w:fill="c1f0c8" w:val="clear"/>
          </w:tcPr>
          <w:p w:rsidR="00000000" w:rsidDel="00000000" w:rsidP="00000000" w:rsidRDefault="00000000" w:rsidRPr="00000000" w14:paraId="000015F7">
            <w:pPr>
              <w:rPr>
                <w:sz w:val="22"/>
                <w:szCs w:val="22"/>
              </w:rPr>
            </w:pPr>
            <w:r w:rsidDel="00000000" w:rsidR="00000000" w:rsidRPr="00000000">
              <w:rPr>
                <w:rtl w:val="0"/>
              </w:rPr>
            </w:r>
          </w:p>
        </w:tc>
        <w:tc>
          <w:tcPr>
            <w:shd w:fill="c1f0c8" w:val="clear"/>
          </w:tcPr>
          <w:p w:rsidR="00000000" w:rsidDel="00000000" w:rsidP="00000000" w:rsidRDefault="00000000" w:rsidRPr="00000000" w14:paraId="000015F8">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5F9">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5FA">
            <w:pPr>
              <w:rPr>
                <w:sz w:val="22"/>
                <w:szCs w:val="22"/>
              </w:rPr>
            </w:pPr>
            <w:r w:rsidDel="00000000" w:rsidR="00000000" w:rsidRPr="00000000">
              <w:rPr>
                <w:rtl w:val="0"/>
              </w:rPr>
            </w:r>
          </w:p>
        </w:tc>
        <w:tc>
          <w:tcPr>
            <w:shd w:fill="caedfb" w:val="clear"/>
          </w:tcPr>
          <w:p w:rsidR="00000000" w:rsidDel="00000000" w:rsidP="00000000" w:rsidRDefault="00000000" w:rsidRPr="00000000" w14:paraId="000015FB">
            <w:pPr>
              <w:rPr>
                <w:sz w:val="22"/>
                <w:szCs w:val="22"/>
              </w:rPr>
            </w:pPr>
            <w:r w:rsidDel="00000000" w:rsidR="00000000" w:rsidRPr="00000000">
              <w:rPr>
                <w:rtl w:val="0"/>
              </w:rPr>
            </w:r>
          </w:p>
        </w:tc>
        <w:tc>
          <w:tcPr>
            <w:shd w:fill="caedfb" w:val="clear"/>
          </w:tcPr>
          <w:p w:rsidR="00000000" w:rsidDel="00000000" w:rsidP="00000000" w:rsidRDefault="00000000" w:rsidRPr="00000000" w14:paraId="000015FC">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5FD">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5FE">
            <w:pPr>
              <w:rPr>
                <w:sz w:val="22"/>
                <w:szCs w:val="22"/>
              </w:rPr>
            </w:pPr>
            <w:r w:rsidDel="00000000" w:rsidR="00000000" w:rsidRPr="00000000">
              <w:rPr>
                <w:rtl w:val="0"/>
              </w:rPr>
            </w:r>
          </w:p>
        </w:tc>
        <w:tc>
          <w:tcPr>
            <w:shd w:fill="f1ceee" w:val="clear"/>
          </w:tcPr>
          <w:p w:rsidR="00000000" w:rsidDel="00000000" w:rsidP="00000000" w:rsidRDefault="00000000" w:rsidRPr="00000000" w14:paraId="000015FF">
            <w:pPr>
              <w:rPr>
                <w:sz w:val="22"/>
                <w:szCs w:val="22"/>
              </w:rPr>
            </w:pPr>
            <w:r w:rsidDel="00000000" w:rsidR="00000000" w:rsidRPr="00000000">
              <w:rPr>
                <w:rtl w:val="0"/>
              </w:rPr>
            </w:r>
          </w:p>
        </w:tc>
        <w:tc>
          <w:tcPr>
            <w:shd w:fill="f1ceee" w:val="clear"/>
          </w:tcPr>
          <w:p w:rsidR="00000000" w:rsidDel="00000000" w:rsidP="00000000" w:rsidRDefault="00000000" w:rsidRPr="00000000" w14:paraId="00001600">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01">
            <w:pPr>
              <w:rPr>
                <w:sz w:val="22"/>
                <w:szCs w:val="22"/>
              </w:rPr>
            </w:pPr>
            <w:r w:rsidDel="00000000" w:rsidR="00000000" w:rsidRPr="00000000">
              <w:rPr>
                <w:rtl w:val="0"/>
              </w:rPr>
            </w:r>
          </w:p>
        </w:tc>
      </w:tr>
      <w:tr>
        <w:trPr>
          <w:cantSplit w:val="0"/>
          <w:trHeight w:val="1155"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02">
            <w:pPr>
              <w:rPr>
                <w:i w:val="1"/>
                <w:sz w:val="22"/>
                <w:szCs w:val="22"/>
              </w:rPr>
            </w:pPr>
            <w:r w:rsidDel="00000000" w:rsidR="00000000" w:rsidRPr="00000000">
              <w:rPr>
                <w:i w:val="1"/>
                <w:sz w:val="22"/>
                <w:szCs w:val="22"/>
                <w:rtl w:val="0"/>
              </w:rPr>
              <w:t xml:space="preserve">Confirmation Review amendments</w:t>
            </w:r>
          </w:p>
        </w:tc>
        <w:tc>
          <w:tcPr>
            <w:tcBorders>
              <w:left w:color="000000" w:space="0" w:sz="4" w:val="single"/>
              <w:right w:color="000000" w:space="0" w:sz="4" w:val="single"/>
            </w:tcBorders>
            <w:shd w:fill="747474" w:val="clear"/>
          </w:tcPr>
          <w:p w:rsidR="00000000" w:rsidDel="00000000" w:rsidP="00000000" w:rsidRDefault="00000000" w:rsidRPr="00000000" w14:paraId="00001603">
            <w:pPr>
              <w:rPr>
                <w:sz w:val="22"/>
                <w:szCs w:val="22"/>
              </w:rPr>
            </w:pPr>
            <w:r w:rsidDel="00000000" w:rsidR="00000000" w:rsidRPr="00000000">
              <w:rPr>
                <w:rtl w:val="0"/>
              </w:rPr>
            </w:r>
          </w:p>
        </w:tc>
        <w:tc>
          <w:tcPr>
            <w:tcBorders>
              <w:left w:color="000000" w:space="0" w:sz="4" w:val="single"/>
            </w:tcBorders>
            <w:shd w:fill="f1a984" w:val="clear"/>
          </w:tcPr>
          <w:p w:rsidR="00000000" w:rsidDel="00000000" w:rsidP="00000000" w:rsidRDefault="00000000" w:rsidRPr="00000000" w14:paraId="00001604">
            <w:pPr>
              <w:rPr>
                <w:sz w:val="22"/>
                <w:szCs w:val="22"/>
              </w:rPr>
            </w:pPr>
            <w:r w:rsidDel="00000000" w:rsidR="00000000" w:rsidRPr="00000000">
              <w:rPr>
                <w:rtl w:val="0"/>
              </w:rPr>
            </w:r>
          </w:p>
        </w:tc>
        <w:tc>
          <w:tcPr>
            <w:shd w:fill="fae2d6" w:val="clear"/>
          </w:tcPr>
          <w:p w:rsidR="00000000" w:rsidDel="00000000" w:rsidP="00000000" w:rsidRDefault="00000000" w:rsidRPr="00000000" w14:paraId="00001605">
            <w:pPr>
              <w:rPr>
                <w:sz w:val="22"/>
                <w:szCs w:val="22"/>
              </w:rPr>
            </w:pPr>
            <w:r w:rsidDel="00000000" w:rsidR="00000000" w:rsidRPr="00000000">
              <w:rPr>
                <w:rtl w:val="0"/>
              </w:rPr>
            </w:r>
          </w:p>
        </w:tc>
        <w:tc>
          <w:tcPr>
            <w:shd w:fill="fae2d6" w:val="clear"/>
          </w:tcPr>
          <w:p w:rsidR="00000000" w:rsidDel="00000000" w:rsidP="00000000" w:rsidRDefault="00000000" w:rsidRPr="00000000" w14:paraId="00001606">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07">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608">
            <w:pPr>
              <w:rPr>
                <w:sz w:val="22"/>
                <w:szCs w:val="22"/>
              </w:rPr>
            </w:pPr>
            <w:r w:rsidDel="00000000" w:rsidR="00000000" w:rsidRPr="00000000">
              <w:rPr>
                <w:rtl w:val="0"/>
              </w:rPr>
            </w:r>
          </w:p>
        </w:tc>
        <w:tc>
          <w:tcPr>
            <w:shd w:fill="c1f0c8" w:val="clear"/>
          </w:tcPr>
          <w:p w:rsidR="00000000" w:rsidDel="00000000" w:rsidP="00000000" w:rsidRDefault="00000000" w:rsidRPr="00000000" w14:paraId="00001609">
            <w:pPr>
              <w:rPr>
                <w:sz w:val="22"/>
                <w:szCs w:val="22"/>
              </w:rPr>
            </w:pPr>
            <w:r w:rsidDel="00000000" w:rsidR="00000000" w:rsidRPr="00000000">
              <w:rPr>
                <w:rtl w:val="0"/>
              </w:rPr>
            </w:r>
          </w:p>
        </w:tc>
        <w:tc>
          <w:tcPr>
            <w:shd w:fill="c1f0c8" w:val="clear"/>
          </w:tcPr>
          <w:p w:rsidR="00000000" w:rsidDel="00000000" w:rsidP="00000000" w:rsidRDefault="00000000" w:rsidRPr="00000000" w14:paraId="0000160A">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60B">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0C">
            <w:pPr>
              <w:rPr>
                <w:sz w:val="22"/>
                <w:szCs w:val="22"/>
              </w:rPr>
            </w:pPr>
            <w:r w:rsidDel="00000000" w:rsidR="00000000" w:rsidRPr="00000000">
              <w:rPr>
                <w:rtl w:val="0"/>
              </w:rPr>
            </w:r>
          </w:p>
        </w:tc>
        <w:tc>
          <w:tcPr>
            <w:shd w:fill="caedfb" w:val="clear"/>
          </w:tcPr>
          <w:p w:rsidR="00000000" w:rsidDel="00000000" w:rsidP="00000000" w:rsidRDefault="00000000" w:rsidRPr="00000000" w14:paraId="0000160D">
            <w:pPr>
              <w:rPr>
                <w:sz w:val="22"/>
                <w:szCs w:val="22"/>
              </w:rPr>
            </w:pPr>
            <w:r w:rsidDel="00000000" w:rsidR="00000000" w:rsidRPr="00000000">
              <w:rPr>
                <w:rtl w:val="0"/>
              </w:rPr>
            </w:r>
          </w:p>
        </w:tc>
        <w:tc>
          <w:tcPr>
            <w:shd w:fill="caedfb" w:val="clear"/>
          </w:tcPr>
          <w:p w:rsidR="00000000" w:rsidDel="00000000" w:rsidP="00000000" w:rsidRDefault="00000000" w:rsidRPr="00000000" w14:paraId="0000160E">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0F">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10">
            <w:pPr>
              <w:rPr>
                <w:sz w:val="22"/>
                <w:szCs w:val="22"/>
              </w:rPr>
            </w:pPr>
            <w:r w:rsidDel="00000000" w:rsidR="00000000" w:rsidRPr="00000000">
              <w:rPr>
                <w:rtl w:val="0"/>
              </w:rPr>
            </w:r>
          </w:p>
        </w:tc>
        <w:tc>
          <w:tcPr>
            <w:shd w:fill="f1ceee" w:val="clear"/>
          </w:tcPr>
          <w:p w:rsidR="00000000" w:rsidDel="00000000" w:rsidP="00000000" w:rsidRDefault="00000000" w:rsidRPr="00000000" w14:paraId="00001611">
            <w:pPr>
              <w:rPr>
                <w:sz w:val="22"/>
                <w:szCs w:val="22"/>
              </w:rPr>
            </w:pPr>
            <w:r w:rsidDel="00000000" w:rsidR="00000000" w:rsidRPr="00000000">
              <w:rPr>
                <w:rtl w:val="0"/>
              </w:rPr>
            </w:r>
          </w:p>
        </w:tc>
        <w:tc>
          <w:tcPr>
            <w:shd w:fill="f1ceee" w:val="clear"/>
          </w:tcPr>
          <w:p w:rsidR="00000000" w:rsidDel="00000000" w:rsidP="00000000" w:rsidRDefault="00000000" w:rsidRPr="00000000" w14:paraId="00001612">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13">
            <w:pPr>
              <w:rPr>
                <w:sz w:val="22"/>
                <w:szCs w:val="22"/>
              </w:rPr>
            </w:pPr>
            <w:r w:rsidDel="00000000" w:rsidR="00000000" w:rsidRPr="00000000">
              <w:rPr>
                <w:rtl w:val="0"/>
              </w:rPr>
            </w:r>
          </w:p>
        </w:tc>
      </w:tr>
      <w:tr>
        <w:trPr>
          <w:cantSplit w:val="0"/>
          <w:trHeight w:val="396"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14">
            <w:pPr>
              <w:rPr>
                <w:i w:val="1"/>
                <w:sz w:val="22"/>
                <w:szCs w:val="22"/>
              </w:rPr>
            </w:pPr>
            <w:r w:rsidDel="00000000" w:rsidR="00000000" w:rsidRPr="00000000">
              <w:rPr>
                <w:i w:val="1"/>
                <w:sz w:val="22"/>
                <w:szCs w:val="22"/>
                <w:rtl w:val="0"/>
              </w:rPr>
              <w:t xml:space="preserve">Ethics Protocol</w:t>
            </w:r>
          </w:p>
        </w:tc>
        <w:tc>
          <w:tcPr>
            <w:tcBorders>
              <w:left w:color="000000" w:space="0" w:sz="4" w:val="single"/>
              <w:right w:color="000000" w:space="0" w:sz="4" w:val="single"/>
            </w:tcBorders>
            <w:shd w:fill="747474" w:val="clear"/>
          </w:tcPr>
          <w:p w:rsidR="00000000" w:rsidDel="00000000" w:rsidP="00000000" w:rsidRDefault="00000000" w:rsidRPr="00000000" w14:paraId="00001615">
            <w:pPr>
              <w:rPr>
                <w:sz w:val="22"/>
                <w:szCs w:val="22"/>
              </w:rPr>
            </w:pPr>
            <w:r w:rsidDel="00000000" w:rsidR="00000000" w:rsidRPr="00000000">
              <w:rPr>
                <w:rtl w:val="0"/>
              </w:rPr>
            </w:r>
          </w:p>
        </w:tc>
        <w:tc>
          <w:tcPr>
            <w:tcBorders>
              <w:left w:color="000000" w:space="0" w:sz="4" w:val="single"/>
            </w:tcBorders>
            <w:shd w:fill="f1a984" w:val="clear"/>
          </w:tcPr>
          <w:p w:rsidR="00000000" w:rsidDel="00000000" w:rsidP="00000000" w:rsidRDefault="00000000" w:rsidRPr="00000000" w14:paraId="00001616">
            <w:pPr>
              <w:rPr>
                <w:sz w:val="22"/>
                <w:szCs w:val="22"/>
              </w:rPr>
            </w:pPr>
            <w:r w:rsidDel="00000000" w:rsidR="00000000" w:rsidRPr="00000000">
              <w:rPr>
                <w:rtl w:val="0"/>
              </w:rPr>
            </w:r>
          </w:p>
        </w:tc>
        <w:tc>
          <w:tcPr>
            <w:shd w:fill="f1a984" w:val="clear"/>
          </w:tcPr>
          <w:p w:rsidR="00000000" w:rsidDel="00000000" w:rsidP="00000000" w:rsidRDefault="00000000" w:rsidRPr="00000000" w14:paraId="00001617">
            <w:pPr>
              <w:rPr>
                <w:sz w:val="22"/>
                <w:szCs w:val="22"/>
              </w:rPr>
            </w:pPr>
            <w:r w:rsidDel="00000000" w:rsidR="00000000" w:rsidRPr="00000000">
              <w:rPr>
                <w:rtl w:val="0"/>
              </w:rPr>
            </w:r>
          </w:p>
        </w:tc>
        <w:tc>
          <w:tcPr>
            <w:shd w:fill="fae2d6" w:val="clear"/>
          </w:tcPr>
          <w:p w:rsidR="00000000" w:rsidDel="00000000" w:rsidP="00000000" w:rsidRDefault="00000000" w:rsidRPr="00000000" w14:paraId="00001618">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19">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61A">
            <w:pPr>
              <w:rPr>
                <w:sz w:val="22"/>
                <w:szCs w:val="22"/>
              </w:rPr>
            </w:pPr>
            <w:r w:rsidDel="00000000" w:rsidR="00000000" w:rsidRPr="00000000">
              <w:rPr>
                <w:rtl w:val="0"/>
              </w:rPr>
            </w:r>
          </w:p>
        </w:tc>
        <w:tc>
          <w:tcPr>
            <w:shd w:fill="c1f0c8" w:val="clear"/>
          </w:tcPr>
          <w:p w:rsidR="00000000" w:rsidDel="00000000" w:rsidP="00000000" w:rsidRDefault="00000000" w:rsidRPr="00000000" w14:paraId="0000161B">
            <w:pPr>
              <w:rPr>
                <w:sz w:val="22"/>
                <w:szCs w:val="22"/>
              </w:rPr>
            </w:pPr>
            <w:r w:rsidDel="00000000" w:rsidR="00000000" w:rsidRPr="00000000">
              <w:rPr>
                <w:rtl w:val="0"/>
              </w:rPr>
            </w:r>
          </w:p>
        </w:tc>
        <w:tc>
          <w:tcPr>
            <w:shd w:fill="c1f0c8" w:val="clear"/>
          </w:tcPr>
          <w:p w:rsidR="00000000" w:rsidDel="00000000" w:rsidP="00000000" w:rsidRDefault="00000000" w:rsidRPr="00000000" w14:paraId="0000161C">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61D">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1E">
            <w:pPr>
              <w:rPr>
                <w:sz w:val="22"/>
                <w:szCs w:val="22"/>
              </w:rPr>
            </w:pPr>
            <w:r w:rsidDel="00000000" w:rsidR="00000000" w:rsidRPr="00000000">
              <w:rPr>
                <w:rtl w:val="0"/>
              </w:rPr>
            </w:r>
          </w:p>
        </w:tc>
        <w:tc>
          <w:tcPr>
            <w:shd w:fill="caedfb" w:val="clear"/>
          </w:tcPr>
          <w:p w:rsidR="00000000" w:rsidDel="00000000" w:rsidP="00000000" w:rsidRDefault="00000000" w:rsidRPr="00000000" w14:paraId="0000161F">
            <w:pPr>
              <w:rPr>
                <w:sz w:val="22"/>
                <w:szCs w:val="22"/>
              </w:rPr>
            </w:pPr>
            <w:r w:rsidDel="00000000" w:rsidR="00000000" w:rsidRPr="00000000">
              <w:rPr>
                <w:rtl w:val="0"/>
              </w:rPr>
            </w:r>
          </w:p>
        </w:tc>
        <w:tc>
          <w:tcPr>
            <w:shd w:fill="caedfb" w:val="clear"/>
          </w:tcPr>
          <w:p w:rsidR="00000000" w:rsidDel="00000000" w:rsidP="00000000" w:rsidRDefault="00000000" w:rsidRPr="00000000" w14:paraId="00001620">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21">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22">
            <w:pPr>
              <w:rPr>
                <w:sz w:val="22"/>
                <w:szCs w:val="22"/>
              </w:rPr>
            </w:pPr>
            <w:r w:rsidDel="00000000" w:rsidR="00000000" w:rsidRPr="00000000">
              <w:rPr>
                <w:rtl w:val="0"/>
              </w:rPr>
            </w:r>
          </w:p>
        </w:tc>
        <w:tc>
          <w:tcPr>
            <w:shd w:fill="f1ceee" w:val="clear"/>
          </w:tcPr>
          <w:p w:rsidR="00000000" w:rsidDel="00000000" w:rsidP="00000000" w:rsidRDefault="00000000" w:rsidRPr="00000000" w14:paraId="00001623">
            <w:pPr>
              <w:rPr>
                <w:sz w:val="22"/>
                <w:szCs w:val="22"/>
              </w:rPr>
            </w:pPr>
            <w:r w:rsidDel="00000000" w:rsidR="00000000" w:rsidRPr="00000000">
              <w:rPr>
                <w:rtl w:val="0"/>
              </w:rPr>
            </w:r>
          </w:p>
        </w:tc>
        <w:tc>
          <w:tcPr>
            <w:shd w:fill="f1ceee" w:val="clear"/>
          </w:tcPr>
          <w:p w:rsidR="00000000" w:rsidDel="00000000" w:rsidP="00000000" w:rsidRDefault="00000000" w:rsidRPr="00000000" w14:paraId="00001624">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25">
            <w:pPr>
              <w:rPr>
                <w:sz w:val="22"/>
                <w:szCs w:val="22"/>
              </w:rPr>
            </w:pPr>
            <w:r w:rsidDel="00000000" w:rsidR="00000000" w:rsidRPr="00000000">
              <w:rPr>
                <w:rtl w:val="0"/>
              </w:rPr>
            </w:r>
          </w:p>
        </w:tc>
      </w:tr>
      <w:tr>
        <w:trPr>
          <w:cantSplit w:val="0"/>
          <w:trHeight w:val="362"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26">
            <w:pPr>
              <w:rPr>
                <w:i w:val="1"/>
                <w:sz w:val="22"/>
                <w:szCs w:val="22"/>
              </w:rPr>
            </w:pPr>
            <w:r w:rsidDel="00000000" w:rsidR="00000000" w:rsidRPr="00000000">
              <w:rPr>
                <w:i w:val="1"/>
                <w:sz w:val="22"/>
                <w:szCs w:val="22"/>
                <w:rtl w:val="0"/>
              </w:rPr>
              <w:t xml:space="preserve">Ethics Board</w:t>
            </w:r>
          </w:p>
        </w:tc>
        <w:tc>
          <w:tcPr>
            <w:tcBorders>
              <w:left w:color="000000" w:space="0" w:sz="4" w:val="single"/>
              <w:right w:color="000000" w:space="0" w:sz="4" w:val="single"/>
            </w:tcBorders>
            <w:shd w:fill="d1d1d1" w:val="clear"/>
          </w:tcPr>
          <w:p w:rsidR="00000000" w:rsidDel="00000000" w:rsidP="00000000" w:rsidRDefault="00000000" w:rsidRPr="00000000" w14:paraId="00001627">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28">
            <w:pPr>
              <w:rPr>
                <w:sz w:val="22"/>
                <w:szCs w:val="22"/>
              </w:rPr>
            </w:pPr>
            <w:r w:rsidDel="00000000" w:rsidR="00000000" w:rsidRPr="00000000">
              <w:rPr>
                <w:rtl w:val="0"/>
              </w:rPr>
            </w:r>
          </w:p>
        </w:tc>
        <w:tc>
          <w:tcPr>
            <w:shd w:fill="f1a984" w:val="clear"/>
          </w:tcPr>
          <w:p w:rsidR="00000000" w:rsidDel="00000000" w:rsidP="00000000" w:rsidRDefault="00000000" w:rsidRPr="00000000" w14:paraId="00001629">
            <w:pPr>
              <w:rPr>
                <w:sz w:val="22"/>
                <w:szCs w:val="22"/>
              </w:rPr>
            </w:pPr>
            <w:r w:rsidDel="00000000" w:rsidR="00000000" w:rsidRPr="00000000">
              <w:rPr>
                <w:rtl w:val="0"/>
              </w:rPr>
            </w:r>
          </w:p>
        </w:tc>
        <w:tc>
          <w:tcPr>
            <w:shd w:fill="f1a984" w:val="clear"/>
          </w:tcPr>
          <w:p w:rsidR="00000000" w:rsidDel="00000000" w:rsidP="00000000" w:rsidRDefault="00000000" w:rsidRPr="00000000" w14:paraId="0000162A">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2B">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62C">
            <w:pPr>
              <w:rPr>
                <w:sz w:val="22"/>
                <w:szCs w:val="22"/>
              </w:rPr>
            </w:pPr>
            <w:r w:rsidDel="00000000" w:rsidR="00000000" w:rsidRPr="00000000">
              <w:rPr>
                <w:rtl w:val="0"/>
              </w:rPr>
            </w:r>
          </w:p>
        </w:tc>
        <w:tc>
          <w:tcPr>
            <w:shd w:fill="c1f0c8" w:val="clear"/>
          </w:tcPr>
          <w:p w:rsidR="00000000" w:rsidDel="00000000" w:rsidP="00000000" w:rsidRDefault="00000000" w:rsidRPr="00000000" w14:paraId="0000162D">
            <w:pPr>
              <w:rPr>
                <w:sz w:val="22"/>
                <w:szCs w:val="22"/>
              </w:rPr>
            </w:pPr>
            <w:r w:rsidDel="00000000" w:rsidR="00000000" w:rsidRPr="00000000">
              <w:rPr>
                <w:rtl w:val="0"/>
              </w:rPr>
            </w:r>
          </w:p>
        </w:tc>
        <w:tc>
          <w:tcPr>
            <w:shd w:fill="c1f0c8" w:val="clear"/>
          </w:tcPr>
          <w:p w:rsidR="00000000" w:rsidDel="00000000" w:rsidP="00000000" w:rsidRDefault="00000000" w:rsidRPr="00000000" w14:paraId="0000162E">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62F">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30">
            <w:pPr>
              <w:rPr>
                <w:sz w:val="22"/>
                <w:szCs w:val="22"/>
              </w:rPr>
            </w:pPr>
            <w:r w:rsidDel="00000000" w:rsidR="00000000" w:rsidRPr="00000000">
              <w:rPr>
                <w:rtl w:val="0"/>
              </w:rPr>
            </w:r>
          </w:p>
        </w:tc>
        <w:tc>
          <w:tcPr>
            <w:shd w:fill="caedfb" w:val="clear"/>
          </w:tcPr>
          <w:p w:rsidR="00000000" w:rsidDel="00000000" w:rsidP="00000000" w:rsidRDefault="00000000" w:rsidRPr="00000000" w14:paraId="00001631">
            <w:pPr>
              <w:rPr>
                <w:sz w:val="22"/>
                <w:szCs w:val="22"/>
              </w:rPr>
            </w:pPr>
            <w:r w:rsidDel="00000000" w:rsidR="00000000" w:rsidRPr="00000000">
              <w:rPr>
                <w:rtl w:val="0"/>
              </w:rPr>
            </w:r>
          </w:p>
        </w:tc>
        <w:tc>
          <w:tcPr>
            <w:shd w:fill="caedfb" w:val="clear"/>
          </w:tcPr>
          <w:p w:rsidR="00000000" w:rsidDel="00000000" w:rsidP="00000000" w:rsidRDefault="00000000" w:rsidRPr="00000000" w14:paraId="00001632">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33">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34">
            <w:pPr>
              <w:rPr>
                <w:sz w:val="22"/>
                <w:szCs w:val="22"/>
              </w:rPr>
            </w:pPr>
            <w:r w:rsidDel="00000000" w:rsidR="00000000" w:rsidRPr="00000000">
              <w:rPr>
                <w:rtl w:val="0"/>
              </w:rPr>
            </w:r>
          </w:p>
        </w:tc>
        <w:tc>
          <w:tcPr>
            <w:shd w:fill="f1ceee" w:val="clear"/>
          </w:tcPr>
          <w:p w:rsidR="00000000" w:rsidDel="00000000" w:rsidP="00000000" w:rsidRDefault="00000000" w:rsidRPr="00000000" w14:paraId="00001635">
            <w:pPr>
              <w:rPr>
                <w:sz w:val="22"/>
                <w:szCs w:val="22"/>
              </w:rPr>
            </w:pPr>
            <w:r w:rsidDel="00000000" w:rsidR="00000000" w:rsidRPr="00000000">
              <w:rPr>
                <w:rtl w:val="0"/>
              </w:rPr>
            </w:r>
          </w:p>
        </w:tc>
        <w:tc>
          <w:tcPr>
            <w:shd w:fill="f1ceee" w:val="clear"/>
          </w:tcPr>
          <w:p w:rsidR="00000000" w:rsidDel="00000000" w:rsidP="00000000" w:rsidRDefault="00000000" w:rsidRPr="00000000" w14:paraId="00001636">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37">
            <w:pPr>
              <w:rPr>
                <w:sz w:val="22"/>
                <w:szCs w:val="22"/>
              </w:rPr>
            </w:pPr>
            <w:r w:rsidDel="00000000" w:rsidR="00000000" w:rsidRPr="00000000">
              <w:rPr>
                <w:rtl w:val="0"/>
              </w:rPr>
            </w:r>
          </w:p>
        </w:tc>
      </w:tr>
      <w:tr>
        <w:trPr>
          <w:cantSplit w:val="0"/>
          <w:trHeight w:val="396"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38">
            <w:pPr>
              <w:rPr>
                <w:i w:val="1"/>
                <w:sz w:val="22"/>
                <w:szCs w:val="22"/>
              </w:rPr>
            </w:pPr>
            <w:r w:rsidDel="00000000" w:rsidR="00000000" w:rsidRPr="00000000">
              <w:rPr>
                <w:i w:val="1"/>
                <w:sz w:val="22"/>
                <w:szCs w:val="22"/>
                <w:rtl w:val="0"/>
              </w:rPr>
              <w:t xml:space="preserve">Data Collection</w:t>
            </w:r>
          </w:p>
        </w:tc>
        <w:tc>
          <w:tcPr>
            <w:tcBorders>
              <w:left w:color="000000" w:space="0" w:sz="4" w:val="single"/>
              <w:right w:color="000000" w:space="0" w:sz="4" w:val="single"/>
            </w:tcBorders>
            <w:shd w:fill="d1d1d1" w:val="clear"/>
          </w:tcPr>
          <w:p w:rsidR="00000000" w:rsidDel="00000000" w:rsidP="00000000" w:rsidRDefault="00000000" w:rsidRPr="00000000" w14:paraId="00001639">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3A">
            <w:pPr>
              <w:rPr>
                <w:sz w:val="22"/>
                <w:szCs w:val="22"/>
              </w:rPr>
            </w:pPr>
            <w:r w:rsidDel="00000000" w:rsidR="00000000" w:rsidRPr="00000000">
              <w:rPr>
                <w:rtl w:val="0"/>
              </w:rPr>
            </w:r>
          </w:p>
        </w:tc>
        <w:tc>
          <w:tcPr>
            <w:shd w:fill="fae2d6" w:val="clear"/>
          </w:tcPr>
          <w:p w:rsidR="00000000" w:rsidDel="00000000" w:rsidP="00000000" w:rsidRDefault="00000000" w:rsidRPr="00000000" w14:paraId="0000163B">
            <w:pPr>
              <w:rPr>
                <w:sz w:val="22"/>
                <w:szCs w:val="22"/>
              </w:rPr>
            </w:pPr>
            <w:r w:rsidDel="00000000" w:rsidR="00000000" w:rsidRPr="00000000">
              <w:rPr>
                <w:rtl w:val="0"/>
              </w:rPr>
            </w:r>
          </w:p>
        </w:tc>
        <w:tc>
          <w:tcPr>
            <w:shd w:fill="f1a984" w:val="clear"/>
          </w:tcPr>
          <w:p w:rsidR="00000000" w:rsidDel="00000000" w:rsidP="00000000" w:rsidRDefault="00000000" w:rsidRPr="00000000" w14:paraId="0000163C">
            <w:pPr>
              <w:rPr>
                <w:sz w:val="22"/>
                <w:szCs w:val="22"/>
              </w:rPr>
            </w:pPr>
            <w:r w:rsidDel="00000000" w:rsidR="00000000" w:rsidRPr="00000000">
              <w:rPr>
                <w:rtl w:val="0"/>
              </w:rPr>
            </w:r>
          </w:p>
        </w:tc>
        <w:tc>
          <w:tcPr>
            <w:tcBorders>
              <w:right w:color="000000" w:space="0" w:sz="4" w:val="single"/>
            </w:tcBorders>
            <w:shd w:fill="f1a984" w:val="clear"/>
          </w:tcPr>
          <w:p w:rsidR="00000000" w:rsidDel="00000000" w:rsidP="00000000" w:rsidRDefault="00000000" w:rsidRPr="00000000" w14:paraId="0000163D">
            <w:pPr>
              <w:rPr>
                <w:sz w:val="22"/>
                <w:szCs w:val="22"/>
              </w:rPr>
            </w:pPr>
            <w:r w:rsidDel="00000000" w:rsidR="00000000" w:rsidRPr="00000000">
              <w:rPr>
                <w:rtl w:val="0"/>
              </w:rPr>
            </w:r>
          </w:p>
        </w:tc>
        <w:tc>
          <w:tcPr>
            <w:tcBorders>
              <w:left w:color="000000" w:space="0" w:sz="4" w:val="single"/>
            </w:tcBorders>
            <w:shd w:fill="47d45a" w:val="clear"/>
          </w:tcPr>
          <w:p w:rsidR="00000000" w:rsidDel="00000000" w:rsidP="00000000" w:rsidRDefault="00000000" w:rsidRPr="00000000" w14:paraId="0000163E">
            <w:pPr>
              <w:rPr>
                <w:sz w:val="22"/>
                <w:szCs w:val="22"/>
              </w:rPr>
            </w:pPr>
            <w:r w:rsidDel="00000000" w:rsidR="00000000" w:rsidRPr="00000000">
              <w:rPr>
                <w:rtl w:val="0"/>
              </w:rPr>
            </w:r>
          </w:p>
        </w:tc>
        <w:tc>
          <w:tcPr>
            <w:shd w:fill="47d45a" w:val="clear"/>
          </w:tcPr>
          <w:p w:rsidR="00000000" w:rsidDel="00000000" w:rsidP="00000000" w:rsidRDefault="00000000" w:rsidRPr="00000000" w14:paraId="0000163F">
            <w:pPr>
              <w:rPr>
                <w:sz w:val="22"/>
                <w:szCs w:val="22"/>
              </w:rPr>
            </w:pPr>
            <w:r w:rsidDel="00000000" w:rsidR="00000000" w:rsidRPr="00000000">
              <w:rPr>
                <w:rtl w:val="0"/>
              </w:rPr>
            </w:r>
          </w:p>
        </w:tc>
        <w:tc>
          <w:tcPr>
            <w:shd w:fill="47d45a" w:val="clear"/>
          </w:tcPr>
          <w:p w:rsidR="00000000" w:rsidDel="00000000" w:rsidP="00000000" w:rsidRDefault="00000000" w:rsidRPr="00000000" w14:paraId="00001640">
            <w:pPr>
              <w:rPr>
                <w:sz w:val="22"/>
                <w:szCs w:val="22"/>
              </w:rPr>
            </w:pPr>
            <w:r w:rsidDel="00000000" w:rsidR="00000000" w:rsidRPr="00000000">
              <w:rPr>
                <w:rtl w:val="0"/>
              </w:rPr>
            </w:r>
          </w:p>
        </w:tc>
        <w:tc>
          <w:tcPr>
            <w:tcBorders>
              <w:right w:color="000000" w:space="0" w:sz="4" w:val="single"/>
            </w:tcBorders>
            <w:shd w:fill="47d45a" w:val="clear"/>
          </w:tcPr>
          <w:p w:rsidR="00000000" w:rsidDel="00000000" w:rsidP="00000000" w:rsidRDefault="00000000" w:rsidRPr="00000000" w14:paraId="00001641">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42">
            <w:pPr>
              <w:rPr>
                <w:sz w:val="22"/>
                <w:szCs w:val="22"/>
              </w:rPr>
            </w:pPr>
            <w:r w:rsidDel="00000000" w:rsidR="00000000" w:rsidRPr="00000000">
              <w:rPr>
                <w:rtl w:val="0"/>
              </w:rPr>
            </w:r>
          </w:p>
        </w:tc>
        <w:tc>
          <w:tcPr>
            <w:shd w:fill="caedfb" w:val="clear"/>
          </w:tcPr>
          <w:p w:rsidR="00000000" w:rsidDel="00000000" w:rsidP="00000000" w:rsidRDefault="00000000" w:rsidRPr="00000000" w14:paraId="00001643">
            <w:pPr>
              <w:rPr>
                <w:sz w:val="22"/>
                <w:szCs w:val="22"/>
              </w:rPr>
            </w:pPr>
            <w:r w:rsidDel="00000000" w:rsidR="00000000" w:rsidRPr="00000000">
              <w:rPr>
                <w:rtl w:val="0"/>
              </w:rPr>
            </w:r>
          </w:p>
        </w:tc>
        <w:tc>
          <w:tcPr>
            <w:shd w:fill="caedfb" w:val="clear"/>
          </w:tcPr>
          <w:p w:rsidR="00000000" w:rsidDel="00000000" w:rsidP="00000000" w:rsidRDefault="00000000" w:rsidRPr="00000000" w14:paraId="00001644">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45">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46">
            <w:pPr>
              <w:rPr>
                <w:sz w:val="22"/>
                <w:szCs w:val="22"/>
              </w:rPr>
            </w:pPr>
            <w:r w:rsidDel="00000000" w:rsidR="00000000" w:rsidRPr="00000000">
              <w:rPr>
                <w:rtl w:val="0"/>
              </w:rPr>
            </w:r>
          </w:p>
        </w:tc>
        <w:tc>
          <w:tcPr>
            <w:shd w:fill="f1ceee" w:val="clear"/>
          </w:tcPr>
          <w:p w:rsidR="00000000" w:rsidDel="00000000" w:rsidP="00000000" w:rsidRDefault="00000000" w:rsidRPr="00000000" w14:paraId="00001647">
            <w:pPr>
              <w:rPr>
                <w:sz w:val="22"/>
                <w:szCs w:val="22"/>
              </w:rPr>
            </w:pPr>
            <w:r w:rsidDel="00000000" w:rsidR="00000000" w:rsidRPr="00000000">
              <w:rPr>
                <w:rtl w:val="0"/>
              </w:rPr>
            </w:r>
          </w:p>
        </w:tc>
        <w:tc>
          <w:tcPr>
            <w:shd w:fill="f1ceee" w:val="clear"/>
          </w:tcPr>
          <w:p w:rsidR="00000000" w:rsidDel="00000000" w:rsidP="00000000" w:rsidRDefault="00000000" w:rsidRPr="00000000" w14:paraId="00001648">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49">
            <w:pPr>
              <w:rPr>
                <w:sz w:val="22"/>
                <w:szCs w:val="22"/>
              </w:rPr>
            </w:pPr>
            <w:r w:rsidDel="00000000" w:rsidR="00000000" w:rsidRPr="00000000">
              <w:rPr>
                <w:rtl w:val="0"/>
              </w:rPr>
            </w:r>
          </w:p>
        </w:tc>
      </w:tr>
      <w:tr>
        <w:trPr>
          <w:cantSplit w:val="0"/>
          <w:trHeight w:val="362"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4A">
            <w:pPr>
              <w:rPr>
                <w:i w:val="1"/>
                <w:sz w:val="22"/>
                <w:szCs w:val="22"/>
              </w:rPr>
            </w:pPr>
            <w:r w:rsidDel="00000000" w:rsidR="00000000" w:rsidRPr="00000000">
              <w:rPr>
                <w:i w:val="1"/>
                <w:sz w:val="22"/>
                <w:szCs w:val="22"/>
                <w:rtl w:val="0"/>
              </w:rPr>
              <w:t xml:space="preserve">Data Analysis</w:t>
            </w:r>
          </w:p>
        </w:tc>
        <w:tc>
          <w:tcPr>
            <w:tcBorders>
              <w:left w:color="000000" w:space="0" w:sz="4" w:val="single"/>
              <w:right w:color="000000" w:space="0" w:sz="4" w:val="single"/>
            </w:tcBorders>
            <w:shd w:fill="d1d1d1" w:val="clear"/>
          </w:tcPr>
          <w:p w:rsidR="00000000" w:rsidDel="00000000" w:rsidP="00000000" w:rsidRDefault="00000000" w:rsidRPr="00000000" w14:paraId="0000164B">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4C">
            <w:pPr>
              <w:rPr>
                <w:sz w:val="22"/>
                <w:szCs w:val="22"/>
              </w:rPr>
            </w:pPr>
            <w:r w:rsidDel="00000000" w:rsidR="00000000" w:rsidRPr="00000000">
              <w:rPr>
                <w:rtl w:val="0"/>
              </w:rPr>
            </w:r>
          </w:p>
        </w:tc>
        <w:tc>
          <w:tcPr>
            <w:shd w:fill="fae2d6" w:val="clear"/>
          </w:tcPr>
          <w:p w:rsidR="00000000" w:rsidDel="00000000" w:rsidP="00000000" w:rsidRDefault="00000000" w:rsidRPr="00000000" w14:paraId="0000164D">
            <w:pPr>
              <w:rPr>
                <w:sz w:val="22"/>
                <w:szCs w:val="22"/>
              </w:rPr>
            </w:pPr>
            <w:r w:rsidDel="00000000" w:rsidR="00000000" w:rsidRPr="00000000">
              <w:rPr>
                <w:rtl w:val="0"/>
              </w:rPr>
            </w:r>
          </w:p>
        </w:tc>
        <w:tc>
          <w:tcPr>
            <w:shd w:fill="f1a984" w:val="clear"/>
          </w:tcPr>
          <w:p w:rsidR="00000000" w:rsidDel="00000000" w:rsidP="00000000" w:rsidRDefault="00000000" w:rsidRPr="00000000" w14:paraId="0000164E">
            <w:pPr>
              <w:rPr>
                <w:sz w:val="22"/>
                <w:szCs w:val="22"/>
              </w:rPr>
            </w:pPr>
            <w:r w:rsidDel="00000000" w:rsidR="00000000" w:rsidRPr="00000000">
              <w:rPr>
                <w:rtl w:val="0"/>
              </w:rPr>
            </w:r>
          </w:p>
        </w:tc>
        <w:tc>
          <w:tcPr>
            <w:tcBorders>
              <w:right w:color="000000" w:space="0" w:sz="4" w:val="single"/>
            </w:tcBorders>
            <w:shd w:fill="f1a984" w:val="clear"/>
          </w:tcPr>
          <w:p w:rsidR="00000000" w:rsidDel="00000000" w:rsidP="00000000" w:rsidRDefault="00000000" w:rsidRPr="00000000" w14:paraId="0000164F">
            <w:pPr>
              <w:rPr>
                <w:sz w:val="22"/>
                <w:szCs w:val="22"/>
              </w:rPr>
            </w:pPr>
            <w:r w:rsidDel="00000000" w:rsidR="00000000" w:rsidRPr="00000000">
              <w:rPr>
                <w:rtl w:val="0"/>
              </w:rPr>
            </w:r>
          </w:p>
        </w:tc>
        <w:tc>
          <w:tcPr>
            <w:tcBorders>
              <w:left w:color="000000" w:space="0" w:sz="4" w:val="single"/>
            </w:tcBorders>
            <w:shd w:fill="47d45a" w:val="clear"/>
          </w:tcPr>
          <w:p w:rsidR="00000000" w:rsidDel="00000000" w:rsidP="00000000" w:rsidRDefault="00000000" w:rsidRPr="00000000" w14:paraId="00001650">
            <w:pPr>
              <w:rPr>
                <w:sz w:val="22"/>
                <w:szCs w:val="22"/>
              </w:rPr>
            </w:pPr>
            <w:r w:rsidDel="00000000" w:rsidR="00000000" w:rsidRPr="00000000">
              <w:rPr>
                <w:rtl w:val="0"/>
              </w:rPr>
            </w:r>
          </w:p>
        </w:tc>
        <w:tc>
          <w:tcPr>
            <w:shd w:fill="47d45a" w:val="clear"/>
          </w:tcPr>
          <w:p w:rsidR="00000000" w:rsidDel="00000000" w:rsidP="00000000" w:rsidRDefault="00000000" w:rsidRPr="00000000" w14:paraId="00001651">
            <w:pPr>
              <w:rPr>
                <w:sz w:val="22"/>
                <w:szCs w:val="22"/>
              </w:rPr>
            </w:pPr>
            <w:r w:rsidDel="00000000" w:rsidR="00000000" w:rsidRPr="00000000">
              <w:rPr>
                <w:rtl w:val="0"/>
              </w:rPr>
            </w:r>
          </w:p>
        </w:tc>
        <w:tc>
          <w:tcPr>
            <w:shd w:fill="47d45a" w:val="clear"/>
          </w:tcPr>
          <w:p w:rsidR="00000000" w:rsidDel="00000000" w:rsidP="00000000" w:rsidRDefault="00000000" w:rsidRPr="00000000" w14:paraId="00001652">
            <w:pPr>
              <w:rPr>
                <w:sz w:val="22"/>
                <w:szCs w:val="22"/>
              </w:rPr>
            </w:pPr>
            <w:r w:rsidDel="00000000" w:rsidR="00000000" w:rsidRPr="00000000">
              <w:rPr>
                <w:rtl w:val="0"/>
              </w:rPr>
            </w:r>
          </w:p>
        </w:tc>
        <w:tc>
          <w:tcPr>
            <w:tcBorders>
              <w:right w:color="000000" w:space="0" w:sz="4" w:val="single"/>
            </w:tcBorders>
            <w:shd w:fill="47d45a" w:val="clear"/>
          </w:tcPr>
          <w:p w:rsidR="00000000" w:rsidDel="00000000" w:rsidP="00000000" w:rsidRDefault="00000000" w:rsidRPr="00000000" w14:paraId="00001653">
            <w:pPr>
              <w:rPr>
                <w:sz w:val="22"/>
                <w:szCs w:val="22"/>
              </w:rPr>
            </w:pPr>
            <w:r w:rsidDel="00000000" w:rsidR="00000000" w:rsidRPr="00000000">
              <w:rPr>
                <w:rtl w:val="0"/>
              </w:rPr>
            </w:r>
          </w:p>
        </w:tc>
        <w:tc>
          <w:tcPr>
            <w:tcBorders>
              <w:left w:color="000000" w:space="0" w:sz="4" w:val="single"/>
            </w:tcBorders>
            <w:shd w:fill="60cbf3" w:val="clear"/>
          </w:tcPr>
          <w:p w:rsidR="00000000" w:rsidDel="00000000" w:rsidP="00000000" w:rsidRDefault="00000000" w:rsidRPr="00000000" w14:paraId="00001654">
            <w:pPr>
              <w:rPr>
                <w:sz w:val="22"/>
                <w:szCs w:val="22"/>
              </w:rPr>
            </w:pPr>
            <w:r w:rsidDel="00000000" w:rsidR="00000000" w:rsidRPr="00000000">
              <w:rPr>
                <w:rtl w:val="0"/>
              </w:rPr>
            </w:r>
          </w:p>
        </w:tc>
        <w:tc>
          <w:tcPr>
            <w:shd w:fill="caedfb" w:val="clear"/>
          </w:tcPr>
          <w:p w:rsidR="00000000" w:rsidDel="00000000" w:rsidP="00000000" w:rsidRDefault="00000000" w:rsidRPr="00000000" w14:paraId="00001655">
            <w:pPr>
              <w:rPr>
                <w:sz w:val="22"/>
                <w:szCs w:val="22"/>
              </w:rPr>
            </w:pPr>
            <w:r w:rsidDel="00000000" w:rsidR="00000000" w:rsidRPr="00000000">
              <w:rPr>
                <w:rtl w:val="0"/>
              </w:rPr>
            </w:r>
          </w:p>
        </w:tc>
        <w:tc>
          <w:tcPr>
            <w:shd w:fill="caedfb" w:val="clear"/>
          </w:tcPr>
          <w:p w:rsidR="00000000" w:rsidDel="00000000" w:rsidP="00000000" w:rsidRDefault="00000000" w:rsidRPr="00000000" w14:paraId="00001656">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57">
            <w:pPr>
              <w:rPr>
                <w:sz w:val="22"/>
                <w:szCs w:val="22"/>
              </w:rPr>
            </w:pPr>
            <w:r w:rsidDel="00000000" w:rsidR="00000000" w:rsidRPr="00000000">
              <w:rPr>
                <w:rtl w:val="0"/>
              </w:rPr>
            </w:r>
          </w:p>
        </w:tc>
        <w:tc>
          <w:tcPr>
            <w:tcBorders>
              <w:left w:color="000000" w:space="0" w:sz="4" w:val="single"/>
            </w:tcBorders>
            <w:shd w:fill="d76dcc" w:val="clear"/>
          </w:tcPr>
          <w:p w:rsidR="00000000" w:rsidDel="00000000" w:rsidP="00000000" w:rsidRDefault="00000000" w:rsidRPr="00000000" w14:paraId="00001658">
            <w:pPr>
              <w:rPr>
                <w:sz w:val="22"/>
                <w:szCs w:val="22"/>
              </w:rPr>
            </w:pPr>
            <w:r w:rsidDel="00000000" w:rsidR="00000000" w:rsidRPr="00000000">
              <w:rPr>
                <w:rtl w:val="0"/>
              </w:rPr>
            </w:r>
          </w:p>
        </w:tc>
        <w:tc>
          <w:tcPr>
            <w:shd w:fill="d76dcc" w:val="clear"/>
          </w:tcPr>
          <w:p w:rsidR="00000000" w:rsidDel="00000000" w:rsidP="00000000" w:rsidRDefault="00000000" w:rsidRPr="00000000" w14:paraId="00001659">
            <w:pPr>
              <w:rPr>
                <w:sz w:val="22"/>
                <w:szCs w:val="22"/>
              </w:rPr>
            </w:pPr>
            <w:r w:rsidDel="00000000" w:rsidR="00000000" w:rsidRPr="00000000">
              <w:rPr>
                <w:rtl w:val="0"/>
              </w:rPr>
            </w:r>
          </w:p>
        </w:tc>
        <w:tc>
          <w:tcPr>
            <w:shd w:fill="d76dcc" w:val="clear"/>
          </w:tcPr>
          <w:p w:rsidR="00000000" w:rsidDel="00000000" w:rsidP="00000000" w:rsidRDefault="00000000" w:rsidRPr="00000000" w14:paraId="0000165A">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5B">
            <w:pPr>
              <w:rPr>
                <w:sz w:val="22"/>
                <w:szCs w:val="22"/>
              </w:rPr>
            </w:pPr>
            <w:r w:rsidDel="00000000" w:rsidR="00000000" w:rsidRPr="00000000">
              <w:rPr>
                <w:rtl w:val="0"/>
              </w:rPr>
            </w:r>
          </w:p>
        </w:tc>
      </w:tr>
      <w:tr>
        <w:trPr>
          <w:cantSplit w:val="0"/>
          <w:trHeight w:val="396"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5C">
            <w:pPr>
              <w:rPr>
                <w:i w:val="1"/>
                <w:sz w:val="22"/>
                <w:szCs w:val="22"/>
              </w:rPr>
            </w:pPr>
            <w:r w:rsidDel="00000000" w:rsidR="00000000" w:rsidRPr="00000000">
              <w:rPr>
                <w:i w:val="1"/>
                <w:sz w:val="22"/>
                <w:szCs w:val="22"/>
                <w:rtl w:val="0"/>
              </w:rPr>
              <w:t xml:space="preserve">Write Up</w:t>
            </w:r>
          </w:p>
        </w:tc>
        <w:tc>
          <w:tcPr>
            <w:tcBorders>
              <w:left w:color="000000" w:space="0" w:sz="4" w:val="single"/>
              <w:right w:color="000000" w:space="0" w:sz="4" w:val="single"/>
            </w:tcBorders>
            <w:shd w:fill="d1d1d1" w:val="clear"/>
          </w:tcPr>
          <w:p w:rsidR="00000000" w:rsidDel="00000000" w:rsidP="00000000" w:rsidRDefault="00000000" w:rsidRPr="00000000" w14:paraId="0000165D">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5E">
            <w:pPr>
              <w:rPr>
                <w:sz w:val="22"/>
                <w:szCs w:val="22"/>
              </w:rPr>
            </w:pPr>
            <w:r w:rsidDel="00000000" w:rsidR="00000000" w:rsidRPr="00000000">
              <w:rPr>
                <w:rtl w:val="0"/>
              </w:rPr>
            </w:r>
          </w:p>
        </w:tc>
        <w:tc>
          <w:tcPr>
            <w:shd w:fill="fae2d6" w:val="clear"/>
          </w:tcPr>
          <w:p w:rsidR="00000000" w:rsidDel="00000000" w:rsidP="00000000" w:rsidRDefault="00000000" w:rsidRPr="00000000" w14:paraId="0000165F">
            <w:pPr>
              <w:rPr>
                <w:sz w:val="22"/>
                <w:szCs w:val="22"/>
              </w:rPr>
            </w:pPr>
            <w:r w:rsidDel="00000000" w:rsidR="00000000" w:rsidRPr="00000000">
              <w:rPr>
                <w:rtl w:val="0"/>
              </w:rPr>
            </w:r>
          </w:p>
        </w:tc>
        <w:tc>
          <w:tcPr>
            <w:shd w:fill="fae2d6" w:val="clear"/>
          </w:tcPr>
          <w:p w:rsidR="00000000" w:rsidDel="00000000" w:rsidP="00000000" w:rsidRDefault="00000000" w:rsidRPr="00000000" w14:paraId="00001660">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61">
            <w:pPr>
              <w:rPr>
                <w:sz w:val="22"/>
                <w:szCs w:val="22"/>
              </w:rPr>
            </w:pPr>
            <w:r w:rsidDel="00000000" w:rsidR="00000000" w:rsidRPr="00000000">
              <w:rPr>
                <w:rtl w:val="0"/>
              </w:rPr>
            </w:r>
          </w:p>
        </w:tc>
        <w:tc>
          <w:tcPr>
            <w:tcBorders>
              <w:left w:color="000000" w:space="0" w:sz="4" w:val="single"/>
            </w:tcBorders>
            <w:shd w:fill="47d45a" w:val="clear"/>
          </w:tcPr>
          <w:p w:rsidR="00000000" w:rsidDel="00000000" w:rsidP="00000000" w:rsidRDefault="00000000" w:rsidRPr="00000000" w14:paraId="00001662">
            <w:pPr>
              <w:rPr>
                <w:sz w:val="22"/>
                <w:szCs w:val="22"/>
              </w:rPr>
            </w:pPr>
            <w:r w:rsidDel="00000000" w:rsidR="00000000" w:rsidRPr="00000000">
              <w:rPr>
                <w:rtl w:val="0"/>
              </w:rPr>
            </w:r>
          </w:p>
        </w:tc>
        <w:tc>
          <w:tcPr>
            <w:shd w:fill="47d45a" w:val="clear"/>
          </w:tcPr>
          <w:p w:rsidR="00000000" w:rsidDel="00000000" w:rsidP="00000000" w:rsidRDefault="00000000" w:rsidRPr="00000000" w14:paraId="00001663">
            <w:pPr>
              <w:rPr>
                <w:sz w:val="22"/>
                <w:szCs w:val="22"/>
              </w:rPr>
            </w:pPr>
            <w:r w:rsidDel="00000000" w:rsidR="00000000" w:rsidRPr="00000000">
              <w:rPr>
                <w:rtl w:val="0"/>
              </w:rPr>
            </w:r>
          </w:p>
        </w:tc>
        <w:tc>
          <w:tcPr>
            <w:shd w:fill="47d45a" w:val="clear"/>
          </w:tcPr>
          <w:p w:rsidR="00000000" w:rsidDel="00000000" w:rsidP="00000000" w:rsidRDefault="00000000" w:rsidRPr="00000000" w14:paraId="00001664">
            <w:pPr>
              <w:rPr>
                <w:sz w:val="22"/>
                <w:szCs w:val="22"/>
              </w:rPr>
            </w:pPr>
            <w:r w:rsidDel="00000000" w:rsidR="00000000" w:rsidRPr="00000000">
              <w:rPr>
                <w:rtl w:val="0"/>
              </w:rPr>
            </w:r>
          </w:p>
        </w:tc>
        <w:tc>
          <w:tcPr>
            <w:tcBorders>
              <w:right w:color="000000" w:space="0" w:sz="4" w:val="single"/>
            </w:tcBorders>
            <w:shd w:fill="47d45a" w:val="clear"/>
          </w:tcPr>
          <w:p w:rsidR="00000000" w:rsidDel="00000000" w:rsidP="00000000" w:rsidRDefault="00000000" w:rsidRPr="00000000" w14:paraId="00001665">
            <w:pPr>
              <w:rPr>
                <w:sz w:val="22"/>
                <w:szCs w:val="22"/>
              </w:rPr>
            </w:pPr>
            <w:r w:rsidDel="00000000" w:rsidR="00000000" w:rsidRPr="00000000">
              <w:rPr>
                <w:rtl w:val="0"/>
              </w:rPr>
            </w:r>
          </w:p>
        </w:tc>
        <w:tc>
          <w:tcPr>
            <w:tcBorders>
              <w:left w:color="000000" w:space="0" w:sz="4" w:val="single"/>
            </w:tcBorders>
            <w:shd w:fill="60cbf3" w:val="clear"/>
          </w:tcPr>
          <w:p w:rsidR="00000000" w:rsidDel="00000000" w:rsidP="00000000" w:rsidRDefault="00000000" w:rsidRPr="00000000" w14:paraId="00001666">
            <w:pPr>
              <w:rPr>
                <w:sz w:val="22"/>
                <w:szCs w:val="22"/>
              </w:rPr>
            </w:pPr>
            <w:r w:rsidDel="00000000" w:rsidR="00000000" w:rsidRPr="00000000">
              <w:rPr>
                <w:rtl w:val="0"/>
              </w:rPr>
            </w:r>
          </w:p>
        </w:tc>
        <w:tc>
          <w:tcPr>
            <w:shd w:fill="60cbf3" w:val="clear"/>
          </w:tcPr>
          <w:p w:rsidR="00000000" w:rsidDel="00000000" w:rsidP="00000000" w:rsidRDefault="00000000" w:rsidRPr="00000000" w14:paraId="00001667">
            <w:pPr>
              <w:rPr>
                <w:sz w:val="22"/>
                <w:szCs w:val="22"/>
              </w:rPr>
            </w:pPr>
            <w:r w:rsidDel="00000000" w:rsidR="00000000" w:rsidRPr="00000000">
              <w:rPr>
                <w:rtl w:val="0"/>
              </w:rPr>
            </w:r>
          </w:p>
        </w:tc>
        <w:tc>
          <w:tcPr>
            <w:shd w:fill="caedfb" w:val="clear"/>
          </w:tcPr>
          <w:p w:rsidR="00000000" w:rsidDel="00000000" w:rsidP="00000000" w:rsidRDefault="00000000" w:rsidRPr="00000000" w14:paraId="00001668">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69">
            <w:pPr>
              <w:rPr>
                <w:sz w:val="22"/>
                <w:szCs w:val="22"/>
              </w:rPr>
            </w:pPr>
            <w:r w:rsidDel="00000000" w:rsidR="00000000" w:rsidRPr="00000000">
              <w:rPr>
                <w:rtl w:val="0"/>
              </w:rPr>
            </w:r>
          </w:p>
        </w:tc>
        <w:tc>
          <w:tcPr>
            <w:tcBorders>
              <w:left w:color="000000" w:space="0" w:sz="4" w:val="single"/>
            </w:tcBorders>
            <w:shd w:fill="d76dcc" w:val="clear"/>
          </w:tcPr>
          <w:p w:rsidR="00000000" w:rsidDel="00000000" w:rsidP="00000000" w:rsidRDefault="00000000" w:rsidRPr="00000000" w14:paraId="0000166A">
            <w:pPr>
              <w:rPr>
                <w:sz w:val="22"/>
                <w:szCs w:val="22"/>
              </w:rPr>
            </w:pPr>
            <w:r w:rsidDel="00000000" w:rsidR="00000000" w:rsidRPr="00000000">
              <w:rPr>
                <w:rtl w:val="0"/>
              </w:rPr>
            </w:r>
          </w:p>
        </w:tc>
        <w:tc>
          <w:tcPr>
            <w:shd w:fill="d76dcc" w:val="clear"/>
          </w:tcPr>
          <w:p w:rsidR="00000000" w:rsidDel="00000000" w:rsidP="00000000" w:rsidRDefault="00000000" w:rsidRPr="00000000" w14:paraId="0000166B">
            <w:pPr>
              <w:rPr>
                <w:sz w:val="22"/>
                <w:szCs w:val="22"/>
              </w:rPr>
            </w:pPr>
            <w:r w:rsidDel="00000000" w:rsidR="00000000" w:rsidRPr="00000000">
              <w:rPr>
                <w:rtl w:val="0"/>
              </w:rPr>
            </w:r>
          </w:p>
        </w:tc>
        <w:tc>
          <w:tcPr>
            <w:shd w:fill="d76dcc" w:val="clear"/>
          </w:tcPr>
          <w:p w:rsidR="00000000" w:rsidDel="00000000" w:rsidP="00000000" w:rsidRDefault="00000000" w:rsidRPr="00000000" w14:paraId="0000166C">
            <w:pPr>
              <w:rPr>
                <w:sz w:val="22"/>
                <w:szCs w:val="22"/>
              </w:rPr>
            </w:pPr>
            <w:r w:rsidDel="00000000" w:rsidR="00000000" w:rsidRPr="00000000">
              <w:rPr>
                <w:rtl w:val="0"/>
              </w:rPr>
            </w:r>
          </w:p>
        </w:tc>
        <w:tc>
          <w:tcPr>
            <w:tcBorders>
              <w:right w:color="000000" w:space="0" w:sz="4" w:val="single"/>
            </w:tcBorders>
            <w:shd w:fill="d76dcc" w:val="clear"/>
          </w:tcPr>
          <w:p w:rsidR="00000000" w:rsidDel="00000000" w:rsidP="00000000" w:rsidRDefault="00000000" w:rsidRPr="00000000" w14:paraId="0000166D">
            <w:pPr>
              <w:rPr>
                <w:sz w:val="22"/>
                <w:szCs w:val="22"/>
              </w:rPr>
            </w:pPr>
            <w:r w:rsidDel="00000000" w:rsidR="00000000" w:rsidRPr="00000000">
              <w:rPr>
                <w:rtl w:val="0"/>
              </w:rPr>
            </w:r>
          </w:p>
        </w:tc>
      </w:tr>
      <w:tr>
        <w:trPr>
          <w:cantSplit w:val="0"/>
          <w:trHeight w:val="362"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6E">
            <w:pPr>
              <w:rPr>
                <w:i w:val="1"/>
                <w:sz w:val="22"/>
                <w:szCs w:val="22"/>
              </w:rPr>
            </w:pPr>
            <w:r w:rsidDel="00000000" w:rsidR="00000000" w:rsidRPr="00000000">
              <w:rPr>
                <w:i w:val="1"/>
                <w:sz w:val="22"/>
                <w:szCs w:val="22"/>
                <w:rtl w:val="0"/>
              </w:rPr>
              <w:t xml:space="preserve">Update Lit Review</w:t>
            </w:r>
          </w:p>
        </w:tc>
        <w:tc>
          <w:tcPr>
            <w:tcBorders>
              <w:left w:color="000000" w:space="0" w:sz="4" w:val="single"/>
              <w:right w:color="000000" w:space="0" w:sz="4" w:val="single"/>
            </w:tcBorders>
            <w:shd w:fill="d1d1d1" w:val="clear"/>
          </w:tcPr>
          <w:p w:rsidR="00000000" w:rsidDel="00000000" w:rsidP="00000000" w:rsidRDefault="00000000" w:rsidRPr="00000000" w14:paraId="0000166F">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70">
            <w:pPr>
              <w:rPr>
                <w:sz w:val="22"/>
                <w:szCs w:val="22"/>
              </w:rPr>
            </w:pPr>
            <w:r w:rsidDel="00000000" w:rsidR="00000000" w:rsidRPr="00000000">
              <w:rPr>
                <w:rtl w:val="0"/>
              </w:rPr>
            </w:r>
          </w:p>
        </w:tc>
        <w:tc>
          <w:tcPr>
            <w:shd w:fill="fae2d6" w:val="clear"/>
          </w:tcPr>
          <w:p w:rsidR="00000000" w:rsidDel="00000000" w:rsidP="00000000" w:rsidRDefault="00000000" w:rsidRPr="00000000" w14:paraId="00001671">
            <w:pPr>
              <w:rPr>
                <w:sz w:val="22"/>
                <w:szCs w:val="22"/>
              </w:rPr>
            </w:pPr>
            <w:r w:rsidDel="00000000" w:rsidR="00000000" w:rsidRPr="00000000">
              <w:rPr>
                <w:rtl w:val="0"/>
              </w:rPr>
            </w:r>
          </w:p>
        </w:tc>
        <w:tc>
          <w:tcPr>
            <w:shd w:fill="fae2d6" w:val="clear"/>
          </w:tcPr>
          <w:p w:rsidR="00000000" w:rsidDel="00000000" w:rsidP="00000000" w:rsidRDefault="00000000" w:rsidRPr="00000000" w14:paraId="00001672">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73">
            <w:pPr>
              <w:rPr>
                <w:sz w:val="22"/>
                <w:szCs w:val="22"/>
              </w:rPr>
            </w:pPr>
            <w:r w:rsidDel="00000000" w:rsidR="00000000" w:rsidRPr="00000000">
              <w:rPr>
                <w:rtl w:val="0"/>
              </w:rPr>
            </w:r>
          </w:p>
        </w:tc>
        <w:tc>
          <w:tcPr>
            <w:tcBorders>
              <w:left w:color="000000" w:space="0" w:sz="4" w:val="single"/>
            </w:tcBorders>
            <w:shd w:fill="47d45a" w:val="clear"/>
          </w:tcPr>
          <w:p w:rsidR="00000000" w:rsidDel="00000000" w:rsidP="00000000" w:rsidRDefault="00000000" w:rsidRPr="00000000" w14:paraId="00001674">
            <w:pPr>
              <w:rPr>
                <w:sz w:val="22"/>
                <w:szCs w:val="22"/>
              </w:rPr>
            </w:pPr>
            <w:r w:rsidDel="00000000" w:rsidR="00000000" w:rsidRPr="00000000">
              <w:rPr>
                <w:rtl w:val="0"/>
              </w:rPr>
            </w:r>
          </w:p>
        </w:tc>
        <w:tc>
          <w:tcPr>
            <w:shd w:fill="47d45a" w:val="clear"/>
          </w:tcPr>
          <w:p w:rsidR="00000000" w:rsidDel="00000000" w:rsidP="00000000" w:rsidRDefault="00000000" w:rsidRPr="00000000" w14:paraId="00001675">
            <w:pPr>
              <w:rPr>
                <w:sz w:val="22"/>
                <w:szCs w:val="22"/>
              </w:rPr>
            </w:pPr>
            <w:r w:rsidDel="00000000" w:rsidR="00000000" w:rsidRPr="00000000">
              <w:rPr>
                <w:rtl w:val="0"/>
              </w:rPr>
            </w:r>
          </w:p>
        </w:tc>
        <w:tc>
          <w:tcPr>
            <w:shd w:fill="47d45a" w:val="clear"/>
          </w:tcPr>
          <w:p w:rsidR="00000000" w:rsidDel="00000000" w:rsidP="00000000" w:rsidRDefault="00000000" w:rsidRPr="00000000" w14:paraId="00001676">
            <w:pPr>
              <w:rPr>
                <w:sz w:val="22"/>
                <w:szCs w:val="22"/>
              </w:rPr>
            </w:pPr>
            <w:r w:rsidDel="00000000" w:rsidR="00000000" w:rsidRPr="00000000">
              <w:rPr>
                <w:rtl w:val="0"/>
              </w:rPr>
            </w:r>
          </w:p>
        </w:tc>
        <w:tc>
          <w:tcPr>
            <w:tcBorders>
              <w:right w:color="000000" w:space="0" w:sz="4" w:val="single"/>
            </w:tcBorders>
            <w:shd w:fill="47d45a" w:val="clear"/>
          </w:tcPr>
          <w:p w:rsidR="00000000" w:rsidDel="00000000" w:rsidP="00000000" w:rsidRDefault="00000000" w:rsidRPr="00000000" w14:paraId="00001677">
            <w:pPr>
              <w:rPr>
                <w:sz w:val="22"/>
                <w:szCs w:val="22"/>
              </w:rPr>
            </w:pPr>
            <w:r w:rsidDel="00000000" w:rsidR="00000000" w:rsidRPr="00000000">
              <w:rPr>
                <w:rtl w:val="0"/>
              </w:rPr>
            </w:r>
          </w:p>
        </w:tc>
        <w:tc>
          <w:tcPr>
            <w:tcBorders>
              <w:left w:color="000000" w:space="0" w:sz="4" w:val="single"/>
            </w:tcBorders>
            <w:shd w:fill="60cbf3" w:val="clear"/>
          </w:tcPr>
          <w:p w:rsidR="00000000" w:rsidDel="00000000" w:rsidP="00000000" w:rsidRDefault="00000000" w:rsidRPr="00000000" w14:paraId="00001678">
            <w:pPr>
              <w:rPr>
                <w:sz w:val="22"/>
                <w:szCs w:val="22"/>
              </w:rPr>
            </w:pPr>
            <w:r w:rsidDel="00000000" w:rsidR="00000000" w:rsidRPr="00000000">
              <w:rPr>
                <w:rtl w:val="0"/>
              </w:rPr>
            </w:r>
          </w:p>
        </w:tc>
        <w:tc>
          <w:tcPr>
            <w:shd w:fill="60cbf3" w:val="clear"/>
          </w:tcPr>
          <w:p w:rsidR="00000000" w:rsidDel="00000000" w:rsidP="00000000" w:rsidRDefault="00000000" w:rsidRPr="00000000" w14:paraId="00001679">
            <w:pPr>
              <w:rPr>
                <w:sz w:val="22"/>
                <w:szCs w:val="22"/>
              </w:rPr>
            </w:pPr>
            <w:r w:rsidDel="00000000" w:rsidR="00000000" w:rsidRPr="00000000">
              <w:rPr>
                <w:rtl w:val="0"/>
              </w:rPr>
            </w:r>
          </w:p>
        </w:tc>
        <w:tc>
          <w:tcPr>
            <w:shd w:fill="caedfb" w:val="clear"/>
          </w:tcPr>
          <w:p w:rsidR="00000000" w:rsidDel="00000000" w:rsidP="00000000" w:rsidRDefault="00000000" w:rsidRPr="00000000" w14:paraId="0000167A">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7B">
            <w:pPr>
              <w:rPr>
                <w:sz w:val="22"/>
                <w:szCs w:val="22"/>
              </w:rPr>
            </w:pPr>
            <w:r w:rsidDel="00000000" w:rsidR="00000000" w:rsidRPr="00000000">
              <w:rPr>
                <w:rtl w:val="0"/>
              </w:rPr>
            </w:r>
          </w:p>
        </w:tc>
        <w:tc>
          <w:tcPr>
            <w:tcBorders>
              <w:left w:color="000000" w:space="0" w:sz="4" w:val="single"/>
            </w:tcBorders>
            <w:shd w:fill="d76dcc" w:val="clear"/>
          </w:tcPr>
          <w:p w:rsidR="00000000" w:rsidDel="00000000" w:rsidP="00000000" w:rsidRDefault="00000000" w:rsidRPr="00000000" w14:paraId="0000167C">
            <w:pPr>
              <w:rPr>
                <w:sz w:val="22"/>
                <w:szCs w:val="22"/>
              </w:rPr>
            </w:pPr>
            <w:r w:rsidDel="00000000" w:rsidR="00000000" w:rsidRPr="00000000">
              <w:rPr>
                <w:rtl w:val="0"/>
              </w:rPr>
            </w:r>
          </w:p>
        </w:tc>
        <w:tc>
          <w:tcPr>
            <w:shd w:fill="d76dcc" w:val="clear"/>
          </w:tcPr>
          <w:p w:rsidR="00000000" w:rsidDel="00000000" w:rsidP="00000000" w:rsidRDefault="00000000" w:rsidRPr="00000000" w14:paraId="0000167D">
            <w:pPr>
              <w:rPr>
                <w:sz w:val="22"/>
                <w:szCs w:val="22"/>
              </w:rPr>
            </w:pPr>
            <w:r w:rsidDel="00000000" w:rsidR="00000000" w:rsidRPr="00000000">
              <w:rPr>
                <w:rtl w:val="0"/>
              </w:rPr>
            </w:r>
          </w:p>
        </w:tc>
        <w:tc>
          <w:tcPr>
            <w:shd w:fill="f1ceee" w:val="clear"/>
          </w:tcPr>
          <w:p w:rsidR="00000000" w:rsidDel="00000000" w:rsidP="00000000" w:rsidRDefault="00000000" w:rsidRPr="00000000" w14:paraId="0000167E">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7F">
            <w:pPr>
              <w:rPr>
                <w:sz w:val="22"/>
                <w:szCs w:val="22"/>
              </w:rPr>
            </w:pPr>
            <w:r w:rsidDel="00000000" w:rsidR="00000000" w:rsidRPr="00000000">
              <w:rPr>
                <w:rtl w:val="0"/>
              </w:rPr>
            </w:r>
          </w:p>
        </w:tc>
      </w:tr>
      <w:tr>
        <w:trPr>
          <w:cantSplit w:val="0"/>
          <w:trHeight w:val="396"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80">
            <w:pPr>
              <w:rPr>
                <w:i w:val="1"/>
                <w:sz w:val="22"/>
                <w:szCs w:val="22"/>
              </w:rPr>
            </w:pPr>
            <w:r w:rsidDel="00000000" w:rsidR="00000000" w:rsidRPr="00000000">
              <w:rPr>
                <w:i w:val="1"/>
                <w:sz w:val="22"/>
                <w:szCs w:val="22"/>
                <w:rtl w:val="0"/>
              </w:rPr>
              <w:t xml:space="preserve">Submission</w:t>
            </w:r>
          </w:p>
        </w:tc>
        <w:tc>
          <w:tcPr>
            <w:tcBorders>
              <w:left w:color="000000" w:space="0" w:sz="4" w:val="single"/>
              <w:right w:color="000000" w:space="0" w:sz="4" w:val="single"/>
            </w:tcBorders>
            <w:shd w:fill="d1d1d1" w:val="clear"/>
          </w:tcPr>
          <w:p w:rsidR="00000000" w:rsidDel="00000000" w:rsidP="00000000" w:rsidRDefault="00000000" w:rsidRPr="00000000" w14:paraId="00001681">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82">
            <w:pPr>
              <w:rPr>
                <w:sz w:val="22"/>
                <w:szCs w:val="22"/>
              </w:rPr>
            </w:pPr>
            <w:r w:rsidDel="00000000" w:rsidR="00000000" w:rsidRPr="00000000">
              <w:rPr>
                <w:rtl w:val="0"/>
              </w:rPr>
            </w:r>
          </w:p>
        </w:tc>
        <w:tc>
          <w:tcPr>
            <w:shd w:fill="fae2d6" w:val="clear"/>
          </w:tcPr>
          <w:p w:rsidR="00000000" w:rsidDel="00000000" w:rsidP="00000000" w:rsidRDefault="00000000" w:rsidRPr="00000000" w14:paraId="00001683">
            <w:pPr>
              <w:rPr>
                <w:sz w:val="22"/>
                <w:szCs w:val="22"/>
              </w:rPr>
            </w:pPr>
            <w:r w:rsidDel="00000000" w:rsidR="00000000" w:rsidRPr="00000000">
              <w:rPr>
                <w:rtl w:val="0"/>
              </w:rPr>
            </w:r>
          </w:p>
        </w:tc>
        <w:tc>
          <w:tcPr>
            <w:shd w:fill="fae2d6" w:val="clear"/>
          </w:tcPr>
          <w:p w:rsidR="00000000" w:rsidDel="00000000" w:rsidP="00000000" w:rsidRDefault="00000000" w:rsidRPr="00000000" w14:paraId="00001684">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85">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686">
            <w:pPr>
              <w:rPr>
                <w:sz w:val="22"/>
                <w:szCs w:val="22"/>
              </w:rPr>
            </w:pPr>
            <w:r w:rsidDel="00000000" w:rsidR="00000000" w:rsidRPr="00000000">
              <w:rPr>
                <w:rtl w:val="0"/>
              </w:rPr>
            </w:r>
          </w:p>
        </w:tc>
        <w:tc>
          <w:tcPr>
            <w:shd w:fill="c1f0c8" w:val="clear"/>
          </w:tcPr>
          <w:p w:rsidR="00000000" w:rsidDel="00000000" w:rsidP="00000000" w:rsidRDefault="00000000" w:rsidRPr="00000000" w14:paraId="00001687">
            <w:pPr>
              <w:rPr>
                <w:sz w:val="22"/>
                <w:szCs w:val="22"/>
              </w:rPr>
            </w:pPr>
            <w:r w:rsidDel="00000000" w:rsidR="00000000" w:rsidRPr="00000000">
              <w:rPr>
                <w:rtl w:val="0"/>
              </w:rPr>
            </w:r>
          </w:p>
        </w:tc>
        <w:tc>
          <w:tcPr>
            <w:shd w:fill="c1f0c8" w:val="clear"/>
          </w:tcPr>
          <w:p w:rsidR="00000000" w:rsidDel="00000000" w:rsidP="00000000" w:rsidRDefault="00000000" w:rsidRPr="00000000" w14:paraId="00001688">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689">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8A">
            <w:pPr>
              <w:rPr>
                <w:sz w:val="22"/>
                <w:szCs w:val="22"/>
              </w:rPr>
            </w:pPr>
            <w:r w:rsidDel="00000000" w:rsidR="00000000" w:rsidRPr="00000000">
              <w:rPr>
                <w:rtl w:val="0"/>
              </w:rPr>
            </w:r>
          </w:p>
        </w:tc>
        <w:tc>
          <w:tcPr>
            <w:shd w:fill="caedfb" w:val="clear"/>
          </w:tcPr>
          <w:p w:rsidR="00000000" w:rsidDel="00000000" w:rsidP="00000000" w:rsidRDefault="00000000" w:rsidRPr="00000000" w14:paraId="0000168B">
            <w:pPr>
              <w:rPr>
                <w:sz w:val="22"/>
                <w:szCs w:val="22"/>
              </w:rPr>
            </w:pPr>
            <w:r w:rsidDel="00000000" w:rsidR="00000000" w:rsidRPr="00000000">
              <w:rPr>
                <w:rtl w:val="0"/>
              </w:rPr>
            </w:r>
          </w:p>
        </w:tc>
        <w:tc>
          <w:tcPr>
            <w:shd w:fill="60cbf3" w:val="clear"/>
          </w:tcPr>
          <w:p w:rsidR="00000000" w:rsidDel="00000000" w:rsidP="00000000" w:rsidRDefault="00000000" w:rsidRPr="00000000" w14:paraId="0000168C">
            <w:pPr>
              <w:rPr>
                <w:sz w:val="22"/>
                <w:szCs w:val="22"/>
              </w:rPr>
            </w:pPr>
            <w:r w:rsidDel="00000000" w:rsidR="00000000" w:rsidRPr="00000000">
              <w:rPr>
                <w:rtl w:val="0"/>
              </w:rPr>
            </w:r>
          </w:p>
        </w:tc>
        <w:tc>
          <w:tcPr>
            <w:tcBorders>
              <w:right w:color="000000" w:space="0" w:sz="4" w:val="single"/>
            </w:tcBorders>
            <w:shd w:fill="caedfb" w:val="clear"/>
          </w:tcPr>
          <w:p w:rsidR="00000000" w:rsidDel="00000000" w:rsidP="00000000" w:rsidRDefault="00000000" w:rsidRPr="00000000" w14:paraId="0000168D">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8E">
            <w:pPr>
              <w:rPr>
                <w:sz w:val="22"/>
                <w:szCs w:val="22"/>
              </w:rPr>
            </w:pPr>
            <w:r w:rsidDel="00000000" w:rsidR="00000000" w:rsidRPr="00000000">
              <w:rPr>
                <w:rtl w:val="0"/>
              </w:rPr>
            </w:r>
          </w:p>
        </w:tc>
        <w:tc>
          <w:tcPr>
            <w:shd w:fill="f1ceee" w:val="clear"/>
          </w:tcPr>
          <w:p w:rsidR="00000000" w:rsidDel="00000000" w:rsidP="00000000" w:rsidRDefault="00000000" w:rsidRPr="00000000" w14:paraId="0000168F">
            <w:pPr>
              <w:rPr>
                <w:sz w:val="22"/>
                <w:szCs w:val="22"/>
              </w:rPr>
            </w:pPr>
            <w:r w:rsidDel="00000000" w:rsidR="00000000" w:rsidRPr="00000000">
              <w:rPr>
                <w:rtl w:val="0"/>
              </w:rPr>
            </w:r>
          </w:p>
        </w:tc>
        <w:tc>
          <w:tcPr>
            <w:shd w:fill="f1ceee" w:val="clear"/>
          </w:tcPr>
          <w:p w:rsidR="00000000" w:rsidDel="00000000" w:rsidP="00000000" w:rsidRDefault="00000000" w:rsidRPr="00000000" w14:paraId="00001690">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91">
            <w:pPr>
              <w:rPr>
                <w:sz w:val="22"/>
                <w:szCs w:val="22"/>
              </w:rPr>
            </w:pPr>
            <w:r w:rsidDel="00000000" w:rsidR="00000000" w:rsidRPr="00000000">
              <w:rPr>
                <w:rtl w:val="0"/>
              </w:rPr>
            </w:r>
          </w:p>
        </w:tc>
      </w:tr>
      <w:tr>
        <w:trPr>
          <w:cantSplit w:val="0"/>
          <w:trHeight w:val="396" w:hRule="atLeast"/>
          <w:tblHeader w:val="0"/>
        </w:trPr>
        <w:tc>
          <w:tcPr>
            <w:tcBorders>
              <w:left w:color="000000" w:space="0" w:sz="4" w:val="single"/>
              <w:right w:color="000000" w:space="0" w:sz="4" w:val="single"/>
            </w:tcBorders>
            <w:vAlign w:val="center"/>
          </w:tcPr>
          <w:p w:rsidR="00000000" w:rsidDel="00000000" w:rsidP="00000000" w:rsidRDefault="00000000" w:rsidRPr="00000000" w14:paraId="00001692">
            <w:pPr>
              <w:rPr>
                <w:i w:val="1"/>
                <w:sz w:val="22"/>
                <w:szCs w:val="22"/>
              </w:rPr>
            </w:pPr>
            <w:r w:rsidDel="00000000" w:rsidR="00000000" w:rsidRPr="00000000">
              <w:rPr>
                <w:i w:val="1"/>
                <w:sz w:val="22"/>
                <w:szCs w:val="22"/>
                <w:rtl w:val="0"/>
              </w:rPr>
              <w:t xml:space="preserve">Viva</w:t>
            </w:r>
          </w:p>
        </w:tc>
        <w:tc>
          <w:tcPr>
            <w:tcBorders>
              <w:left w:color="000000" w:space="0" w:sz="4" w:val="single"/>
              <w:right w:color="000000" w:space="0" w:sz="4" w:val="single"/>
            </w:tcBorders>
            <w:shd w:fill="d1d1d1" w:val="clear"/>
          </w:tcPr>
          <w:p w:rsidR="00000000" w:rsidDel="00000000" w:rsidP="00000000" w:rsidRDefault="00000000" w:rsidRPr="00000000" w14:paraId="00001693">
            <w:pPr>
              <w:rPr>
                <w:sz w:val="22"/>
                <w:szCs w:val="22"/>
              </w:rPr>
            </w:pPr>
            <w:r w:rsidDel="00000000" w:rsidR="00000000" w:rsidRPr="00000000">
              <w:rPr>
                <w:rtl w:val="0"/>
              </w:rPr>
            </w:r>
          </w:p>
        </w:tc>
        <w:tc>
          <w:tcPr>
            <w:tcBorders>
              <w:left w:color="000000" w:space="0" w:sz="4" w:val="single"/>
            </w:tcBorders>
            <w:shd w:fill="fae2d6" w:val="clear"/>
          </w:tcPr>
          <w:p w:rsidR="00000000" w:rsidDel="00000000" w:rsidP="00000000" w:rsidRDefault="00000000" w:rsidRPr="00000000" w14:paraId="00001694">
            <w:pPr>
              <w:rPr>
                <w:sz w:val="22"/>
                <w:szCs w:val="22"/>
              </w:rPr>
            </w:pPr>
            <w:r w:rsidDel="00000000" w:rsidR="00000000" w:rsidRPr="00000000">
              <w:rPr>
                <w:rtl w:val="0"/>
              </w:rPr>
            </w:r>
          </w:p>
        </w:tc>
        <w:tc>
          <w:tcPr>
            <w:shd w:fill="fae2d6" w:val="clear"/>
          </w:tcPr>
          <w:p w:rsidR="00000000" w:rsidDel="00000000" w:rsidP="00000000" w:rsidRDefault="00000000" w:rsidRPr="00000000" w14:paraId="00001695">
            <w:pPr>
              <w:rPr>
                <w:sz w:val="22"/>
                <w:szCs w:val="22"/>
              </w:rPr>
            </w:pPr>
            <w:r w:rsidDel="00000000" w:rsidR="00000000" w:rsidRPr="00000000">
              <w:rPr>
                <w:rtl w:val="0"/>
              </w:rPr>
            </w:r>
          </w:p>
        </w:tc>
        <w:tc>
          <w:tcPr>
            <w:shd w:fill="fae2d6" w:val="clear"/>
          </w:tcPr>
          <w:p w:rsidR="00000000" w:rsidDel="00000000" w:rsidP="00000000" w:rsidRDefault="00000000" w:rsidRPr="00000000" w14:paraId="00001696">
            <w:pPr>
              <w:rPr>
                <w:sz w:val="22"/>
                <w:szCs w:val="22"/>
              </w:rPr>
            </w:pPr>
            <w:r w:rsidDel="00000000" w:rsidR="00000000" w:rsidRPr="00000000">
              <w:rPr>
                <w:rtl w:val="0"/>
              </w:rPr>
            </w:r>
          </w:p>
        </w:tc>
        <w:tc>
          <w:tcPr>
            <w:tcBorders>
              <w:right w:color="000000" w:space="0" w:sz="4" w:val="single"/>
            </w:tcBorders>
            <w:shd w:fill="fae2d6" w:val="clear"/>
          </w:tcPr>
          <w:p w:rsidR="00000000" w:rsidDel="00000000" w:rsidP="00000000" w:rsidRDefault="00000000" w:rsidRPr="00000000" w14:paraId="00001697">
            <w:pPr>
              <w:rPr>
                <w:sz w:val="22"/>
                <w:szCs w:val="22"/>
              </w:rPr>
            </w:pPr>
            <w:r w:rsidDel="00000000" w:rsidR="00000000" w:rsidRPr="00000000">
              <w:rPr>
                <w:rtl w:val="0"/>
              </w:rPr>
            </w:r>
          </w:p>
        </w:tc>
        <w:tc>
          <w:tcPr>
            <w:tcBorders>
              <w:left w:color="000000" w:space="0" w:sz="4" w:val="single"/>
            </w:tcBorders>
            <w:shd w:fill="c1f0c8" w:val="clear"/>
          </w:tcPr>
          <w:p w:rsidR="00000000" w:rsidDel="00000000" w:rsidP="00000000" w:rsidRDefault="00000000" w:rsidRPr="00000000" w14:paraId="00001698">
            <w:pPr>
              <w:rPr>
                <w:sz w:val="22"/>
                <w:szCs w:val="22"/>
              </w:rPr>
            </w:pPr>
            <w:r w:rsidDel="00000000" w:rsidR="00000000" w:rsidRPr="00000000">
              <w:rPr>
                <w:rtl w:val="0"/>
              </w:rPr>
            </w:r>
          </w:p>
        </w:tc>
        <w:tc>
          <w:tcPr>
            <w:shd w:fill="c1f0c8" w:val="clear"/>
          </w:tcPr>
          <w:p w:rsidR="00000000" w:rsidDel="00000000" w:rsidP="00000000" w:rsidRDefault="00000000" w:rsidRPr="00000000" w14:paraId="00001699">
            <w:pPr>
              <w:rPr>
                <w:sz w:val="22"/>
                <w:szCs w:val="22"/>
              </w:rPr>
            </w:pPr>
            <w:r w:rsidDel="00000000" w:rsidR="00000000" w:rsidRPr="00000000">
              <w:rPr>
                <w:rtl w:val="0"/>
              </w:rPr>
            </w:r>
          </w:p>
        </w:tc>
        <w:tc>
          <w:tcPr>
            <w:shd w:fill="c1f0c8" w:val="clear"/>
          </w:tcPr>
          <w:p w:rsidR="00000000" w:rsidDel="00000000" w:rsidP="00000000" w:rsidRDefault="00000000" w:rsidRPr="00000000" w14:paraId="0000169A">
            <w:pPr>
              <w:rPr>
                <w:sz w:val="22"/>
                <w:szCs w:val="22"/>
              </w:rPr>
            </w:pPr>
            <w:r w:rsidDel="00000000" w:rsidR="00000000" w:rsidRPr="00000000">
              <w:rPr>
                <w:rtl w:val="0"/>
              </w:rPr>
            </w:r>
          </w:p>
        </w:tc>
        <w:tc>
          <w:tcPr>
            <w:tcBorders>
              <w:right w:color="000000" w:space="0" w:sz="4" w:val="single"/>
            </w:tcBorders>
            <w:shd w:fill="c1f0c8" w:val="clear"/>
          </w:tcPr>
          <w:p w:rsidR="00000000" w:rsidDel="00000000" w:rsidP="00000000" w:rsidRDefault="00000000" w:rsidRPr="00000000" w14:paraId="0000169B">
            <w:pPr>
              <w:rPr>
                <w:sz w:val="22"/>
                <w:szCs w:val="22"/>
              </w:rPr>
            </w:pPr>
            <w:r w:rsidDel="00000000" w:rsidR="00000000" w:rsidRPr="00000000">
              <w:rPr>
                <w:rtl w:val="0"/>
              </w:rPr>
            </w:r>
          </w:p>
        </w:tc>
        <w:tc>
          <w:tcPr>
            <w:tcBorders>
              <w:left w:color="000000" w:space="0" w:sz="4" w:val="single"/>
            </w:tcBorders>
            <w:shd w:fill="caedfb" w:val="clear"/>
          </w:tcPr>
          <w:p w:rsidR="00000000" w:rsidDel="00000000" w:rsidP="00000000" w:rsidRDefault="00000000" w:rsidRPr="00000000" w14:paraId="0000169C">
            <w:pPr>
              <w:rPr>
                <w:sz w:val="22"/>
                <w:szCs w:val="22"/>
              </w:rPr>
            </w:pPr>
            <w:r w:rsidDel="00000000" w:rsidR="00000000" w:rsidRPr="00000000">
              <w:rPr>
                <w:rtl w:val="0"/>
              </w:rPr>
            </w:r>
          </w:p>
        </w:tc>
        <w:tc>
          <w:tcPr>
            <w:shd w:fill="caedfb" w:val="clear"/>
          </w:tcPr>
          <w:p w:rsidR="00000000" w:rsidDel="00000000" w:rsidP="00000000" w:rsidRDefault="00000000" w:rsidRPr="00000000" w14:paraId="0000169D">
            <w:pPr>
              <w:rPr>
                <w:sz w:val="22"/>
                <w:szCs w:val="22"/>
              </w:rPr>
            </w:pPr>
            <w:r w:rsidDel="00000000" w:rsidR="00000000" w:rsidRPr="00000000">
              <w:rPr>
                <w:rtl w:val="0"/>
              </w:rPr>
            </w:r>
          </w:p>
        </w:tc>
        <w:tc>
          <w:tcPr>
            <w:shd w:fill="caedfb" w:val="clear"/>
          </w:tcPr>
          <w:p w:rsidR="00000000" w:rsidDel="00000000" w:rsidP="00000000" w:rsidRDefault="00000000" w:rsidRPr="00000000" w14:paraId="0000169E">
            <w:pPr>
              <w:rPr>
                <w:sz w:val="22"/>
                <w:szCs w:val="22"/>
              </w:rPr>
            </w:pPr>
            <w:r w:rsidDel="00000000" w:rsidR="00000000" w:rsidRPr="00000000">
              <w:rPr>
                <w:rtl w:val="0"/>
              </w:rPr>
            </w:r>
          </w:p>
        </w:tc>
        <w:tc>
          <w:tcPr>
            <w:tcBorders>
              <w:right w:color="000000" w:space="0" w:sz="4" w:val="single"/>
            </w:tcBorders>
            <w:shd w:fill="60cbf3" w:val="clear"/>
          </w:tcPr>
          <w:p w:rsidR="00000000" w:rsidDel="00000000" w:rsidP="00000000" w:rsidRDefault="00000000" w:rsidRPr="00000000" w14:paraId="0000169F">
            <w:pPr>
              <w:rPr>
                <w:sz w:val="22"/>
                <w:szCs w:val="22"/>
              </w:rPr>
            </w:pPr>
            <w:r w:rsidDel="00000000" w:rsidR="00000000" w:rsidRPr="00000000">
              <w:rPr>
                <w:rtl w:val="0"/>
              </w:rPr>
            </w:r>
          </w:p>
        </w:tc>
        <w:tc>
          <w:tcPr>
            <w:tcBorders>
              <w:left w:color="000000" w:space="0" w:sz="4" w:val="single"/>
            </w:tcBorders>
            <w:shd w:fill="f1ceee" w:val="clear"/>
          </w:tcPr>
          <w:p w:rsidR="00000000" w:rsidDel="00000000" w:rsidP="00000000" w:rsidRDefault="00000000" w:rsidRPr="00000000" w14:paraId="000016A0">
            <w:pPr>
              <w:rPr>
                <w:sz w:val="22"/>
                <w:szCs w:val="22"/>
              </w:rPr>
            </w:pPr>
            <w:r w:rsidDel="00000000" w:rsidR="00000000" w:rsidRPr="00000000">
              <w:rPr>
                <w:rtl w:val="0"/>
              </w:rPr>
            </w:r>
          </w:p>
        </w:tc>
        <w:tc>
          <w:tcPr>
            <w:shd w:fill="f1ceee" w:val="clear"/>
          </w:tcPr>
          <w:p w:rsidR="00000000" w:rsidDel="00000000" w:rsidP="00000000" w:rsidRDefault="00000000" w:rsidRPr="00000000" w14:paraId="000016A1">
            <w:pPr>
              <w:rPr>
                <w:sz w:val="22"/>
                <w:szCs w:val="22"/>
              </w:rPr>
            </w:pPr>
            <w:r w:rsidDel="00000000" w:rsidR="00000000" w:rsidRPr="00000000">
              <w:rPr>
                <w:rtl w:val="0"/>
              </w:rPr>
            </w:r>
          </w:p>
        </w:tc>
        <w:tc>
          <w:tcPr>
            <w:shd w:fill="f1ceee" w:val="clear"/>
          </w:tcPr>
          <w:p w:rsidR="00000000" w:rsidDel="00000000" w:rsidP="00000000" w:rsidRDefault="00000000" w:rsidRPr="00000000" w14:paraId="000016A2">
            <w:pPr>
              <w:rPr>
                <w:sz w:val="22"/>
                <w:szCs w:val="22"/>
              </w:rPr>
            </w:pPr>
            <w:r w:rsidDel="00000000" w:rsidR="00000000" w:rsidRPr="00000000">
              <w:rPr>
                <w:rtl w:val="0"/>
              </w:rPr>
            </w:r>
          </w:p>
        </w:tc>
        <w:tc>
          <w:tcPr>
            <w:tcBorders>
              <w:right w:color="000000" w:space="0" w:sz="4" w:val="single"/>
            </w:tcBorders>
            <w:shd w:fill="f1ceee" w:val="clear"/>
          </w:tcPr>
          <w:p w:rsidR="00000000" w:rsidDel="00000000" w:rsidP="00000000" w:rsidRDefault="00000000" w:rsidRPr="00000000" w14:paraId="000016A3">
            <w:pPr>
              <w:rPr>
                <w:sz w:val="22"/>
                <w:szCs w:val="22"/>
              </w:rPr>
            </w:pPr>
            <w:r w:rsidDel="00000000" w:rsidR="00000000" w:rsidRPr="00000000">
              <w:rPr>
                <w:rtl w:val="0"/>
              </w:rPr>
            </w:r>
          </w:p>
        </w:tc>
      </w:tr>
      <w:tr>
        <w:trPr>
          <w:cantSplit w:val="0"/>
          <w:trHeight w:val="160" w:hRule="atLeast"/>
          <w:tblHeader w:val="0"/>
        </w:trPr>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16A4">
            <w:pPr>
              <w:rPr>
                <w:i w:val="1"/>
                <w:sz w:val="22"/>
                <w:szCs w:val="22"/>
              </w:rPr>
            </w:pPr>
            <w:r w:rsidDel="00000000" w:rsidR="00000000" w:rsidRPr="00000000">
              <w:rPr>
                <w:i w:val="1"/>
                <w:sz w:val="22"/>
                <w:szCs w:val="22"/>
                <w:rtl w:val="0"/>
              </w:rPr>
              <w:t xml:space="preserve">Amendments</w:t>
            </w:r>
          </w:p>
        </w:tc>
        <w:tc>
          <w:tcPr>
            <w:tcBorders>
              <w:left w:color="000000" w:space="0" w:sz="4" w:val="single"/>
              <w:bottom w:color="000000" w:space="0" w:sz="4" w:val="single"/>
              <w:right w:color="000000" w:space="0" w:sz="4" w:val="single"/>
            </w:tcBorders>
            <w:shd w:fill="d1d1d1" w:val="clear"/>
          </w:tcPr>
          <w:p w:rsidR="00000000" w:rsidDel="00000000" w:rsidP="00000000" w:rsidRDefault="00000000" w:rsidRPr="00000000" w14:paraId="000016A5">
            <w:pPr>
              <w:rPr>
                <w:sz w:val="22"/>
                <w:szCs w:val="22"/>
              </w:rPr>
            </w:pPr>
            <w:r w:rsidDel="00000000" w:rsidR="00000000" w:rsidRPr="00000000">
              <w:rPr>
                <w:rtl w:val="0"/>
              </w:rPr>
            </w:r>
          </w:p>
        </w:tc>
        <w:tc>
          <w:tcPr>
            <w:tcBorders>
              <w:left w:color="000000" w:space="0" w:sz="4" w:val="single"/>
              <w:bottom w:color="000000" w:space="0" w:sz="4" w:val="single"/>
            </w:tcBorders>
            <w:shd w:fill="fae2d6" w:val="clear"/>
          </w:tcPr>
          <w:p w:rsidR="00000000" w:rsidDel="00000000" w:rsidP="00000000" w:rsidRDefault="00000000" w:rsidRPr="00000000" w14:paraId="000016A6">
            <w:pPr>
              <w:rPr>
                <w:sz w:val="22"/>
                <w:szCs w:val="22"/>
              </w:rPr>
            </w:pPr>
            <w:r w:rsidDel="00000000" w:rsidR="00000000" w:rsidRPr="00000000">
              <w:rPr>
                <w:rtl w:val="0"/>
              </w:rPr>
            </w:r>
          </w:p>
        </w:tc>
        <w:tc>
          <w:tcPr>
            <w:tcBorders>
              <w:bottom w:color="000000" w:space="0" w:sz="4" w:val="single"/>
            </w:tcBorders>
            <w:shd w:fill="fae2d6" w:val="clear"/>
          </w:tcPr>
          <w:p w:rsidR="00000000" w:rsidDel="00000000" w:rsidP="00000000" w:rsidRDefault="00000000" w:rsidRPr="00000000" w14:paraId="000016A7">
            <w:pPr>
              <w:rPr>
                <w:sz w:val="22"/>
                <w:szCs w:val="22"/>
              </w:rPr>
            </w:pPr>
            <w:r w:rsidDel="00000000" w:rsidR="00000000" w:rsidRPr="00000000">
              <w:rPr>
                <w:rtl w:val="0"/>
              </w:rPr>
            </w:r>
          </w:p>
        </w:tc>
        <w:tc>
          <w:tcPr>
            <w:tcBorders>
              <w:bottom w:color="000000" w:space="0" w:sz="4" w:val="single"/>
            </w:tcBorders>
            <w:shd w:fill="fae2d6" w:val="clear"/>
          </w:tcPr>
          <w:p w:rsidR="00000000" w:rsidDel="00000000" w:rsidP="00000000" w:rsidRDefault="00000000" w:rsidRPr="00000000" w14:paraId="000016A8">
            <w:pPr>
              <w:rPr>
                <w:sz w:val="22"/>
                <w:szCs w:val="22"/>
              </w:rPr>
            </w:pPr>
            <w:r w:rsidDel="00000000" w:rsidR="00000000" w:rsidRPr="00000000">
              <w:rPr>
                <w:rtl w:val="0"/>
              </w:rPr>
            </w:r>
          </w:p>
        </w:tc>
        <w:tc>
          <w:tcPr>
            <w:tcBorders>
              <w:bottom w:color="000000" w:space="0" w:sz="4" w:val="single"/>
              <w:right w:color="000000" w:space="0" w:sz="4" w:val="single"/>
            </w:tcBorders>
            <w:shd w:fill="fae2d6" w:val="clear"/>
          </w:tcPr>
          <w:p w:rsidR="00000000" w:rsidDel="00000000" w:rsidP="00000000" w:rsidRDefault="00000000" w:rsidRPr="00000000" w14:paraId="000016A9">
            <w:pPr>
              <w:rPr>
                <w:sz w:val="22"/>
                <w:szCs w:val="22"/>
              </w:rPr>
            </w:pPr>
            <w:r w:rsidDel="00000000" w:rsidR="00000000" w:rsidRPr="00000000">
              <w:rPr>
                <w:rtl w:val="0"/>
              </w:rPr>
            </w:r>
          </w:p>
        </w:tc>
        <w:tc>
          <w:tcPr>
            <w:tcBorders>
              <w:left w:color="000000" w:space="0" w:sz="4" w:val="single"/>
              <w:bottom w:color="000000" w:space="0" w:sz="4" w:val="single"/>
            </w:tcBorders>
            <w:shd w:fill="c1f0c8" w:val="clear"/>
          </w:tcPr>
          <w:p w:rsidR="00000000" w:rsidDel="00000000" w:rsidP="00000000" w:rsidRDefault="00000000" w:rsidRPr="00000000" w14:paraId="000016AA">
            <w:pPr>
              <w:rPr>
                <w:sz w:val="22"/>
                <w:szCs w:val="22"/>
              </w:rPr>
            </w:pPr>
            <w:r w:rsidDel="00000000" w:rsidR="00000000" w:rsidRPr="00000000">
              <w:rPr>
                <w:rtl w:val="0"/>
              </w:rPr>
            </w:r>
          </w:p>
        </w:tc>
        <w:tc>
          <w:tcPr>
            <w:tcBorders>
              <w:bottom w:color="000000" w:space="0" w:sz="4" w:val="single"/>
            </w:tcBorders>
            <w:shd w:fill="c1f0c8" w:val="clear"/>
          </w:tcPr>
          <w:p w:rsidR="00000000" w:rsidDel="00000000" w:rsidP="00000000" w:rsidRDefault="00000000" w:rsidRPr="00000000" w14:paraId="000016AB">
            <w:pPr>
              <w:rPr>
                <w:sz w:val="22"/>
                <w:szCs w:val="22"/>
              </w:rPr>
            </w:pPr>
            <w:r w:rsidDel="00000000" w:rsidR="00000000" w:rsidRPr="00000000">
              <w:rPr>
                <w:rtl w:val="0"/>
              </w:rPr>
            </w:r>
          </w:p>
        </w:tc>
        <w:tc>
          <w:tcPr>
            <w:tcBorders>
              <w:bottom w:color="000000" w:space="0" w:sz="4" w:val="single"/>
            </w:tcBorders>
            <w:shd w:fill="c1f0c8" w:val="clear"/>
          </w:tcPr>
          <w:p w:rsidR="00000000" w:rsidDel="00000000" w:rsidP="00000000" w:rsidRDefault="00000000" w:rsidRPr="00000000" w14:paraId="000016AC">
            <w:pPr>
              <w:rPr>
                <w:sz w:val="22"/>
                <w:szCs w:val="22"/>
              </w:rPr>
            </w:pPr>
            <w:r w:rsidDel="00000000" w:rsidR="00000000" w:rsidRPr="00000000">
              <w:rPr>
                <w:rtl w:val="0"/>
              </w:rPr>
            </w:r>
          </w:p>
        </w:tc>
        <w:tc>
          <w:tcPr>
            <w:tcBorders>
              <w:bottom w:color="000000" w:space="0" w:sz="4" w:val="single"/>
              <w:right w:color="000000" w:space="0" w:sz="4" w:val="single"/>
            </w:tcBorders>
            <w:shd w:fill="c1f0c8" w:val="clear"/>
          </w:tcPr>
          <w:p w:rsidR="00000000" w:rsidDel="00000000" w:rsidP="00000000" w:rsidRDefault="00000000" w:rsidRPr="00000000" w14:paraId="000016AD">
            <w:pPr>
              <w:rPr>
                <w:sz w:val="22"/>
                <w:szCs w:val="22"/>
              </w:rPr>
            </w:pPr>
            <w:r w:rsidDel="00000000" w:rsidR="00000000" w:rsidRPr="00000000">
              <w:rPr>
                <w:rtl w:val="0"/>
              </w:rPr>
            </w:r>
          </w:p>
        </w:tc>
        <w:tc>
          <w:tcPr>
            <w:tcBorders>
              <w:left w:color="000000" w:space="0" w:sz="4" w:val="single"/>
              <w:bottom w:color="000000" w:space="0" w:sz="4" w:val="single"/>
            </w:tcBorders>
            <w:shd w:fill="caedfb" w:val="clear"/>
          </w:tcPr>
          <w:p w:rsidR="00000000" w:rsidDel="00000000" w:rsidP="00000000" w:rsidRDefault="00000000" w:rsidRPr="00000000" w14:paraId="000016AE">
            <w:pPr>
              <w:rPr>
                <w:sz w:val="22"/>
                <w:szCs w:val="22"/>
              </w:rPr>
            </w:pPr>
            <w:r w:rsidDel="00000000" w:rsidR="00000000" w:rsidRPr="00000000">
              <w:rPr>
                <w:rtl w:val="0"/>
              </w:rPr>
            </w:r>
          </w:p>
        </w:tc>
        <w:tc>
          <w:tcPr>
            <w:tcBorders>
              <w:bottom w:color="000000" w:space="0" w:sz="4" w:val="single"/>
            </w:tcBorders>
            <w:shd w:fill="caedfb" w:val="clear"/>
          </w:tcPr>
          <w:p w:rsidR="00000000" w:rsidDel="00000000" w:rsidP="00000000" w:rsidRDefault="00000000" w:rsidRPr="00000000" w14:paraId="000016AF">
            <w:pPr>
              <w:rPr>
                <w:sz w:val="22"/>
                <w:szCs w:val="22"/>
              </w:rPr>
            </w:pPr>
            <w:r w:rsidDel="00000000" w:rsidR="00000000" w:rsidRPr="00000000">
              <w:rPr>
                <w:rtl w:val="0"/>
              </w:rPr>
            </w:r>
          </w:p>
        </w:tc>
        <w:tc>
          <w:tcPr>
            <w:tcBorders>
              <w:bottom w:color="000000" w:space="0" w:sz="4" w:val="single"/>
            </w:tcBorders>
            <w:shd w:fill="caedfb" w:val="clear"/>
          </w:tcPr>
          <w:p w:rsidR="00000000" w:rsidDel="00000000" w:rsidP="00000000" w:rsidRDefault="00000000" w:rsidRPr="00000000" w14:paraId="000016B0">
            <w:pPr>
              <w:rPr>
                <w:sz w:val="22"/>
                <w:szCs w:val="22"/>
              </w:rPr>
            </w:pPr>
            <w:r w:rsidDel="00000000" w:rsidR="00000000" w:rsidRPr="00000000">
              <w:rPr>
                <w:rtl w:val="0"/>
              </w:rPr>
            </w:r>
          </w:p>
        </w:tc>
        <w:tc>
          <w:tcPr>
            <w:tcBorders>
              <w:bottom w:color="000000" w:space="0" w:sz="4" w:val="single"/>
              <w:right w:color="000000" w:space="0" w:sz="4" w:val="single"/>
            </w:tcBorders>
            <w:shd w:fill="caedfb" w:val="clear"/>
          </w:tcPr>
          <w:p w:rsidR="00000000" w:rsidDel="00000000" w:rsidP="00000000" w:rsidRDefault="00000000" w:rsidRPr="00000000" w14:paraId="000016B1">
            <w:pPr>
              <w:rPr>
                <w:sz w:val="22"/>
                <w:szCs w:val="22"/>
              </w:rPr>
            </w:pPr>
            <w:r w:rsidDel="00000000" w:rsidR="00000000" w:rsidRPr="00000000">
              <w:rPr>
                <w:rtl w:val="0"/>
              </w:rPr>
            </w:r>
          </w:p>
        </w:tc>
        <w:tc>
          <w:tcPr>
            <w:tcBorders>
              <w:left w:color="000000" w:space="0" w:sz="4" w:val="single"/>
              <w:bottom w:color="000000" w:space="0" w:sz="4" w:val="single"/>
            </w:tcBorders>
            <w:shd w:fill="d76dcc" w:val="clear"/>
          </w:tcPr>
          <w:p w:rsidR="00000000" w:rsidDel="00000000" w:rsidP="00000000" w:rsidRDefault="00000000" w:rsidRPr="00000000" w14:paraId="000016B2">
            <w:pPr>
              <w:rPr>
                <w:sz w:val="22"/>
                <w:szCs w:val="22"/>
              </w:rPr>
            </w:pPr>
            <w:r w:rsidDel="00000000" w:rsidR="00000000" w:rsidRPr="00000000">
              <w:rPr>
                <w:rtl w:val="0"/>
              </w:rPr>
            </w:r>
          </w:p>
        </w:tc>
        <w:tc>
          <w:tcPr>
            <w:tcBorders>
              <w:bottom w:color="000000" w:space="0" w:sz="4" w:val="single"/>
            </w:tcBorders>
            <w:shd w:fill="d76dcc" w:val="clear"/>
          </w:tcPr>
          <w:p w:rsidR="00000000" w:rsidDel="00000000" w:rsidP="00000000" w:rsidRDefault="00000000" w:rsidRPr="00000000" w14:paraId="000016B3">
            <w:pPr>
              <w:rPr>
                <w:sz w:val="22"/>
                <w:szCs w:val="22"/>
              </w:rPr>
            </w:pPr>
            <w:r w:rsidDel="00000000" w:rsidR="00000000" w:rsidRPr="00000000">
              <w:rPr>
                <w:rtl w:val="0"/>
              </w:rPr>
            </w:r>
          </w:p>
        </w:tc>
        <w:tc>
          <w:tcPr>
            <w:tcBorders>
              <w:bottom w:color="000000" w:space="0" w:sz="4" w:val="single"/>
            </w:tcBorders>
            <w:shd w:fill="d76dcc" w:val="clear"/>
          </w:tcPr>
          <w:p w:rsidR="00000000" w:rsidDel="00000000" w:rsidP="00000000" w:rsidRDefault="00000000" w:rsidRPr="00000000" w14:paraId="000016B4">
            <w:pPr>
              <w:rPr>
                <w:sz w:val="22"/>
                <w:szCs w:val="22"/>
              </w:rPr>
            </w:pPr>
            <w:r w:rsidDel="00000000" w:rsidR="00000000" w:rsidRPr="00000000">
              <w:rPr>
                <w:rtl w:val="0"/>
              </w:rPr>
            </w:r>
          </w:p>
        </w:tc>
        <w:tc>
          <w:tcPr>
            <w:tcBorders>
              <w:bottom w:color="000000" w:space="0" w:sz="4" w:val="single"/>
              <w:right w:color="000000" w:space="0" w:sz="4" w:val="single"/>
            </w:tcBorders>
            <w:shd w:fill="d76dcc" w:val="clear"/>
          </w:tcPr>
          <w:p w:rsidR="00000000" w:rsidDel="00000000" w:rsidP="00000000" w:rsidRDefault="00000000" w:rsidRPr="00000000" w14:paraId="000016B5">
            <w:pPr>
              <w:rPr>
                <w:sz w:val="22"/>
                <w:szCs w:val="22"/>
              </w:rPr>
            </w:pPr>
            <w:r w:rsidDel="00000000" w:rsidR="00000000" w:rsidRPr="00000000">
              <w:rPr>
                <w:rtl w:val="0"/>
              </w:rPr>
            </w:r>
          </w:p>
        </w:tc>
      </w:tr>
    </w:tbl>
    <w:p w:rsidR="00000000" w:rsidDel="00000000" w:rsidP="00000000" w:rsidRDefault="00000000" w:rsidRPr="00000000" w14:paraId="000016B6">
      <w:pPr>
        <w:rPr/>
        <w:sectPr>
          <w:type w:val="nextPage"/>
          <w:pgSz w:h="11906" w:w="16838" w:orient="landscape"/>
          <w:pgMar w:bottom="1440" w:top="1440" w:left="1440" w:right="1440" w:header="708" w:footer="708"/>
        </w:sectPr>
      </w:pPr>
      <w:r w:rsidDel="00000000" w:rsidR="00000000" w:rsidRPr="00000000">
        <w:rPr>
          <w:rtl w:val="0"/>
        </w:rPr>
      </w:r>
    </w:p>
    <w:p w:rsidR="00000000" w:rsidDel="00000000" w:rsidP="00000000" w:rsidRDefault="00000000" w:rsidRPr="00000000" w14:paraId="000016B7">
      <w:pPr>
        <w:rPr/>
      </w:pPr>
      <w:r w:rsidDel="00000000" w:rsidR="00000000" w:rsidRPr="00000000">
        <w:rPr>
          <w:rtl w:val="0"/>
        </w:rPr>
      </w:r>
    </w:p>
    <w:sectPr>
      <w:type w:val="nextPage"/>
      <w:pgSz w:h="16838" w:w="11906" w:orient="portrait"/>
      <w:pgMar w:bottom="1440" w:top="144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Courier New"/>
  <w:font w:name="Aptos"/>
  <w:font w:name="Play">
    <w:embedRegular w:fontKey="{00000000-0000-0000-0000-000000000000}" r:id="rId1" w:subsetted="0"/>
    <w:embedBold w:fontKey="{00000000-0000-0000-0000-000000000000}" r:id="rId2" w:subsetted="0"/>
  </w:font>
  <w:font w:name="Times"/>
  <w:font w:name="Helvetica Neue">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Noto Sans Symbols">
    <w:embedRegular w:fontKey="{00000000-0000-0000-0000-000000000000}" r:id="rId7" w:subsetted="0"/>
    <w:embedBold w:fontKey="{00000000-0000-0000-0000-000000000000}" r:id="rId8" w:subsetted="0"/>
  </w:font>
  <w:font w:name="Cambria Math">
    <w:embedRegular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B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B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B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Aptos" w:cs="Aptos" w:eastAsia="Aptos" w:hAnsi="Aptos"/>
        <w:b w:val="0"/>
        <w:i w:val="0"/>
        <w:smallCaps w:val="0"/>
        <w:strike w:val="0"/>
        <w:color w:val="000000"/>
        <w:sz w:val="22"/>
        <w:szCs w:val="22"/>
        <w:u w:val="none"/>
        <w:shd w:fill="auto" w:val="clear"/>
        <w:vertAlign w:val="baseline"/>
      </w:rPr>
    </w:pPr>
    <w:r w:rsidDel="00000000" w:rsidR="00000000" w:rsidRPr="00000000">
      <w:rPr>
        <w:rFonts w:ascii="Aptos" w:cs="Aptos" w:eastAsia="Aptos" w:hAnsi="Aptos"/>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B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B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5"/>
      <w:numFmt w:val="decimal"/>
      <w:lvlText w:val="%1.%2."/>
      <w:lvlJc w:val="left"/>
      <w:pPr>
        <w:ind w:left="1080" w:hanging="720"/>
      </w:pPr>
      <w:rPr/>
    </w:lvl>
    <w:lvl w:ilvl="2">
      <w:start w:val="1"/>
      <w:numFmt w:val="decimal"/>
      <w:lvlText w:val="%1.%2.%3."/>
      <w:lvlJc w:val="left"/>
      <w:pPr>
        <w:ind w:left="1080" w:hanging="720"/>
      </w:pPr>
      <w:rPr/>
    </w:lvl>
    <w:lvl w:ilvl="3">
      <w:start w:val="1"/>
      <w:numFmt w:val="decimal"/>
      <w:lvlText w:val="%1.%2.%3.%4."/>
      <w:lvlJc w:val="left"/>
      <w:pPr>
        <w:ind w:left="1440" w:hanging="108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160" w:hanging="1800"/>
      </w:pPr>
      <w:rPr/>
    </w:lvl>
  </w:abstractNum>
  <w:abstractNum w:abstractNumId="3">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2"/>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9">
    <w:lvl w:ilvl="0">
      <w:start w:val="1"/>
      <w:numFmt w:val="decimal"/>
      <w:lvlText w:val="%1."/>
      <w:lvlJc w:val="left"/>
      <w:pPr>
        <w:ind w:left="860" w:hanging="360"/>
      </w:pPr>
      <w:rPr/>
    </w:lvl>
    <w:lvl w:ilvl="1">
      <w:start w:val="1"/>
      <w:numFmt w:val="lowerLetter"/>
      <w:lvlText w:val="%2."/>
      <w:lvlJc w:val="left"/>
      <w:pPr>
        <w:ind w:left="1580" w:hanging="360"/>
      </w:pPr>
      <w:rPr/>
    </w:lvl>
    <w:lvl w:ilvl="2">
      <w:start w:val="1"/>
      <w:numFmt w:val="lowerRoman"/>
      <w:lvlText w:val="%3."/>
      <w:lvlJc w:val="right"/>
      <w:pPr>
        <w:ind w:left="2300" w:hanging="180"/>
      </w:pPr>
      <w:rPr/>
    </w:lvl>
    <w:lvl w:ilvl="3">
      <w:start w:val="1"/>
      <w:numFmt w:val="decimal"/>
      <w:lvlText w:val="%4."/>
      <w:lvlJc w:val="left"/>
      <w:pPr>
        <w:ind w:left="3020" w:hanging="360"/>
      </w:pPr>
      <w:rPr/>
    </w:lvl>
    <w:lvl w:ilvl="4">
      <w:start w:val="1"/>
      <w:numFmt w:val="lowerLetter"/>
      <w:lvlText w:val="%5."/>
      <w:lvlJc w:val="left"/>
      <w:pPr>
        <w:ind w:left="3740" w:hanging="360"/>
      </w:pPr>
      <w:rPr/>
    </w:lvl>
    <w:lvl w:ilvl="5">
      <w:start w:val="1"/>
      <w:numFmt w:val="lowerRoman"/>
      <w:lvlText w:val="%6."/>
      <w:lvlJc w:val="right"/>
      <w:pPr>
        <w:ind w:left="4460" w:hanging="180"/>
      </w:pPr>
      <w:rPr/>
    </w:lvl>
    <w:lvl w:ilvl="6">
      <w:start w:val="1"/>
      <w:numFmt w:val="decimal"/>
      <w:lvlText w:val="%7."/>
      <w:lvlJc w:val="left"/>
      <w:pPr>
        <w:ind w:left="5180" w:hanging="360"/>
      </w:pPr>
      <w:rPr/>
    </w:lvl>
    <w:lvl w:ilvl="7">
      <w:start w:val="1"/>
      <w:numFmt w:val="lowerLetter"/>
      <w:lvlText w:val="%8."/>
      <w:lvlJc w:val="left"/>
      <w:pPr>
        <w:ind w:left="5900" w:hanging="360"/>
      </w:pPr>
      <w:rPr/>
    </w:lvl>
    <w:lvl w:ilvl="8">
      <w:start w:val="1"/>
      <w:numFmt w:val="lowerRoman"/>
      <w:lvlText w:val="%9."/>
      <w:lvlJc w:val="right"/>
      <w:pPr>
        <w:ind w:left="6620" w:hanging="180"/>
      </w:pPr>
      <w:rPr/>
    </w:lvl>
  </w:abstractNum>
  <w:abstractNum w:abstractNumId="10">
    <w:lvl w:ilvl="0">
      <w:start w:val="3"/>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11">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6"/>
      <w:numFmt w:val="decimal"/>
      <w:lvlText w:val="%1."/>
      <w:lvlJc w:val="left"/>
      <w:pPr>
        <w:ind w:left="500" w:hanging="500"/>
      </w:pPr>
      <w:rPr>
        <w:sz w:val="32"/>
        <w:szCs w:val="32"/>
      </w:rPr>
    </w:lvl>
    <w:lvl w:ilvl="1">
      <w:start w:val="1"/>
      <w:numFmt w:val="decimal"/>
      <w:lvlText w:val="%1.%2."/>
      <w:lvlJc w:val="left"/>
      <w:pPr>
        <w:ind w:left="720" w:hanging="720"/>
      </w:pPr>
      <w:rPr>
        <w:sz w:val="32"/>
        <w:szCs w:val="32"/>
      </w:rPr>
    </w:lvl>
    <w:lvl w:ilvl="2">
      <w:start w:val="1"/>
      <w:numFmt w:val="decimal"/>
      <w:lvlText w:val="%1.%2.%3."/>
      <w:lvlJc w:val="left"/>
      <w:pPr>
        <w:ind w:left="720" w:hanging="720"/>
      </w:pPr>
      <w:rPr>
        <w:sz w:val="32"/>
        <w:szCs w:val="32"/>
      </w:rPr>
    </w:lvl>
    <w:lvl w:ilvl="3">
      <w:start w:val="1"/>
      <w:numFmt w:val="decimal"/>
      <w:lvlText w:val="%1.%2.%3.%4."/>
      <w:lvlJc w:val="left"/>
      <w:pPr>
        <w:ind w:left="1080" w:hanging="1080"/>
      </w:pPr>
      <w:rPr>
        <w:sz w:val="32"/>
        <w:szCs w:val="32"/>
      </w:rPr>
    </w:lvl>
    <w:lvl w:ilvl="4">
      <w:start w:val="1"/>
      <w:numFmt w:val="decimal"/>
      <w:lvlText w:val="%1.%2.%3.%4.%5."/>
      <w:lvlJc w:val="left"/>
      <w:pPr>
        <w:ind w:left="1080" w:hanging="1080"/>
      </w:pPr>
      <w:rPr>
        <w:sz w:val="32"/>
        <w:szCs w:val="32"/>
      </w:rPr>
    </w:lvl>
    <w:lvl w:ilvl="5">
      <w:start w:val="1"/>
      <w:numFmt w:val="decimal"/>
      <w:lvlText w:val="%1.%2.%3.%4.%5.%6."/>
      <w:lvlJc w:val="left"/>
      <w:pPr>
        <w:ind w:left="1440" w:hanging="1440"/>
      </w:pPr>
      <w:rPr>
        <w:sz w:val="32"/>
        <w:szCs w:val="32"/>
      </w:rPr>
    </w:lvl>
    <w:lvl w:ilvl="6">
      <w:start w:val="1"/>
      <w:numFmt w:val="decimal"/>
      <w:lvlText w:val="%1.%2.%3.%4.%5.%6.%7."/>
      <w:lvlJc w:val="left"/>
      <w:pPr>
        <w:ind w:left="1440" w:hanging="1440"/>
      </w:pPr>
      <w:rPr>
        <w:sz w:val="32"/>
        <w:szCs w:val="32"/>
      </w:rPr>
    </w:lvl>
    <w:lvl w:ilvl="7">
      <w:start w:val="1"/>
      <w:numFmt w:val="decimal"/>
      <w:lvlText w:val="%1.%2.%3.%4.%5.%6.%7.%8."/>
      <w:lvlJc w:val="left"/>
      <w:pPr>
        <w:ind w:left="1800" w:hanging="1800"/>
      </w:pPr>
      <w:rPr>
        <w:sz w:val="32"/>
        <w:szCs w:val="32"/>
      </w:rPr>
    </w:lvl>
    <w:lvl w:ilvl="8">
      <w:start w:val="1"/>
      <w:numFmt w:val="decimal"/>
      <w:lvlText w:val="%1.%2.%3.%4.%5.%6.%7.%8.%9."/>
      <w:lvlJc w:val="left"/>
      <w:pPr>
        <w:ind w:left="1800" w:hanging="1800"/>
      </w:pPr>
      <w:rPr>
        <w:sz w:val="32"/>
        <w:szCs w:val="32"/>
      </w:rPr>
    </w:lvl>
  </w:abstractNum>
  <w:abstractNum w:abstractNumId="15">
    <w:lvl w:ilvl="0">
      <w:start w:val="6"/>
      <w:numFmt w:val="decimal"/>
      <w:lvlText w:val="%1."/>
      <w:lvlJc w:val="left"/>
      <w:pPr>
        <w:ind w:left="500" w:hanging="500"/>
      </w:pPr>
      <w:rPr/>
    </w:lvl>
    <w:lvl w:ilvl="1">
      <w:start w:val="5"/>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16">
    <w:lvl w:ilvl="0">
      <w:start w:val="5"/>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17">
    <w:lvl w:ilvl="0">
      <w:start w:val="1"/>
      <w:numFmt w:val="bullet"/>
      <w:lvlText w:val="●"/>
      <w:lvlJc w:val="left"/>
      <w:pPr>
        <w:ind w:left="1352" w:hanging="360.0000000000001"/>
      </w:pPr>
      <w:rPr>
        <w:rFonts w:ascii="Noto Sans Symbols" w:cs="Noto Sans Symbols" w:eastAsia="Noto Sans Symbols" w:hAnsi="Noto Sans Symbols"/>
      </w:rPr>
    </w:lvl>
    <w:lvl w:ilvl="1">
      <w:start w:val="1"/>
      <w:numFmt w:val="bullet"/>
      <w:lvlText w:val="o"/>
      <w:lvlJc w:val="left"/>
      <w:pPr>
        <w:ind w:left="2072" w:hanging="360"/>
      </w:pPr>
      <w:rPr>
        <w:rFonts w:ascii="Courier New" w:cs="Courier New" w:eastAsia="Courier New" w:hAnsi="Courier New"/>
      </w:rPr>
    </w:lvl>
    <w:lvl w:ilvl="2">
      <w:start w:val="1"/>
      <w:numFmt w:val="bullet"/>
      <w:lvlText w:val="▪"/>
      <w:lvlJc w:val="left"/>
      <w:pPr>
        <w:ind w:left="2792" w:hanging="360"/>
      </w:pPr>
      <w:rPr>
        <w:rFonts w:ascii="Noto Sans Symbols" w:cs="Noto Sans Symbols" w:eastAsia="Noto Sans Symbols" w:hAnsi="Noto Sans Symbols"/>
      </w:rPr>
    </w:lvl>
    <w:lvl w:ilvl="3">
      <w:start w:val="1"/>
      <w:numFmt w:val="bullet"/>
      <w:lvlText w:val="●"/>
      <w:lvlJc w:val="left"/>
      <w:pPr>
        <w:ind w:left="3512" w:hanging="360"/>
      </w:pPr>
      <w:rPr>
        <w:rFonts w:ascii="Noto Sans Symbols" w:cs="Noto Sans Symbols" w:eastAsia="Noto Sans Symbols" w:hAnsi="Noto Sans Symbols"/>
      </w:rPr>
    </w:lvl>
    <w:lvl w:ilvl="4">
      <w:start w:val="1"/>
      <w:numFmt w:val="bullet"/>
      <w:lvlText w:val="o"/>
      <w:lvlJc w:val="left"/>
      <w:pPr>
        <w:ind w:left="4232" w:hanging="360"/>
      </w:pPr>
      <w:rPr>
        <w:rFonts w:ascii="Courier New" w:cs="Courier New" w:eastAsia="Courier New" w:hAnsi="Courier New"/>
      </w:rPr>
    </w:lvl>
    <w:lvl w:ilvl="5">
      <w:start w:val="1"/>
      <w:numFmt w:val="bullet"/>
      <w:lvlText w:val="▪"/>
      <w:lvlJc w:val="left"/>
      <w:pPr>
        <w:ind w:left="4952" w:hanging="360"/>
      </w:pPr>
      <w:rPr>
        <w:rFonts w:ascii="Noto Sans Symbols" w:cs="Noto Sans Symbols" w:eastAsia="Noto Sans Symbols" w:hAnsi="Noto Sans Symbols"/>
      </w:rPr>
    </w:lvl>
    <w:lvl w:ilvl="6">
      <w:start w:val="1"/>
      <w:numFmt w:val="bullet"/>
      <w:lvlText w:val="●"/>
      <w:lvlJc w:val="left"/>
      <w:pPr>
        <w:ind w:left="5672" w:hanging="360"/>
      </w:pPr>
      <w:rPr>
        <w:rFonts w:ascii="Noto Sans Symbols" w:cs="Noto Sans Symbols" w:eastAsia="Noto Sans Symbols" w:hAnsi="Noto Sans Symbols"/>
      </w:rPr>
    </w:lvl>
    <w:lvl w:ilvl="7">
      <w:start w:val="1"/>
      <w:numFmt w:val="bullet"/>
      <w:lvlText w:val="o"/>
      <w:lvlJc w:val="left"/>
      <w:pPr>
        <w:ind w:left="6392" w:hanging="360"/>
      </w:pPr>
      <w:rPr>
        <w:rFonts w:ascii="Courier New" w:cs="Courier New" w:eastAsia="Courier New" w:hAnsi="Courier New"/>
      </w:rPr>
    </w:lvl>
    <w:lvl w:ilvl="8">
      <w:start w:val="1"/>
      <w:numFmt w:val="bullet"/>
      <w:lvlText w:val="▪"/>
      <w:lvlJc w:val="left"/>
      <w:pPr>
        <w:ind w:left="7112"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color w:val="21212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7"/>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20">
    <w:lvl w:ilvl="0">
      <w:start w:val="7"/>
      <w:numFmt w:val="decimal"/>
      <w:lvlText w:val="%1."/>
      <w:lvlJc w:val="left"/>
      <w:pPr>
        <w:ind w:left="500" w:hanging="500"/>
      </w:pPr>
      <w:rPr/>
    </w:lvl>
    <w:lvl w:ilvl="1">
      <w:start w:val="9"/>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decimal"/>
      <w:lvlText w:val="%1."/>
      <w:lvlJc w:val="left"/>
      <w:pPr>
        <w:ind w:left="720" w:hanging="360"/>
      </w:pPr>
      <w:rPr/>
    </w:lvl>
    <w:lvl w:ilvl="1">
      <w:start w:val="4"/>
      <w:numFmt w:val="decimal"/>
      <w:lvlText w:val="%1.%2."/>
      <w:lvlJc w:val="left"/>
      <w:pPr>
        <w:ind w:left="1080" w:hanging="720"/>
      </w:pPr>
      <w:rPr/>
    </w:lvl>
    <w:lvl w:ilvl="2">
      <w:start w:val="1"/>
      <w:numFmt w:val="decimal"/>
      <w:lvlText w:val="%1.%2.%3."/>
      <w:lvlJc w:val="left"/>
      <w:pPr>
        <w:ind w:left="1440" w:hanging="1080"/>
      </w:pPr>
      <w:rPr/>
    </w:lvl>
    <w:lvl w:ilvl="3">
      <w:start w:val="1"/>
      <w:numFmt w:val="decimal"/>
      <w:lvlText w:val="%1.%2.%3.%4."/>
      <w:lvlJc w:val="left"/>
      <w:pPr>
        <w:ind w:left="1440" w:hanging="1080"/>
      </w:pPr>
      <w:rPr/>
    </w:lvl>
    <w:lvl w:ilvl="4">
      <w:start w:val="1"/>
      <w:numFmt w:val="decimal"/>
      <w:lvlText w:val="%1.%2.%3.%4.%5."/>
      <w:lvlJc w:val="left"/>
      <w:pPr>
        <w:ind w:left="1800" w:hanging="1440"/>
      </w:pPr>
      <w:rPr/>
    </w:lvl>
    <w:lvl w:ilvl="5">
      <w:start w:val="1"/>
      <w:numFmt w:val="decimal"/>
      <w:lvlText w:val="%1.%2.%3.%4.%5.%6."/>
      <w:lvlJc w:val="left"/>
      <w:pPr>
        <w:ind w:left="2160" w:hanging="1800"/>
      </w:pPr>
      <w:rPr/>
    </w:lvl>
    <w:lvl w:ilvl="6">
      <w:start w:val="1"/>
      <w:numFmt w:val="decimal"/>
      <w:lvlText w:val="%1.%2.%3.%4.%5.%6.%7."/>
      <w:lvlJc w:val="left"/>
      <w:pPr>
        <w:ind w:left="2160" w:hanging="1800"/>
      </w:pPr>
      <w:rPr/>
    </w:lvl>
    <w:lvl w:ilvl="7">
      <w:start w:val="1"/>
      <w:numFmt w:val="decimal"/>
      <w:lvlText w:val="%1.%2.%3.%4.%5.%6.%7.%8."/>
      <w:lvlJc w:val="left"/>
      <w:pPr>
        <w:ind w:left="2520" w:hanging="2160"/>
      </w:pPr>
      <w:rPr/>
    </w:lvl>
    <w:lvl w:ilvl="8">
      <w:start w:val="1"/>
      <w:numFmt w:val="decimal"/>
      <w:lvlText w:val="%1.%2.%3.%4.%5.%6.%7.%8.%9."/>
      <w:lvlJc w:val="left"/>
      <w:pPr>
        <w:ind w:left="2880" w:hanging="2520"/>
      </w:pPr>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decimal"/>
      <w:lvlText w:val="%1."/>
      <w:lvlJc w:val="left"/>
      <w:pPr>
        <w:ind w:left="720" w:hanging="360"/>
      </w:pPr>
      <w:rPr/>
    </w:lvl>
    <w:lvl w:ilvl="1">
      <w:start w:val="1"/>
      <w:numFmt w:val="decimal"/>
      <w:lvlText w:val="%1.%2."/>
      <w:lvlJc w:val="left"/>
      <w:pPr>
        <w:ind w:left="720" w:hanging="720"/>
      </w:pPr>
      <w:rPr/>
    </w:lvl>
    <w:lvl w:ilvl="2">
      <w:start w:val="1"/>
      <w:numFmt w:val="decimal"/>
      <w:lvlText w:val="%1.%2.%3."/>
      <w:lvlJc w:val="left"/>
      <w:pPr>
        <w:ind w:left="1440" w:hanging="1080"/>
      </w:pPr>
      <w:rPr/>
    </w:lvl>
    <w:lvl w:ilvl="3">
      <w:start w:val="1"/>
      <w:numFmt w:val="decimal"/>
      <w:lvlText w:val="%1.%2.%3.%4."/>
      <w:lvlJc w:val="left"/>
      <w:pPr>
        <w:ind w:left="1440" w:hanging="1080"/>
      </w:pPr>
      <w:rPr/>
    </w:lvl>
    <w:lvl w:ilvl="4">
      <w:start w:val="1"/>
      <w:numFmt w:val="decimal"/>
      <w:lvlText w:val="%1.%2.%3.%4.%5."/>
      <w:lvlJc w:val="left"/>
      <w:pPr>
        <w:ind w:left="1800" w:hanging="1440"/>
      </w:pPr>
      <w:rPr/>
    </w:lvl>
    <w:lvl w:ilvl="5">
      <w:start w:val="1"/>
      <w:numFmt w:val="decimal"/>
      <w:lvlText w:val="%1.%2.%3.%4.%5.%6."/>
      <w:lvlJc w:val="left"/>
      <w:pPr>
        <w:ind w:left="2160" w:hanging="1800"/>
      </w:pPr>
      <w:rPr/>
    </w:lvl>
    <w:lvl w:ilvl="6">
      <w:start w:val="1"/>
      <w:numFmt w:val="decimal"/>
      <w:lvlText w:val="%1.%2.%3.%4.%5.%6.%7."/>
      <w:lvlJc w:val="left"/>
      <w:pPr>
        <w:ind w:left="2160" w:hanging="1800"/>
      </w:pPr>
      <w:rPr/>
    </w:lvl>
    <w:lvl w:ilvl="7">
      <w:start w:val="1"/>
      <w:numFmt w:val="decimal"/>
      <w:lvlText w:val="%1.%2.%3.%4.%5.%6.%7.%8."/>
      <w:lvlJc w:val="left"/>
      <w:pPr>
        <w:ind w:left="2520" w:hanging="2160"/>
      </w:pPr>
      <w:rPr/>
    </w:lvl>
    <w:lvl w:ilvl="8">
      <w:start w:val="1"/>
      <w:numFmt w:val="decimal"/>
      <w:lvlText w:val="%1.%2.%3.%4.%5.%6.%7.%8.%9."/>
      <w:lvlJc w:val="left"/>
      <w:pPr>
        <w:ind w:left="2880" w:hanging="2520"/>
      </w:pPr>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28">
    <w:lvl w:ilvl="0">
      <w:start w:val="1"/>
      <w:numFmt w:val="decimal"/>
      <w:lvlText w:val="%1."/>
      <w:lvlJc w:val="left"/>
      <w:pPr>
        <w:ind w:left="500" w:hanging="500"/>
      </w:pPr>
      <w:rPr/>
    </w:lvl>
    <w:lvl w:ilvl="1">
      <w:start w:val="1"/>
      <w:numFmt w:val="decimal"/>
      <w:lvlText w:val="%1.%2."/>
      <w:lvlJc w:val="left"/>
      <w:pPr>
        <w:ind w:left="720" w:hanging="720"/>
      </w:pPr>
      <w:rPr/>
    </w:lvl>
    <w:lvl w:ilvl="2">
      <w:start w:val="1"/>
      <w:numFmt w:val="decimal"/>
      <w:lvlText w:val="%1.%2.%3."/>
      <w:lvlJc w:val="left"/>
      <w:pPr>
        <w:ind w:left="1080" w:hanging="108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800" w:hanging="180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520" w:hanging="2520"/>
      </w:pPr>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before="40" w:lineRule="auto"/>
    </w:pPr>
    <w:rPr>
      <w:i w:val="1"/>
      <w:color w:val="595959"/>
    </w:rPr>
  </w:style>
  <w:style w:type="paragraph" w:styleId="Title">
    <w:name w:val="Title"/>
    <w:basedOn w:val="Normal"/>
    <w:next w:val="Normal"/>
    <w:pPr>
      <w:spacing w:after="80" w:lineRule="auto"/>
    </w:pPr>
    <w:rPr>
      <w:rFonts w:ascii="Play" w:cs="Play" w:eastAsia="Play" w:hAnsi="Play"/>
      <w:sz w:val="56"/>
      <w:szCs w:val="56"/>
    </w:rPr>
  </w:style>
  <w:style w:type="paragraph" w:styleId="Normal" w:default="1">
    <w:name w:val="Normal"/>
    <w:qFormat w:val="1"/>
    <w:rsid w:val="009E59AB"/>
  </w:style>
  <w:style w:type="paragraph" w:styleId="Heading1">
    <w:name w:val="heading 1"/>
    <w:basedOn w:val="Normal"/>
    <w:next w:val="Normal"/>
    <w:link w:val="Heading1Char"/>
    <w:uiPriority w:val="9"/>
    <w:qFormat w:val="1"/>
    <w:rsid w:val="009E59AB"/>
    <w:pPr>
      <w:keepNext w:val="1"/>
      <w:keepLines w:val="1"/>
      <w:spacing w:after="80" w:before="360"/>
      <w:outlineLvl w:val="0"/>
    </w:pPr>
    <w:rPr>
      <w:rFonts w:asciiTheme="majorHAnsi" w:cstheme="majorBidi" w:eastAsiaTheme="majorEastAsia" w:hAnsiTheme="majorHAnsi"/>
      <w:color w:val="0f4761" w:themeColor="accent1" w:themeShade="0000BF"/>
      <w:sz w:val="40"/>
      <w:szCs w:val="40"/>
    </w:rPr>
  </w:style>
  <w:style w:type="paragraph" w:styleId="Heading2">
    <w:name w:val="heading 2"/>
    <w:basedOn w:val="Normal"/>
    <w:next w:val="Normal"/>
    <w:link w:val="Heading2Char"/>
    <w:uiPriority w:val="9"/>
    <w:unhideWhenUsed w:val="1"/>
    <w:qFormat w:val="1"/>
    <w:rsid w:val="009E59AB"/>
    <w:pPr>
      <w:keepNext w:val="1"/>
      <w:keepLines w:val="1"/>
      <w:spacing w:after="80" w:before="160"/>
      <w:outlineLvl w:val="1"/>
    </w:pPr>
    <w:rPr>
      <w:rFonts w:asciiTheme="majorHAnsi" w:cstheme="majorBidi" w:eastAsiaTheme="majorEastAsia" w:hAnsiTheme="majorHAnsi"/>
      <w:color w:val="0f4761" w:themeColor="accent1" w:themeShade="0000BF"/>
      <w:sz w:val="32"/>
      <w:szCs w:val="32"/>
    </w:rPr>
  </w:style>
  <w:style w:type="paragraph" w:styleId="Heading3">
    <w:name w:val="heading 3"/>
    <w:basedOn w:val="Normal"/>
    <w:next w:val="Normal"/>
    <w:link w:val="Heading3Char"/>
    <w:uiPriority w:val="9"/>
    <w:unhideWhenUsed w:val="1"/>
    <w:qFormat w:val="1"/>
    <w:rsid w:val="009E59AB"/>
    <w:pPr>
      <w:keepNext w:val="1"/>
      <w:keepLines w:val="1"/>
      <w:spacing w:after="80" w:before="160"/>
      <w:outlineLvl w:val="2"/>
    </w:pPr>
    <w:rPr>
      <w:rFonts w:cstheme="majorBidi" w:eastAsiaTheme="majorEastAsia"/>
      <w:color w:val="0f4761" w:themeColor="accent1" w:themeShade="0000BF"/>
      <w:sz w:val="28"/>
      <w:szCs w:val="28"/>
    </w:rPr>
  </w:style>
  <w:style w:type="paragraph" w:styleId="Heading4">
    <w:name w:val="heading 4"/>
    <w:basedOn w:val="Normal"/>
    <w:next w:val="Normal"/>
    <w:link w:val="Heading4Char"/>
    <w:uiPriority w:val="9"/>
    <w:unhideWhenUsed w:val="1"/>
    <w:qFormat w:val="1"/>
    <w:rsid w:val="009E59AB"/>
    <w:pPr>
      <w:keepNext w:val="1"/>
      <w:keepLines w:val="1"/>
      <w:spacing w:after="40" w:before="80"/>
      <w:outlineLvl w:val="3"/>
    </w:pPr>
    <w:rPr>
      <w:rFonts w:cstheme="majorBidi" w:eastAsiaTheme="majorEastAsia"/>
      <w:i w:val="1"/>
      <w:iCs w:val="1"/>
      <w:color w:val="0f4761" w:themeColor="accent1" w:themeShade="0000BF"/>
    </w:rPr>
  </w:style>
  <w:style w:type="paragraph" w:styleId="Heading5">
    <w:name w:val="heading 5"/>
    <w:basedOn w:val="Normal"/>
    <w:next w:val="Normal"/>
    <w:link w:val="Heading5Char"/>
    <w:uiPriority w:val="9"/>
    <w:unhideWhenUsed w:val="1"/>
    <w:qFormat w:val="1"/>
    <w:rsid w:val="009E59AB"/>
    <w:pPr>
      <w:keepNext w:val="1"/>
      <w:keepLines w:val="1"/>
      <w:spacing w:after="40" w:before="80"/>
      <w:outlineLvl w:val="4"/>
    </w:pPr>
    <w:rPr>
      <w:rFonts w:cstheme="majorBidi"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9E59AB"/>
    <w:pPr>
      <w:keepNext w:val="1"/>
      <w:keepLines w:val="1"/>
      <w:spacing w:before="40"/>
      <w:outlineLvl w:val="5"/>
    </w:pPr>
    <w:rPr>
      <w:rFonts w:cstheme="majorBidi"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9E59AB"/>
    <w:pPr>
      <w:keepNext w:val="1"/>
      <w:keepLines w:val="1"/>
      <w:spacing w:before="40"/>
      <w:outlineLvl w:val="6"/>
    </w:pPr>
    <w:rPr>
      <w:rFonts w:cstheme="majorBidi"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9E59AB"/>
    <w:pPr>
      <w:keepNext w:val="1"/>
      <w:keepLines w:val="1"/>
      <w:outlineLvl w:val="7"/>
    </w:pPr>
    <w:rPr>
      <w:rFonts w:cstheme="majorBidi"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9E59AB"/>
    <w:pPr>
      <w:keepNext w:val="1"/>
      <w:keepLines w:val="1"/>
      <w:outlineLvl w:val="8"/>
    </w:pPr>
    <w:rPr>
      <w:rFonts w:cstheme="majorBidi"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9E59AB"/>
    <w:rPr>
      <w:rFonts w:asciiTheme="majorHAnsi" w:cstheme="majorBidi" w:eastAsiaTheme="majorEastAsia" w:hAnsiTheme="majorHAnsi"/>
      <w:color w:val="0f4761" w:themeColor="accent1" w:themeShade="0000BF"/>
      <w:sz w:val="40"/>
      <w:szCs w:val="40"/>
    </w:rPr>
  </w:style>
  <w:style w:type="character" w:styleId="Heading2Char" w:customStyle="1">
    <w:name w:val="Heading 2 Char"/>
    <w:basedOn w:val="DefaultParagraphFont"/>
    <w:link w:val="Heading2"/>
    <w:uiPriority w:val="9"/>
    <w:rsid w:val="009E59AB"/>
    <w:rPr>
      <w:rFonts w:asciiTheme="majorHAnsi" w:cstheme="majorBidi" w:eastAsiaTheme="majorEastAsia" w:hAnsiTheme="majorHAnsi"/>
      <w:color w:val="0f4761" w:themeColor="accent1" w:themeShade="0000BF"/>
      <w:sz w:val="32"/>
      <w:szCs w:val="32"/>
    </w:rPr>
  </w:style>
  <w:style w:type="character" w:styleId="Heading3Char" w:customStyle="1">
    <w:name w:val="Heading 3 Char"/>
    <w:basedOn w:val="DefaultParagraphFont"/>
    <w:link w:val="Heading3"/>
    <w:uiPriority w:val="9"/>
    <w:rsid w:val="009E59AB"/>
    <w:rPr>
      <w:rFonts w:cstheme="majorBidi" w:eastAsiaTheme="majorEastAsia"/>
      <w:color w:val="0f4761" w:themeColor="accent1" w:themeShade="0000BF"/>
      <w:sz w:val="28"/>
      <w:szCs w:val="28"/>
    </w:rPr>
  </w:style>
  <w:style w:type="character" w:styleId="Heading4Char" w:customStyle="1">
    <w:name w:val="Heading 4 Char"/>
    <w:basedOn w:val="DefaultParagraphFont"/>
    <w:link w:val="Heading4"/>
    <w:uiPriority w:val="9"/>
    <w:rsid w:val="009E59AB"/>
    <w:rPr>
      <w:rFonts w:cstheme="majorBidi" w:eastAsiaTheme="majorEastAsia"/>
      <w:i w:val="1"/>
      <w:iCs w:val="1"/>
      <w:color w:val="0f4761" w:themeColor="accent1" w:themeShade="0000BF"/>
    </w:rPr>
  </w:style>
  <w:style w:type="character" w:styleId="Heading5Char" w:customStyle="1">
    <w:name w:val="Heading 5 Char"/>
    <w:basedOn w:val="DefaultParagraphFont"/>
    <w:link w:val="Heading5"/>
    <w:uiPriority w:val="9"/>
    <w:rsid w:val="009E59AB"/>
    <w:rPr>
      <w:rFonts w:cstheme="majorBidi" w:eastAsiaTheme="majorEastAsia"/>
      <w:color w:val="0f4761" w:themeColor="accent1" w:themeShade="0000BF"/>
    </w:rPr>
  </w:style>
  <w:style w:type="character" w:styleId="Heading6Char" w:customStyle="1">
    <w:name w:val="Heading 6 Char"/>
    <w:basedOn w:val="DefaultParagraphFont"/>
    <w:link w:val="Heading6"/>
    <w:uiPriority w:val="9"/>
    <w:semiHidden w:val="1"/>
    <w:rsid w:val="009E59AB"/>
    <w:rPr>
      <w:rFonts w:cstheme="majorBidi"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9E59AB"/>
    <w:rPr>
      <w:rFonts w:cstheme="majorBidi" w:eastAsiaTheme="majorEastAsia"/>
      <w:color w:val="595959" w:themeColor="text1" w:themeTint="0000A6"/>
    </w:rPr>
  </w:style>
  <w:style w:type="character" w:styleId="Heading8Char" w:customStyle="1">
    <w:name w:val="Heading 8 Char"/>
    <w:basedOn w:val="DefaultParagraphFont"/>
    <w:link w:val="Heading8"/>
    <w:uiPriority w:val="9"/>
    <w:semiHidden w:val="1"/>
    <w:rsid w:val="009E59AB"/>
    <w:rPr>
      <w:rFonts w:cstheme="majorBidi"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9E59AB"/>
    <w:rPr>
      <w:rFonts w:cstheme="majorBidi" w:eastAsiaTheme="majorEastAsia"/>
      <w:color w:val="272727" w:themeColor="text1" w:themeTint="0000D8"/>
    </w:rPr>
  </w:style>
  <w:style w:type="paragraph" w:styleId="Title">
    <w:name w:val="Title"/>
    <w:basedOn w:val="Normal"/>
    <w:next w:val="Normal"/>
    <w:link w:val="TitleChar"/>
    <w:uiPriority w:val="10"/>
    <w:qFormat w:val="1"/>
    <w:rsid w:val="009E59AB"/>
    <w:pPr>
      <w:spacing w:after="80"/>
      <w:contextualSpacing w:val="1"/>
    </w:pPr>
    <w:rPr>
      <w:rFonts w:asciiTheme="majorHAnsi" w:cstheme="majorBidi" w:eastAsiaTheme="majorEastAsia" w:hAnsiTheme="majorHAnsi"/>
      <w:spacing w:val="-10"/>
      <w:kern w:val="28"/>
      <w:sz w:val="56"/>
      <w:szCs w:val="56"/>
    </w:rPr>
  </w:style>
  <w:style w:type="character" w:styleId="TitleChar" w:customStyle="1">
    <w:name w:val="Title Char"/>
    <w:basedOn w:val="DefaultParagraphFont"/>
    <w:link w:val="Title"/>
    <w:uiPriority w:val="10"/>
    <w:rsid w:val="009E59AB"/>
    <w:rPr>
      <w:rFonts w:asciiTheme="majorHAnsi" w:cstheme="majorBidi" w:eastAsiaTheme="majorEastAsia" w:hAnsiTheme="majorHAnsi"/>
      <w:spacing w:val="-10"/>
      <w:kern w:val="28"/>
      <w:sz w:val="56"/>
      <w:szCs w:val="56"/>
    </w:rPr>
  </w:style>
  <w:style w:type="paragraph" w:styleId="Subtitle">
    <w:name w:val="Subtitle"/>
    <w:basedOn w:val="Normal"/>
    <w:next w:val="Normal"/>
    <w:link w:val="SubtitleChar"/>
    <w:uiPriority w:val="11"/>
    <w:qFormat w:val="1"/>
    <w:rsid w:val="009E59AB"/>
    <w:pPr>
      <w:numPr>
        <w:ilvl w:val="1"/>
      </w:numPr>
      <w:spacing w:after="160"/>
    </w:pPr>
    <w:rPr>
      <w:rFonts w:cstheme="majorBidi" w:eastAsiaTheme="majorEastAsia"/>
      <w:color w:val="595959" w:themeColor="text1" w:themeTint="0000A6"/>
      <w:spacing w:val="15"/>
      <w:sz w:val="28"/>
      <w:szCs w:val="28"/>
    </w:rPr>
  </w:style>
  <w:style w:type="character" w:styleId="SubtitleChar" w:customStyle="1">
    <w:name w:val="Subtitle Char"/>
    <w:basedOn w:val="DefaultParagraphFont"/>
    <w:link w:val="Subtitle"/>
    <w:uiPriority w:val="11"/>
    <w:rsid w:val="009E59AB"/>
    <w:rPr>
      <w:rFonts w:cstheme="majorBidi" w:eastAsiaTheme="majorEastAsia"/>
      <w:color w:val="595959" w:themeColor="text1" w:themeTint="0000A6"/>
      <w:spacing w:val="15"/>
      <w:sz w:val="28"/>
      <w:szCs w:val="28"/>
    </w:rPr>
  </w:style>
  <w:style w:type="paragraph" w:styleId="Quote">
    <w:name w:val="Quote"/>
    <w:basedOn w:val="Normal"/>
    <w:next w:val="Normal"/>
    <w:link w:val="QuoteChar"/>
    <w:uiPriority w:val="29"/>
    <w:qFormat w:val="1"/>
    <w:rsid w:val="009E59AB"/>
    <w:pPr>
      <w:spacing w:after="160" w:before="160"/>
      <w:jc w:val="center"/>
    </w:pPr>
    <w:rPr>
      <w:i w:val="1"/>
      <w:iCs w:val="1"/>
      <w:color w:val="404040" w:themeColor="text1" w:themeTint="0000BF"/>
    </w:rPr>
  </w:style>
  <w:style w:type="character" w:styleId="QuoteChar" w:customStyle="1">
    <w:name w:val="Quote Char"/>
    <w:basedOn w:val="DefaultParagraphFont"/>
    <w:link w:val="Quote"/>
    <w:uiPriority w:val="29"/>
    <w:rsid w:val="009E59AB"/>
    <w:rPr>
      <w:i w:val="1"/>
      <w:iCs w:val="1"/>
      <w:color w:val="404040" w:themeColor="text1" w:themeTint="0000BF"/>
    </w:rPr>
  </w:style>
  <w:style w:type="paragraph" w:styleId="ListParagraph">
    <w:name w:val="List Paragraph"/>
    <w:basedOn w:val="Normal"/>
    <w:uiPriority w:val="34"/>
    <w:qFormat w:val="1"/>
    <w:rsid w:val="009E59AB"/>
    <w:pPr>
      <w:ind w:left="720"/>
      <w:contextualSpacing w:val="1"/>
    </w:pPr>
  </w:style>
  <w:style w:type="character" w:styleId="IntenseEmphasis">
    <w:name w:val="Intense Emphasis"/>
    <w:basedOn w:val="DefaultParagraphFont"/>
    <w:uiPriority w:val="21"/>
    <w:qFormat w:val="1"/>
    <w:rsid w:val="009E59AB"/>
    <w:rPr>
      <w:i w:val="1"/>
      <w:iCs w:val="1"/>
      <w:color w:val="0f4761" w:themeColor="accent1" w:themeShade="0000BF"/>
    </w:rPr>
  </w:style>
  <w:style w:type="paragraph" w:styleId="IntenseQuote">
    <w:name w:val="Intense Quote"/>
    <w:basedOn w:val="Normal"/>
    <w:next w:val="Normal"/>
    <w:link w:val="IntenseQuoteChar"/>
    <w:uiPriority w:val="30"/>
    <w:qFormat w:val="1"/>
    <w:rsid w:val="009E59AB"/>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IntenseQuoteChar" w:customStyle="1">
    <w:name w:val="Intense Quote Char"/>
    <w:basedOn w:val="DefaultParagraphFont"/>
    <w:link w:val="IntenseQuote"/>
    <w:uiPriority w:val="30"/>
    <w:rsid w:val="009E59AB"/>
    <w:rPr>
      <w:i w:val="1"/>
      <w:iCs w:val="1"/>
      <w:color w:val="0f4761" w:themeColor="accent1" w:themeShade="0000BF"/>
    </w:rPr>
  </w:style>
  <w:style w:type="character" w:styleId="IntenseReference">
    <w:name w:val="Intense Reference"/>
    <w:basedOn w:val="DefaultParagraphFont"/>
    <w:uiPriority w:val="32"/>
    <w:qFormat w:val="1"/>
    <w:rsid w:val="009E59AB"/>
    <w:rPr>
      <w:b w:val="1"/>
      <w:bCs w:val="1"/>
      <w:smallCaps w:val="1"/>
      <w:color w:val="0f4761" w:themeColor="accent1" w:themeShade="0000BF"/>
      <w:spacing w:val="5"/>
    </w:rPr>
  </w:style>
  <w:style w:type="paragraph" w:styleId="NormalWeb">
    <w:name w:val="Normal (Web)"/>
    <w:basedOn w:val="Normal"/>
    <w:uiPriority w:val="99"/>
    <w:unhideWhenUsed w:val="1"/>
    <w:rsid w:val="009E59AB"/>
    <w:pPr>
      <w:spacing w:after="100" w:afterAutospacing="1" w:before="100" w:beforeAutospacing="1"/>
    </w:pPr>
    <w:rPr>
      <w:rFonts w:ascii="Times New Roman" w:cs="Times New Roman" w:eastAsia="Times New Roman" w:hAnsi="Times New Roman"/>
      <w:kern w:val="0"/>
      <w:lang w:eastAsia="en-GB"/>
    </w:rPr>
  </w:style>
  <w:style w:type="character" w:styleId="Hyperlink">
    <w:name w:val="Hyperlink"/>
    <w:basedOn w:val="DefaultParagraphFont"/>
    <w:uiPriority w:val="99"/>
    <w:unhideWhenUsed w:val="1"/>
    <w:rsid w:val="009E59AB"/>
    <w:rPr>
      <w:color w:val="467886" w:themeColor="hyperlink"/>
      <w:u w:val="single"/>
    </w:rPr>
  </w:style>
  <w:style w:type="paragraph" w:styleId="TOCHeading">
    <w:name w:val="TOC Heading"/>
    <w:basedOn w:val="Heading1"/>
    <w:next w:val="Normal"/>
    <w:uiPriority w:val="39"/>
    <w:unhideWhenUsed w:val="1"/>
    <w:qFormat w:val="1"/>
    <w:rsid w:val="009E59AB"/>
    <w:pPr>
      <w:spacing w:after="0" w:before="480" w:line="276" w:lineRule="auto"/>
      <w:outlineLvl w:val="9"/>
    </w:pPr>
    <w:rPr>
      <w:b w:val="1"/>
      <w:bCs w:val="1"/>
      <w:kern w:val="0"/>
      <w:sz w:val="28"/>
      <w:szCs w:val="28"/>
      <w:lang w:val="en-US"/>
    </w:rPr>
  </w:style>
  <w:style w:type="paragraph" w:styleId="TOC1">
    <w:name w:val="toc 1"/>
    <w:basedOn w:val="Normal"/>
    <w:next w:val="Normal"/>
    <w:autoRedefine w:val="1"/>
    <w:uiPriority w:val="39"/>
    <w:unhideWhenUsed w:val="1"/>
    <w:rsid w:val="00B47676"/>
    <w:pPr>
      <w:tabs>
        <w:tab w:val="right" w:leader="dot" w:pos="9016"/>
      </w:tabs>
      <w:spacing w:before="120"/>
    </w:pPr>
    <w:rPr>
      <w:b w:val="1"/>
      <w:bCs w:val="1"/>
      <w:i w:val="1"/>
      <w:iCs w:val="1"/>
    </w:rPr>
  </w:style>
  <w:style w:type="paragraph" w:styleId="TOC2">
    <w:name w:val="toc 2"/>
    <w:basedOn w:val="Normal"/>
    <w:next w:val="Normal"/>
    <w:autoRedefine w:val="1"/>
    <w:uiPriority w:val="39"/>
    <w:unhideWhenUsed w:val="1"/>
    <w:rsid w:val="00EA4DAC"/>
    <w:pPr>
      <w:tabs>
        <w:tab w:val="left" w:pos="960"/>
        <w:tab w:val="right" w:leader="dot" w:pos="9016"/>
      </w:tabs>
      <w:spacing w:before="120"/>
      <w:ind w:left="240"/>
    </w:pPr>
    <w:rPr>
      <w:noProof w:val="1"/>
      <w:sz w:val="22"/>
      <w:szCs w:val="22"/>
    </w:rPr>
  </w:style>
  <w:style w:type="paragraph" w:styleId="TableofFigures">
    <w:name w:val="table of figures"/>
    <w:basedOn w:val="Normal"/>
    <w:next w:val="Normal"/>
    <w:uiPriority w:val="99"/>
    <w:unhideWhenUsed w:val="1"/>
    <w:rsid w:val="009E59AB"/>
  </w:style>
  <w:style w:type="paragraph" w:styleId="Caption">
    <w:name w:val="caption"/>
    <w:basedOn w:val="Normal"/>
    <w:next w:val="Normal"/>
    <w:uiPriority w:val="35"/>
    <w:unhideWhenUsed w:val="1"/>
    <w:qFormat w:val="1"/>
    <w:rsid w:val="009E59AB"/>
    <w:pPr>
      <w:spacing w:after="200"/>
    </w:pPr>
    <w:rPr>
      <w:i w:val="1"/>
      <w:iCs w:val="1"/>
      <w:color w:val="0e2841" w:themeColor="text2"/>
      <w:sz w:val="18"/>
      <w:szCs w:val="18"/>
    </w:rPr>
  </w:style>
  <w:style w:type="table" w:styleId="TableGrid">
    <w:name w:val="Table Grid"/>
    <w:basedOn w:val="TableNormal"/>
    <w:uiPriority w:val="39"/>
    <w:rsid w:val="009E59AB"/>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Footer">
    <w:name w:val="footer"/>
    <w:basedOn w:val="Normal"/>
    <w:link w:val="FooterChar"/>
    <w:uiPriority w:val="99"/>
    <w:unhideWhenUsed w:val="1"/>
    <w:rsid w:val="005B5493"/>
    <w:pPr>
      <w:tabs>
        <w:tab w:val="center" w:pos="4513"/>
        <w:tab w:val="right" w:pos="9026"/>
      </w:tabs>
    </w:pPr>
  </w:style>
  <w:style w:type="character" w:styleId="FooterChar" w:customStyle="1">
    <w:name w:val="Footer Char"/>
    <w:basedOn w:val="DefaultParagraphFont"/>
    <w:link w:val="Footer"/>
    <w:uiPriority w:val="99"/>
    <w:rsid w:val="005B5493"/>
  </w:style>
  <w:style w:type="character" w:styleId="PageNumber">
    <w:name w:val="page number"/>
    <w:basedOn w:val="DefaultParagraphFont"/>
    <w:uiPriority w:val="99"/>
    <w:semiHidden w:val="1"/>
    <w:unhideWhenUsed w:val="1"/>
    <w:rsid w:val="005B5493"/>
  </w:style>
  <w:style w:type="table" w:styleId="PlainTable2">
    <w:name w:val="Plain Table 2"/>
    <w:basedOn w:val="TableNormal"/>
    <w:uiPriority w:val="42"/>
    <w:rsid w:val="001063F2"/>
    <w:tblPr>
      <w:tblStyleRowBandSize w:val="1"/>
      <w:tblStyleColBandSize w:val="1"/>
      <w:tblBorders>
        <w:top w:color="7f7f7f" w:space="0" w:sz="4" w:themeColor="text1" w:themeTint="000080" w:val="single"/>
        <w:bottom w:color="7f7f7f" w:space="0" w:sz="4" w:themeColor="text1" w:themeTint="000080" w:val="single"/>
      </w:tblBorders>
    </w:tblPr>
    <w:tblStylePr w:type="firstRow">
      <w:rPr>
        <w:b w:val="1"/>
        <w:bCs w:val="1"/>
      </w:rPr>
      <w:tblPr/>
      <w:tcPr>
        <w:tcBorders>
          <w:bottom w:color="7f7f7f" w:space="0" w:sz="4" w:themeColor="text1" w:themeTint="000080" w:val="single"/>
        </w:tcBorders>
      </w:tcPr>
    </w:tblStylePr>
    <w:tblStylePr w:type="lastRow">
      <w:rPr>
        <w:b w:val="1"/>
        <w:bCs w:val="1"/>
      </w:rPr>
      <w:tblPr/>
      <w:tcPr>
        <w:tcBorders>
          <w:top w:color="7f7f7f" w:space="0" w:sz="4" w:themeColor="text1" w:themeTint="000080" w:val="single"/>
        </w:tcBorders>
      </w:tcPr>
    </w:tblStylePr>
    <w:tblStylePr w:type="firstCol">
      <w:rPr>
        <w:b w:val="1"/>
        <w:bCs w:val="1"/>
      </w:rPr>
    </w:tblStylePr>
    <w:tblStylePr w:type="lastCol">
      <w:rPr>
        <w:b w:val="1"/>
        <w:bCs w:val="1"/>
      </w:rPr>
    </w:tblStylePr>
    <w:tblStylePr w:type="band1Vert">
      <w:tblPr/>
      <w:tcPr>
        <w:tcBorders>
          <w:left w:color="7f7f7f" w:space="0" w:sz="4" w:themeColor="text1" w:themeTint="000080" w:val="single"/>
          <w:right w:color="7f7f7f" w:space="0" w:sz="4" w:themeColor="text1" w:themeTint="000080" w:val="single"/>
        </w:tcBorders>
      </w:tcPr>
    </w:tblStylePr>
    <w:tblStylePr w:type="band2Vert">
      <w:tblPr/>
      <w:tcPr>
        <w:tcBorders>
          <w:left w:color="7f7f7f" w:space="0" w:sz="4" w:themeColor="text1" w:themeTint="000080" w:val="single"/>
          <w:right w:color="7f7f7f" w:space="0" w:sz="4" w:themeColor="text1" w:themeTint="000080" w:val="single"/>
        </w:tcBorders>
      </w:tcPr>
    </w:tblStylePr>
    <w:tblStylePr w:type="band1Horz">
      <w:tblPr/>
      <w:tcPr>
        <w:tcBorders>
          <w:top w:color="7f7f7f" w:space="0" w:sz="4" w:themeColor="text1" w:themeTint="000080" w:val="single"/>
          <w:bottom w:color="7f7f7f" w:space="0" w:sz="4" w:themeColor="text1" w:themeTint="000080" w:val="single"/>
        </w:tcBorders>
      </w:tcPr>
    </w:tblStylePr>
  </w:style>
  <w:style w:type="character" w:styleId="CommentReference">
    <w:name w:val="annotation reference"/>
    <w:basedOn w:val="DefaultParagraphFont"/>
    <w:uiPriority w:val="99"/>
    <w:semiHidden w:val="1"/>
    <w:unhideWhenUsed w:val="1"/>
    <w:rsid w:val="001063F2"/>
    <w:rPr>
      <w:sz w:val="16"/>
      <w:szCs w:val="16"/>
    </w:rPr>
  </w:style>
  <w:style w:type="paragraph" w:styleId="CommentText">
    <w:name w:val="annotation text"/>
    <w:basedOn w:val="Normal"/>
    <w:link w:val="CommentTextChar"/>
    <w:uiPriority w:val="99"/>
    <w:unhideWhenUsed w:val="1"/>
    <w:rsid w:val="001063F2"/>
    <w:rPr>
      <w:sz w:val="20"/>
      <w:szCs w:val="20"/>
    </w:rPr>
  </w:style>
  <w:style w:type="character" w:styleId="CommentTextChar" w:customStyle="1">
    <w:name w:val="Comment Text Char"/>
    <w:basedOn w:val="DefaultParagraphFont"/>
    <w:link w:val="CommentText"/>
    <w:uiPriority w:val="99"/>
    <w:rsid w:val="001063F2"/>
    <w:rPr>
      <w:sz w:val="20"/>
      <w:szCs w:val="20"/>
    </w:rPr>
  </w:style>
  <w:style w:type="paragraph" w:styleId="TOC3">
    <w:name w:val="toc 3"/>
    <w:basedOn w:val="Normal"/>
    <w:next w:val="Normal"/>
    <w:autoRedefine w:val="1"/>
    <w:uiPriority w:val="39"/>
    <w:unhideWhenUsed w:val="1"/>
    <w:rsid w:val="00BD4326"/>
    <w:pPr>
      <w:spacing w:after="100"/>
      <w:ind w:left="480"/>
    </w:pPr>
  </w:style>
  <w:style w:type="character" w:styleId="apple-converted-space" w:customStyle="1">
    <w:name w:val="apple-converted-space"/>
    <w:basedOn w:val="DefaultParagraphFont"/>
    <w:rsid w:val="00FC31A1"/>
  </w:style>
  <w:style w:type="character" w:styleId="UnresolvedMention">
    <w:name w:val="Unresolved Mention"/>
    <w:basedOn w:val="DefaultParagraphFont"/>
    <w:uiPriority w:val="99"/>
    <w:semiHidden w:val="1"/>
    <w:unhideWhenUsed w:val="1"/>
    <w:rsid w:val="009027B1"/>
    <w:rPr>
      <w:color w:val="605e5c"/>
      <w:shd w:color="auto" w:fill="e1dfdd" w:val="clear"/>
    </w:rPr>
  </w:style>
  <w:style w:type="paragraph" w:styleId="CommentSubject">
    <w:name w:val="annotation subject"/>
    <w:basedOn w:val="CommentText"/>
    <w:next w:val="CommentText"/>
    <w:link w:val="CommentSubjectChar"/>
    <w:uiPriority w:val="99"/>
    <w:semiHidden w:val="1"/>
    <w:unhideWhenUsed w:val="1"/>
    <w:rsid w:val="009027B1"/>
    <w:rPr>
      <w:b w:val="1"/>
      <w:bCs w:val="1"/>
    </w:rPr>
  </w:style>
  <w:style w:type="character" w:styleId="CommentSubjectChar" w:customStyle="1">
    <w:name w:val="Comment Subject Char"/>
    <w:basedOn w:val="CommentTextChar"/>
    <w:link w:val="CommentSubject"/>
    <w:uiPriority w:val="99"/>
    <w:semiHidden w:val="1"/>
    <w:rsid w:val="009027B1"/>
    <w:rPr>
      <w:b w:val="1"/>
      <w:bCs w:val="1"/>
      <w:sz w:val="20"/>
      <w:szCs w:val="20"/>
    </w:rPr>
  </w:style>
  <w:style w:type="paragraph" w:styleId="Header">
    <w:name w:val="header"/>
    <w:basedOn w:val="Normal"/>
    <w:link w:val="HeaderChar"/>
    <w:uiPriority w:val="99"/>
    <w:unhideWhenUsed w:val="1"/>
    <w:rsid w:val="006C1561"/>
    <w:pPr>
      <w:tabs>
        <w:tab w:val="center" w:pos="4513"/>
        <w:tab w:val="right" w:pos="9026"/>
      </w:tabs>
    </w:pPr>
  </w:style>
  <w:style w:type="character" w:styleId="HeaderChar" w:customStyle="1">
    <w:name w:val="Header Char"/>
    <w:basedOn w:val="DefaultParagraphFont"/>
    <w:link w:val="Header"/>
    <w:uiPriority w:val="99"/>
    <w:rsid w:val="006C1561"/>
  </w:style>
  <w:style w:type="character" w:styleId="Emphasis">
    <w:name w:val="Emphasis"/>
    <w:basedOn w:val="DefaultParagraphFont"/>
    <w:uiPriority w:val="20"/>
    <w:qFormat w:val="1"/>
    <w:rsid w:val="0086512C"/>
    <w:rPr>
      <w:i w:val="1"/>
      <w:iCs w:val="1"/>
    </w:rPr>
  </w:style>
  <w:style w:type="paragraph" w:styleId="NoSpacing">
    <w:name w:val="No Spacing"/>
    <w:uiPriority w:val="1"/>
    <w:qFormat w:val="1"/>
    <w:rsid w:val="0086512C"/>
  </w:style>
  <w:style w:type="paragraph" w:styleId="TOC4">
    <w:name w:val="toc 4"/>
    <w:basedOn w:val="Normal"/>
    <w:next w:val="Normal"/>
    <w:autoRedefine w:val="1"/>
    <w:uiPriority w:val="39"/>
    <w:unhideWhenUsed w:val="1"/>
    <w:rsid w:val="0086512C"/>
    <w:pPr>
      <w:spacing w:after="100" w:line="278" w:lineRule="auto"/>
      <w:ind w:left="720"/>
    </w:pPr>
    <w:rPr>
      <w:rFonts w:eastAsiaTheme="minorEastAsia"/>
      <w:lang w:eastAsia="en-GB"/>
    </w:rPr>
  </w:style>
  <w:style w:type="paragraph" w:styleId="TOC5">
    <w:name w:val="toc 5"/>
    <w:basedOn w:val="Normal"/>
    <w:next w:val="Normal"/>
    <w:autoRedefine w:val="1"/>
    <w:uiPriority w:val="39"/>
    <w:unhideWhenUsed w:val="1"/>
    <w:rsid w:val="0086512C"/>
    <w:pPr>
      <w:spacing w:after="100" w:line="278" w:lineRule="auto"/>
      <w:ind w:left="960"/>
    </w:pPr>
    <w:rPr>
      <w:rFonts w:eastAsiaTheme="minorEastAsia"/>
      <w:lang w:eastAsia="en-GB"/>
    </w:rPr>
  </w:style>
  <w:style w:type="paragraph" w:styleId="TOC6">
    <w:name w:val="toc 6"/>
    <w:basedOn w:val="Normal"/>
    <w:next w:val="Normal"/>
    <w:autoRedefine w:val="1"/>
    <w:uiPriority w:val="39"/>
    <w:unhideWhenUsed w:val="1"/>
    <w:rsid w:val="0086512C"/>
    <w:pPr>
      <w:spacing w:after="100" w:line="278" w:lineRule="auto"/>
      <w:ind w:left="1200"/>
    </w:pPr>
    <w:rPr>
      <w:rFonts w:eastAsiaTheme="minorEastAsia"/>
      <w:lang w:eastAsia="en-GB"/>
    </w:rPr>
  </w:style>
  <w:style w:type="paragraph" w:styleId="TOC7">
    <w:name w:val="toc 7"/>
    <w:basedOn w:val="Normal"/>
    <w:next w:val="Normal"/>
    <w:autoRedefine w:val="1"/>
    <w:uiPriority w:val="39"/>
    <w:unhideWhenUsed w:val="1"/>
    <w:rsid w:val="0086512C"/>
    <w:pPr>
      <w:spacing w:after="100" w:line="278" w:lineRule="auto"/>
      <w:ind w:left="1440"/>
    </w:pPr>
    <w:rPr>
      <w:rFonts w:eastAsiaTheme="minorEastAsia"/>
      <w:lang w:eastAsia="en-GB"/>
    </w:rPr>
  </w:style>
  <w:style w:type="paragraph" w:styleId="TOC8">
    <w:name w:val="toc 8"/>
    <w:basedOn w:val="Normal"/>
    <w:next w:val="Normal"/>
    <w:autoRedefine w:val="1"/>
    <w:uiPriority w:val="39"/>
    <w:unhideWhenUsed w:val="1"/>
    <w:rsid w:val="0086512C"/>
    <w:pPr>
      <w:spacing w:after="100" w:line="278" w:lineRule="auto"/>
      <w:ind w:left="1680"/>
    </w:pPr>
    <w:rPr>
      <w:rFonts w:eastAsiaTheme="minorEastAsia"/>
      <w:lang w:eastAsia="en-GB"/>
    </w:rPr>
  </w:style>
  <w:style w:type="paragraph" w:styleId="TOC9">
    <w:name w:val="toc 9"/>
    <w:basedOn w:val="Normal"/>
    <w:next w:val="Normal"/>
    <w:autoRedefine w:val="1"/>
    <w:uiPriority w:val="39"/>
    <w:unhideWhenUsed w:val="1"/>
    <w:rsid w:val="0086512C"/>
    <w:pPr>
      <w:spacing w:after="100" w:line="278" w:lineRule="auto"/>
      <w:ind w:left="1920"/>
    </w:pPr>
    <w:rPr>
      <w:rFonts w:eastAsiaTheme="minorEastAsia"/>
      <w:lang w:eastAsia="en-GB"/>
    </w:rPr>
  </w:style>
  <w:style w:type="character" w:styleId="FollowedHyperlink">
    <w:name w:val="FollowedHyperlink"/>
    <w:basedOn w:val="DefaultParagraphFont"/>
    <w:uiPriority w:val="99"/>
    <w:semiHidden w:val="1"/>
    <w:unhideWhenUsed w:val="1"/>
    <w:rsid w:val="00BB4FFC"/>
    <w:rPr>
      <w:color w:val="96607d" w:themeColor="followedHyperlink"/>
      <w:u w:val="single"/>
    </w:rPr>
  </w:style>
  <w:style w:type="table" w:styleId="PlainTable5">
    <w:name w:val="Plain Table 5"/>
    <w:basedOn w:val="TableNormal"/>
    <w:uiPriority w:val="45"/>
    <w:rsid w:val="00CD7D72"/>
    <w:tblPr>
      <w:tblStyleRowBandSize w:val="1"/>
      <w:tblStyleColBandSize w:val="1"/>
    </w:tblPr>
    <w:tblStylePr w:type="firstRow">
      <w:rPr>
        <w:rFonts w:asciiTheme="majorHAnsi" w:cstheme="majorBidi" w:eastAsiaTheme="majorEastAsia" w:hAnsiTheme="majorHAnsi"/>
        <w:i w:val="1"/>
        <w:iCs w:val="1"/>
        <w:sz w:val="26"/>
      </w:rPr>
      <w:tblPr/>
      <w:tcPr>
        <w:tcBorders>
          <w:bottom w:color="7f7f7f" w:space="0" w:sz="4" w:themeColor="text1" w:themeTint="000080" w:val="single"/>
        </w:tcBorders>
        <w:shd w:color="auto" w:fill="ffffff" w:themeFill="background1" w:val="clear"/>
      </w:tcPr>
    </w:tblStylePr>
    <w:tblStylePr w:type="lastRow">
      <w:rPr>
        <w:rFonts w:asciiTheme="majorHAnsi" w:cstheme="majorBidi" w:eastAsiaTheme="majorEastAsia" w:hAnsiTheme="majorHAnsi"/>
        <w:i w:val="1"/>
        <w:iCs w:val="1"/>
        <w:sz w:val="26"/>
      </w:rPr>
      <w:tblPr/>
      <w:tcPr>
        <w:tcBorders>
          <w:top w:color="7f7f7f" w:space="0" w:sz="4" w:themeColor="text1" w:themeTint="000080" w:val="single"/>
        </w:tcBorders>
        <w:shd w:color="auto" w:fill="ffffff" w:themeFill="background1" w:val="clear"/>
      </w:tcPr>
    </w:tblStylePr>
    <w:tblStylePr w:type="firstCol">
      <w:pPr>
        <w:jc w:val="right"/>
      </w:pPr>
      <w:rPr>
        <w:rFonts w:asciiTheme="majorHAnsi" w:cstheme="majorBidi" w:eastAsiaTheme="majorEastAsia" w:hAnsiTheme="majorHAnsi"/>
        <w:i w:val="1"/>
        <w:iCs w:val="1"/>
        <w:sz w:val="26"/>
      </w:rPr>
      <w:tblPr/>
      <w:tcPr>
        <w:tcBorders>
          <w:right w:color="7f7f7f" w:space="0" w:sz="4" w:themeColor="text1" w:themeTint="000080" w:val="single"/>
        </w:tcBorders>
        <w:shd w:color="auto" w:fill="ffffff" w:themeFill="background1" w:val="clear"/>
      </w:tcPr>
    </w:tblStylePr>
    <w:tblStylePr w:type="lastCol">
      <w:rPr>
        <w:rFonts w:asciiTheme="majorHAnsi" w:cstheme="majorBidi" w:eastAsiaTheme="majorEastAsia" w:hAnsiTheme="majorHAnsi"/>
        <w:i w:val="1"/>
        <w:iCs w:val="1"/>
        <w:sz w:val="26"/>
      </w:rPr>
      <w:tblPr/>
      <w:tcPr>
        <w:tcBorders>
          <w:left w:color="7f7f7f" w:space="0" w:sz="4" w:themeColor="text1" w:themeTint="000080" w:val="single"/>
        </w:tcBorders>
        <w:shd w:color="auto" w:fill="ffffff" w:themeFill="background1" w:val="clear"/>
      </w:tc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tblStylePr w:type="neCell">
      <w:tblPr/>
      <w:tcPr>
        <w:tcBorders>
          <w:left w:space="0" w:sz="0" w:val="nil"/>
        </w:tcBorders>
      </w:tcPr>
    </w:tblStylePr>
    <w:tblStylePr w:type="nwCell">
      <w:tblPr/>
      <w:tcPr>
        <w:tcBorders>
          <w:right w:space="0" w:sz="0" w:val="nil"/>
        </w:tcBorders>
      </w:tcPr>
    </w:tblStylePr>
    <w:tblStylePr w:type="seCell">
      <w:tblPr/>
      <w:tcPr>
        <w:tcBorders>
          <w:left w:space="0" w:sz="0" w:val="nil"/>
        </w:tcBorders>
      </w:tcPr>
    </w:tblStylePr>
    <w:tblStylePr w:type="swCell">
      <w:tblPr/>
      <w:tcPr>
        <w:tcBorders>
          <w:right w:space="0" w:sz="0" w:val="nil"/>
        </w:tcBorders>
      </w:tcPr>
    </w:tblStylePr>
  </w:style>
  <w:style w:type="paragraph" w:styleId="Revision">
    <w:name w:val="Revision"/>
    <w:hidden w:val="1"/>
    <w:uiPriority w:val="99"/>
    <w:semiHidden w:val="1"/>
    <w:rsid w:val="00C0418C"/>
  </w:style>
  <w:style w:type="paragraph" w:styleId="Subtitle">
    <w:name w:val="Subtitle"/>
    <w:basedOn w:val="Normal"/>
    <w:next w:val="Normal"/>
    <w:pPr>
      <w:spacing w:after="160" w:lineRule="auto"/>
    </w:pPr>
    <w:rPr>
      <w:color w:val="595959"/>
      <w:sz w:val="28"/>
      <w:szCs w:val="2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3">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4">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5">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6">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7">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8">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9">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10">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11">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12">
    <w:basedOn w:val="TableNormal"/>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pediaa.com/difference-between-ontology-and-epistemology/" TargetMode="External"/><Relationship Id="rId42" Type="http://schemas.openxmlformats.org/officeDocument/2006/relationships/hyperlink" Target="https://www.hesa.ac.uk/news/17-01-2019/sb252-higher-education-student-statistics" TargetMode="External"/><Relationship Id="rId41" Type="http://schemas.openxmlformats.org/officeDocument/2006/relationships/hyperlink" Target="https://nds.healthwatch.co.uk/sites/default/files/reports_library/20230131%20GP%20Referrals%20Briefing%202_FINAL.pdf" TargetMode="External"/><Relationship Id="rId44" Type="http://schemas.openxmlformats.org/officeDocument/2006/relationships/hyperlink" Target="https://ilpa.org.uk/members-area/working-groups/well-being-new/well-being-resource-hub/mental-health-resources-for-black-people-and-poc/" TargetMode="External"/><Relationship Id="rId43" Type="http://schemas.openxmlformats.org/officeDocument/2006/relationships/hyperlink" Target="https://www.gov.uk/government/news/government-announces-that-medicinal-cannabis-is-legal" TargetMode="External"/><Relationship Id="rId46" Type="http://schemas.openxmlformats.org/officeDocument/2006/relationships/hyperlink" Target="https://www.hopkinsmedicine.org/health/conditions-and-diseases/chronic-pain" TargetMode="External"/><Relationship Id="rId45" Type="http://schemas.openxmlformats.org/officeDocument/2006/relationships/hyperlink" Target="https://muslimmentalhealth.com/islam-mental-health/" TargetMode="External"/><Relationship Id="rId107" Type="http://schemas.openxmlformats.org/officeDocument/2006/relationships/hyperlink" Target="https://www.kingsfund.org.uk/insight-and-analysis/press-releases/response-autumn-budget-October-2024#:~:text=The%20King's%20Fund%20responds%20to%20the%202024%20Autumn%20Budget&amp;text=The%203.8%25%20real%2Dterms%20uplift,year%2C%20and%20certainly%20not%20overnight" TargetMode="External"/><Relationship Id="rId106" Type="http://schemas.openxmlformats.org/officeDocument/2006/relationships/hyperlink" Target="https://www.kingsfund.org.uk/blog/2022/10/nhs-nursing-workforce" TargetMode="External"/><Relationship Id="rId105" Type="http://schemas.openxmlformats.org/officeDocument/2006/relationships/hyperlink" Target="https://www.kingsfund.org.uk/projects/nhs-in-a-nutshell/nhs-budget" TargetMode="External"/><Relationship Id="rId104" Type="http://schemas.openxmlformats.org/officeDocument/2006/relationships/hyperlink" Target="https://www.kingsfund.org.uk/press/press-releases/new-analysis-shows-widespread-decline-adult-social-care" TargetMode="External"/><Relationship Id="rId109" Type="http://schemas.openxmlformats.org/officeDocument/2006/relationships/hyperlink" Target="https://data.oecd.org/healthres/health-spending.htm" TargetMode="External"/><Relationship Id="rId108" Type="http://schemas.openxmlformats.org/officeDocument/2006/relationships/hyperlink" Target="https://uk.movember.com/donate/find-results/" TargetMode="External"/><Relationship Id="rId48" Type="http://schemas.openxmlformats.org/officeDocument/2006/relationships/hyperlink" Target="https://www.healthandcareleeds.org/health/secondary-care-services/#:~:text=Secondary%20care%20services%20are%20those,services%20in%20an%20emergency%20situation" TargetMode="External"/><Relationship Id="rId47" Type="http://schemas.openxmlformats.org/officeDocument/2006/relationships/hyperlink" Target="https://www.addictioncenter.com/addiction/addiction-vs-dependence/" TargetMode="External"/><Relationship Id="rId49" Type="http://schemas.openxmlformats.org/officeDocument/2006/relationships/hyperlink" Target="https://www.independent.co.uk/news/health/nhs-waiting-list-covid-england-b1916981.html" TargetMode="External"/><Relationship Id="rId103" Type="http://schemas.openxmlformats.org/officeDocument/2006/relationships/hyperlink" Target="https://www.theblackberrycenter.com/domestic-violence-and-addiction-exploring-the-connection/" TargetMode="External"/><Relationship Id="rId102" Type="http://schemas.openxmlformats.org/officeDocument/2006/relationships/hyperlink" Target="https://www.theberylinstitute.org/page/About" TargetMode="External"/><Relationship Id="rId101" Type="http://schemas.openxmlformats.org/officeDocument/2006/relationships/hyperlink" Target="https://www.nhsconfed.org/articles/we-cannot-continue-neglect-mental-health-funding" TargetMode="External"/><Relationship Id="rId100" Type="http://schemas.openxmlformats.org/officeDocument/2006/relationships/hyperlink" Target="https://www.statista.com/statistics/470844/drug-poisoning-deaths-benzodiazepine-in-england-and-wales/" TargetMode="External"/><Relationship Id="rId31" Type="http://schemas.openxmlformats.org/officeDocument/2006/relationships/hyperlink" Target="https://www.gale.com/primary-sources/womens-studies/collections/history-of-women-in-medicine" TargetMode="External"/><Relationship Id="rId30" Type="http://schemas.openxmlformats.org/officeDocument/2006/relationships/hyperlink" Target="https://www.futurelearn.com/info/blog/what-is-social-care" TargetMode="External"/><Relationship Id="rId33" Type="http://schemas.openxmlformats.org/officeDocument/2006/relationships/hyperlink" Target="https://www.theguardian.com/society/2022/nov/09/real-terms-fall-in-uk-nurses-pay-is-part-of-wider-trend" TargetMode="External"/><Relationship Id="rId32" Type="http://schemas.openxmlformats.org/officeDocument/2006/relationships/hyperlink" Target="https://www.gmc-uk.org/-/media/documents/prescribing-guidance_pdf-59055247.pdf?la=en&amp;hash=958C4EED51E3D145EA8798A1AFD85887D3A577B2" TargetMode="External"/><Relationship Id="rId35" Type="http://schemas.openxmlformats.org/officeDocument/2006/relationships/hyperlink" Target="https://www.theguardian.com/society/2022/oct/10/nhs-mental-health-patients-wait-times" TargetMode="External"/><Relationship Id="rId34" Type="http://schemas.openxmlformats.org/officeDocument/2006/relationships/hyperlink" Target="https://gmmmg.nhs.uk/wp-content/uploads/2021/08/Benzodiazepine-and-Z-drug-Resource-Pack-GMMMG-FINAL-v1-0-for-GMMMG-website.pdf" TargetMode="External"/><Relationship Id="rId37" Type="http://schemas.openxmlformats.org/officeDocument/2006/relationships/hyperlink" Target="https://www.independent.co.uk/voices/nhs-waiting-lists-drug-dependency-opiates-b1923905.html" TargetMode="External"/><Relationship Id="rId36" Type="http://schemas.openxmlformats.org/officeDocument/2006/relationships/hyperlink" Target="https://haenfler.sites.grinnell.edu/psychonauts/" TargetMode="External"/><Relationship Id="rId39" Type="http://schemas.openxmlformats.org/officeDocument/2006/relationships/hyperlink" Target="https://pediaa.com/difference-between-perception-and-perspective/" TargetMode="External"/><Relationship Id="rId38" Type="http://schemas.openxmlformats.org/officeDocument/2006/relationships/hyperlink" Target="https://hipsprocedures.org.uk/hkyysz/parents-who-have-additional-needs/children-living-in-households-where-there-is-substance-misuse" TargetMode="External"/><Relationship Id="rId20" Type="http://schemas.openxmlformats.org/officeDocument/2006/relationships/hyperlink" Target="https://www.centreformentalhealth.org.uk/against-the-odds" TargetMode="External"/><Relationship Id="rId22" Type="http://schemas.openxmlformats.org/officeDocument/2006/relationships/hyperlink" Target="https://www.england.nhs.uk/wp-content/uploads/2013/11/pat-expe.pdf" TargetMode="External"/><Relationship Id="rId21" Type="http://schemas.openxmlformats.org/officeDocument/2006/relationships/hyperlink" Target="https://www.health.harvard.edu/blog/black-peer-support-a-role-in-mental-health-recovery-2021040822340#:~:text=Studies%20suggest%20peer%20support%20in,of%20discrimination%20in%20treatment%20settings" TargetMode="External"/><Relationship Id="rId24" Type="http://schemas.openxmlformats.org/officeDocument/2006/relationships/hyperlink" Target="https://www.judiciary.uk/wp-content/uploads/2022/01/Michelle-Whitehead-Prevention-of-future-deaths-report-2022-0016_Published.pdf" TargetMode="External"/><Relationship Id="rId23" Type="http://schemas.openxmlformats.org/officeDocument/2006/relationships/hyperlink" Target="https://www.proceduresonline.com/swcpp/cornwall_scilly/p_ch_par_misuse_subs.html" TargetMode="External"/><Relationship Id="rId129" Type="http://schemas.openxmlformats.org/officeDocument/2006/relationships/hyperlink" Target="https://pubmed.ncbi.nlm.nih.gov/33224468/" TargetMode="External"/><Relationship Id="rId128" Type="http://schemas.openxmlformats.org/officeDocument/2006/relationships/hyperlink" Target="https://pubmed.ncbi.nlm.nih.gov/31900755/" TargetMode="External"/><Relationship Id="rId127" Type="http://schemas.openxmlformats.org/officeDocument/2006/relationships/hyperlink" Target="https://pubmed.ncbi.nlm.nih.gov/32259826/" TargetMode="External"/><Relationship Id="rId126" Type="http://schemas.openxmlformats.org/officeDocument/2006/relationships/hyperlink" Target="https://pubmed.ncbi.nlm.nih.gov/31049408/" TargetMode="External"/><Relationship Id="rId26" Type="http://schemas.openxmlformats.org/officeDocument/2006/relationships/hyperlink" Target="https://abcnews.go.com/Health/wireStory/thailand-legalizes-kratom-popular-plant-based-painkiller-79616147" TargetMode="External"/><Relationship Id="rId121" Type="http://schemas.openxmlformats.org/officeDocument/2006/relationships/hyperlink" Target="https://pubmed.ncbi.nlm.nih.gov/29061554/" TargetMode="External"/><Relationship Id="rId25" Type="http://schemas.openxmlformats.org/officeDocument/2006/relationships/hyperlink" Target="https://djmag.com/news/charity-pop-rave-uks-tallest-mountain-ben-nevis-announced-group-bens" TargetMode="External"/><Relationship Id="rId120" Type="http://schemas.openxmlformats.org/officeDocument/2006/relationships/footer" Target="footer1.xml"/><Relationship Id="rId28" Type="http://schemas.openxmlformats.org/officeDocument/2006/relationships/hyperlink" Target="https://www.mprnews.org/story/2019/09/17/for-muslims-wrestling-with-substance-abuse-its-often-a-silent-struggle" TargetMode="External"/><Relationship Id="rId27" Type="http://schemas.openxmlformats.org/officeDocument/2006/relationships/hyperlink" Target="https://www.england.nhs.uk/wp-content/uploads/2016/02/Mental-Health-Taskforce-FYFV-final.pdf" TargetMode="External"/><Relationship Id="rId125" Type="http://schemas.openxmlformats.org/officeDocument/2006/relationships/hyperlink" Target="https://pubmed.ncbi.nlm.nih.gov/30562677/" TargetMode="External"/><Relationship Id="rId29" Type="http://schemas.openxmlformats.org/officeDocument/2006/relationships/hyperlink" Target="https://thecircular.org/movember-mens-mental-health-and-the-stigma-around-masculinity/" TargetMode="External"/><Relationship Id="rId124" Type="http://schemas.openxmlformats.org/officeDocument/2006/relationships/hyperlink" Target="https://pubmed.ncbi.nlm.nih.gov/29618109/" TargetMode="External"/><Relationship Id="rId123" Type="http://schemas.openxmlformats.org/officeDocument/2006/relationships/hyperlink" Target="https://pubmed.ncbi.nlm.nih.gov/29873165/" TargetMode="External"/><Relationship Id="rId122" Type="http://schemas.openxmlformats.org/officeDocument/2006/relationships/hyperlink" Target="https://pubmed.ncbi.nlm.nih.gov/29866014/" TargetMode="External"/><Relationship Id="rId95" Type="http://schemas.openxmlformats.org/officeDocument/2006/relationships/hyperlink" Target="https://www.gov.scot/groups/human-rights-bill-lived-experience-boards/" TargetMode="External"/><Relationship Id="rId94" Type="http://schemas.openxmlformats.org/officeDocument/2006/relationships/hyperlink" Target="https://www.therapeutics.scot.nhs.uk/wp-content/uploads/2022/03/Benoz-and-Z-d_Quality-Prescribing-Adv-FINAL-DRAFT.pdf" TargetMode="External"/><Relationship Id="rId97" Type="http://schemas.openxmlformats.org/officeDocument/2006/relationships/hyperlink" Target="https://ontogenesis.knowledgeblog.org/66/?kblog-transclude=2" TargetMode="External"/><Relationship Id="rId96" Type="http://schemas.openxmlformats.org/officeDocument/2006/relationships/hyperlink" Target="https://edmidentity.com/2024/07/11/council-of-bens-ben-nevis-rave/" TargetMode="External"/><Relationship Id="rId11" Type="http://schemas.openxmlformats.org/officeDocument/2006/relationships/hyperlink" Target="https://vcresearch.berkeley.edu/news/lack-females-drug-dose-trials-leads-overmedicated-women" TargetMode="External"/><Relationship Id="rId99" Type="http://schemas.openxmlformats.org/officeDocument/2006/relationships/hyperlink" Target="https://www.statista.com/statistics/470918/death-by-antidepressants-drug-poisoning-in-england-and-wales/" TargetMode="External"/><Relationship Id="rId10" Type="http://schemas.openxmlformats.org/officeDocument/2006/relationships/hyperlink" Target="https://www.ahrq.gov/cahps/about-cahps/patient-experience/index.html" TargetMode="External"/><Relationship Id="rId98" Type="http://schemas.openxmlformats.org/officeDocument/2006/relationships/hyperlink" Target="https://www.statista.com/statistics/470918/death-by-antidepressants-drug-poisoning-in-england-and-wales/" TargetMode="External"/><Relationship Id="rId13" Type="http://schemas.openxmlformats.org/officeDocument/2006/relationships/hyperlink" Target="https://www.pbs.gov.au/pbs/home" TargetMode="External"/><Relationship Id="rId12" Type="http://schemas.openxmlformats.org/officeDocument/2006/relationships/hyperlink" Target="http://www.healthcareadministration.com/brief-comparison-uk-healthcare-system-vs-u-s-healthcare-system/" TargetMode="External"/><Relationship Id="rId91" Type="http://schemas.openxmlformats.org/officeDocument/2006/relationships/hyperlink" Target="https://www.bbc.co.uk/news/health-63946730" TargetMode="External"/><Relationship Id="rId90" Type="http://schemas.openxmlformats.org/officeDocument/2006/relationships/hyperlink" Target="https://www.bbc.co.uk/news/health-62094744" TargetMode="External"/><Relationship Id="rId93" Type="http://schemas.openxmlformats.org/officeDocument/2006/relationships/hyperlink" Target="https://www.rcpsych.ac.uk/news-and-features/latest-news/detail/2020/10/06/two-fifths-of-patients-waiting-for-mental-health-treatment-forced-to-resort-to-emergency-or-crisis-services" TargetMode="External"/><Relationship Id="rId92" Type="http://schemas.openxmlformats.org/officeDocument/2006/relationships/hyperlink" Target="https://chpi.org.uk/wp-content/uploads/2019/06/FINAL-REPORT-POUNDS-4-PATIENTS-070619.pdf" TargetMode="External"/><Relationship Id="rId118" Type="http://schemas.openxmlformats.org/officeDocument/2006/relationships/hyperlink" Target="https://transformation.com.pk/exploring-the-advantages-and-disadvantages-of-behavior-therapy/" TargetMode="External"/><Relationship Id="rId117" Type="http://schemas.openxmlformats.org/officeDocument/2006/relationships/hyperlink" Target="https://www.kingsfund.org.uk/insight-and-analysis/long-reads/nhs-crisis-evaluating-radical-alternatives" TargetMode="External"/><Relationship Id="rId116" Type="http://schemas.openxmlformats.org/officeDocument/2006/relationships/hyperlink" Target="https://www.kingsfund.org.uk/blog/2022/03/public-satisfaction-nhs-falls-25-year-low" TargetMode="External"/><Relationship Id="rId115" Type="http://schemas.openxmlformats.org/officeDocument/2006/relationships/hyperlink" Target="https://www.tnlcommunityfund.org.uk/media/insights/documents/Involving-people-with-lived-experience-in-the-workforce-2020.pdf" TargetMode="External"/><Relationship Id="rId119" Type="http://schemas.openxmlformats.org/officeDocument/2006/relationships/footer" Target="footer2.xml"/><Relationship Id="rId15" Type="http://schemas.openxmlformats.org/officeDocument/2006/relationships/hyperlink" Target="https://www.nhsconfed.org/publications/autumn-budget-2024-what-you-need-know#:~:text=The%20Chancellor%20announced%20a%20%C2%A3,year%20to%20%C2%A3192%20billion" TargetMode="External"/><Relationship Id="rId110" Type="http://schemas.openxmlformats.org/officeDocument/2006/relationships/hyperlink" Target="https://www.priorygroup.com/blog/opioids-understanding-the-current-state-in-the-uk" TargetMode="External"/><Relationship Id="rId14" Type="http://schemas.openxmlformats.org/officeDocument/2006/relationships/hyperlink" Target="https://www.formpl.us/blog/quota-sampling" TargetMode="External"/><Relationship Id="rId17" Type="http://schemas.openxmlformats.org/officeDocument/2006/relationships/hyperlink" Target="https://www.drugsandalcohol.ie/24620/1/BMA_Prescribed_drugs_associated_with_dependence.pdf" TargetMode="External"/><Relationship Id="rId16" Type="http://schemas.openxmlformats.org/officeDocument/2006/relationships/hyperlink" Target="https://www.gponline.com/barriers-hospital-referral-harming-patients-gps-warn/article/1748233" TargetMode="External"/><Relationship Id="rId19" Type="http://schemas.openxmlformats.org/officeDocument/2006/relationships/hyperlink" Target="https://nhssurveys.org/surveys/survey/02-adults-inpatients/" TargetMode="External"/><Relationship Id="rId114" Type="http://schemas.openxmlformats.org/officeDocument/2006/relationships/hyperlink" Target="https://ethics.grad.ucl.ac.uk/forms/Secondary-data-analysis-file-note.pdf" TargetMode="External"/><Relationship Id="rId18" Type="http://schemas.openxmlformats.org/officeDocument/2006/relationships/hyperlink" Target="https://www.businesswire.com/news/home/20210426005303/en/Global-Antidepressants-Market-Report-2021-COVID-19-Causes-a-Surge-in-Demand-for-Antidepressant-Drugs-as-Mental-Health-Problems-Rise---ResearchAndMarkets.com" TargetMode="External"/><Relationship Id="rId113" Type="http://schemas.openxmlformats.org/officeDocument/2006/relationships/hyperlink" Target="https://www.unodc.org/documents/wdr/WDR_2010/World_Drug_Report_2010_lo-res.pdf" TargetMode="External"/><Relationship Id="rId112" Type="http://schemas.openxmlformats.org/officeDocument/2006/relationships/hyperlink" Target="https://www.unison.org.uk/content/uploads/2020/05/Covid-19-Pandemic-Bargaining-over-Redeployment-v3.pdf" TargetMode="External"/><Relationship Id="rId111" Type="http://schemas.openxmlformats.org/officeDocument/2006/relationships/hyperlink" Target="https://www.tuc.org.uk/sites/default/files/Mentalhealthfundingreport2_0.pdf" TargetMode="External"/><Relationship Id="rId84" Type="http://schemas.openxmlformats.org/officeDocument/2006/relationships/hyperlink" Target="https://www.ons.gov.uk/peoplepopulationandcommunity/birthsdeathsandmarriages/deaths/bulletins/deathsrelatedtodrugpoisoninginenglandandwales/2020#drug-poisonings-in-england-and-wales" TargetMode="External"/><Relationship Id="rId83" Type="http://schemas.openxmlformats.org/officeDocument/2006/relationships/hyperlink" Target="https://www.ons.gov.uk/peoplepopulationandcommunity/birthsdeathsandmarriages/deaths/articles/drugrelateddeathsdeepdiveintocoronersrecords/2018-08-06" TargetMode="External"/><Relationship Id="rId86" Type="http://schemas.openxmlformats.org/officeDocument/2006/relationships/hyperlink" Target="https://openprescribing.net/analyse/#org=CCG&amp;numIds=0401010Z0&amp;denomIds=4.1.1&amp;selectedTab=summary" TargetMode="External"/><Relationship Id="rId85" Type="http://schemas.openxmlformats.org/officeDocument/2006/relationships/hyperlink" Target="https://www.ons.gov.uk/peoplepopulationandcommunity/healthandsocialcare/mentalhealth/articles/costoflivinganddepressioninadultsgreatbritain/29septemberto23october2022" TargetMode="External"/><Relationship Id="rId88" Type="http://schemas.openxmlformats.org/officeDocument/2006/relationships/hyperlink" Target="https://www.prescriber.co.uk/article/drug-related-deaths-practical-responses-to-a-growing-problem/" TargetMode="External"/><Relationship Id="rId150" Type="http://schemas.openxmlformats.org/officeDocument/2006/relationships/footer" Target="footer3.xml"/><Relationship Id="rId87" Type="http://schemas.openxmlformats.org/officeDocument/2006/relationships/hyperlink" Target="https://painconcern.org.uk/nhs-england-stop-funding-pain-treatment/" TargetMode="External"/><Relationship Id="rId89" Type="http://schemas.openxmlformats.org/officeDocument/2006/relationships/hyperlink" Target="https://www.gov.uk/government/publications/covid-19-guidance-for-commissioners-and-providers-of-services-for-people-who-use-drugs-or-alcohol/covid-19-guidance-for-commissioners-and-providers-of-services-for-people-who-use-drugs-or-alcohol" TargetMode="External"/><Relationship Id="rId80" Type="http://schemas.openxmlformats.org/officeDocument/2006/relationships/hyperlink" Target="https://www.gov.uk/government/publications/social-prescribing-applying-all-our-health/social-prescribing-applying-all-our-health" TargetMode="External"/><Relationship Id="rId82" Type="http://schemas.openxmlformats.org/officeDocument/2006/relationships/hyperlink" Target="https://www.ons.gov.uk/peoplepopulationandcommunity/birthsdeathsandmarriages/deaths/bulletins/deathsrelatedtodrugpoisoninginenglandandwales/2016registrations#drug-misuse-deaths-increase-in-both-males-and-females" TargetMode="External"/><Relationship Id="rId81" Type="http://schemas.openxmlformats.org/officeDocument/2006/relationships/hyperlink" Target="https://www.ons.gov.uk/peoplepopulationandcommunity/birthsdeathsandmarriages/lifeexpectancies/bulletins/nationallifetablesunitedkingdom/2016to201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footer" Target="footer4.xml"/><Relationship Id="rId4" Type="http://schemas.openxmlformats.org/officeDocument/2006/relationships/numbering" Target="numbering.xml"/><Relationship Id="rId148" Type="http://schemas.openxmlformats.org/officeDocument/2006/relationships/image" Target="media/image21.png"/><Relationship Id="rId9" Type="http://schemas.openxmlformats.org/officeDocument/2006/relationships/hyperlink" Target="https://www.gov.uk/government/publications/acmd-advice-on-consumer-cannabidiol-cbd-products/consumer-cannabidiol-cbd-products-report-accessible-version" TargetMode="External"/><Relationship Id="rId143" Type="http://schemas.openxmlformats.org/officeDocument/2006/relationships/image" Target="media/image22.png"/><Relationship Id="rId142" Type="http://schemas.openxmlformats.org/officeDocument/2006/relationships/image" Target="media/image23.png"/><Relationship Id="rId141" Type="http://schemas.openxmlformats.org/officeDocument/2006/relationships/image" Target="media/image19.png"/><Relationship Id="rId140" Type="http://schemas.openxmlformats.org/officeDocument/2006/relationships/image" Target="media/image20.png"/><Relationship Id="rId5" Type="http://schemas.openxmlformats.org/officeDocument/2006/relationships/styles" Target="styles.xml"/><Relationship Id="rId147" Type="http://schemas.openxmlformats.org/officeDocument/2006/relationships/image" Target="media/image17.png"/><Relationship Id="rId6" Type="http://schemas.openxmlformats.org/officeDocument/2006/relationships/customXml" Target="../customXML/item1.xml"/><Relationship Id="rId146" Type="http://schemas.openxmlformats.org/officeDocument/2006/relationships/image" Target="media/image16.png"/><Relationship Id="rId7" Type="http://schemas.openxmlformats.org/officeDocument/2006/relationships/image" Target="media/image1.png"/><Relationship Id="rId145" Type="http://schemas.openxmlformats.org/officeDocument/2006/relationships/image" Target="media/image18.png"/><Relationship Id="rId8" Type="http://schemas.openxmlformats.org/officeDocument/2006/relationships/image" Target="media/image11.png"/><Relationship Id="rId144" Type="http://schemas.openxmlformats.org/officeDocument/2006/relationships/image" Target="media/image24.png"/><Relationship Id="rId73" Type="http://schemas.openxmlformats.org/officeDocument/2006/relationships/hyperlink" Target="https://www.nhsbsa.nhs.uk/statistical-collections/prescription-cost-analysis-england/prescription-cost-analysis-england-202223" TargetMode="External"/><Relationship Id="rId72" Type="http://schemas.openxmlformats.org/officeDocument/2006/relationships/hyperlink" Target="https://nhsbsa-opendata.s3.eu-west-2.amazonaws.com/mumh-2021-q3-narrative-v001.html" TargetMode="External"/><Relationship Id="rId75" Type="http://schemas.openxmlformats.org/officeDocument/2006/relationships/hyperlink" Target="https://www.drugabuse.gov/publications/principles-adolescent-substance-use-disorder-treatment-research-based-guide/frequently-asked-questions/abuse-prescription-medications-dangerous-other-forms-illegal-drug-use" TargetMode="External"/><Relationship Id="rId74" Type="http://schemas.openxmlformats.org/officeDocument/2006/relationships/hyperlink" Target="https://digital.nhs.uk/data-and-information/publications/statistical/mental-health-services-monthly-statistics/final-september-2021" TargetMode="External"/><Relationship Id="rId77" Type="http://schemas.openxmlformats.org/officeDocument/2006/relationships/hyperlink" Target="https://learning.nspcc.org.uk/children-and-families-at-risk/parental-substance-misuse" TargetMode="External"/><Relationship Id="rId76" Type="http://schemas.openxmlformats.org/officeDocument/2006/relationships/hyperlink" Target="https://www.drugabuse.gov/drug-topics/trends-statistics/costs-substance-abuse" TargetMode="External"/><Relationship Id="rId79" Type="http://schemas.openxmlformats.org/officeDocument/2006/relationships/hyperlink" Target="https://www.gov.uk/government/statistics/substance-misuse-treatment-for-adults-statistics-2020-to-2021/adult-substance-misuse-treatment-statistics-2020-to-2021-report" TargetMode="External"/><Relationship Id="rId78" Type="http://schemas.openxmlformats.org/officeDocument/2006/relationships/hyperlink" Target="https://www.oneviewhealthcare.com/blog/the-eight-principles-of-patient-centered-care/" TargetMode="External"/><Relationship Id="rId71" Type="http://schemas.openxmlformats.org/officeDocument/2006/relationships/hyperlink" Target="https://www.nhsbsa.nhs.uk/statistical-collections/prescribing-costs-hospitals-and-community-england/prescribing-costs-hospitals-and-community-england-202021" TargetMode="External"/><Relationship Id="rId70" Type="http://schemas.openxmlformats.org/officeDocument/2006/relationships/hyperlink" Target="https://wessexahsn.org.uk/img/projects/eRD%20in%20response%20to%20Covid%2019%20Webinar%20v2%20May%202020%20FINAL%20.pdf" TargetMode="External"/><Relationship Id="rId139" Type="http://schemas.openxmlformats.org/officeDocument/2006/relationships/image" Target="media/image2.png"/><Relationship Id="rId138" Type="http://schemas.openxmlformats.org/officeDocument/2006/relationships/hyperlink" Target="https://pubmed.ncbi.nlm.nih.gov/35499041/" TargetMode="External"/><Relationship Id="rId137" Type="http://schemas.openxmlformats.org/officeDocument/2006/relationships/hyperlink" Target="https://pubmed.ncbi.nlm.nih.gov/34055333/" TargetMode="External"/><Relationship Id="rId132" Type="http://schemas.openxmlformats.org/officeDocument/2006/relationships/hyperlink" Target="https://pubmed.ncbi.nlm.nih.gov/32419762/" TargetMode="External"/><Relationship Id="rId131" Type="http://schemas.openxmlformats.org/officeDocument/2006/relationships/hyperlink" Target="https://pubmed.ncbi.nlm.nih.gov/32606268/" TargetMode="External"/><Relationship Id="rId130" Type="http://schemas.openxmlformats.org/officeDocument/2006/relationships/hyperlink" Target="https://pubmed.ncbi.nlm.nih.gov/32953040/" TargetMode="External"/><Relationship Id="rId136" Type="http://schemas.openxmlformats.org/officeDocument/2006/relationships/hyperlink" Target="https://pubmed.ncbi.nlm.nih.gov/33006626/" TargetMode="External"/><Relationship Id="rId135" Type="http://schemas.openxmlformats.org/officeDocument/2006/relationships/hyperlink" Target="https://pubmed.ncbi.nlm.nih.gov/31841871/" TargetMode="External"/><Relationship Id="rId134" Type="http://schemas.openxmlformats.org/officeDocument/2006/relationships/hyperlink" Target="https://pubmed.ncbi.nlm.nih.gov/30292574/" TargetMode="External"/><Relationship Id="rId133" Type="http://schemas.openxmlformats.org/officeDocument/2006/relationships/hyperlink" Target="https://pubmed.ncbi.nlm.nih.gov/32075828/" TargetMode="External"/><Relationship Id="rId62" Type="http://schemas.openxmlformats.org/officeDocument/2006/relationships/hyperlink" Target="https://www.england.nhs.uk/personalisedcare/social-prescribing/" TargetMode="External"/><Relationship Id="rId61" Type="http://schemas.openxmlformats.org/officeDocument/2006/relationships/hyperlink" Target="https://www.nhs.uk/medicines/gabapentin/" TargetMode="External"/><Relationship Id="rId64" Type="http://schemas.openxmlformats.org/officeDocument/2006/relationships/hyperlink" Target="https://www.gov.uk/government/publications/social-prescribing-applying-all-our-health/social-prescribing-applying-all-our-health" TargetMode="External"/><Relationship Id="rId63" Type="http://schemas.openxmlformats.org/officeDocument/2006/relationships/hyperlink" Target="https://www.england.nhs.uk/mental-health/taskforce/imp/mh-dashboard/" TargetMode="External"/><Relationship Id="rId66" Type="http://schemas.openxmlformats.org/officeDocument/2006/relationships/hyperlink" Target="https://www.nhs.uk/conditions/consent-to-treatment/" TargetMode="External"/><Relationship Id="rId65" Type="http://schemas.openxmlformats.org/officeDocument/2006/relationships/hyperlink" Target="https://www.nhs.uk/conditions/social-care-and-support-guide/care-services-equipment-and-care-homes/care-and-support-you-can-get-for-free/" TargetMode="External"/><Relationship Id="rId68" Type="http://schemas.openxmlformats.org/officeDocument/2006/relationships/hyperlink" Target="https://www.datadictionary.nhs.uk/nhs_business_definitions/long_term_physical_health_condition.html" TargetMode="External"/><Relationship Id="rId67" Type="http://schemas.openxmlformats.org/officeDocument/2006/relationships/hyperlink" Target="https://www.nhs.uk/conditions/consent-to-treatment/children/#:~:text=Children%20under%20the%20age%20of,responsibility%20can%20consent%20for%20them" TargetMode="External"/><Relationship Id="rId60" Type="http://schemas.openxmlformats.org/officeDocument/2006/relationships/hyperlink" Target="https://www.nhs.uk/medicines/pregabalin/" TargetMode="External"/><Relationship Id="rId69" Type="http://schemas.openxmlformats.org/officeDocument/2006/relationships/hyperlink" Target="https://www.nhs.uk/conditions/social-care-and-support-guide/making-decisions-for-someone-else/mental-capacity-act/" TargetMode="External"/><Relationship Id="rId51" Type="http://schemas.openxmlformats.org/officeDocument/2006/relationships/hyperlink" Target="https://www.mayoclinic.org/diseases-conditions/serotonin-syndrome/symptoms-causes/syc-20354758" TargetMode="External"/><Relationship Id="rId50" Type="http://schemas.openxmlformats.org/officeDocument/2006/relationships/hyperlink" Target="https://www.manhealth.org.uk/#:~:text=ManHealth%20provides%20weekly%20ongoing%20peer,to%20discuss%20how%20they%20feel" TargetMode="External"/><Relationship Id="rId53" Type="http://schemas.openxmlformats.org/officeDocument/2006/relationships/hyperlink" Target="https://kar.kent.ac.uk/62743/55/Talcott%20Parsons%20and%20the%20theory%20of%20the%20%27Sick%20Role%27%202004.pdf" TargetMode="External"/><Relationship Id="rId52" Type="http://schemas.openxmlformats.org/officeDocument/2006/relationships/hyperlink" Target="https://www.statista.com/statistics/283072/antidepressant-consumption-in-selected-countries/" TargetMode="External"/><Relationship Id="rId55" Type="http://schemas.openxmlformats.org/officeDocument/2006/relationships/hyperlink" Target="https://nationalcareers.service.gov.uk/job-profiles/hospital-doctor" TargetMode="External"/><Relationship Id="rId54" Type="http://schemas.openxmlformats.org/officeDocument/2006/relationships/hyperlink" Target="https://www.gov.uk/government/statistics/english-indices-of-deprivation-2019" TargetMode="External"/><Relationship Id="rId57" Type="http://schemas.openxmlformats.org/officeDocument/2006/relationships/hyperlink" Target="https://www.nhs.uk/medicines/zolpidem/" TargetMode="External"/><Relationship Id="rId56" Type="http://schemas.openxmlformats.org/officeDocument/2006/relationships/hyperlink" Target="https://improvement.nhs.uk/documents/2885/Patient_experience_improvement_framework_full_publication.pdf" TargetMode="External"/><Relationship Id="rId59" Type="http://schemas.openxmlformats.org/officeDocument/2006/relationships/hyperlink" Target="https://www.nhs.uk/mental-health/talking-therapies-medicine-treatments/medicines-and-psychiatry/antidepressants/overview/" TargetMode="External"/><Relationship Id="rId58" Type="http://schemas.openxmlformats.org/officeDocument/2006/relationships/hyperlink" Target="http://www.datadictionary.nhs.u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HelveticaNeue-regular.ttf"/><Relationship Id="rId4" Type="http://schemas.openxmlformats.org/officeDocument/2006/relationships/font" Target="fonts/HelveticaNeue-bold.ttf"/><Relationship Id="rId9" Type="http://schemas.openxmlformats.org/officeDocument/2006/relationships/font" Target="fonts/CambriaMath-regular.ttf"/><Relationship Id="rId5" Type="http://schemas.openxmlformats.org/officeDocument/2006/relationships/font" Target="fonts/HelveticaNeue-italic.ttf"/><Relationship Id="rId6" Type="http://schemas.openxmlformats.org/officeDocument/2006/relationships/font" Target="fonts/HelveticaNeue-boldItalic.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eLLgF26bvOz5nm1tQNqTzKP7Fw==">CgMxLjAyCGguZ2pkZ3hzMg5oLmVmbnFyeHJmZ3dubD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2024-12-12T08:00:00Z</dcterms:created>
  <dc:creator>Jessica White</dc:creator>
</cp:coreProperties>
</file>